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b w:val="0"/>
          <w:bCs w:val="0"/>
          <w:color w:val="auto"/>
          <w:sz w:val="52"/>
          <w:szCs w:val="52"/>
          <w:highlight w:val="none"/>
          <w:lang w:eastAsia="zh-CN"/>
        </w:rPr>
      </w:pPr>
      <w:r>
        <w:rPr>
          <w:rFonts w:hint="eastAsia" w:ascii="仿宋" w:hAnsi="仿宋" w:eastAsia="仿宋" w:cs="仿宋"/>
          <w:b w:val="0"/>
          <w:bCs w:val="0"/>
          <w:color w:val="auto"/>
          <w:sz w:val="52"/>
          <w:szCs w:val="52"/>
          <w:highlight w:val="none"/>
          <w:lang w:eastAsia="zh-CN"/>
        </w:rPr>
        <w:t>2023年度北干街道垃圾分类第三方服务采购项目</w:t>
      </w:r>
    </w:p>
    <w:p>
      <w:pPr>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spacing w:line="360" w:lineRule="auto"/>
        <w:jc w:val="center"/>
        <w:rPr>
          <w:rFonts w:hint="eastAsia" w:ascii="仿宋" w:hAnsi="仿宋" w:eastAsia="仿宋" w:cs="仿宋"/>
          <w:b w:val="0"/>
          <w:bCs w:val="0"/>
          <w:color w:val="auto"/>
          <w:sz w:val="48"/>
          <w:szCs w:val="48"/>
          <w:highlight w:val="none"/>
        </w:rPr>
      </w:pPr>
      <w:r>
        <w:rPr>
          <w:rFonts w:hint="eastAsia" w:ascii="仿宋" w:hAnsi="仿宋" w:eastAsia="仿宋" w:cs="仿宋"/>
          <w:b w:val="0"/>
          <w:bCs w:val="0"/>
          <w:color w:val="auto"/>
          <w:sz w:val="48"/>
          <w:szCs w:val="48"/>
          <w:highlight w:val="none"/>
        </w:rPr>
        <w:t>（电子招投标）</w:t>
      </w:r>
    </w:p>
    <w:p>
      <w:pPr>
        <w:spacing w:line="360" w:lineRule="auto"/>
        <w:jc w:val="center"/>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编号：XZCGDL2022-GK-ZCY</w:t>
      </w:r>
      <w:r>
        <w:rPr>
          <w:rFonts w:hint="eastAsia" w:cs="仿宋"/>
          <w:b w:val="0"/>
          <w:bCs w:val="0"/>
          <w:color w:val="auto"/>
          <w:sz w:val="32"/>
          <w:szCs w:val="32"/>
          <w:highlight w:val="none"/>
          <w:lang w:val="en-US" w:eastAsia="zh-CN"/>
        </w:rPr>
        <w:t>014</w:t>
      </w:r>
    </w:p>
    <w:p>
      <w:pPr>
        <w:spacing w:line="360" w:lineRule="auto"/>
        <w:jc w:val="center"/>
        <w:rPr>
          <w:rFonts w:hint="eastAsia" w:ascii="仿宋" w:hAnsi="仿宋" w:eastAsia="仿宋" w:cs="仿宋"/>
          <w:color w:val="auto"/>
          <w:sz w:val="36"/>
          <w:highlight w:val="none"/>
        </w:rPr>
      </w:pPr>
    </w:p>
    <w:p>
      <w:pPr>
        <w:spacing w:line="360" w:lineRule="auto"/>
        <w:jc w:val="center"/>
        <w:rPr>
          <w:rFonts w:hint="eastAsia" w:ascii="仿宋" w:hAnsi="仿宋" w:eastAsia="仿宋" w:cs="仿宋"/>
          <w:color w:val="auto"/>
          <w:sz w:val="36"/>
          <w:highlight w:val="none"/>
        </w:rPr>
      </w:pPr>
    </w:p>
    <w:p>
      <w:pPr>
        <w:pStyle w:val="32"/>
        <w:ind w:left="0" w:leftChars="0" w:firstLine="0" w:firstLineChars="0"/>
        <w:rPr>
          <w:rFonts w:hint="eastAsia" w:ascii="仿宋" w:hAnsi="仿宋" w:eastAsia="仿宋" w:cs="仿宋"/>
          <w:color w:val="auto"/>
          <w:highlight w:val="none"/>
        </w:rPr>
      </w:pPr>
    </w:p>
    <w:p>
      <w:pPr>
        <w:pStyle w:val="32"/>
        <w:ind w:left="0" w:leftChars="0" w:firstLine="0" w:firstLineChars="0"/>
        <w:rPr>
          <w:rFonts w:hint="eastAsia" w:ascii="仿宋" w:hAnsi="仿宋" w:eastAsia="仿宋" w:cs="仿宋"/>
          <w:color w:val="auto"/>
          <w:highlight w:val="none"/>
        </w:rPr>
      </w:pPr>
    </w:p>
    <w:p>
      <w:pPr>
        <w:pStyle w:val="32"/>
        <w:ind w:left="0" w:leftChars="0" w:firstLine="0" w:firstLineChars="0"/>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杭州市萧山区人民政府北干街道办事处</w:t>
      </w:r>
    </w:p>
    <w:p>
      <w:pPr>
        <w:spacing w:line="360" w:lineRule="auto"/>
        <w:jc w:val="center"/>
        <w:rPr>
          <w:rFonts w:hint="eastAsia" w:ascii="仿宋" w:hAnsi="仿宋" w:eastAsia="仿宋" w:cs="仿宋"/>
          <w:color w:val="auto"/>
          <w:sz w:val="36"/>
          <w:highlight w:val="none"/>
        </w:rPr>
      </w:pPr>
      <w:r>
        <w:rPr>
          <w:rFonts w:hint="eastAsia" w:ascii="仿宋" w:hAnsi="仿宋" w:eastAsia="仿宋" w:cs="仿宋"/>
          <w:bCs/>
          <w:color w:val="auto"/>
          <w:sz w:val="32"/>
          <w:szCs w:val="32"/>
          <w:highlight w:val="none"/>
        </w:rPr>
        <w:t>杭州博望建设工程招标投标代理有限公司</w:t>
      </w:r>
    </w:p>
    <w:p>
      <w:pPr>
        <w:spacing w:line="360" w:lineRule="auto"/>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2022年</w:t>
      </w:r>
      <w:r>
        <w:rPr>
          <w:rFonts w:hint="eastAsia" w:ascii="仿宋" w:hAnsi="仿宋" w:eastAsia="仿宋" w:cs="仿宋"/>
          <w:color w:val="auto"/>
          <w:sz w:val="36"/>
          <w:highlight w:val="none"/>
          <w:lang w:val="en-US" w:eastAsia="zh-CN"/>
        </w:rPr>
        <w:t>11</w:t>
      </w:r>
      <w:r>
        <w:rPr>
          <w:rFonts w:hint="eastAsia" w:ascii="仿宋" w:hAnsi="仿宋" w:eastAsia="仿宋" w:cs="仿宋"/>
          <w:color w:val="auto"/>
          <w:sz w:val="36"/>
          <w:highlight w:val="none"/>
        </w:rPr>
        <w:t>月</w:t>
      </w:r>
      <w:r>
        <w:rPr>
          <w:rFonts w:hint="eastAsia" w:cs="仿宋"/>
          <w:color w:val="auto"/>
          <w:sz w:val="36"/>
          <w:highlight w:val="none"/>
          <w:lang w:val="en-US" w:eastAsia="zh-CN"/>
        </w:rPr>
        <w:t>24</w:t>
      </w:r>
      <w:r>
        <w:rPr>
          <w:rFonts w:hint="eastAsia" w:ascii="仿宋" w:hAnsi="仿宋" w:eastAsia="仿宋" w:cs="仿宋"/>
          <w:color w:val="auto"/>
          <w:sz w:val="36"/>
          <w:highlight w:val="none"/>
        </w:rPr>
        <w:t>日</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目  录</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第一部分      招标公告</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第二部分      投标人须知</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第三部分      采购需求</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第四部分      评标办法</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pPr>
        <w:spacing w:line="276" w:lineRule="auto"/>
        <w:rPr>
          <w:rFonts w:hint="eastAsia" w:ascii="仿宋" w:hAnsi="仿宋" w:eastAsia="仿宋" w:cs="仿宋"/>
          <w:color w:val="auto"/>
          <w:sz w:val="32"/>
          <w:highlight w:val="none"/>
        </w:rPr>
      </w:pP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第一部分 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仿宋" w:hAnsi="仿宋" w:eastAsia="仿宋" w:cs="仿宋"/>
                <w:color w:val="auto"/>
                <w:highlight w:val="none"/>
              </w:rPr>
            </w:pPr>
            <w:r>
              <w:rPr>
                <w:rFonts w:hint="eastAsia" w:ascii="仿宋" w:hAnsi="仿宋" w:eastAsia="仿宋" w:cs="仿宋"/>
                <w:color w:val="auto"/>
                <w:highlight w:val="none"/>
              </w:rPr>
              <w:t>项目概况</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u w:val="single"/>
                <w:lang w:eastAsia="zh-CN"/>
              </w:rPr>
              <w:t>2023年度北干街道垃圾分类第三方服务采购项目</w:t>
            </w:r>
            <w:r>
              <w:rPr>
                <w:rFonts w:hint="eastAsia" w:ascii="仿宋" w:hAnsi="仿宋" w:eastAsia="仿宋" w:cs="仿宋"/>
                <w:color w:val="auto"/>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30"/>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highlight w:val="none"/>
                <w:u w:val="single"/>
              </w:rPr>
              <w:t>2022年</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点30分</w:t>
            </w:r>
            <w:r>
              <w:rPr>
                <w:rFonts w:hint="eastAsia" w:ascii="仿宋" w:hAnsi="仿宋" w:eastAsia="仿宋" w:cs="仿宋"/>
                <w:bCs/>
                <w:color w:val="auto"/>
                <w:highlight w:val="none"/>
                <w:u w:val="single"/>
              </w:rPr>
              <w:t>00秒</w:t>
            </w:r>
            <w:r>
              <w:rPr>
                <w:rFonts w:hint="eastAsia" w:ascii="仿宋" w:hAnsi="仿宋" w:eastAsia="仿宋" w:cs="仿宋"/>
                <w:bCs/>
                <w:color w:val="auto"/>
                <w:highlight w:val="none"/>
                <w:u w:val="singl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递交（上传）投标文件。</w:t>
            </w:r>
          </w:p>
        </w:tc>
      </w:tr>
    </w:tbl>
    <w:p>
      <w:pPr>
        <w:spacing w:line="240" w:lineRule="auto"/>
        <w:rPr>
          <w:rFonts w:hint="eastAsia" w:ascii="仿宋" w:hAnsi="仿宋" w:eastAsia="仿宋" w:cs="仿宋"/>
          <w:b/>
          <w:color w:val="auto"/>
          <w:highlight w:val="none"/>
        </w:rPr>
      </w:pPr>
      <w:r>
        <w:rPr>
          <w:rFonts w:hint="eastAsia" w:ascii="仿宋" w:hAnsi="仿宋" w:eastAsia="仿宋" w:cs="仿宋"/>
          <w:b/>
          <w:color w:val="auto"/>
          <w:highlight w:val="none"/>
        </w:rPr>
        <w:t>一、项目基本情况</w:t>
      </w:r>
    </w:p>
    <w:p>
      <w:pPr>
        <w:spacing w:line="240" w:lineRule="auto"/>
        <w:rPr>
          <w:rFonts w:hint="default" w:ascii="仿宋" w:hAnsi="仿宋" w:eastAsia="仿宋" w:cs="仿宋"/>
          <w:color w:val="auto"/>
          <w:highlight w:val="none"/>
          <w:u w:val="none"/>
          <w:lang w:val="en-US" w:eastAsia="zh-CN"/>
        </w:rPr>
      </w:pPr>
      <w:r>
        <w:rPr>
          <w:rFonts w:hint="eastAsia" w:ascii="仿宋" w:hAnsi="仿宋" w:eastAsia="仿宋" w:cs="仿宋"/>
          <w:color w:val="auto"/>
          <w:highlight w:val="none"/>
          <w:u w:val="none"/>
        </w:rPr>
        <w:t>项目编号：XZCGDL2022-GK-ZCY</w:t>
      </w:r>
      <w:r>
        <w:rPr>
          <w:rFonts w:hint="eastAsia" w:cs="仿宋"/>
          <w:color w:val="auto"/>
          <w:highlight w:val="none"/>
          <w:u w:val="none"/>
          <w:lang w:val="en-US" w:eastAsia="zh-CN"/>
        </w:rPr>
        <w:t>014</w:t>
      </w:r>
    </w:p>
    <w:p>
      <w:pPr>
        <w:spacing w:line="240" w:lineRule="auto"/>
        <w:rPr>
          <w:rFonts w:hint="eastAsia" w:ascii="仿宋" w:hAnsi="仿宋" w:eastAsia="仿宋" w:cs="仿宋"/>
          <w:color w:val="auto"/>
          <w:highlight w:val="none"/>
          <w:u w:val="none"/>
          <w:lang w:eastAsia="zh-CN"/>
        </w:rPr>
      </w:pPr>
      <w:r>
        <w:rPr>
          <w:rFonts w:hint="eastAsia" w:ascii="仿宋" w:hAnsi="仿宋" w:eastAsia="仿宋" w:cs="仿宋"/>
          <w:color w:val="auto"/>
          <w:highlight w:val="none"/>
          <w:u w:val="none"/>
        </w:rPr>
        <w:t>项目名称：</w:t>
      </w:r>
      <w:r>
        <w:rPr>
          <w:rFonts w:hint="eastAsia" w:ascii="仿宋" w:hAnsi="仿宋" w:eastAsia="仿宋" w:cs="仿宋"/>
          <w:color w:val="auto"/>
          <w:highlight w:val="none"/>
          <w:u w:val="none"/>
          <w:lang w:eastAsia="zh-CN"/>
        </w:rPr>
        <w:t>2023年度北干街道垃圾分类第三方服务采购项目</w:t>
      </w:r>
    </w:p>
    <w:p>
      <w:pPr>
        <w:spacing w:line="240" w:lineRule="auto"/>
        <w:rPr>
          <w:rFonts w:hint="eastAsia" w:ascii="仿宋" w:hAnsi="仿宋" w:eastAsia="仿宋" w:cs="仿宋"/>
          <w:color w:val="auto"/>
          <w:highlight w:val="none"/>
          <w:u w:val="none"/>
        </w:rPr>
      </w:pPr>
      <w:r>
        <w:rPr>
          <w:rFonts w:hint="eastAsia" w:ascii="仿宋" w:hAnsi="仿宋" w:eastAsia="仿宋" w:cs="仿宋"/>
          <w:color w:val="auto"/>
          <w:highlight w:val="none"/>
          <w:u w:val="none"/>
        </w:rPr>
        <w:t>预算金额（元）：</w:t>
      </w:r>
      <w:r>
        <w:rPr>
          <w:rFonts w:hint="eastAsia" w:ascii="仿宋" w:hAnsi="仿宋" w:eastAsia="仿宋" w:cs="仿宋"/>
          <w:color w:val="auto"/>
          <w:highlight w:val="none"/>
          <w:u w:val="none"/>
          <w:lang w:val="en-US" w:eastAsia="zh-CN"/>
        </w:rPr>
        <w:t>标项一：10218250.00、标项二：9345350.00、标项三：8625050.00</w:t>
      </w:r>
    </w:p>
    <w:p>
      <w:pPr>
        <w:spacing w:line="240" w:lineRule="auto"/>
        <w:rPr>
          <w:rFonts w:hint="eastAsia" w:ascii="仿宋" w:hAnsi="仿宋" w:eastAsia="仿宋" w:cs="仿宋"/>
          <w:color w:val="auto"/>
          <w:highlight w:val="none"/>
          <w:u w:val="none"/>
        </w:rPr>
      </w:pPr>
      <w:r>
        <w:rPr>
          <w:rFonts w:hint="eastAsia" w:ascii="仿宋" w:hAnsi="仿宋" w:eastAsia="仿宋" w:cs="仿宋"/>
          <w:color w:val="auto"/>
          <w:highlight w:val="none"/>
          <w:u w:val="none"/>
        </w:rPr>
        <w:t>最高限价（元）：</w:t>
      </w:r>
      <w:r>
        <w:rPr>
          <w:rFonts w:hint="eastAsia" w:ascii="仿宋" w:hAnsi="仿宋" w:eastAsia="仿宋" w:cs="仿宋"/>
          <w:color w:val="auto"/>
          <w:highlight w:val="none"/>
          <w:u w:val="none"/>
          <w:lang w:val="en-US" w:eastAsia="zh-CN"/>
        </w:rPr>
        <w:t>标项一：10218250.00、标项二：9345350.00、标项三：8625050.00</w:t>
      </w:r>
    </w:p>
    <w:p>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u w:val="none"/>
        </w:rPr>
        <w:t>采购需求：</w:t>
      </w:r>
      <w:r>
        <w:rPr>
          <w:rFonts w:hint="eastAsia" w:ascii="仿宋" w:hAnsi="仿宋" w:eastAsia="仿宋" w:cs="仿宋"/>
          <w:color w:val="auto"/>
          <w:highlight w:val="none"/>
          <w:u w:val="none"/>
          <w:lang w:eastAsia="zh-CN"/>
        </w:rPr>
        <w:t>2023年度北干街道垃圾分类第三方服务</w:t>
      </w:r>
      <w:r>
        <w:rPr>
          <w:rFonts w:hint="eastAsia" w:ascii="仿宋" w:hAnsi="仿宋" w:eastAsia="仿宋" w:cs="仿宋"/>
          <w:color w:val="auto"/>
          <w:highlight w:val="none"/>
          <w:u w:val="none"/>
        </w:rPr>
        <w:t>,主要内容</w:t>
      </w:r>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rPr>
        <w:t>详见招标文件第三部分采购需求</w:t>
      </w:r>
      <w:r>
        <w:rPr>
          <w:rFonts w:hint="eastAsia" w:ascii="仿宋" w:hAnsi="仿宋" w:eastAsia="仿宋" w:cs="仿宋"/>
          <w:color w:val="auto"/>
          <w:highlight w:val="none"/>
        </w:rPr>
        <w:t>。</w:t>
      </w:r>
    </w:p>
    <w:p>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合同履约期限：详见招标文件</w:t>
      </w:r>
    </w:p>
    <w:p>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本项目接受联合体投标：（√）是；（</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）否</w:t>
      </w:r>
      <w:r>
        <w:rPr>
          <w:rFonts w:hint="eastAsia" w:cs="仿宋"/>
          <w:color w:val="auto"/>
          <w:highlight w:val="none"/>
          <w:lang w:eastAsia="zh-CN"/>
        </w:rPr>
        <w:t>。</w:t>
      </w:r>
    </w:p>
    <w:p>
      <w:pPr>
        <w:spacing w:line="240" w:lineRule="auto"/>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（√）无；</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）专门面向中小企业</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）货物全部由符合政策要求的中小企业制造，提供中小企业声明函；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）货物全部由符合政策要求的小微企业制造，提供中小企业声明函；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）服务全部由符合政策要求的中小企业承接，提供中小企业声明函；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）服务全部由符合政策要求的小微企业承接，提供中小企业声明函；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  ）要求以联合体形式参加，提供联合协议和中小企业声明函，联合协议中中小企业合同金额应当达到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%，小微企业合同金额应当达到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如果供应商本身提供所有标的均由中小企业制造、承建或承接，视同符合了资格条件，无需再与其他中小企业组成联合体参加政府采购活动，无需提供联合协议；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color w:val="auto"/>
          <w:highlight w:val="none"/>
        </w:rPr>
        <w:t>（  ）要求合同分包，提供分包意向协议和中小企业声明函，分包意向协议中中小企业合同金额应当达到达到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，小微企业合同金额应当达到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如果供应商本身提供所有标的均由中小企业制造、承建或承接，视同符合了资格条件，无需再向中小企业分包，无需提供分包意向协议；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3.本项目的特定资格要求：无；</w:t>
      </w:r>
    </w:p>
    <w:p>
      <w:pPr>
        <w:rPr>
          <w:rFonts w:hint="eastAsia" w:ascii="仿宋" w:hAnsi="仿宋" w:eastAsia="仿宋" w:cs="仿宋"/>
          <w:color w:val="auto"/>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pPr>
        <w:rPr>
          <w:rFonts w:hint="eastAsia" w:ascii="仿宋" w:hAnsi="仿宋" w:eastAsia="仿宋" w:cs="仿宋"/>
          <w:color w:val="auto"/>
          <w:highlight w:val="none"/>
        </w:rPr>
      </w:pPr>
      <w:r>
        <w:rPr>
          <w:rFonts w:hint="eastAsia" w:ascii="仿宋" w:hAnsi="仿宋" w:eastAsia="仿宋" w:cs="仿宋"/>
          <w:color w:val="auto"/>
          <w:highlight w:val="none"/>
        </w:rPr>
        <w:t>时间：/至2022年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日，每天上午00:00至12:00 ，下午12:00至23:59（北京时间，线上获取法定节假日均可，线下获取文件法定节假日除外）</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方式：供应商登录政采云平台https://www.zcygov.cn/在线申请获取采购文件（进入“项目采购”应用，在获取采购文件菜单中选择项目，申请获取采购文件）。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售价（元）：0 </w:t>
      </w:r>
      <w:r>
        <w:rPr>
          <w:rFonts w:hint="eastAsia" w:ascii="仿宋" w:hAnsi="仿宋" w:eastAsia="仿宋" w:cs="仿宋"/>
          <w:color w:val="auto"/>
          <w:highlight w:val="none"/>
        </w:rPr>
        <w:tab/>
      </w:r>
    </w:p>
    <w:p>
      <w:pPr>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pPr>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提交投标文件截止时间：2022年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点30分（北京时间）</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rPr>
          <w:rFonts w:hint="eastAsia" w:ascii="仿宋" w:hAnsi="仿宋" w:eastAsia="仿宋" w:cs="仿宋"/>
          <w:color w:val="auto"/>
          <w:highlight w:val="none"/>
        </w:rPr>
      </w:pPr>
      <w:r>
        <w:rPr>
          <w:rFonts w:hint="eastAsia" w:ascii="仿宋" w:hAnsi="仿宋" w:eastAsia="仿宋" w:cs="仿宋"/>
          <w:color w:val="auto"/>
          <w:highlight w:val="none"/>
        </w:rPr>
        <w:t>开标时间：2022年</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月</w:t>
      </w:r>
      <w:r>
        <w:rPr>
          <w:rFonts w:hint="eastAsia" w:cs="仿宋"/>
          <w:color w:val="auto"/>
          <w:highlight w:val="none"/>
          <w:lang w:val="en-US" w:eastAsia="zh-CN"/>
        </w:rPr>
        <w:t>15</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点30分</w:t>
      </w:r>
    </w:p>
    <w:p>
      <w:pPr>
        <w:rPr>
          <w:rFonts w:hint="eastAsia" w:ascii="仿宋" w:hAnsi="仿宋" w:eastAsia="仿宋" w:cs="仿宋"/>
          <w:color w:val="auto"/>
          <w:highlight w:val="none"/>
        </w:rPr>
      </w:pPr>
      <w:r>
        <w:rPr>
          <w:rFonts w:hint="eastAsia" w:ascii="仿宋" w:hAnsi="仿宋" w:eastAsia="仿宋" w:cs="仿宋"/>
          <w:color w:val="auto"/>
          <w:highlight w:val="none"/>
        </w:rPr>
        <w:t>开标地点（网址）：政采云平台（https://www.zcygov.cn/）</w:t>
      </w:r>
    </w:p>
    <w:p>
      <w:pPr>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pPr>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pPr>
        <w:rPr>
          <w:rFonts w:hint="eastAsia" w:ascii="仿宋" w:hAnsi="仿宋" w:eastAsia="仿宋" w:cs="仿宋"/>
          <w:color w:val="auto"/>
          <w:highlight w:val="none"/>
        </w:rPr>
      </w:pPr>
      <w:r>
        <w:rPr>
          <w:rFonts w:hint="eastAsia" w:ascii="仿宋" w:hAnsi="仿宋" w:eastAsia="仿宋" w:cs="仿宋"/>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color w:val="auto"/>
          <w:highlight w:val="none"/>
        </w:rPr>
      </w:pPr>
      <w:r>
        <w:rPr>
          <w:rFonts w:hint="eastAsia" w:ascii="仿宋" w:hAnsi="仿宋" w:eastAsia="仿宋" w:cs="仿宋"/>
          <w:color w:val="auto"/>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w:t>
      </w:r>
    </w:p>
    <w:p>
      <w:pPr>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pPr>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pPr>
        <w:rPr>
          <w:rFonts w:hint="eastAsia" w:ascii="仿宋" w:hAnsi="仿宋" w:eastAsia="仿宋" w:cs="仿宋"/>
          <w:color w:val="auto"/>
          <w:highlight w:val="none"/>
          <w:lang w:eastAsia="zh-CN"/>
        </w:rPr>
      </w:pPr>
      <w:bookmarkStart w:id="0" w:name="_Toc28359086"/>
      <w:bookmarkStart w:id="1" w:name="_Toc28359009"/>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杭州市萧山区人民政府北干街道办事处</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地址：杭州市萧山区金城路1269号</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王欣峰</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项目联系方式（询问）：0571-</w:t>
      </w:r>
      <w:r>
        <w:rPr>
          <w:rFonts w:hint="eastAsia" w:ascii="仿宋" w:hAnsi="仿宋" w:eastAsia="仿宋" w:cs="仿宋"/>
          <w:color w:val="auto"/>
          <w:highlight w:val="none"/>
          <w:lang w:val="en-US" w:eastAsia="zh-CN"/>
        </w:rPr>
        <w:t>82817582</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赵丹</w:t>
      </w:r>
    </w:p>
    <w:p>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zh-TW" w:eastAsia="zh-TW"/>
        </w:rPr>
        <w:t>0571-82817726</w:t>
      </w:r>
    </w:p>
    <w:p>
      <w:pPr>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bookmarkEnd w:id="0"/>
      <w:bookmarkEnd w:id="1"/>
    </w:p>
    <w:p>
      <w:pPr>
        <w:rPr>
          <w:rFonts w:hint="eastAsia" w:ascii="仿宋" w:hAnsi="仿宋" w:eastAsia="仿宋" w:cs="仿宋"/>
          <w:color w:val="auto"/>
          <w:highlight w:val="none"/>
        </w:rPr>
      </w:pPr>
      <w:r>
        <w:rPr>
          <w:rFonts w:hint="eastAsia" w:ascii="仿宋" w:hAnsi="仿宋" w:eastAsia="仿宋" w:cs="仿宋"/>
          <w:color w:val="auto"/>
          <w:highlight w:val="none"/>
        </w:rPr>
        <w:t>名称：杭州博望建设工程招标投标代理有限公司</w:t>
      </w:r>
    </w:p>
    <w:p>
      <w:pPr>
        <w:rPr>
          <w:rFonts w:hint="eastAsia" w:ascii="仿宋" w:hAnsi="仿宋" w:eastAsia="仿宋" w:cs="仿宋"/>
          <w:color w:val="auto"/>
          <w:highlight w:val="none"/>
        </w:rPr>
      </w:pPr>
      <w:r>
        <w:rPr>
          <w:rFonts w:hint="eastAsia" w:ascii="仿宋" w:hAnsi="仿宋" w:eastAsia="仿宋" w:cs="仿宋"/>
          <w:color w:val="auto"/>
          <w:highlight w:val="none"/>
        </w:rPr>
        <w:t>地址：杭州市萧山区金城路433号天汇园1幢A座5楼</w:t>
      </w:r>
    </w:p>
    <w:p>
      <w:pPr>
        <w:rPr>
          <w:rFonts w:hint="eastAsia" w:ascii="仿宋" w:hAnsi="仿宋" w:eastAsia="仿宋" w:cs="仿宋"/>
          <w:color w:val="auto"/>
          <w:highlight w:val="none"/>
        </w:rPr>
      </w:pPr>
      <w:r>
        <w:rPr>
          <w:rFonts w:hint="eastAsia" w:ascii="仿宋" w:hAnsi="仿宋" w:eastAsia="仿宋" w:cs="仿宋"/>
          <w:color w:val="auto"/>
          <w:highlight w:val="none"/>
        </w:rPr>
        <w:t>传真：0571-83881208</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赵鑫华</w:t>
      </w:r>
    </w:p>
    <w:p>
      <w:pPr>
        <w:rPr>
          <w:rFonts w:hint="eastAsia" w:ascii="仿宋" w:hAnsi="仿宋" w:eastAsia="仿宋" w:cs="仿宋"/>
          <w:color w:val="auto"/>
          <w:highlight w:val="none"/>
        </w:rPr>
      </w:pPr>
      <w:r>
        <w:rPr>
          <w:rFonts w:hint="eastAsia" w:ascii="仿宋" w:hAnsi="仿宋" w:eastAsia="仿宋" w:cs="仿宋"/>
          <w:color w:val="auto"/>
          <w:highlight w:val="none"/>
        </w:rPr>
        <w:t>项目联系方式（询问）：0571-83881208</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高华萍</w:t>
      </w:r>
    </w:p>
    <w:p>
      <w:pPr>
        <w:rPr>
          <w:rFonts w:hint="eastAsia" w:ascii="仿宋" w:hAnsi="仿宋" w:eastAsia="仿宋" w:cs="仿宋"/>
          <w:color w:val="auto"/>
          <w:highlight w:val="none"/>
        </w:rPr>
      </w:pPr>
      <w:r>
        <w:rPr>
          <w:rFonts w:hint="eastAsia" w:ascii="仿宋" w:hAnsi="仿宋" w:eastAsia="仿宋" w:cs="仿宋"/>
          <w:color w:val="auto"/>
          <w:highlight w:val="none"/>
        </w:rPr>
        <w:t>质疑联系方式：0571-83881208</w:t>
      </w:r>
    </w:p>
    <w:p>
      <w:pPr>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pPr>
        <w:rPr>
          <w:rFonts w:hint="eastAsia" w:ascii="仿宋" w:hAnsi="仿宋" w:eastAsia="仿宋" w:cs="仿宋"/>
          <w:color w:val="auto"/>
          <w:highlight w:val="none"/>
        </w:rPr>
      </w:pPr>
      <w:r>
        <w:rPr>
          <w:rFonts w:hint="eastAsia" w:ascii="仿宋" w:hAnsi="仿宋" w:eastAsia="仿宋" w:cs="仿宋"/>
          <w:color w:val="auto"/>
          <w:highlight w:val="none"/>
        </w:rPr>
        <w:t>名称：萧山区财政局</w:t>
      </w:r>
    </w:p>
    <w:p>
      <w:pPr>
        <w:rPr>
          <w:rFonts w:hint="eastAsia" w:ascii="仿宋" w:hAnsi="仿宋" w:eastAsia="仿宋" w:cs="仿宋"/>
          <w:color w:val="auto"/>
          <w:highlight w:val="none"/>
        </w:rPr>
      </w:pPr>
      <w:r>
        <w:rPr>
          <w:rFonts w:hint="eastAsia" w:ascii="仿宋" w:hAnsi="仿宋" w:eastAsia="仿宋" w:cs="仿宋"/>
          <w:color w:val="auto"/>
          <w:highlight w:val="none"/>
        </w:rPr>
        <w:t>地址：萧山区人民路318号</w:t>
      </w:r>
    </w:p>
    <w:p>
      <w:pPr>
        <w:rPr>
          <w:rFonts w:hint="eastAsia" w:ascii="仿宋" w:hAnsi="仿宋" w:eastAsia="仿宋" w:cs="仿宋"/>
          <w:color w:val="auto"/>
          <w:highlight w:val="none"/>
        </w:rPr>
      </w:pPr>
      <w:r>
        <w:rPr>
          <w:rFonts w:hint="eastAsia" w:ascii="仿宋" w:hAnsi="仿宋" w:eastAsia="仿宋" w:cs="仿宋"/>
          <w:color w:val="auto"/>
          <w:highlight w:val="none"/>
        </w:rPr>
        <w:t>传真：0571-82756122</w:t>
      </w:r>
    </w:p>
    <w:p>
      <w:pPr>
        <w:rPr>
          <w:rFonts w:hint="eastAsia" w:ascii="仿宋" w:hAnsi="仿宋" w:eastAsia="仿宋" w:cs="仿宋"/>
          <w:color w:val="auto"/>
          <w:highlight w:val="none"/>
        </w:rPr>
      </w:pPr>
      <w:r>
        <w:rPr>
          <w:rFonts w:hint="eastAsia" w:ascii="仿宋" w:hAnsi="仿宋" w:eastAsia="仿宋" w:cs="仿宋"/>
          <w:color w:val="auto"/>
          <w:highlight w:val="none"/>
        </w:rPr>
        <w:t>联系人：汤先生</w:t>
      </w:r>
    </w:p>
    <w:p>
      <w:pPr>
        <w:rPr>
          <w:rFonts w:hint="eastAsia" w:ascii="仿宋" w:hAnsi="仿宋" w:eastAsia="仿宋" w:cs="仿宋"/>
          <w:color w:val="auto"/>
          <w:highlight w:val="none"/>
        </w:rPr>
      </w:pPr>
      <w:r>
        <w:rPr>
          <w:rFonts w:hint="eastAsia" w:ascii="仿宋" w:hAnsi="仿宋" w:eastAsia="仿宋" w:cs="仿宋"/>
          <w:color w:val="auto"/>
          <w:highlight w:val="none"/>
        </w:rPr>
        <w:t>监督投诉电话：0571-82756122</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 投标人须知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26"/>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00"/>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08"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3821"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3821" w:type="pct"/>
            <w:vAlign w:val="center"/>
          </w:tcPr>
          <w:p>
            <w:pPr>
              <w:spacing w:after="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3821"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highlight w:val="none"/>
                <w:u w:val="single"/>
                <w:lang w:val="en-US" w:eastAsia="zh-CN"/>
              </w:rPr>
              <w:t>标项一：2023年度北干街道垃圾分类第三方服务-标项一</w:t>
            </w:r>
            <w:r>
              <w:rPr>
                <w:rFonts w:hint="eastAsia" w:ascii="仿宋" w:hAnsi="仿宋" w:eastAsia="仿宋" w:cs="仿宋"/>
                <w:color w:val="auto"/>
                <w:sz w:val="24"/>
                <w:szCs w:val="24"/>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其他服务业</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rPr>
              <w:t>行业；</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）标的：</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highlight w:val="none"/>
                <w:u w:val="single"/>
                <w:lang w:val="en-US" w:eastAsia="zh-CN"/>
              </w:rPr>
              <w:t>标项二：2023年度北干街道垃圾分类第三方服务-标项二</w:t>
            </w:r>
            <w:r>
              <w:rPr>
                <w:rFonts w:hint="eastAsia" w:cs="仿宋"/>
                <w:color w:val="auto"/>
                <w:highlight w:val="none"/>
                <w:u w:val="none"/>
                <w:lang w:val="en-US"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其他服务业</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rPr>
              <w:t>行业；</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）标的：</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highlight w:val="none"/>
                <w:u w:val="single"/>
                <w:lang w:val="en-US" w:eastAsia="zh-CN"/>
              </w:rPr>
              <w:t>标项三：2023年度北干街道垃圾分类第三方服务-标项三</w:t>
            </w:r>
            <w:r>
              <w:rPr>
                <w:rFonts w:hint="eastAsia" w:ascii="仿宋" w:hAnsi="仿宋" w:eastAsia="仿宋" w:cs="仿宋"/>
                <w:color w:val="auto"/>
                <w:sz w:val="24"/>
                <w:szCs w:val="24"/>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其他服务业</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rPr>
              <w:t>行业；</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行业划分标准：</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3821"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本项目不允许采购进口产品。</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采购进口产品。</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联合体和分包</w:t>
            </w:r>
          </w:p>
        </w:tc>
        <w:tc>
          <w:tcPr>
            <w:tcW w:w="3821" w:type="pct"/>
            <w:vAlign w:val="center"/>
          </w:tcPr>
          <w:p>
            <w:pPr>
              <w:snapToGrid w:val="0"/>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A同意将非主体、非关键性的</w:t>
            </w:r>
            <w:r>
              <w:rPr>
                <w:rFonts w:hint="eastAsia" w:ascii="仿宋" w:hAnsi="仿宋" w:eastAsia="仿宋" w:cs="仿宋"/>
                <w:color w:val="auto"/>
                <w:sz w:val="24"/>
                <w:szCs w:val="24"/>
                <w:highlight w:val="none"/>
                <w:u w:val="single"/>
              </w:rPr>
              <w:t xml:space="preserve"> 再生资源网点运行 </w:t>
            </w:r>
            <w:r>
              <w:rPr>
                <w:rFonts w:hint="eastAsia" w:ascii="仿宋" w:hAnsi="仿宋" w:eastAsia="仿宋" w:cs="仿宋"/>
                <w:color w:val="auto"/>
                <w:sz w:val="24"/>
                <w:szCs w:val="24"/>
                <w:highlight w:val="none"/>
              </w:rPr>
              <w:t>工作分包。</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3821"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A不组织。</w:t>
            </w:r>
          </w:p>
          <w:p>
            <w:pPr>
              <w:spacing w:after="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 w:type="pct"/>
            <w:vMerge w:val="restar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w:t>
            </w:r>
          </w:p>
        </w:tc>
        <w:tc>
          <w:tcPr>
            <w:tcW w:w="870" w:type="pct"/>
            <w:vMerge w:val="restart"/>
            <w:vAlign w:val="center"/>
          </w:tcPr>
          <w:p>
            <w:pPr>
              <w:spacing w:after="0"/>
              <w:jc w:val="center"/>
              <w:rPr>
                <w:rFonts w:hint="default" w:ascii="仿宋" w:hAnsi="仿宋" w:eastAsia="仿宋" w:cs="仿宋"/>
                <w:color w:val="auto"/>
                <w:sz w:val="24"/>
                <w:szCs w:val="24"/>
                <w:highlight w:val="none"/>
                <w:lang w:val="en-US" w:eastAsia="zh-CN"/>
              </w:rPr>
            </w:pPr>
            <w:r>
              <w:rPr>
                <w:rFonts w:hint="eastAsia" w:cs="仿宋"/>
                <w:b/>
                <w:color w:val="auto"/>
                <w:sz w:val="24"/>
                <w:szCs w:val="24"/>
                <w:highlight w:val="none"/>
                <w:lang w:val="en-US" w:eastAsia="zh-CN"/>
              </w:rPr>
              <w:t>演示、样品</w:t>
            </w:r>
          </w:p>
        </w:tc>
        <w:tc>
          <w:tcPr>
            <w:tcW w:w="3821" w:type="pct"/>
            <w:vAlign w:val="center"/>
          </w:tcPr>
          <w:p>
            <w:pPr>
              <w:spacing w:after="0"/>
              <w:rPr>
                <w:rFonts w:hint="eastAsia" w:cs="仿宋"/>
                <w:b/>
                <w:color w:val="auto"/>
                <w:sz w:val="24"/>
                <w:szCs w:val="24"/>
                <w:highlight w:val="none"/>
                <w:lang w:val="en-US" w:eastAsia="zh-CN"/>
              </w:rPr>
            </w:pPr>
            <w:r>
              <w:rPr>
                <w:rFonts w:hint="eastAsia" w:cs="仿宋"/>
                <w:b/>
                <w:color w:val="auto"/>
                <w:sz w:val="24"/>
                <w:szCs w:val="24"/>
                <w:highlight w:val="none"/>
                <w:lang w:val="en-US" w:eastAsia="zh-CN"/>
              </w:rPr>
              <w:t>软件演示：</w:t>
            </w:r>
          </w:p>
          <w:p>
            <w:pPr>
              <w:spacing w:after="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A不要求。</w:t>
            </w:r>
          </w:p>
          <w:p>
            <w:pPr>
              <w:spacing w:after="0" w:line="240" w:lineRule="auto"/>
              <w:rPr>
                <w:rFonts w:hint="eastAsia" w:cs="仿宋"/>
                <w:bCs/>
                <w:color w:val="auto"/>
                <w:sz w:val="24"/>
                <w:szCs w:val="24"/>
                <w:highlight w:val="none"/>
                <w:lang w:eastAsia="zh-CN"/>
              </w:rPr>
            </w:pP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B要求</w:t>
            </w:r>
            <w:r>
              <w:rPr>
                <w:rFonts w:hint="eastAsia" w:cs="仿宋"/>
                <w:bCs/>
                <w:color w:val="auto"/>
                <w:sz w:val="24"/>
                <w:szCs w:val="24"/>
                <w:highlight w:val="none"/>
                <w:lang w:eastAsia="zh-CN"/>
              </w:rPr>
              <w:t>：</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cs="仿宋"/>
                <w:color w:val="auto"/>
                <w:sz w:val="24"/>
                <w:szCs w:val="24"/>
                <w:highlight w:val="none"/>
                <w:lang w:val="en-US" w:eastAsia="zh-CN"/>
              </w:rPr>
              <w:t>演示要求</w:t>
            </w:r>
            <w:r>
              <w:rPr>
                <w:rFonts w:hint="eastAsia" w:ascii="仿宋" w:hAnsi="仿宋" w:eastAsia="仿宋" w:cs="仿宋"/>
                <w:color w:val="auto"/>
                <w:sz w:val="24"/>
                <w:szCs w:val="24"/>
                <w:highlight w:val="none"/>
              </w:rPr>
              <w:t>：在评标时安排投标人</w:t>
            </w:r>
            <w:r>
              <w:rPr>
                <w:rFonts w:hint="eastAsia" w:cs="仿宋"/>
                <w:color w:val="auto"/>
                <w:sz w:val="24"/>
                <w:szCs w:val="24"/>
                <w:highlight w:val="none"/>
                <w:lang w:val="en-US" w:eastAsia="zh-CN"/>
              </w:rPr>
              <w:t>软件演示人员</w:t>
            </w:r>
            <w:r>
              <w:rPr>
                <w:rFonts w:hint="eastAsia" w:ascii="仿宋" w:hAnsi="仿宋" w:eastAsia="仿宋" w:cs="仿宋"/>
                <w:color w:val="auto"/>
                <w:sz w:val="24"/>
                <w:szCs w:val="24"/>
                <w:highlight w:val="none"/>
              </w:rPr>
              <w:t>演示，演示时间不超过</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分钟</w:t>
            </w:r>
            <w:r>
              <w:rPr>
                <w:rFonts w:hint="eastAsia" w:cs="仿宋"/>
                <w:color w:val="auto"/>
                <w:sz w:val="24"/>
                <w:szCs w:val="24"/>
                <w:highlight w:val="none"/>
                <w:lang w:eastAsia="zh-CN"/>
              </w:rPr>
              <w:t>，</w:t>
            </w:r>
            <w:r>
              <w:rPr>
                <w:rFonts w:hint="eastAsia" w:cs="仿宋"/>
                <w:color w:val="auto"/>
                <w:sz w:val="24"/>
                <w:szCs w:val="24"/>
                <w:highlight w:val="none"/>
                <w:lang w:val="en-US" w:eastAsia="zh-CN"/>
              </w:rPr>
              <w:t>演示</w:t>
            </w:r>
            <w:r>
              <w:rPr>
                <w:rFonts w:hint="eastAsia" w:ascii="仿宋" w:hAnsi="仿宋" w:eastAsia="仿宋" w:cs="仿宋"/>
                <w:color w:val="auto"/>
                <w:sz w:val="24"/>
                <w:szCs w:val="24"/>
                <w:highlight w:val="none"/>
              </w:rPr>
              <w:t>人员不超过2人</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演示人员</w:t>
            </w:r>
            <w:r>
              <w:rPr>
                <w:rFonts w:hint="eastAsia" w:cs="仿宋"/>
                <w:color w:val="auto"/>
                <w:sz w:val="24"/>
                <w:szCs w:val="24"/>
                <w:highlight w:val="none"/>
                <w:lang w:val="en-US" w:eastAsia="zh-CN"/>
              </w:rPr>
              <w:t>如为</w:t>
            </w:r>
            <w:r>
              <w:rPr>
                <w:rFonts w:hint="eastAsia" w:ascii="仿宋" w:hAnsi="仿宋" w:eastAsia="仿宋" w:cs="仿宋"/>
                <w:color w:val="auto"/>
                <w:sz w:val="24"/>
                <w:szCs w:val="24"/>
                <w:highlight w:val="none"/>
              </w:rPr>
              <w:t>法定代表人</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须提供身份证原件、营业执照复印件；演示人员如为授权代表签到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w:t>
            </w:r>
            <w:r>
              <w:rPr>
                <w:rFonts w:hint="eastAsia" w:ascii="仿宋" w:hAnsi="仿宋" w:eastAsia="仿宋" w:cs="仿宋"/>
                <w:color w:val="auto"/>
                <w:sz w:val="24"/>
                <w:szCs w:val="24"/>
                <w:highlight w:val="none"/>
              </w:rPr>
              <w:t>身份证</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软件演示</w:t>
            </w:r>
            <w:r>
              <w:rPr>
                <w:rFonts w:hint="eastAsia" w:ascii="仿宋" w:hAnsi="仿宋" w:eastAsia="仿宋" w:cs="仿宋"/>
                <w:color w:val="auto"/>
                <w:sz w:val="24"/>
                <w:szCs w:val="24"/>
                <w:highlight w:val="none"/>
              </w:rPr>
              <w:t>授权委托书</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（详见招标文件格式范例附件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），否则</w:t>
            </w:r>
            <w:r>
              <w:rPr>
                <w:rFonts w:hint="eastAsia" w:cs="仿宋"/>
                <w:color w:val="auto"/>
                <w:sz w:val="24"/>
                <w:szCs w:val="24"/>
                <w:highlight w:val="none"/>
                <w:lang w:val="en-US" w:eastAsia="zh-CN"/>
              </w:rPr>
              <w:t>不予签到</w:t>
            </w:r>
            <w:r>
              <w:rPr>
                <w:rFonts w:hint="eastAsia" w:cs="仿宋"/>
                <w:color w:val="auto"/>
                <w:sz w:val="24"/>
                <w:szCs w:val="24"/>
                <w:highlight w:val="none"/>
                <w:lang w:eastAsia="zh-CN"/>
              </w:rPr>
              <w:t>，</w:t>
            </w:r>
            <w:r>
              <w:rPr>
                <w:rFonts w:hint="eastAsia" w:cs="仿宋"/>
                <w:color w:val="auto"/>
                <w:sz w:val="24"/>
                <w:szCs w:val="24"/>
                <w:highlight w:val="none"/>
                <w:lang w:val="en-US" w:eastAsia="zh-CN"/>
              </w:rPr>
              <w:t>视为放弃演示</w:t>
            </w:r>
            <w:r>
              <w:rPr>
                <w:rFonts w:hint="eastAsia" w:ascii="仿宋" w:hAnsi="仿宋" w:eastAsia="仿宋" w:cs="仿宋"/>
                <w:color w:val="auto"/>
                <w:sz w:val="24"/>
                <w:szCs w:val="24"/>
                <w:highlight w:val="none"/>
              </w:rPr>
              <w:t>。演示</w:t>
            </w:r>
            <w:r>
              <w:rPr>
                <w:rFonts w:hint="eastAsia" w:cs="仿宋"/>
                <w:color w:val="auto"/>
                <w:sz w:val="24"/>
                <w:szCs w:val="24"/>
                <w:highlight w:val="none"/>
                <w:lang w:val="en-US" w:eastAsia="zh-CN"/>
              </w:rPr>
              <w:t>结束</w:t>
            </w:r>
            <w:r>
              <w:rPr>
                <w:rFonts w:hint="eastAsia" w:ascii="仿宋" w:hAnsi="仿宋" w:eastAsia="仿宋" w:cs="仿宋"/>
                <w:color w:val="auto"/>
                <w:sz w:val="24"/>
                <w:szCs w:val="24"/>
                <w:highlight w:val="none"/>
              </w:rPr>
              <w:t>后</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评标委员会</w:t>
            </w:r>
            <w:r>
              <w:rPr>
                <w:rFonts w:hint="eastAsia" w:cs="仿宋"/>
                <w:color w:val="auto"/>
                <w:sz w:val="24"/>
                <w:szCs w:val="24"/>
                <w:highlight w:val="none"/>
                <w:lang w:val="en-US" w:eastAsia="zh-CN"/>
              </w:rPr>
              <w:t>若有</w:t>
            </w:r>
            <w:r>
              <w:rPr>
                <w:rFonts w:hint="eastAsia" w:ascii="仿宋" w:hAnsi="仿宋" w:eastAsia="仿宋" w:cs="仿宋"/>
                <w:color w:val="auto"/>
                <w:sz w:val="24"/>
                <w:szCs w:val="24"/>
                <w:highlight w:val="none"/>
              </w:rPr>
              <w:t>提问</w:t>
            </w:r>
            <w:r>
              <w:rPr>
                <w:rFonts w:hint="eastAsia" w:cs="仿宋"/>
                <w:color w:val="auto"/>
                <w:sz w:val="24"/>
                <w:szCs w:val="24"/>
                <w:highlight w:val="none"/>
                <w:lang w:val="en-US" w:eastAsia="zh-CN"/>
              </w:rPr>
              <w:t>的需做</w:t>
            </w:r>
            <w:r>
              <w:rPr>
                <w:rFonts w:hint="eastAsia" w:ascii="仿宋" w:hAnsi="仿宋" w:eastAsia="仿宋" w:cs="仿宋"/>
                <w:color w:val="auto"/>
                <w:sz w:val="24"/>
                <w:szCs w:val="24"/>
                <w:highlight w:val="none"/>
              </w:rPr>
              <w:t>解答。</w:t>
            </w:r>
          </w:p>
          <w:p>
            <w:pPr>
              <w:spacing w:after="0" w:line="24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时间：开标当天</w:t>
            </w:r>
            <w:r>
              <w:rPr>
                <w:rFonts w:hint="eastAsia" w:cs="仿宋"/>
                <w:color w:val="auto"/>
                <w:sz w:val="24"/>
                <w:szCs w:val="24"/>
                <w:highlight w:val="none"/>
                <w:lang w:val="en-US" w:eastAsia="zh-CN"/>
              </w:rPr>
              <w:t>08</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rPr>
              <w:t>至</w:t>
            </w:r>
            <w:r>
              <w:rPr>
                <w:rFonts w:hint="eastAsia" w:cs="仿宋"/>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lang w:val="en-US" w:eastAsia="zh-CN"/>
              </w:rPr>
              <w:t>截止时间同提交投标文件截止时间（开标时间）</w:t>
            </w:r>
            <w:r>
              <w:rPr>
                <w:rFonts w:hint="eastAsia" w:cs="仿宋"/>
                <w:color w:val="auto"/>
                <w:sz w:val="24"/>
                <w:szCs w:val="24"/>
                <w:highlight w:val="none"/>
                <w:lang w:val="en-US" w:eastAsia="zh-CN"/>
              </w:rPr>
              <w:t>，逾期签到视为放弃演示。</w:t>
            </w:r>
          </w:p>
          <w:p>
            <w:pPr>
              <w:spacing w:after="0" w:line="240" w:lineRule="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3、签到地点：杭州市公共资源交易中心萧山分中心404会议室[杭州市萧山区博学路618号科创中心B幢行政服务中心4楼]。</w:t>
            </w:r>
          </w:p>
          <w:p>
            <w:pPr>
              <w:spacing w:after="0"/>
              <w:rPr>
                <w:rFonts w:hint="default"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cs="仿宋"/>
                <w:color w:val="auto"/>
                <w:sz w:val="24"/>
                <w:szCs w:val="24"/>
                <w:highlight w:val="none"/>
                <w:lang w:val="en-US" w:eastAsia="zh-CN"/>
              </w:rPr>
              <w:t>演示次序：本项目按标项一、标项二、标项三的顺序进行评审，各标项</w:t>
            </w:r>
            <w:r>
              <w:rPr>
                <w:rFonts w:hint="eastAsia" w:ascii="仿宋" w:hAnsi="仿宋" w:eastAsia="仿宋" w:cs="仿宋"/>
                <w:color w:val="auto"/>
                <w:sz w:val="24"/>
                <w:szCs w:val="24"/>
                <w:highlight w:val="none"/>
              </w:rPr>
              <w:t>次序以投标文件解密时间先后次序为准，</w:t>
            </w:r>
            <w:r>
              <w:rPr>
                <w:rFonts w:hint="eastAsia" w:cs="仿宋"/>
                <w:color w:val="auto"/>
                <w:sz w:val="24"/>
                <w:szCs w:val="24"/>
                <w:highlight w:val="none"/>
                <w:lang w:val="en-US" w:eastAsia="zh-CN"/>
              </w:rPr>
              <w:t>采购代理机构工作人员在404会议室现场通知投标人演示人员，并在工作人员的带领下进入指定地点。若通知后5分钟内未到达404会议室的，视为放弃演示</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5、演示所需</w:t>
            </w:r>
            <w:r>
              <w:rPr>
                <w:rFonts w:hint="eastAsia" w:ascii="仿宋" w:hAnsi="仿宋" w:eastAsia="仿宋" w:cs="仿宋"/>
                <w:color w:val="auto"/>
                <w:sz w:val="24"/>
                <w:szCs w:val="24"/>
                <w:highlight w:val="none"/>
                <w:lang w:val="en-US" w:eastAsia="zh-CN"/>
              </w:rPr>
              <w:t>设备</w:t>
            </w:r>
            <w:r>
              <w:rPr>
                <w:rFonts w:hint="eastAsia" w:cs="仿宋"/>
                <w:color w:val="auto"/>
                <w:sz w:val="24"/>
                <w:szCs w:val="24"/>
                <w:highlight w:val="none"/>
                <w:lang w:val="en-US" w:eastAsia="zh-CN"/>
              </w:rPr>
              <w:t>等由投标人自备</w:t>
            </w:r>
            <w:r>
              <w:rPr>
                <w:rFonts w:hint="eastAsia" w:ascii="仿宋" w:hAnsi="仿宋" w:eastAsia="仿宋" w:cs="仿宋"/>
                <w:color w:val="auto"/>
                <w:sz w:val="24"/>
                <w:szCs w:val="24"/>
                <w:highlight w:val="none"/>
                <w:lang w:val="en-US" w:eastAsia="zh-CN"/>
              </w:rPr>
              <w:t>。</w:t>
            </w:r>
          </w:p>
          <w:p>
            <w:pPr>
              <w:spacing w:after="0"/>
              <w:rPr>
                <w:rFonts w:hint="eastAsia" w:cs="仿宋"/>
                <w:color w:val="auto"/>
                <w:sz w:val="24"/>
                <w:szCs w:val="24"/>
                <w:highlight w:val="none"/>
                <w:lang w:val="en-US" w:eastAsia="zh-CN"/>
              </w:rPr>
            </w:pPr>
            <w:r>
              <w:rPr>
                <w:rFonts w:hint="eastAsia" w:cs="仿宋"/>
                <w:color w:val="auto"/>
                <w:sz w:val="24"/>
                <w:szCs w:val="24"/>
                <w:highlight w:val="none"/>
                <w:lang w:val="en-US" w:eastAsia="zh-CN"/>
              </w:rPr>
              <w:t>6、请投标人做好疫情防控，进场时戴好口罩，出示健康码及行程码。</w:t>
            </w:r>
          </w:p>
          <w:p>
            <w:pPr>
              <w:spacing w:after="0"/>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法定代表人或授权代表准备好健康码及行程码。近期去往过风险区域的经办人自行回避!同时行程码带有其他地区*号的授权代表，请提供72小时核酸检测阴性证明，有健康管理要求或其他防疫要求的，从其要求。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vMerge w:val="continue"/>
            <w:vAlign w:val="center"/>
          </w:tcPr>
          <w:p>
            <w:pPr>
              <w:spacing w:after="0"/>
              <w:jc w:val="center"/>
              <w:rPr>
                <w:rFonts w:hint="eastAsia" w:ascii="仿宋" w:hAnsi="仿宋" w:eastAsia="仿宋" w:cs="仿宋"/>
                <w:b w:val="0"/>
                <w:bCs w:val="0"/>
                <w:color w:val="auto"/>
                <w:sz w:val="24"/>
                <w:szCs w:val="24"/>
                <w:highlight w:val="none"/>
              </w:rPr>
            </w:pPr>
          </w:p>
        </w:tc>
        <w:tc>
          <w:tcPr>
            <w:tcW w:w="870" w:type="pct"/>
            <w:vMerge w:val="continue"/>
            <w:vAlign w:val="center"/>
          </w:tcPr>
          <w:p>
            <w:pPr>
              <w:spacing w:after="0"/>
              <w:jc w:val="center"/>
              <w:rPr>
                <w:rFonts w:hint="eastAsia" w:cs="仿宋"/>
                <w:b/>
                <w:color w:val="auto"/>
                <w:sz w:val="24"/>
                <w:szCs w:val="24"/>
                <w:highlight w:val="none"/>
                <w:lang w:val="en-US" w:eastAsia="zh-CN"/>
              </w:rPr>
            </w:pPr>
          </w:p>
        </w:tc>
        <w:tc>
          <w:tcPr>
            <w:tcW w:w="3821" w:type="pct"/>
            <w:vAlign w:val="center"/>
          </w:tcPr>
          <w:p>
            <w:pPr>
              <w:spacing w:after="0"/>
              <w:rPr>
                <w:rFonts w:hint="eastAsia" w:cs="仿宋"/>
                <w:b/>
                <w:color w:val="auto"/>
                <w:sz w:val="24"/>
                <w:szCs w:val="24"/>
                <w:highlight w:val="none"/>
                <w:lang w:val="en-US" w:eastAsia="zh-CN"/>
              </w:rPr>
            </w:pPr>
            <w:r>
              <w:rPr>
                <w:rFonts w:hint="eastAsia" w:cs="仿宋"/>
                <w:b/>
                <w:color w:val="auto"/>
                <w:sz w:val="24"/>
                <w:szCs w:val="24"/>
                <w:highlight w:val="none"/>
                <w:lang w:val="en-US" w:eastAsia="zh-CN"/>
              </w:rPr>
              <w:t>封装电子秤样品提供、演示和入户垃圾桶样品提供：</w:t>
            </w:r>
          </w:p>
          <w:p>
            <w:pPr>
              <w:spacing w:after="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A不要求。</w:t>
            </w:r>
          </w:p>
          <w:p>
            <w:pPr>
              <w:spacing w:after="0" w:line="240" w:lineRule="auto"/>
              <w:rPr>
                <w:rFonts w:hint="eastAsia" w:cs="仿宋"/>
                <w:bCs/>
                <w:color w:val="auto"/>
                <w:sz w:val="24"/>
                <w:szCs w:val="24"/>
                <w:highlight w:val="none"/>
                <w:lang w:eastAsia="zh-CN"/>
              </w:rPr>
            </w:pP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B要求</w:t>
            </w:r>
            <w:r>
              <w:rPr>
                <w:rFonts w:hint="eastAsia" w:cs="仿宋"/>
                <w:bCs/>
                <w:color w:val="auto"/>
                <w:sz w:val="24"/>
                <w:szCs w:val="24"/>
                <w:highlight w:val="none"/>
                <w:lang w:eastAsia="zh-CN"/>
              </w:rPr>
              <w:t>：</w:t>
            </w:r>
          </w:p>
          <w:p>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样品</w:t>
            </w:r>
            <w:r>
              <w:rPr>
                <w:rFonts w:hint="eastAsia" w:cs="仿宋"/>
                <w:color w:val="auto"/>
                <w:sz w:val="24"/>
                <w:szCs w:val="24"/>
                <w:highlight w:val="none"/>
                <w:lang w:val="en-US" w:eastAsia="zh-CN"/>
              </w:rPr>
              <w:t>提供：标项一：</w:t>
            </w:r>
            <w:r>
              <w:rPr>
                <w:rFonts w:hint="eastAsia" w:ascii="仿宋" w:hAnsi="仿宋" w:eastAsia="仿宋" w:cs="仿宋"/>
                <w:color w:val="auto"/>
                <w:sz w:val="24"/>
                <w:szCs w:val="24"/>
                <w:highlight w:val="none"/>
                <w:lang w:val="en-US" w:eastAsia="zh-CN"/>
              </w:rPr>
              <w:t>封装电子秤</w:t>
            </w:r>
            <w:r>
              <w:rPr>
                <w:rFonts w:hint="eastAsia" w:cs="仿宋"/>
                <w:color w:val="auto"/>
                <w:sz w:val="24"/>
                <w:szCs w:val="24"/>
                <w:highlight w:val="none"/>
                <w:lang w:val="en-US" w:eastAsia="zh-CN"/>
              </w:rPr>
              <w:t>1个、</w:t>
            </w:r>
            <w:r>
              <w:rPr>
                <w:rFonts w:hint="eastAsia" w:ascii="仿宋" w:hAnsi="仿宋" w:eastAsia="仿宋" w:cs="仿宋"/>
                <w:color w:val="auto"/>
                <w:sz w:val="24"/>
                <w:szCs w:val="24"/>
                <w:highlight w:val="none"/>
                <w:lang w:val="en-US" w:eastAsia="zh-CN"/>
              </w:rPr>
              <w:t>入户垃圾桶</w:t>
            </w:r>
            <w:r>
              <w:rPr>
                <w:rFonts w:hint="eastAsia" w:cs="仿宋"/>
                <w:color w:val="auto"/>
                <w:sz w:val="24"/>
                <w:szCs w:val="24"/>
                <w:highlight w:val="none"/>
                <w:lang w:val="en-US" w:eastAsia="zh-CN"/>
              </w:rPr>
              <w:t>1个；标项二：</w:t>
            </w:r>
            <w:r>
              <w:rPr>
                <w:rFonts w:hint="eastAsia" w:ascii="仿宋" w:hAnsi="仿宋" w:eastAsia="仿宋" w:cs="仿宋"/>
                <w:color w:val="auto"/>
                <w:sz w:val="24"/>
                <w:szCs w:val="24"/>
                <w:highlight w:val="none"/>
                <w:lang w:val="en-US" w:eastAsia="zh-CN"/>
              </w:rPr>
              <w:t>封装电子秤</w:t>
            </w:r>
            <w:r>
              <w:rPr>
                <w:rFonts w:hint="eastAsia" w:cs="仿宋"/>
                <w:color w:val="auto"/>
                <w:sz w:val="24"/>
                <w:szCs w:val="24"/>
                <w:highlight w:val="none"/>
                <w:lang w:val="en-US" w:eastAsia="zh-CN"/>
              </w:rPr>
              <w:t>1个、</w:t>
            </w:r>
            <w:r>
              <w:rPr>
                <w:rFonts w:hint="eastAsia" w:ascii="仿宋" w:hAnsi="仿宋" w:eastAsia="仿宋" w:cs="仿宋"/>
                <w:color w:val="auto"/>
                <w:sz w:val="24"/>
                <w:szCs w:val="24"/>
                <w:highlight w:val="none"/>
                <w:lang w:val="en-US" w:eastAsia="zh-CN"/>
              </w:rPr>
              <w:t>入户垃圾桶</w:t>
            </w:r>
            <w:r>
              <w:rPr>
                <w:rFonts w:hint="eastAsia" w:cs="仿宋"/>
                <w:color w:val="auto"/>
                <w:sz w:val="24"/>
                <w:szCs w:val="24"/>
                <w:highlight w:val="none"/>
                <w:lang w:val="en-US" w:eastAsia="zh-CN"/>
              </w:rPr>
              <w:t>1个；标项三：</w:t>
            </w:r>
            <w:r>
              <w:rPr>
                <w:rFonts w:hint="eastAsia" w:ascii="仿宋" w:hAnsi="仿宋" w:eastAsia="仿宋" w:cs="仿宋"/>
                <w:color w:val="auto"/>
                <w:sz w:val="24"/>
                <w:szCs w:val="24"/>
                <w:highlight w:val="none"/>
                <w:lang w:val="en-US" w:eastAsia="zh-CN"/>
              </w:rPr>
              <w:t>封装电子秤</w:t>
            </w:r>
            <w:r>
              <w:rPr>
                <w:rFonts w:hint="eastAsia" w:cs="仿宋"/>
                <w:color w:val="auto"/>
                <w:sz w:val="24"/>
                <w:szCs w:val="24"/>
                <w:highlight w:val="none"/>
                <w:lang w:val="en-US" w:eastAsia="zh-CN"/>
              </w:rPr>
              <w:t>1个、</w:t>
            </w:r>
            <w:r>
              <w:rPr>
                <w:rFonts w:hint="eastAsia" w:ascii="仿宋" w:hAnsi="仿宋" w:eastAsia="仿宋" w:cs="仿宋"/>
                <w:color w:val="auto"/>
                <w:sz w:val="24"/>
                <w:szCs w:val="24"/>
                <w:highlight w:val="none"/>
                <w:lang w:val="en-US" w:eastAsia="zh-CN"/>
              </w:rPr>
              <w:t>入户垃圾桶</w:t>
            </w:r>
            <w:r>
              <w:rPr>
                <w:rFonts w:hint="eastAsia" w:cs="仿宋"/>
                <w:color w:val="auto"/>
                <w:sz w:val="24"/>
                <w:szCs w:val="24"/>
                <w:highlight w:val="none"/>
                <w:lang w:val="en-US" w:eastAsia="zh-CN"/>
              </w:rPr>
              <w:t>1个。（标注投标人名称、标项序号）</w:t>
            </w:r>
          </w:p>
          <w:p>
            <w:pPr>
              <w:spacing w:after="0" w:line="240" w:lineRule="auto"/>
              <w:rPr>
                <w:rFonts w:hint="eastAsia"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样品演示</w:t>
            </w:r>
            <w:r>
              <w:rPr>
                <w:rFonts w:hint="eastAsia" w:ascii="仿宋" w:hAnsi="仿宋" w:eastAsia="仿宋" w:cs="仿宋"/>
                <w:color w:val="auto"/>
                <w:sz w:val="24"/>
                <w:szCs w:val="24"/>
                <w:highlight w:val="none"/>
              </w:rPr>
              <w:t>：在评标时安排投标人</w:t>
            </w:r>
            <w:r>
              <w:rPr>
                <w:rFonts w:hint="eastAsia" w:ascii="仿宋" w:hAnsi="仿宋" w:eastAsia="仿宋" w:cs="仿宋"/>
                <w:color w:val="auto"/>
                <w:sz w:val="24"/>
                <w:szCs w:val="24"/>
                <w:highlight w:val="none"/>
                <w:lang w:val="en-US" w:eastAsia="zh-CN"/>
              </w:rPr>
              <w:t>人员</w:t>
            </w:r>
            <w:r>
              <w:rPr>
                <w:rFonts w:hint="eastAsia" w:cs="仿宋"/>
                <w:color w:val="auto"/>
                <w:sz w:val="24"/>
                <w:szCs w:val="24"/>
                <w:highlight w:val="none"/>
                <w:lang w:val="en-US" w:eastAsia="zh-CN"/>
              </w:rPr>
              <w:t>对封装电子秤</w:t>
            </w:r>
            <w:r>
              <w:rPr>
                <w:rFonts w:hint="eastAsia" w:ascii="仿宋" w:hAnsi="仿宋" w:eastAsia="仿宋" w:cs="仿宋"/>
                <w:color w:val="auto"/>
                <w:sz w:val="24"/>
                <w:szCs w:val="24"/>
                <w:highlight w:val="none"/>
              </w:rPr>
              <w:t>演示，演示时间不超过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分钟</w:t>
            </w:r>
            <w:r>
              <w:rPr>
                <w:rFonts w:hint="eastAsia" w:cs="仿宋"/>
                <w:color w:val="auto"/>
                <w:sz w:val="24"/>
                <w:szCs w:val="24"/>
                <w:highlight w:val="none"/>
                <w:lang w:eastAsia="zh-CN"/>
              </w:rPr>
              <w:t>。</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样品提供、演示</w:t>
            </w:r>
            <w:r>
              <w:rPr>
                <w:rFonts w:hint="eastAsia" w:ascii="仿宋" w:hAnsi="仿宋" w:eastAsia="仿宋" w:cs="仿宋"/>
                <w:color w:val="auto"/>
                <w:sz w:val="24"/>
                <w:szCs w:val="24"/>
                <w:highlight w:val="none"/>
              </w:rPr>
              <w:t>人员不超过2人</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人员</w:t>
            </w:r>
            <w:r>
              <w:rPr>
                <w:rFonts w:hint="eastAsia" w:cs="仿宋"/>
                <w:color w:val="auto"/>
                <w:sz w:val="24"/>
                <w:szCs w:val="24"/>
                <w:highlight w:val="none"/>
                <w:lang w:val="en-US" w:eastAsia="zh-CN"/>
              </w:rPr>
              <w:t>如为</w:t>
            </w:r>
            <w:r>
              <w:rPr>
                <w:rFonts w:hint="eastAsia" w:ascii="仿宋" w:hAnsi="仿宋" w:eastAsia="仿宋" w:cs="仿宋"/>
                <w:color w:val="auto"/>
                <w:sz w:val="24"/>
                <w:szCs w:val="24"/>
                <w:highlight w:val="none"/>
              </w:rPr>
              <w:t>法定代表人</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须提供身份证原件、营业执照复印件；人员如为授权代表签到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w:t>
            </w:r>
            <w:r>
              <w:rPr>
                <w:rFonts w:hint="eastAsia" w:ascii="仿宋" w:hAnsi="仿宋" w:eastAsia="仿宋" w:cs="仿宋"/>
                <w:color w:val="auto"/>
                <w:sz w:val="24"/>
                <w:szCs w:val="24"/>
                <w:highlight w:val="none"/>
              </w:rPr>
              <w:t>身份证</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样品提供、演示</w:t>
            </w:r>
            <w:r>
              <w:rPr>
                <w:rFonts w:hint="eastAsia" w:ascii="仿宋" w:hAnsi="仿宋" w:eastAsia="仿宋" w:cs="仿宋"/>
                <w:color w:val="auto"/>
                <w:sz w:val="24"/>
                <w:szCs w:val="24"/>
                <w:highlight w:val="none"/>
              </w:rPr>
              <w:t>授权委托书</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（详见招标文件格式范例附件</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），否则</w:t>
            </w:r>
            <w:r>
              <w:rPr>
                <w:rFonts w:hint="eastAsia" w:cs="仿宋"/>
                <w:color w:val="auto"/>
                <w:sz w:val="24"/>
                <w:szCs w:val="24"/>
                <w:highlight w:val="none"/>
                <w:lang w:val="en-US" w:eastAsia="zh-CN"/>
              </w:rPr>
              <w:t>不予签到</w:t>
            </w:r>
            <w:r>
              <w:rPr>
                <w:rFonts w:hint="eastAsia" w:cs="仿宋"/>
                <w:color w:val="auto"/>
                <w:sz w:val="24"/>
                <w:szCs w:val="24"/>
                <w:highlight w:val="none"/>
                <w:lang w:eastAsia="zh-CN"/>
              </w:rPr>
              <w:t>，</w:t>
            </w:r>
            <w:r>
              <w:rPr>
                <w:rFonts w:hint="eastAsia" w:cs="仿宋"/>
                <w:color w:val="auto"/>
                <w:sz w:val="24"/>
                <w:szCs w:val="24"/>
                <w:highlight w:val="none"/>
                <w:lang w:val="en-US" w:eastAsia="zh-CN"/>
              </w:rPr>
              <w:t>视为放弃样品提供、演示</w:t>
            </w:r>
            <w:r>
              <w:rPr>
                <w:rFonts w:hint="eastAsia" w:ascii="仿宋" w:hAnsi="仿宋" w:eastAsia="仿宋" w:cs="仿宋"/>
                <w:color w:val="auto"/>
                <w:sz w:val="24"/>
                <w:szCs w:val="24"/>
                <w:highlight w:val="none"/>
              </w:rPr>
              <w:t>。演示</w:t>
            </w:r>
            <w:r>
              <w:rPr>
                <w:rFonts w:hint="eastAsia" w:cs="仿宋"/>
                <w:color w:val="auto"/>
                <w:sz w:val="24"/>
                <w:szCs w:val="24"/>
                <w:highlight w:val="none"/>
                <w:lang w:val="en-US" w:eastAsia="zh-CN"/>
              </w:rPr>
              <w:t>结束</w:t>
            </w:r>
            <w:r>
              <w:rPr>
                <w:rFonts w:hint="eastAsia" w:ascii="仿宋" w:hAnsi="仿宋" w:eastAsia="仿宋" w:cs="仿宋"/>
                <w:color w:val="auto"/>
                <w:sz w:val="24"/>
                <w:szCs w:val="24"/>
                <w:highlight w:val="none"/>
              </w:rPr>
              <w:t>后</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评标委员会</w:t>
            </w:r>
            <w:r>
              <w:rPr>
                <w:rFonts w:hint="eastAsia" w:cs="仿宋"/>
                <w:color w:val="auto"/>
                <w:sz w:val="24"/>
                <w:szCs w:val="24"/>
                <w:highlight w:val="none"/>
                <w:lang w:val="en-US" w:eastAsia="zh-CN"/>
              </w:rPr>
              <w:t>若有</w:t>
            </w:r>
            <w:r>
              <w:rPr>
                <w:rFonts w:hint="eastAsia" w:ascii="仿宋" w:hAnsi="仿宋" w:eastAsia="仿宋" w:cs="仿宋"/>
                <w:color w:val="auto"/>
                <w:sz w:val="24"/>
                <w:szCs w:val="24"/>
                <w:highlight w:val="none"/>
              </w:rPr>
              <w:t>提问</w:t>
            </w:r>
            <w:r>
              <w:rPr>
                <w:rFonts w:hint="eastAsia" w:cs="仿宋"/>
                <w:color w:val="auto"/>
                <w:sz w:val="24"/>
                <w:szCs w:val="24"/>
                <w:highlight w:val="none"/>
                <w:lang w:val="en-US" w:eastAsia="zh-CN"/>
              </w:rPr>
              <w:t>的需做</w:t>
            </w:r>
            <w:r>
              <w:rPr>
                <w:rFonts w:hint="eastAsia" w:ascii="仿宋" w:hAnsi="仿宋" w:eastAsia="仿宋" w:cs="仿宋"/>
                <w:color w:val="auto"/>
                <w:sz w:val="24"/>
                <w:szCs w:val="24"/>
                <w:highlight w:val="none"/>
              </w:rPr>
              <w:t>解答。</w:t>
            </w:r>
          </w:p>
          <w:p>
            <w:pPr>
              <w:spacing w:after="0" w:line="240" w:lineRule="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时间：开标当天</w:t>
            </w:r>
            <w:r>
              <w:rPr>
                <w:rFonts w:hint="eastAsia" w:cs="仿宋"/>
                <w:color w:val="auto"/>
                <w:sz w:val="24"/>
                <w:szCs w:val="24"/>
                <w:highlight w:val="none"/>
                <w:lang w:val="en-US" w:eastAsia="zh-CN"/>
              </w:rPr>
              <w:t>08</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rPr>
              <w:t>至</w:t>
            </w:r>
            <w:r>
              <w:rPr>
                <w:rFonts w:hint="eastAsia" w:cs="仿宋"/>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各标项样品在签到前递交，</w:t>
            </w:r>
            <w:r>
              <w:rPr>
                <w:rFonts w:hint="eastAsia" w:ascii="仿宋" w:hAnsi="仿宋" w:eastAsia="仿宋" w:cs="仿宋"/>
                <w:color w:val="auto"/>
                <w:sz w:val="24"/>
                <w:szCs w:val="24"/>
                <w:highlight w:val="none"/>
              </w:rPr>
              <w:t>否则</w:t>
            </w:r>
            <w:r>
              <w:rPr>
                <w:rFonts w:hint="eastAsia" w:cs="仿宋"/>
                <w:color w:val="auto"/>
                <w:sz w:val="24"/>
                <w:szCs w:val="24"/>
                <w:highlight w:val="none"/>
                <w:lang w:val="en-US" w:eastAsia="zh-CN"/>
              </w:rPr>
              <w:t>不予签到</w:t>
            </w:r>
            <w:r>
              <w:rPr>
                <w:rFonts w:hint="eastAsia" w:cs="仿宋"/>
                <w:color w:val="auto"/>
                <w:sz w:val="24"/>
                <w:szCs w:val="24"/>
                <w:highlight w:val="none"/>
                <w:lang w:eastAsia="zh-CN"/>
              </w:rPr>
              <w:t>，</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lang w:val="en-US" w:eastAsia="zh-CN"/>
              </w:rPr>
              <w:t>截止时间同提交投标文件截止时间（开标时间）</w:t>
            </w:r>
            <w:r>
              <w:rPr>
                <w:rFonts w:hint="eastAsia" w:cs="仿宋"/>
                <w:color w:val="auto"/>
                <w:sz w:val="24"/>
                <w:szCs w:val="24"/>
                <w:highlight w:val="none"/>
                <w:lang w:val="en-US" w:eastAsia="zh-CN"/>
              </w:rPr>
              <w:t>，逾期签到视为放弃样品提供、演示。</w:t>
            </w:r>
          </w:p>
          <w:p>
            <w:pPr>
              <w:spacing w:after="0" w:line="240" w:lineRule="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3、签到地点：</w:t>
            </w:r>
            <w:r>
              <w:rPr>
                <w:rFonts w:hint="eastAsia" w:ascii="仿宋" w:hAnsi="仿宋" w:eastAsia="仿宋" w:cs="仿宋"/>
                <w:color w:val="auto"/>
                <w:sz w:val="24"/>
                <w:szCs w:val="24"/>
                <w:highlight w:val="none"/>
              </w:rPr>
              <w:t>开标当天</w:t>
            </w:r>
            <w:r>
              <w:rPr>
                <w:rFonts w:hint="eastAsia" w:cs="仿宋"/>
                <w:color w:val="auto"/>
                <w:sz w:val="24"/>
                <w:szCs w:val="24"/>
                <w:highlight w:val="none"/>
                <w:lang w:val="en-US" w:eastAsia="zh-CN"/>
              </w:rPr>
              <w:t>08</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rPr>
              <w:t>至</w:t>
            </w:r>
            <w:r>
              <w:rPr>
                <w:rFonts w:hint="eastAsia" w:cs="仿宋"/>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30分前统一从行政服务中心地下负二层3#电梯进入到4楼，由工作人员引导安放至样品间并签到，后至杭州市公共资源交易中心萧山分中心404会议室[杭州市萧山区博学路618号科创中心B幢行政服务中心4楼]等候。</w:t>
            </w:r>
          </w:p>
          <w:p>
            <w:pPr>
              <w:spacing w:after="0"/>
              <w:rPr>
                <w:rFonts w:hint="default"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次序：本项目按标项一、标项二、标项三的顺序进行评审，各标项</w:t>
            </w:r>
            <w:r>
              <w:rPr>
                <w:rFonts w:hint="eastAsia" w:ascii="仿宋" w:hAnsi="仿宋" w:eastAsia="仿宋" w:cs="仿宋"/>
                <w:color w:val="auto"/>
                <w:sz w:val="24"/>
                <w:szCs w:val="24"/>
                <w:highlight w:val="none"/>
              </w:rPr>
              <w:t>次序以投标文件解密时间先后次序为准，</w:t>
            </w:r>
            <w:r>
              <w:rPr>
                <w:rFonts w:hint="eastAsia" w:cs="仿宋"/>
                <w:color w:val="auto"/>
                <w:sz w:val="24"/>
                <w:szCs w:val="24"/>
                <w:highlight w:val="none"/>
                <w:lang w:val="en-US" w:eastAsia="zh-CN"/>
              </w:rPr>
              <w:t>采购代理机构工作人员在404会议室现场通知投标人人员，并在工作人员的带领下进入指定地点。若通知后5分钟内未到达404会议室的，视为放弃样品提供、演示</w:t>
            </w:r>
            <w:r>
              <w:rPr>
                <w:rFonts w:hint="eastAsia" w:ascii="仿宋" w:hAnsi="仿宋" w:eastAsia="仿宋" w:cs="仿宋"/>
                <w:color w:val="auto"/>
                <w:sz w:val="24"/>
                <w:szCs w:val="24"/>
                <w:highlight w:val="none"/>
              </w:rPr>
              <w:t>。</w:t>
            </w:r>
          </w:p>
          <w:p>
            <w:pPr>
              <w:spacing w:after="0" w:line="240" w:lineRule="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5、演示所需其它</w:t>
            </w:r>
            <w:r>
              <w:rPr>
                <w:rFonts w:hint="eastAsia" w:ascii="仿宋" w:hAnsi="仿宋" w:eastAsia="仿宋" w:cs="仿宋"/>
                <w:color w:val="auto"/>
                <w:sz w:val="24"/>
                <w:szCs w:val="24"/>
                <w:highlight w:val="none"/>
                <w:lang w:val="en-US" w:eastAsia="zh-CN"/>
              </w:rPr>
              <w:t>设备</w:t>
            </w:r>
            <w:r>
              <w:rPr>
                <w:rFonts w:hint="eastAsia" w:cs="仿宋"/>
                <w:color w:val="auto"/>
                <w:sz w:val="24"/>
                <w:szCs w:val="24"/>
                <w:highlight w:val="none"/>
                <w:lang w:val="en-US" w:eastAsia="zh-CN"/>
              </w:rPr>
              <w:t>等由投标人自备</w:t>
            </w:r>
            <w:r>
              <w:rPr>
                <w:rFonts w:hint="eastAsia" w:ascii="仿宋" w:hAnsi="仿宋" w:eastAsia="仿宋" w:cs="仿宋"/>
                <w:color w:val="auto"/>
                <w:sz w:val="24"/>
                <w:szCs w:val="24"/>
                <w:highlight w:val="none"/>
                <w:lang w:val="en-US" w:eastAsia="zh-CN"/>
              </w:rPr>
              <w:t>。</w:t>
            </w:r>
          </w:p>
          <w:p>
            <w:pPr>
              <w:spacing w:after="0" w:line="240" w:lineRule="auto"/>
              <w:rPr>
                <w:rFonts w:hint="eastAsia" w:cs="仿宋"/>
                <w:color w:val="auto"/>
                <w:sz w:val="24"/>
                <w:szCs w:val="24"/>
                <w:highlight w:val="none"/>
                <w:lang w:val="en-US" w:eastAsia="zh-CN"/>
              </w:rPr>
            </w:pPr>
            <w:r>
              <w:rPr>
                <w:rFonts w:hint="eastAsia" w:cs="仿宋"/>
                <w:color w:val="auto"/>
                <w:sz w:val="24"/>
                <w:szCs w:val="24"/>
                <w:highlight w:val="none"/>
                <w:lang w:val="en-US" w:eastAsia="zh-CN"/>
              </w:rPr>
              <w:t>6、采购活动结束后，对于未中标人提供的样品，采购代理机构将通知未中标人在规定的时间内取回，逾期未取回的，采购人、采购代理机构不负保管义务；对于中标人提供的样品，采购人将进行保管、封存，并作为履约验收的参考。</w:t>
            </w:r>
          </w:p>
          <w:p>
            <w:pPr>
              <w:spacing w:after="0" w:line="240" w:lineRule="auto"/>
              <w:rPr>
                <w:rFonts w:hint="eastAsia" w:cs="仿宋"/>
                <w:color w:val="auto"/>
                <w:sz w:val="24"/>
                <w:szCs w:val="24"/>
                <w:highlight w:val="none"/>
                <w:lang w:val="en-US" w:eastAsia="zh-CN"/>
              </w:rPr>
            </w:pPr>
            <w:r>
              <w:rPr>
                <w:rFonts w:hint="eastAsia" w:cs="仿宋"/>
                <w:color w:val="auto"/>
                <w:sz w:val="24"/>
                <w:szCs w:val="24"/>
                <w:highlight w:val="none"/>
                <w:lang w:val="en-US" w:eastAsia="zh-CN"/>
              </w:rPr>
              <w:t>7、请投标人做好疫情防控，进场时戴好口罩，出示健康码及行程码。</w:t>
            </w:r>
          </w:p>
          <w:p>
            <w:pPr>
              <w:spacing w:after="0" w:line="240" w:lineRule="auto"/>
              <w:rPr>
                <w:rFonts w:hint="default" w:ascii="仿宋" w:hAnsi="仿宋" w:eastAsia="仿宋" w:cs="仿宋"/>
                <w:b/>
                <w:bCs/>
                <w:color w:val="auto"/>
                <w:sz w:val="24"/>
                <w:szCs w:val="24"/>
                <w:highlight w:val="none"/>
                <w:lang w:val="en-US" w:eastAsia="zh-CN"/>
              </w:rPr>
            </w:pPr>
            <w:r>
              <w:rPr>
                <w:rFonts w:hint="eastAsia" w:cs="仿宋"/>
                <w:color w:val="auto"/>
                <w:sz w:val="24"/>
                <w:szCs w:val="24"/>
                <w:highlight w:val="none"/>
                <w:lang w:val="en-US" w:eastAsia="zh-CN"/>
              </w:rPr>
              <w:t>法定代表人或授权代表准备好健康码及行程码。近期去往过风险区域的经办人自行回避!同时行程码带有其他地区*号的授权代表，请提供72小时核酸检测阴性证明，有健康管理要求或其他防疫要求的，从其要求。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p>
        </w:tc>
        <w:tc>
          <w:tcPr>
            <w:tcW w:w="870" w:type="pct"/>
            <w:vAlign w:val="center"/>
          </w:tcPr>
          <w:p>
            <w:pPr>
              <w:spacing w:after="0"/>
              <w:jc w:val="center"/>
              <w:rPr>
                <w:rFonts w:hint="eastAsia" w:ascii="仿宋" w:hAnsi="仿宋" w:eastAsia="仿宋" w:cs="仿宋"/>
                <w:color w:val="auto"/>
                <w:sz w:val="24"/>
                <w:szCs w:val="24"/>
                <w:highlight w:val="none"/>
                <w:lang w:eastAsia="zh-CN"/>
              </w:rPr>
            </w:pPr>
            <w:r>
              <w:rPr>
                <w:rFonts w:hint="eastAsia" w:cs="仿宋"/>
                <w:b/>
                <w:color w:val="auto"/>
                <w:sz w:val="24"/>
                <w:szCs w:val="24"/>
                <w:highlight w:val="none"/>
                <w:lang w:val="en-US" w:eastAsia="zh-CN"/>
              </w:rPr>
              <w:t>讲解</w:t>
            </w:r>
          </w:p>
        </w:tc>
        <w:tc>
          <w:tcPr>
            <w:tcW w:w="3821" w:type="pct"/>
            <w:vAlign w:val="center"/>
          </w:tcPr>
          <w:p>
            <w:pPr>
              <w:spacing w:after="0"/>
              <w:rPr>
                <w:rFonts w:hint="eastAsia" w:cs="仿宋"/>
                <w:b/>
                <w:color w:val="auto"/>
                <w:sz w:val="24"/>
                <w:szCs w:val="24"/>
                <w:highlight w:val="none"/>
                <w:lang w:val="en-US" w:eastAsia="zh-CN"/>
              </w:rPr>
            </w:pPr>
            <w:r>
              <w:rPr>
                <w:rFonts w:hint="eastAsia" w:cs="仿宋"/>
                <w:b/>
                <w:color w:val="auto"/>
                <w:sz w:val="24"/>
                <w:szCs w:val="24"/>
                <w:highlight w:val="none"/>
                <w:lang w:val="en-US" w:eastAsia="zh-CN"/>
              </w:rPr>
              <w:t>项目经理服务方案讲解：</w:t>
            </w:r>
          </w:p>
          <w:p>
            <w:pPr>
              <w:spacing w:after="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A不要求。</w:t>
            </w:r>
          </w:p>
          <w:p>
            <w:pPr>
              <w:spacing w:after="0" w:line="240" w:lineRule="auto"/>
              <w:rPr>
                <w:rFonts w:hint="eastAsia" w:cs="仿宋"/>
                <w:bCs/>
                <w:color w:val="auto"/>
                <w:sz w:val="24"/>
                <w:szCs w:val="24"/>
                <w:highlight w:val="none"/>
                <w:lang w:eastAsia="zh-CN"/>
              </w:rPr>
            </w:pP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B要求</w:t>
            </w:r>
            <w:r>
              <w:rPr>
                <w:rFonts w:hint="eastAsia" w:cs="仿宋"/>
                <w:bCs/>
                <w:color w:val="auto"/>
                <w:sz w:val="24"/>
                <w:szCs w:val="24"/>
                <w:highlight w:val="none"/>
                <w:lang w:eastAsia="zh-CN"/>
              </w:rPr>
              <w:t>：</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讲解</w:t>
            </w:r>
            <w:r>
              <w:rPr>
                <w:rFonts w:hint="eastAsia" w:cs="仿宋"/>
                <w:color w:val="auto"/>
                <w:sz w:val="24"/>
                <w:szCs w:val="24"/>
                <w:highlight w:val="none"/>
                <w:lang w:val="en-US" w:eastAsia="zh-CN"/>
              </w:rPr>
              <w:t>要求</w:t>
            </w:r>
            <w:r>
              <w:rPr>
                <w:rFonts w:hint="eastAsia" w:ascii="仿宋" w:hAnsi="仿宋" w:eastAsia="仿宋" w:cs="仿宋"/>
                <w:color w:val="auto"/>
                <w:sz w:val="24"/>
                <w:szCs w:val="24"/>
                <w:highlight w:val="none"/>
              </w:rPr>
              <w:t>：在评标时安排投标人</w:t>
            </w:r>
            <w:r>
              <w:rPr>
                <w:rFonts w:hint="eastAsia" w:ascii="仿宋" w:hAnsi="仿宋" w:eastAsia="仿宋" w:cs="仿宋"/>
                <w:color w:val="auto"/>
                <w:sz w:val="24"/>
                <w:szCs w:val="24"/>
                <w:highlight w:val="none"/>
                <w:lang w:val="en-US" w:eastAsia="zh-CN"/>
              </w:rPr>
              <w:t>项目经理服务方案讲解</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讲解</w:t>
            </w:r>
            <w:r>
              <w:rPr>
                <w:rFonts w:hint="eastAsia" w:ascii="仿宋" w:hAnsi="仿宋" w:eastAsia="仿宋" w:cs="仿宋"/>
                <w:color w:val="auto"/>
                <w:sz w:val="24"/>
                <w:szCs w:val="24"/>
                <w:highlight w:val="none"/>
              </w:rPr>
              <w:t>时间不超过</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分钟。</w:t>
            </w:r>
            <w:r>
              <w:rPr>
                <w:rFonts w:hint="eastAsia" w:cs="仿宋"/>
                <w:color w:val="auto"/>
                <w:sz w:val="24"/>
                <w:szCs w:val="24"/>
                <w:highlight w:val="none"/>
                <w:lang w:val="en-US" w:eastAsia="zh-CN"/>
              </w:rPr>
              <w:t>讲解人员如为</w:t>
            </w:r>
            <w:r>
              <w:rPr>
                <w:rFonts w:hint="eastAsia" w:ascii="仿宋" w:hAnsi="仿宋" w:eastAsia="仿宋" w:cs="仿宋"/>
                <w:color w:val="auto"/>
                <w:sz w:val="24"/>
                <w:szCs w:val="24"/>
                <w:highlight w:val="none"/>
              </w:rPr>
              <w:t>法定代表人</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须提供身份证原件、营业执照复印件；讲解人员如为授权代表签到</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须提供</w:t>
            </w:r>
            <w:r>
              <w:rPr>
                <w:rFonts w:hint="eastAsia" w:ascii="仿宋" w:hAnsi="仿宋" w:eastAsia="仿宋" w:cs="仿宋"/>
                <w:color w:val="auto"/>
                <w:sz w:val="24"/>
                <w:szCs w:val="24"/>
                <w:highlight w:val="none"/>
              </w:rPr>
              <w:t>身份证</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项目经理服务方案讲解</w:t>
            </w:r>
            <w:r>
              <w:rPr>
                <w:rFonts w:hint="eastAsia" w:ascii="仿宋" w:hAnsi="仿宋" w:eastAsia="仿宋" w:cs="仿宋"/>
                <w:color w:val="auto"/>
                <w:sz w:val="24"/>
                <w:szCs w:val="24"/>
                <w:highlight w:val="none"/>
              </w:rPr>
              <w:t>授权委托书</w:t>
            </w:r>
            <w:r>
              <w:rPr>
                <w:rFonts w:hint="eastAsia" w:cs="仿宋"/>
                <w:color w:val="auto"/>
                <w:sz w:val="24"/>
                <w:szCs w:val="24"/>
                <w:highlight w:val="none"/>
                <w:lang w:val="en-US" w:eastAsia="zh-CN"/>
              </w:rPr>
              <w:t>原件</w:t>
            </w:r>
            <w:r>
              <w:rPr>
                <w:rFonts w:hint="eastAsia" w:ascii="仿宋" w:hAnsi="仿宋" w:eastAsia="仿宋" w:cs="仿宋"/>
                <w:color w:val="auto"/>
                <w:sz w:val="24"/>
                <w:szCs w:val="24"/>
                <w:highlight w:val="none"/>
              </w:rPr>
              <w:t>（详见招标文件格式范例附件</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），否则</w:t>
            </w:r>
            <w:r>
              <w:rPr>
                <w:rFonts w:hint="eastAsia" w:cs="仿宋"/>
                <w:color w:val="auto"/>
                <w:sz w:val="24"/>
                <w:szCs w:val="24"/>
                <w:highlight w:val="none"/>
                <w:lang w:val="en-US" w:eastAsia="zh-CN"/>
              </w:rPr>
              <w:t>不予签到</w:t>
            </w:r>
            <w:r>
              <w:rPr>
                <w:rFonts w:hint="eastAsia" w:cs="仿宋"/>
                <w:color w:val="auto"/>
                <w:sz w:val="24"/>
                <w:szCs w:val="24"/>
                <w:highlight w:val="none"/>
                <w:lang w:eastAsia="zh-CN"/>
              </w:rPr>
              <w:t>，</w:t>
            </w:r>
            <w:r>
              <w:rPr>
                <w:rFonts w:hint="eastAsia" w:cs="仿宋"/>
                <w:color w:val="auto"/>
                <w:sz w:val="24"/>
                <w:szCs w:val="24"/>
                <w:highlight w:val="none"/>
                <w:lang w:val="en-US" w:eastAsia="zh-CN"/>
              </w:rPr>
              <w:t>视为放弃讲解</w:t>
            </w:r>
            <w:r>
              <w:rPr>
                <w:rFonts w:hint="eastAsia" w:ascii="仿宋" w:hAnsi="仿宋" w:eastAsia="仿宋" w:cs="仿宋"/>
                <w:color w:val="auto"/>
                <w:sz w:val="24"/>
                <w:szCs w:val="24"/>
                <w:highlight w:val="none"/>
              </w:rPr>
              <w:t>。</w:t>
            </w:r>
          </w:p>
          <w:p>
            <w:pPr>
              <w:spacing w:after="0" w:line="24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rPr>
              <w:t>时间：开标当天</w:t>
            </w:r>
            <w:r>
              <w:rPr>
                <w:rFonts w:hint="eastAsia" w:cs="仿宋"/>
                <w:color w:val="auto"/>
                <w:sz w:val="24"/>
                <w:szCs w:val="24"/>
                <w:highlight w:val="none"/>
                <w:lang w:val="en-US" w:eastAsia="zh-CN"/>
              </w:rPr>
              <w:t>08</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rPr>
              <w:t>至</w:t>
            </w:r>
            <w:r>
              <w:rPr>
                <w:rFonts w:hint="eastAsia" w:cs="仿宋"/>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签到</w:t>
            </w:r>
            <w:r>
              <w:rPr>
                <w:rFonts w:hint="eastAsia" w:ascii="仿宋" w:hAnsi="仿宋" w:eastAsia="仿宋" w:cs="仿宋"/>
                <w:color w:val="auto"/>
                <w:sz w:val="24"/>
                <w:szCs w:val="24"/>
                <w:highlight w:val="none"/>
                <w:lang w:val="en-US" w:eastAsia="zh-CN"/>
              </w:rPr>
              <w:t>截止时间同提交投标文件截止时间（开标时间）</w:t>
            </w:r>
            <w:r>
              <w:rPr>
                <w:rFonts w:hint="eastAsia" w:cs="仿宋"/>
                <w:color w:val="auto"/>
                <w:sz w:val="24"/>
                <w:szCs w:val="24"/>
                <w:highlight w:val="none"/>
                <w:lang w:val="en-US" w:eastAsia="zh-CN"/>
              </w:rPr>
              <w:t>，逾期签到视为放弃讲解。</w:t>
            </w:r>
          </w:p>
          <w:p>
            <w:pPr>
              <w:spacing w:after="0" w:line="240" w:lineRule="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3、签到地点：杭州市公共资源交易中心萧山分中心404会议室[杭州市萧山区博学路618号科创中心B幢行政服务中心4楼]。</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cs="仿宋"/>
                <w:color w:val="auto"/>
                <w:sz w:val="24"/>
                <w:szCs w:val="24"/>
                <w:highlight w:val="none"/>
                <w:lang w:val="en-US" w:eastAsia="zh-CN"/>
              </w:rPr>
              <w:t>讲解次序：本项目按标项一、标项二、标项三的顺序进行评审，各标项</w:t>
            </w:r>
            <w:r>
              <w:rPr>
                <w:rFonts w:hint="eastAsia" w:ascii="仿宋" w:hAnsi="仿宋" w:eastAsia="仿宋" w:cs="仿宋"/>
                <w:color w:val="auto"/>
                <w:sz w:val="24"/>
                <w:szCs w:val="24"/>
                <w:highlight w:val="none"/>
              </w:rPr>
              <w:t>次序以投标文件解密时间先后次序为准</w:t>
            </w:r>
            <w:r>
              <w:rPr>
                <w:rFonts w:hint="eastAsia" w:cs="仿宋"/>
                <w:color w:val="auto"/>
                <w:sz w:val="24"/>
                <w:szCs w:val="24"/>
                <w:highlight w:val="none"/>
                <w:lang w:eastAsia="zh-CN"/>
              </w:rPr>
              <w:t>。</w:t>
            </w:r>
            <w:r>
              <w:rPr>
                <w:rFonts w:hint="eastAsia" w:cs="仿宋"/>
                <w:color w:val="auto"/>
                <w:sz w:val="24"/>
                <w:szCs w:val="24"/>
                <w:highlight w:val="none"/>
                <w:lang w:val="en-US" w:eastAsia="zh-CN"/>
              </w:rPr>
              <w:t>采购代理机构工作人员在404会议室现场通知投标人讲解人员，并在工作人员的带领下进入指定地点。若通知后5分钟内未到达404会议室的，视为放弃讲解</w:t>
            </w:r>
            <w:r>
              <w:rPr>
                <w:rFonts w:hint="eastAsia" w:ascii="仿宋" w:hAnsi="仿宋" w:eastAsia="仿宋" w:cs="仿宋"/>
                <w:color w:val="auto"/>
                <w:sz w:val="24"/>
                <w:szCs w:val="24"/>
                <w:highlight w:val="none"/>
              </w:rPr>
              <w:t>。</w:t>
            </w:r>
          </w:p>
          <w:p>
            <w:pPr>
              <w:spacing w:after="0"/>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5、讲解所需</w:t>
            </w:r>
            <w:r>
              <w:rPr>
                <w:rFonts w:hint="eastAsia" w:ascii="仿宋" w:hAnsi="仿宋" w:eastAsia="仿宋" w:cs="仿宋"/>
                <w:color w:val="auto"/>
                <w:sz w:val="24"/>
                <w:szCs w:val="24"/>
                <w:highlight w:val="none"/>
                <w:lang w:val="en-US" w:eastAsia="zh-CN"/>
              </w:rPr>
              <w:t>设备</w:t>
            </w:r>
            <w:r>
              <w:rPr>
                <w:rFonts w:hint="eastAsia" w:cs="仿宋"/>
                <w:color w:val="auto"/>
                <w:sz w:val="24"/>
                <w:szCs w:val="24"/>
                <w:highlight w:val="none"/>
                <w:lang w:val="en-US" w:eastAsia="zh-CN"/>
              </w:rPr>
              <w:t>等由投标人自备</w:t>
            </w:r>
            <w:r>
              <w:rPr>
                <w:rFonts w:hint="eastAsia" w:ascii="仿宋" w:hAnsi="仿宋" w:eastAsia="仿宋" w:cs="仿宋"/>
                <w:color w:val="auto"/>
                <w:sz w:val="24"/>
                <w:szCs w:val="24"/>
                <w:highlight w:val="none"/>
                <w:lang w:val="en-US" w:eastAsia="zh-CN"/>
              </w:rPr>
              <w:t>。</w:t>
            </w:r>
          </w:p>
          <w:p>
            <w:pPr>
              <w:spacing w:after="0"/>
              <w:rPr>
                <w:rFonts w:hint="eastAsia" w:cs="仿宋"/>
                <w:color w:val="auto"/>
                <w:sz w:val="24"/>
                <w:szCs w:val="24"/>
                <w:highlight w:val="none"/>
                <w:lang w:val="en-US" w:eastAsia="zh-CN"/>
              </w:rPr>
            </w:pPr>
            <w:r>
              <w:rPr>
                <w:rFonts w:hint="eastAsia" w:cs="仿宋"/>
                <w:color w:val="auto"/>
                <w:sz w:val="24"/>
                <w:szCs w:val="24"/>
                <w:highlight w:val="none"/>
                <w:lang w:val="en-US" w:eastAsia="zh-CN"/>
              </w:rPr>
              <w:t>6、请投标人做好疫情防控，进场时戴好口罩，出示健康码及行程码。</w:t>
            </w:r>
          </w:p>
          <w:p>
            <w:pPr>
              <w:spacing w:after="0"/>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法定代表人或授权代表准备好健康码及行程码。近期去往过风险区域的经办人自行回避!同时行程码带有其他地区*号的授权代表，请提供72小时核酸检测阴性证明，有健康管理要求或其他防疫要求的，从其要求。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3821"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投标人未提供有效的资格证明文件的，视为投标人不具备招标文件中规定的资格要求，投标无效。</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3821" w:type="pct"/>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报价要求</w:t>
            </w:r>
          </w:p>
        </w:tc>
        <w:tc>
          <w:tcPr>
            <w:tcW w:w="3821" w:type="pct"/>
            <w:vAlign w:val="center"/>
          </w:tcPr>
          <w:p>
            <w:pPr>
              <w:spacing w:after="0"/>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有关本项目实施所需的所有费用（含税费）均计入报价。</w:t>
            </w:r>
            <w:r>
              <w:rPr>
                <w:rFonts w:hint="eastAsia" w:ascii="仿宋" w:hAnsi="仿宋" w:eastAsia="仿宋" w:cs="仿宋"/>
                <w:bCs/>
                <w:color w:val="auto"/>
                <w:sz w:val="24"/>
                <w:szCs w:val="24"/>
                <w:highlight w:val="none"/>
              </w:rPr>
              <w:t>开标一览表（报价表）是报价的唯一载体</w:t>
            </w:r>
            <w:r>
              <w:rPr>
                <w:rFonts w:hint="eastAsia" w:ascii="仿宋" w:hAnsi="仿宋" w:eastAsia="仿宋" w:cs="仿宋"/>
                <w:bCs/>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after="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投标报价出现下列情形的，投标无效：</w:t>
            </w:r>
          </w:p>
          <w:p>
            <w:pPr>
              <w:spacing w:after="0"/>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投标文件出现不是唯一的、有选择性投标报价的；</w:t>
            </w:r>
          </w:p>
          <w:p>
            <w:pPr>
              <w:spacing w:after="0"/>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投标报价超过招标文件中规定的预算金额或者最高限价的;</w:t>
            </w:r>
          </w:p>
          <w:p>
            <w:pPr>
              <w:spacing w:after="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after="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投标人对根据修正原则修正后的报价不确认的。</w:t>
            </w:r>
          </w:p>
          <w:p>
            <w:pPr>
              <w:spacing w:after="0"/>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中小企业信用融资</w:t>
            </w:r>
          </w:p>
        </w:tc>
        <w:tc>
          <w:tcPr>
            <w:tcW w:w="3821" w:type="pct"/>
            <w:vAlign w:val="center"/>
          </w:tcPr>
          <w:p>
            <w:pPr>
              <w:snapToGrid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snapToGrid/>
                <w:color w:val="auto"/>
                <w:sz w:val="24"/>
                <w:szCs w:val="24"/>
                <w:highlight w:val="none"/>
              </w:rPr>
              <w:t>http://www.xiaoshan.gov.cn/art/2018/12/20/art_1229293109_1559514.html</w:t>
            </w:r>
            <w:r>
              <w:rPr>
                <w:rStyle w:val="30"/>
                <w:rFonts w:hint="eastAsia" w:ascii="仿宋" w:hAnsi="仿宋" w:eastAsia="仿宋" w:cs="仿宋"/>
                <w:snapToGrid/>
                <w:color w:val="auto"/>
                <w:sz w:val="24"/>
                <w:szCs w:val="24"/>
                <w:highlight w:val="none"/>
              </w:rPr>
              <w:fldChar w:fldCharType="end"/>
            </w:r>
          </w:p>
          <w:p>
            <w:pPr>
              <w:spacing w:after="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备份投标文件</w:t>
            </w:r>
          </w:p>
        </w:tc>
        <w:tc>
          <w:tcPr>
            <w:tcW w:w="3821" w:type="pct"/>
            <w:vAlign w:val="center"/>
          </w:tcPr>
          <w:p>
            <w:pPr>
              <w:pStyle w:val="17"/>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pPr>
              <w:pStyle w:val="17"/>
              <w:ind w:left="880" w:hanging="960" w:hangingChars="400"/>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28"/>
                <w:sz w:val="24"/>
                <w:szCs w:val="24"/>
                <w:highlight w:val="none"/>
              </w:rPr>
              <w:t>；</w:t>
            </w:r>
          </w:p>
          <w:p>
            <w:pPr>
              <w:pStyle w:val="17"/>
              <w:ind w:left="880" w:hanging="960" w:hangingChars="40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08" w:type="pct"/>
            <w:vAlign w:val="center"/>
          </w:tcPr>
          <w:p>
            <w:pPr>
              <w:snapToGrid w:val="0"/>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w:t>
            </w:r>
          </w:p>
        </w:tc>
        <w:tc>
          <w:tcPr>
            <w:tcW w:w="870" w:type="pct"/>
            <w:vAlign w:val="center"/>
          </w:tcPr>
          <w:p>
            <w:pPr>
              <w:snapToGrid w:val="0"/>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采购机构代理费用</w:t>
            </w:r>
          </w:p>
        </w:tc>
        <w:tc>
          <w:tcPr>
            <w:tcW w:w="3821" w:type="pct"/>
            <w:vAlign w:val="center"/>
          </w:tcPr>
          <w:p>
            <w:pPr>
              <w:snapToGrid w:val="0"/>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本项目采购代理费由采购人支付。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履约保证金</w:t>
            </w:r>
          </w:p>
        </w:tc>
        <w:tc>
          <w:tcPr>
            <w:tcW w:w="3821" w:type="pct"/>
            <w:vAlign w:val="center"/>
          </w:tcPr>
          <w:p>
            <w:pPr>
              <w:snapToGrid w:val="0"/>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履约保证金：收取</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%，合同签订后支付，履约完成后无息退还。</w:t>
            </w:r>
          </w:p>
          <w:p>
            <w:pPr>
              <w:snapToGrid w:val="0"/>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资格审查和信用信息审查</w:t>
            </w:r>
          </w:p>
        </w:tc>
        <w:tc>
          <w:tcPr>
            <w:tcW w:w="3821" w:type="pct"/>
            <w:vAlign w:val="center"/>
          </w:tcPr>
          <w:p>
            <w:pPr>
              <w:snapToGrid w:val="0"/>
              <w:spacing w:after="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16</w:t>
            </w:r>
          </w:p>
        </w:tc>
        <w:tc>
          <w:tcPr>
            <w:tcW w:w="870" w:type="pct"/>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质疑接收人及答复</w:t>
            </w:r>
          </w:p>
        </w:tc>
        <w:tc>
          <w:tcPr>
            <w:tcW w:w="3821" w:type="pct"/>
            <w:vAlign w:val="center"/>
          </w:tcPr>
          <w:p>
            <w:pPr>
              <w:snapToGrid w:val="0"/>
              <w:spacing w:after="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w:t>
            </w:r>
          </w:p>
        </w:tc>
        <w:tc>
          <w:tcPr>
            <w:tcW w:w="870" w:type="pct"/>
            <w:vAlign w:val="center"/>
          </w:tcPr>
          <w:p>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3821" w:type="pct"/>
            <w:vAlign w:val="center"/>
          </w:tcPr>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严格执行预算限价，项目如涉及办公用房装修、通用办公设备家具的不得超限额标准。</w:t>
            </w:r>
          </w:p>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08" w:type="pct"/>
            <w:vAlign w:val="center"/>
          </w:tcPr>
          <w:p>
            <w:pPr>
              <w:spacing w:after="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w:t>
            </w:r>
          </w:p>
        </w:tc>
        <w:tc>
          <w:tcPr>
            <w:tcW w:w="870" w:type="pct"/>
            <w:vAlign w:val="center"/>
          </w:tcPr>
          <w:p>
            <w:pPr>
              <w:spacing w:after="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其他</w:t>
            </w:r>
          </w:p>
        </w:tc>
        <w:tc>
          <w:tcPr>
            <w:tcW w:w="3821" w:type="pct"/>
            <w:vAlign w:val="center"/>
          </w:tcPr>
          <w:p>
            <w:pPr>
              <w:spacing w:after="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副（加盖公章）。</w:t>
            </w:r>
          </w:p>
        </w:tc>
      </w:tr>
    </w:tbl>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一、总则</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 适用范围</w:t>
      </w:r>
    </w:p>
    <w:p>
      <w:pPr>
        <w:rPr>
          <w:rFonts w:hint="eastAsia" w:ascii="仿宋" w:hAnsi="仿宋" w:eastAsia="仿宋" w:cs="仿宋"/>
          <w:color w:val="auto"/>
          <w:highlight w:val="none"/>
        </w:rPr>
      </w:pPr>
      <w:r>
        <w:rPr>
          <w:rFonts w:hint="eastAsia" w:ascii="仿宋" w:hAnsi="仿宋" w:eastAsia="仿宋" w:cs="仿宋"/>
          <w:color w:val="auto"/>
          <w:highlight w:val="none"/>
        </w:rPr>
        <w:t>本招标文件适用于该项目的招标、投标、开标、资格审查及信用信息查询、评标、定标、合同、验收等行为（法律、法规另有规定的，从其规定）。</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2.定义</w:t>
      </w:r>
    </w:p>
    <w:p>
      <w:pPr>
        <w:rPr>
          <w:rFonts w:hint="eastAsia" w:ascii="仿宋" w:hAnsi="仿宋" w:eastAsia="仿宋" w:cs="仿宋"/>
          <w:color w:val="auto"/>
          <w:highlight w:val="none"/>
        </w:rPr>
      </w:pPr>
      <w:r>
        <w:rPr>
          <w:rFonts w:hint="eastAsia" w:ascii="仿宋" w:hAnsi="仿宋" w:eastAsia="仿宋" w:cs="仿宋"/>
          <w:color w:val="auto"/>
          <w:highlight w:val="none"/>
        </w:rPr>
        <w:t>2.1 “采购人”系指招标公告中载明的本项目的采购人。</w:t>
      </w:r>
    </w:p>
    <w:p>
      <w:pPr>
        <w:rPr>
          <w:rFonts w:hint="eastAsia" w:ascii="仿宋" w:hAnsi="仿宋" w:eastAsia="仿宋" w:cs="仿宋"/>
          <w:color w:val="auto"/>
          <w:highlight w:val="none"/>
        </w:rPr>
      </w:pPr>
      <w:r>
        <w:rPr>
          <w:rFonts w:hint="eastAsia" w:ascii="仿宋" w:hAnsi="仿宋" w:eastAsia="仿宋" w:cs="仿宋"/>
          <w:color w:val="auto"/>
          <w:highlight w:val="none"/>
        </w:rPr>
        <w:t>2.2 “采购机构”系指招标公告中载明的本项目的采购机构。</w:t>
      </w:r>
    </w:p>
    <w:p>
      <w:pPr>
        <w:rPr>
          <w:rFonts w:hint="eastAsia" w:ascii="仿宋" w:hAnsi="仿宋" w:eastAsia="仿宋" w:cs="仿宋"/>
          <w:color w:val="auto"/>
          <w:highlight w:val="none"/>
        </w:rPr>
      </w:pPr>
      <w:r>
        <w:rPr>
          <w:rFonts w:hint="eastAsia" w:ascii="仿宋" w:hAnsi="仿宋" w:eastAsia="仿宋" w:cs="仿宋"/>
          <w:color w:val="auto"/>
          <w:highlight w:val="none"/>
        </w:rPr>
        <w:t>2.3 “投标人”系指是指响应招标、参加投标竞争的法人、其他组织或者自然人。</w:t>
      </w:r>
    </w:p>
    <w:p>
      <w:pPr>
        <w:rPr>
          <w:rFonts w:hint="eastAsia" w:ascii="仿宋" w:hAnsi="仿宋" w:eastAsia="仿宋" w:cs="仿宋"/>
          <w:color w:val="auto"/>
          <w:highlight w:val="none"/>
        </w:rPr>
      </w:pPr>
      <w:r>
        <w:rPr>
          <w:rFonts w:hint="eastAsia" w:ascii="仿宋" w:hAnsi="仿宋" w:eastAsia="仿宋" w:cs="仿宋"/>
          <w:color w:val="auto"/>
          <w:highlight w:val="none"/>
        </w:rPr>
        <w:t>2.4 “负责人”系指法人企业的法定负责人，或其他组织为法律、行政法规规定代表单位行使职权的主要负责人，或自然人本人。</w:t>
      </w:r>
    </w:p>
    <w:p>
      <w:pPr>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2.6“电子交易平台”是指本项目政府采购活动所依托的政府采购云平台（https://www.zcygov.cn/）。</w:t>
      </w:r>
    </w:p>
    <w:p>
      <w:pPr>
        <w:rPr>
          <w:rFonts w:hint="eastAsia" w:ascii="仿宋" w:hAnsi="仿宋" w:eastAsia="仿宋" w:cs="仿宋"/>
          <w:color w:val="auto"/>
          <w:highlight w:val="none"/>
        </w:rPr>
      </w:pPr>
      <w:r>
        <w:rPr>
          <w:rFonts w:hint="eastAsia" w:ascii="仿宋" w:hAnsi="仿宋" w:eastAsia="仿宋" w:cs="仿宋"/>
          <w:color w:val="auto"/>
          <w:highlight w:val="none"/>
        </w:rPr>
        <w:t>2.7 “▲” 系指实质性要求条款，“（√）” 系指适用本项目的要求，“（  ）”系指不适用本项目的要求。</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3. 采购项目需要落实的政府采购政策</w:t>
      </w:r>
    </w:p>
    <w:p>
      <w:pPr>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pPr>
        <w:rPr>
          <w:rFonts w:hint="eastAsia"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pPr>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3.3.2.1在货物采购项目中，货物由中小企业制造，即货物由中小企业生产且使用该中小企业商号或者注册商标；</w:t>
      </w:r>
    </w:p>
    <w:p>
      <w:pPr>
        <w:rPr>
          <w:rFonts w:hint="eastAsia" w:ascii="仿宋" w:hAnsi="仿宋" w:eastAsia="仿宋" w:cs="仿宋"/>
          <w:color w:val="auto"/>
          <w:highlight w:val="none"/>
        </w:rPr>
      </w:pPr>
      <w:r>
        <w:rPr>
          <w:rFonts w:hint="eastAsia" w:ascii="仿宋" w:hAnsi="仿宋" w:eastAsia="仿宋" w:cs="仿宋"/>
          <w:color w:val="auto"/>
          <w:highlight w:val="none"/>
        </w:rPr>
        <w:t>3.3.2.2在工程采购项目中，工程由中小企业承建，即工程施工单位为中小企业；</w:t>
      </w:r>
    </w:p>
    <w:p>
      <w:pPr>
        <w:rPr>
          <w:rFonts w:hint="eastAsia" w:ascii="仿宋" w:hAnsi="仿宋" w:eastAsia="仿宋" w:cs="仿宋"/>
          <w:color w:val="auto"/>
          <w:highlight w:val="none"/>
        </w:rPr>
      </w:pPr>
      <w:r>
        <w:rPr>
          <w:rFonts w:hint="eastAsia" w:ascii="仿宋" w:hAnsi="仿宋" w:eastAsia="仿宋" w:cs="仿宋"/>
          <w:color w:val="auto"/>
          <w:highlight w:val="none"/>
        </w:rPr>
        <w:t>3.3.2.3在服务采购项目中，服务由中小企业承接，即提供服务的人员为中小企业依照《中华人民共和国劳动合同法》订立劳动合同的从业人员。</w:t>
      </w:r>
    </w:p>
    <w:p>
      <w:pPr>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在货物采购项目中，投标人提供的货物既有中小企业制造货物，也有大型企业制造货物的，不享受中小企业扶持政策。</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pPr>
        <w:rPr>
          <w:rFonts w:hint="eastAsia"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rPr>
          <w:rFonts w:hint="eastAsia"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4. 询问、质疑、投诉</w:t>
      </w:r>
    </w:p>
    <w:p>
      <w:pPr>
        <w:rPr>
          <w:rFonts w:hint="eastAsia" w:ascii="仿宋" w:hAnsi="仿宋" w:eastAsia="仿宋" w:cs="仿宋"/>
          <w:color w:val="auto"/>
          <w:highlight w:val="none"/>
        </w:rPr>
      </w:pPr>
      <w:r>
        <w:rPr>
          <w:rFonts w:hint="eastAsia" w:ascii="仿宋" w:hAnsi="仿宋" w:eastAsia="仿宋" w:cs="仿宋"/>
          <w:color w:val="auto"/>
          <w:highlight w:val="none"/>
        </w:rPr>
        <w:t>4.1供应商询问</w:t>
      </w:r>
    </w:p>
    <w:p>
      <w:pPr>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仿宋" w:hAnsi="仿宋" w:eastAsia="仿宋" w:cs="仿宋"/>
          <w:color w:val="auto"/>
          <w:highlight w:val="none"/>
        </w:rPr>
      </w:pPr>
      <w:r>
        <w:rPr>
          <w:rFonts w:hint="eastAsia" w:ascii="仿宋" w:hAnsi="仿宋" w:eastAsia="仿宋" w:cs="仿宋"/>
          <w:color w:val="auto"/>
          <w:highlight w:val="none"/>
        </w:rPr>
        <w:t>4.2供应商质疑</w:t>
      </w:r>
    </w:p>
    <w:p>
      <w:pPr>
        <w:rPr>
          <w:rFonts w:hint="eastAsia" w:ascii="仿宋" w:hAnsi="仿宋" w:eastAsia="仿宋" w:cs="仿宋"/>
          <w:color w:val="auto"/>
          <w:highlight w:val="none"/>
        </w:rPr>
      </w:pPr>
      <w:r>
        <w:rPr>
          <w:rFonts w:hint="eastAsia" w:ascii="仿宋" w:hAnsi="仿宋" w:eastAsia="仿宋" w:cs="仿宋"/>
          <w:color w:val="auto"/>
          <w:highlight w:val="none"/>
        </w:rPr>
        <w:t>4.2.1提出质疑的供应商应当是参与所质疑项目采购活动的供应商。潜在供应商已依法获取其可质疑的招标文件的，可以对该文件提出质疑。</w:t>
      </w:r>
    </w:p>
    <w:p>
      <w:pPr>
        <w:rPr>
          <w:rFonts w:hint="eastAsia" w:ascii="仿宋" w:hAnsi="仿宋" w:eastAsia="仿宋" w:cs="仿宋"/>
          <w:color w:val="auto"/>
          <w:highlight w:val="none"/>
        </w:rPr>
      </w:pPr>
      <w:r>
        <w:rPr>
          <w:rFonts w:hint="eastAsia" w:ascii="仿宋" w:hAnsi="仿宋" w:eastAsia="仿宋" w:cs="仿宋"/>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仿宋" w:hAnsi="仿宋" w:eastAsia="仿宋" w:cs="仿宋"/>
          <w:color w:val="auto"/>
          <w:highlight w:val="none"/>
        </w:rPr>
      </w:pPr>
      <w:r>
        <w:rPr>
          <w:rFonts w:hint="eastAsia" w:ascii="仿宋" w:hAnsi="仿宋" w:eastAsia="仿宋" w:cs="仿宋"/>
          <w:color w:val="auto"/>
          <w:highlight w:val="none"/>
        </w:rPr>
        <w:t>4.2.2.1对招标文件提出质疑的，质疑期限为供应商获得招标文件之日或者招标文件公告期限届满之日起计算。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pPr>
        <w:rPr>
          <w:rFonts w:hint="eastAsia"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pPr>
        <w:rPr>
          <w:rFonts w:hint="eastAsia" w:ascii="仿宋" w:hAnsi="仿宋" w:eastAsia="仿宋" w:cs="仿宋"/>
          <w:color w:val="auto"/>
          <w:highlight w:val="none"/>
        </w:rPr>
      </w:pPr>
      <w:r>
        <w:rPr>
          <w:rFonts w:hint="eastAsia" w:ascii="仿宋" w:hAnsi="仿宋" w:eastAsia="仿宋" w:cs="仿宋"/>
          <w:color w:val="auto"/>
          <w:highlight w:val="none"/>
        </w:rPr>
        <w:t>4.2.3供应商提出质疑应当提交质疑函和必要的证明材料。质疑函应当包括下列内容：</w:t>
      </w:r>
    </w:p>
    <w:p>
      <w:pPr>
        <w:rPr>
          <w:rFonts w:hint="eastAsia" w:ascii="仿宋" w:hAnsi="仿宋" w:eastAsia="仿宋" w:cs="仿宋"/>
          <w:color w:val="auto"/>
          <w:highlight w:val="none"/>
        </w:rPr>
      </w:pPr>
      <w:r>
        <w:rPr>
          <w:rFonts w:hint="eastAsia" w:ascii="仿宋" w:hAnsi="仿宋" w:eastAsia="仿宋" w:cs="仿宋"/>
          <w:color w:val="auto"/>
          <w:highlight w:val="none"/>
        </w:rPr>
        <w:t>　　4.2.3.1供应商的姓名或者名称、地址、邮编、联系人及联系电话；</w:t>
      </w:r>
    </w:p>
    <w:p>
      <w:pPr>
        <w:rPr>
          <w:rFonts w:hint="eastAsia" w:ascii="仿宋" w:hAnsi="仿宋" w:eastAsia="仿宋" w:cs="仿宋"/>
          <w:color w:val="auto"/>
          <w:highlight w:val="none"/>
        </w:rPr>
      </w:pPr>
      <w:r>
        <w:rPr>
          <w:rFonts w:hint="eastAsia" w:ascii="仿宋" w:hAnsi="仿宋" w:eastAsia="仿宋" w:cs="仿宋"/>
          <w:color w:val="auto"/>
          <w:highlight w:val="none"/>
        </w:rPr>
        <w:t>　　4.2.3.2质疑项目的名称、编号；</w:t>
      </w:r>
    </w:p>
    <w:p>
      <w:pPr>
        <w:rPr>
          <w:rFonts w:hint="eastAsia" w:ascii="仿宋" w:hAnsi="仿宋" w:eastAsia="仿宋" w:cs="仿宋"/>
          <w:color w:val="auto"/>
          <w:highlight w:val="none"/>
        </w:rPr>
      </w:pPr>
      <w:r>
        <w:rPr>
          <w:rFonts w:hint="eastAsia" w:ascii="仿宋" w:hAnsi="仿宋" w:eastAsia="仿宋" w:cs="仿宋"/>
          <w:color w:val="auto"/>
          <w:highlight w:val="none"/>
        </w:rPr>
        <w:t>　　4.2.3.3具体、明确的质疑事项和与质疑事项相关的请求；</w:t>
      </w:r>
    </w:p>
    <w:p>
      <w:pPr>
        <w:rPr>
          <w:rFonts w:hint="eastAsia" w:ascii="仿宋" w:hAnsi="仿宋" w:eastAsia="仿宋" w:cs="仿宋"/>
          <w:color w:val="auto"/>
          <w:highlight w:val="none"/>
        </w:rPr>
      </w:pPr>
      <w:r>
        <w:rPr>
          <w:rFonts w:hint="eastAsia" w:ascii="仿宋" w:hAnsi="仿宋" w:eastAsia="仿宋" w:cs="仿宋"/>
          <w:color w:val="auto"/>
          <w:highlight w:val="none"/>
        </w:rPr>
        <w:t>　　4.2.3.4事实依据；</w:t>
      </w:r>
    </w:p>
    <w:p>
      <w:pPr>
        <w:rPr>
          <w:rFonts w:hint="eastAsia" w:ascii="仿宋" w:hAnsi="仿宋" w:eastAsia="仿宋" w:cs="仿宋"/>
          <w:color w:val="auto"/>
          <w:highlight w:val="none"/>
        </w:rPr>
      </w:pPr>
      <w:r>
        <w:rPr>
          <w:rFonts w:hint="eastAsia" w:ascii="仿宋" w:hAnsi="仿宋" w:eastAsia="仿宋" w:cs="仿宋"/>
          <w:color w:val="auto"/>
          <w:highlight w:val="none"/>
        </w:rPr>
        <w:t>　　4.2.3.5必要的法律依据；</w:t>
      </w:r>
    </w:p>
    <w:p>
      <w:pPr>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pPr>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rPr>
          <w:rFonts w:hint="eastAsia" w:ascii="仿宋" w:hAnsi="仿宋" w:eastAsia="仿宋" w:cs="仿宋"/>
          <w:color w:val="auto"/>
          <w:highlight w:val="none"/>
        </w:rPr>
      </w:pPr>
      <w:r>
        <w:rPr>
          <w:rFonts w:hint="eastAsia" w:ascii="仿宋" w:hAnsi="仿宋" w:eastAsia="仿宋" w:cs="仿宋"/>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pPr>
        <w:rPr>
          <w:rFonts w:hint="eastAsia" w:ascii="仿宋" w:hAnsi="仿宋" w:eastAsia="仿宋" w:cs="仿宋"/>
          <w:color w:val="auto"/>
          <w:highlight w:val="none"/>
        </w:rPr>
      </w:pPr>
      <w:r>
        <w:rPr>
          <w:rFonts w:hint="eastAsia" w:ascii="仿宋" w:hAnsi="仿宋" w:eastAsia="仿宋" w:cs="仿宋"/>
          <w:color w:val="auto"/>
          <w:highlight w:val="none"/>
        </w:rPr>
        <w:t>4.3供应商投诉</w:t>
      </w:r>
    </w:p>
    <w:p>
      <w:pPr>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pPr>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rPr>
          <w:rFonts w:hint="eastAsia" w:ascii="仿宋" w:hAnsi="仿宋" w:eastAsia="仿宋" w:cs="仿宋"/>
          <w:color w:val="auto"/>
          <w:highlight w:val="none"/>
        </w:rPr>
      </w:pPr>
      <w:r>
        <w:rPr>
          <w:rFonts w:hint="eastAsia" w:ascii="仿宋" w:hAnsi="仿宋" w:eastAsia="仿宋" w:cs="仿宋"/>
          <w:color w:val="auto"/>
          <w:highlight w:val="none"/>
        </w:rPr>
        <w:t>4.3.4 以联合体形式参加政府采购活动的，其投诉应当由组成联合体的所有供应商共同提出。</w:t>
      </w:r>
    </w:p>
    <w:p>
      <w:pPr>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二、招标文件的构成、澄清、修改</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5．招标文件的构成</w:t>
      </w:r>
    </w:p>
    <w:p>
      <w:pPr>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pPr>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5.2与本项目有关的澄清或者修改的内容为招标文件的组成部分。</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6. 招标文件的澄清、修改</w:t>
      </w:r>
    </w:p>
    <w:p>
      <w:pPr>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三、投标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7. 招标文件的获取</w:t>
      </w:r>
    </w:p>
    <w:p>
      <w:pPr>
        <w:rPr>
          <w:rFonts w:hint="eastAsia" w:ascii="仿宋" w:hAnsi="仿宋" w:eastAsia="仿宋" w:cs="仿宋"/>
          <w:color w:val="auto"/>
          <w:highlight w:val="none"/>
        </w:rPr>
      </w:pPr>
      <w:r>
        <w:rPr>
          <w:rFonts w:hint="eastAsia" w:ascii="仿宋" w:hAnsi="仿宋" w:eastAsia="仿宋" w:cs="仿宋"/>
          <w:color w:val="auto"/>
          <w:highlight w:val="none"/>
        </w:rPr>
        <w:t>详见招标公告中获取招标文件的时间期限、地点、方式及招标文件售价。</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8.开标前答疑会或现场考察</w:t>
      </w:r>
    </w:p>
    <w:p>
      <w:pPr>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9.投标保证金</w:t>
      </w:r>
    </w:p>
    <w:p>
      <w:pPr>
        <w:rPr>
          <w:rFonts w:hint="eastAsia" w:ascii="仿宋" w:hAnsi="仿宋" w:eastAsia="仿宋" w:cs="仿宋"/>
          <w:color w:val="auto"/>
          <w:highlight w:val="none"/>
        </w:rPr>
      </w:pPr>
      <w:r>
        <w:rPr>
          <w:rFonts w:hint="eastAsia" w:ascii="仿宋" w:hAnsi="仿宋" w:eastAsia="仿宋" w:cs="仿宋"/>
          <w:color w:val="auto"/>
          <w:highlight w:val="none"/>
        </w:rPr>
        <w:t>本项目不需缴纳投标保证金。</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10. 投标文件的语言</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投标文件及投标人与采购有关的来往通知、函件和文件均应使用中文。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11. 投标文件的组成</w:t>
      </w:r>
    </w:p>
    <w:p>
      <w:pPr>
        <w:rPr>
          <w:rFonts w:hint="eastAsia" w:ascii="仿宋" w:hAnsi="仿宋" w:eastAsia="仿宋" w:cs="仿宋"/>
          <w:color w:val="auto"/>
          <w:highlight w:val="none"/>
        </w:rPr>
      </w:pPr>
      <w:r>
        <w:rPr>
          <w:rFonts w:hint="eastAsia" w:ascii="仿宋" w:hAnsi="仿宋" w:eastAsia="仿宋" w:cs="仿宋"/>
          <w:color w:val="auto"/>
          <w:highlight w:val="none"/>
        </w:rPr>
        <w:t>11.1资格文件：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pPr>
        <w:rPr>
          <w:rFonts w:hint="eastAsia" w:ascii="仿宋" w:hAnsi="仿宋" w:eastAsia="仿宋" w:cs="仿宋"/>
          <w:color w:val="auto"/>
          <w:highlight w:val="none"/>
        </w:rPr>
      </w:pPr>
      <w:r>
        <w:rPr>
          <w:rFonts w:hint="eastAsia" w:ascii="仿宋" w:hAnsi="仿宋" w:eastAsia="仿宋" w:cs="仿宋"/>
          <w:color w:val="auto"/>
          <w:highlight w:val="none"/>
        </w:rPr>
        <w:t>11.1.2落实政府采购政策需满足的资格要求；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pPr>
        <w:rPr>
          <w:rFonts w:hint="eastAsia" w:ascii="仿宋" w:hAnsi="仿宋" w:eastAsia="仿宋" w:cs="仿宋"/>
          <w:color w:val="auto"/>
          <w:highlight w:val="none"/>
        </w:rPr>
      </w:pPr>
      <w:r>
        <w:rPr>
          <w:rFonts w:hint="eastAsia" w:ascii="仿宋" w:hAnsi="仿宋" w:eastAsia="仿宋" w:cs="仿宋"/>
          <w:color w:val="auto"/>
          <w:highlight w:val="none"/>
        </w:rPr>
        <w:t>11.2 商务技术文件：</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11.2.1投标函； </w:t>
      </w:r>
    </w:p>
    <w:p>
      <w:pPr>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11.2.3联合协议；</w:t>
      </w:r>
    </w:p>
    <w:p>
      <w:pPr>
        <w:rPr>
          <w:rFonts w:hint="eastAsia" w:ascii="仿宋" w:hAnsi="仿宋" w:eastAsia="仿宋" w:cs="仿宋"/>
          <w:color w:val="auto"/>
          <w:highlight w:val="none"/>
        </w:rPr>
      </w:pPr>
      <w:r>
        <w:rPr>
          <w:rFonts w:hint="eastAsia" w:ascii="仿宋" w:hAnsi="仿宋" w:eastAsia="仿宋" w:cs="仿宋"/>
          <w:color w:val="auto"/>
          <w:highlight w:val="none"/>
        </w:rPr>
        <w:t>11.2.4分包意向协议；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11.2.5符合性审查资料；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11.2.6评标标准相应的商务技术资料；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11.2.7投标标的清单；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11.2.8商务技术偏离表；</w:t>
      </w:r>
    </w:p>
    <w:p>
      <w:pPr>
        <w:rPr>
          <w:rFonts w:hint="eastAsia" w:ascii="仿宋" w:hAnsi="仿宋" w:eastAsia="仿宋" w:cs="仿宋"/>
          <w:color w:val="auto"/>
          <w:highlight w:val="none"/>
        </w:rPr>
      </w:pPr>
      <w:r>
        <w:rPr>
          <w:rFonts w:hint="eastAsia" w:ascii="仿宋" w:hAnsi="仿宋" w:eastAsia="仿宋" w:cs="仿宋"/>
          <w:color w:val="auto"/>
          <w:highlight w:val="none"/>
        </w:rPr>
        <w:t>11.2.9政府采购供应商廉洁自律承诺书；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11.3报价文件： </w:t>
      </w:r>
    </w:p>
    <w:p>
      <w:pPr>
        <w:rPr>
          <w:rFonts w:hint="eastAsia" w:ascii="仿宋" w:hAnsi="仿宋" w:eastAsia="仿宋" w:cs="仿宋"/>
          <w:color w:val="auto"/>
          <w:highlight w:val="none"/>
        </w:rPr>
      </w:pPr>
      <w:r>
        <w:rPr>
          <w:rFonts w:hint="eastAsia" w:ascii="仿宋" w:hAnsi="仿宋" w:eastAsia="仿宋" w:cs="仿宋"/>
          <w:color w:val="auto"/>
          <w:highlight w:val="none"/>
        </w:rPr>
        <w:t>11.3.1开标一览表（报价表）；</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11.3.2</w:t>
      </w:r>
      <w:r>
        <w:rPr>
          <w:rFonts w:hint="eastAsia" w:ascii="仿宋" w:hAnsi="仿宋" w:eastAsia="仿宋" w:cs="仿宋"/>
          <w:color w:val="auto"/>
          <w:highlight w:val="none"/>
        </w:rPr>
        <w:t>最低实发工资</w:t>
      </w:r>
      <w:r>
        <w:rPr>
          <w:rFonts w:hint="eastAsia" w:ascii="仿宋" w:hAnsi="仿宋" w:eastAsia="仿宋" w:cs="仿宋"/>
          <w:color w:val="auto"/>
          <w:highlight w:val="none"/>
          <w:lang w:val="en-US" w:eastAsia="zh-CN"/>
        </w:rPr>
        <w:t>表；</w:t>
      </w:r>
    </w:p>
    <w:p>
      <w:pPr>
        <w:rPr>
          <w:rFonts w:hint="eastAsia" w:ascii="仿宋" w:hAnsi="仿宋" w:eastAsia="仿宋" w:cs="仿宋"/>
          <w:color w:val="auto"/>
          <w:highlight w:val="none"/>
        </w:rPr>
      </w:pPr>
      <w:r>
        <w:rPr>
          <w:rFonts w:hint="eastAsia" w:ascii="仿宋" w:hAnsi="仿宋" w:eastAsia="仿宋" w:cs="仿宋"/>
          <w:color w:val="auto"/>
          <w:highlight w:val="none"/>
        </w:rPr>
        <w:t>11.3.</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中小企业声明函。</w:t>
      </w:r>
    </w:p>
    <w:p>
      <w:pPr>
        <w:rPr>
          <w:rFonts w:hint="eastAsia" w:ascii="仿宋" w:hAnsi="仿宋" w:eastAsia="仿宋" w:cs="仿宋"/>
          <w:color w:val="auto"/>
          <w:highlight w:val="none"/>
        </w:rPr>
      </w:pPr>
      <w:r>
        <w:rPr>
          <w:rFonts w:hint="eastAsia" w:ascii="仿宋" w:hAnsi="仿宋" w:eastAsia="仿宋" w:cs="仿宋"/>
          <w:color w:val="auto"/>
          <w:highlight w:val="none"/>
        </w:rPr>
        <w:t>投标文件含有采购人不能接受的附加条件的，投标无效；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投标人提供虚假材料投标的，投标无效。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12. 投标文件的编制</w:t>
      </w:r>
    </w:p>
    <w:p>
      <w:pPr>
        <w:rPr>
          <w:rFonts w:hint="eastAsia"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13.投标文件的签署、盖章</w:t>
      </w:r>
    </w:p>
    <w:p>
      <w:pPr>
        <w:rPr>
          <w:rFonts w:hint="eastAsia"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rPr>
          <w:rFonts w:hint="eastAsia"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14. 投标文件的提交、补充、修改、撤回</w:t>
      </w:r>
    </w:p>
    <w:p>
      <w:pPr>
        <w:rPr>
          <w:rFonts w:hint="eastAsia"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仿宋" w:hAnsi="仿宋" w:eastAsia="仿宋" w:cs="仿宋"/>
          <w:color w:val="auto"/>
          <w:highlight w:val="none"/>
        </w:rPr>
      </w:pPr>
      <w:r>
        <w:rPr>
          <w:rFonts w:hint="eastAsia" w:ascii="仿宋" w:hAnsi="仿宋" w:eastAsia="仿宋" w:cs="仿宋"/>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15.备份投标文件</w:t>
      </w:r>
    </w:p>
    <w:p>
      <w:pPr>
        <w:pStyle w:val="4"/>
        <w:rPr>
          <w:rFonts w:hint="eastAsia" w:ascii="仿宋" w:hAnsi="仿宋" w:eastAsia="仿宋" w:cs="仿宋"/>
          <w:b w:val="0"/>
          <w:bCs/>
          <w:color w:val="auto"/>
          <w:highlight w:val="none"/>
        </w:rPr>
      </w:pPr>
      <w:r>
        <w:rPr>
          <w:rFonts w:hint="eastAsia" w:ascii="仿宋" w:hAnsi="仿宋" w:eastAsia="仿宋" w:cs="仿宋"/>
          <w:b w:val="0"/>
          <w:bCs/>
          <w:color w:val="auto"/>
          <w:kern w:val="28"/>
          <w:sz w:val="24"/>
          <w:szCs w:val="24"/>
          <w:highlight w:val="none"/>
        </w:rPr>
        <w:t>不收取。</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pPr>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rPr>
          <w:rFonts w:hint="eastAsia" w:ascii="仿宋" w:hAnsi="仿宋" w:eastAsia="仿宋" w:cs="仿宋"/>
          <w:b/>
          <w:bCs/>
          <w:color w:val="auto"/>
          <w:highlight w:val="none"/>
        </w:rPr>
      </w:pPr>
      <w:r>
        <w:rPr>
          <w:rFonts w:hint="eastAsia" w:ascii="仿宋" w:hAnsi="仿宋" w:eastAsia="仿宋" w:cs="仿宋"/>
          <w:b/>
          <w:bCs/>
          <w:color w:val="auto"/>
          <w:highlight w:val="none"/>
        </w:rPr>
        <w:t>17.投标有效期</w:t>
      </w:r>
    </w:p>
    <w:p>
      <w:pPr>
        <w:rPr>
          <w:rFonts w:hint="eastAsia"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四、开标、资格审查与信用信息查询</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 xml:space="preserve">18.开标 </w:t>
      </w:r>
    </w:p>
    <w:p>
      <w:pPr>
        <w:rPr>
          <w:rFonts w:hint="eastAsia" w:ascii="仿宋" w:hAnsi="仿宋" w:eastAsia="仿宋" w:cs="仿宋"/>
          <w:color w:val="auto"/>
          <w:highlight w:val="none"/>
        </w:rPr>
      </w:pPr>
      <w:r>
        <w:rPr>
          <w:rFonts w:hint="eastAsia" w:ascii="仿宋" w:hAnsi="仿宋" w:eastAsia="仿宋" w:cs="仿宋"/>
          <w:color w:val="auto"/>
          <w:highlight w:val="none"/>
        </w:rPr>
        <w:t>18.1采购机构按照招标文件规定的时间通过电子交易平台组织开标，所有投标人均应当准时在线参加。投标人不足3家的，不得开标。</w:t>
      </w:r>
    </w:p>
    <w:p>
      <w:pPr>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18.3投标文件未按时解密，视为投标文件撤回。</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19、资格审查</w:t>
      </w:r>
    </w:p>
    <w:p>
      <w:pPr>
        <w:rPr>
          <w:rFonts w:hint="eastAsia" w:ascii="仿宋" w:hAnsi="仿宋" w:eastAsia="仿宋" w:cs="仿宋"/>
          <w:color w:val="auto"/>
          <w:highlight w:val="none"/>
        </w:rPr>
      </w:pPr>
      <w:r>
        <w:rPr>
          <w:rFonts w:hint="eastAsia" w:ascii="仿宋" w:hAnsi="仿宋" w:eastAsia="仿宋" w:cs="仿宋"/>
          <w:color w:val="auto"/>
          <w:highlight w:val="none"/>
        </w:rPr>
        <w:t>19.1开标后，采购人或采购机构将依法对投标人的资格进行审查。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19.2采购人或采购机构依据法律法规和招标文件的规定，对投标人的基本资格条件、特定资格条件进行审查。</w:t>
      </w:r>
    </w:p>
    <w:p>
      <w:pPr>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19.4对未通过资格审查的投标人，采购人或采购机构告知其未通过的原因。</w:t>
      </w:r>
    </w:p>
    <w:p>
      <w:pPr>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pPr>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20.1信用信息查询渠道及截止时间：采购机构将通过“信用中国”网站(www.creditchina.gov.cn)、中国政府采购网(www.ccgp.gov.cn)渠道查询投标人投标截止时间当天的信用记录。</w:t>
      </w:r>
    </w:p>
    <w:p>
      <w:pPr>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五、评标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21. 评标</w:t>
      </w:r>
    </w:p>
    <w:p>
      <w:pPr>
        <w:rPr>
          <w:rFonts w:hint="eastAsia" w:ascii="仿宋" w:hAnsi="仿宋" w:eastAsia="仿宋" w:cs="仿宋"/>
          <w:color w:val="auto"/>
          <w:highlight w:val="none"/>
        </w:rPr>
      </w:pP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六、定 标</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22. 确定中标供应商</w:t>
      </w:r>
    </w:p>
    <w:p>
      <w:pPr>
        <w:rPr>
          <w:rFonts w:hint="eastAsia" w:ascii="仿宋" w:hAnsi="仿宋" w:eastAsia="仿宋" w:cs="仿宋"/>
          <w:color w:val="auto"/>
          <w:highlight w:val="none"/>
        </w:rPr>
      </w:pPr>
      <w:r>
        <w:rPr>
          <w:rFonts w:hint="eastAsia" w:ascii="仿宋" w:hAnsi="仿宋" w:eastAsia="仿宋" w:cs="仿宋"/>
          <w:color w:val="auto"/>
          <w:highlight w:val="none"/>
        </w:rPr>
        <w:t>采购人将自收到评审报告之日起5个工作日内通过电子交易平台在评审报告推荐的中标候选人中按顺序确定中标供应商。</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23. 中标通知与中标结果公告</w:t>
      </w:r>
    </w:p>
    <w:p>
      <w:pPr>
        <w:rPr>
          <w:rFonts w:hint="eastAsia" w:ascii="仿宋" w:hAnsi="仿宋" w:eastAsia="仿宋" w:cs="仿宋"/>
          <w:color w:val="auto"/>
          <w:highlight w:val="none"/>
        </w:rPr>
      </w:pPr>
      <w:r>
        <w:rPr>
          <w:rFonts w:hint="eastAsia" w:ascii="仿宋" w:hAnsi="仿宋" w:eastAsia="仿宋" w:cs="仿宋"/>
          <w:color w:val="auto"/>
          <w:highlight w:val="none"/>
        </w:rPr>
        <w:t>23.1自中标人确定之日起2个工作日内，采购机构通过电子交易平台向中标人发出中标通知书，同时编制发布采购结果公告。采购机构也可以以纸质形式进行中标通知。</w:t>
      </w:r>
    </w:p>
    <w:p>
      <w:pPr>
        <w:rPr>
          <w:rFonts w:hint="eastAsia" w:ascii="仿宋" w:hAnsi="仿宋" w:eastAsia="仿宋" w:cs="仿宋"/>
          <w:color w:val="auto"/>
          <w:highlight w:val="none"/>
        </w:rPr>
      </w:pPr>
      <w:r>
        <w:rPr>
          <w:rFonts w:hint="eastAsia" w:ascii="仿宋" w:hAnsi="仿宋" w:eastAsia="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七、合同授予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24. 合同主要条款详见第五部分拟签订的合同文本。</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25. 合同的签订</w:t>
      </w:r>
    </w:p>
    <w:p>
      <w:pPr>
        <w:rPr>
          <w:rFonts w:hint="eastAsia" w:ascii="仿宋" w:hAnsi="仿宋" w:eastAsia="仿宋" w:cs="仿宋"/>
          <w:color w:val="auto"/>
          <w:highlight w:val="none"/>
        </w:rPr>
      </w:pPr>
      <w:r>
        <w:rPr>
          <w:rFonts w:hint="eastAsia" w:ascii="仿宋" w:hAnsi="仿宋" w:eastAsia="仿宋" w:cs="仿宋"/>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仿宋" w:hAnsi="仿宋" w:eastAsia="仿宋" w:cs="仿宋"/>
          <w:color w:val="auto"/>
          <w:highlight w:val="none"/>
        </w:rPr>
      </w:pPr>
      <w:r>
        <w:rPr>
          <w:rFonts w:hint="eastAsia" w:ascii="仿宋" w:hAnsi="仿宋" w:eastAsia="仿宋" w:cs="仿宋"/>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26. 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仿宋" w:hAnsi="仿宋" w:eastAsia="仿宋" w:cs="仿宋"/>
          <w:color w:val="auto"/>
          <w:highlight w:val="none"/>
        </w:rPr>
      </w:pPr>
      <w:r>
        <w:rPr>
          <w:rFonts w:hint="eastAsia" w:ascii="仿宋" w:hAnsi="仿宋" w:eastAsia="仿宋" w:cs="仿宋"/>
          <w:color w:val="auto"/>
          <w:highlight w:val="none"/>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27. 电子交易活动的中止。</w:t>
      </w:r>
    </w:p>
    <w:p>
      <w:pPr>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九、验收</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29.验收</w:t>
      </w:r>
    </w:p>
    <w:p>
      <w:pPr>
        <w:rPr>
          <w:rFonts w:hint="eastAsia" w:ascii="仿宋" w:hAnsi="仿宋" w:eastAsia="仿宋" w:cs="仿宋"/>
          <w:color w:val="auto"/>
          <w:highlight w:val="none"/>
        </w:rPr>
      </w:pPr>
      <w:r>
        <w:rPr>
          <w:rFonts w:hint="eastAsia" w:ascii="仿宋" w:hAnsi="仿宋" w:eastAsia="仿宋" w:cs="仿宋"/>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仿宋" w:hAnsi="仿宋" w:eastAsia="仿宋" w:cs="仿宋"/>
          <w:color w:val="auto"/>
          <w:highlight w:val="none"/>
        </w:rPr>
      </w:pPr>
      <w:r>
        <w:rPr>
          <w:rFonts w:hint="eastAsia" w:ascii="仿宋" w:hAnsi="仿宋" w:eastAsia="仿宋" w:cs="仿宋"/>
          <w:color w:val="auto"/>
          <w:highlight w:val="none"/>
        </w:rPr>
        <w:t>联系电话: 0571-83587785/0571-82816012  联系地址: 萧山区通惠北路2-1号302室</w:t>
      </w:r>
    </w:p>
    <w:p>
      <w:pPr>
        <w:rPr>
          <w:rFonts w:hint="eastAsia" w:ascii="仿宋" w:hAnsi="仿宋" w:eastAsia="仿宋" w:cs="仿宋"/>
          <w:color w:val="auto"/>
          <w:highlight w:val="none"/>
        </w:rPr>
      </w:pPr>
      <w:r>
        <w:rPr>
          <w:rFonts w:hint="eastAsia" w:ascii="仿宋" w:hAnsi="仿宋" w:eastAsia="仿宋" w:cs="仿宋"/>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jc w:val="left"/>
        <w:rPr>
          <w:rStyle w:val="52"/>
          <w:rFonts w:hint="eastAsia" w:ascii="仿宋" w:hAnsi="仿宋" w:eastAsia="仿宋" w:cs="仿宋"/>
          <w:i w:val="0"/>
          <w:iCs w:val="0"/>
          <w:color w:val="auto"/>
          <w:highlight w:val="none"/>
        </w:rPr>
      </w:pPr>
      <w:r>
        <w:rPr>
          <w:rStyle w:val="52"/>
          <w:rFonts w:hint="eastAsia" w:ascii="仿宋" w:hAnsi="仿宋" w:eastAsia="仿宋" w:cs="仿宋"/>
          <w:i w:val="0"/>
          <w:iCs w:val="0"/>
          <w:color w:val="auto"/>
          <w:highlight w:val="none"/>
        </w:rPr>
        <w:t>属于实质性要求条款的，请用符号“▲”标明，否则属于非实质性要求。</w:t>
      </w:r>
    </w:p>
    <w:p>
      <w:pPr>
        <w:snapToGrid w:val="0"/>
        <w:jc w:val="left"/>
        <w:rPr>
          <w:rStyle w:val="52"/>
          <w:rFonts w:hint="eastAsia" w:ascii="仿宋" w:hAnsi="仿宋" w:eastAsia="仿宋" w:cs="仿宋"/>
          <w:i w:val="0"/>
          <w:iCs w:val="0"/>
          <w:color w:val="auto"/>
          <w:highlight w:val="none"/>
        </w:rPr>
      </w:pPr>
      <w:r>
        <w:rPr>
          <w:rStyle w:val="52"/>
          <w:rFonts w:hint="eastAsia" w:ascii="仿宋" w:hAnsi="仿宋" w:eastAsia="仿宋" w:cs="仿宋"/>
          <w:i w:val="0"/>
          <w:iCs w:val="0"/>
          <w:color w:val="auto"/>
          <w:highlight w:val="none"/>
        </w:rPr>
        <w:t>“★”系产品采购项目中单一产品或核心产品。</w:t>
      </w:r>
    </w:p>
    <w:p>
      <w:pPr>
        <w:spacing w:line="360" w:lineRule="auto"/>
        <w:jc w:val="center"/>
        <w:rPr>
          <w:rFonts w:hint="eastAsia" w:ascii="仿宋" w:hAnsi="仿宋" w:eastAsia="仿宋" w:cs="仿宋"/>
          <w:b/>
          <w:bCs/>
          <w:color w:val="auto"/>
          <w:highlight w:val="none"/>
        </w:rPr>
      </w:pPr>
      <w:bookmarkStart w:id="2" w:name="_Toc518046409"/>
      <w:r>
        <w:rPr>
          <w:rFonts w:hint="eastAsia" w:ascii="仿宋" w:hAnsi="仿宋" w:eastAsia="仿宋" w:cs="仿宋"/>
          <w:b/>
          <w:bCs/>
          <w:color w:val="auto"/>
          <w:highlight w:val="none"/>
        </w:rPr>
        <w:t>一、招标一览表</w:t>
      </w:r>
      <w:bookmarkEnd w:id="2"/>
    </w:p>
    <w:p>
      <w:pPr>
        <w:tabs>
          <w:tab w:val="left" w:pos="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w:t>
      </w:r>
    </w:p>
    <w:tbl>
      <w:tblPr>
        <w:tblStyle w:val="2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777"/>
        <w:gridCol w:w="2213"/>
        <w:gridCol w:w="826"/>
        <w:gridCol w:w="8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32"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标项</w:t>
            </w:r>
          </w:p>
        </w:tc>
        <w:tc>
          <w:tcPr>
            <w:tcW w:w="3777"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2213"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eastAsia="zh-CN"/>
              </w:rPr>
            </w:pPr>
            <w:r>
              <w:rPr>
                <w:rFonts w:hint="eastAsia" w:ascii="仿宋" w:hAnsi="仿宋" w:eastAsia="仿宋" w:cs="仿宋"/>
                <w:color w:val="auto"/>
                <w:position w:val="-6"/>
                <w:highlight w:val="none"/>
                <w:lang w:eastAsia="zh-CN"/>
              </w:rPr>
              <w:t>具体服务要求</w:t>
            </w:r>
          </w:p>
        </w:tc>
        <w:tc>
          <w:tcPr>
            <w:tcW w:w="826"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826"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828" w:type="dxa"/>
            <w:noWrap/>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532"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一</w:t>
            </w:r>
          </w:p>
        </w:tc>
        <w:tc>
          <w:tcPr>
            <w:tcW w:w="3777" w:type="dxa"/>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2023年度北干街道垃圾分类第三方服务-标项一</w:t>
            </w:r>
          </w:p>
        </w:tc>
        <w:tc>
          <w:tcPr>
            <w:tcW w:w="2213"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详见招标需求</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年</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28"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532"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w:t>
            </w:r>
          </w:p>
        </w:tc>
        <w:tc>
          <w:tcPr>
            <w:tcW w:w="3777" w:type="dxa"/>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2023年度北干街道垃圾分类第三方服务-标项二</w:t>
            </w:r>
          </w:p>
        </w:tc>
        <w:tc>
          <w:tcPr>
            <w:tcW w:w="2213"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详见招标需求</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年</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28"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532"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w:t>
            </w:r>
          </w:p>
        </w:tc>
        <w:tc>
          <w:tcPr>
            <w:tcW w:w="3777" w:type="dxa"/>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2023年度北干街道垃圾分类第三方服务-标项三</w:t>
            </w:r>
          </w:p>
        </w:tc>
        <w:tc>
          <w:tcPr>
            <w:tcW w:w="2213"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详见招标需求</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年</w:t>
            </w:r>
          </w:p>
        </w:tc>
        <w:tc>
          <w:tcPr>
            <w:tcW w:w="826"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28" w:type="dxa"/>
            <w:noWrap/>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highlight w:val="none"/>
              </w:rPr>
            </w:pPr>
          </w:p>
        </w:tc>
      </w:tr>
    </w:tbl>
    <w:p>
      <w:pPr>
        <w:spacing w:line="360" w:lineRule="auto"/>
        <w:jc w:val="left"/>
        <w:rPr>
          <w:rFonts w:hint="default"/>
          <w:color w:val="auto"/>
          <w:highlight w:val="none"/>
          <w:lang w:val="en-US"/>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eastAsia="zh-CN"/>
        </w:rPr>
        <w:t>本项目</w:t>
      </w:r>
      <w:r>
        <w:rPr>
          <w:rFonts w:hint="eastAsia" w:ascii="仿宋" w:hAnsi="仿宋" w:eastAsia="仿宋" w:cs="仿宋"/>
          <w:b/>
          <w:bCs/>
          <w:color w:val="auto"/>
          <w:sz w:val="24"/>
          <w:szCs w:val="24"/>
          <w:highlight w:val="none"/>
          <w:lang w:val="en-US" w:eastAsia="zh-CN"/>
        </w:rPr>
        <w:t>分3个标项进行采购（详见招标一览表），投标人可自行选择其中一个或者多个标项响应投标，但中标只能中一个标项。评审次序按标项一、标项二、标项三的顺序进行评审。（</w:t>
      </w:r>
      <w:r>
        <w:rPr>
          <w:rFonts w:hint="eastAsia" w:ascii="仿宋" w:hAnsi="仿宋" w:eastAsia="仿宋" w:cs="仿宋"/>
          <w:b/>
          <w:bCs/>
          <w:color w:val="auto"/>
          <w:sz w:val="24"/>
          <w:szCs w:val="24"/>
          <w:highlight w:val="none"/>
          <w:lang w:val="en-US" w:eastAsia="zh-CN"/>
        </w:rPr>
        <w:t>如投标人</w:t>
      </w:r>
      <w:r>
        <w:rPr>
          <w:rFonts w:hint="eastAsia" w:cs="仿宋"/>
          <w:b/>
          <w:bCs/>
          <w:color w:val="auto"/>
          <w:sz w:val="24"/>
          <w:szCs w:val="24"/>
          <w:highlight w:val="none"/>
          <w:lang w:val="en-US" w:eastAsia="zh-CN"/>
        </w:rPr>
        <w:t>（含联合体成员和分包供应商）被推荐为</w:t>
      </w:r>
      <w:r>
        <w:rPr>
          <w:rFonts w:hint="eastAsia" w:ascii="仿宋" w:hAnsi="仿宋" w:eastAsia="仿宋" w:cs="仿宋"/>
          <w:b/>
          <w:bCs/>
          <w:color w:val="auto"/>
          <w:sz w:val="24"/>
          <w:szCs w:val="24"/>
          <w:highlight w:val="none"/>
          <w:lang w:val="en-US" w:eastAsia="zh-CN"/>
        </w:rPr>
        <w:t>标项一</w:t>
      </w:r>
      <w:r>
        <w:rPr>
          <w:rFonts w:hint="eastAsia" w:cs="仿宋"/>
          <w:b/>
          <w:bCs/>
          <w:color w:val="auto"/>
          <w:sz w:val="24"/>
          <w:szCs w:val="24"/>
          <w:highlight w:val="none"/>
          <w:lang w:val="en-US" w:eastAsia="zh-CN"/>
        </w:rPr>
        <w:t>的中标候选人</w:t>
      </w:r>
      <w:r>
        <w:rPr>
          <w:rFonts w:hint="eastAsia" w:ascii="仿宋" w:hAnsi="仿宋" w:eastAsia="仿宋" w:cs="仿宋"/>
          <w:b/>
          <w:bCs/>
          <w:color w:val="auto"/>
          <w:sz w:val="24"/>
          <w:szCs w:val="24"/>
          <w:highlight w:val="none"/>
          <w:lang w:val="en-US" w:eastAsia="zh-CN"/>
        </w:rPr>
        <w:t>，则不参与标项二、标项三的评审，</w:t>
      </w:r>
      <w:r>
        <w:rPr>
          <w:rFonts w:hint="eastAsia" w:ascii="仿宋" w:hAnsi="仿宋" w:eastAsia="仿宋" w:cs="仿宋"/>
          <w:b/>
          <w:bCs/>
          <w:color w:val="auto"/>
          <w:sz w:val="24"/>
          <w:szCs w:val="24"/>
          <w:highlight w:val="none"/>
          <w:lang w:val="en-US" w:eastAsia="zh-CN"/>
        </w:rPr>
        <w:t>如投标人</w:t>
      </w:r>
      <w:r>
        <w:rPr>
          <w:rFonts w:hint="eastAsia" w:cs="仿宋"/>
          <w:b/>
          <w:bCs/>
          <w:color w:val="auto"/>
          <w:sz w:val="24"/>
          <w:szCs w:val="24"/>
          <w:highlight w:val="none"/>
          <w:lang w:val="en-US" w:eastAsia="zh-CN"/>
        </w:rPr>
        <w:t>（含联合体成员和分包供应商）被推荐为</w:t>
      </w:r>
      <w:r>
        <w:rPr>
          <w:rFonts w:hint="eastAsia" w:ascii="仿宋" w:hAnsi="仿宋" w:eastAsia="仿宋" w:cs="仿宋"/>
          <w:b/>
          <w:bCs/>
          <w:color w:val="auto"/>
          <w:sz w:val="24"/>
          <w:szCs w:val="24"/>
          <w:highlight w:val="none"/>
          <w:lang w:val="en-US" w:eastAsia="zh-CN"/>
        </w:rPr>
        <w:t>标项</w:t>
      </w:r>
      <w:r>
        <w:rPr>
          <w:rFonts w:hint="eastAsia" w:cs="仿宋"/>
          <w:b/>
          <w:bCs/>
          <w:color w:val="auto"/>
          <w:sz w:val="24"/>
          <w:szCs w:val="24"/>
          <w:highlight w:val="none"/>
          <w:lang w:val="en-US" w:eastAsia="zh-CN"/>
        </w:rPr>
        <w:t>二的中标候选人</w:t>
      </w:r>
      <w:r>
        <w:rPr>
          <w:rFonts w:hint="eastAsia" w:ascii="仿宋" w:hAnsi="仿宋" w:eastAsia="仿宋" w:cs="仿宋"/>
          <w:b/>
          <w:bCs/>
          <w:color w:val="auto"/>
          <w:sz w:val="24"/>
          <w:szCs w:val="24"/>
          <w:highlight w:val="none"/>
          <w:lang w:val="en-US" w:eastAsia="zh-CN"/>
        </w:rPr>
        <w:t>，则不参与标项三的评审。）评标委员会根据得分排名推荐每个标项的中标候选人。</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bCs/>
          <w:color w:val="auto"/>
          <w:highlight w:val="none"/>
        </w:rPr>
        <w:t>二、招标需求</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一、项目概述</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为认真贯彻省委、省政府召开的全省生活垃圾分类处理工作动员会议精神，树立垃圾分类是关键小事，更是民生大事的理念，坚决打赢垃圾分类处置攻坚战，萧山区北干街道通过政府购买服务方式选择第三方服务机构，引导和规范北干街道各</w:t>
      </w:r>
      <w:r>
        <w:rPr>
          <w:rFonts w:hint="eastAsia" w:ascii="仿宋" w:hAnsi="仿宋" w:eastAsia="仿宋" w:cs="仿宋"/>
          <w:color w:val="auto"/>
          <w:sz w:val="24"/>
          <w:szCs w:val="24"/>
          <w:highlight w:val="none"/>
        </w:rPr>
        <w:t>小区</w:t>
      </w:r>
      <w:r>
        <w:rPr>
          <w:rFonts w:hint="eastAsia" w:ascii="仿宋" w:hAnsi="仿宋" w:eastAsia="仿宋" w:cs="仿宋"/>
          <w:snapToGrid w:val="0"/>
          <w:color w:val="auto"/>
          <w:kern w:val="0"/>
          <w:sz w:val="24"/>
          <w:szCs w:val="24"/>
          <w:highlight w:val="none"/>
        </w:rPr>
        <w:t>分类投放、分类收集，以实现“生活垃圾四分类”。</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二、服务范围</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kern w:val="0"/>
          <w:sz w:val="24"/>
          <w:szCs w:val="24"/>
          <w:highlight w:val="none"/>
        </w:rPr>
        <w:t>本次“北干街道垃圾分类第三方服务采购”采购项目招标服务范围为萧山区北干街道各小区的垃圾分类服务工作，共分三个标项。</w:t>
      </w:r>
    </w:p>
    <w:tbl>
      <w:tblPr>
        <w:tblStyle w:val="2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668"/>
        <w:gridCol w:w="1759"/>
        <w:gridCol w:w="4013"/>
        <w:gridCol w:w="130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51" w:hRule="atLeast"/>
          <w:jc w:val="center"/>
        </w:trPr>
        <w:tc>
          <w:tcPr>
            <w:tcW w:w="668" w:type="dxa"/>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标项</w:t>
            </w:r>
          </w:p>
        </w:tc>
        <w:tc>
          <w:tcPr>
            <w:tcW w:w="1759" w:type="dxa"/>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标项</w:t>
            </w:r>
            <w:r>
              <w:rPr>
                <w:rFonts w:hint="eastAsia" w:ascii="仿宋" w:hAnsi="仿宋" w:eastAsia="仿宋" w:cs="仿宋"/>
                <w:snapToGrid w:val="0"/>
                <w:color w:val="auto"/>
                <w:kern w:val="0"/>
                <w:sz w:val="24"/>
                <w:szCs w:val="24"/>
                <w:highlight w:val="none"/>
              </w:rPr>
              <w:t>名称</w:t>
            </w:r>
          </w:p>
        </w:tc>
        <w:tc>
          <w:tcPr>
            <w:tcW w:w="4013" w:type="dxa"/>
            <w:noWrap w:val="0"/>
            <w:tcMar>
              <w:top w:w="15" w:type="dxa"/>
              <w:left w:w="15" w:type="dxa"/>
              <w:bottom w:w="0" w:type="dxa"/>
              <w:right w:w="15" w:type="dxa"/>
            </w:tcMar>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服务区域</w:t>
            </w:r>
          </w:p>
        </w:tc>
        <w:tc>
          <w:tcPr>
            <w:tcW w:w="1300"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户数（户）</w:t>
            </w:r>
          </w:p>
        </w:tc>
        <w:tc>
          <w:tcPr>
            <w:tcW w:w="1266"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651" w:hRule="atLeast"/>
          <w:jc w:val="center"/>
        </w:trPr>
        <w:tc>
          <w:tcPr>
            <w:tcW w:w="668" w:type="dxa"/>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lang w:val="en-US" w:eastAsia="zh-CN" w:bidi="ar-SA"/>
              </w:rPr>
            </w:pPr>
            <w:bookmarkStart w:id="3" w:name="_Hlk116198989"/>
            <w:r>
              <w:rPr>
                <w:rFonts w:hint="eastAsia" w:ascii="仿宋" w:hAnsi="仿宋" w:eastAsia="仿宋" w:cs="仿宋"/>
                <w:snapToGrid w:val="0"/>
                <w:color w:val="auto"/>
                <w:kern w:val="0"/>
                <w:sz w:val="24"/>
                <w:szCs w:val="24"/>
                <w:highlight w:val="none"/>
                <w:lang w:val="en-US" w:eastAsia="zh-CN"/>
              </w:rPr>
              <w:t>一</w:t>
            </w:r>
          </w:p>
        </w:tc>
        <w:tc>
          <w:tcPr>
            <w:tcW w:w="1759" w:type="dxa"/>
            <w:noWrap w:val="0"/>
            <w:tcMar>
              <w:top w:w="15" w:type="dxa"/>
              <w:left w:w="15" w:type="dxa"/>
              <w:bottom w:w="0" w:type="dxa"/>
              <w:right w:w="15" w:type="dxa"/>
            </w:tcMar>
            <w:vAlign w:val="center"/>
          </w:tcPr>
          <w:p>
            <w:pPr>
              <w:spacing w:line="24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2023年度北干街道垃圾分类第三方服务-标项一</w:t>
            </w:r>
          </w:p>
        </w:tc>
        <w:tc>
          <w:tcPr>
            <w:tcW w:w="4013" w:type="dxa"/>
            <w:noWrap w:val="0"/>
            <w:tcMar>
              <w:top w:w="15" w:type="dxa"/>
              <w:left w:w="15" w:type="dxa"/>
              <w:bottom w:w="0" w:type="dxa"/>
              <w:right w:w="15" w:type="dxa"/>
            </w:tcMar>
            <w:vAlign w:val="center"/>
          </w:tcPr>
          <w:p>
            <w:pPr>
              <w:spacing w:line="24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rPr>
              <w:t>北塘河以北区域（包括风情科创社区、天悦社区、桂语听澜社区、信息港社区、明星社区、青茵社区、兴议社区等社区），以及江南星城社区，共计</w:t>
            </w:r>
            <w:r>
              <w:rPr>
                <w:rFonts w:hint="eastAsia" w:ascii="仿宋" w:hAnsi="仿宋" w:eastAsia="仿宋" w:cs="仿宋"/>
                <w:snapToGrid w:val="0"/>
                <w:color w:val="auto"/>
                <w:kern w:val="0"/>
                <w:sz w:val="24"/>
                <w:szCs w:val="24"/>
                <w:highlight w:val="none"/>
              </w:rPr>
              <w:t>25个小区</w:t>
            </w:r>
            <w:r>
              <w:rPr>
                <w:rFonts w:hint="eastAsia" w:ascii="仿宋" w:hAnsi="仿宋" w:eastAsia="仿宋" w:cs="仿宋"/>
                <w:snapToGrid w:val="0"/>
                <w:color w:val="auto"/>
                <w:kern w:val="0"/>
                <w:sz w:val="24"/>
                <w:szCs w:val="24"/>
                <w:highlight w:val="none"/>
              </w:rPr>
              <w:t>。</w:t>
            </w:r>
          </w:p>
        </w:tc>
        <w:tc>
          <w:tcPr>
            <w:tcW w:w="1300"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29195</w:t>
            </w:r>
          </w:p>
        </w:tc>
        <w:tc>
          <w:tcPr>
            <w:tcW w:w="1266" w:type="dxa"/>
            <w:noWrap w:val="0"/>
            <w:vAlign w:val="center"/>
          </w:tcPr>
          <w:p>
            <w:pPr>
              <w:snapToGrid w:val="0"/>
              <w:spacing w:line="24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10218250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746" w:hRule="atLeast"/>
          <w:jc w:val="center"/>
        </w:trPr>
        <w:tc>
          <w:tcPr>
            <w:tcW w:w="668" w:type="dxa"/>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二</w:t>
            </w:r>
          </w:p>
        </w:tc>
        <w:tc>
          <w:tcPr>
            <w:tcW w:w="1759" w:type="dxa"/>
            <w:noWrap w:val="0"/>
            <w:vAlign w:val="center"/>
          </w:tcPr>
          <w:p>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2023年度北干街道垃圾分类第三方服务-标项二</w:t>
            </w:r>
          </w:p>
        </w:tc>
        <w:tc>
          <w:tcPr>
            <w:tcW w:w="4013" w:type="dxa"/>
            <w:noWrap w:val="0"/>
            <w:vAlign w:val="center"/>
          </w:tcPr>
          <w:p>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北塘河以南市心路以东，包括博学路社区、钱塘明月社区、城北村、塘湾社区、北干一苑、北干二苑、绿茵园社区、华达社区、广德社区、银河社区、中誉新城社区、永久社区、柳桥社区等社区，共计</w:t>
            </w:r>
            <w:r>
              <w:rPr>
                <w:rFonts w:hint="eastAsia" w:cs="仿宋"/>
                <w:snapToGrid w:val="0"/>
                <w:color w:val="auto"/>
                <w:kern w:val="0"/>
                <w:sz w:val="24"/>
                <w:szCs w:val="24"/>
                <w:highlight w:val="none"/>
                <w:lang w:val="en-US" w:eastAsia="zh-CN"/>
              </w:rPr>
              <w:t>44</w:t>
            </w:r>
            <w:r>
              <w:rPr>
                <w:rFonts w:hint="eastAsia" w:ascii="仿宋" w:hAnsi="仿宋" w:eastAsia="仿宋" w:cs="仿宋"/>
                <w:snapToGrid w:val="0"/>
                <w:color w:val="auto"/>
                <w:kern w:val="0"/>
                <w:sz w:val="24"/>
                <w:szCs w:val="24"/>
                <w:highlight w:val="none"/>
              </w:rPr>
              <w:t>个小区</w:t>
            </w:r>
            <w:r>
              <w:rPr>
                <w:rFonts w:hint="eastAsia" w:ascii="仿宋" w:hAnsi="仿宋" w:eastAsia="仿宋" w:cs="仿宋"/>
                <w:snapToGrid w:val="0"/>
                <w:color w:val="auto"/>
                <w:kern w:val="0"/>
                <w:sz w:val="24"/>
                <w:szCs w:val="24"/>
                <w:highlight w:val="none"/>
              </w:rPr>
              <w:t>。</w:t>
            </w:r>
          </w:p>
        </w:tc>
        <w:tc>
          <w:tcPr>
            <w:tcW w:w="130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26701</w:t>
            </w:r>
          </w:p>
        </w:tc>
        <w:tc>
          <w:tcPr>
            <w:tcW w:w="1266"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9345350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746" w:hRule="atLeast"/>
          <w:jc w:val="center"/>
        </w:trPr>
        <w:tc>
          <w:tcPr>
            <w:tcW w:w="668" w:type="dxa"/>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三</w:t>
            </w:r>
          </w:p>
        </w:tc>
        <w:tc>
          <w:tcPr>
            <w:tcW w:w="1759" w:type="dxa"/>
            <w:noWrap w:val="0"/>
            <w:vAlign w:val="center"/>
          </w:tcPr>
          <w:p>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2023年度北干街道垃圾分类第三方服务-标项三</w:t>
            </w:r>
          </w:p>
        </w:tc>
        <w:tc>
          <w:tcPr>
            <w:tcW w:w="4013"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北塘河以南市心路以西（除江南星城社区），包括湖滨花园社区、金风社区、加德社区、施家桥社区、金泰苑社区、金山西苑社区、工人路社区、荣联社区、星都社区、金稼苑社区、金江南社区、萧然社区、畈里张社区、荣庄村等社区，共计</w:t>
            </w:r>
            <w:r>
              <w:rPr>
                <w:rFonts w:hint="eastAsia" w:ascii="仿宋" w:hAnsi="仿宋" w:eastAsia="仿宋" w:cs="仿宋"/>
                <w:snapToGrid w:val="0"/>
                <w:color w:val="auto"/>
                <w:kern w:val="0"/>
                <w:sz w:val="24"/>
                <w:szCs w:val="24"/>
                <w:highlight w:val="none"/>
              </w:rPr>
              <w:t>53个小区</w:t>
            </w:r>
            <w:r>
              <w:rPr>
                <w:rFonts w:hint="eastAsia" w:ascii="仿宋" w:hAnsi="仿宋" w:eastAsia="仿宋" w:cs="仿宋"/>
                <w:snapToGrid w:val="0"/>
                <w:color w:val="auto"/>
                <w:kern w:val="0"/>
                <w:sz w:val="24"/>
                <w:szCs w:val="24"/>
                <w:highlight w:val="none"/>
              </w:rPr>
              <w:t>。</w:t>
            </w:r>
          </w:p>
        </w:tc>
        <w:tc>
          <w:tcPr>
            <w:tcW w:w="1300"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24643</w:t>
            </w:r>
          </w:p>
        </w:tc>
        <w:tc>
          <w:tcPr>
            <w:tcW w:w="1266"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8625050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cantSplit/>
          <w:trHeight w:val="746" w:hRule="atLeast"/>
          <w:jc w:val="center"/>
        </w:trPr>
        <w:tc>
          <w:tcPr>
            <w:tcW w:w="6440" w:type="dxa"/>
            <w:gridSpan w:val="3"/>
            <w:noWrap w:val="0"/>
            <w:tcMar>
              <w:top w:w="15" w:type="dxa"/>
              <w:left w:w="15" w:type="dxa"/>
              <w:bottom w:w="0" w:type="dxa"/>
              <w:right w:w="15" w:type="dxa"/>
            </w:tcMar>
            <w:vAlign w:val="center"/>
          </w:tcPr>
          <w:p>
            <w:pPr>
              <w:spacing w:line="24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合计</w:t>
            </w:r>
          </w:p>
        </w:tc>
        <w:tc>
          <w:tcPr>
            <w:tcW w:w="1300"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80539</w:t>
            </w:r>
          </w:p>
        </w:tc>
        <w:tc>
          <w:tcPr>
            <w:tcW w:w="1266" w:type="dxa"/>
            <w:noWrap w:val="0"/>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28188650</w:t>
            </w:r>
          </w:p>
        </w:tc>
      </w:tr>
      <w:bookmarkEnd w:id="3"/>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备注：投标人自行实地调查各小区居民实际参与垃圾分类工作的积极性、配合性，对项目各个标项不同区域垃圾分类工作实施过程中的重难点进行分析，并制定有针对性的解决方案，保证服务质量达到考核目标。</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三、服务内容</w:t>
      </w:r>
    </w:p>
    <w:p>
      <w:pPr>
        <w:spacing w:line="360" w:lineRule="auto"/>
        <w:ind w:firstLine="480" w:firstLineChars="200"/>
        <w:rPr>
          <w:rFonts w:hint="eastAsia" w:ascii="仿宋" w:hAnsi="仿宋" w:eastAsia="仿宋" w:cs="仿宋"/>
          <w:snapToGrid w:val="0"/>
          <w:color w:val="auto"/>
          <w:kern w:val="0"/>
          <w:sz w:val="24"/>
          <w:szCs w:val="24"/>
          <w:highlight w:val="none"/>
        </w:rPr>
      </w:pPr>
      <w:bookmarkStart w:id="4" w:name="_Hlk118192944"/>
      <w:r>
        <w:rPr>
          <w:rFonts w:hint="eastAsia" w:ascii="仿宋" w:hAnsi="仿宋" w:eastAsia="仿宋" w:cs="仿宋"/>
          <w:snapToGrid w:val="0"/>
          <w:color w:val="auto"/>
          <w:kern w:val="0"/>
          <w:sz w:val="24"/>
          <w:szCs w:val="24"/>
          <w:highlight w:val="none"/>
        </w:rPr>
        <w:t>1.服务单位提供服务区域内的垃圾分类服务，负责提供所有服务伴随的设施设备。</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rPr>
        <w:t>负责辖区内的定时定点投放点和误时投放点的建设和运行，包括且不限于点位硬件设施、环境卫生、秩序维护和垃圾桶的布置、清运，垃圾桶需运至社区指定的集置房（位置）。</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（2）负责再生资源回收点的建设和运行，包括且不限于点位硬件设施、环境卫生、秩序维护和再生资源的收集。</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负责小区的垃圾分类氛围营造，策划活动、举办宣传培训活动推进工作以提升参与率、分类质量和居民获得感；配合社区做好定时定点新推进小区的实施策划，参与率不达标小区的改善策划等策划提升活动。负责对萧山区生活垃圾分类智能监管平台（城市大脑）中没有投放数据的住户开展上门宣传，服从社区的直接管理，配合社区开展各种垃圾分类宣传活动。</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（4）负责对接各个垃圾分类智能平台，并巡检、培训、指导各社区、物业、第三方工作人员相关的智能应用，每周出具投放数据、生活垃圾重量分析报告，对街道的数据质量开展自查。</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（5）负责定时定点投放积分奖品兑换，服务单位应积极宣传、促进居民主动投放垃圾积分并及时兑换。</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（6）协助其它一些临时的、应急的垃圾分类任务。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2.垃圾分类服务标准按上级有关规定执行。 </w:t>
      </w:r>
      <w:bookmarkEnd w:id="4"/>
    </w:p>
    <w:p>
      <w:pPr>
        <w:spacing w:line="360" w:lineRule="auto"/>
        <w:outlineLvl w:val="0"/>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rPr>
        <w:t>四、</w:t>
      </w:r>
      <w:r>
        <w:rPr>
          <w:rFonts w:hint="eastAsia" w:ascii="仿宋" w:hAnsi="仿宋" w:eastAsia="仿宋" w:cs="仿宋"/>
          <w:b/>
          <w:bCs/>
          <w:snapToGrid w:val="0"/>
          <w:color w:val="auto"/>
          <w:kern w:val="0"/>
          <w:sz w:val="24"/>
          <w:szCs w:val="24"/>
          <w:highlight w:val="none"/>
          <w:lang w:val="en-US" w:eastAsia="zh-CN"/>
        </w:rPr>
        <w:t>过渡期和</w:t>
      </w:r>
      <w:r>
        <w:rPr>
          <w:rFonts w:hint="eastAsia" w:ascii="仿宋" w:hAnsi="仿宋" w:eastAsia="仿宋" w:cs="仿宋"/>
          <w:b/>
          <w:bCs/>
          <w:snapToGrid w:val="0"/>
          <w:color w:val="auto"/>
          <w:kern w:val="0"/>
          <w:sz w:val="24"/>
          <w:szCs w:val="24"/>
          <w:highlight w:val="none"/>
        </w:rPr>
        <w:t>服务期</w:t>
      </w:r>
    </w:p>
    <w:p>
      <w:pPr>
        <w:spacing w:line="360" w:lineRule="auto"/>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val="en-US" w:eastAsia="zh-CN"/>
        </w:rPr>
        <w:t>1</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rPr>
        <w:t>过渡期：</w:t>
      </w:r>
    </w:p>
    <w:p>
      <w:pPr>
        <w:spacing w:line="360" w:lineRule="auto"/>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1.1</w:t>
      </w:r>
      <w:r>
        <w:rPr>
          <w:rFonts w:hint="eastAsia" w:ascii="仿宋" w:hAnsi="仿宋" w:eastAsia="仿宋" w:cs="仿宋"/>
          <w:b/>
          <w:bCs/>
          <w:snapToGrid w:val="0"/>
          <w:color w:val="auto"/>
          <w:kern w:val="0"/>
          <w:sz w:val="24"/>
          <w:szCs w:val="24"/>
          <w:highlight w:val="none"/>
        </w:rPr>
        <w:t>为保证垃圾分类服务工作的连续性和平稳过渡，中标人在过渡期内确保</w:t>
      </w:r>
      <w:r>
        <w:rPr>
          <w:rFonts w:hint="eastAsia" w:cs="仿宋"/>
          <w:b/>
          <w:bCs/>
          <w:snapToGrid w:val="0"/>
          <w:color w:val="auto"/>
          <w:kern w:val="0"/>
          <w:sz w:val="24"/>
          <w:szCs w:val="24"/>
          <w:highlight w:val="none"/>
          <w:lang w:val="en-US" w:eastAsia="zh-CN"/>
        </w:rPr>
        <w:t>机具、</w:t>
      </w:r>
      <w:r>
        <w:rPr>
          <w:rFonts w:hint="eastAsia" w:ascii="仿宋" w:hAnsi="仿宋" w:eastAsia="仿宋" w:cs="仿宋"/>
          <w:b/>
          <w:bCs/>
          <w:snapToGrid w:val="0"/>
          <w:color w:val="auto"/>
          <w:kern w:val="0"/>
          <w:sz w:val="24"/>
          <w:szCs w:val="24"/>
          <w:highlight w:val="none"/>
        </w:rPr>
        <w:t>设施设备</w:t>
      </w:r>
      <w:r>
        <w:rPr>
          <w:rFonts w:hint="eastAsia" w:cs="仿宋"/>
          <w:b/>
          <w:bCs/>
          <w:snapToGrid w:val="0"/>
          <w:color w:val="auto"/>
          <w:kern w:val="0"/>
          <w:sz w:val="24"/>
          <w:szCs w:val="24"/>
          <w:highlight w:val="none"/>
          <w:lang w:eastAsia="zh-CN"/>
        </w:rPr>
        <w:t>、</w:t>
      </w:r>
      <w:r>
        <w:rPr>
          <w:rFonts w:hint="eastAsia" w:cs="仿宋"/>
          <w:b/>
          <w:bCs/>
          <w:snapToGrid w:val="0"/>
          <w:color w:val="auto"/>
          <w:kern w:val="0"/>
          <w:sz w:val="24"/>
          <w:szCs w:val="24"/>
          <w:highlight w:val="none"/>
          <w:lang w:val="en-US" w:eastAsia="zh-CN"/>
        </w:rPr>
        <w:t>车辆、</w:t>
      </w:r>
      <w:r>
        <w:rPr>
          <w:rFonts w:hint="eastAsia" w:ascii="仿宋" w:hAnsi="仿宋" w:eastAsia="仿宋" w:cs="仿宋"/>
          <w:b/>
          <w:bCs/>
          <w:snapToGrid w:val="0"/>
          <w:color w:val="auto"/>
          <w:kern w:val="0"/>
          <w:sz w:val="24"/>
          <w:szCs w:val="24"/>
          <w:highlight w:val="none"/>
        </w:rPr>
        <w:t>人员全部到位，以及完成居民数据帐户的建立，同时接入采购人所在地的区级平台，并完成和原服务单位交接工作。</w:t>
      </w:r>
    </w:p>
    <w:p>
      <w:pPr>
        <w:spacing w:line="360" w:lineRule="auto"/>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1</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val="en-US" w:eastAsia="zh-CN"/>
        </w:rPr>
        <w:t>2</w:t>
      </w:r>
      <w:r>
        <w:rPr>
          <w:rFonts w:hint="eastAsia" w:ascii="仿宋" w:hAnsi="仿宋" w:eastAsia="仿宋" w:cs="仿宋"/>
          <w:b/>
          <w:bCs/>
          <w:snapToGrid w:val="0"/>
          <w:color w:val="auto"/>
          <w:kern w:val="0"/>
          <w:sz w:val="24"/>
          <w:szCs w:val="24"/>
          <w:highlight w:val="none"/>
        </w:rPr>
        <w:t>本项目过渡期为中标通知书发出之日起10天内。若中标人未按承诺的过渡时间内完成准备和交接</w:t>
      </w:r>
      <w:r>
        <w:rPr>
          <w:rFonts w:hint="eastAsia" w:ascii="仿宋" w:hAnsi="仿宋" w:eastAsia="仿宋" w:cs="仿宋"/>
          <w:b/>
          <w:bCs/>
          <w:snapToGrid w:val="0"/>
          <w:color w:val="auto"/>
          <w:kern w:val="0"/>
          <w:sz w:val="24"/>
          <w:szCs w:val="24"/>
          <w:highlight w:val="none"/>
          <w:lang w:val="en-US" w:eastAsia="zh-CN"/>
        </w:rPr>
        <w:t>等</w:t>
      </w:r>
      <w:r>
        <w:rPr>
          <w:rFonts w:hint="eastAsia" w:ascii="仿宋" w:hAnsi="仿宋" w:eastAsia="仿宋" w:cs="仿宋"/>
          <w:b/>
          <w:bCs/>
          <w:snapToGrid w:val="0"/>
          <w:color w:val="auto"/>
          <w:kern w:val="0"/>
          <w:sz w:val="24"/>
          <w:szCs w:val="24"/>
          <w:highlight w:val="none"/>
        </w:rPr>
        <w:t>工作，则视为</w:t>
      </w:r>
      <w:r>
        <w:rPr>
          <w:rFonts w:hint="eastAsia" w:ascii="仿宋" w:hAnsi="仿宋" w:eastAsia="仿宋" w:cs="仿宋"/>
          <w:b/>
          <w:bCs/>
          <w:snapToGrid w:val="0"/>
          <w:color w:val="auto"/>
          <w:kern w:val="0"/>
          <w:sz w:val="24"/>
          <w:szCs w:val="24"/>
          <w:highlight w:val="none"/>
          <w:lang w:val="en-US" w:eastAsia="zh-CN"/>
        </w:rPr>
        <w:t>主动放弃中标</w:t>
      </w:r>
      <w:r>
        <w:rPr>
          <w:rFonts w:hint="eastAsia" w:ascii="仿宋" w:hAnsi="仿宋" w:eastAsia="仿宋" w:cs="仿宋"/>
          <w:b/>
          <w:bCs/>
          <w:snapToGrid w:val="0"/>
          <w:color w:val="auto"/>
          <w:kern w:val="0"/>
          <w:sz w:val="24"/>
          <w:szCs w:val="24"/>
          <w:highlight w:val="none"/>
        </w:rPr>
        <w:t>。</w:t>
      </w:r>
    </w:p>
    <w:p>
      <w:pPr>
        <w:spacing w:line="360" w:lineRule="auto"/>
        <w:ind w:firstLine="482"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val="en-US" w:eastAsia="zh-CN"/>
        </w:rPr>
        <w:t>2</w:t>
      </w:r>
      <w:r>
        <w:rPr>
          <w:rFonts w:hint="eastAsia" w:ascii="仿宋" w:hAnsi="仿宋" w:eastAsia="仿宋" w:cs="仿宋"/>
          <w:b/>
          <w:bCs/>
          <w:snapToGrid w:val="0"/>
          <w:color w:val="auto"/>
          <w:kern w:val="0"/>
          <w:sz w:val="24"/>
          <w:szCs w:val="24"/>
          <w:highlight w:val="none"/>
        </w:rPr>
        <w:t>.服务期</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rPr>
        <w:t>合同签订之日</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即过渡期完结</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rPr>
        <w:t>起1年。</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五、服务管理要求</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1.设施管理：</w:t>
      </w:r>
      <w:r>
        <w:rPr>
          <w:rFonts w:hint="eastAsia" w:ascii="仿宋" w:hAnsi="仿宋" w:eastAsia="仿宋" w:cs="仿宋"/>
          <w:color w:val="auto"/>
          <w:sz w:val="24"/>
          <w:szCs w:val="24"/>
          <w:highlight w:val="none"/>
        </w:rPr>
        <w:t>小区内无杂色桶；投放点位设置四分类桶，每日定时定点进行投放收集，要求实现对各类垃圾的称重计量；垃圾分类设施干净整洁无破损(包括小区内所有垃圾桶)。小区产生的易腐垃圾质量应当符合餐厨垃圾处置企业的收运标准，包括实现垃圾破袋投放。在本服务项目中提供的设施、设备一律不得播放商业广告。播放的公益广告仅限与垃圾分类有关的内容，且须由采购人审核同意后方可投入播放宣传。</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2.工作管理：</w:t>
      </w:r>
      <w:r>
        <w:rPr>
          <w:rFonts w:hint="eastAsia" w:ascii="仿宋" w:hAnsi="仿宋" w:eastAsia="仿宋" w:cs="仿宋"/>
          <w:color w:val="auto"/>
          <w:sz w:val="24"/>
          <w:szCs w:val="24"/>
          <w:highlight w:val="none"/>
        </w:rPr>
        <w:t>积极调解因投放点位问题产生的矛盾。小区内未经采购人认可的原投放点做到彻底撤桶。</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3.分类质量：</w:t>
      </w:r>
      <w:r>
        <w:rPr>
          <w:rFonts w:hint="eastAsia" w:ascii="仿宋" w:hAnsi="仿宋" w:eastAsia="仿宋" w:cs="仿宋"/>
          <w:color w:val="auto"/>
          <w:sz w:val="24"/>
          <w:szCs w:val="24"/>
          <w:highlight w:val="none"/>
        </w:rPr>
        <w:t>易腐垃圾、其他垃圾、可回收物和有害垃圾分类投放，居民参与率90%以上，居民满意率90%以上，分类准确率80%以上，无混装、错投等情况。</w:t>
      </w:r>
      <w:r>
        <w:rPr>
          <w:rFonts w:hint="eastAsia" w:ascii="仿宋" w:hAnsi="仿宋" w:eastAsia="仿宋" w:cs="仿宋"/>
          <w:color w:val="auto"/>
          <w:sz w:val="24"/>
          <w:szCs w:val="24"/>
          <w:highlight w:val="none"/>
        </w:rPr>
        <w:t>如合同履约过程中，萧山区有最新更高要求的，按最新高要求执行。</w:t>
      </w:r>
    </w:p>
    <w:p>
      <w:pPr>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4.宣传氛围：</w:t>
      </w:r>
      <w:r>
        <w:rPr>
          <w:rFonts w:hint="eastAsia" w:ascii="仿宋" w:hAnsi="仿宋" w:eastAsia="仿宋" w:cs="仿宋"/>
          <w:color w:val="auto"/>
          <w:sz w:val="24"/>
          <w:szCs w:val="24"/>
          <w:highlight w:val="none"/>
        </w:rPr>
        <w:t>对现有的垃圾分类设备设施进行统一的视觉形象设计，包括且不限于对集置点/垃圾桶、宣传栏、宣传海报进行优化和科学布局。</w:t>
      </w:r>
    </w:p>
    <w:p>
      <w:pPr>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5.汇报总结</w:t>
      </w:r>
      <w:r>
        <w:rPr>
          <w:rFonts w:hint="eastAsia" w:ascii="仿宋" w:hAnsi="仿宋" w:eastAsia="仿宋" w:cs="仿宋"/>
          <w:color w:val="auto"/>
          <w:sz w:val="24"/>
          <w:szCs w:val="24"/>
          <w:highlight w:val="none"/>
        </w:rPr>
        <w:t>：需服从采购人的管理，所有工作方面汇报对象最高级别为采购人单位负责人，不得越级汇报；每季度就本项目开展情况，向采购人进行汇报，并提交书面汇报材料；未经采购人许可不得将涉及本项目商务、技术信息资料对采购人以外的单位或个人公开。</w:t>
      </w:r>
    </w:p>
    <w:p>
      <w:pPr>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6.调研接待：</w:t>
      </w:r>
      <w:r>
        <w:rPr>
          <w:rFonts w:hint="eastAsia" w:ascii="仿宋" w:hAnsi="仿宋" w:eastAsia="仿宋" w:cs="仿宋"/>
          <w:color w:val="auto"/>
          <w:sz w:val="24"/>
          <w:szCs w:val="24"/>
          <w:highlight w:val="none"/>
        </w:rPr>
        <w:t>完成采购人布置的各项应急保障和接待调研来访工作。</w:t>
      </w:r>
    </w:p>
    <w:p>
      <w:pPr>
        <w:autoSpaceDE w:val="0"/>
        <w:autoSpaceDN w:val="0"/>
        <w:spacing w:line="360" w:lineRule="auto"/>
        <w:ind w:firstLine="482" w:firstLineChars="200"/>
        <w:textAlignment w:val="bottom"/>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7.工作响应</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提供24小时电话客服服务，发现问题30分钟内到达现场，简单问题现场解决、复杂问题48小时解决，小型设备无法在48小时内解决的，需替换维修；大型设备无法在7个自然日维修完毕的，需提供替代设备。服务单位应在服务辖区内设置固定办公场所（面积不少于30个平方米）和停放作业器具的仓库,至少配备一辆车辆（5个及以上座位）保障日常巡查、设备应急维修、服务响应及时性。</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8.垃圾分类服务工作实时在线记录：</w:t>
      </w:r>
      <w:r>
        <w:rPr>
          <w:rFonts w:hint="eastAsia" w:ascii="仿宋" w:hAnsi="仿宋" w:eastAsia="仿宋" w:cs="仿宋"/>
          <w:color w:val="auto"/>
          <w:sz w:val="24"/>
          <w:szCs w:val="24"/>
          <w:highlight w:val="none"/>
        </w:rPr>
        <w:t>服务单位提供APP或小程序，实现数字化实时线上服务工作记录，包括但不限于人员到位考勤记录上下岗、策划活动记录、入户宣传记录、巡检记录等内容，并提供顶级管理员账号，便于采购人检查和考核。APP或小程序需实现的功能；</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（1）所有工作人员信息；</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（2）所有人员上下岗打卡；</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（3）管理员入户宣传打卡，一个定位一张照片一个工作评价；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（4）策划活动记录，一个定位一张照片一个工作评价；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（5）巡检、</w:t>
      </w:r>
      <w:r>
        <w:rPr>
          <w:rFonts w:hint="eastAsia" w:ascii="仿宋" w:hAnsi="仿宋" w:eastAsia="仿宋" w:cs="仿宋"/>
          <w:snapToGrid w:val="0"/>
          <w:color w:val="auto"/>
          <w:kern w:val="0"/>
          <w:sz w:val="24"/>
          <w:szCs w:val="24"/>
          <w:highlight w:val="none"/>
        </w:rPr>
        <w:t>培训、指导记录，</w:t>
      </w:r>
      <w:r>
        <w:rPr>
          <w:rFonts w:hint="eastAsia" w:ascii="仿宋" w:hAnsi="仿宋" w:eastAsia="仿宋" w:cs="仿宋"/>
          <w:color w:val="auto"/>
          <w:sz w:val="24"/>
          <w:szCs w:val="24"/>
          <w:highlight w:val="none"/>
        </w:rPr>
        <w:t>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（6）投放点、再生资源回收点每日工作开始结束记录，一定位一照片。</w:t>
      </w:r>
    </w:p>
    <w:p>
      <w:pPr>
        <w:pStyle w:val="14"/>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9.标准化管理：</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（1）投标人应具有比较完善的组织架构，具有清晰的主要管理流程、权责分配、运作流程图、监督机制、自我约束机制、信息反馈渠道及处理机制。</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具有完善的、切实有效的企业管理制度（包括但不限于绩效管理制度、台账管理制度及台账模板、员工考勤制度、员工日常行为规范管理制度、廉洁管理制度、资产管理制度、档案管理制度等相关规章制度）和规范化的垃圾分类服务质量控制标准。</w:t>
      </w:r>
    </w:p>
    <w:p>
      <w:pPr>
        <w:spacing w:line="360" w:lineRule="auto"/>
        <w:ind w:firstLine="420"/>
        <w:rPr>
          <w:rFonts w:hint="eastAsia" w:ascii="仿宋" w:hAnsi="仿宋" w:eastAsia="仿宋" w:cs="仿宋"/>
          <w:color w:val="auto"/>
          <w:sz w:val="24"/>
          <w:szCs w:val="24"/>
          <w:highlight w:val="none"/>
        </w:rPr>
        <w:sectPr>
          <w:headerReference r:id="rId4" w:type="default"/>
          <w:footerReference r:id="rId5" w:type="default"/>
          <w:pgSz w:w="11905" w:h="16838"/>
          <w:pgMar w:top="1100" w:right="1803" w:bottom="1043" w:left="1803" w:header="652" w:footer="595" w:gutter="0"/>
          <w:pgNumType w:fmt="decimal"/>
          <w:cols w:space="720" w:num="1"/>
          <w:docGrid w:type="lines" w:linePitch="313" w:charSpace="0"/>
        </w:sectPr>
      </w:pPr>
    </w:p>
    <w:p>
      <w:pPr>
        <w:spacing w:line="360" w:lineRule="auto"/>
        <w:outlineLvl w:val="0"/>
        <w:rPr>
          <w:rFonts w:hint="eastAsia" w:ascii="仿宋" w:hAnsi="仿宋" w:eastAsia="仿宋" w:cs="仿宋"/>
          <w:b/>
          <w:bCs/>
          <w:color w:val="auto"/>
          <w:sz w:val="24"/>
          <w:szCs w:val="24"/>
          <w:highlight w:val="none"/>
        </w:rPr>
      </w:pPr>
      <w:r>
        <w:rPr>
          <w:rFonts w:hint="eastAsia" w:ascii="仿宋" w:hAnsi="仿宋" w:eastAsia="仿宋" w:cs="仿宋"/>
          <w:b/>
          <w:bCs/>
          <w:snapToGrid w:val="0"/>
          <w:color w:val="auto"/>
          <w:kern w:val="0"/>
          <w:sz w:val="24"/>
          <w:szCs w:val="24"/>
          <w:highlight w:val="none"/>
        </w:rPr>
        <w:t>六、项目组组织架构及人员配备要求</w:t>
      </w:r>
    </w:p>
    <w:tbl>
      <w:tblPr>
        <w:tblStyle w:val="25"/>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56"/>
        <w:gridCol w:w="1190"/>
        <w:gridCol w:w="1704"/>
        <w:gridCol w:w="3445"/>
        <w:gridCol w:w="5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7"/>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垃圾分类项目组人员配备最低要求表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序号</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岗位</w:t>
            </w:r>
          </w:p>
          <w:p>
            <w:pPr>
              <w:spacing w:line="240" w:lineRule="auto"/>
              <w:jc w:val="center"/>
              <w:rPr>
                <w:rFonts w:cs="仿宋"/>
                <w:b/>
                <w:bCs/>
                <w:color w:val="auto"/>
                <w:highlight w:val="none"/>
              </w:rPr>
            </w:pPr>
            <w:r>
              <w:rPr>
                <w:rFonts w:hint="eastAsia" w:cs="仿宋"/>
                <w:b/>
                <w:bCs/>
                <w:color w:val="auto"/>
                <w:highlight w:val="none"/>
              </w:rPr>
              <w:t>名称</w:t>
            </w:r>
          </w:p>
        </w:tc>
        <w:tc>
          <w:tcPr>
            <w:tcW w:w="382"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岗位</w:t>
            </w:r>
          </w:p>
          <w:p>
            <w:pPr>
              <w:spacing w:line="240" w:lineRule="auto"/>
              <w:jc w:val="center"/>
              <w:rPr>
                <w:rFonts w:cs="仿宋"/>
                <w:b/>
                <w:bCs/>
                <w:color w:val="auto"/>
                <w:highlight w:val="none"/>
              </w:rPr>
            </w:pPr>
            <w:r>
              <w:rPr>
                <w:rFonts w:hint="eastAsia" w:cs="仿宋"/>
                <w:b/>
                <w:bCs/>
                <w:color w:val="auto"/>
                <w:highlight w:val="none"/>
              </w:rPr>
              <w:t>数量</w:t>
            </w:r>
          </w:p>
        </w:tc>
        <w:tc>
          <w:tcPr>
            <w:tcW w:w="548"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工作时间</w:t>
            </w:r>
          </w:p>
        </w:tc>
        <w:tc>
          <w:tcPr>
            <w:tcW w:w="1108"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w:t>
            </w:r>
            <w:r>
              <w:rPr>
                <w:rFonts w:hint="eastAsia" w:cs="仿宋"/>
                <w:b/>
                <w:bCs/>
                <w:color w:val="auto"/>
                <w:highlight w:val="none"/>
              </w:rPr>
              <w:t>说明</w:t>
            </w:r>
          </w:p>
        </w:tc>
        <w:tc>
          <w:tcPr>
            <w:tcW w:w="1849"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岗位要求</w:t>
            </w:r>
          </w:p>
        </w:tc>
        <w:tc>
          <w:tcPr>
            <w:tcW w:w="562"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w:t>
            </w:r>
            <w:r>
              <w:rPr>
                <w:rFonts w:hint="eastAsia" w:cs="仿宋"/>
                <w:b/>
                <w:bCs/>
                <w:color w:val="auto"/>
                <w:highlight w:val="none"/>
              </w:rPr>
              <w:t>最低人数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一</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项目</w:t>
            </w:r>
          </w:p>
          <w:p>
            <w:pPr>
              <w:spacing w:line="240" w:lineRule="auto"/>
              <w:jc w:val="center"/>
              <w:rPr>
                <w:rFonts w:cs="仿宋"/>
                <w:b/>
                <w:bCs/>
                <w:color w:val="auto"/>
                <w:highlight w:val="none"/>
              </w:rPr>
            </w:pPr>
            <w:r>
              <w:rPr>
                <w:rFonts w:hint="eastAsia" w:cs="仿宋"/>
                <w:b/>
                <w:bCs/>
                <w:color w:val="auto"/>
                <w:highlight w:val="none"/>
              </w:rPr>
              <w:t>经理</w:t>
            </w:r>
          </w:p>
        </w:tc>
        <w:tc>
          <w:tcPr>
            <w:tcW w:w="382" w:type="pct"/>
            <w:shd w:val="clear" w:color="000000" w:fill="FFFFFF"/>
            <w:vAlign w:val="center"/>
          </w:tcPr>
          <w:p>
            <w:pPr>
              <w:spacing w:line="240" w:lineRule="auto"/>
              <w:jc w:val="center"/>
              <w:rPr>
                <w:rFonts w:cs="仿宋"/>
                <w:b/>
                <w:bCs/>
                <w:color w:val="auto"/>
                <w:highlight w:val="none"/>
              </w:rPr>
            </w:pPr>
            <w:r>
              <w:rPr>
                <w:rFonts w:hint="eastAsia" w:cs="仿宋"/>
                <w:b w:val="0"/>
                <w:bCs w:val="0"/>
                <w:color w:val="auto"/>
                <w:highlight w:val="none"/>
              </w:rPr>
              <w:t>1</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每周不少于6天。</w:t>
            </w:r>
          </w:p>
          <w:p>
            <w:pPr>
              <w:spacing w:line="240" w:lineRule="auto"/>
              <w:jc w:val="center"/>
              <w:rPr>
                <w:rFonts w:cs="仿宋"/>
                <w:b/>
                <w:bCs/>
                <w:color w:val="auto"/>
                <w:highlight w:val="none"/>
              </w:rPr>
            </w:pPr>
            <w:r>
              <w:rPr>
                <w:rFonts w:hint="eastAsia" w:cs="仿宋"/>
                <w:color w:val="auto"/>
                <w:highlight w:val="none"/>
              </w:rPr>
              <w:t>7:00-11:00, 13:00-17:00</w:t>
            </w:r>
          </w:p>
        </w:tc>
        <w:tc>
          <w:tcPr>
            <w:tcW w:w="1108" w:type="pct"/>
            <w:shd w:val="clear" w:color="000000" w:fill="FFFFFF"/>
            <w:vAlign w:val="center"/>
          </w:tcPr>
          <w:p>
            <w:pPr>
              <w:numPr>
                <w:ilvl w:val="0"/>
                <w:numId w:val="1"/>
              </w:numPr>
              <w:spacing w:line="240" w:lineRule="auto"/>
              <w:rPr>
                <w:rFonts w:cs="仿宋"/>
                <w:color w:val="auto"/>
                <w:highlight w:val="none"/>
              </w:rPr>
            </w:pPr>
            <w:r>
              <w:rPr>
                <w:rFonts w:hint="eastAsia" w:cs="仿宋"/>
                <w:color w:val="auto"/>
                <w:highlight w:val="none"/>
              </w:rPr>
              <w:t>和服务单位签订劳动合同并缴纳社保的正式全职员工。</w:t>
            </w:r>
          </w:p>
          <w:p>
            <w:pPr>
              <w:numPr>
                <w:ilvl w:val="0"/>
                <w:numId w:val="1"/>
              </w:numPr>
              <w:spacing w:line="240" w:lineRule="auto"/>
              <w:rPr>
                <w:rFonts w:cs="仿宋"/>
                <w:color w:val="auto"/>
                <w:highlight w:val="none"/>
              </w:rPr>
            </w:pPr>
            <w:r>
              <w:rPr>
                <w:rFonts w:hint="eastAsia" w:cs="仿宋"/>
                <w:color w:val="auto"/>
                <w:highlight w:val="none"/>
              </w:rPr>
              <w:t>大专及以上学历。</w:t>
            </w:r>
          </w:p>
        </w:tc>
        <w:tc>
          <w:tcPr>
            <w:tcW w:w="1849" w:type="pct"/>
            <w:shd w:val="clear" w:color="000000" w:fill="FFFFFF"/>
            <w:vAlign w:val="center"/>
          </w:tcPr>
          <w:p>
            <w:pPr>
              <w:spacing w:line="240" w:lineRule="auto"/>
              <w:rPr>
                <w:rFonts w:cs="仿宋"/>
                <w:color w:val="auto"/>
                <w:highlight w:val="none"/>
              </w:rPr>
            </w:pPr>
            <w:r>
              <w:rPr>
                <w:rFonts w:hint="eastAsia" w:cs="仿宋"/>
                <w:color w:val="auto"/>
                <w:highlight w:val="none"/>
              </w:rPr>
              <w:t>1.负责项目人、事、物</w:t>
            </w:r>
            <w:r>
              <w:rPr>
                <w:rFonts w:hint="eastAsia" w:cs="仿宋"/>
                <w:color w:val="auto"/>
                <w:highlight w:val="none"/>
              </w:rPr>
              <w:t>（供应商应在投标文件明确项目经理管理权限）；</w:t>
            </w:r>
          </w:p>
          <w:p>
            <w:pPr>
              <w:spacing w:line="240" w:lineRule="auto"/>
              <w:rPr>
                <w:rFonts w:cs="仿宋"/>
                <w:color w:val="auto"/>
                <w:highlight w:val="none"/>
              </w:rPr>
            </w:pPr>
            <w:r>
              <w:rPr>
                <w:rFonts w:hint="eastAsia" w:cs="仿宋"/>
                <w:color w:val="auto"/>
                <w:highlight w:val="none"/>
              </w:rPr>
              <w:t>2.协调联系采购人、社区、物业、直运（其他和易腐）及其他行业管理部门，谋划推进提质增效，对本项目的服务质量和考核结果直接负责。</w:t>
            </w:r>
          </w:p>
          <w:p>
            <w:pPr>
              <w:spacing w:line="240" w:lineRule="auto"/>
              <w:rPr>
                <w:rFonts w:cs="仿宋"/>
                <w:b/>
                <w:bCs/>
                <w:color w:val="auto"/>
                <w:highlight w:val="none"/>
              </w:rPr>
            </w:pPr>
            <w:r>
              <w:rPr>
                <w:rFonts w:hint="eastAsia" w:cs="仿宋"/>
                <w:color w:val="auto"/>
                <w:highlight w:val="none"/>
              </w:rPr>
              <w:t>3.</w:t>
            </w:r>
            <w:r>
              <w:rPr>
                <w:rFonts w:hint="eastAsia" w:cs="仿宋"/>
                <w:b/>
                <w:bCs/>
                <w:color w:val="auto"/>
                <w:highlight w:val="none"/>
              </w:rPr>
              <w:t>拟派项目经理在投标截止日无在其他任何在履约合同项目上担任项目负责人（项目经理）的情形。在履约合同项目的开始时间为合同项目中标通知书发出日期（直接签订合同的，开始时间为合同签订日期），结束时间为该合同通过合同验收或合同解除日期。若拟派项目经理已在履约合同中担任项目经理，但合同服务期在本项目合同签订之日已结束的，则不视为在履约。</w:t>
            </w:r>
          </w:p>
        </w:tc>
        <w:tc>
          <w:tcPr>
            <w:tcW w:w="562" w:type="pct"/>
            <w:shd w:val="clear" w:color="000000" w:fill="FFFFFF"/>
            <w:vAlign w:val="center"/>
          </w:tcPr>
          <w:p>
            <w:pPr>
              <w:spacing w:line="240" w:lineRule="auto"/>
              <w:jc w:val="center"/>
              <w:rPr>
                <w:rFonts w:hint="eastAsia" w:eastAsia="仿宋" w:cs="仿宋"/>
                <w:color w:val="auto"/>
                <w:highlight w:val="none"/>
                <w:lang w:val="en-US" w:eastAsia="zh-CN"/>
              </w:rPr>
            </w:pPr>
            <w:r>
              <w:rPr>
                <w:rFonts w:hint="eastAsia" w:cs="仿宋"/>
                <w:color w:val="auto"/>
                <w:highlight w:val="none"/>
              </w:rPr>
              <w:t>标项一：1</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标项二：1</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标项三：1</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二</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管理策划组</w:t>
            </w:r>
          </w:p>
        </w:tc>
        <w:tc>
          <w:tcPr>
            <w:tcW w:w="382" w:type="pct"/>
            <w:shd w:val="clear" w:color="000000" w:fill="FFFFFF"/>
            <w:vAlign w:val="center"/>
          </w:tcPr>
          <w:p>
            <w:pPr>
              <w:spacing w:line="240" w:lineRule="auto"/>
              <w:jc w:val="center"/>
              <w:rPr>
                <w:rFonts w:cs="仿宋"/>
                <w:b/>
                <w:bCs/>
                <w:color w:val="auto"/>
                <w:highlight w:val="none"/>
              </w:rPr>
            </w:pPr>
          </w:p>
        </w:tc>
        <w:tc>
          <w:tcPr>
            <w:tcW w:w="548" w:type="pct"/>
            <w:shd w:val="clear" w:color="000000" w:fill="FFFFFF"/>
            <w:vAlign w:val="center"/>
          </w:tcPr>
          <w:p>
            <w:pPr>
              <w:spacing w:line="240" w:lineRule="auto"/>
              <w:jc w:val="center"/>
              <w:rPr>
                <w:rFonts w:cs="仿宋"/>
                <w:color w:val="auto"/>
                <w:highlight w:val="none"/>
              </w:rPr>
            </w:pPr>
          </w:p>
        </w:tc>
        <w:tc>
          <w:tcPr>
            <w:tcW w:w="1108" w:type="pct"/>
            <w:shd w:val="clear" w:color="000000" w:fill="FFFFFF"/>
            <w:vAlign w:val="center"/>
          </w:tcPr>
          <w:p>
            <w:pPr>
              <w:spacing w:line="240" w:lineRule="auto"/>
              <w:jc w:val="center"/>
              <w:rPr>
                <w:rFonts w:cs="仿宋"/>
                <w:b/>
                <w:bCs/>
                <w:color w:val="auto"/>
                <w:highlight w:val="none"/>
              </w:rPr>
            </w:pPr>
          </w:p>
        </w:tc>
        <w:tc>
          <w:tcPr>
            <w:tcW w:w="1849" w:type="pct"/>
            <w:shd w:val="clear" w:color="000000" w:fill="FFFFFF"/>
            <w:vAlign w:val="center"/>
          </w:tcPr>
          <w:p>
            <w:pPr>
              <w:spacing w:line="240" w:lineRule="auto"/>
              <w:jc w:val="center"/>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1</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管理员</w:t>
            </w:r>
          </w:p>
        </w:tc>
        <w:tc>
          <w:tcPr>
            <w:tcW w:w="382" w:type="pct"/>
            <w:shd w:val="clear" w:color="000000" w:fill="FFFFFF"/>
            <w:vAlign w:val="center"/>
          </w:tcPr>
          <w:p>
            <w:pPr>
              <w:spacing w:line="240" w:lineRule="auto"/>
              <w:jc w:val="center"/>
              <w:rPr>
                <w:rFonts w:cs="仿宋"/>
                <w:b/>
                <w:bCs/>
                <w:color w:val="auto"/>
                <w:highlight w:val="none"/>
              </w:rPr>
            </w:pPr>
            <w:r>
              <w:rPr>
                <w:rFonts w:hint="eastAsia" w:cs="仿宋"/>
                <w:color w:val="auto"/>
                <w:highlight w:val="none"/>
              </w:rPr>
              <w:t>每2000户配备一个岗位</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每周不少于5天。</w:t>
            </w:r>
          </w:p>
          <w:p>
            <w:pPr>
              <w:spacing w:line="240" w:lineRule="auto"/>
              <w:jc w:val="center"/>
              <w:rPr>
                <w:rFonts w:cs="仿宋"/>
                <w:color w:val="auto"/>
                <w:highlight w:val="none"/>
              </w:rPr>
            </w:pPr>
            <w:r>
              <w:rPr>
                <w:rFonts w:hint="eastAsia" w:cs="仿宋"/>
                <w:color w:val="auto"/>
                <w:highlight w:val="none"/>
              </w:rPr>
              <w:t>8:00-12:00, 13:00-17:00</w:t>
            </w:r>
          </w:p>
        </w:tc>
        <w:tc>
          <w:tcPr>
            <w:tcW w:w="1108" w:type="pct"/>
            <w:shd w:val="clear" w:color="000000" w:fill="FFFFFF"/>
            <w:vAlign w:val="center"/>
          </w:tcPr>
          <w:p>
            <w:pPr>
              <w:numPr>
                <w:ilvl w:val="0"/>
                <w:numId w:val="2"/>
              </w:numPr>
              <w:spacing w:line="240" w:lineRule="auto"/>
              <w:rPr>
                <w:rFonts w:cs="仿宋"/>
                <w:b w:val="0"/>
                <w:bCs w:val="0"/>
                <w:color w:val="auto"/>
                <w:highlight w:val="none"/>
              </w:rPr>
            </w:pPr>
            <w:r>
              <w:rPr>
                <w:rFonts w:hint="eastAsia" w:cs="仿宋"/>
                <w:b w:val="0"/>
                <w:bCs w:val="0"/>
                <w:color w:val="auto"/>
                <w:highlight w:val="none"/>
              </w:rPr>
              <w:t>和服务单位签订劳动合同并缴纳社保的正式全职员工。</w:t>
            </w:r>
          </w:p>
          <w:p>
            <w:pPr>
              <w:numPr>
                <w:ilvl w:val="0"/>
                <w:numId w:val="2"/>
              </w:numPr>
              <w:spacing w:line="240" w:lineRule="auto"/>
              <w:rPr>
                <w:rFonts w:cs="仿宋"/>
                <w:b/>
                <w:bCs/>
                <w:color w:val="auto"/>
                <w:highlight w:val="none"/>
              </w:rPr>
            </w:pPr>
            <w:r>
              <w:rPr>
                <w:rFonts w:hint="eastAsia" w:cs="仿宋"/>
                <w:b w:val="0"/>
                <w:bCs w:val="0"/>
                <w:color w:val="auto"/>
                <w:highlight w:val="none"/>
              </w:rPr>
              <w:t>每1万户设组长一名，组长要求大专及以上学历。</w:t>
            </w:r>
          </w:p>
        </w:tc>
        <w:tc>
          <w:tcPr>
            <w:tcW w:w="1849" w:type="pct"/>
            <w:shd w:val="clear" w:color="000000" w:fill="FFFFFF"/>
            <w:vAlign w:val="center"/>
          </w:tcPr>
          <w:p>
            <w:pPr>
              <w:spacing w:line="240" w:lineRule="auto"/>
              <w:rPr>
                <w:rFonts w:cs="仿宋"/>
                <w:color w:val="auto"/>
                <w:highlight w:val="none"/>
              </w:rPr>
            </w:pPr>
            <w:r>
              <w:rPr>
                <w:rFonts w:hint="eastAsia" w:cs="仿宋"/>
                <w:color w:val="auto"/>
                <w:highlight w:val="none"/>
              </w:rPr>
              <w:t>1.负责小区的垃圾分类氛围营造，包括且不限于分类活动、宣传氛围和提升参与率、准确率、对物业培训等。每月25日前书面汇报本月工作及下月计划并辅以相关的活动台帐。每个社区每月不少于一次大型活动（政策不允许人群集聚期除外），分类小区每月至少组织一次宣传或培训活动，示范小区加倍，配合社区做好定时定点新推进小区的实施策划，参与率不达标小区的改善策划等策划提升活动。</w:t>
            </w:r>
          </w:p>
          <w:p>
            <w:pPr>
              <w:spacing w:line="240" w:lineRule="auto"/>
              <w:rPr>
                <w:rFonts w:cs="仿宋"/>
                <w:color w:val="auto"/>
                <w:highlight w:val="none"/>
              </w:rPr>
            </w:pPr>
            <w:r>
              <w:rPr>
                <w:rFonts w:hint="eastAsia" w:cs="仿宋"/>
                <w:color w:val="auto"/>
                <w:highlight w:val="none"/>
              </w:rPr>
              <w:t>2.对萧山区生活垃圾分类智能监管平台（城市大脑）中没有投放数据的住户开展上门宣传，服从社区的直接管理，配合社区开展各种垃圾分类宣传活动，由第三方落实绩效考核，每半个月完成萧山区生活垃圾分类智能监管平台（城市大脑）无数据常住户的入户宣传全覆盖（需要有APP记录辅证）；做好负责辖区的生活垃圾和投放点位的管理工作。</w:t>
            </w: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标项一：15</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标项二：13</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标项三：13</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三</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平台</w:t>
            </w:r>
          </w:p>
          <w:p>
            <w:pPr>
              <w:spacing w:line="240" w:lineRule="auto"/>
              <w:jc w:val="center"/>
              <w:rPr>
                <w:rFonts w:cs="仿宋"/>
                <w:b/>
                <w:bCs/>
                <w:color w:val="auto"/>
                <w:highlight w:val="none"/>
              </w:rPr>
            </w:pPr>
            <w:r>
              <w:rPr>
                <w:rFonts w:hint="eastAsia" w:cs="仿宋"/>
                <w:b/>
                <w:bCs/>
                <w:color w:val="auto"/>
                <w:highlight w:val="none"/>
              </w:rPr>
              <w:t>对接组</w:t>
            </w:r>
          </w:p>
        </w:tc>
        <w:tc>
          <w:tcPr>
            <w:tcW w:w="382" w:type="pct"/>
            <w:shd w:val="clear" w:color="000000" w:fill="FFFFFF"/>
            <w:vAlign w:val="center"/>
          </w:tcPr>
          <w:p>
            <w:pPr>
              <w:spacing w:line="240" w:lineRule="auto"/>
              <w:jc w:val="center"/>
              <w:rPr>
                <w:rFonts w:cs="仿宋"/>
                <w:b/>
                <w:bCs/>
                <w:color w:val="auto"/>
                <w:highlight w:val="none"/>
              </w:rPr>
            </w:pPr>
          </w:p>
        </w:tc>
        <w:tc>
          <w:tcPr>
            <w:tcW w:w="548" w:type="pct"/>
            <w:shd w:val="clear" w:color="000000" w:fill="FFFFFF"/>
            <w:vAlign w:val="center"/>
          </w:tcPr>
          <w:p>
            <w:pPr>
              <w:spacing w:line="240" w:lineRule="auto"/>
              <w:jc w:val="center"/>
              <w:rPr>
                <w:rFonts w:cs="仿宋"/>
                <w:color w:val="auto"/>
                <w:highlight w:val="none"/>
              </w:rPr>
            </w:pPr>
          </w:p>
        </w:tc>
        <w:tc>
          <w:tcPr>
            <w:tcW w:w="1108" w:type="pct"/>
            <w:shd w:val="clear" w:color="000000" w:fill="FFFFFF"/>
            <w:vAlign w:val="center"/>
          </w:tcPr>
          <w:p>
            <w:pPr>
              <w:spacing w:line="240" w:lineRule="auto"/>
              <w:jc w:val="center"/>
              <w:rPr>
                <w:rFonts w:cs="仿宋"/>
                <w:b/>
                <w:bCs/>
                <w:color w:val="auto"/>
                <w:highlight w:val="none"/>
              </w:rPr>
            </w:pPr>
          </w:p>
        </w:tc>
        <w:tc>
          <w:tcPr>
            <w:tcW w:w="1849" w:type="pct"/>
            <w:shd w:val="clear" w:color="000000" w:fill="FFFFFF"/>
            <w:vAlign w:val="center"/>
          </w:tcPr>
          <w:p>
            <w:pPr>
              <w:spacing w:line="240" w:lineRule="auto"/>
              <w:jc w:val="center"/>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1</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工程师</w:t>
            </w:r>
          </w:p>
        </w:tc>
        <w:tc>
          <w:tcPr>
            <w:tcW w:w="382" w:type="pct"/>
            <w:shd w:val="clear" w:color="000000" w:fill="FFFFFF"/>
            <w:vAlign w:val="center"/>
          </w:tcPr>
          <w:p>
            <w:pPr>
              <w:spacing w:line="240" w:lineRule="auto"/>
              <w:jc w:val="center"/>
              <w:rPr>
                <w:rFonts w:cs="仿宋"/>
                <w:b/>
                <w:bCs/>
                <w:color w:val="auto"/>
                <w:highlight w:val="none"/>
              </w:rPr>
            </w:pPr>
            <w:r>
              <w:rPr>
                <w:rFonts w:hint="eastAsia" w:cs="仿宋"/>
                <w:color w:val="auto"/>
                <w:highlight w:val="none"/>
              </w:rPr>
              <w:t>2个岗位</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每周不少于5天。8:30-12:00, 13:00-17:00</w:t>
            </w:r>
          </w:p>
        </w:tc>
        <w:tc>
          <w:tcPr>
            <w:tcW w:w="1108" w:type="pct"/>
            <w:shd w:val="clear" w:color="000000" w:fill="FFFFFF"/>
            <w:vAlign w:val="center"/>
          </w:tcPr>
          <w:p>
            <w:pPr>
              <w:numPr>
                <w:ilvl w:val="0"/>
                <w:numId w:val="3"/>
              </w:numPr>
              <w:spacing w:line="240" w:lineRule="auto"/>
              <w:rPr>
                <w:rFonts w:cs="仿宋"/>
                <w:color w:val="auto"/>
                <w:highlight w:val="none"/>
              </w:rPr>
            </w:pPr>
            <w:r>
              <w:rPr>
                <w:rFonts w:hint="eastAsia" w:cs="仿宋"/>
                <w:color w:val="auto"/>
                <w:highlight w:val="none"/>
              </w:rPr>
              <w:t>和服务单位签订劳动合同并缴纳社保的的正式全职员工；</w:t>
            </w:r>
          </w:p>
          <w:p>
            <w:pPr>
              <w:numPr>
                <w:ilvl w:val="0"/>
                <w:numId w:val="3"/>
              </w:numPr>
              <w:spacing w:line="240" w:lineRule="auto"/>
              <w:rPr>
                <w:rFonts w:cs="仿宋"/>
                <w:color w:val="auto"/>
                <w:highlight w:val="none"/>
              </w:rPr>
            </w:pPr>
            <w:r>
              <w:rPr>
                <w:rFonts w:hint="eastAsia" w:cs="仿宋"/>
                <w:color w:val="auto"/>
                <w:highlight w:val="none"/>
              </w:rPr>
              <w:t>计算机或电子信息相关专业，大学本科及以上学历</w:t>
            </w:r>
            <w:r>
              <w:rPr>
                <w:rFonts w:hint="eastAsia" w:cs="仿宋"/>
                <w:b/>
                <w:bCs/>
                <w:color w:val="auto"/>
                <w:highlight w:val="none"/>
              </w:rPr>
              <w:t>。</w:t>
            </w:r>
          </w:p>
        </w:tc>
        <w:tc>
          <w:tcPr>
            <w:tcW w:w="1849" w:type="pct"/>
            <w:shd w:val="clear" w:color="000000" w:fill="FFFFFF"/>
            <w:vAlign w:val="center"/>
          </w:tcPr>
          <w:p>
            <w:pPr>
              <w:pStyle w:val="14"/>
              <w:spacing w:line="240" w:lineRule="auto"/>
              <w:rPr>
                <w:rFonts w:ascii="仿宋" w:hAnsi="仿宋" w:cs="仿宋"/>
                <w:color w:val="auto"/>
                <w:szCs w:val="24"/>
                <w:highlight w:val="none"/>
                <w:lang w:val="en-US"/>
              </w:rPr>
            </w:pPr>
            <w:r>
              <w:rPr>
                <w:rFonts w:hint="eastAsia" w:ascii="仿宋" w:hAnsi="仿宋" w:cs="仿宋"/>
                <w:color w:val="auto"/>
                <w:szCs w:val="24"/>
                <w:highlight w:val="none"/>
                <w:lang w:val="en-US"/>
              </w:rPr>
              <w:t>负责对接各个智能平台，并巡检、培训、指导各社区、物业、第三方工作人员相关的智能应用，每周出具投放数据、生活垃圾重量分析报告，对街道的数据质量开展自查。</w:t>
            </w:r>
          </w:p>
          <w:p>
            <w:pPr>
              <w:spacing w:line="240" w:lineRule="auto"/>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标项一：2</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标项二：2</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标项三：2</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四</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再生资源回收组</w:t>
            </w:r>
          </w:p>
        </w:tc>
        <w:tc>
          <w:tcPr>
            <w:tcW w:w="382" w:type="pct"/>
            <w:shd w:val="clear" w:color="000000" w:fill="FFFFFF"/>
            <w:vAlign w:val="center"/>
          </w:tcPr>
          <w:p>
            <w:pPr>
              <w:spacing w:line="240" w:lineRule="auto"/>
              <w:jc w:val="center"/>
              <w:rPr>
                <w:rFonts w:cs="仿宋"/>
                <w:b/>
                <w:bCs/>
                <w:color w:val="auto"/>
                <w:highlight w:val="none"/>
              </w:rPr>
            </w:pPr>
          </w:p>
        </w:tc>
        <w:tc>
          <w:tcPr>
            <w:tcW w:w="548" w:type="pct"/>
            <w:shd w:val="clear" w:color="000000" w:fill="FFFFFF"/>
            <w:vAlign w:val="center"/>
          </w:tcPr>
          <w:p>
            <w:pPr>
              <w:spacing w:line="240" w:lineRule="auto"/>
              <w:jc w:val="center"/>
              <w:rPr>
                <w:rFonts w:cs="仿宋"/>
                <w:color w:val="auto"/>
                <w:highlight w:val="none"/>
              </w:rPr>
            </w:pPr>
          </w:p>
        </w:tc>
        <w:tc>
          <w:tcPr>
            <w:tcW w:w="1108" w:type="pct"/>
            <w:shd w:val="clear" w:color="000000" w:fill="FFFFFF"/>
            <w:vAlign w:val="center"/>
          </w:tcPr>
          <w:p>
            <w:pPr>
              <w:spacing w:line="240" w:lineRule="auto"/>
              <w:jc w:val="center"/>
              <w:rPr>
                <w:rFonts w:cs="仿宋"/>
                <w:b/>
                <w:bCs/>
                <w:color w:val="auto"/>
                <w:highlight w:val="none"/>
              </w:rPr>
            </w:pPr>
          </w:p>
        </w:tc>
        <w:tc>
          <w:tcPr>
            <w:tcW w:w="1849" w:type="pct"/>
            <w:shd w:val="clear" w:color="000000" w:fill="FFFFFF"/>
            <w:vAlign w:val="center"/>
          </w:tcPr>
          <w:p>
            <w:pPr>
              <w:spacing w:line="240" w:lineRule="auto"/>
              <w:jc w:val="center"/>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1</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回收员</w:t>
            </w:r>
          </w:p>
        </w:tc>
        <w:tc>
          <w:tcPr>
            <w:tcW w:w="382" w:type="pct"/>
            <w:shd w:val="clear" w:color="000000" w:fill="FFFFFF"/>
            <w:vAlign w:val="center"/>
          </w:tcPr>
          <w:p>
            <w:pPr>
              <w:spacing w:line="240" w:lineRule="auto"/>
              <w:jc w:val="center"/>
              <w:rPr>
                <w:rFonts w:cs="仿宋"/>
                <w:b/>
                <w:bCs/>
                <w:color w:val="auto"/>
                <w:highlight w:val="none"/>
              </w:rPr>
            </w:pPr>
            <w:r>
              <w:rPr>
                <w:rFonts w:hint="eastAsia" w:cs="仿宋"/>
                <w:color w:val="auto"/>
                <w:highlight w:val="none"/>
              </w:rPr>
              <w:t>每3个再生资源网点设一个岗位</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每天不少于</w:t>
            </w:r>
          </w:p>
          <w:p>
            <w:pPr>
              <w:spacing w:line="240" w:lineRule="auto"/>
              <w:jc w:val="center"/>
              <w:rPr>
                <w:rFonts w:cs="仿宋"/>
                <w:color w:val="auto"/>
                <w:highlight w:val="none"/>
              </w:rPr>
            </w:pPr>
            <w:r>
              <w:rPr>
                <w:rFonts w:hint="eastAsia" w:cs="仿宋"/>
                <w:color w:val="auto"/>
                <w:highlight w:val="none"/>
              </w:rPr>
              <w:t>8小时</w:t>
            </w:r>
          </w:p>
        </w:tc>
        <w:tc>
          <w:tcPr>
            <w:tcW w:w="1108" w:type="pct"/>
            <w:shd w:val="clear" w:color="000000" w:fill="FFFFFF"/>
            <w:vAlign w:val="center"/>
          </w:tcPr>
          <w:p>
            <w:pPr>
              <w:spacing w:line="240" w:lineRule="auto"/>
              <w:rPr>
                <w:rFonts w:cs="仿宋"/>
                <w:color w:val="auto"/>
                <w:highlight w:val="none"/>
              </w:rPr>
            </w:pPr>
            <w:r>
              <w:rPr>
                <w:rFonts w:hint="eastAsia" w:cs="仿宋"/>
                <w:color w:val="auto"/>
                <w:highlight w:val="none"/>
              </w:rPr>
              <w:t>1.和服务单位签订劳动合同并缴纳社保的正式全职员工；</w:t>
            </w:r>
          </w:p>
          <w:p>
            <w:pPr>
              <w:spacing w:line="240" w:lineRule="auto"/>
              <w:rPr>
                <w:rFonts w:cs="仿宋"/>
                <w:color w:val="auto"/>
                <w:highlight w:val="none"/>
              </w:rPr>
            </w:pPr>
            <w:r>
              <w:rPr>
                <w:rFonts w:hint="eastAsia" w:cs="仿宋"/>
                <w:color w:val="auto"/>
                <w:highlight w:val="none"/>
              </w:rPr>
              <w:t>2.</w:t>
            </w:r>
            <w:r>
              <w:rPr>
                <w:rFonts w:hint="eastAsia" w:cs="仿宋"/>
                <w:color w:val="auto"/>
                <w:highlight w:val="none"/>
              </w:rPr>
              <w:t>设组长一名，</w:t>
            </w:r>
            <w:r>
              <w:rPr>
                <w:rFonts w:hint="eastAsia" w:cs="仿宋"/>
                <w:color w:val="auto"/>
                <w:highlight w:val="none"/>
              </w:rPr>
              <w:t>要求初中及以上学历。</w:t>
            </w:r>
            <w:r>
              <w:rPr>
                <w:rFonts w:hint="eastAsia" w:cs="仿宋"/>
                <w:color w:val="auto"/>
                <w:highlight w:val="none"/>
              </w:rPr>
              <w:t>可由回收员兼任</w:t>
            </w:r>
            <w:r>
              <w:rPr>
                <w:rFonts w:hint="eastAsia" w:cs="仿宋"/>
                <w:color w:val="auto"/>
                <w:highlight w:val="none"/>
              </w:rPr>
              <w:t>。</w:t>
            </w:r>
          </w:p>
        </w:tc>
        <w:tc>
          <w:tcPr>
            <w:tcW w:w="1849" w:type="pct"/>
            <w:shd w:val="clear" w:color="000000" w:fill="FFFFFF"/>
            <w:vAlign w:val="center"/>
          </w:tcPr>
          <w:p>
            <w:pPr>
              <w:spacing w:line="240" w:lineRule="auto"/>
              <w:rPr>
                <w:rFonts w:cs="仿宋"/>
                <w:color w:val="auto"/>
                <w:highlight w:val="none"/>
              </w:rPr>
            </w:pPr>
            <w:r>
              <w:rPr>
                <w:rFonts w:hint="eastAsia" w:cs="仿宋"/>
                <w:color w:val="auto"/>
                <w:highlight w:val="none"/>
              </w:rPr>
              <w:t>每个网点回收员驻点时间不少于2个小时，负责本社区内的再生资源网点内回收，回收数据进入区垃圾分类智能监管平台；负责在网点内对居民提供的再生资源采用积分兑换奖品或直接货币形式；负责网点的保洁和维护工作。根据居民需求提供上门回收服务。</w:t>
            </w: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w:t>
            </w:r>
            <w:r>
              <w:rPr>
                <w:rFonts w:cs="仿宋"/>
                <w:color w:val="auto"/>
                <w:highlight w:val="none"/>
              </w:rPr>
              <w:t>4</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w:t>
            </w:r>
            <w:r>
              <w:rPr>
                <w:rFonts w:cs="仿宋"/>
                <w:color w:val="auto"/>
                <w:highlight w:val="none"/>
              </w:rPr>
              <w:t>5</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标项三：5</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五</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定时定点分类组</w:t>
            </w:r>
          </w:p>
        </w:tc>
        <w:tc>
          <w:tcPr>
            <w:tcW w:w="382" w:type="pct"/>
            <w:shd w:val="clear" w:color="000000" w:fill="FFFFFF"/>
            <w:vAlign w:val="center"/>
          </w:tcPr>
          <w:p>
            <w:pPr>
              <w:spacing w:line="240" w:lineRule="auto"/>
              <w:jc w:val="center"/>
              <w:rPr>
                <w:rFonts w:cs="仿宋"/>
                <w:color w:val="auto"/>
                <w:highlight w:val="none"/>
              </w:rPr>
            </w:pPr>
          </w:p>
        </w:tc>
        <w:tc>
          <w:tcPr>
            <w:tcW w:w="548" w:type="pct"/>
            <w:shd w:val="clear" w:color="000000" w:fill="FFFFFF"/>
            <w:vAlign w:val="center"/>
          </w:tcPr>
          <w:p>
            <w:pPr>
              <w:spacing w:line="240" w:lineRule="auto"/>
              <w:jc w:val="center"/>
              <w:rPr>
                <w:rFonts w:cs="仿宋"/>
                <w:color w:val="auto"/>
                <w:highlight w:val="none"/>
              </w:rPr>
            </w:pPr>
          </w:p>
        </w:tc>
        <w:tc>
          <w:tcPr>
            <w:tcW w:w="1108" w:type="pct"/>
            <w:shd w:val="clear" w:color="000000" w:fill="FFFFFF"/>
            <w:vAlign w:val="center"/>
          </w:tcPr>
          <w:p>
            <w:pPr>
              <w:spacing w:line="240" w:lineRule="auto"/>
              <w:jc w:val="center"/>
              <w:rPr>
                <w:rFonts w:cs="仿宋"/>
                <w:color w:val="auto"/>
                <w:highlight w:val="none"/>
              </w:rPr>
            </w:pPr>
          </w:p>
        </w:tc>
        <w:tc>
          <w:tcPr>
            <w:tcW w:w="1849" w:type="pct"/>
            <w:shd w:val="clear" w:color="000000" w:fill="FFFFFF"/>
            <w:vAlign w:val="center"/>
          </w:tcPr>
          <w:p>
            <w:pPr>
              <w:spacing w:line="240" w:lineRule="auto"/>
              <w:jc w:val="center"/>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1</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分类员</w:t>
            </w:r>
          </w:p>
        </w:tc>
        <w:tc>
          <w:tcPr>
            <w:tcW w:w="38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每个定时定点投放点位设一个岗位</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每天早上工作两小时（9点前），晚上工作两小时（21点前）。</w:t>
            </w:r>
          </w:p>
          <w:p>
            <w:pPr>
              <w:spacing w:line="240" w:lineRule="auto"/>
              <w:jc w:val="center"/>
              <w:rPr>
                <w:rFonts w:cs="仿宋"/>
                <w:color w:val="auto"/>
                <w:highlight w:val="none"/>
              </w:rPr>
            </w:pPr>
            <w:r>
              <w:rPr>
                <w:rFonts w:hint="eastAsia" w:cs="仿宋"/>
                <w:color w:val="auto"/>
                <w:highlight w:val="none"/>
              </w:rPr>
              <w:t>（具体工作时间段以甲方要通知为准）</w:t>
            </w:r>
          </w:p>
        </w:tc>
        <w:tc>
          <w:tcPr>
            <w:tcW w:w="1108" w:type="pct"/>
            <w:shd w:val="clear" w:color="000000" w:fill="FFFFFF"/>
            <w:vAlign w:val="center"/>
          </w:tcPr>
          <w:p>
            <w:pPr>
              <w:spacing w:line="240" w:lineRule="auto"/>
              <w:rPr>
                <w:rFonts w:cs="仿宋"/>
                <w:color w:val="auto"/>
                <w:highlight w:val="none"/>
              </w:rPr>
            </w:pPr>
            <w:r>
              <w:rPr>
                <w:rFonts w:hint="eastAsia" w:cs="仿宋"/>
                <w:color w:val="auto"/>
                <w:highlight w:val="none"/>
              </w:rPr>
              <w:t>1.设组长一名，可由分类员兼任。</w:t>
            </w:r>
          </w:p>
        </w:tc>
        <w:tc>
          <w:tcPr>
            <w:tcW w:w="1849" w:type="pct"/>
            <w:shd w:val="clear" w:color="000000" w:fill="FFFFFF"/>
            <w:vAlign w:val="center"/>
          </w:tcPr>
          <w:p>
            <w:pPr>
              <w:spacing w:line="240" w:lineRule="auto"/>
              <w:rPr>
                <w:rFonts w:cs="仿宋"/>
                <w:color w:val="auto"/>
                <w:highlight w:val="none"/>
              </w:rPr>
            </w:pPr>
            <w:r>
              <w:rPr>
                <w:rFonts w:hint="eastAsia" w:cs="仿宋"/>
                <w:color w:val="auto"/>
                <w:highlight w:val="none"/>
              </w:rPr>
              <w:t>1.熟练操作智能四分类秤智为投放的居民进行易腐垃圾的称重、上传、破袋和积分，或其他垃圾和有害垃圾的称重、上传和积分，对可回收物进行称重、上传和积分。维护投放点的环境卫生，上岗和离岗前分别进行冲洗打扫，及时更换满桶。可回收物统一送至采购人指定的再生资源分拣中心回收，数据进入区垃圾分类智能监管平台。</w:t>
            </w:r>
          </w:p>
          <w:p>
            <w:pPr>
              <w:spacing w:line="240" w:lineRule="auto"/>
              <w:rPr>
                <w:rFonts w:cs="仿宋"/>
                <w:color w:val="auto"/>
                <w:highlight w:val="none"/>
              </w:rPr>
            </w:pPr>
            <w:r>
              <w:rPr>
                <w:rFonts w:hint="eastAsia" w:cs="仿宋"/>
                <w:color w:val="auto"/>
                <w:highlight w:val="none"/>
              </w:rPr>
              <w:t>2.分类员具备可回收物的常识（参照《浙江省城镇生活垃圾分类标准》）。</w:t>
            </w:r>
          </w:p>
          <w:p>
            <w:pPr>
              <w:spacing w:line="240" w:lineRule="auto"/>
              <w:rPr>
                <w:rFonts w:cs="仿宋"/>
                <w:color w:val="auto"/>
                <w:highlight w:val="none"/>
              </w:rPr>
            </w:pPr>
            <w:r>
              <w:rPr>
                <w:rFonts w:hint="eastAsia" w:cs="仿宋"/>
                <w:color w:val="auto"/>
                <w:highlight w:val="none"/>
              </w:rPr>
              <w:t>3.在居民投放时，主动向居民普及可回收物积分奖励规则，并进行积分回收。</w:t>
            </w:r>
          </w:p>
          <w:p>
            <w:pPr>
              <w:spacing w:line="240" w:lineRule="auto"/>
              <w:rPr>
                <w:rFonts w:cs="仿宋"/>
                <w:color w:val="auto"/>
                <w:highlight w:val="none"/>
              </w:rPr>
            </w:pPr>
            <w:r>
              <w:rPr>
                <w:rFonts w:hint="eastAsia" w:cs="仿宋"/>
                <w:color w:val="auto"/>
                <w:highlight w:val="none"/>
              </w:rPr>
              <w:t>4.误时投放点若采用垃圾分类亭的，误时投放点开放期间需有分类员驻点服务。</w:t>
            </w:r>
          </w:p>
          <w:p>
            <w:pPr>
              <w:spacing w:line="240" w:lineRule="auto"/>
              <w:rPr>
                <w:rFonts w:cs="仿宋"/>
                <w:color w:val="auto"/>
                <w:highlight w:val="none"/>
              </w:rPr>
            </w:pPr>
            <w:r>
              <w:rPr>
                <w:rFonts w:hint="eastAsia" w:cs="仿宋"/>
                <w:color w:val="auto"/>
                <w:highlight w:val="none"/>
              </w:rPr>
              <w:t>5.统一制服和服务标准。</w:t>
            </w:r>
          </w:p>
          <w:p>
            <w:pPr>
              <w:spacing w:line="240" w:lineRule="auto"/>
              <w:rPr>
                <w:rFonts w:cs="仿宋"/>
                <w:color w:val="auto"/>
                <w:highlight w:val="none"/>
              </w:rPr>
            </w:pPr>
            <w:r>
              <w:rPr>
                <w:rFonts w:hint="eastAsia" w:cs="仿宋"/>
                <w:color w:val="auto"/>
                <w:highlight w:val="none"/>
              </w:rPr>
              <w:t>6.具备正常交流能力，普通话流利。</w:t>
            </w: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标项一：107</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标项二：93</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标项三：103</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 w:type="pct"/>
            <w:shd w:val="clear" w:color="auto" w:fill="auto"/>
            <w:vAlign w:val="center"/>
          </w:tcPr>
          <w:p>
            <w:pPr>
              <w:spacing w:line="240" w:lineRule="auto"/>
              <w:jc w:val="center"/>
              <w:rPr>
                <w:rFonts w:cs="仿宋"/>
                <w:b/>
                <w:bCs/>
                <w:color w:val="auto"/>
                <w:highlight w:val="none"/>
              </w:rPr>
            </w:pPr>
            <w:r>
              <w:rPr>
                <w:rFonts w:hint="eastAsia" w:cs="仿宋"/>
                <w:b/>
                <w:bCs/>
                <w:color w:val="auto"/>
                <w:highlight w:val="none"/>
              </w:rPr>
              <w:t>六</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辅助组</w:t>
            </w:r>
          </w:p>
        </w:tc>
        <w:tc>
          <w:tcPr>
            <w:tcW w:w="382" w:type="pct"/>
            <w:shd w:val="clear" w:color="000000" w:fill="FFFFFF"/>
            <w:vAlign w:val="center"/>
          </w:tcPr>
          <w:p>
            <w:pPr>
              <w:spacing w:line="240" w:lineRule="auto"/>
              <w:jc w:val="center"/>
              <w:rPr>
                <w:rFonts w:cs="仿宋"/>
                <w:b/>
                <w:bCs/>
                <w:color w:val="auto"/>
                <w:highlight w:val="none"/>
              </w:rPr>
            </w:pPr>
          </w:p>
        </w:tc>
        <w:tc>
          <w:tcPr>
            <w:tcW w:w="548" w:type="pct"/>
            <w:shd w:val="clear" w:color="000000" w:fill="FFFFFF"/>
            <w:vAlign w:val="center"/>
          </w:tcPr>
          <w:p>
            <w:pPr>
              <w:spacing w:line="240" w:lineRule="auto"/>
              <w:jc w:val="center"/>
              <w:rPr>
                <w:rFonts w:cs="仿宋"/>
                <w:color w:val="auto"/>
                <w:highlight w:val="none"/>
              </w:rPr>
            </w:pPr>
          </w:p>
        </w:tc>
        <w:tc>
          <w:tcPr>
            <w:tcW w:w="1108" w:type="pct"/>
            <w:shd w:val="clear" w:color="000000" w:fill="FFFFFF"/>
            <w:vAlign w:val="center"/>
          </w:tcPr>
          <w:p>
            <w:pPr>
              <w:spacing w:line="240" w:lineRule="auto"/>
              <w:jc w:val="center"/>
              <w:rPr>
                <w:rFonts w:cs="仿宋"/>
                <w:color w:val="auto"/>
                <w:highlight w:val="none"/>
              </w:rPr>
            </w:pPr>
          </w:p>
        </w:tc>
        <w:tc>
          <w:tcPr>
            <w:tcW w:w="1849" w:type="pct"/>
            <w:shd w:val="clear" w:color="000000" w:fill="FFFFFF"/>
            <w:vAlign w:val="center"/>
          </w:tcPr>
          <w:p>
            <w:pPr>
              <w:spacing w:line="240" w:lineRule="auto"/>
              <w:jc w:val="center"/>
              <w:rPr>
                <w:rFonts w:cs="仿宋"/>
                <w:color w:val="auto"/>
                <w:highlight w:val="none"/>
              </w:rPr>
            </w:pPr>
          </w:p>
        </w:tc>
        <w:tc>
          <w:tcPr>
            <w:tcW w:w="562" w:type="pct"/>
            <w:shd w:val="clear" w:color="000000" w:fill="FFFFFF"/>
            <w:vAlign w:val="center"/>
          </w:tcPr>
          <w:p>
            <w:pPr>
              <w:spacing w:line="240" w:lineRule="auto"/>
              <w:jc w:val="center"/>
              <w:rPr>
                <w:rFonts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4" w:type="pct"/>
            <w:shd w:val="clear" w:color="auto" w:fill="auto"/>
            <w:vAlign w:val="center"/>
          </w:tcPr>
          <w:p>
            <w:pPr>
              <w:spacing w:line="240" w:lineRule="auto"/>
              <w:jc w:val="center"/>
              <w:rPr>
                <w:rFonts w:cs="仿宋"/>
                <w:color w:val="auto"/>
                <w:highlight w:val="none"/>
              </w:rPr>
            </w:pPr>
            <w:r>
              <w:rPr>
                <w:rFonts w:hint="eastAsia" w:cs="仿宋"/>
                <w:color w:val="auto"/>
                <w:highlight w:val="none"/>
              </w:rPr>
              <w:t>1</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巡检员</w:t>
            </w:r>
          </w:p>
        </w:tc>
        <w:tc>
          <w:tcPr>
            <w:tcW w:w="38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标项一每天至少</w:t>
            </w:r>
            <w:r>
              <w:rPr>
                <w:rFonts w:cs="仿宋"/>
                <w:color w:val="auto"/>
                <w:highlight w:val="none"/>
              </w:rPr>
              <w:t>8人同时在岗；标项二每天至少6人同时在岗；标项三每天至少8人同时在岗。</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每天不少于6个小时（具体时间由各社区确认）</w:t>
            </w:r>
          </w:p>
        </w:tc>
        <w:tc>
          <w:tcPr>
            <w:tcW w:w="110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w:t>
            </w:r>
          </w:p>
        </w:tc>
        <w:tc>
          <w:tcPr>
            <w:tcW w:w="1849" w:type="pct"/>
            <w:shd w:val="clear" w:color="000000" w:fill="FFFFFF"/>
            <w:vAlign w:val="center"/>
          </w:tcPr>
          <w:p>
            <w:pPr>
              <w:spacing w:line="240" w:lineRule="auto"/>
              <w:jc w:val="both"/>
              <w:rPr>
                <w:rFonts w:cs="仿宋"/>
                <w:color w:val="auto"/>
                <w:highlight w:val="none"/>
              </w:rPr>
            </w:pPr>
            <w:r>
              <w:rPr>
                <w:rFonts w:hint="eastAsia" w:cs="仿宋"/>
                <w:color w:val="auto"/>
                <w:highlight w:val="none"/>
              </w:rPr>
              <w:t>1.对于撤桶后定时定点点位、原投放点撤除后的点位做好桶外垃圾包的及时巡检和清运。</w:t>
            </w:r>
          </w:p>
          <w:p>
            <w:pPr>
              <w:spacing w:line="240" w:lineRule="auto"/>
              <w:jc w:val="both"/>
              <w:rPr>
                <w:rFonts w:cs="仿宋"/>
                <w:color w:val="auto"/>
                <w:highlight w:val="none"/>
              </w:rPr>
            </w:pPr>
            <w:r>
              <w:rPr>
                <w:rFonts w:hint="eastAsia" w:cs="仿宋"/>
                <w:color w:val="auto"/>
                <w:highlight w:val="none"/>
              </w:rPr>
              <w:t>2.统一制服和服务标准。</w:t>
            </w: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标项一：8</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标项二：6</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标项三：8</w:t>
            </w:r>
            <w:r>
              <w:rPr>
                <w:rFonts w:hint="eastAsia" w:cs="仿宋"/>
                <w:color w:val="auto"/>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 w:type="pct"/>
            <w:shd w:val="clear" w:color="auto" w:fill="auto"/>
            <w:vAlign w:val="center"/>
          </w:tcPr>
          <w:p>
            <w:pPr>
              <w:spacing w:line="240" w:lineRule="auto"/>
              <w:jc w:val="center"/>
              <w:rPr>
                <w:rFonts w:cs="仿宋"/>
                <w:color w:val="auto"/>
                <w:highlight w:val="none"/>
              </w:rPr>
            </w:pPr>
            <w:r>
              <w:rPr>
                <w:rFonts w:hint="eastAsia" w:cs="仿宋"/>
                <w:color w:val="auto"/>
                <w:highlight w:val="none"/>
              </w:rPr>
              <w:t>2</w:t>
            </w:r>
          </w:p>
        </w:tc>
        <w:tc>
          <w:tcPr>
            <w:tcW w:w="404" w:type="pct"/>
            <w:shd w:val="clear" w:color="000000" w:fill="FFFFFF"/>
            <w:vAlign w:val="center"/>
          </w:tcPr>
          <w:p>
            <w:pPr>
              <w:spacing w:line="240" w:lineRule="auto"/>
              <w:jc w:val="center"/>
              <w:rPr>
                <w:rFonts w:cs="仿宋"/>
                <w:b/>
                <w:bCs/>
                <w:color w:val="auto"/>
                <w:highlight w:val="none"/>
              </w:rPr>
            </w:pPr>
            <w:r>
              <w:rPr>
                <w:rFonts w:hint="eastAsia" w:cs="仿宋"/>
                <w:b/>
                <w:bCs/>
                <w:color w:val="auto"/>
                <w:highlight w:val="none"/>
              </w:rPr>
              <w:t>集置点管理员</w:t>
            </w:r>
          </w:p>
        </w:tc>
        <w:tc>
          <w:tcPr>
            <w:tcW w:w="38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每个集置点设一个岗位</w:t>
            </w:r>
          </w:p>
        </w:tc>
        <w:tc>
          <w:tcPr>
            <w:tcW w:w="54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生活垃圾收运至集置站期间和其他垃圾和易腐垃圾第三方清运期间</w:t>
            </w:r>
          </w:p>
        </w:tc>
        <w:tc>
          <w:tcPr>
            <w:tcW w:w="1108"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w:t>
            </w:r>
          </w:p>
        </w:tc>
        <w:tc>
          <w:tcPr>
            <w:tcW w:w="1849" w:type="pct"/>
            <w:shd w:val="clear" w:color="000000" w:fill="FFFFFF"/>
            <w:vAlign w:val="center"/>
          </w:tcPr>
          <w:p>
            <w:pPr>
              <w:spacing w:line="240" w:lineRule="auto"/>
              <w:rPr>
                <w:rFonts w:cs="仿宋"/>
                <w:color w:val="auto"/>
                <w:highlight w:val="none"/>
              </w:rPr>
            </w:pPr>
            <w:r>
              <w:rPr>
                <w:rFonts w:hint="eastAsia" w:cs="仿宋"/>
                <w:color w:val="auto"/>
                <w:highlight w:val="none"/>
              </w:rPr>
              <w:t>1.对进入集置站的生活垃圾进行分类监督和指导。</w:t>
            </w:r>
          </w:p>
          <w:p>
            <w:pPr>
              <w:spacing w:line="240" w:lineRule="auto"/>
              <w:rPr>
                <w:rFonts w:cs="仿宋"/>
                <w:color w:val="auto"/>
                <w:highlight w:val="none"/>
              </w:rPr>
            </w:pPr>
            <w:r>
              <w:rPr>
                <w:rFonts w:hint="eastAsia" w:cs="仿宋"/>
                <w:color w:val="auto"/>
                <w:highlight w:val="none"/>
              </w:rPr>
              <w:t>2.其他垃圾和易腐垃圾清运后对垃圾桶进行清洗。</w:t>
            </w:r>
          </w:p>
          <w:p>
            <w:pPr>
              <w:spacing w:line="240" w:lineRule="auto"/>
              <w:rPr>
                <w:rFonts w:cs="仿宋"/>
                <w:color w:val="auto"/>
                <w:highlight w:val="none"/>
              </w:rPr>
            </w:pPr>
            <w:r>
              <w:rPr>
                <w:rFonts w:hint="eastAsia" w:cs="仿宋"/>
                <w:color w:val="auto"/>
                <w:highlight w:val="none"/>
              </w:rPr>
              <w:t>3.负责站点的环境卫生工作，不得在站点及周边随意丢弃生活垃圾。</w:t>
            </w:r>
          </w:p>
          <w:p>
            <w:pPr>
              <w:spacing w:line="240" w:lineRule="auto"/>
              <w:rPr>
                <w:rFonts w:cs="仿宋"/>
                <w:color w:val="auto"/>
                <w:highlight w:val="none"/>
              </w:rPr>
            </w:pPr>
            <w:r>
              <w:rPr>
                <w:rFonts w:hint="eastAsia" w:cs="仿宋"/>
                <w:color w:val="auto"/>
                <w:highlight w:val="none"/>
              </w:rPr>
              <w:t>4.统一制服和服务标准。</w:t>
            </w:r>
          </w:p>
        </w:tc>
        <w:tc>
          <w:tcPr>
            <w:tcW w:w="562" w:type="pct"/>
            <w:shd w:val="clear" w:color="000000" w:fill="FFFFFF"/>
            <w:vAlign w:val="center"/>
          </w:tcPr>
          <w:p>
            <w:pPr>
              <w:spacing w:line="240" w:lineRule="auto"/>
              <w:jc w:val="center"/>
              <w:rPr>
                <w:rFonts w:cs="仿宋"/>
                <w:color w:val="auto"/>
                <w:highlight w:val="none"/>
              </w:rPr>
            </w:pPr>
            <w:r>
              <w:rPr>
                <w:rFonts w:hint="eastAsia" w:cs="仿宋"/>
                <w:color w:val="auto"/>
                <w:highlight w:val="none"/>
              </w:rPr>
              <w:t>标项一：1</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标项二：2</w:t>
            </w:r>
            <w:r>
              <w:rPr>
                <w:rFonts w:hint="eastAsia" w:cs="仿宋"/>
                <w:color w:val="auto"/>
                <w:highlight w:val="none"/>
                <w:lang w:val="en-US" w:eastAsia="zh-CN"/>
              </w:rPr>
              <w:t>人</w:t>
            </w:r>
          </w:p>
          <w:p>
            <w:pPr>
              <w:spacing w:line="240" w:lineRule="auto"/>
              <w:jc w:val="center"/>
              <w:rPr>
                <w:rFonts w:cs="仿宋"/>
                <w:color w:val="auto"/>
                <w:highlight w:val="none"/>
              </w:rPr>
            </w:pPr>
            <w:r>
              <w:rPr>
                <w:rFonts w:hint="eastAsia" w:cs="仿宋"/>
                <w:color w:val="auto"/>
                <w:highlight w:val="none"/>
              </w:rPr>
              <w:t>标项三：2</w:t>
            </w:r>
            <w:r>
              <w:rPr>
                <w:rFonts w:hint="eastAsia" w:cs="仿宋"/>
                <w:color w:val="auto"/>
                <w:highlight w:val="none"/>
                <w:lang w:val="en-US" w:eastAsia="zh-CN"/>
              </w:rPr>
              <w:t>人</w:t>
            </w:r>
          </w:p>
        </w:tc>
      </w:tr>
    </w:tbl>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在相应的服务时间内至少保证最低在岗人数，每个岗位不得低于本表要求，供应商可根据以往服务经验提供优质服务方案、最佳岗位设置，可增设应急服务、安全管理等岗位（每个岗位至少1人专职专岗），根据各单位员工工作制度自行配置最佳人数，以保证服务质量和提高服务人员稳定性；</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2）不得违反劳动法规、安全法规等国家法律法规，工资应当至少每月支付一次，非全职员工的支付周期不得超过15日，遇到节假日或者休息日的提前支付；</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3）具体工作时间随季节变化和实际情况进行调整。</w:t>
      </w:r>
    </w:p>
    <w:p>
      <w:pPr>
        <w:spacing w:line="360" w:lineRule="auto"/>
        <w:ind w:firstLine="482" w:firstLineChars="200"/>
        <w:rPr>
          <w:rFonts w:hint="eastAsia" w:ascii="仿宋" w:hAnsi="仿宋" w:eastAsia="仿宋" w:cs="仿宋"/>
          <w:b/>
          <w:bCs/>
          <w:color w:val="auto"/>
          <w:sz w:val="24"/>
          <w:szCs w:val="24"/>
          <w:highlight w:val="none"/>
        </w:rPr>
        <w:sectPr>
          <w:pgSz w:w="16838" w:h="11905" w:orient="landscape"/>
          <w:pgMar w:top="1803" w:right="1100" w:bottom="1803" w:left="1043" w:header="652" w:footer="595" w:gutter="0"/>
          <w:pgNumType w:fmt="decimal"/>
          <w:cols w:space="720" w:num="1"/>
          <w:docGrid w:type="lines" w:linePitch="313" w:charSpace="0"/>
        </w:sectPr>
      </w:pP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七、定时定点投放点设立要求</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1.设立标准：</w:t>
      </w:r>
      <w:r>
        <w:rPr>
          <w:rFonts w:hint="eastAsia" w:ascii="仿宋" w:hAnsi="仿宋" w:eastAsia="仿宋" w:cs="仿宋"/>
          <w:color w:val="auto"/>
          <w:sz w:val="24"/>
          <w:szCs w:val="24"/>
          <w:highlight w:val="none"/>
        </w:rPr>
        <w:t>每300户左右标准设立一处定时定点投放点(具体暂以“垃圾分类人员设施配备最低要求一览表”为准，合同履约过程中采购人根据实际场地情况、居民需求调整投放点数量的，合同价不予调整)，每个点位每天运行时间不低于早晚两次累计4小时。</w:t>
      </w:r>
    </w:p>
    <w:p>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2.运行服务要求：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2.1定时定点投放点运行期间，点位的秩序管理和环境卫生均由服务单位负责，维护投放点的环境卫生，分类员每天上岗和离岗前分别进行冲洗打扫，及时更换满桶。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2.2负责点位上的垃圾桶在投放结束30分钟内拖运至社区指定的集置点。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2.3运行点位设施要求：每个定时定点投放点位，需固定配备一人（分类员）、一秤（智能四分类封装秤）、一垃圾分类亭（固定遮雨棚,因非乙方原因无法设立的除外），一套垃圾桶。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（1）一人：统一制服和服务标准。</w:t>
      </w:r>
    </w:p>
    <w:p>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（2）一秤：用于秤易腐垃圾和可回收物重量。能进行二维码识别、人脸识别，分类投放成功时间10秒内，四分类数据及投放照片可正常传送至萧山区生活垃圾分类智能监管平台（城市大脑）</w:t>
      </w:r>
      <w:bookmarkStart w:id="5" w:name="_Hlk118187647"/>
      <w:r>
        <w:rPr>
          <w:rFonts w:hint="eastAsia" w:ascii="仿宋" w:hAnsi="仿宋" w:eastAsia="仿宋" w:cs="仿宋"/>
          <w:color w:val="auto"/>
          <w:sz w:val="24"/>
          <w:szCs w:val="24"/>
          <w:highlight w:val="none"/>
        </w:rPr>
        <w:t>和北干街道生活垃圾监管平台（平台在筹建中，后续接入过程中产生的相关费用自行考虑计入投标报价）</w:t>
      </w:r>
      <w:bookmarkEnd w:id="5"/>
      <w:r>
        <w:rPr>
          <w:rFonts w:hint="eastAsia" w:ascii="仿宋" w:hAnsi="仿宋" w:eastAsia="仿宋" w:cs="仿宋"/>
          <w:color w:val="auto"/>
          <w:sz w:val="24"/>
          <w:szCs w:val="24"/>
          <w:highlight w:val="none"/>
        </w:rPr>
        <w:t>，用户收到积分成功消息（短信形式，以及APP或小程序）。垃圾投放高峰时段，供应商应及时提供备用秤，避免出现居民投放等候时间超过一分钟。</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显示屏显示称重台感应重量数据；显示屏尺寸参数：不小于7寸，主板3288,分辨率1024*600，Android5.1.1，全网通模块，4G、无线WIFI、GPS定位。</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和原有居民使用二维码（和积分卡）及北干街道分类码（筹建中，平台在筹建中，后续并连过程中产生的相关费用自行考虑计入投标报价）实现并连使用。</w:t>
      </w:r>
    </w:p>
    <w:p>
      <w:pPr>
        <w:spacing w:line="360" w:lineRule="auto"/>
        <w:ind w:left="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anchor distT="0" distB="0" distL="114300" distR="114300" simplePos="0" relativeHeight="251663360" behindDoc="0" locked="0" layoutInCell="1" allowOverlap="1">
            <wp:simplePos x="0" y="0"/>
            <wp:positionH relativeFrom="column">
              <wp:posOffset>3291840</wp:posOffset>
            </wp:positionH>
            <wp:positionV relativeFrom="paragraph">
              <wp:posOffset>147955</wp:posOffset>
            </wp:positionV>
            <wp:extent cx="1476375" cy="1662430"/>
            <wp:effectExtent l="0" t="0" r="9525" b="13970"/>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1476375" cy="1662430"/>
                    </a:xfrm>
                    <a:prstGeom prst="rect">
                      <a:avLst/>
                    </a:prstGeom>
                    <a:noFill/>
                    <a:ln>
                      <a:noFill/>
                    </a:ln>
                  </pic:spPr>
                </pic:pic>
              </a:graphicData>
            </a:graphic>
          </wp:anchor>
        </w:drawing>
      </w:r>
      <w:r>
        <w:rPr>
          <w:rFonts w:hint="eastAsia" w:ascii="仿宋" w:hAnsi="仿宋" w:eastAsia="仿宋" w:cs="仿宋"/>
          <w:color w:val="auto"/>
          <w:sz w:val="24"/>
          <w:szCs w:val="24"/>
          <w:highlight w:val="none"/>
        </w:rPr>
        <w:drawing>
          <wp:anchor distT="0" distB="0" distL="114300" distR="114300" simplePos="0" relativeHeight="251662336" behindDoc="0" locked="0" layoutInCell="1" allowOverlap="1">
            <wp:simplePos x="0" y="0"/>
            <wp:positionH relativeFrom="column">
              <wp:posOffset>443865</wp:posOffset>
            </wp:positionH>
            <wp:positionV relativeFrom="paragraph">
              <wp:posOffset>69215</wp:posOffset>
            </wp:positionV>
            <wp:extent cx="1810385" cy="1810385"/>
            <wp:effectExtent l="0" t="0" r="18415" b="18415"/>
            <wp:wrapTopAndBottom/>
            <wp:docPr id="2" name="图片 5" descr="588426048109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5884260481096750"/>
                    <pic:cNvPicPr>
                      <a:picLocks noChangeAspect="1"/>
                    </pic:cNvPicPr>
                  </pic:nvPicPr>
                  <pic:blipFill>
                    <a:blip r:embed="rId12"/>
                    <a:stretch>
                      <a:fillRect/>
                    </a:stretch>
                  </pic:blipFill>
                  <pic:spPr>
                    <a:xfrm>
                      <a:off x="0" y="0"/>
                      <a:ext cx="1810385" cy="1810385"/>
                    </a:xfrm>
                    <a:prstGeom prst="rect">
                      <a:avLst/>
                    </a:prstGeom>
                    <a:noFill/>
                    <a:ln>
                      <a:noFill/>
                    </a:ln>
                  </pic:spPr>
                </pic:pic>
              </a:graphicData>
            </a:graphic>
          </wp:anchor>
        </w:drawing>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整体材质：金属喷塑。</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操作员可在称重时在显示屏上对垃圾分类情况进行评分，并可拍照上传照片。手机端或者PC端可以实时可查询回收记录和兑换记录。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提高投放效率，供应商可使用无感投放及积分易腐垃圾秤（无感投放是指生活垃圾投入垃圾桶时可同步完成称重、拍照及积分，数据上传至区、街道（筹）平台，设备参数应不低于以上要求）等新型垃圾分类智能设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（3）一垃圾分类亭：场地位置由采购人指定并提供。</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垃圾分类亭要求设置固定遮雨棚（因非乙方原因无法设置固定遮雨棚的，报采购人备案同意后可按照现有点位的标准设置），可摆放4分类垃圾桶和智能电子秤，设有垃圾分类宣传。如设置固定遮雨棚，服务单位按以下要求提供，所需费用计入投标报价，要求如下：</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①要求落地净深2米*宽3.5米*高2.2米，挑檐0.6米，三面围挡及宣传栏落地，顶部留20cm-35cm风道。</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②地面须硬化处理，并做好雨（污）水纳管、通电通水，做好日常维护；</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③设有</w:t>
      </w:r>
      <w:bookmarkStart w:id="6" w:name="_Hlk117759354"/>
      <w:r>
        <w:rPr>
          <w:rFonts w:hint="eastAsia" w:ascii="仿宋" w:hAnsi="仿宋" w:eastAsia="仿宋" w:cs="仿宋"/>
          <w:b/>
          <w:bCs/>
          <w:color w:val="auto"/>
          <w:sz w:val="24"/>
          <w:szCs w:val="24"/>
          <w:highlight w:val="none"/>
        </w:rPr>
        <w:t>智能电子秤防盗防潮柜</w:t>
      </w:r>
      <w:bookmarkEnd w:id="6"/>
      <w:r>
        <w:rPr>
          <w:rFonts w:hint="eastAsia" w:ascii="仿宋" w:hAnsi="仿宋" w:eastAsia="仿宋" w:cs="仿宋"/>
          <w:b/>
          <w:bCs/>
          <w:color w:val="auto"/>
          <w:sz w:val="24"/>
          <w:szCs w:val="24"/>
          <w:highlight w:val="none"/>
        </w:rPr>
        <w:t>和卫生工具储存柜；柜子参数：不锈钢制，大小适宜，秤可存入智能电子秤防盗防潮柜，也可放在柜上正常使用。</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④遮雨棚视觉设计与小区风格保持一致。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一套垃圾桶：每个投放点至少配置3只240升其他垃圾桶，1只120升易腐垃圾桶和1只120升有害垃圾桶，可回收物可使用1立方的框体。个别小区垃圾量大的，需适当增加，合同价不予调整；如有损坏或丢失的，需及时更换或补充。</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3.定时定点投放积分与兑换要求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3.1积分规则：</w:t>
      </w:r>
    </w:p>
    <w:p>
      <w:pPr>
        <w:numPr>
          <w:ilvl w:val="0"/>
          <w:numId w:val="5"/>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再生资源积分：投放再生资源按照不低于市场价格（参照3家商务局认可的废品回收站价格，价格经采购人认可后进行系统设置，北干街道生活垃圾监管平台上线后由采购人统一设置）进行积分，即每投放价值0.1元的再生资源可积1分；</w:t>
      </w:r>
    </w:p>
    <w:p>
      <w:pPr>
        <w:numPr>
          <w:ilvl w:val="0"/>
          <w:numId w:val="5"/>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生活垃圾积分：定时和误时投放生活垃圾每户每日累计最多积1分，居民按0.1元/积分予以兑换奖品。乙方每季度根据居民已完成兑换的积分向采购人结算兑换奖品费用。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3.2兑换要求：积分兑换统一接入区积分账户进行兑换（由萧山区生活垃圾分类智能监管平台（城市大脑）确定进度）。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整十数积分分别可兑换不同档次的奖品，同时每一个档次应有多款兑换奖品可选；投标单位需在投标文件中提供奖品兑换方案，最终奖品及对应积分额应报采购人确认。生活垃圾积分兑换的奖品费用计入投标报价，</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兑换积分暂按10656175分（即1065617.5元）报价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兑换积分暂按9745865分（即974586.5元）报价，标项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兑换积分暂按8994695分（即899469.5元）报价。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兑换方式一：积分兑换机进行24小时兑换，未设置积分兑换机的小区每个月至少选择一个节假日开展一次集中积分兑换；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兑换方式二：再生资源回收网点兑换；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兑换方式三：在小区主要出入口500米范围内设立合作一家便利店提供积分兑换。</w:t>
      </w:r>
    </w:p>
    <w:p>
      <w:pPr>
        <w:spacing w:line="360" w:lineRule="auto"/>
        <w:ind w:firstLine="480"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color w:val="auto"/>
          <w:sz w:val="24"/>
          <w:szCs w:val="24"/>
          <w:highlight w:val="none"/>
        </w:rPr>
        <w:t>兑换指标要求：要求供应商积</w:t>
      </w:r>
      <w:bookmarkStart w:id="7" w:name="_Hlk118125981"/>
      <w:r>
        <w:rPr>
          <w:rFonts w:hint="eastAsia" w:ascii="仿宋" w:hAnsi="仿宋" w:eastAsia="仿宋" w:cs="仿宋"/>
          <w:color w:val="auto"/>
          <w:sz w:val="24"/>
          <w:szCs w:val="24"/>
          <w:highlight w:val="none"/>
        </w:rPr>
        <w:t>极宣传、促进居民主动投放垃圾积分并及时兑换</w:t>
      </w:r>
      <w:bookmarkEnd w:id="7"/>
      <w:r>
        <w:rPr>
          <w:rFonts w:hint="eastAsia" w:ascii="仿宋" w:hAnsi="仿宋" w:eastAsia="仿宋" w:cs="仿宋"/>
          <w:color w:val="auto"/>
          <w:sz w:val="24"/>
          <w:szCs w:val="24"/>
          <w:highlight w:val="none"/>
        </w:rPr>
        <w:t>，居民参与率不低于90%，未达标的，考核中相应扣分。服务期结束时，居民账户中所有未兑换的积分（包括再生资源积分和生活垃圾积分）由社区一次性兑换成奖品（由社区发放），其中生活垃圾积分由乙方向采购人结算已兑换的积分费用。</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八、误时投放点设立要求</w:t>
      </w:r>
    </w:p>
    <w:p>
      <w:pPr>
        <w:spacing w:line="360" w:lineRule="auto"/>
        <w:ind w:firstLine="482" w:firstLineChars="200"/>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1.设立标准：</w:t>
      </w:r>
      <w:r>
        <w:rPr>
          <w:rFonts w:hint="eastAsia" w:ascii="仿宋" w:hAnsi="仿宋" w:eastAsia="仿宋" w:cs="仿宋"/>
          <w:snapToGrid w:val="0"/>
          <w:color w:val="auto"/>
          <w:kern w:val="0"/>
          <w:sz w:val="24"/>
          <w:szCs w:val="24"/>
          <w:highlight w:val="none"/>
        </w:rPr>
        <w:t>每一个小区设立一处误时投放点(具体暂以“垃圾分类人员设施配备最低要求一览表”为准，合同履约过程中采购人根据</w:t>
      </w:r>
      <w:r>
        <w:rPr>
          <w:rFonts w:hint="eastAsia" w:ascii="仿宋" w:hAnsi="仿宋" w:eastAsia="仿宋" w:cs="仿宋"/>
          <w:color w:val="auto"/>
          <w:sz w:val="24"/>
          <w:szCs w:val="24"/>
          <w:highlight w:val="none"/>
        </w:rPr>
        <w:t>场地情况、居民需求</w:t>
      </w:r>
      <w:r>
        <w:rPr>
          <w:rFonts w:hint="eastAsia" w:ascii="仿宋" w:hAnsi="仿宋" w:eastAsia="仿宋" w:cs="仿宋"/>
          <w:snapToGrid w:val="0"/>
          <w:color w:val="auto"/>
          <w:kern w:val="0"/>
          <w:sz w:val="24"/>
          <w:szCs w:val="24"/>
          <w:highlight w:val="none"/>
        </w:rPr>
        <w:t>调整误时投放点数量的，合同价不予调整)，每个点位每天运行时间不低于6小时，具体开放时间按照社区要求执行。</w:t>
      </w:r>
    </w:p>
    <w:p>
      <w:pPr>
        <w:spacing w:line="360" w:lineRule="auto"/>
        <w:ind w:firstLine="482" w:firstLineChars="200"/>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2.运行服务要求：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2.1小区原误时投放点</w:t>
      </w:r>
      <w:bookmarkStart w:id="8" w:name="_Hlk118185753"/>
      <w:r>
        <w:rPr>
          <w:rFonts w:hint="eastAsia" w:ascii="仿宋" w:hAnsi="仿宋" w:eastAsia="仿宋" w:cs="仿宋"/>
          <w:snapToGrid w:val="0"/>
          <w:color w:val="auto"/>
          <w:kern w:val="0"/>
          <w:sz w:val="24"/>
          <w:szCs w:val="24"/>
          <w:highlight w:val="none"/>
        </w:rPr>
        <w:t>采用智能误时投放机</w:t>
      </w:r>
      <w:bookmarkEnd w:id="8"/>
      <w:r>
        <w:rPr>
          <w:rFonts w:hint="eastAsia" w:ascii="仿宋" w:hAnsi="仿宋" w:eastAsia="仿宋" w:cs="仿宋"/>
          <w:snapToGrid w:val="0"/>
          <w:color w:val="auto"/>
          <w:kern w:val="0"/>
          <w:sz w:val="24"/>
          <w:szCs w:val="24"/>
          <w:highlight w:val="none"/>
        </w:rPr>
        <w:t>的，供应商仍应配备智能误时投放机（参数不低于本次招标要求），本次招标三个标项原</w:t>
      </w:r>
      <w:bookmarkStart w:id="9" w:name="_Hlk118185377"/>
      <w:r>
        <w:rPr>
          <w:rFonts w:hint="eastAsia" w:ascii="仿宋" w:hAnsi="仿宋" w:eastAsia="仿宋" w:cs="仿宋"/>
          <w:snapToGrid w:val="0"/>
          <w:color w:val="auto"/>
          <w:kern w:val="0"/>
          <w:sz w:val="24"/>
          <w:szCs w:val="24"/>
          <w:highlight w:val="none"/>
        </w:rPr>
        <w:t>智能误时投放机</w:t>
      </w:r>
      <w:bookmarkEnd w:id="9"/>
      <w:r>
        <w:rPr>
          <w:rFonts w:hint="eastAsia" w:ascii="仿宋" w:hAnsi="仿宋" w:eastAsia="仿宋" w:cs="仿宋"/>
          <w:snapToGrid w:val="0"/>
          <w:color w:val="auto"/>
          <w:kern w:val="0"/>
          <w:sz w:val="24"/>
          <w:szCs w:val="24"/>
          <w:highlight w:val="none"/>
        </w:rPr>
        <w:t>设置情况详见“垃圾分类人员设施配备最低要求一览表”。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2.2小区原误时投放点未采用智能误时投放机的，以及新设立小区的误时投放点，供应商可选择采用智能误时投放机或垃圾分类亭，采用垃圾分类亭的，在运行时间内应配备分类员驻点指导分类。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配备智能误时投放机的，投放易腐垃圾和其他垃圾应实现与积分卡和积分二维码的关联使用，投放记录参与数据（拍照，可不称重）并上传至萧山区生活垃圾分类智能监管平台（城市大脑）和北干街道生活垃圾监管平台（平台在筹建中，后续接入过程中产生的相关费用自行考虑计入投标报价），误时投放同定时投放同样积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智能误时投放机技术参数：</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智能识别居民二维码并自动开箱门；</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面板上配备操作按键，方便信息输入；</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智能统计每次居民投放易腐垃圾和可回收物的重量；</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数据实时上传萧山区生活垃圾分类智能智能监管平台、至云管理平台。</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智能误时投放点设备主要技术指标及配置</w:t>
      </w:r>
      <w:r>
        <w:rPr>
          <w:rFonts w:hint="eastAsia" w:ascii="仿宋" w:hAnsi="仿宋" w:eastAsia="仿宋" w:cs="仿宋"/>
          <w:color w:val="auto"/>
          <w:sz w:val="24"/>
          <w:szCs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部件</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规格</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四分类箱体，分别为易腐垃圾、其他垃圾、可回收物和有害垃圾，可装240L的绿灰蓝红垃圾桶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用材</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显示器</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由投标单位自行考虑尺寸，品牌</w:t>
            </w:r>
          </w:p>
        </w:tc>
      </w:tr>
    </w:tbl>
    <w:p>
      <w:pPr>
        <w:spacing w:line="360" w:lineRule="auto"/>
        <w:ind w:firstLine="482" w:firstLineChars="200"/>
        <w:rPr>
          <w:rFonts w:hint="eastAsia" w:ascii="仿宋" w:hAnsi="仿宋" w:eastAsia="仿宋" w:cs="仿宋"/>
          <w:b/>
          <w:bCs/>
          <w:snapToGrid w:val="0"/>
          <w:color w:val="auto"/>
          <w:kern w:val="0"/>
          <w:sz w:val="24"/>
          <w:szCs w:val="24"/>
          <w:highlight w:val="none"/>
        </w:rPr>
      </w:pP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九、再生资源回收网点设置要求</w:t>
      </w:r>
    </w:p>
    <w:p>
      <w:pPr>
        <w:spacing w:line="360" w:lineRule="auto"/>
        <w:ind w:firstLine="482" w:firstLineChars="200"/>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1.设立标准：</w:t>
      </w:r>
      <w:r>
        <w:rPr>
          <w:rFonts w:hint="eastAsia" w:ascii="仿宋" w:hAnsi="仿宋" w:eastAsia="仿宋" w:cs="仿宋"/>
          <w:color w:val="auto"/>
          <w:sz w:val="24"/>
          <w:szCs w:val="24"/>
          <w:highlight w:val="none"/>
        </w:rPr>
        <w:t>每个社区需至少设置一处再生资源回收网点(具体暂以“垃圾分类人员设施配备最低要求一览表”为准，合同履约过程中采购人根据场地情况、居民需求调整数量的，合同价不予调整)，并负责运行。</w:t>
      </w:r>
    </w:p>
    <w:p>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2.再生资源回收网点设置要求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每个再生资源回收网点须设于所对应的社区区域内。网点由采购人提供场地或房屋两种形式。采购人提供房屋的，服务单位自行装修和配备消防设施和器材，所需费用计入投标报价；采购人提供场地的，服务单位设置集装箱，负责场地硬化、配备消防设施和器材，所需费用计入投标报价。服务期结束后，服务单位将场地恢复原状移交采购人，乙方物品遗留在网点未及时清理的，采购人有权自行处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每个再生资源回收网点须配备一人一称，每日运行时间不少于2小时，智能四分类秤前端收集数据接入萧山区生活垃圾分类智能监管平台（城市大脑），可实现货币与积分回收，后端处置需统一送至采购人指定的再生资源分拣中心回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网点须设置标识和公示牌。标识上应有“萧铃铛”品牌及固定招牌（不小于0.5平方）；公示牌上公示内容包含点位名称、运行时间、运行人员、联系方式、清运时间和投诉电话，点位须有分类指南；提供价目表或者兑换表，标明各类可回收物积分或者价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2.4每个网点500米或1000户辐射范围内至少有20处以上网点地理位置展示和导视；对未建成再生资源网点的小区，每周组织不少于一次废品与可回收物集中回收活动，将居民可回收物折算成积分并提供兑换服务。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2.5统一采用智能四分类秤进行计量；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2.6需交接的网点情况：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（1）上一年度服务单位已设置网点：上一年度服务单位已设置网点数量</w:t>
      </w:r>
      <w:r>
        <w:rPr>
          <w:rFonts w:hint="eastAsia" w:ascii="仿宋" w:hAnsi="仿宋" w:eastAsia="仿宋" w:cs="仿宋"/>
          <w:snapToGrid w:val="0"/>
          <w:color w:val="auto"/>
          <w:kern w:val="0"/>
          <w:sz w:val="24"/>
          <w:szCs w:val="24"/>
          <w:highlight w:val="none"/>
        </w:rPr>
        <w:t>详见“垃圾分类人员设施配备最低要求一览表”</w:t>
      </w:r>
      <w:r>
        <w:rPr>
          <w:rFonts w:hint="eastAsia" w:ascii="仿宋" w:hAnsi="仿宋" w:eastAsia="仿宋" w:cs="仿宋"/>
          <w:color w:val="auto"/>
          <w:sz w:val="24"/>
          <w:szCs w:val="24"/>
          <w:highlight w:val="none"/>
        </w:rPr>
        <w:t>，以上网点运行期12个月，场地由原中标单位服务期结束撤离设施设备后移交。原服务单位不愿撤离所属设施设备的，中标单位须按照以上再生资源回收网点设置要求另行设立网点场地，合同价不予调整。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（2）第三方机构运行网点：部分网点由第三方机构运行，场地运行期到期后，场地由原运行单位撤离设施设备后移交，具体网点位置、第三方运行到期时间详见</w:t>
      </w:r>
      <w:r>
        <w:rPr>
          <w:rFonts w:hint="eastAsia" w:ascii="仿宋" w:hAnsi="仿宋" w:eastAsia="仿宋" w:cs="仿宋"/>
          <w:snapToGrid w:val="0"/>
          <w:color w:val="auto"/>
          <w:kern w:val="0"/>
          <w:sz w:val="24"/>
          <w:szCs w:val="24"/>
          <w:highlight w:val="none"/>
        </w:rPr>
        <w:t>“垃圾分类人员设施配备最低要求一览表”</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再生资源网点运行允许分包，但应签订分包协议；分包“不应解除合同规定的总包服务商的任何责任或义务，服务总包商应将任何分包商、分包商的代理人、雇员或工人的行为、违约或疏忽，完全视为服务总包商自己及其代理人、雇员或工人的行为、违约或疏忽一样，并为之负完全责任。</w:t>
      </w:r>
    </w:p>
    <w:p>
      <w:pPr>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十、其他设备要求</w:t>
      </w:r>
    </w:p>
    <w:p>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1.智能发袋机（积分兑换弹簧机）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原则上按每500户标准配备一台智能发袋机（积分兑换</w:t>
      </w:r>
      <w:r>
        <w:rPr>
          <w:rFonts w:hint="eastAsia" w:ascii="仿宋" w:hAnsi="仿宋" w:eastAsia="仿宋" w:cs="仿宋"/>
          <w:color w:val="auto"/>
          <w:sz w:val="24"/>
          <w:szCs w:val="24"/>
          <w:highlight w:val="none"/>
        </w:rPr>
        <w:t>弹簧机）(具体暂以“垃圾分类人员设施配备最低要求一览表”为准，合同履约过程中采购人根据场地情况、居民需求调整数量的，合同价不予调整)。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按“垃圾分类人员设施配备最低要求一览表”要求的数量配备智能发袋机，设置场地由采购人提供，垃圾袋由中标单位提供。发袋机要求实现与原有居民使用二维码（和积分卡）及北干街道分类码并连使用，用户在发袋机上进行取袋或积分兑换需刷卡或者绑定手机扫码。同时投放的可回收物可兑换消费积分返还居民账户。因非乙方原因无法设置到位的，报采购人备案同意后可暂时不配置，但中标单位需做好每户人家的上门发放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发袋机技术参数：</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智能识别居民二维码并自动绑定垃圾袋的二维码；</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面板上配备操作按键或触控屏，方便信息输入；</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智能统计每月居民领取垃圾袋量；</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装填物品空间不少于400格，可装填200卷垃圾袋（垃圾袋以淀粉基-聚乙烯为原料（禁止使用含氯材料）添加各类助剂，淀粉成分≥15%，鼓励中标人使用全降解原料，垃圾袋在合适位置设置有二维码）和200份兑换奖品（品种不少于5种）；当物品库存不足时，系统预警。（因非乙方原因无法放置400卷容量的机子，报采购人备案同意后可以选用容量小的自助发袋机。）</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数据实时上传萧山区生活垃圾分类智能智能监管平台、北干街道生活垃圾监管平台（筹）等相关平台。</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自助发袋机</w:t>
      </w:r>
      <w:r>
        <w:rPr>
          <w:rFonts w:hint="eastAsia" w:ascii="仿宋" w:hAnsi="仿宋" w:eastAsia="仿宋" w:cs="仿宋"/>
          <w:bCs/>
          <w:color w:val="auto"/>
          <w:sz w:val="24"/>
          <w:szCs w:val="24"/>
          <w:highlight w:val="none"/>
        </w:rPr>
        <w:t>主要技术指标及配置</w:t>
      </w:r>
      <w:r>
        <w:rPr>
          <w:rFonts w:hint="eastAsia" w:ascii="仿宋" w:hAnsi="仿宋" w:eastAsia="仿宋" w:cs="仿宋"/>
          <w:color w:val="auto"/>
          <w:sz w:val="24"/>
          <w:szCs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部件</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容量不少于400格。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用材</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1.5mm钢板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显示器</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由投标单位自行考虑尺寸，品牌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处理速度</w:t>
            </w:r>
          </w:p>
        </w:tc>
        <w:tc>
          <w:tcPr>
            <w:tcW w:w="63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4G网络，单次操作反应时间不超过5秒。</w:t>
            </w:r>
          </w:p>
        </w:tc>
      </w:tr>
    </w:tbl>
    <w:p>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2.户积分卡及积分二维码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积分卡要求：新入住小区每户至少发放一张积分卡，配备一个积分二维码，卡码一一对应，费用计入投标报价。已配备积分卡的住户无需重复配备，如有损坏或丢失需更换或补办，仅向居民收取工本费，不得向居民额外收取。积分卡需与北干街道生活垃圾监管平台实现对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2）一户发放一张积分卡二维码生成规则及码应无条件提供给采购人。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pStyle w:val="14"/>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一户一卡，卡内信息与居民信息一一对应，方便溯源；</w:t>
      </w:r>
    </w:p>
    <w:p>
      <w:pPr>
        <w:pStyle w:val="14"/>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用于居民每月领取垃圾袋、投放对应垃圾时称重积分和用于积分兑换；</w:t>
      </w:r>
    </w:p>
    <w:p>
      <w:pPr>
        <w:pStyle w:val="14"/>
        <w:numPr>
          <w:ilvl w:val="0"/>
          <w:numId w:val="8"/>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在智能设备上使用时，扫二维码，根据显示屏上提示进行操作；</w:t>
      </w:r>
    </w:p>
    <w:p>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3.垃圾桶</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 垃圾桶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鉴于目前小区四分类垃圾桶的产权存在多样性，中标单位需按照每50户一桶的标准提供垃圾桶用于日常垃圾收集处置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584只，标项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534只，标项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493只</w:t>
      </w:r>
      <w:r>
        <w:rPr>
          <w:rFonts w:hint="eastAsia" w:ascii="仿宋" w:hAnsi="仿宋" w:eastAsia="仿宋" w:cs="仿宋"/>
          <w:color w:val="auto"/>
          <w:sz w:val="24"/>
          <w:szCs w:val="24"/>
          <w:highlight w:val="none"/>
        </w:rPr>
        <w:t>。四分类垃圾桶数量变化在±10%以内的合同价不予调整，超过10%的则超出部分根据垃圾桶单价按实结算），可选240升灰桶、120升绿桶、120升红桶、120升蓝桶，质量经采购人确认认可，根据采购人需求统一进行调度派用，每次接到采购人通知之日起3天内放置到位，服务期满时不作退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技术参数：参数要求：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规格：灰桶容量≥240升，总重量≥16kg，桶身重量（不包括盖、轮、轴、插销等）为≥11kg；绿桶、红桶、蓝桶容量可根据实际因素用≥120升，但需采购人确定后方可使用。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材料：采用100%高密度聚乙烯全新料添加增强、抗紫外线剂，轮毂及辋圈采用高密度聚乙烯，轮胎外圈采用橡胶材质，轮轴采用45#中碳钢；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厚度：桶身壁≥4.5mm，桶口及加强筋厚度≥6mm，桶盖厚度≥3mm。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通体前口与车辆提升机架配合处加有加强筋，提高运载能力，装载重量≥150kg；</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正常使用温度为-25℃—65℃，产品投入使用起一年内不褪色；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　垃圾桶的技术条件和要求能均达到国家CJ/T280-2008行业标准。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　颜色及标识：a.桶体颜色：需符合相关规定标准；b．产品标识：垃圾桶四面及顶盖，应标注分类标识、图案、文字说明，标识统一采用白色，丝网印刷，标志、图案、文字说明需保证其牢固性、永久性、禁止脱落。</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3.2入户垃圾桶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2020年-2022年已发放住户（含商铺）不再发放（已发放小区数详见“垃圾分类人员设施配备最低要求一览表”），新入住小区进行发放，费用自行考虑计</w:t>
      </w:r>
      <w:r>
        <w:rPr>
          <w:rFonts w:hint="eastAsia" w:ascii="仿宋" w:hAnsi="仿宋" w:eastAsia="仿宋" w:cs="仿宋"/>
          <w:color w:val="auto"/>
          <w:sz w:val="24"/>
          <w:szCs w:val="24"/>
          <w:highlight w:val="none"/>
        </w:rPr>
        <w:t>入投标报价，不得向居民额外收取。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绿色</w:t>
      </w:r>
      <w:r>
        <w:rPr>
          <w:rFonts w:hint="eastAsia" w:cs="仿宋"/>
          <w:color w:val="auto"/>
          <w:sz w:val="24"/>
          <w:szCs w:val="24"/>
          <w:highlight w:val="none"/>
          <w:lang w:val="en-US" w:eastAsia="zh-CN"/>
        </w:rPr>
        <w:t>小</w:t>
      </w:r>
      <w:r>
        <w:rPr>
          <w:rFonts w:hint="eastAsia" w:ascii="仿宋" w:hAnsi="仿宋" w:eastAsia="仿宋" w:cs="仿宋"/>
          <w:color w:val="auto"/>
          <w:sz w:val="24"/>
          <w:szCs w:val="24"/>
          <w:highlight w:val="none"/>
        </w:rPr>
        <w:t>桶，绿桶容积</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rPr>
        <w:t>9升。</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桶盖内侧有密封条，外侧有锁扣，桶身带拎手，拎手双层加厚。</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材料：全桶均使用共聚全新料（包括拎手的附件）。生产过程中允许添加改变桶色的色粉和抗氧化、抗紫外线、抗老化的添加剂，除此之外不允许使用任回料或再生料。</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桶体须为一次性注塑成型，无接缝，具有耐腐蚀、耐酸碱，并有足够的机械强度和良好的冲击韧性。</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适用温度：－20℃－65℃气温下，不发生变形、开裂等损坏。</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桶体壁厚≥1.8mm，桶口及加强筋壁厚≥3.0mm。</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其他技术参数要求及物理性能均符合《中华人民共和国城镇建设行业标准-垃圾桶通用技术条件》，标准号：CJ/T280-2008</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色彩鲜艳，且至少两年内不褪色。</w:t>
      </w:r>
    </w:p>
    <w:p>
      <w:pPr>
        <w:numPr>
          <w:ilvl w:val="0"/>
          <w:numId w:val="9"/>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样式、标识要求：桶顶和桶前需有相关标识，房号标签需采用反光条材料。</w:t>
      </w:r>
    </w:p>
    <w:p>
      <w:pPr>
        <w:spacing w:line="360" w:lineRule="auto"/>
        <w:ind w:firstLine="482" w:firstLineChars="200"/>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snapToGrid w:val="0"/>
          <w:color w:val="auto"/>
          <w:kern w:val="0"/>
          <w:sz w:val="24"/>
          <w:szCs w:val="24"/>
          <w:highlight w:val="none"/>
        </w:rPr>
        <w:t>设施设备智能服务数据功能要求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服务单位提供的相关设施设备具备以下功能要求：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①与区级、街道、各物业智能平台互联互通，按照区、街道要求推送相关数据；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②可以随时查看居民参与垃圾分类的报表；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③居民垃圾袋领取、投递信息查询；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④可回收物投递、重量信息查询；</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⑤具备积分兑换商城，方便居民积分兑换。</w:t>
      </w:r>
    </w:p>
    <w:p>
      <w:pPr>
        <w:spacing w:line="360" w:lineRule="auto"/>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十一、集置站管理需求：</w:t>
      </w:r>
    </w:p>
    <w:p>
      <w:pPr>
        <w:spacing w:line="360" w:lineRule="auto"/>
        <w:ind w:firstLine="480" w:firstLineChars="200"/>
        <w:outlineLvl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1.集置站设置情况：标项</w:t>
      </w:r>
      <w:r>
        <w:rPr>
          <w:rFonts w:hint="eastAsia" w:ascii="仿宋" w:hAnsi="仿宋" w:eastAsia="仿宋" w:cs="仿宋"/>
          <w:snapToGrid w:val="0"/>
          <w:color w:val="auto"/>
          <w:kern w:val="0"/>
          <w:sz w:val="24"/>
          <w:szCs w:val="24"/>
          <w:highlight w:val="none"/>
          <w:lang w:val="en-US" w:eastAsia="zh-CN"/>
        </w:rPr>
        <w:t>一</w:t>
      </w:r>
      <w:r>
        <w:rPr>
          <w:rFonts w:hint="eastAsia" w:ascii="仿宋" w:hAnsi="仿宋" w:eastAsia="仿宋" w:cs="仿宋"/>
          <w:snapToGrid w:val="0"/>
          <w:color w:val="auto"/>
          <w:kern w:val="0"/>
          <w:sz w:val="24"/>
          <w:szCs w:val="24"/>
          <w:highlight w:val="none"/>
        </w:rPr>
        <w:t>1个，标项</w:t>
      </w:r>
      <w:r>
        <w:rPr>
          <w:rFonts w:hint="eastAsia" w:ascii="仿宋" w:hAnsi="仿宋" w:eastAsia="仿宋" w:cs="仿宋"/>
          <w:snapToGrid w:val="0"/>
          <w:color w:val="auto"/>
          <w:kern w:val="0"/>
          <w:sz w:val="24"/>
          <w:szCs w:val="24"/>
          <w:highlight w:val="none"/>
          <w:lang w:val="en-US" w:eastAsia="zh-CN"/>
        </w:rPr>
        <w:t>二</w:t>
      </w:r>
      <w:r>
        <w:rPr>
          <w:rFonts w:hint="eastAsia" w:ascii="仿宋" w:hAnsi="仿宋" w:eastAsia="仿宋" w:cs="仿宋"/>
          <w:snapToGrid w:val="0"/>
          <w:color w:val="auto"/>
          <w:kern w:val="0"/>
          <w:sz w:val="24"/>
          <w:szCs w:val="24"/>
          <w:highlight w:val="none"/>
        </w:rPr>
        <w:t>2个，标项</w:t>
      </w:r>
      <w:r>
        <w:rPr>
          <w:rFonts w:hint="eastAsia" w:ascii="仿宋" w:hAnsi="仿宋" w:eastAsia="仿宋" w:cs="仿宋"/>
          <w:snapToGrid w:val="0"/>
          <w:color w:val="auto"/>
          <w:kern w:val="0"/>
          <w:sz w:val="24"/>
          <w:szCs w:val="24"/>
          <w:highlight w:val="none"/>
          <w:lang w:val="en-US" w:eastAsia="zh-CN"/>
        </w:rPr>
        <w:t>三</w:t>
      </w:r>
      <w:r>
        <w:rPr>
          <w:rFonts w:hint="eastAsia" w:ascii="仿宋" w:hAnsi="仿宋" w:eastAsia="仿宋" w:cs="仿宋"/>
          <w:snapToGrid w:val="0"/>
          <w:color w:val="auto"/>
          <w:kern w:val="0"/>
          <w:sz w:val="24"/>
          <w:szCs w:val="24"/>
          <w:highlight w:val="none"/>
        </w:rPr>
        <w:t>2个（其中一个在建中，预计23年2月-4月投入使用）。</w:t>
      </w:r>
    </w:p>
    <w:p>
      <w:pPr>
        <w:spacing w:line="360" w:lineRule="auto"/>
        <w:ind w:firstLine="480" w:firstLineChars="200"/>
        <w:outlineLvl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2.每个站点配备不少于1名集置站管理员，负责对进入集置站的生活垃圾进行分类监督和指导，其他垃圾和易腐垃圾清运后对垃圾桶进行清洗，并负责站点的环境卫生工作，不得在站点及周边随意丢弃生活垃圾。</w:t>
      </w:r>
    </w:p>
    <w:p>
      <w:pPr>
        <w:spacing w:line="360" w:lineRule="auto"/>
        <w:ind w:firstLine="480" w:firstLineChars="200"/>
        <w:outlineLvl w:val="0"/>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3.非工作时间集置站需保持封闭。</w:t>
      </w:r>
    </w:p>
    <w:p>
      <w:pPr>
        <w:spacing w:line="360" w:lineRule="auto"/>
        <w:outlineLvl w:val="1"/>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十二、其他服务要求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1.本项目所涉及的设施设备投放场地须自行负责场地平整、线缆预埋、水电接入，防水设备、相关集置点升级所需材料及安装，日常运行维护等所有相关费用计入本次投标报价中，中标后不作调整。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所有垃圾分类点位和设施设备、各类公示牌、指示牌、宣传板等进行统一的视觉形象设计，设计应当积极向上符合主流思想，大小以符合人类正常视觉为准，中标单位负责设计和印制。公示牌公示内容包含点位名称、管理人员、清运单位、联系方式、清运时间和投诉电话，点位须有分类指南，辐射范围内有地理位置展示和导视。</w:t>
      </w:r>
    </w:p>
    <w:p>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3.投标人提供垃圾分类服务工作实时在线记录的</w:t>
      </w:r>
      <w:r>
        <w:rPr>
          <w:rFonts w:hint="eastAsia" w:cs="仿宋"/>
          <w:color w:val="auto"/>
          <w:sz w:val="24"/>
          <w:szCs w:val="24"/>
          <w:highlight w:val="none"/>
          <w:lang w:val="en-US" w:eastAsia="zh-CN"/>
        </w:rPr>
        <w:t>软件</w:t>
      </w:r>
      <w:r>
        <w:rPr>
          <w:rFonts w:hint="eastAsia" w:ascii="仿宋" w:hAnsi="仿宋" w:eastAsia="仿宋" w:cs="仿宋"/>
          <w:color w:val="auto"/>
          <w:sz w:val="24"/>
          <w:szCs w:val="24"/>
          <w:highlight w:val="none"/>
        </w:rPr>
        <w:t>演示，并在投标文件中提供演示界面截图，演示至少包括以下几点：</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（1）所有工作人员信息；</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（2）所有人员上下岗打卡；</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（3）管理员入户宣传打卡，一个定位一张照片一个工作评价；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（4）策划活动记录，一个定位一张照片一个工作评价；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（5）巡检、培训、指导记录，一个定位一张照片一个工作评价；</w:t>
      </w:r>
    </w:p>
    <w:p>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（6）投放点、再生资源回收点每日工作开始结束记录，一定位一照片。</w:t>
      </w:r>
    </w:p>
    <w:p>
      <w:pPr>
        <w:pStyle w:val="81"/>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4.如有小区物业经街道同意后自行开展生活垃圾源头分类工作的，中标单位应无条件退出，并做好相关的配合工作，中标单位结算截止日期以街道书面通知日期为准。</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如有小区物业经采购人同意后自行开展生活垃圾源头分类工作的，中标单位应无条件同意终止该小区的垃圾分类工作，并做好相关的配合工作和签订补充合同，无任何补偿，结算截止日期以采购人书面通知日期为准。投标报价应充分考虑提前终止的风险。</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省、市、区垃圾分类办或城管部门要求进行分类模式调整或现有模式标准变化，在服务期间中标人应无条件按照采购人要求及时进行模式、标准调整，新增或更换相应设施设备产生的费用需由中标人承担，采购人不再另行支付。</w:t>
      </w:r>
    </w:p>
    <w:p>
      <w:pPr>
        <w:pStyle w:val="1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项目经理服务方案讲解要求：项目经理是整个项目组的重要角色，是项目完成与否、质量好坏的关键。项目经理需对项目需求理解全面、深入，对单位及本人自身优势认识清晰，能清楚阐述项目技术服务方案（含重难点把握准确、解决措施）和质量保障措施的科学性，能够重点突出、清楚回答评标委员会成员提出的与项目相关的问题。</w:t>
      </w:r>
    </w:p>
    <w:p>
      <w:pPr>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十三、商务要求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1）人工费(包括人员工资（最低2280元/月）、津贴、劳动福利、高温费、社会保险费、双休日及法定节假日加班费、医疗体检费等)；（2）服务过程中所需的前期准备、耗材、设施设备、作业器具、水电等产生的费用；（3）作业安全保险费、安全培训费、职业教育费、企业管理费、利润、税金等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（二）合同定价方式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本合同为固定单价合同，按实结算。</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54"/>
        <w:gridCol w:w="1550"/>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40" w:lineRule="auto"/>
              <w:jc w:val="center"/>
              <w:rPr>
                <w:rFonts w:hint="eastAsia" w:ascii="仿宋" w:hAnsi="仿宋" w:eastAsia="仿宋" w:cs="仿宋"/>
                <w:color w:val="auto"/>
                <w:sz w:val="24"/>
                <w:szCs w:val="24"/>
                <w:highlight w:val="none"/>
              </w:rPr>
            </w:pPr>
            <w:bookmarkStart w:id="10" w:name="_Hlk118190028"/>
            <w:r>
              <w:rPr>
                <w:rFonts w:hint="eastAsia" w:ascii="仿宋" w:hAnsi="仿宋" w:eastAsia="仿宋" w:cs="仿宋"/>
                <w:color w:val="auto"/>
                <w:sz w:val="24"/>
                <w:szCs w:val="24"/>
                <w:highlight w:val="none"/>
              </w:rPr>
              <w:t>序号</w:t>
            </w:r>
          </w:p>
        </w:tc>
        <w:tc>
          <w:tcPr>
            <w:tcW w:w="2854"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支付项</w:t>
            </w:r>
          </w:p>
        </w:tc>
        <w:tc>
          <w:tcPr>
            <w:tcW w:w="155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w:t>
            </w:r>
          </w:p>
        </w:tc>
        <w:tc>
          <w:tcPr>
            <w:tcW w:w="3294"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54"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垃圾分类服务费</w:t>
            </w:r>
          </w:p>
        </w:tc>
        <w:tc>
          <w:tcPr>
            <w:tcW w:w="1550"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（中标单价）元/户/年</w:t>
            </w:r>
          </w:p>
        </w:tc>
        <w:tc>
          <w:tcPr>
            <w:tcW w:w="3294"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每月按照小区内实际入住户数核算（每月实际结算户数不足招标总户的50%，按招标总户数的50%结算）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54"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生活垃圾积分兑换费【标项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兑换积分暂按10656175分（即1065617.5元）报价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兑换积分暂按9745865分（即974586.5元）报价，标项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兑换积分暂按8994695分（即899469.5元）报价】</w:t>
            </w:r>
          </w:p>
        </w:tc>
        <w:tc>
          <w:tcPr>
            <w:tcW w:w="1550"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0.1元/积分</w:t>
            </w:r>
          </w:p>
        </w:tc>
        <w:tc>
          <w:tcPr>
            <w:tcW w:w="3294" w:type="dxa"/>
            <w:noWrap w:val="0"/>
            <w:vAlign w:val="center"/>
          </w:tcPr>
          <w:p>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4"/>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备注：垃圾分类服务费和生活垃圾积分兑换费合计不超过各标项限价。</w:t>
            </w:r>
          </w:p>
        </w:tc>
      </w:tr>
      <w:bookmarkEnd w:id="10"/>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（三）支付方式 </w:t>
      </w:r>
    </w:p>
    <w:p>
      <w:pPr>
        <w:spacing w:line="360" w:lineRule="auto"/>
        <w:ind w:firstLine="480" w:firstLineChars="200"/>
        <w:rPr>
          <w:rFonts w:hint="eastAsia" w:ascii="仿宋" w:hAnsi="仿宋" w:eastAsia="仿宋" w:cs="仿宋"/>
          <w:color w:val="auto"/>
          <w:sz w:val="24"/>
          <w:szCs w:val="24"/>
          <w:highlight w:val="none"/>
        </w:rPr>
      </w:pPr>
      <w:bookmarkStart w:id="11" w:name="_Hlk117775743"/>
      <w:bookmarkStart w:id="12" w:name="_Hlk118194455"/>
      <w:r>
        <w:rPr>
          <w:rFonts w:hint="eastAsia" w:ascii="仿宋" w:hAnsi="仿宋" w:eastAsia="仿宋" w:cs="仿宋"/>
          <w:color w:val="auto"/>
          <w:sz w:val="24"/>
          <w:szCs w:val="24"/>
          <w:highlight w:val="none"/>
        </w:rPr>
        <w:t>1.垃圾分类服务费：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垃圾分类服务费每月按照小区内实际入住户数核算（每月实际结算户数不足招标总户的50%，按招标总户数的50%结算），每季度结算并支付一次，每季度第一个月初支付上季度服务费用的90%，根据街道月度考核情况扣减相应费用后支付。【即每季度支付费用=（户数*单价）*考核得分对应应付比例*90%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②垃圾分类服务费的剩余款项作为考核费，</w:t>
      </w:r>
      <w:bookmarkStart w:id="13" w:name="_Hlk119399042"/>
      <w:r>
        <w:rPr>
          <w:rFonts w:hint="eastAsia" w:ascii="仿宋" w:hAnsi="仿宋" w:eastAsia="仿宋" w:cs="仿宋"/>
          <w:color w:val="auto"/>
          <w:sz w:val="24"/>
          <w:szCs w:val="24"/>
          <w:highlight w:val="none"/>
        </w:rPr>
        <w:t>萧山区年度排名结果发布后一个月内，根据月度和年度排名情况扣减相应费用后支付</w:t>
      </w:r>
      <w:bookmarkEnd w:id="13"/>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③如合同履约过程中，有新增小区垃圾分类服务工作，按合同单价结算。如新增小区每月实际结算户数不足该小区总户的50%，按该小区总户数的50%结算。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2.生活垃圾积分兑换费：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①按实际兑换积分数每季度结算并支付一次，每季度第一个月初支付上季度费用。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t>服务期结束时，居民账户中所有未兑换的积分（包括再生资源积分和生活垃圾积分）由社区一次性兑换成奖品（由社区发放），其中生活垃圾积分由乙方向采购人结算已兑换的积分费用。</w:t>
      </w:r>
    </w:p>
    <w:bookmarkEnd w:id="11"/>
    <w:bookmarkEnd w:id="12"/>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（四）考核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街道月度考核按附件《北干街道小区第三方服务月度考核评分细则（试行）》执行，考核得分大于90分的全额支付服务费；考核得分80（不含）-90（含）分的，支付服务费的90%；考核得分70（不含）-80（含）分的，支付服务费的80%；考核得分≤70分的，支付服务费的（得分数值）%；考核得分＜60分，为考核不合格，支付服务费的50%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2.市(包括市级及以上)、区、街道将分别进行三级考核，专项检查中或被媒体曝光通报批评的，由街道分管领导签发通告，每次通告扣款5万元，合同期内累计通告达5次的，采购人有权终止合同。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北干街道在萧山区垃圾分类工作月度和年度考核排名情况，每月考核排名在前三名的不扣款，第四名及以下的，每下降1名扣除考核费的0.5%；年度考核排名在前三名的不扣款，第四名及以下的，每下降1名扣除考核费的5%。</w:t>
      </w:r>
    </w:p>
    <w:p>
      <w:pPr>
        <w:spacing w:line="500" w:lineRule="exact"/>
        <w:rPr>
          <w:rFonts w:hint="eastAsia" w:ascii="仿宋" w:hAnsi="仿宋" w:eastAsia="仿宋" w:cs="仿宋"/>
          <w:color w:val="auto"/>
          <w:highlight w:val="none"/>
        </w:rPr>
      </w:pPr>
    </w:p>
    <w:p>
      <w:pPr>
        <w:spacing w:line="500" w:lineRule="exact"/>
        <w:rPr>
          <w:rFonts w:hint="eastAsia" w:ascii="仿宋" w:hAnsi="仿宋" w:eastAsia="仿宋" w:cs="仿宋"/>
          <w:color w:val="auto"/>
          <w:highlight w:val="none"/>
        </w:rPr>
      </w:pPr>
    </w:p>
    <w:p>
      <w:pPr>
        <w:spacing w:line="500" w:lineRule="exact"/>
        <w:rPr>
          <w:rFonts w:hint="eastAsia" w:ascii="仿宋" w:hAnsi="仿宋" w:eastAsia="仿宋" w:cs="仿宋"/>
          <w:b/>
          <w:bCs/>
          <w:color w:val="auto"/>
          <w:szCs w:val="21"/>
          <w:highlight w:val="none"/>
        </w:rPr>
      </w:pPr>
      <w:r>
        <w:rPr>
          <w:rFonts w:hint="eastAsia" w:ascii="仿宋" w:hAnsi="仿宋" w:eastAsia="仿宋" w:cs="仿宋"/>
          <w:color w:val="auto"/>
          <w:highlight w:val="none"/>
        </w:rPr>
        <w:t>注：打▲内容为实质性要求，不允许有负偏离，否则将以涉及无效投标条款作无效投标。</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第四部分   评标办法</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pPr>
        <w:numPr>
          <w:ilvl w:val="0"/>
          <w:numId w:val="10"/>
        </w:num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商务技术部分（</w:t>
      </w:r>
      <w:r>
        <w:rPr>
          <w:rFonts w:hint="eastAsia" w:ascii="仿宋" w:hAnsi="仿宋" w:eastAsia="仿宋" w:cs="仿宋"/>
          <w:b/>
          <w:bCs/>
          <w:color w:val="auto"/>
          <w:highlight w:val="none"/>
          <w:lang w:val="en-US" w:eastAsia="zh-CN"/>
        </w:rPr>
        <w:t>86</w:t>
      </w:r>
      <w:r>
        <w:rPr>
          <w:rFonts w:hint="eastAsia" w:ascii="仿宋" w:hAnsi="仿宋" w:eastAsia="仿宋" w:cs="仿宋"/>
          <w:b/>
          <w:bCs/>
          <w:color w:val="auto"/>
          <w:highlight w:val="none"/>
        </w:rPr>
        <w:t>分）</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26"/>
        <w:gridCol w:w="6324"/>
        <w:gridCol w:w="88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6"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6324" w:type="dxa"/>
            <w:noWrap w:val="0"/>
            <w:vAlign w:val="center"/>
          </w:tcPr>
          <w:p>
            <w:pPr>
              <w:spacing w:line="38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评分方法</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1226"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6324" w:type="dxa"/>
            <w:noWrap w:val="0"/>
            <w:vAlign w:val="center"/>
          </w:tcPr>
          <w:p>
            <w:pPr>
              <w:spacing w:line="380" w:lineRule="exact"/>
              <w:jc w:val="center"/>
              <w:rPr>
                <w:rFonts w:hint="eastAsia" w:ascii="仿宋" w:hAnsi="仿宋" w:eastAsia="仿宋" w:cs="仿宋"/>
                <w:bCs/>
                <w:color w:val="auto"/>
                <w:sz w:val="24"/>
                <w:szCs w:val="24"/>
                <w:highlight w:val="none"/>
              </w:rPr>
            </w:pP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管理体系认证和服务认证</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以下认证的每具有1个得1分，本项最高得5分。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（1）质量管理体系认证；（2）环境管理体系认证；（3）职业健康安全管理体系认证；（4）企业社会责任管理体系认证；（5）污水和垃圾处置、公共卫生及其他环境保护服务认证。</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证明材料提供</w:t>
            </w:r>
            <w:r>
              <w:rPr>
                <w:rFonts w:hint="eastAsia" w:ascii="仿宋" w:hAnsi="仿宋" w:eastAsia="仿宋" w:cs="仿宋"/>
                <w:color w:val="auto"/>
                <w:sz w:val="24"/>
                <w:szCs w:val="24"/>
                <w:highlight w:val="none"/>
                <w:lang w:val="en-US" w:eastAsia="zh-CN"/>
              </w:rPr>
              <w:t>有效期内的</w:t>
            </w:r>
            <w:r>
              <w:rPr>
                <w:rFonts w:hint="eastAsia" w:ascii="仿宋" w:hAnsi="仿宋" w:eastAsia="仿宋" w:cs="仿宋"/>
                <w:color w:val="auto"/>
                <w:sz w:val="24"/>
                <w:szCs w:val="24"/>
                <w:highlight w:val="none"/>
              </w:rPr>
              <w:t>认证证书扫描件和全国认证认可信息公共服务平台（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"http://cx.cnca.cn/CertECloud/result/skipResultList"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color w:val="auto"/>
                <w:sz w:val="24"/>
                <w:szCs w:val="24"/>
                <w:highlight w:val="none"/>
              </w:rPr>
              <w:t>http://cx.cnca.cn/CertECloud/result/skipResultList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）查询截图，</w:t>
            </w:r>
            <w:r>
              <w:rPr>
                <w:rFonts w:hint="eastAsia" w:ascii="仿宋" w:hAnsi="仿宋" w:eastAsia="仿宋" w:cs="仿宋"/>
                <w:b/>
                <w:bCs/>
                <w:color w:val="auto"/>
                <w:sz w:val="24"/>
                <w:szCs w:val="24"/>
                <w:highlight w:val="none"/>
              </w:rPr>
              <w:t>其中（1）、（2）、（5）认证范围须含垃圾分类服务或环卫保洁服务。</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类似项目业绩</w:t>
            </w:r>
          </w:p>
        </w:tc>
        <w:tc>
          <w:tcPr>
            <w:tcW w:w="6324" w:type="dxa"/>
            <w:noWrap w:val="0"/>
            <w:vAlign w:val="center"/>
          </w:tcPr>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rPr>
              <w:t>具有已完成过的单个合同城镇住宅小区垃圾分类服务项目业绩的，</w:t>
            </w:r>
            <w:r>
              <w:rPr>
                <w:rFonts w:hint="eastAsia" w:ascii="仿宋" w:hAnsi="仿宋" w:eastAsia="仿宋" w:cs="仿宋"/>
                <w:color w:val="auto"/>
                <w:sz w:val="24"/>
                <w:szCs w:val="24"/>
                <w:highlight w:val="none"/>
                <w:lang w:val="en-US"/>
              </w:rPr>
              <w:t>每</w:t>
            </w:r>
            <w:r>
              <w:rPr>
                <w:rFonts w:hint="eastAsia" w:ascii="仿宋" w:hAnsi="仿宋" w:eastAsia="仿宋" w:cs="仿宋"/>
                <w:color w:val="auto"/>
                <w:sz w:val="24"/>
                <w:szCs w:val="24"/>
                <w:highlight w:val="none"/>
                <w:lang w:val="en-US" w:eastAsia="zh-CN"/>
              </w:rPr>
              <w:t>提供1</w:t>
            </w:r>
            <w:r>
              <w:rPr>
                <w:rFonts w:hint="eastAsia" w:ascii="仿宋" w:hAnsi="仿宋" w:eastAsia="仿宋" w:cs="仿宋"/>
                <w:color w:val="auto"/>
                <w:sz w:val="24"/>
                <w:szCs w:val="24"/>
                <w:highlight w:val="none"/>
                <w:lang w:val="en-US"/>
              </w:rPr>
              <w:t>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en-US"/>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分。</w:t>
            </w:r>
          </w:p>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en-US"/>
              </w:rPr>
              <w:t>证明材料提供合同和履约完毕评价（合同中载明的服务期结束）。履约评价不合格的不得分。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pStyle w:val="82"/>
              <w:spacing w:line="38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rPr>
              <w:t>荣誉奖项</w:t>
            </w:r>
          </w:p>
        </w:tc>
        <w:tc>
          <w:tcPr>
            <w:tcW w:w="6324" w:type="dxa"/>
            <w:noWrap w:val="0"/>
            <w:vAlign w:val="center"/>
          </w:tcPr>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rPr>
              <w:t>自</w:t>
            </w:r>
            <w:r>
              <w:rPr>
                <w:rFonts w:hint="eastAsia" w:ascii="仿宋" w:hAnsi="仿宋" w:eastAsia="仿宋" w:cs="仿宋"/>
                <w:color w:val="auto"/>
                <w:sz w:val="24"/>
                <w:szCs w:val="24"/>
                <w:highlight w:val="none"/>
                <w:lang w:val="en-US"/>
              </w:rPr>
              <w:t>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en-US"/>
              </w:rPr>
              <w:t>年1月1日起以来</w:t>
            </w:r>
            <w:r>
              <w:rPr>
                <w:rFonts w:hint="eastAsia" w:ascii="仿宋" w:hAnsi="仿宋" w:eastAsia="仿宋" w:cs="仿宋"/>
                <w:color w:val="auto"/>
                <w:sz w:val="24"/>
                <w:szCs w:val="24"/>
                <w:highlight w:val="none"/>
                <w:lang w:val="en-US"/>
              </w:rPr>
              <w:t>，获得过镇街级及以上政府部门颁发的垃圾分类工作相关的奖项或荣誉的，</w:t>
            </w:r>
            <w:r>
              <w:rPr>
                <w:rFonts w:hint="eastAsia" w:ascii="仿宋" w:hAnsi="仿宋" w:eastAsia="仿宋" w:cs="仿宋"/>
                <w:color w:val="auto"/>
                <w:sz w:val="24"/>
                <w:szCs w:val="24"/>
                <w:highlight w:val="none"/>
                <w:lang w:val="en-US"/>
              </w:rPr>
              <w:t>每提供一个得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w:t>
            </w:r>
          </w:p>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en-US"/>
              </w:rPr>
              <w:t>证明材料提供证书或有效文件、公示等能体现该奖项或荣誉的材料。</w:t>
            </w: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w:t>
            </w:r>
          </w:p>
          <w:p>
            <w:pPr>
              <w:tabs>
                <w:tab w:val="left" w:pos="248"/>
              </w:tabs>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经理</w:t>
            </w:r>
            <w:r>
              <w:rPr>
                <w:rFonts w:hint="eastAsia" w:cs="仿宋"/>
                <w:color w:val="auto"/>
                <w:sz w:val="24"/>
                <w:szCs w:val="24"/>
                <w:highlight w:val="none"/>
                <w:lang w:val="en-US" w:eastAsia="zh-CN"/>
              </w:rPr>
              <w:t>经验</w:t>
            </w:r>
          </w:p>
        </w:tc>
        <w:tc>
          <w:tcPr>
            <w:tcW w:w="6324" w:type="dxa"/>
            <w:noWrap w:val="0"/>
            <w:vAlign w:val="center"/>
          </w:tcPr>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拟派项目经理具有担</w:t>
            </w:r>
            <w:r>
              <w:rPr>
                <w:rFonts w:hint="eastAsia" w:ascii="仿宋" w:hAnsi="仿宋" w:eastAsia="仿宋" w:cs="仿宋"/>
                <w:color w:val="auto"/>
                <w:sz w:val="24"/>
                <w:szCs w:val="24"/>
                <w:highlight w:val="none"/>
                <w:lang w:val="en-US"/>
              </w:rPr>
              <w:t>任过已完成的单个合同城镇住宅小区年度垃圾分类服务项目经理</w:t>
            </w:r>
            <w:r>
              <w:rPr>
                <w:rFonts w:hint="eastAsia" w:ascii="仿宋" w:hAnsi="仿宋" w:eastAsia="仿宋" w:cs="仿宋"/>
                <w:color w:val="auto"/>
                <w:sz w:val="24"/>
                <w:szCs w:val="24"/>
                <w:highlight w:val="none"/>
                <w:lang w:val="en-US" w:eastAsia="zh-CN"/>
              </w:rPr>
              <w:t>经验</w:t>
            </w:r>
            <w:r>
              <w:rPr>
                <w:rFonts w:hint="eastAsia" w:ascii="仿宋" w:hAnsi="仿宋" w:eastAsia="仿宋" w:cs="仿宋"/>
                <w:color w:val="auto"/>
                <w:sz w:val="24"/>
                <w:szCs w:val="24"/>
                <w:highlight w:val="none"/>
                <w:lang w:val="en-US"/>
              </w:rPr>
              <w:t>的，每具</w:t>
            </w:r>
            <w:r>
              <w:rPr>
                <w:rFonts w:hint="eastAsia" w:ascii="仿宋" w:hAnsi="仿宋" w:eastAsia="仿宋" w:cs="仿宋"/>
                <w:color w:val="auto"/>
                <w:sz w:val="24"/>
                <w:szCs w:val="24"/>
                <w:highlight w:val="none"/>
                <w:lang w:val="en-US"/>
              </w:rPr>
              <w:t>有1个得1分，最高得2分。</w:t>
            </w:r>
          </w:p>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en-US"/>
              </w:rPr>
              <w:t>证明材料提供合同和履约完毕评价（合同中载明的服务期结束）。履约评价不合格的不得分。若证明材料未体现项目经理姓名的，则另行提供甲方证明。</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8" w:type="dxa"/>
            <w:noWrap w:val="0"/>
            <w:vAlign w:val="center"/>
          </w:tcPr>
          <w:p>
            <w:pPr>
              <w:pStyle w:val="82"/>
              <w:spacing w:line="38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二</w:t>
            </w:r>
          </w:p>
        </w:tc>
        <w:tc>
          <w:tcPr>
            <w:tcW w:w="1226" w:type="dxa"/>
            <w:noWrap w:val="0"/>
            <w:vAlign w:val="center"/>
          </w:tcPr>
          <w:p>
            <w:pPr>
              <w:pStyle w:val="82"/>
              <w:spacing w:line="38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技术部分</w:t>
            </w:r>
          </w:p>
        </w:tc>
        <w:tc>
          <w:tcPr>
            <w:tcW w:w="6324" w:type="dxa"/>
            <w:noWrap w:val="0"/>
            <w:vAlign w:val="center"/>
          </w:tcPr>
          <w:p>
            <w:pPr>
              <w:pStyle w:val="82"/>
              <w:spacing w:line="380" w:lineRule="exact"/>
              <w:jc w:val="center"/>
              <w:rPr>
                <w:rFonts w:hint="eastAsia" w:ascii="仿宋" w:hAnsi="仿宋" w:eastAsia="仿宋" w:cs="仿宋"/>
                <w:color w:val="auto"/>
                <w:sz w:val="24"/>
                <w:szCs w:val="24"/>
                <w:highlight w:val="none"/>
                <w:lang w:val="en-US"/>
              </w:rPr>
            </w:pP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76</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组织架构</w:t>
            </w:r>
          </w:p>
        </w:tc>
        <w:tc>
          <w:tcPr>
            <w:tcW w:w="6324" w:type="dxa"/>
            <w:noWrap w:val="0"/>
            <w:vAlign w:val="center"/>
          </w:tcPr>
          <w:p>
            <w:pPr>
              <w:pStyle w:val="82"/>
              <w:spacing w:line="3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US"/>
              </w:rPr>
              <w:t>组织架构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管理流程、权责分配、运作流程图、监督机制、自我约束机制、信息反馈渠道及处理机制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架构完善、</w:t>
            </w:r>
            <w:r>
              <w:rPr>
                <w:rFonts w:hint="eastAsia" w:ascii="仿宋" w:hAnsi="仿宋" w:eastAsia="仿宋" w:cs="仿宋"/>
                <w:color w:val="auto"/>
                <w:sz w:val="24"/>
                <w:szCs w:val="24"/>
                <w:highlight w:val="none"/>
                <w:lang w:val="en-US"/>
              </w:rPr>
              <w:t>清晰简练</w:t>
            </w:r>
            <w:r>
              <w:rPr>
                <w:rFonts w:hint="eastAsia" w:ascii="仿宋" w:hAnsi="仿宋" w:eastAsia="仿宋" w:cs="仿宋"/>
                <w:color w:val="auto"/>
                <w:sz w:val="24"/>
                <w:szCs w:val="24"/>
                <w:highlight w:val="none"/>
                <w:lang w:val="en-US" w:eastAsia="zh-CN"/>
              </w:rPr>
              <w:t>列明，符合</w:t>
            </w:r>
            <w:r>
              <w:rPr>
                <w:rFonts w:hint="eastAsia" w:ascii="仿宋" w:hAnsi="仿宋" w:eastAsia="仿宋" w:cs="仿宋"/>
                <w:color w:val="auto"/>
                <w:sz w:val="24"/>
                <w:szCs w:val="24"/>
                <w:highlight w:val="none"/>
                <w:lang w:val="en-US"/>
              </w:rPr>
              <w:t>的得3分，基本符合的得2分，不符合的得0分。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管理制度</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管理制度（绩效管理制度、台账管理制度及台账模板、员工考勤制度、员工日常行为规范管理制度、廉洁管理制度、资产管理制度、档案管理制度等相关规章制度），每具有一个有效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完善</w:t>
            </w:r>
            <w:r>
              <w:rPr>
                <w:rFonts w:hint="eastAsia" w:ascii="仿宋" w:hAnsi="仿宋" w:eastAsia="仿宋" w:cs="仿宋"/>
                <w:color w:val="auto"/>
                <w:sz w:val="24"/>
                <w:szCs w:val="24"/>
                <w:highlight w:val="none"/>
              </w:rPr>
              <w:t>的规章制度</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得0.5分，最高得3分。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垃圾分类服务质量控制标准是否符合采购要求，符合的得2分，基本符合的得1分，不符合的得0分。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重难点</w:t>
            </w:r>
          </w:p>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所投标项所包含的服务区域垃圾分类工作的重难点分析。分析到位、具有针对性解决方案的得6分；分析到位、具有基本针对性解决方案的得4分；分析基本到位、具有基本针对性解决方案的得2分；分析不到位、无针对性解决方案的得0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：至少含该区域大批新杭州人作息与定时定点分类投放的时间不匹配，参与分类获得积分的欲望不高等情况进行分析并提供针对性解决方案。</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：至少含针对该区域内大多老旧小区基础物业较差、缺少垃圾桶集置房、老年人居多等情况进行分析并提供针对性解决方案。</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：至少含该区域小区数量多、大部分老小区物业为基础物业、人员居住比较复杂等情况进行分析并提供针对性解决方案。</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vMerge w:val="restart"/>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vMerge w:val="restart"/>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（1）定时定点投放点设立与运营方案是否满足采购要求。优于的得3-4分，满足的得3分，基本满足的得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vMerge w:val="continue"/>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vMerge w:val="continue"/>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）积分兑换</w:t>
            </w:r>
            <w:r>
              <w:rPr>
                <w:rFonts w:hint="eastAsia" w:ascii="仿宋" w:hAnsi="仿宋" w:eastAsia="仿宋" w:cs="仿宋"/>
                <w:color w:val="auto"/>
                <w:sz w:val="24"/>
                <w:szCs w:val="24"/>
                <w:highlight w:val="none"/>
                <w:lang w:val="en-US" w:eastAsia="zh-CN"/>
              </w:rPr>
              <w:t>方案与</w:t>
            </w:r>
            <w:r>
              <w:rPr>
                <w:rFonts w:hint="eastAsia" w:ascii="仿宋" w:hAnsi="仿宋" w:eastAsia="仿宋" w:cs="仿宋"/>
                <w:color w:val="auto"/>
                <w:sz w:val="24"/>
                <w:szCs w:val="24"/>
                <w:highlight w:val="none"/>
              </w:rPr>
              <w:t>所提供的兑换物品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数量、种类、规格等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是否满足采购要求。优于的得3-4分，满足的得3分，基本满足的得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vMerge w:val="continue"/>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vMerge w:val="continue"/>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）垃圾分类氛围营造的活动策划、</w:t>
            </w: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rPr>
              <w:t>宣传</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、培训方案是否满足采购需求。优于的得3-4分，满足的得3分，基本满足的得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96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设施设备配备情况</w:t>
            </w:r>
          </w:p>
        </w:tc>
        <w:tc>
          <w:tcPr>
            <w:tcW w:w="6324" w:type="dxa"/>
            <w:noWrap w:val="0"/>
            <w:vAlign w:val="center"/>
          </w:tcPr>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至少配备1辆电动车辆（5个及以上座位）</w:t>
            </w:r>
            <w:r>
              <w:rPr>
                <w:rFonts w:hint="eastAsia" w:cs="仿宋"/>
                <w:color w:val="auto"/>
                <w:sz w:val="24"/>
                <w:szCs w:val="24"/>
                <w:highlight w:val="none"/>
                <w:lang w:val="en-US" w:eastAsia="zh-CN"/>
              </w:rPr>
              <w:t>，已配备或承诺过渡期内配备到位</w:t>
            </w:r>
            <w:r>
              <w:rPr>
                <w:rFonts w:hint="eastAsia" w:ascii="仿宋" w:hAnsi="仿宋" w:eastAsia="仿宋" w:cs="仿宋"/>
                <w:color w:val="auto"/>
                <w:sz w:val="24"/>
                <w:szCs w:val="24"/>
                <w:highlight w:val="none"/>
                <w:lang w:val="en-US" w:eastAsia="zh-CN"/>
              </w:rPr>
              <w:t>的得1分，</w:t>
            </w:r>
            <w:r>
              <w:rPr>
                <w:rFonts w:hint="eastAsia" w:cs="仿宋"/>
                <w:color w:val="auto"/>
                <w:sz w:val="24"/>
                <w:szCs w:val="24"/>
                <w:highlight w:val="none"/>
                <w:lang w:val="en-US" w:eastAsia="zh-CN"/>
              </w:rPr>
              <w:t>其余</w:t>
            </w:r>
            <w:r>
              <w:rPr>
                <w:rFonts w:hint="eastAsia" w:ascii="仿宋" w:hAnsi="仿宋" w:eastAsia="仿宋" w:cs="仿宋"/>
                <w:color w:val="auto"/>
                <w:sz w:val="24"/>
                <w:szCs w:val="24"/>
                <w:highlight w:val="none"/>
                <w:lang w:val="en-US" w:eastAsia="zh-CN"/>
              </w:rPr>
              <w:t>得0分。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智能四分类封装秤、智能误时投放机和智能发袋机技术参数是否满足采购要求。全部满足或正偏离的得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分，打■条款每负偏离1条扣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其余</w:t>
            </w:r>
            <w:r>
              <w:rPr>
                <w:rFonts w:hint="eastAsia" w:ascii="仿宋" w:hAnsi="仿宋" w:eastAsia="仿宋" w:cs="仿宋"/>
                <w:color w:val="auto"/>
                <w:sz w:val="24"/>
                <w:szCs w:val="24"/>
                <w:highlight w:val="none"/>
              </w:rPr>
              <w:t>条款每负偏离1条扣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8" w:type="dxa"/>
            <w:vMerge w:val="restart"/>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vMerge w:val="restart"/>
            <w:noWrap w:val="0"/>
            <w:vAlign w:val="center"/>
          </w:tcPr>
          <w:p>
            <w:pPr>
              <w:tabs>
                <w:tab w:val="left" w:pos="248"/>
              </w:tabs>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垃圾分类亭情况</w:t>
            </w:r>
          </w:p>
        </w:tc>
        <w:tc>
          <w:tcPr>
            <w:tcW w:w="6324" w:type="dxa"/>
            <w:noWrap w:val="0"/>
            <w:vAlign w:val="center"/>
          </w:tcPr>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投标人提供3种及以上垃圾分类亭方案供采购人选择的得2分。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8" w:type="dxa"/>
            <w:vMerge w:val="continue"/>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vMerge w:val="continue"/>
            <w:noWrap w:val="0"/>
            <w:vAlign w:val="center"/>
          </w:tcPr>
          <w:p>
            <w:pPr>
              <w:tabs>
                <w:tab w:val="left" w:pos="248"/>
              </w:tabs>
              <w:spacing w:line="380" w:lineRule="exact"/>
              <w:jc w:val="center"/>
              <w:rPr>
                <w:rFonts w:hint="eastAsia" w:ascii="仿宋" w:hAnsi="仿宋" w:eastAsia="仿宋" w:cs="仿宋"/>
                <w:color w:val="auto"/>
                <w:sz w:val="24"/>
                <w:szCs w:val="24"/>
                <w:highlight w:val="none"/>
                <w:lang w:val="en-US" w:eastAsia="zh-CN"/>
              </w:rPr>
            </w:pPr>
          </w:p>
        </w:tc>
        <w:tc>
          <w:tcPr>
            <w:tcW w:w="6324" w:type="dxa"/>
            <w:noWrap w:val="0"/>
            <w:vAlign w:val="center"/>
          </w:tcPr>
          <w:p>
            <w:pPr>
              <w:spacing w:line="3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根据垃圾分类亭方案1的设计、样式评定，设计合理、样式美观的得2分，设计欠合理或样式欠美观的得1分，设计不合理或样式不美观的得0分。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tabs>
                <w:tab w:val="left" w:pos="248"/>
              </w:tabs>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拟派项目组架构及人员配备情况</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（1）组织架构(岗位设置、人数）</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w:t>
            </w:r>
          </w:p>
          <w:p>
            <w:pPr>
              <w:spacing w:line="38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①岗位设置：增设应急服务、安全管理等岗位（每个岗位至少1人专职专岗）的，每个岗位得0.5分；②人数配备：分类员、巡检员岗位配备人数不少于采购最低要求的，每多1人得0.2分。本项最高得2分。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（2）人员配备情况：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 项目经理：具有本科及以上学历的得1分；</w:t>
            </w:r>
            <w:r>
              <w:rPr>
                <w:rFonts w:hint="eastAsia" w:ascii="仿宋" w:hAnsi="仿宋" w:eastAsia="仿宋" w:cs="仿宋"/>
                <w:color w:val="auto"/>
                <w:sz w:val="24"/>
                <w:szCs w:val="24"/>
                <w:highlight w:val="none"/>
              </w:rPr>
              <w:t>具有生活垃圾分类或垃圾处理工程师岗位证得1分；</w:t>
            </w:r>
            <w:r>
              <w:rPr>
                <w:rFonts w:hint="eastAsia" w:ascii="仿宋" w:hAnsi="仿宋" w:eastAsia="仿宋" w:cs="仿宋"/>
                <w:color w:val="auto"/>
                <w:sz w:val="24"/>
                <w:szCs w:val="24"/>
                <w:highlight w:val="none"/>
              </w:rPr>
              <w:t>具有信息系统管理工程师证书的得2分；具有人社部门颁发的中级及以上职称的得2分。本项最高得4分；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 项目组成员：</w:t>
            </w:r>
            <w:r>
              <w:rPr>
                <w:rFonts w:hint="eastAsia" w:ascii="仿宋" w:hAnsi="仿宋" w:eastAsia="仿宋" w:cs="仿宋"/>
                <w:color w:val="auto"/>
                <w:sz w:val="24"/>
                <w:szCs w:val="24"/>
                <w:highlight w:val="none"/>
              </w:rPr>
              <w:t>具有生活垃圾分类或垃圾处理工程师岗位证得每一人得1分；具有信息系统管理工程师证书的每一</w:t>
            </w:r>
            <w:r>
              <w:rPr>
                <w:rFonts w:hint="eastAsia" w:ascii="仿宋" w:hAnsi="仿宋" w:eastAsia="仿宋" w:cs="仿宋"/>
                <w:color w:val="auto"/>
                <w:sz w:val="24"/>
                <w:szCs w:val="24"/>
                <w:highlight w:val="none"/>
              </w:rPr>
              <w:t>人得1分；具有人社部门颁发的中级及以上职称的每1人得1分。本项最高得6分。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证明材料提供证书彩色扫描件，各岗位人员要求为本单位职工，证明材料需提供劳动合同、工资发放凭证和最近一期的社保缴纳记录，新入职截止投标截止日前不满1个月的可仅提供劳动合同，退休返聘的可仅提供退休证明和劳务合同。</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0-12</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pStyle w:val="46"/>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员工薪资发放规范及权益保障情况</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（1）员工薪资发放是否规范及时，排班时间是否合理，福利保障措施是否到位，是否严格遵守有关劳动法规：</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①企业承诺项目组员工薪资发放：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a.按本月发下月工资的、或当月发当月工资的、或下月5日（含）前（发上月）发员工银行卡的得1分；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b.下月10日（含）前（发上月）发员工银行卡的得0.5分，下月15日（含）前发（发上月）员工银行卡的得0.2分，下月15日后发（发上月）员工银行卡或不发员工银行卡的无效处理。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rPr>
              <w:t>（以公告发布之日或通报文件生效之日为准），未发生过有关“员工薪酬及权益保障方面的投诉或群体性事件”被劳动部门处罚且被环卫行政主管部门通报批评的得4分，每发生一次扣一分，扣完为止。未发生过的，则投标文件中提供未发生过有关“员工薪酬及权益保障方面的投诉或群体性事件”被劳动部门处罚且被环卫行政主管部门通报批评的声明书，未提供声明书的不得分。若有隐瞒的取消其中标资格。</w:t>
            </w:r>
          </w:p>
        </w:tc>
        <w:tc>
          <w:tcPr>
            <w:tcW w:w="881" w:type="dxa"/>
            <w:noWrap w:val="0"/>
            <w:vAlign w:val="center"/>
          </w:tcPr>
          <w:p>
            <w:pPr>
              <w:spacing w:line="3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pStyle w:val="46"/>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平稳交接过渡方案</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垃圾分类</w:t>
            </w:r>
            <w:r>
              <w:rPr>
                <w:rFonts w:hint="eastAsia" w:ascii="仿宋" w:hAnsi="仿宋" w:eastAsia="仿宋" w:cs="仿宋"/>
                <w:color w:val="auto"/>
                <w:sz w:val="24"/>
                <w:szCs w:val="24"/>
                <w:highlight w:val="none"/>
              </w:rPr>
              <w:t>服务平稳过渡交接，</w:t>
            </w:r>
            <w:r>
              <w:rPr>
                <w:rFonts w:hint="eastAsia" w:ascii="仿宋" w:hAnsi="仿宋" w:eastAsia="仿宋" w:cs="仿宋"/>
                <w:color w:val="auto"/>
                <w:sz w:val="24"/>
                <w:szCs w:val="24"/>
                <w:highlight w:val="none"/>
                <w:lang w:val="en-US" w:eastAsia="zh-CN"/>
              </w:rPr>
              <w:t>分析、</w:t>
            </w:r>
            <w:r>
              <w:rPr>
                <w:rFonts w:hint="eastAsia" w:ascii="仿宋" w:hAnsi="仿宋" w:eastAsia="仿宋" w:cs="仿宋"/>
                <w:color w:val="auto"/>
                <w:sz w:val="24"/>
                <w:szCs w:val="24"/>
                <w:highlight w:val="none"/>
              </w:rPr>
              <w:t>制定相关的平稳过渡交接实施措施，分析到位、具有针对性解决</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分；分析到位、具有基本针对性解决</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分；分析基本到位、具有基本针对性解决</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分；分析不到位、无针对性解决</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的得0分。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widowControl/>
              <w:spacing w:line="38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软件演示</w:t>
            </w:r>
          </w:p>
        </w:tc>
        <w:tc>
          <w:tcPr>
            <w:tcW w:w="6324" w:type="dxa"/>
            <w:noWrap w:val="0"/>
            <w:vAlign w:val="center"/>
          </w:tcPr>
          <w:p>
            <w:pPr>
              <w:spacing w:line="38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垃圾分类服务工作实时在线记录系统</w:t>
            </w:r>
            <w:r>
              <w:rPr>
                <w:rFonts w:hint="eastAsia" w:cs="仿宋"/>
                <w:color w:val="auto"/>
                <w:sz w:val="24"/>
                <w:szCs w:val="24"/>
                <w:highlight w:val="none"/>
                <w:lang w:val="en-US" w:eastAsia="zh-CN"/>
              </w:rPr>
              <w:t>软件演示</w:t>
            </w:r>
            <w:r>
              <w:rPr>
                <w:rFonts w:hint="eastAsia" w:ascii="仿宋" w:hAnsi="仿宋" w:eastAsia="仿宋" w:cs="仿宋"/>
                <w:color w:val="auto"/>
                <w:sz w:val="24"/>
                <w:szCs w:val="24"/>
                <w:highlight w:val="none"/>
              </w:rPr>
              <w:t>，具备以下功能的</w:t>
            </w:r>
            <w:r>
              <w:rPr>
                <w:rFonts w:hint="eastAsia" w:ascii="仿宋" w:hAnsi="仿宋" w:eastAsia="仿宋" w:cs="仿宋"/>
                <w:color w:val="auto"/>
                <w:sz w:val="24"/>
                <w:szCs w:val="24"/>
                <w:highlight w:val="none"/>
                <w:lang w:eastAsia="zh-CN"/>
              </w:rPr>
              <w:t>：</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（1）所有工作人员信息具备的得1分；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（2）所有人员上下岗打卡具备的得1分；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cs="仿宋"/>
                <w:color w:val="auto"/>
                <w:sz w:val="24"/>
                <w:szCs w:val="24"/>
                <w:highlight w:val="none"/>
                <w:lang w:val="en-US" w:eastAsia="zh-CN"/>
              </w:rPr>
              <w:t>管理员</w:t>
            </w:r>
            <w:r>
              <w:rPr>
                <w:rFonts w:hint="eastAsia" w:ascii="仿宋" w:hAnsi="仿宋" w:eastAsia="仿宋" w:cs="仿宋"/>
                <w:color w:val="auto"/>
                <w:sz w:val="24"/>
                <w:szCs w:val="24"/>
                <w:highlight w:val="none"/>
              </w:rPr>
              <w:t>入户宣传打卡，一个定位一张照片一个工作评价具备的得1分；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（4）策划活动记录，一个定位一张照片一个工作评价具备的得1分；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（5）巡检、培训、指导记录，一个定位一张照片一个工作评价具备的得1分；</w:t>
            </w:r>
          </w:p>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（6）投放点、再生资源回收点每日工作开始结束记录，一定位一照片具备的得1分。</w:t>
            </w:r>
          </w:p>
          <w:p>
            <w:pPr>
              <w:spacing w:line="380" w:lineRule="exact"/>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备注</w:t>
            </w:r>
            <w:r>
              <w:rPr>
                <w:rFonts w:hint="eastAsia" w:ascii="仿宋" w:hAnsi="仿宋" w:eastAsia="仿宋" w:cs="仿宋"/>
                <w:color w:val="auto"/>
                <w:sz w:val="24"/>
                <w:szCs w:val="24"/>
                <w:highlight w:val="none"/>
              </w:rPr>
              <w:t>：未</w:t>
            </w:r>
            <w:r>
              <w:rPr>
                <w:rFonts w:hint="eastAsia" w:cs="仿宋"/>
                <w:color w:val="auto"/>
                <w:sz w:val="24"/>
                <w:szCs w:val="24"/>
                <w:highlight w:val="none"/>
                <w:lang w:val="en-US" w:eastAsia="zh-CN"/>
              </w:rPr>
              <w:t>提供软件演示的直接</w:t>
            </w:r>
            <w:r>
              <w:rPr>
                <w:rFonts w:hint="eastAsia" w:ascii="仿宋" w:hAnsi="仿宋" w:eastAsia="仿宋" w:cs="仿宋"/>
                <w:color w:val="auto"/>
                <w:sz w:val="24"/>
                <w:szCs w:val="24"/>
                <w:highlight w:val="none"/>
              </w:rPr>
              <w:t>不得分。</w:t>
            </w:r>
          </w:p>
        </w:tc>
        <w:tc>
          <w:tcPr>
            <w:tcW w:w="881" w:type="dxa"/>
            <w:noWrap w:val="0"/>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961" w:type="dxa"/>
            <w:noWrap w:val="0"/>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widowControl/>
              <w:spacing w:line="380" w:lineRule="exact"/>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封装电子秤样品提供、演示和入户垃圾桶样品提供</w:t>
            </w:r>
          </w:p>
        </w:tc>
        <w:tc>
          <w:tcPr>
            <w:tcW w:w="6324"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（1）封装电子称：①质量精度准确、牢固、操作简便的得0.5分，一般的得0.3分，差的得0分；</w:t>
            </w:r>
            <w:r>
              <w:rPr>
                <w:rFonts w:hint="eastAsia" w:ascii="仿宋" w:hAnsi="仿宋" w:eastAsia="仿宋" w:cs="仿宋"/>
                <w:color w:val="auto"/>
                <w:sz w:val="24"/>
                <w:szCs w:val="24"/>
                <w:highlight w:val="none"/>
              </w:rPr>
              <w:t>②二维码及人脸识别功能</w:t>
            </w:r>
            <w:r>
              <w:rPr>
                <w:rFonts w:hint="eastAsia" w:cs="仿宋"/>
                <w:color w:val="auto"/>
                <w:sz w:val="24"/>
                <w:szCs w:val="24"/>
                <w:highlight w:val="none"/>
                <w:lang w:val="en-US" w:eastAsia="zh-CN"/>
              </w:rPr>
              <w:t>和</w:t>
            </w:r>
            <w:r>
              <w:rPr>
                <w:rFonts w:hint="eastAsia" w:ascii="仿宋" w:hAnsi="仿宋" w:eastAsia="仿宋" w:cs="仿宋"/>
                <w:color w:val="auto"/>
                <w:sz w:val="24"/>
                <w:szCs w:val="24"/>
                <w:highlight w:val="none"/>
              </w:rPr>
              <w:t>易腐垃圾、其他垃圾、可回收垃圾、有害垃圾实时智能秤重拍照及评价功能，符合的得0.5分，不符合的得0分；③</w:t>
            </w:r>
            <w:r>
              <w:rPr>
                <w:rFonts w:hint="eastAsia" w:cs="仿宋"/>
                <w:color w:val="auto"/>
                <w:sz w:val="24"/>
                <w:szCs w:val="24"/>
                <w:highlight w:val="none"/>
                <w:lang w:val="en-US" w:eastAsia="zh-CN"/>
              </w:rPr>
              <w:t>可回收物积分种类可按照区级要求，达到10种及以上</w:t>
            </w:r>
            <w:r>
              <w:rPr>
                <w:rFonts w:hint="eastAsia" w:ascii="仿宋" w:hAnsi="仿宋" w:eastAsia="仿宋" w:cs="仿宋"/>
                <w:color w:val="auto"/>
                <w:sz w:val="24"/>
                <w:szCs w:val="24"/>
                <w:highlight w:val="none"/>
              </w:rPr>
              <w:t>，符合的得0.5分，不符合的得0分；</w:t>
            </w:r>
            <w:r>
              <w:rPr>
                <w:rFonts w:hint="eastAsia" w:ascii="仿宋" w:hAnsi="仿宋" w:eastAsia="仿宋" w:cs="仿宋"/>
                <w:color w:val="auto"/>
                <w:sz w:val="24"/>
                <w:szCs w:val="24"/>
                <w:highlight w:val="none"/>
              </w:rPr>
              <w:t>④实时查询用户投放记录和积分功能，符合的得0.5分，不符合的得0分。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（2）入户垃圾桶：①色彩鲜艳、易分辨的得0.2分，不鲜艳、不易分辨的得0分；②样式、标识符合采购要求的得0.2分，不符合的得0分；③质量牢固可靠、不易破损的得0.6分，一般的得0.4分，差的得0分。</w:t>
            </w:r>
          </w:p>
          <w:p>
            <w:pPr>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备</w:t>
            </w:r>
            <w:r>
              <w:rPr>
                <w:rFonts w:hint="eastAsia" w:ascii="仿宋" w:hAnsi="仿宋" w:eastAsia="仿宋" w:cs="仿宋"/>
                <w:color w:val="auto"/>
                <w:sz w:val="24"/>
                <w:szCs w:val="24"/>
                <w:highlight w:val="none"/>
              </w:rPr>
              <w:t>注：未</w:t>
            </w:r>
            <w:r>
              <w:rPr>
                <w:rFonts w:hint="eastAsia" w:cs="仿宋"/>
                <w:color w:val="auto"/>
                <w:sz w:val="24"/>
                <w:szCs w:val="24"/>
                <w:highlight w:val="none"/>
                <w:lang w:val="en-US" w:eastAsia="zh-CN"/>
              </w:rPr>
              <w:t>提供样品或演示的直接</w:t>
            </w:r>
            <w:r>
              <w:rPr>
                <w:rFonts w:hint="eastAsia" w:ascii="仿宋" w:hAnsi="仿宋" w:eastAsia="仿宋" w:cs="仿宋"/>
                <w:color w:val="auto"/>
                <w:sz w:val="24"/>
                <w:szCs w:val="24"/>
                <w:highlight w:val="none"/>
              </w:rPr>
              <w:t>不得分。</w:t>
            </w:r>
          </w:p>
        </w:tc>
        <w:tc>
          <w:tcPr>
            <w:tcW w:w="881" w:type="dxa"/>
            <w:noWrap w:val="0"/>
            <w:vAlign w:val="center"/>
          </w:tcPr>
          <w:p>
            <w:pPr>
              <w:widowControl/>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961" w:type="dxa"/>
            <w:noWrap w:val="0"/>
            <w:vAlign w:val="center"/>
          </w:tcPr>
          <w:p>
            <w:pPr>
              <w:widowControl/>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8" w:type="dxa"/>
            <w:noWrap w:val="0"/>
            <w:vAlign w:val="center"/>
          </w:tcPr>
          <w:p>
            <w:pPr>
              <w:numPr>
                <w:ilvl w:val="0"/>
                <w:numId w:val="11"/>
              </w:numPr>
              <w:spacing w:line="380" w:lineRule="exact"/>
              <w:jc w:val="center"/>
              <w:rPr>
                <w:rFonts w:hint="eastAsia" w:ascii="仿宋" w:hAnsi="仿宋" w:eastAsia="仿宋" w:cs="仿宋"/>
                <w:color w:val="auto"/>
                <w:sz w:val="24"/>
                <w:szCs w:val="24"/>
                <w:highlight w:val="none"/>
              </w:rPr>
            </w:pPr>
          </w:p>
        </w:tc>
        <w:tc>
          <w:tcPr>
            <w:tcW w:w="1226" w:type="dxa"/>
            <w:noWrap w:val="0"/>
            <w:vAlign w:val="center"/>
          </w:tcPr>
          <w:p>
            <w:pPr>
              <w:spacing w:line="380" w:lineRule="exact"/>
              <w:jc w:val="center"/>
              <w:rPr>
                <w:rFonts w:hint="eastAsia" w:ascii="仿宋" w:hAnsi="仿宋" w:eastAsia="仿宋" w:cs="仿宋"/>
                <w:color w:val="auto"/>
                <w:sz w:val="24"/>
                <w:szCs w:val="24"/>
                <w:highlight w:val="none"/>
              </w:rPr>
            </w:pPr>
          </w:p>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项目经理服务方案讲解</w:t>
            </w:r>
          </w:p>
        </w:tc>
        <w:tc>
          <w:tcPr>
            <w:tcW w:w="6324" w:type="dxa"/>
            <w:noWrap w:val="0"/>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项目需求理解全面、深入，对单位及本人自身优势认识清晰，能清楚阐述项目技术服务方案（含重难点把握准确、解决措施）和质量保障措施的科学性，能够重点突出、清楚回答评标委员会成员提出的与项目相关的问题</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①项目负责人对项目需求理解全面、深入的得3分；基本全面、深入的得2分；不全面的得0.5分；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②对单位及本人优势认识清晰的得1分，基本清晰的得0.5分，不清晰的得0.1分；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③技术服务方案和质量保障措施清楚阐述的得3分，较清楚的得2分，不清楚的得0.5分；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④回答问题重点突出、清楚的得3分，基本突出、较清楚的得2分，不突出、不清楚的得0.5分。</w:t>
            </w:r>
          </w:p>
          <w:p>
            <w:pPr>
              <w:spacing w:line="380" w:lineRule="exact"/>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备注</w:t>
            </w:r>
            <w:r>
              <w:rPr>
                <w:rFonts w:hint="eastAsia" w:ascii="仿宋" w:hAnsi="仿宋" w:eastAsia="仿宋" w:cs="仿宋"/>
                <w:color w:val="auto"/>
                <w:sz w:val="24"/>
                <w:szCs w:val="24"/>
                <w:highlight w:val="none"/>
              </w:rPr>
              <w:t>：未</w:t>
            </w:r>
            <w:r>
              <w:rPr>
                <w:rFonts w:hint="eastAsia" w:cs="仿宋"/>
                <w:color w:val="auto"/>
                <w:sz w:val="24"/>
                <w:szCs w:val="24"/>
                <w:highlight w:val="none"/>
                <w:lang w:val="en-US" w:eastAsia="zh-CN"/>
              </w:rPr>
              <w:t>提供讲解或讲解人员非投标文件中载明的项目经理的直接</w:t>
            </w:r>
            <w:r>
              <w:rPr>
                <w:rFonts w:hint="eastAsia" w:ascii="仿宋" w:hAnsi="仿宋" w:eastAsia="仿宋" w:cs="仿宋"/>
                <w:color w:val="auto"/>
                <w:sz w:val="24"/>
                <w:szCs w:val="24"/>
                <w:highlight w:val="none"/>
              </w:rPr>
              <w:t>不得分。</w:t>
            </w:r>
          </w:p>
        </w:tc>
        <w:tc>
          <w:tcPr>
            <w:tcW w:w="881" w:type="dxa"/>
            <w:noWrap w:val="0"/>
            <w:vAlign w:val="center"/>
          </w:tcPr>
          <w:p>
            <w:pPr>
              <w:widowControl/>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w:t>
            </w:r>
          </w:p>
        </w:tc>
        <w:tc>
          <w:tcPr>
            <w:tcW w:w="961" w:type="dxa"/>
            <w:noWrap w:val="0"/>
            <w:vAlign w:val="center"/>
          </w:tcPr>
          <w:p>
            <w:pPr>
              <w:widowControl/>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bl>
    <w:p>
      <w:pPr>
        <w:pStyle w:val="4"/>
        <w:jc w:val="center"/>
        <w:rPr>
          <w:rFonts w:hint="eastAsia" w:ascii="仿宋" w:hAnsi="仿宋" w:eastAsia="仿宋" w:cs="仿宋"/>
          <w:color w:val="auto"/>
          <w:highlight w:val="none"/>
        </w:rPr>
      </w:pP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2、价格部分（</w:t>
      </w:r>
      <w:r>
        <w:rPr>
          <w:rFonts w:hint="eastAsia" w:ascii="仿宋" w:hAnsi="仿宋" w:eastAsia="仿宋" w:cs="仿宋"/>
          <w:b/>
          <w:bCs/>
          <w:color w:val="auto"/>
          <w:highlight w:val="none"/>
          <w:lang w:val="en-US" w:eastAsia="zh-CN"/>
        </w:rPr>
        <w:t>14</w:t>
      </w:r>
      <w:r>
        <w:rPr>
          <w:rFonts w:hint="eastAsia" w:ascii="仿宋" w:hAnsi="仿宋" w:eastAsia="仿宋" w:cs="仿宋"/>
          <w:b/>
          <w:bCs/>
          <w:color w:val="auto"/>
          <w:highlight w:val="none"/>
        </w:rPr>
        <w:t>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价格权值</w:t>
            </w:r>
          </w:p>
        </w:tc>
        <w:tc>
          <w:tcPr>
            <w:tcW w:w="6599" w:type="dxa"/>
            <w:vAlign w:val="center"/>
          </w:tcPr>
          <w:p>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spacing w:line="380" w:lineRule="exact"/>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lang w:val="zh-CN"/>
              </w:rPr>
              <w:t>开标一览表（报价表）</w:t>
            </w:r>
            <w:r>
              <w:rPr>
                <w:rFonts w:hint="eastAsia" w:ascii="仿宋" w:hAnsi="仿宋" w:eastAsia="仿宋" w:cs="仿宋"/>
                <w:color w:val="auto"/>
                <w:sz w:val="24"/>
                <w:szCs w:val="24"/>
                <w:highlight w:val="none"/>
                <w:u w:val="single"/>
                <w:lang w:val="zh-CN"/>
              </w:rPr>
              <w:t>投标报价</w:t>
            </w:r>
            <w:r>
              <w:rPr>
                <w:rFonts w:hint="eastAsia" w:ascii="仿宋" w:hAnsi="仿宋" w:eastAsia="仿宋" w:cs="仿宋"/>
                <w:color w:val="auto"/>
                <w:sz w:val="24"/>
                <w:szCs w:val="24"/>
                <w:highlight w:val="none"/>
                <w:u w:val="none"/>
                <w:lang w:val="zh-CN"/>
              </w:rPr>
              <w:t>：</w:t>
            </w:r>
            <w:r>
              <w:rPr>
                <w:rFonts w:hint="eastAsia" w:ascii="仿宋" w:hAnsi="仿宋" w:eastAsia="仿宋" w:cs="仿宋"/>
                <w:color w:val="auto"/>
                <w:szCs w:val="21"/>
                <w:highlight w:val="none"/>
              </w:rPr>
              <w:t>价格权值=0.10</w:t>
            </w:r>
          </w:p>
        </w:tc>
        <w:tc>
          <w:tcPr>
            <w:tcW w:w="6599" w:type="dxa"/>
            <w:vAlign w:val="center"/>
          </w:tcPr>
          <w:p>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最低有效投标价格为评标基准价</w:t>
            </w:r>
          </w:p>
          <w:p>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投标报价得分=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评标基准价／投标报价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×价格权值×100 </w:t>
            </w:r>
          </w:p>
          <w:p>
            <w:pPr>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（计算得分保留小数点后2位）</w:t>
            </w:r>
          </w:p>
        </w:tc>
      </w:tr>
    </w:tbl>
    <w:p>
      <w:pPr>
        <w:jc w:val="center"/>
        <w:rPr>
          <w:rFonts w:hint="eastAsia" w:ascii="仿宋" w:hAnsi="仿宋" w:eastAsia="仿宋" w:cs="仿宋"/>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6599" w:type="dxa"/>
            <w:vAlign w:val="center"/>
          </w:tcPr>
          <w:p>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最低实发工资</w:t>
            </w:r>
            <w:r>
              <w:rPr>
                <w:rFonts w:hint="eastAsia" w:ascii="仿宋" w:hAnsi="仿宋" w:eastAsia="仿宋" w:cs="仿宋"/>
                <w:sz w:val="24"/>
                <w:szCs w:val="24"/>
                <w:lang w:val="en-US" w:eastAsia="zh-CN"/>
              </w:rPr>
              <w:t>表</w:t>
            </w:r>
            <w:r>
              <w:rPr>
                <w:rFonts w:hint="eastAsia" w:ascii="仿宋" w:hAnsi="仿宋" w:eastAsia="仿宋" w:cs="仿宋"/>
                <w:sz w:val="24"/>
                <w:szCs w:val="24"/>
                <w:u w:val="single"/>
                <w:lang w:val="en-US" w:eastAsia="zh-CN"/>
              </w:rPr>
              <w:t>合计</w:t>
            </w:r>
            <w:bookmarkStart w:id="51" w:name="_GoBack"/>
            <w:bookmarkEnd w:id="5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04</w:t>
            </w:r>
          </w:p>
        </w:tc>
        <w:tc>
          <w:tcPr>
            <w:tcW w:w="6599" w:type="dxa"/>
            <w:vAlign w:val="center"/>
          </w:tcPr>
          <w:p>
            <w:pPr>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最低实发工资</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u w:val="single"/>
                <w:lang w:val="en-US" w:eastAsia="zh-CN"/>
              </w:rPr>
              <w:t>合计</w:t>
            </w:r>
            <w:r>
              <w:rPr>
                <w:rFonts w:hint="eastAsia" w:ascii="仿宋" w:hAnsi="仿宋" w:eastAsia="仿宋" w:cs="仿宋"/>
                <w:color w:val="auto"/>
                <w:sz w:val="24"/>
                <w:szCs w:val="24"/>
                <w:highlight w:val="none"/>
              </w:rPr>
              <w:t>占</w:t>
            </w:r>
            <w:r>
              <w:rPr>
                <w:rFonts w:hint="eastAsia" w:ascii="仿宋" w:hAnsi="仿宋" w:eastAsia="仿宋" w:cs="仿宋"/>
                <w:color w:val="auto"/>
                <w:sz w:val="24"/>
                <w:szCs w:val="24"/>
                <w:highlight w:val="none"/>
                <w:lang w:val="zh-CN"/>
              </w:rPr>
              <w:t>开标一览表（报价表）</w:t>
            </w:r>
            <w:r>
              <w:rPr>
                <w:rFonts w:hint="eastAsia" w:ascii="仿宋" w:hAnsi="仿宋" w:eastAsia="仿宋" w:cs="仿宋"/>
                <w:color w:val="auto"/>
                <w:sz w:val="24"/>
                <w:szCs w:val="24"/>
                <w:highlight w:val="none"/>
                <w:u w:val="single"/>
                <w:lang w:val="zh-CN"/>
              </w:rPr>
              <w:t>投标报价</w:t>
            </w:r>
            <w:r>
              <w:rPr>
                <w:rFonts w:hint="eastAsia" w:ascii="仿宋" w:hAnsi="仿宋" w:eastAsia="仿宋" w:cs="仿宋"/>
                <w:color w:val="auto"/>
                <w:sz w:val="24"/>
                <w:szCs w:val="24"/>
                <w:highlight w:val="none"/>
              </w:rPr>
              <w:t>比例（小数点后保留两位）45.00%得2分，每多1.00%（比例-45%）加0.1分，最高得4分，</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相差不足1%的不加分。</w:t>
            </w:r>
          </w:p>
          <w:p>
            <w:pPr>
              <w:spacing w:line="380" w:lineRule="exact"/>
              <w:jc w:val="left"/>
              <w:rPr>
                <w:rFonts w:hint="eastAsia" w:ascii="仿宋" w:hAnsi="仿宋" w:eastAsia="仿宋" w:cs="仿宋"/>
                <w:color w:val="auto"/>
                <w:sz w:val="24"/>
                <w:szCs w:val="24"/>
                <w:highlight w:val="none"/>
              </w:rPr>
            </w:pPr>
            <w:r>
              <w:rPr>
                <w:rFonts w:hint="eastAsia" w:cs="仿宋"/>
                <w:color w:val="auto"/>
                <w:sz w:val="24"/>
                <w:szCs w:val="24"/>
                <w:highlight w:val="none"/>
                <w:lang w:eastAsia="zh-CN"/>
              </w:rPr>
              <w:t>（最低实发工资</w:t>
            </w:r>
            <w:r>
              <w:rPr>
                <w:rFonts w:hint="eastAsia" w:cs="仿宋"/>
                <w:color w:val="auto"/>
                <w:sz w:val="24"/>
                <w:szCs w:val="24"/>
                <w:highlight w:val="none"/>
                <w:lang w:val="en-US" w:eastAsia="zh-CN"/>
              </w:rPr>
              <w:t>表</w:t>
            </w:r>
            <w:r>
              <w:rPr>
                <w:rFonts w:hint="eastAsia" w:ascii="仿宋" w:hAnsi="仿宋" w:eastAsia="仿宋" w:cs="仿宋"/>
                <w:color w:val="auto"/>
                <w:sz w:val="24"/>
                <w:szCs w:val="24"/>
                <w:highlight w:val="none"/>
              </w:rPr>
              <w:t>计算错误修正按</w:t>
            </w:r>
            <w:r>
              <w:rPr>
                <w:rFonts w:hint="eastAsia" w:ascii="仿宋" w:hAnsi="仿宋" w:eastAsia="仿宋" w:cs="仿宋"/>
                <w:color w:val="auto"/>
                <w:sz w:val="24"/>
                <w:szCs w:val="24"/>
                <w:highlight w:val="none"/>
                <w:lang w:val="en-US" w:eastAsia="zh-CN"/>
              </w:rPr>
              <w:t>招标文件</w:t>
            </w:r>
            <w:r>
              <w:rPr>
                <w:rFonts w:hint="eastAsia" w:cs="仿宋"/>
                <w:color w:val="auto"/>
                <w:sz w:val="24"/>
                <w:szCs w:val="24"/>
                <w:highlight w:val="none"/>
                <w:lang w:eastAsia="zh-CN"/>
              </w:rPr>
              <w:t>）</w:t>
            </w:r>
          </w:p>
        </w:tc>
      </w:tr>
    </w:tbl>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auto"/>
          <w:highlight w:val="none"/>
        </w:rPr>
      </w:pPr>
      <w:r>
        <w:rPr>
          <w:rFonts w:hint="eastAsia" w:ascii="仿宋" w:hAnsi="仿宋" w:eastAsia="仿宋" w:cs="仿宋"/>
          <w:b/>
          <w:color w:val="auto"/>
          <w:highlight w:val="none"/>
        </w:rPr>
        <w:t>备注：</w:t>
      </w:r>
      <w:r>
        <w:rPr>
          <w:rFonts w:hint="eastAsia" w:ascii="仿宋" w:hAnsi="仿宋" w:eastAsia="仿宋" w:cs="仿宋"/>
          <w:color w:val="auto"/>
          <w:highlight w:val="none"/>
        </w:rPr>
        <w:t>1、评分条款中涉及的业绩、荣誉、人员、社保等分公司均有效。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3、投标人编制投标文件（商务技术文件部分）时，建议按此目录（序号和内容）提供评标标准相应的商务技术资料。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一、评标方法</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综合评分法，是指投标文件满足招标文件全部实质性要求，且按照评审因素的量化指标评审得分最高的投标人为中标候选人的评标方法。</w:t>
      </w:r>
    </w:p>
    <w:p>
      <w:pPr>
        <w:pStyle w:val="2"/>
        <w:rPr>
          <w:rFonts w:hint="eastAsia" w:ascii="仿宋" w:hAnsi="仿宋" w:eastAsia="仿宋" w:cs="仿宋"/>
          <w:color w:val="auto"/>
          <w:sz w:val="24"/>
          <w:highlight w:val="none"/>
        </w:rPr>
      </w:pPr>
      <w:r>
        <w:rPr>
          <w:rFonts w:hint="eastAsia" w:ascii="仿宋" w:hAnsi="仿宋" w:eastAsia="仿宋" w:cs="仿宋"/>
          <w:color w:val="auto"/>
          <w:highlight w:val="none"/>
        </w:rPr>
        <w:t>二、评标标准</w:t>
      </w:r>
    </w:p>
    <w:p>
      <w:pPr>
        <w:spacing w:line="360" w:lineRule="auto"/>
        <w:rPr>
          <w:rFonts w:hint="eastAsia" w:ascii="仿宋" w:hAnsi="仿宋" w:eastAsia="仿宋" w:cs="仿宋"/>
          <w:b/>
          <w:color w:val="auto"/>
          <w:highlight w:val="none"/>
        </w:rPr>
      </w:pPr>
      <w:r>
        <w:rPr>
          <w:rStyle w:val="37"/>
          <w:rFonts w:hint="eastAsia" w:ascii="仿宋" w:hAnsi="仿宋" w:eastAsia="仿宋" w:cs="仿宋"/>
          <w:color w:val="auto"/>
          <w:highlight w:val="none"/>
        </w:rPr>
        <w:t>2. 评标标准：</w:t>
      </w:r>
      <w:r>
        <w:rPr>
          <w:rFonts w:hint="eastAsia" w:ascii="仿宋" w:hAnsi="仿宋" w:eastAsia="仿宋" w:cs="仿宋"/>
          <w:color w:val="auto"/>
          <w:highlight w:val="none"/>
        </w:rPr>
        <w:t>见评标办法前附表。</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三、评标程序</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3.1符合性审查。</w:t>
      </w:r>
      <w:r>
        <w:rPr>
          <w:rFonts w:hint="eastAsia" w:ascii="仿宋" w:hAnsi="仿宋" w:eastAsia="仿宋" w:cs="仿宋"/>
          <w:color w:val="auto"/>
          <w:highlight w:val="none"/>
        </w:rPr>
        <w:t>评标委员会应当对符合资格的投标人的投标文件进行符合性审查，以确定其是否满足招标文件的实质性要求。不满足招标文件的实质性要求的，投标无效。</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3.2 比较与评价。</w:t>
      </w:r>
      <w:r>
        <w:rPr>
          <w:rFonts w:hint="eastAsia" w:ascii="仿宋" w:hAnsi="仿宋" w:eastAsia="仿宋" w:cs="仿宋"/>
          <w:color w:val="auto"/>
          <w:highlight w:val="none"/>
        </w:rPr>
        <w:t>评标委员会应当按照招标文件中规定的评标方法和标准，对符合性审查合格的投标文件进行商务和技术评估，综合比较与评价。</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3.3汇总商务技术得分。</w:t>
      </w:r>
      <w:r>
        <w:rPr>
          <w:rFonts w:hint="eastAsia" w:ascii="仿宋" w:hAnsi="仿宋" w:eastAsia="仿宋" w:cs="仿宋"/>
          <w:color w:val="auto"/>
          <w:highlight w:val="none"/>
        </w:rPr>
        <w:t>评标委员会各成员应当独立对每个投标人的商务和技术文件进行评价，并汇总商务技术得分情况。</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3.4报价评审。</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3.4.1投标文件报价出现前后不一致的，按照下列规定修正：</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3.4.1.1投标文件中开标一览表(报价表)内容与投标文件中相应内容不一致的，以开标一览表(报价表)为准;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3.4.1.3单价金额小数点或者百分比有明显错位的，以开标一览表的总价为准，并修改单价;</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3.4.2投标文件出现不是唯一的、有选择性投标报价的，投标无效。</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3.4.3投标报价超过招标文件中规定的预算金额或者最高限价的，投标无效。</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highlight w:val="none"/>
        </w:rPr>
      </w:pPr>
      <w:r>
        <w:rPr>
          <w:rFonts w:hint="eastAsia" w:ascii="仿宋" w:hAnsi="仿宋" w:eastAsia="仿宋" w:cs="仿宋"/>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hint="eastAsia" w:ascii="仿宋" w:hAnsi="仿宋" w:eastAsia="仿宋" w:cs="仿宋"/>
          <w:color w:val="auto"/>
          <w:highlight w:val="none"/>
        </w:rPr>
      </w:pPr>
      <w:r>
        <w:rPr>
          <w:rStyle w:val="37"/>
          <w:rFonts w:hint="eastAsia" w:ascii="仿宋" w:hAnsi="仿宋" w:eastAsia="仿宋" w:cs="仿宋"/>
          <w:color w:val="auto"/>
          <w:highlight w:val="none"/>
        </w:rPr>
        <w:t>3.6编写评标报告。</w:t>
      </w:r>
      <w:r>
        <w:rPr>
          <w:rFonts w:hint="eastAsia" w:ascii="仿宋" w:hAnsi="仿宋" w:eastAsia="仿宋" w:cs="仿宋"/>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四、评标中的其他事项</w:t>
      </w:r>
    </w:p>
    <w:p>
      <w:pPr>
        <w:pStyle w:val="61"/>
        <w:rPr>
          <w:rFonts w:hint="eastAsia" w:ascii="仿宋" w:hAnsi="仿宋" w:eastAsia="仿宋" w:cs="仿宋"/>
          <w:color w:val="auto"/>
          <w:highlight w:val="none"/>
        </w:rPr>
      </w:pPr>
      <w:r>
        <w:rPr>
          <w:rStyle w:val="37"/>
          <w:rFonts w:hint="eastAsia" w:ascii="仿宋" w:hAnsi="仿宋" w:eastAsia="仿宋" w:cs="仿宋"/>
          <w:color w:val="auto"/>
          <w:highlight w:val="none"/>
        </w:rPr>
        <w:t>4.1投标人澄清、说明或者补正。</w:t>
      </w:r>
      <w:r>
        <w:rPr>
          <w:rFonts w:hint="eastAsia" w:ascii="仿宋" w:hAnsi="仿宋" w:eastAsia="仿宋" w:cs="仿宋"/>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0" w:leftChars="0" w:firstLine="0" w:firstLineChars="0"/>
        <w:rPr>
          <w:rFonts w:hint="eastAsia" w:ascii="仿宋" w:hAnsi="仿宋" w:eastAsia="仿宋" w:cs="仿宋"/>
          <w:color w:val="auto"/>
          <w:szCs w:val="21"/>
          <w:highlight w:val="none"/>
        </w:rPr>
      </w:pPr>
      <w:r>
        <w:rPr>
          <w:rStyle w:val="37"/>
          <w:rFonts w:hint="eastAsia" w:ascii="仿宋" w:hAnsi="仿宋" w:eastAsia="仿宋" w:cs="仿宋"/>
          <w:color w:val="auto"/>
          <w:highlight w:val="none"/>
        </w:rPr>
        <w:t>4.2投标无效。</w:t>
      </w:r>
      <w:r>
        <w:rPr>
          <w:rFonts w:hint="eastAsia" w:ascii="仿宋" w:hAnsi="仿宋" w:eastAsia="仿宋" w:cs="仿宋"/>
          <w:color w:val="auto"/>
          <w:szCs w:val="21"/>
          <w:highlight w:val="none"/>
        </w:rPr>
        <w:t>有下列情形之一的，投标无效：</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4.2.1投标人不具备招标文件中规定的资格要求的（投标人未提供有效的资格文件的，视为投标人不具备招标文件中规定的资格要求）；</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4.2.2投标文件未按照招标文件要求签署、盖章的；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4.2.4投标文件含有采购人不能接受的附加条件的；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4.2.5投标文件中承诺的投标有效期少于招标文件中载明的投标有效期的；</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4.2.6投标文件出现不是唯一的、有选择性投标报价的;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4.2.7投标报价超过招标文件中规定的预算金额或者最高限价的;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4.2.9投标人对根据修正原则修正后的报价不确认的；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4.2.10投标人提供虚假材料投标的；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4.2.11投标人有恶意串通、妨碍其他投标人的竞争行为、损害采购人或者其他投标人的合法权益情形的；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4.2.12投标人未在电子交易平台传输递交投标文件的，投标无效；</w:t>
      </w:r>
    </w:p>
    <w:p>
      <w:pPr>
        <w:rPr>
          <w:rFonts w:hint="eastAsia" w:ascii="仿宋" w:hAnsi="仿宋" w:eastAsia="仿宋" w:cs="仿宋"/>
          <w:b/>
          <w:bCs/>
          <w:color w:val="auto"/>
          <w:highlight w:val="none"/>
        </w:rPr>
      </w:pPr>
      <w:r>
        <w:rPr>
          <w:rFonts w:hint="eastAsia" w:ascii="仿宋" w:hAnsi="仿宋" w:eastAsia="仿宋" w:cs="仿宋"/>
          <w:color w:val="auto"/>
          <w:highlight w:val="none"/>
        </w:rPr>
        <w:t>4.2.13 投标文件不满足招标文件的其它实质性要求的；</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4.2.14法律、法规、规章（适用本市的）及省级以上规范性文件（适用本市的）规定的其他无效情形。</w:t>
      </w:r>
    </w:p>
    <w:p>
      <w:pPr>
        <w:pStyle w:val="16"/>
        <w:snapToGrid w:val="0"/>
        <w:spacing w:line="360" w:lineRule="auto"/>
        <w:ind w:left="0" w:leftChars="0" w:firstLine="0" w:firstLineChars="0"/>
        <w:rPr>
          <w:rFonts w:hint="eastAsia" w:ascii="仿宋" w:hAnsi="仿宋" w:eastAsia="仿宋" w:cs="仿宋"/>
          <w:color w:val="auto"/>
          <w:highlight w:val="none"/>
        </w:rPr>
      </w:pPr>
      <w:r>
        <w:rPr>
          <w:rStyle w:val="37"/>
          <w:rFonts w:hint="eastAsia" w:ascii="仿宋" w:hAnsi="仿宋" w:eastAsia="仿宋" w:cs="仿宋"/>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6"/>
        <w:snapToGrid w:val="0"/>
        <w:spacing w:line="360" w:lineRule="auto"/>
        <w:ind w:left="0" w:leftChars="0" w:firstLine="0" w:firstLineChars="0"/>
        <w:rPr>
          <w:rFonts w:hint="eastAsia" w:ascii="仿宋" w:hAnsi="仿宋" w:eastAsia="仿宋" w:cs="仿宋"/>
          <w:color w:val="auto"/>
          <w:highlight w:val="none"/>
        </w:rPr>
      </w:pPr>
      <w:r>
        <w:rPr>
          <w:rStyle w:val="37"/>
          <w:rFonts w:hint="eastAsia" w:ascii="仿宋" w:hAnsi="仿宋" w:eastAsia="仿宋" w:cs="仿宋"/>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left="0" w:leftChars="0" w:firstLine="0" w:firstLineChars="0"/>
        <w:rPr>
          <w:rFonts w:hint="eastAsia" w:ascii="仿宋" w:hAnsi="仿宋" w:eastAsia="仿宋" w:cs="仿宋"/>
          <w:color w:val="auto"/>
          <w:highlight w:val="none"/>
        </w:rPr>
      </w:pPr>
      <w:r>
        <w:rPr>
          <w:rStyle w:val="37"/>
          <w:rFonts w:hint="eastAsia" w:ascii="仿宋" w:hAnsi="仿宋" w:eastAsia="仿宋" w:cs="仿宋"/>
          <w:color w:val="auto"/>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6"/>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pPr>
        <w:rPr>
          <w:rFonts w:hint="eastAsia" w:ascii="仿宋" w:hAnsi="仿宋" w:eastAsia="仿宋" w:cs="仿宋"/>
          <w:color w:val="auto"/>
          <w:highlight w:val="none"/>
        </w:rPr>
      </w:pPr>
    </w:p>
    <w:p>
      <w:pPr>
        <w:spacing w:line="440" w:lineRule="exact"/>
        <w:ind w:firstLine="600" w:firstLineChars="250"/>
        <w:rPr>
          <w:rFonts w:hint="eastAsia" w:ascii="仿宋" w:hAnsi="仿宋" w:eastAsia="仿宋" w:cs="仿宋"/>
          <w:color w:val="auto"/>
          <w:sz w:val="24"/>
          <w:szCs w:val="24"/>
          <w:highlight w:val="none"/>
        </w:rPr>
      </w:pPr>
      <w:bookmarkStart w:id="14" w:name="_Toc14684"/>
      <w:bookmarkStart w:id="15" w:name="_Toc7351"/>
      <w:bookmarkStart w:id="16" w:name="_Toc30569"/>
      <w:bookmarkStart w:id="17" w:name="_Toc12742"/>
      <w:bookmarkStart w:id="18" w:name="_Toc23219"/>
      <w:bookmarkStart w:id="19" w:name="_Toc15511"/>
      <w:bookmarkStart w:id="20" w:name="_Toc86217003"/>
      <w:bookmarkStart w:id="21" w:name="_Toc6115"/>
      <w:bookmarkStart w:id="22" w:name="_Toc2561"/>
      <w:bookmarkStart w:id="23" w:name="_Toc11617"/>
      <w:bookmarkStart w:id="24" w:name="_Toc13473"/>
      <w:bookmarkStart w:id="25" w:name="_Toc6396"/>
      <w:bookmarkStart w:id="26" w:name="_Toc26435"/>
      <w:bookmarkStart w:id="27" w:name="_Toc1268"/>
      <w:bookmarkStart w:id="28" w:name="_Toc29744"/>
      <w:bookmarkStart w:id="29" w:name="_Toc23639"/>
      <w:bookmarkStart w:id="30" w:name="_Toc26204"/>
      <w:bookmarkStart w:id="31" w:name="_Toc5374"/>
      <w:bookmarkStart w:id="32" w:name="_Toc20259"/>
      <w:bookmarkStart w:id="33" w:name="_Toc28754"/>
      <w:bookmarkStart w:id="34" w:name="_Toc29749"/>
      <w:bookmarkStart w:id="35" w:name="_Toc11662"/>
      <w:bookmarkStart w:id="36" w:name="_Toc32249"/>
      <w:bookmarkStart w:id="37" w:name="_Toc18768"/>
      <w:bookmarkStart w:id="38" w:name="_Toc29984"/>
      <w:bookmarkStart w:id="39" w:name="_Toc9373"/>
      <w:r>
        <w:rPr>
          <w:rFonts w:hint="eastAsia" w:ascii="仿宋" w:hAnsi="仿宋" w:eastAsia="仿宋" w:cs="仿宋"/>
          <w:color w:val="auto"/>
          <w:sz w:val="24"/>
          <w:szCs w:val="24"/>
          <w:highlight w:val="none"/>
        </w:rPr>
        <w:t>合同编号：</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签订地点： </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供、需双方根据</w:t>
      </w:r>
      <w:r>
        <w:rPr>
          <w:rFonts w:hint="eastAsia" w:ascii="仿宋" w:hAnsi="仿宋" w:eastAsia="仿宋" w:cs="仿宋"/>
          <w:color w:val="auto"/>
          <w:sz w:val="24"/>
          <w:szCs w:val="24"/>
          <w:highlight w:val="none"/>
          <w:u w:val="single"/>
        </w:rPr>
        <w:t>项目名称-标项（标项号）</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）采购结果和采购文件的要求，经双方协商一致，订立本采购合同。</w:t>
      </w:r>
    </w:p>
    <w:p>
      <w:pPr>
        <w:spacing w:line="440" w:lineRule="exac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一、合同文件：</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1.合同主要条款；</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2.询标纪要（如有）；</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4.招标文件；</w:t>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5.更正公告（如有）；</w:t>
      </w:r>
      <w:r>
        <w:rPr>
          <w:rFonts w:hint="eastAsia" w:ascii="仿宋" w:hAnsi="仿宋" w:eastAsia="仿宋" w:cs="仿宋"/>
          <w:color w:val="auto"/>
          <w:sz w:val="24"/>
          <w:szCs w:val="24"/>
          <w:highlight w:val="none"/>
        </w:rPr>
        <w:tab/>
      </w:r>
    </w:p>
    <w:p>
      <w:pPr>
        <w:spacing w:line="44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w:t>
      </w:r>
    </w:p>
    <w:p>
      <w:pPr>
        <w:widowControl/>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二、服务范围、内容、服务期</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1.服务范围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：北塘河以北区域（包括风情科创社区、天悦社区、桂语听澜社区、信息港社区、明星社区、青茵社区、兴议社区等社区），以及江南星城社区，共计25个小区。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：北塘河以南市心路以东，包括博学路社区、钱塘明月社区、城北村、塘湾社区、北干一苑、北干二苑、绿茵园社区、华达社区、广德社区、银河社区、中誉新城社区、永久社区、柳桥社区等社区，共计</w:t>
      </w:r>
      <w:r>
        <w:rPr>
          <w:rFonts w:hint="eastAsia" w:cs="仿宋"/>
          <w:color w:val="auto"/>
          <w:sz w:val="24"/>
          <w:szCs w:val="24"/>
          <w:highlight w:val="none"/>
          <w:lang w:val="en-US" w:eastAsia="zh-CN"/>
        </w:rPr>
        <w:t>44</w:t>
      </w:r>
      <w:r>
        <w:rPr>
          <w:rFonts w:hint="eastAsia" w:ascii="仿宋" w:hAnsi="仿宋" w:eastAsia="仿宋" w:cs="仿宋"/>
          <w:color w:val="auto"/>
          <w:sz w:val="24"/>
          <w:szCs w:val="24"/>
          <w:highlight w:val="none"/>
        </w:rPr>
        <w:t>个小区。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北塘河以南市心路以西（除江南星城社区），包括湖滨花园社区、金风社区、加德社区、施家桥社区、金泰苑社区、金山西苑社区、工人路社区、荣联社区、星都社区、金稼苑社区、金江南社区、萧然社区、畈里张社区、荣庄村等社区，共计53个小区。</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2.1乙方提供服务区域内的垃圾分类服务，负责提供所有服务伴随的设施设备。</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（1）负责辖区内的定时定点投放点和误时投放点的建设和运行，包括且不限于点位硬件设施、环境卫生、秩序维护和垃圾桶的布置、清运，垃圾桶需运至社区指定的集置房（位置）。</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（2）负责再生资源回收点的建设和运行，包括且不限于点位硬件设施、环境卫生、秩序维护和再生资源的收集。</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小区的垃圾分类氛围营造，策划活动、举办宣传培训活动推进工作以提升参与率、分类质量和居民获得感；配合社区做好定时定点新推进小区的实施策划，参与率不达标小区的改善策划等策划提升活动。负责对萧山区生活垃圾分类智能监管平台（城市大脑）中没有投放数据的住户开展上门宣传，服从社区的直接管理，配合社区开展各种垃圾分类宣传活动。</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（4）负责对接各个垃圾分类智能平台，并巡检、培训、指导各社区、物业、第三方工作人员相关的智能应用，每周出具投放数据、生活垃圾重量分析报告，对街道的数据质量开展自查。</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（5）负责定时定点投放积分奖品兑换，乙方应积极宣传、促进居民主动投放垃圾积分并及时兑换。</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（6）协助其它一些临时的、应急的垃圾分类任务。</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2.2垃圾分类服务标准按上级有关规定执行。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3.服务期：1年，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4.项目经理：</w:t>
      </w:r>
      <w:r>
        <w:rPr>
          <w:rFonts w:hint="eastAsia" w:ascii="仿宋" w:hAnsi="仿宋" w:eastAsia="仿宋" w:cs="仿宋"/>
          <w:color w:val="auto"/>
          <w:sz w:val="24"/>
          <w:szCs w:val="24"/>
          <w:highlight w:val="none"/>
          <w:u w:val="single"/>
        </w:rPr>
        <w:t xml:space="preserve">      （姓名，联系电话）        </w:t>
      </w:r>
      <w:r>
        <w:rPr>
          <w:rFonts w:hint="eastAsia" w:ascii="仿宋" w:hAnsi="仿宋" w:eastAsia="仿宋" w:cs="仿宋"/>
          <w:color w:val="auto"/>
          <w:sz w:val="24"/>
          <w:szCs w:val="24"/>
          <w:highlight w:val="none"/>
        </w:rPr>
        <w:t>。</w:t>
      </w:r>
    </w:p>
    <w:p>
      <w:pPr>
        <w:widowControl/>
        <w:spacing w:line="440" w:lineRule="exact"/>
        <w:outlineLvl w:val="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三、合同价</w:t>
      </w:r>
      <w:r>
        <w:rPr>
          <w:rFonts w:hint="eastAsia" w:ascii="仿宋" w:hAnsi="仿宋" w:eastAsia="仿宋" w:cs="仿宋"/>
          <w:bCs/>
          <w:color w:val="auto"/>
          <w:sz w:val="24"/>
          <w:szCs w:val="24"/>
          <w:highlight w:val="none"/>
        </w:rPr>
        <w:t xml:space="preserve"> </w:t>
      </w:r>
    </w:p>
    <w:p>
      <w:pPr>
        <w:widowControl/>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1.合同签约总价为(大写)</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人民币。合同价包括：（1）人工费(包括人员工资（最低2280元/月）、津贴、劳动福利、高温费、社会保险费、双休日及法定节假日加班费、医疗体检费等)；（2）服务过程中所需的前期准备、耗材、设施设备、作业器具、水电等产生的费用；（3）作业安全保险费、安全培训费、职业教育费、企业管理费、利润、税金等费用。</w:t>
      </w:r>
    </w:p>
    <w:p>
      <w:pPr>
        <w:widowControl/>
        <w:spacing w:line="440" w:lineRule="exact"/>
        <w:ind w:firstLine="480" w:firstLineChars="200"/>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2.本合同为固定单价合同，按实结算。</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2126"/>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52"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支付项</w:t>
            </w:r>
          </w:p>
        </w:tc>
        <w:tc>
          <w:tcPr>
            <w:tcW w:w="2126"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w:t>
            </w:r>
          </w:p>
        </w:tc>
        <w:tc>
          <w:tcPr>
            <w:tcW w:w="3020"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52"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垃圾分类服务费</w:t>
            </w:r>
          </w:p>
        </w:tc>
        <w:tc>
          <w:tcPr>
            <w:tcW w:w="2126"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签约价：（  ）元；</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  ）元/户/年</w:t>
            </w:r>
          </w:p>
        </w:tc>
        <w:tc>
          <w:tcPr>
            <w:tcW w:w="3020"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每月按照小区内实际入住户数核算（每月实际结算户数不足招标总户的50%，按招标总户数的50%结算）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552"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生活垃圾积分兑换费</w:t>
            </w:r>
          </w:p>
        </w:tc>
        <w:tc>
          <w:tcPr>
            <w:tcW w:w="2126"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签约价：（  ）元；</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单价：0.1元/积分</w:t>
            </w:r>
          </w:p>
        </w:tc>
        <w:tc>
          <w:tcPr>
            <w:tcW w:w="3020" w:type="dxa"/>
            <w:noWrap w:val="0"/>
            <w:vAlign w:val="top"/>
          </w:tcPr>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固定单价，按实结算。</w:t>
            </w:r>
          </w:p>
        </w:tc>
      </w:tr>
    </w:tbl>
    <w:p>
      <w:pPr>
        <w:widowControl/>
        <w:spacing w:line="440" w:lineRule="exact"/>
        <w:ind w:firstLine="480" w:firstLineChars="200"/>
        <w:rPr>
          <w:rFonts w:hint="eastAsia" w:ascii="仿宋" w:hAnsi="仿宋" w:eastAsia="仿宋" w:cs="仿宋"/>
          <w:bCs/>
          <w:color w:val="auto"/>
          <w:sz w:val="24"/>
          <w:szCs w:val="24"/>
          <w:highlight w:val="none"/>
        </w:rPr>
      </w:pPr>
    </w:p>
    <w:p>
      <w:pPr>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四、支付方式 </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1.垃圾分类服务费：</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垃圾分类服务费每月按照小区内实际入住户数核算（每月实际结算户数不足招标总户的50%，按招标总户数的50%结算），每季度结算并支付一次，每季度第一个月初支付上季度服务费用的90%，根据街道月度考核情况扣减相应费用后支付。【即每季度支付费用=（户数*单价）*考核得分对应应付比例*90%】</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②垃圾分类服务费的剩余款项作为考核费，萧山区年度排名结果发布后一个月内，根据月度和年度排名情况扣减相应费用后支付。</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③如合同履约过程中，有新增小区垃圾分类服务工作，按合同单价结算。如新增小区每月实际结算户数不足该小区总户的50%，按该小区总户数的50%结算。</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2.生活垃圾积分兑换费：</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①按实际兑换积分数每季度结算并支付一次，每季度第一个月初支付上季度费用。</w:t>
      </w:r>
    </w:p>
    <w:p>
      <w:pPr>
        <w:pStyle w:val="14"/>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②服务期结束时，居民</w:t>
      </w:r>
      <w:r>
        <w:rPr>
          <w:rFonts w:hint="eastAsia" w:ascii="仿宋" w:hAnsi="仿宋" w:eastAsia="仿宋" w:cs="仿宋"/>
          <w:color w:val="auto"/>
          <w:sz w:val="24"/>
          <w:szCs w:val="24"/>
          <w:highlight w:val="none"/>
          <w:lang w:val="en-US"/>
        </w:rPr>
        <w:t>账户中所有</w:t>
      </w:r>
      <w:r>
        <w:rPr>
          <w:rFonts w:hint="eastAsia" w:ascii="仿宋" w:hAnsi="仿宋" w:eastAsia="仿宋" w:cs="仿宋"/>
          <w:color w:val="auto"/>
          <w:sz w:val="24"/>
          <w:szCs w:val="24"/>
          <w:highlight w:val="none"/>
        </w:rPr>
        <w:t>未兑换的积分（</w:t>
      </w:r>
      <w:r>
        <w:rPr>
          <w:rFonts w:hint="eastAsia" w:ascii="仿宋" w:hAnsi="仿宋" w:eastAsia="仿宋" w:cs="仿宋"/>
          <w:color w:val="auto"/>
          <w:sz w:val="24"/>
          <w:szCs w:val="24"/>
          <w:highlight w:val="none"/>
          <w:lang w:val="en-US"/>
        </w:rPr>
        <w:t>包括再生资源积分和生活垃圾积分</w:t>
      </w:r>
      <w:r>
        <w:rPr>
          <w:rFonts w:hint="eastAsia" w:ascii="仿宋" w:hAnsi="仿宋" w:eastAsia="仿宋" w:cs="仿宋"/>
          <w:color w:val="auto"/>
          <w:sz w:val="24"/>
          <w:szCs w:val="24"/>
          <w:highlight w:val="none"/>
        </w:rPr>
        <w:t>）由社区一次性兑换成奖品（由社区发放），其中生活垃圾积分由乙方向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结算已兑换</w:t>
      </w:r>
      <w:r>
        <w:rPr>
          <w:rFonts w:hint="eastAsia" w:ascii="仿宋" w:hAnsi="仿宋" w:eastAsia="仿宋" w:cs="仿宋"/>
          <w:color w:val="auto"/>
          <w:sz w:val="24"/>
          <w:szCs w:val="24"/>
          <w:highlight w:val="none"/>
          <w:lang w:val="en-US"/>
        </w:rPr>
        <w:t>的积分</w:t>
      </w:r>
      <w:r>
        <w:rPr>
          <w:rFonts w:hint="eastAsia" w:ascii="仿宋" w:hAnsi="仿宋" w:eastAsia="仿宋" w:cs="仿宋"/>
          <w:color w:val="auto"/>
          <w:sz w:val="24"/>
          <w:szCs w:val="24"/>
          <w:highlight w:val="none"/>
        </w:rPr>
        <w:t>费用。</w:t>
      </w:r>
    </w:p>
    <w:p>
      <w:pPr>
        <w:pStyle w:val="14"/>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3.联合体各成员的分工、费用收取、发票开具等事项：联合体各成员分工承担的工作内容以联合体协议书为准，若联合体协议书分工存在不明确事项的，则签订本合同</w:t>
      </w:r>
      <w:r>
        <w:rPr>
          <w:rFonts w:hint="eastAsia" w:ascii="仿宋" w:hAnsi="仿宋" w:eastAsia="仿宋" w:cs="仿宋"/>
          <w:color w:val="auto"/>
          <w:sz w:val="24"/>
          <w:szCs w:val="24"/>
          <w:highlight w:val="none"/>
        </w:rPr>
        <w:t>前予以明确。联合体协议书中未明确合同价款联合体成员分别和甲方结算支付的，则甲方支付给联合体牵头人，即发票由牵头人开具。</w:t>
      </w:r>
    </w:p>
    <w:p>
      <w:pPr>
        <w:pStyle w:val="14"/>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4.甲方每次付款前，乙方应先开具等额正规增值税发票，否则甲方有权暂缓付款且不承担违约责任。</w:t>
      </w:r>
    </w:p>
    <w:p>
      <w:pPr>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五、履约担保</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乙方在杭州市政府采购网公布的供应商履约评价总分为（   ）分，收取履约保证金为合同签约价的（   ）%。（甲方根据杭州市政府采购网公布的供应商履约评价情况减免履约保证金。乙方履约验收评价总分为100分的，甲方免收履约保证金；评价总分大于等于90分小于100分的，收取履约保证金为合同金额0.5%；评价总分在不满90分或者暂无评分的，收取履约保证金为合同金额1%。）</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2.形式：以支票、汇票、本票或者金融机构、担保机构出具的保函等非现金形式提交。</w:t>
      </w:r>
    </w:p>
    <w:p>
      <w:pPr>
        <w:spacing w:line="440" w:lineRule="exact"/>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3.时间：合同签订时提交。若联合体成交的，则牵头人提交。</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4.履约保证金在合同约定期间内不予退还或者应完全有效，待服务期满后，无质量、服务问题，由甲方向乙方无息退还。</w:t>
      </w:r>
    </w:p>
    <w:p>
      <w:pPr>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六、甲方的权利义务  </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1.提供垃圾分类作业规范及考核办法。</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2.如遇突发事件，协调乙方在作业过程中同其他部门的关系。</w:t>
      </w: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在督查过程中发现影响垃圾分类问题的，乙方必须无条件服从甲方指挥，立即落实整改。如发现一次不整改的，进行口头警告,二次以上不整改的，将按照考核要求扣除相应的考核分，最终成绩纳入年底考核。</w:t>
      </w:r>
    </w:p>
    <w:p>
      <w:pPr>
        <w:spacing w:line="440" w:lineRule="exac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七、乙方的权利义务  </w:t>
      </w:r>
    </w:p>
    <w:p>
      <w:pPr>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1.根据甲方服务管理要求开展垃圾分类工作</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施管理：小区内无杂色桶；投放点位设置四分类桶，每日定时定点进行投放收集，要求实现对各类垃圾的称重计量；垃圾分类设施干净整洁无破损(包括小区内所有垃圾桶)。小区产生的易腐垃圾质量应当符合餐厨垃圾处置企业的收运标准，包括实现垃圾破袋投放。在本服务项目中提供的设施、设备一律不得播放商业广告。播放的公益广告仅限与垃圾分类有关的内容，且须由甲方审核同意后方可投入播放宣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（2）工作管理：积极调解因投放点位问题产生的矛盾。小区内未经甲方认可的原投放点做到彻底撤桶。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类质量：易腐垃圾、其他垃圾、可回收物和有害垃圾分类投放，居民参与率90%以上，居民满意率90%以上，分类准确率80%以上，无混装、错投等情况。如合同履约过程中，萧山区有最新更高要求的，按最新高要求执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（4）宣传氛围：对现有的垃圾分类设备设施进行统一的视觉形象设计，包括且不限于对集置点/垃圾桶、宣传栏、宣传海报进行优化和科学布局。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汇报总结：需服从甲方的管理，所有工作方面汇报对象最高级别为甲方单位负责人，不得越级汇报；每季度就本项目开展情况，向甲方进行汇报，并提交书面汇报材料；未经甲方许可不得将涉及本项目商务、技术信息资料对甲方以外的单位或个人公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（6）调研接待：完成甲方布置的各项应急保障和接待调研来访工作。</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（7）工作响应：提供24小时电话客服服务，发现问题（  ）分钟内到达现场，简单问题现场解决、复杂问题（  ）小时解决，小型设备无法在（  ）小时内解决的，需替换维修；大型设备无法在（  ）个自然日维修完毕的，需提供替代设备。服务单位应在服务辖区内设置固定办公场所（面积（  ）个平方米）和停放作业器具的仓库,配备（  ）辆车辆（5个及以上座位）保障日常巡查、设备应急维修、服务响应及时性。</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垃圾分类服务工作实时在线记录：乙方提供APP或小程序，实现数字化实时线上服务工作记录，包括但不限于人员到位考勤记录上下岗、策划活动记录、入户宣传记录、巡检记录等内容，并提供顶级管理员账号，便于甲方检查和考核。APP或小程序需实现的功能；</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所有工作人员信息；</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所有人员上下岗打卡；</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管理员入户宣传打卡，一个定位一张照片一个工作评价；</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策划活动记录，一个定位一张照片一个工作评价；</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巡检、培训、指导记录，一个定位一张照片一个工作评价；</w:t>
      </w:r>
    </w:p>
    <w:p>
      <w:pPr>
        <w:numPr>
          <w:ilvl w:val="0"/>
          <w:numId w:val="12"/>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投放点、再生资源回收点每日工作开始结束记录，一定位一照片。</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（9）标准化管理：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乙方应具有比较完善的组织架构，具有清晰的主要管理流程、权责分配、运作流程图、监督机制、自我约束机制、信息反馈渠道及处理机制。</w:t>
      </w:r>
    </w:p>
    <w:p>
      <w:pPr>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应具有完善的、切实有效的企业管理制度（包括但不限于绩效管理制度、台账管理制度及台账模板、员工考勤制度、员工日常行为规范管理制度、廉洁管理制度、资产管理制度、档案管理制度等相关规章制度）和规范化的垃圾分类服务质量控制标准。 </w:t>
      </w:r>
    </w:p>
    <w:p>
      <w:pPr>
        <w:spacing w:line="440" w:lineRule="exac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八、考核</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街道月度考核按附件《北干街道小区第三方服务月度考核评分细则（试行）》执行，考核得分大于90分的全额支付服务费；考核得分80（不含）-90（含）分的，支付服务费的90%；考核得分70（不含）-80（含）分的，支付服务费的80%；考核得分≤70分的，支付服务费的（得分数值）%；考核得分＜60分，为考核不合格，支付服务费的50%。</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2.市(包括市级及以上)、区、街道将分别进行三级考核，专项检查中或被媒体曝光通报批评的，由街道分管领导签发通告，每次通告扣款5万元，合同期内累计通告达5次的，甲方有权终止合同。</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北干街道在萧山区垃圾分类工作月度和年度考核排名情况，每月考核排名在前三名的不扣款，第四名及以下的，每下降1名扣除考核费的0.5%；年度考核排名在前三名的不扣款，第四名及以下的，每下降1名扣除考核费的5%。</w:t>
      </w:r>
    </w:p>
    <w:p>
      <w:pPr>
        <w:widowControl/>
        <w:spacing w:line="440" w:lineRule="exac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九、其他约定</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依法合法用工。全日制正式员工须缴纳社会保险、签订劳动合同、保障劳动者休息休假等合法权益，并诚信依照法律和合同约定履行对外合同，如出现第三方向乙方主张权利，且该主张得到劳动仲裁委、法院等机关确认的情况下，甲方有权按照生效的法律文书和相关机关的协助请求，从应付乙方的服务费用中扣除相关款项直接支付给第三方，视为对乙方支付相应金额的服务费用，乙方对此不持异议。</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未遵守劳动法规、安全法规等国家法律法规，导致第三方向乙方主张权利的或招致国家机关处罚的，乙方应妥善解决。同时，甲方可暂扣部分费用，第三方主张得到有关机关确认属实的或处罚决定生效，且乙方未在法律文书等规定的时间内履行的，甲方可依据相关法律文书直接将暂扣费用支付给第三方或有关机关，该费用视为已支付乙方。</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3.规范管理、文明作业，自觉接受甲方及上级各部门领导的检查和社会监督，对发现的问题要及时整改。</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4.作业时应严格遵守劳动纪律，遵守安全操作规程，确保安全，发生各种意外事故由乙方自行依照法律法规妥善处理，并由乙方承担全部赔偿责任。</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5.本项目内所涉及的人员住房和作业工具、服装等均由乙方自行负责解决；自行负责服务过程所需的各类要件（包括但不限于设备设施、器材、耗材、软件、系统、通信、网络、水电等）。</w:t>
      </w:r>
    </w:p>
    <w:p>
      <w:pPr>
        <w:widowControl/>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6.员工劳动保障：</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（1）必须与员工签订书面劳动合同（或劳务合同），人员在主管部门备案。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（2）执行《劳动法》、《劳动合同法》等有关员工保障的其他规定，由劳动部门查实的，根据查实情况处罚。</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（3）按照以人为本原则关心职工，严格遵守有关劳动法规，保障职工合法权益，如因违法、违规行为造成不良影响者，其责任由乙方自负。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（4）用工年龄、临时用工按照国家相关法律法规规定执行。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组人员每月工资应按时发放，福利政策按投标文件承诺发放。如发现未按月发放工资、或未及时发放工资、或未按投标文件承诺的最低实发工资发放、或未按承诺发放福利政策的，乙方向甲方支付违约赔偿金，金额为合同签约价的5%，同时甲方有权据此认定乙方年度考核不合格或直接单方面终止合同。因存在劳动争议而未发放的工资情况除外。</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7.严格遵守有关法律、法规，开展文明作业，作业时出现意外事故或涉及其他法律问题和责任的，由乙方自行承担并负责解决，必要时甲方可予以配合。</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8.组织管理机构、人员素质、每班作业人数应按投标文件落实到位。</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9.遇到突发事件、自然灾害或天气影响，必须服从甲方指挥和安排，做到组织到位、人员到位、设备到位、处理及时。</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10.做好各类迎检的应急保障工作；甲方交办的各类任务，包括各类突击性任务。</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11.协助甲方调查、并根据甲方要求及时处理解决市民来信来访及投诉问题，认真做好检查中发生的各类问题。</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12.为维护公众、业主、使用人的切身利益，在不可预见情况下，如发生煤气泄漏、漏电、火灾、水管破裂、救助人命、协助公安机关执行任务等突发事件，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在收到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通知后应积极配合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对上述灾害发生是所采取的紧急避险措施。</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13.如有小区物业经甲方同意后自行开展生活垃圾源头分类工作的，乙方应无条件同意终止该小区的垃圾分类工作，并做好相关的交接工作和签订补充合同，不予任何补偿，结算截止日期以甲方书面通知日期为准。</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14.合同到期或小区物业自行开展生活垃圾源头分类工作的， 乙方需在一周内将设施设备全部撤清，否则甲方有权采取强制措施撤除设施设备。</w:t>
      </w:r>
    </w:p>
    <w:p>
      <w:pPr>
        <w:pStyle w:val="14"/>
        <w:spacing w:line="440" w:lineRule="exact"/>
        <w:ind w:firstLine="48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15.合同到期或即将到期，乙方做好下家服务单位的交接工作。若交接过程不配合，甲方有权按违约处理扣除当月服务费用。</w:t>
      </w:r>
    </w:p>
    <w:p>
      <w:pPr>
        <w:pStyle w:val="14"/>
        <w:spacing w:line="440" w:lineRule="exact"/>
        <w:ind w:firstLine="48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16.乙方擅自更换项目经理的违约责任：支付违约金20000元/次，同时甲方有权立即解除合同，并向乙方追究由此给甲方带来的一切损失。</w:t>
      </w:r>
    </w:p>
    <w:p>
      <w:pPr>
        <w:pStyle w:val="14"/>
        <w:spacing w:line="440" w:lineRule="exact"/>
        <w:ind w:firstLine="48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项目经理不合格的，甲方有权要求乙方更换，乙方无正当理由拒绝更换项目经理的违约责任: 支付违约金20000元/次 ，同时甲方有权立即解除合同，并向乙方追究由此给甲方带来的一切损失。</w:t>
      </w:r>
    </w:p>
    <w:p>
      <w:pPr>
        <w:pStyle w:val="14"/>
        <w:spacing w:line="440" w:lineRule="exact"/>
        <w:ind w:firstLine="48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17.乙方擅自更换管理员、工程师的违约责任：支付违约金10000元/人/次，同时甲方有权立即解除合同，并向乙方追究由此给甲方带来的一切损失。</w:t>
      </w:r>
    </w:p>
    <w:p>
      <w:pPr>
        <w:pStyle w:val="14"/>
        <w:spacing w:line="440" w:lineRule="exact"/>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管理员、工程师不合格的，甲方有权要求乙方更换，乙方无正当理由拒绝更换管理员、工程师的违约责任: 支付违约金10000元/人/次，同时甲方有权立即解除合同，并向乙方追究由此给甲方带来的一切损失。 </w:t>
      </w:r>
    </w:p>
    <w:p>
      <w:pPr>
        <w:pStyle w:val="14"/>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18.如省、市、区垃圾分类办或城管部门要求进行分类模式调整，在服务期间乙方应无条件按照</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en-US"/>
        </w:rPr>
        <w:t>要求及时进行模式调整，新增或更换相应设施设备产生的费用需由乙方承担，甲方不再另行支付 。</w:t>
      </w:r>
    </w:p>
    <w:p>
      <w:pPr>
        <w:widowControl/>
        <w:spacing w:line="440" w:lineRule="exac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1.乙方违反本合同考核目标，甲方有权要求乙方限期整改以达到合同约定目标。逾期未整改的，或整改仍不符合合同约定的，甲方有权终止合同。因此给甲方造成经济损失的， 乙方应给予甲方经济赔偿；</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2.甲乙双方任何一方无正当理由提前终止合同的，应向对方支付合同价的 30%违约金，给对方造成的经济损失的，还应给予经济赔偿；</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3.因乙方管理不善或操作不当等原因造成重大事故的，由乙方承担责任并负责善后处理。</w:t>
      </w:r>
    </w:p>
    <w:p>
      <w:pPr>
        <w:widowControl/>
        <w:spacing w:line="440" w:lineRule="exac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十一、附则：</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1.甲乙双方可对本合同的条款进行补充，并以书面形式签订补充协议，补充协议与本合同具有同等效力；</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2.本合同一式六份，自双方签字并加盖单位公章之日起生效，甲乙双方各执三份，每份均具有同等法律效力；</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3.本合同中未规定的事宜，均遵照中华人民共和国有关法律、法规和规章执行。合同执行期间如遇不可抗力，致使合同无法履行时，双方应按有关法律规定及时协商处理；</w:t>
      </w:r>
    </w:p>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4.本合同在履行中如发生争议，双方应协商解决，协商不成的，双方同意：依法向甲方所在地人民法院起诉；</w:t>
      </w:r>
    </w:p>
    <w:p>
      <w:pPr>
        <w:widowControl/>
        <w:spacing w:line="440" w:lineRule="exact"/>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5.合同期满，本合同自然终止。</w:t>
      </w: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本页无正文。</w:t>
      </w:r>
    </w:p>
    <w:tbl>
      <w:tblPr>
        <w:tblStyle w:val="25"/>
        <w:tblW w:w="9107" w:type="dxa"/>
        <w:jc w:val="center"/>
        <w:tblLayout w:type="fixed"/>
        <w:tblCellMar>
          <w:top w:w="0" w:type="dxa"/>
          <w:left w:w="108" w:type="dxa"/>
          <w:bottom w:w="0" w:type="dxa"/>
          <w:right w:w="108" w:type="dxa"/>
        </w:tblCellMar>
      </w:tblPr>
      <w:tblGrid>
        <w:gridCol w:w="2145"/>
        <w:gridCol w:w="2426"/>
        <w:gridCol w:w="1926"/>
        <w:gridCol w:w="2610"/>
      </w:tblGrid>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w:t>
            </w: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w:t>
            </w: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1926" w:type="dxa"/>
            <w:noWrap w:val="0"/>
            <w:vAlign w:val="center"/>
          </w:tcPr>
          <w:p>
            <w:pPr>
              <w:widowControl/>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widowControl/>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2145"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tc>
        <w:tc>
          <w:tcPr>
            <w:tcW w:w="24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c>
          <w:tcPr>
            <w:tcW w:w="1926"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w:t>
            </w:r>
          </w:p>
        </w:tc>
        <w:tc>
          <w:tcPr>
            <w:tcW w:w="2610" w:type="dxa"/>
            <w:noWrap w:val="0"/>
            <w:vAlign w:val="center"/>
          </w:tcPr>
          <w:p>
            <w:pPr>
              <w:widowControl/>
              <w:spacing w:line="440" w:lineRule="exact"/>
              <w:ind w:firstLine="480" w:firstLineChars="200"/>
              <w:rPr>
                <w:rFonts w:hint="eastAsia" w:ascii="仿宋" w:hAnsi="仿宋" w:eastAsia="仿宋" w:cs="仿宋"/>
                <w:color w:val="auto"/>
                <w:sz w:val="24"/>
                <w:szCs w:val="24"/>
                <w:highlight w:val="none"/>
              </w:rPr>
            </w:pPr>
          </w:p>
        </w:tc>
      </w:tr>
    </w:tbl>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p>
    <w:p>
      <w:pPr>
        <w:spacing w:line="44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附件一：北干街道小区第三方服务月度考核评分细则（试行）</w:t>
      </w:r>
    </w:p>
    <w:p>
      <w:pPr>
        <w:spacing w:line="44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附件二：机具、设施设备、车辆配备情况一览表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项目组配备情况一览表、垃圾分类其他服务人员配备情况一览表</w:t>
      </w:r>
    </w:p>
    <w:p>
      <w:pPr>
        <w:spacing w:line="440" w:lineRule="exact"/>
        <w:rPr>
          <w:rFonts w:hint="eastAsia" w:ascii="仿宋" w:hAnsi="仿宋" w:eastAsia="仿宋" w:cs="仿宋"/>
          <w:color w:val="auto"/>
          <w:sz w:val="24"/>
          <w:szCs w:val="24"/>
          <w:highlight w:val="none"/>
        </w:rPr>
        <w:sectPr>
          <w:headerReference r:id="rId6" w:type="default"/>
          <w:footerReference r:id="rId7" w:type="default"/>
          <w:pgSz w:w="11905" w:h="16838"/>
          <w:pgMar w:top="1100" w:right="1803" w:bottom="1043" w:left="1803" w:header="652" w:footer="595" w:gutter="0"/>
          <w:pgBorders>
            <w:top w:val="none" w:sz="0" w:space="0"/>
            <w:left w:val="none" w:sz="0" w:space="0"/>
            <w:bottom w:val="none" w:sz="0" w:space="0"/>
            <w:right w:val="none" w:sz="0" w:space="0"/>
          </w:pgBorders>
          <w:pgNumType w:fmt="decimal"/>
          <w:cols w:space="720" w:num="1"/>
          <w:docGrid w:type="lines" w:linePitch="313" w:charSpace="0"/>
        </w:sectPr>
      </w:pPr>
      <w:r>
        <w:rPr>
          <w:rFonts w:hint="eastAsia" w:ascii="仿宋" w:hAnsi="仿宋" w:eastAsia="仿宋" w:cs="仿宋"/>
          <w:color w:val="auto"/>
          <w:sz w:val="24"/>
          <w:szCs w:val="24"/>
          <w:highlight w:val="none"/>
        </w:rPr>
        <w:t>附件三：</w:t>
      </w:r>
      <w:r>
        <w:rPr>
          <w:rFonts w:hint="eastAsia" w:ascii="仿宋" w:hAnsi="仿宋" w:eastAsia="仿宋" w:cs="仿宋"/>
          <w:color w:val="auto"/>
          <w:sz w:val="24"/>
          <w:szCs w:val="24"/>
          <w:highlight w:val="none"/>
          <w:lang w:val="en-US" w:eastAsia="zh-CN"/>
        </w:rPr>
        <w:t>薪资发放承诺书，附最低实发工资表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4"/>
        <w:gridCol w:w="689"/>
        <w:gridCol w:w="1360"/>
        <w:gridCol w:w="5243"/>
        <w:gridCol w:w="538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pPr>
              <w:tabs>
                <w:tab w:val="left" w:pos="3894"/>
              </w:tabs>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附件一：北干街道小区第三方服务月度考核评分细则（试行）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0"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考核内容</w:t>
            </w:r>
          </w:p>
        </w:tc>
        <w:tc>
          <w:tcPr>
            <w:tcW w:w="231"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56" w:type="pct"/>
            <w:noWrap w:val="0"/>
            <w:vAlign w:val="center"/>
          </w:tcPr>
          <w:p>
            <w:pPr>
              <w:spacing w:line="240" w:lineRule="auto"/>
              <w:jc w:val="center"/>
              <w:rPr>
                <w:rFonts w:hint="eastAsia" w:ascii="仿宋" w:hAnsi="仿宋" w:eastAsia="仿宋" w:cs="仿宋"/>
                <w:color w:val="auto"/>
                <w:sz w:val="24"/>
                <w:szCs w:val="24"/>
                <w:highlight w:val="none"/>
              </w:rPr>
            </w:pPr>
          </w:p>
        </w:tc>
        <w:tc>
          <w:tcPr>
            <w:tcW w:w="1758"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目标要求</w:t>
            </w:r>
          </w:p>
        </w:tc>
        <w:tc>
          <w:tcPr>
            <w:tcW w:w="1806" w:type="pct"/>
            <w:noWrap w:val="0"/>
            <w:vAlign w:val="center"/>
          </w:tcPr>
          <w:p>
            <w:pPr>
              <w:spacing w:line="240" w:lineRule="auto"/>
              <w:jc w:val="center"/>
              <w:rPr>
                <w:rFonts w:hint="eastAsia" w:ascii="仿宋" w:hAnsi="仿宋" w:eastAsia="仿宋" w:cs="仿宋"/>
                <w:color w:val="auto"/>
                <w:sz w:val="24"/>
                <w:szCs w:val="24"/>
                <w:highlight w:val="none"/>
              </w:rPr>
            </w:pPr>
          </w:p>
        </w:tc>
        <w:tc>
          <w:tcPr>
            <w:tcW w:w="306" w:type="pct"/>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3" w:type="pct"/>
            <w:vMerge w:val="restar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0" w:type="pct"/>
            <w:vMerge w:val="restart"/>
            <w:noWrap w:val="0"/>
            <w:vAlign w:val="center"/>
          </w:tcPr>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工 </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w:t>
            </w: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工 </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w:t>
            </w:r>
          </w:p>
        </w:tc>
        <w:tc>
          <w:tcPr>
            <w:tcW w:w="231" w:type="pct"/>
            <w:vMerge w:val="restar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456" w:type="pct"/>
            <w:vMerge w:val="restart"/>
            <w:noWrap w:val="0"/>
            <w:vAlign w:val="top"/>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建立健全组织架构</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服务团队，按照招标文件及投标文件承诺书要求配备垃圾分类服务人员，并提供完整的组织架构表（包括且不限于人员、身份证号码、社保信息、劳动合同、学历证书等）及台账，各个标项之间人员不得重复（10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团队不完整，或不提供组织架构清单的，该项不得分；人员不符合招标文件设立标准或素质要求的，按照每人次项目经理扣8分，策划员扣6分，驻点工程师扣4分，管理员/回收员人员扣2分；更换人员未及时在三天内通知所服务社区的，单次扣2分。</w:t>
            </w:r>
          </w:p>
        </w:tc>
        <w:tc>
          <w:tcPr>
            <w:tcW w:w="306" w:type="pct"/>
            <w:vMerge w:val="restar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53"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vMerge w:val="continue"/>
            <w:noWrap w:val="0"/>
            <w:vAlign w:val="top"/>
          </w:tcPr>
          <w:p>
            <w:pPr>
              <w:spacing w:line="240" w:lineRule="auto"/>
              <w:rPr>
                <w:rFonts w:hint="eastAsia" w:ascii="仿宋" w:hAnsi="仿宋" w:eastAsia="仿宋" w:cs="仿宋"/>
                <w:color w:val="auto"/>
                <w:sz w:val="24"/>
                <w:szCs w:val="24"/>
                <w:highlight w:val="none"/>
              </w:rPr>
            </w:pPr>
          </w:p>
        </w:tc>
        <w:tc>
          <w:tcPr>
            <w:tcW w:w="456" w:type="pct"/>
            <w:vMerge w:val="continue"/>
            <w:noWrap w:val="0"/>
            <w:vAlign w:val="top"/>
          </w:tcPr>
          <w:p>
            <w:pPr>
              <w:spacing w:line="240" w:lineRule="auto"/>
              <w:rPr>
                <w:rFonts w:hint="eastAsia" w:ascii="仿宋" w:hAnsi="仿宋" w:eastAsia="仿宋" w:cs="仿宋"/>
                <w:color w:val="auto"/>
                <w:sz w:val="24"/>
                <w:szCs w:val="24"/>
                <w:highlight w:val="none"/>
              </w:rPr>
            </w:pP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第三方服务人员完成正常履职，配合街道垃圾分类各项工作，按要求及时报送数据、总结、宣传等材料信息（10分）。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未完成招标文件中人员工作内容或履职不到位的，视情扣1-10分，扣6分以上情况需书面汇报街道职能科室；不及时报送材料信息的，每次扣1分。</w:t>
            </w:r>
          </w:p>
        </w:tc>
        <w:tc>
          <w:tcPr>
            <w:tcW w:w="306" w:type="pct"/>
            <w:vMerge w:val="continue"/>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建立健全内部考核监督机制</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w:t>
            </w:r>
            <w:r>
              <w:rPr>
                <w:rFonts w:hint="eastAsia" w:ascii="仿宋" w:hAnsi="仿宋" w:eastAsia="仿宋" w:cs="仿宋"/>
                <w:b/>
                <w:bCs/>
                <w:color w:val="auto"/>
                <w:sz w:val="24"/>
                <w:szCs w:val="24"/>
                <w:highlight w:val="none"/>
              </w:rPr>
              <w:t>垃圾分类服务工作实时在线记录</w:t>
            </w:r>
            <w:r>
              <w:rPr>
                <w:rFonts w:hint="eastAsia" w:ascii="仿宋" w:hAnsi="仿宋" w:eastAsia="仿宋" w:cs="仿宋"/>
                <w:color w:val="auto"/>
                <w:sz w:val="24"/>
                <w:szCs w:val="24"/>
                <w:highlight w:val="none"/>
              </w:rPr>
              <w:t>系统，能进行</w:t>
            </w:r>
            <w:r>
              <w:rPr>
                <w:rFonts w:hint="eastAsia" w:ascii="仿宋" w:hAnsi="仿宋" w:eastAsia="仿宋" w:cs="仿宋"/>
                <w:color w:val="auto"/>
                <w:sz w:val="24"/>
                <w:szCs w:val="24"/>
                <w:highlight w:val="none"/>
              </w:rPr>
              <w:t>人员到位考勤记录上下岗、策划活动记录、入户宣传记录、巡检记录等内容，并实现招标文件要求和投标文件承诺的功能的</w:t>
            </w:r>
            <w:r>
              <w:rPr>
                <w:rFonts w:hint="eastAsia" w:ascii="仿宋" w:hAnsi="仿宋" w:eastAsia="仿宋" w:cs="仿宋"/>
                <w:color w:val="auto"/>
                <w:sz w:val="24"/>
                <w:szCs w:val="24"/>
                <w:highlight w:val="none"/>
              </w:rPr>
              <w:t xml:space="preserve"> （5分）；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建立健全人员管理制度，有专门部门落实巡检，考勤和考核绩效，并按社区每周报送（5分）；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无人员监管系统的扣4分，未使用或者不提供账号的，每次扣2分；人员上下岗无打卡信息的，每次扣0.5分；无专职部门落实绩效的，扣3分；考核清单、台账不符合要求或无的，扣3分。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建立健全运行机制-定时定点点位管理到位</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定点投放点运行期间，点位的秩序管理和环境卫生均由服务方负责。点位上的垃圾桶需要由第三方拖运至社区指定的集置点。每个定时定点投放点位，固定配备一人（分类专管员）、一秤（智能四分类封装秤）、一垃圾分类亭（固定遮雨棚,因非乙方原因无法设立的除外），一套四色桶；由第三方负责点位的管理和卫生保洁，一次一清洗；</w:t>
            </w:r>
            <w:r>
              <w:rPr>
                <w:rFonts w:hint="eastAsia" w:ascii="仿宋" w:hAnsi="仿宋" w:eastAsia="仿宋" w:cs="仿宋"/>
                <w:color w:val="auto"/>
                <w:sz w:val="24"/>
                <w:szCs w:val="24"/>
                <w:highlight w:val="none"/>
              </w:rPr>
              <w:t>投放生活垃圾每日最多积一分；再生资源以不低于市场价格进行积分（价格每月对比3家同类型回收企业）；有害垃圾应收尽收。</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环境卫生或秩序较差的，每次扣1分；点位设施不到位的，每种每天扣1分；再生资源未正常回收，视情每次扣1-3分；未撤桶的，每次扣5分；有害垃圾未交由有资质的企业处置的或未及时清运的，发现一起扣5分。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建立健全运行机制-设施设备配置到位</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按照招标文件，每个小区设施设备配置到位；</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每个未配置到位的小区，扣4分；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90" w:type="pct"/>
            <w:vMerge w:val="restart"/>
            <w:noWrap w:val="0"/>
            <w:vAlign w:val="center"/>
          </w:tcPr>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rPr>
                <w:rFonts w:hint="eastAsia" w:ascii="仿宋" w:hAnsi="仿宋" w:eastAsia="仿宋" w:cs="仿宋"/>
                <w:color w:val="auto"/>
                <w:sz w:val="24"/>
                <w:szCs w:val="24"/>
                <w:highlight w:val="none"/>
              </w:rPr>
            </w:pP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绩</w:t>
            </w: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完善再生资源回收体系</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建立并完善再生资源回收体系，再生资源回收网点和积分兑换点设立满足招标文件要求；再生资源回收人员按照要求开展工作的（5分）；定时定点回收点按照应积尽积主动为居民开展前端回收和积分（10分）。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未建立起再生资源回收体系的，扣5分；再生资源回收网点和积分兑换点未按要求设立，或人员未按要求开展工作的，每人每次扣2分；分类督导人员不普及宣传可回收物积分，将可回收物归为个人所有的扣10分。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居民参与率</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数据本底：协助小区、社区、街道做好本地资料的入库和更新，包括空户、党员户和出租户（5分）；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数据上传：符合街道及区对数据的考核要求，数据真实、及时、准确，所有小区实现数字化接入（5分）；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定时定点小区和列入区数字化小区的小区，区认可的参与率达到90%以上（签订合同时以投标承诺为准）（5分）；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每发生一起摸排本底资料不配合或者5%以上空户实际住人的，扣1分；被区通报数据问题的，此项不得分；小区参与率不达标的，每降低5%扣2分。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分类服务管理到位</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分类准确率达到80%以上（签订合同时以投标承诺为准），一图一表设立到位，及时更新（5分）；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设施管理、工作管理、分类质量、宣传氛围、汇报总结、调研接待、工作响应相关要求实施到位，接受市区两级日常检查（5分）。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准确率检查单次不达标的，每次扣1分；单个容器不合格的，每次扣0.5分；一图一表应设未设或更新不及时的，每次扣1分；服务管理不到位的，每次扣2-5分；日常检查，市级检查低于85分的小区每次扣3分，区级检查低于85分的小区每次扣2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90" w:type="pct"/>
            <w:vMerge w:val="continue"/>
            <w:noWrap w:val="0"/>
            <w:vAlign w:val="center"/>
          </w:tcPr>
          <w:p>
            <w:pPr>
              <w:spacing w:line="240" w:lineRule="auto"/>
              <w:rPr>
                <w:rFonts w:hint="eastAsia" w:ascii="仿宋" w:hAnsi="仿宋" w:eastAsia="仿宋" w:cs="仿宋"/>
                <w:color w:val="auto"/>
                <w:sz w:val="24"/>
                <w:szCs w:val="24"/>
                <w:highlight w:val="none"/>
              </w:rPr>
            </w:pPr>
          </w:p>
        </w:tc>
        <w:tc>
          <w:tcPr>
            <w:tcW w:w="231"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居民满意率</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居民满意率90%以上（签订合同时以投标承诺为准）。</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每降低5%扣2分。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 w:type="pct"/>
            <w:noWrap w:val="0"/>
            <w:vAlign w:val="center"/>
          </w:tcPr>
          <w:p>
            <w:pPr>
              <w:spacing w:line="240" w:lineRule="auto"/>
              <w:rPr>
                <w:rFonts w:hint="eastAsia" w:ascii="仿宋" w:hAnsi="仿宋" w:eastAsia="仿宋" w:cs="仿宋"/>
                <w:color w:val="auto"/>
                <w:sz w:val="24"/>
                <w:szCs w:val="24"/>
                <w:highlight w:val="none"/>
              </w:rPr>
            </w:pPr>
            <w:bookmarkStart w:id="40" w:name="_Toc21735"/>
            <w:bookmarkStart w:id="41" w:name="_Toc5806"/>
            <w:bookmarkStart w:id="42" w:name="_Toc29691"/>
            <w:bookmarkStart w:id="43" w:name="_Toc22865"/>
            <w:bookmarkStart w:id="44" w:name="_Toc31441"/>
            <w:bookmarkStart w:id="45" w:name="_Toc18545"/>
            <w:bookmarkStart w:id="46" w:name="_Toc12297"/>
            <w:r>
              <w:rPr>
                <w:rFonts w:hint="eastAsia" w:ascii="仿宋" w:hAnsi="仿宋" w:eastAsia="仿宋" w:cs="仿宋"/>
                <w:color w:val="auto"/>
                <w:sz w:val="24"/>
                <w:szCs w:val="24"/>
                <w:highlight w:val="none"/>
              </w:rPr>
              <w:t>10</w:t>
            </w:r>
          </w:p>
        </w:tc>
        <w:tc>
          <w:tcPr>
            <w:tcW w:w="290" w:type="pct"/>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他</w:t>
            </w:r>
          </w:p>
        </w:tc>
        <w:tc>
          <w:tcPr>
            <w:tcW w:w="231" w:type="pct"/>
            <w:noWrap w:val="0"/>
            <w:vAlign w:val="top"/>
          </w:tcPr>
          <w:p>
            <w:pPr>
              <w:spacing w:line="240" w:lineRule="auto"/>
              <w:rPr>
                <w:rFonts w:hint="eastAsia" w:ascii="仿宋" w:hAnsi="仿宋" w:eastAsia="仿宋" w:cs="仿宋"/>
                <w:color w:val="auto"/>
                <w:sz w:val="24"/>
                <w:szCs w:val="24"/>
                <w:highlight w:val="none"/>
              </w:rPr>
            </w:pPr>
          </w:p>
        </w:tc>
        <w:tc>
          <w:tcPr>
            <w:tcW w:w="45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其他责任</w:t>
            </w:r>
          </w:p>
        </w:tc>
        <w:tc>
          <w:tcPr>
            <w:tcW w:w="1758"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不配合甲方工作，与社区发生纠纷或被区级以上部门抄告且负有重大责任的。（社区原因引起纠纷的，甲方另行对社区进行考核问责，但不免除乙方相应责任。）</w:t>
            </w:r>
          </w:p>
        </w:tc>
        <w:tc>
          <w:tcPr>
            <w:tcW w:w="1806" w:type="pct"/>
            <w:noWrap w:val="0"/>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每发生一次扣20分。</w:t>
            </w:r>
          </w:p>
        </w:tc>
        <w:tc>
          <w:tcPr>
            <w:tcW w:w="306" w:type="pct"/>
            <w:noWrap w:val="0"/>
            <w:vAlign w:val="top"/>
          </w:tcPr>
          <w:p>
            <w:pPr>
              <w:spacing w:line="240" w:lineRule="auto"/>
              <w:rPr>
                <w:rFonts w:hint="eastAsia" w:ascii="仿宋" w:hAnsi="仿宋" w:eastAsia="仿宋" w:cs="仿宋"/>
                <w:color w:val="auto"/>
                <w:sz w:val="24"/>
                <w:szCs w:val="24"/>
                <w:highlight w:val="none"/>
              </w:rPr>
            </w:pPr>
          </w:p>
        </w:tc>
      </w:tr>
    </w:tbl>
    <w:p>
      <w:pPr>
        <w:pStyle w:val="3"/>
        <w:tabs>
          <w:tab w:val="left" w:pos="432"/>
        </w:tabs>
        <w:spacing w:before="0" w:after="0" w:line="440" w:lineRule="exact"/>
        <w:ind w:left="0" w:firstLine="0"/>
        <w:jc w:val="both"/>
        <w:rPr>
          <w:rFonts w:hint="default" w:ascii="仿宋" w:hAnsi="仿宋" w:eastAsia="仿宋" w:cs="仿宋"/>
          <w:color w:val="auto"/>
          <w:sz w:val="24"/>
          <w:szCs w:val="24"/>
          <w:highlight w:val="none"/>
          <w:lang w:val="en-US" w:eastAsia="zh-CN"/>
        </w:rPr>
        <w:sectPr>
          <w:pgSz w:w="16838" w:h="11905" w:orient="landscape"/>
          <w:pgMar w:top="1803" w:right="1100" w:bottom="1803" w:left="1043" w:header="652" w:footer="595" w:gutter="0"/>
          <w:pgBorders>
            <w:top w:val="none" w:sz="0" w:space="0"/>
            <w:left w:val="none" w:sz="0" w:space="0"/>
            <w:bottom w:val="none" w:sz="0" w:space="0"/>
            <w:right w:val="none" w:sz="0" w:space="0"/>
          </w:pgBorders>
          <w:pgNumType w:fmt="decimal"/>
          <w:cols w:space="720" w:num="1"/>
          <w:docGrid w:type="lines" w:linePitch="313" w:charSpace="0"/>
        </w:sectPr>
      </w:pPr>
      <w:r>
        <w:rPr>
          <w:rFonts w:hint="eastAsia" w:ascii="仿宋" w:eastAsia="仿宋" w:cs="仿宋"/>
          <w:b w:val="0"/>
          <w:bCs/>
          <w:color w:val="auto"/>
          <w:sz w:val="24"/>
          <w:szCs w:val="24"/>
          <w:highlight w:val="none"/>
          <w:lang w:val="en-US" w:eastAsia="zh-CN"/>
        </w:rPr>
        <w:t>注：具体以合同签订时采购人确认为准。</w:t>
      </w:r>
    </w:p>
    <w:p>
      <w:pPr>
        <w:spacing w:line="44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附件二：机具、设施设备、车辆配备情况一览表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项目组配备情况一览表、垃圾分类其他服务人员配备情况一览表</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rPr>
        <w:t>附件三：</w:t>
      </w:r>
      <w:r>
        <w:rPr>
          <w:rFonts w:hint="eastAsia" w:ascii="仿宋" w:hAnsi="仿宋" w:eastAsia="仿宋" w:cs="仿宋"/>
          <w:color w:val="auto"/>
          <w:sz w:val="24"/>
          <w:szCs w:val="24"/>
          <w:highlight w:val="none"/>
          <w:lang w:val="en-US" w:eastAsia="zh-CN"/>
        </w:rPr>
        <w:t>薪资发放承诺书，附</w:t>
      </w:r>
      <w:bookmarkStart w:id="47" w:name="_Toc82016819"/>
      <w:r>
        <w:rPr>
          <w:rFonts w:hint="eastAsia" w:ascii="仿宋" w:hAnsi="仿宋" w:eastAsia="仿宋" w:cs="仿宋"/>
          <w:color w:val="auto"/>
          <w:sz w:val="24"/>
          <w:szCs w:val="24"/>
          <w:highlight w:val="none"/>
          <w:lang w:val="en-US" w:eastAsia="zh-CN"/>
        </w:rPr>
        <w:t>最低实发工资表</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Pr>
        <w:rPr>
          <w:rFonts w:hint="eastAsia" w:ascii="仿宋" w:hAnsi="仿宋" w:eastAsia="仿宋" w:cs="仿宋"/>
          <w:color w:val="auto"/>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pPr>
        <w:jc w:val="center"/>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 符合参加政府采购活动应当具备的一般条件的承诺函</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napToGrid w:val="0"/>
        <w:spacing w:line="360" w:lineRule="auto"/>
        <w:ind w:right="480"/>
        <w:jc w:val="center"/>
        <w:rPr>
          <w:rFonts w:hint="eastAsia" w:ascii="仿宋" w:hAnsi="仿宋" w:eastAsia="仿宋" w:cs="仿宋"/>
          <w:b/>
          <w:color w:val="auto"/>
          <w:sz w:val="32"/>
          <w:szCs w:val="32"/>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highlight w:val="none"/>
        </w:rPr>
        <w:t>二、落实政府采购政策需满足的资格要求</w:t>
      </w:r>
    </w:p>
    <w:p>
      <w:pPr>
        <w:rPr>
          <w:rFonts w:hint="eastAsia" w:ascii="仿宋" w:hAnsi="仿宋" w:eastAsia="仿宋" w:cs="仿宋"/>
          <w:color w:val="auto"/>
          <w:highlight w:val="none"/>
        </w:rPr>
      </w:pPr>
      <w:r>
        <w:rPr>
          <w:rFonts w:hint="eastAsia" w:ascii="仿宋" w:hAnsi="仿宋" w:eastAsia="仿宋" w:cs="仿宋"/>
          <w:color w:val="auto"/>
          <w:highlight w:val="none"/>
        </w:rPr>
        <w:t>（根据招标公告落实政府采购政策需满足的资格要求选择提供相应的材料；未要求的，无需提供）</w:t>
      </w:r>
    </w:p>
    <w:p>
      <w:pPr>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联合协议</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分包意向协议</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    日期：  年  月   日</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（根据招标公告本项目的特定资格要求提供相应的材料；未要求的，无需提供）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（1）投标函……………………………………………………………………（页码）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（3）联合协议……………………………………………………………………（页码）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（4）分包意向协议………………………………………………………………（页码）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（5）符合性审查资料…………………………………………………………（页码）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（6）评标标准相应的商务技术资料……………………………………………（页码）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（7）投标标的清单………………………………………………………………（页码）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（8）商务技术偏离表……………………………………………………………（页码）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一、投标函</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p>
    <w:p>
      <w:pPr>
        <w:rPr>
          <w:rFonts w:hint="eastAsia" w:ascii="仿宋" w:hAnsi="仿宋" w:eastAsia="仿宋" w:cs="仿宋"/>
          <w:color w:val="auto"/>
          <w:highlight w:val="none"/>
        </w:rPr>
      </w:pPr>
      <w:r>
        <w:rPr>
          <w:rFonts w:hint="eastAsia" w:ascii="仿宋" w:hAnsi="仿宋" w:eastAsia="仿宋" w:cs="仿宋"/>
          <w:color w:val="auto"/>
          <w:highlight w:val="none"/>
        </w:rPr>
        <w:t>我方参加你方组织的（项目名称）【招标编号：（采购编号）】招标的有关活动，并对此项目进行投标。为此：</w:t>
      </w:r>
    </w:p>
    <w:p>
      <w:pPr>
        <w:rPr>
          <w:rFonts w:hint="eastAsia" w:ascii="仿宋" w:hAnsi="仿宋" w:eastAsia="仿宋" w:cs="仿宋"/>
          <w:color w:val="auto"/>
          <w:highlight w:val="none"/>
        </w:rPr>
      </w:pPr>
      <w:r>
        <w:rPr>
          <w:rFonts w:hint="eastAsia" w:ascii="仿宋" w:hAnsi="仿宋" w:eastAsia="仿宋" w:cs="仿宋"/>
          <w:color w:val="auto"/>
          <w:highlight w:val="none"/>
        </w:rPr>
        <w:t>1、我方承诺投标有效期从提交投标文件的截止之日起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rPr>
          <w:rFonts w:hint="eastAsia" w:ascii="仿宋" w:hAnsi="仿宋" w:eastAsia="仿宋" w:cs="仿宋"/>
          <w:color w:val="auto"/>
          <w:highlight w:val="none"/>
        </w:rPr>
      </w:pPr>
      <w:r>
        <w:rPr>
          <w:rFonts w:hint="eastAsia" w:ascii="仿宋" w:hAnsi="仿宋" w:eastAsia="仿宋" w:cs="仿宋"/>
          <w:color w:val="auto"/>
          <w:highlight w:val="none"/>
        </w:rPr>
        <w:t>2、我方的投标文件包括以下内容：</w:t>
      </w:r>
    </w:p>
    <w:p>
      <w:pPr>
        <w:rPr>
          <w:rFonts w:hint="eastAsia" w:ascii="仿宋" w:hAnsi="仿宋" w:eastAsia="仿宋" w:cs="仿宋"/>
          <w:color w:val="auto"/>
          <w:highlight w:val="none"/>
        </w:rPr>
      </w:pPr>
      <w:r>
        <w:rPr>
          <w:rFonts w:hint="eastAsia" w:ascii="仿宋" w:hAnsi="仿宋" w:eastAsia="仿宋" w:cs="仿宋"/>
          <w:color w:val="auto"/>
          <w:highlight w:val="none"/>
        </w:rPr>
        <w:t>2.1资格文件：</w:t>
      </w:r>
    </w:p>
    <w:p>
      <w:pPr>
        <w:rPr>
          <w:rFonts w:hint="eastAsia" w:ascii="仿宋" w:hAnsi="仿宋" w:eastAsia="仿宋" w:cs="仿宋"/>
          <w:color w:val="auto"/>
          <w:highlight w:val="none"/>
        </w:rPr>
      </w:pPr>
      <w:r>
        <w:rPr>
          <w:rFonts w:hint="eastAsia" w:ascii="仿宋" w:hAnsi="仿宋" w:eastAsia="仿宋" w:cs="仿宋"/>
          <w:color w:val="auto"/>
          <w:highlight w:val="none"/>
        </w:rPr>
        <w:t>2.1.1承诺函；</w:t>
      </w:r>
    </w:p>
    <w:p>
      <w:pPr>
        <w:rPr>
          <w:rFonts w:hint="eastAsia" w:ascii="仿宋" w:hAnsi="仿宋" w:eastAsia="仿宋" w:cs="仿宋"/>
          <w:color w:val="auto"/>
          <w:highlight w:val="none"/>
        </w:rPr>
      </w:pPr>
      <w:r>
        <w:rPr>
          <w:rFonts w:hint="eastAsia" w:ascii="仿宋" w:hAnsi="仿宋" w:eastAsia="仿宋" w:cs="仿宋"/>
          <w:color w:val="auto"/>
          <w:highlight w:val="none"/>
        </w:rPr>
        <w:t>2.1.2落实政府采购政策需满足的资格要求（如果有）；</w:t>
      </w:r>
    </w:p>
    <w:p>
      <w:pPr>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商务技术</w:t>
      </w:r>
      <w:r>
        <w:rPr>
          <w:rFonts w:hint="eastAsia" w:ascii="仿宋" w:hAnsi="仿宋" w:eastAsia="仿宋" w:cs="仿宋"/>
          <w:color w:val="auto"/>
          <w:highlight w:val="none"/>
          <w:lang w:val="zh-CN"/>
        </w:rPr>
        <w:t>文件：</w:t>
      </w:r>
    </w:p>
    <w:p>
      <w:pPr>
        <w:rPr>
          <w:rFonts w:hint="eastAsia" w:ascii="仿宋" w:hAnsi="仿宋" w:eastAsia="仿宋" w:cs="仿宋"/>
          <w:color w:val="auto"/>
          <w:highlight w:val="none"/>
        </w:rPr>
      </w:pPr>
      <w:r>
        <w:rPr>
          <w:rFonts w:hint="eastAsia" w:ascii="仿宋" w:hAnsi="仿宋" w:eastAsia="仿宋" w:cs="仿宋"/>
          <w:color w:val="auto"/>
          <w:highlight w:val="none"/>
        </w:rPr>
        <w:t>2.2.1投标函；</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pPr>
        <w:rPr>
          <w:rFonts w:hint="eastAsia" w:ascii="仿宋" w:hAnsi="仿宋" w:eastAsia="仿宋" w:cs="仿宋"/>
          <w:color w:val="auto"/>
          <w:highlight w:val="none"/>
        </w:rPr>
      </w:pPr>
      <w:r>
        <w:rPr>
          <w:rFonts w:hint="eastAsia" w:ascii="仿宋" w:hAnsi="仿宋" w:eastAsia="仿宋" w:cs="仿宋"/>
          <w:color w:val="auto"/>
          <w:highlight w:val="none"/>
        </w:rPr>
        <w:t>2.2.3联合协议（如果有）；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2.2.4分包意向协议（如果有）；</w:t>
      </w:r>
    </w:p>
    <w:p>
      <w:pPr>
        <w:rPr>
          <w:rFonts w:hint="eastAsia" w:ascii="仿宋" w:hAnsi="仿宋" w:eastAsia="仿宋" w:cs="仿宋"/>
          <w:color w:val="auto"/>
          <w:highlight w:val="none"/>
        </w:rPr>
      </w:pPr>
      <w:r>
        <w:rPr>
          <w:rFonts w:hint="eastAsia" w:ascii="仿宋" w:hAnsi="仿宋" w:eastAsia="仿宋" w:cs="仿宋"/>
          <w:color w:val="auto"/>
          <w:highlight w:val="none"/>
        </w:rPr>
        <w:t>2.2.5符合性审查资料；</w:t>
      </w:r>
    </w:p>
    <w:p>
      <w:pPr>
        <w:rPr>
          <w:rFonts w:hint="eastAsia" w:ascii="仿宋" w:hAnsi="仿宋" w:eastAsia="仿宋" w:cs="仿宋"/>
          <w:color w:val="auto"/>
          <w:highlight w:val="none"/>
        </w:rPr>
      </w:pPr>
      <w:r>
        <w:rPr>
          <w:rFonts w:hint="eastAsia" w:ascii="仿宋" w:hAnsi="仿宋" w:eastAsia="仿宋" w:cs="仿宋"/>
          <w:color w:val="auto"/>
          <w:highlight w:val="none"/>
        </w:rPr>
        <w:t>2.2.6评标标准相应的商务技术资料；</w:t>
      </w:r>
    </w:p>
    <w:p>
      <w:pPr>
        <w:rPr>
          <w:rFonts w:hint="eastAsia" w:ascii="仿宋" w:hAnsi="仿宋" w:eastAsia="仿宋" w:cs="仿宋"/>
          <w:color w:val="auto"/>
          <w:highlight w:val="none"/>
        </w:rPr>
      </w:pPr>
      <w:r>
        <w:rPr>
          <w:rFonts w:hint="eastAsia" w:ascii="仿宋" w:hAnsi="仿宋" w:eastAsia="仿宋" w:cs="仿宋"/>
          <w:color w:val="auto"/>
          <w:highlight w:val="none"/>
        </w:rPr>
        <w:t>2.2.7投标标的清单；</w:t>
      </w:r>
    </w:p>
    <w:p>
      <w:pPr>
        <w:rPr>
          <w:rFonts w:hint="eastAsia" w:ascii="仿宋" w:hAnsi="仿宋" w:eastAsia="仿宋" w:cs="仿宋"/>
          <w:color w:val="auto"/>
          <w:highlight w:val="none"/>
        </w:rPr>
      </w:pPr>
      <w:r>
        <w:rPr>
          <w:rFonts w:hint="eastAsia" w:ascii="仿宋" w:hAnsi="仿宋" w:eastAsia="仿宋" w:cs="仿宋"/>
          <w:color w:val="auto"/>
          <w:highlight w:val="none"/>
        </w:rPr>
        <w:t>2.2.8商务技术偏离表；</w:t>
      </w:r>
    </w:p>
    <w:p>
      <w:pPr>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9</w:t>
      </w:r>
      <w:r>
        <w:rPr>
          <w:rFonts w:hint="eastAsia" w:ascii="仿宋" w:hAnsi="仿宋" w:eastAsia="仿宋" w:cs="仿宋"/>
          <w:color w:val="auto"/>
          <w:highlight w:val="none"/>
          <w:lang w:val="zh-CN"/>
        </w:rPr>
        <w:t>政府采购供应商廉洁自律承诺书；</w:t>
      </w:r>
    </w:p>
    <w:p>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pPr>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2.3.2</w:t>
      </w:r>
      <w:r>
        <w:rPr>
          <w:rFonts w:hint="eastAsia" w:ascii="仿宋" w:hAnsi="仿宋" w:eastAsia="仿宋" w:cs="仿宋"/>
          <w:color w:val="auto"/>
          <w:highlight w:val="none"/>
        </w:rPr>
        <w:t>最低实发工资</w:t>
      </w:r>
      <w:r>
        <w:rPr>
          <w:rFonts w:hint="eastAsia" w:ascii="仿宋" w:hAnsi="仿宋" w:eastAsia="仿宋" w:cs="仿宋"/>
          <w:color w:val="auto"/>
          <w:highlight w:val="none"/>
          <w:lang w:val="en-US" w:eastAsia="zh-CN"/>
        </w:rPr>
        <w:t>表；</w:t>
      </w:r>
    </w:p>
    <w:p>
      <w:pPr>
        <w:rPr>
          <w:rFonts w:hint="eastAsia"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中小企业声明函（如果有）。</w:t>
      </w:r>
    </w:p>
    <w:p>
      <w:pPr>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3、我方承诺除商务技术偏离表列出的偏离外，我方响应招标文件的全部要求。</w:t>
      </w:r>
    </w:p>
    <w:p>
      <w:pPr>
        <w:rPr>
          <w:rFonts w:hint="eastAsia" w:ascii="仿宋" w:hAnsi="仿宋" w:eastAsia="仿宋" w:cs="仿宋"/>
          <w:color w:val="auto"/>
          <w:highlight w:val="none"/>
        </w:rPr>
      </w:pPr>
      <w:r>
        <w:rPr>
          <w:rFonts w:hint="eastAsia" w:ascii="仿宋" w:hAnsi="仿宋" w:eastAsia="仿宋" w:cs="仿宋"/>
          <w:color w:val="auto"/>
          <w:highlight w:val="none"/>
        </w:rPr>
        <w:t>4、如我方中标，我方承诺：</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4.1在收到中标通知书后，在中标通知书规定的期限内与你方签订合同；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4.3按照招标文件要求提交履约保证金； </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pPr>
        <w:rPr>
          <w:rFonts w:hint="eastAsia" w:ascii="仿宋" w:hAnsi="仿宋" w:eastAsia="仿宋" w:cs="仿宋"/>
          <w:color w:val="auto"/>
          <w:highlight w:val="none"/>
        </w:rPr>
      </w:pPr>
      <w:r>
        <w:rPr>
          <w:rFonts w:hint="eastAsia" w:ascii="仿宋" w:hAnsi="仿宋" w:eastAsia="仿宋" w:cs="仿宋"/>
          <w:color w:val="auto"/>
          <w:highlight w:val="none"/>
        </w:rPr>
        <w:t>5、其他补充说明</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jc w:val="right"/>
        <w:rPr>
          <w:rFonts w:hint="eastAsia" w:ascii="仿宋" w:hAnsi="仿宋" w:eastAsia="仿宋" w:cs="仿宋"/>
          <w:color w:val="auto"/>
          <w:highlight w:val="none"/>
        </w:rPr>
      </w:pPr>
    </w:p>
    <w:p>
      <w:pPr>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投标人名称（电子签名）：                          </w:t>
      </w:r>
    </w:p>
    <w:p>
      <w:pPr>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u w:val="single"/>
        </w:rPr>
      </w:pP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签发日期：  年  月   日</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授权委托书（适用于联合体投标）</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政府采购投标的一切事项，其法律后果由我方承担。</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日止。</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特此告知。</w:t>
      </w:r>
    </w:p>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7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75"/>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ind w:firstLine="576"/>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                              </w:t>
      </w:r>
    </w:p>
    <w:p>
      <w:pPr>
        <w:spacing w:line="360"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276"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pPr>
        <w:pStyle w:val="2"/>
        <w:rPr>
          <w:rFonts w:hint="eastAsia" w:ascii="仿宋" w:hAnsi="仿宋" w:eastAsia="仿宋" w:cs="仿宋"/>
          <w:color w:val="auto"/>
          <w:highlight w:val="none"/>
          <w:lang w:val="zh-CN"/>
        </w:rPr>
      </w:pPr>
      <w:r>
        <w:rPr>
          <w:rFonts w:hint="eastAsia" w:ascii="仿宋" w:hAnsi="仿宋" w:eastAsia="仿宋" w:cs="仿宋"/>
          <w:color w:val="auto"/>
          <w:highlight w:val="none"/>
        </w:rPr>
        <w:t>三、</w:t>
      </w:r>
      <w:r>
        <w:rPr>
          <w:rFonts w:hint="eastAsia" w:ascii="仿宋" w:hAnsi="仿宋" w:eastAsia="仿宋" w:cs="仿宋"/>
          <w:color w:val="auto"/>
          <w:highlight w:val="none"/>
          <w:lang w:val="zh-CN"/>
        </w:rPr>
        <w:t>联合协议</w:t>
      </w:r>
    </w:p>
    <w:p>
      <w:pPr>
        <w:rPr>
          <w:rFonts w:hint="eastAsia" w:ascii="仿宋" w:hAnsi="仿宋" w:eastAsia="仿宋" w:cs="仿宋"/>
          <w:color w:val="auto"/>
          <w:highlight w:val="none"/>
        </w:rPr>
      </w:pPr>
      <w:r>
        <w:rPr>
          <w:rFonts w:hint="eastAsia" w:ascii="仿宋" w:hAnsi="仿宋" w:eastAsia="仿宋" w:cs="仿宋"/>
          <w:color w:val="auto"/>
          <w:highlight w:val="none"/>
        </w:rPr>
        <w:t>（以联合体形式投标的，提供联合协议；本项目不接受联合体投标或者投标人不以联合体形式投标的，则不需要提供）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组成一个联合体，以一个投标人的身份</w:t>
      </w:r>
      <w:r>
        <w:rPr>
          <w:rFonts w:hint="eastAsia" w:ascii="仿宋" w:hAnsi="仿宋" w:eastAsia="仿宋" w:cs="仿宋"/>
          <w:color w:val="auto"/>
          <w:highlight w:val="none"/>
        </w:rPr>
        <w:t>参加（项目名称）【招标编号：（采购编号）】</w:t>
      </w:r>
      <w:r>
        <w:rPr>
          <w:rFonts w:hint="eastAsia" w:ascii="仿宋" w:hAnsi="仿宋" w:eastAsia="仿宋" w:cs="仿宋"/>
          <w:color w:val="auto"/>
          <w:highlight w:val="none"/>
          <w:lang w:val="zh-CN"/>
        </w:rPr>
        <w:t xml:space="preserve">投标。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rPr>
        <w:t>（某联合体成员名称）</w:t>
      </w:r>
      <w:r>
        <w:rPr>
          <w:rFonts w:hint="eastAsia" w:ascii="仿宋" w:hAnsi="仿宋" w:eastAsia="仿宋" w:cs="仿宋"/>
          <w:color w:val="auto"/>
          <w:highlight w:val="none"/>
        </w:rPr>
        <w:t>为联合体</w:t>
      </w:r>
      <w:r>
        <w:rPr>
          <w:rFonts w:hint="eastAsia" w:ascii="仿宋" w:hAnsi="仿宋" w:eastAsia="仿宋" w:cs="仿宋"/>
          <w:color w:val="auto"/>
          <w:highlight w:val="none"/>
          <w:lang w:val="zh-CN"/>
        </w:rPr>
        <w:t>牵头人</w:t>
      </w:r>
      <w:r>
        <w:rPr>
          <w:rFonts w:hint="eastAsia" w:ascii="仿宋" w:hAnsi="仿宋" w:eastAsia="仿宋" w:cs="仿宋"/>
          <w:color w:val="auto"/>
          <w:highlight w:val="none"/>
        </w:rPr>
        <w:t>，代表所有联合体成员负责投标和合同实施阶段的主办、协调工作</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w:t>
      </w:r>
      <w:r>
        <w:rPr>
          <w:rFonts w:hint="eastAsia" w:ascii="仿宋" w:hAnsi="仿宋" w:eastAsia="仿宋" w:cs="仿宋"/>
          <w:color w:val="auto"/>
          <w:highlight w:val="none"/>
        </w:rPr>
        <w:t>所有联合体成员各方签署授权书，授权书载明的</w:t>
      </w:r>
      <w:r>
        <w:rPr>
          <w:rFonts w:hint="eastAsia" w:ascii="仿宋" w:hAnsi="仿宋" w:eastAsia="仿宋" w:cs="仿宋"/>
          <w:color w:val="auto"/>
          <w:highlight w:val="none"/>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三、本次联合投标中，分工如下：</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w:t>
      </w:r>
      <w:r>
        <w:rPr>
          <w:rFonts w:hint="eastAsia" w:ascii="仿宋" w:hAnsi="仿宋" w:eastAsia="仿宋" w:cs="仿宋"/>
          <w:color w:val="auto"/>
          <w:highlight w:val="none"/>
          <w:u w:val="single"/>
        </w:rPr>
        <w:t>（联合体其中一方成员名称）</w:t>
      </w:r>
      <w:r>
        <w:rPr>
          <w:rFonts w:hint="eastAsia" w:ascii="仿宋" w:hAnsi="仿宋" w:eastAsia="仿宋" w:cs="仿宋"/>
          <w:color w:val="auto"/>
          <w:highlight w:val="none"/>
        </w:rPr>
        <w:t>提供的全部货物由小微企业制造，其合同份额占到合同总金额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五、如果中标，</w:t>
      </w:r>
      <w:r>
        <w:rPr>
          <w:rFonts w:hint="eastAsia" w:ascii="仿宋" w:hAnsi="仿宋" w:eastAsia="仿宋" w:cs="仿宋"/>
          <w:color w:val="auto"/>
          <w:highlight w:val="none"/>
        </w:rPr>
        <w:t>联合体各成员方共同与采购人签订合同，并就采购合同约定的事项对采购人承担连带责任。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六、有关本次联合投标的其他事宜：</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3、本协议提交采购人、采购机构后，联合体各方不得以任何形式对上述内容进行修改或撤销。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四、分包意向协议</w:t>
      </w:r>
    </w:p>
    <w:p>
      <w:pPr>
        <w:rPr>
          <w:rFonts w:hint="eastAsia" w:ascii="仿宋" w:hAnsi="仿宋" w:eastAsia="仿宋" w:cs="仿宋"/>
          <w:b/>
          <w:color w:val="auto"/>
          <w:highlight w:val="none"/>
        </w:rPr>
      </w:pPr>
      <w:r>
        <w:rPr>
          <w:rFonts w:hint="eastAsia" w:ascii="仿宋" w:hAnsi="仿宋" w:eastAsia="仿宋" w:cs="仿宋"/>
          <w:b/>
          <w:color w:val="auto"/>
          <w:highlight w:val="none"/>
        </w:rPr>
        <w:t>（中标后以分包方式履行合同的，提供分包意向协议；采购人不同意分包或者投标人中标后不以分包方式履行合同的，则不需要提供。）</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rPr>
        <w:t>（项目名称）【招标编号：（采购编号）】</w:t>
      </w:r>
      <w:r>
        <w:rPr>
          <w:rFonts w:hint="eastAsia" w:ascii="仿宋" w:hAnsi="仿宋" w:eastAsia="仿宋" w:cs="仿宋"/>
          <w:color w:val="auto"/>
          <w:highlight w:val="none"/>
          <w:lang w:val="zh-CN"/>
        </w:rPr>
        <w:t>的中标供应商，将依法采取分包方式履行合同。</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highlight w:val="none"/>
        </w:rPr>
        <w:t>分包给</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（某分包供应商名称），</w:t>
      </w:r>
      <w:r>
        <w:rPr>
          <w:rFonts w:hint="eastAsia" w:ascii="仿宋" w:hAnsi="仿宋" w:eastAsia="仿宋" w:cs="仿宋"/>
          <w:color w:val="auto"/>
          <w:highlight w:val="none"/>
          <w:lang w:val="zh-CN"/>
        </w:rPr>
        <w:t>具备承</w:t>
      </w:r>
      <w:r>
        <w:rPr>
          <w:rFonts w:hint="eastAsia" w:ascii="仿宋" w:hAnsi="仿宋" w:eastAsia="仿宋" w:cs="仿宋"/>
          <w:color w:val="auto"/>
          <w:highlight w:val="none"/>
        </w:rPr>
        <w:t>担</w:t>
      </w:r>
      <w:r>
        <w:rPr>
          <w:rFonts w:hint="eastAsia" w:ascii="仿宋" w:hAnsi="仿宋" w:eastAsia="仿宋" w:cs="仿宋"/>
          <w:color w:val="auto"/>
          <w:highlight w:val="none"/>
          <w:u w:val="single"/>
          <w:lang w:val="zh-CN"/>
        </w:rPr>
        <w:t>XX工作内容</w:t>
      </w:r>
      <w:r>
        <w:rPr>
          <w:rFonts w:hint="eastAsia" w:ascii="仿宋" w:hAnsi="仿宋" w:eastAsia="仿宋" w:cs="仿宋"/>
          <w:color w:val="auto"/>
          <w:highlight w:val="none"/>
          <w:lang w:val="zh-CN"/>
        </w:rPr>
        <w:t>相应资质条件且不得再次分包；</w:t>
      </w:r>
    </w:p>
    <w:p>
      <w:pPr>
        <w:rPr>
          <w:rFonts w:hint="eastAsia" w:ascii="仿宋" w:hAnsi="仿宋" w:eastAsia="仿宋" w:cs="仿宋"/>
          <w:color w:val="auto"/>
          <w:highlight w:val="none"/>
        </w:rPr>
      </w:pPr>
      <w:r>
        <w:rPr>
          <w:rFonts w:hint="eastAsia" w:ascii="仿宋" w:hAnsi="仿宋" w:eastAsia="仿宋" w:cs="仿宋"/>
          <w:color w:val="auto"/>
          <w:highlight w:val="none"/>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二、分包工作履行期限、地点、方式</w:t>
      </w:r>
    </w:p>
    <w:p>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三、质量</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四、价款或者报酬</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五、违约责任</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六、争议解决的办法</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 xml:space="preserve">                                                                                  </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七、其他</w:t>
      </w:r>
    </w:p>
    <w:p>
      <w:pPr>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（分包供应商名称）提供的货物全部由小微企业制造，</w:t>
      </w:r>
      <w:r>
        <w:rPr>
          <w:rFonts w:hint="eastAsia" w:ascii="仿宋" w:hAnsi="仿宋" w:eastAsia="仿宋" w:cs="仿宋"/>
          <w:color w:val="auto"/>
          <w:highlight w:val="none"/>
        </w:rPr>
        <w:t>其合同份额占到合同总金额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%以上。</w:t>
      </w:r>
      <w:r>
        <w:rPr>
          <w:rFonts w:hint="eastAsia" w:ascii="仿宋" w:hAnsi="仿宋" w:eastAsia="仿宋" w:cs="仿宋"/>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投标人名称(电子签名)：</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五、符合性审查资料</w:t>
      </w:r>
    </w:p>
    <w:tbl>
      <w:tblPr>
        <w:tblStyle w:val="2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21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212"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2141" w:type="dxa"/>
            <w:vAlign w:val="center"/>
          </w:tcPr>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w:t>
            </w:r>
          </w:p>
          <w:p>
            <w:pPr>
              <w:snapToGrid w:val="0"/>
              <w:spacing w:line="240" w:lineRule="atLeast"/>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2212"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214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212"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节能产品认证证书（本项目拟采购的产品不属于政府强制采购的节能产品品目清单范围的，无需提供）</w:t>
            </w:r>
          </w:p>
        </w:tc>
        <w:tc>
          <w:tcPr>
            <w:tcW w:w="214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2212"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214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140" w:type="dxa"/>
          </w:tcPr>
          <w:p>
            <w:pPr>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投标文件满足招标文件的其它实质性要求。</w:t>
            </w:r>
          </w:p>
        </w:tc>
        <w:tc>
          <w:tcPr>
            <w:tcW w:w="2212" w:type="dxa"/>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招标文件其它实质性要求相应的材料（“▲” 系指实质性要求条款，招标文件无其它实质性要求的，无需提供）</w:t>
            </w:r>
          </w:p>
        </w:tc>
        <w:tc>
          <w:tcPr>
            <w:tcW w:w="2141" w:type="dxa"/>
          </w:tcPr>
          <w:p>
            <w:pPr>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六、评标标准相应的商务技术资料</w:t>
      </w:r>
    </w:p>
    <w:p>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（按招标文件第四部分评标办法前附表中“投标文件中评标标准相应的商务技术资料目录”提供资料。）</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440" w:lineRule="exac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有关格式范例</w:t>
      </w:r>
      <w:r>
        <w:rPr>
          <w:rFonts w:hint="eastAsia" w:ascii="仿宋" w:hAnsi="仿宋" w:eastAsia="仿宋" w:cs="仿宋"/>
          <w:b/>
          <w:color w:val="auto"/>
          <w:sz w:val="32"/>
          <w:szCs w:val="32"/>
          <w:highlight w:val="none"/>
          <w:lang w:eastAsia="zh-CN"/>
        </w:rPr>
        <w:t>：</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机具、设施设备、车辆配备情况一览表</w:t>
      </w:r>
    </w:p>
    <w:p>
      <w:pPr>
        <w:pStyle w:val="2"/>
        <w:spacing w:line="440" w:lineRule="exact"/>
        <w:jc w:val="both"/>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rPr>
        <w:t>标项：</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rPr>
        <w:t xml:space="preserve">    </w:t>
      </w:r>
      <w:r>
        <w:rPr>
          <w:rFonts w:hint="eastAsia" w:ascii="仿宋" w:hAnsi="仿宋" w:eastAsia="仿宋" w:cs="仿宋"/>
          <w:color w:val="auto"/>
          <w:sz w:val="24"/>
          <w:szCs w:val="24"/>
          <w:highlight w:val="none"/>
          <w:lang w:val="en-US"/>
        </w:rPr>
        <w:t xml:space="preserve">                                                      </w:t>
      </w:r>
    </w:p>
    <w:tbl>
      <w:tblPr>
        <w:tblStyle w:val="2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898"/>
        <w:gridCol w:w="3071"/>
        <w:gridCol w:w="860"/>
        <w:gridCol w:w="911"/>
        <w:gridCol w:w="743"/>
        <w:gridCol w:w="176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6" w:hRule="atLeast"/>
          <w:jc w:val="center"/>
        </w:trPr>
        <w:tc>
          <w:tcPr>
            <w:tcW w:w="898"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71"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6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1"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743"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763"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注明已具备或过渡期内具备</w:t>
            </w:r>
          </w:p>
        </w:tc>
        <w:tc>
          <w:tcPr>
            <w:tcW w:w="851" w:type="dxa"/>
            <w:noWrap w:val="0"/>
            <w:vAlign w:val="center"/>
          </w:tcPr>
          <w:p>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7" w:hRule="atLeast"/>
          <w:jc w:val="center"/>
        </w:trPr>
        <w:tc>
          <w:tcPr>
            <w:tcW w:w="9097" w:type="dxa"/>
            <w:gridSpan w:val="7"/>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一、垃圾分类设施设备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9097" w:type="dxa"/>
            <w:gridSpan w:val="7"/>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二、作业工具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9097" w:type="dxa"/>
            <w:gridSpan w:val="7"/>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三、车辆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9097" w:type="dxa"/>
            <w:gridSpan w:val="7"/>
            <w:noWrap w:val="0"/>
            <w:vAlign w:val="center"/>
          </w:tcPr>
          <w:p>
            <w:pPr>
              <w:spacing w:line="240" w:lineRule="auto"/>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四、其它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3" w:hRule="atLeast"/>
          <w:jc w:val="center"/>
        </w:trPr>
        <w:tc>
          <w:tcPr>
            <w:tcW w:w="89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71" w:type="dxa"/>
            <w:noWrap w:val="0"/>
            <w:vAlign w:val="center"/>
          </w:tcPr>
          <w:p>
            <w:pPr>
              <w:spacing w:line="240" w:lineRule="auto"/>
              <w:jc w:val="left"/>
              <w:rPr>
                <w:rFonts w:hint="eastAsia" w:ascii="仿宋" w:hAnsi="仿宋" w:eastAsia="仿宋" w:cs="仿宋"/>
                <w:color w:val="auto"/>
                <w:sz w:val="24"/>
                <w:szCs w:val="24"/>
                <w:highlight w:val="none"/>
              </w:rPr>
            </w:pPr>
          </w:p>
        </w:tc>
        <w:tc>
          <w:tcPr>
            <w:tcW w:w="860" w:type="dxa"/>
            <w:noWrap w:val="0"/>
            <w:vAlign w:val="center"/>
          </w:tcPr>
          <w:p>
            <w:pPr>
              <w:spacing w:line="240" w:lineRule="auto"/>
              <w:jc w:val="left"/>
              <w:rPr>
                <w:rFonts w:hint="eastAsia" w:ascii="仿宋" w:hAnsi="仿宋" w:eastAsia="仿宋" w:cs="仿宋"/>
                <w:color w:val="auto"/>
                <w:sz w:val="24"/>
                <w:szCs w:val="24"/>
                <w:highlight w:val="none"/>
              </w:rPr>
            </w:pPr>
          </w:p>
        </w:tc>
        <w:tc>
          <w:tcPr>
            <w:tcW w:w="911" w:type="dxa"/>
            <w:noWrap w:val="0"/>
            <w:vAlign w:val="center"/>
          </w:tcPr>
          <w:p>
            <w:pPr>
              <w:spacing w:line="240" w:lineRule="auto"/>
              <w:jc w:val="left"/>
              <w:rPr>
                <w:rFonts w:hint="eastAsia" w:ascii="仿宋" w:hAnsi="仿宋" w:eastAsia="仿宋" w:cs="仿宋"/>
                <w:color w:val="auto"/>
                <w:sz w:val="24"/>
                <w:szCs w:val="24"/>
                <w:highlight w:val="none"/>
              </w:rPr>
            </w:pPr>
          </w:p>
        </w:tc>
        <w:tc>
          <w:tcPr>
            <w:tcW w:w="743" w:type="dxa"/>
            <w:noWrap w:val="0"/>
            <w:vAlign w:val="center"/>
          </w:tcPr>
          <w:p>
            <w:pPr>
              <w:spacing w:line="240" w:lineRule="auto"/>
              <w:jc w:val="left"/>
              <w:rPr>
                <w:rFonts w:hint="eastAsia" w:ascii="仿宋" w:hAnsi="仿宋" w:eastAsia="仿宋" w:cs="仿宋"/>
                <w:color w:val="auto"/>
                <w:sz w:val="24"/>
                <w:szCs w:val="24"/>
                <w:highlight w:val="none"/>
              </w:rPr>
            </w:pPr>
          </w:p>
        </w:tc>
        <w:tc>
          <w:tcPr>
            <w:tcW w:w="1763" w:type="dxa"/>
            <w:noWrap w:val="0"/>
            <w:vAlign w:val="center"/>
          </w:tcPr>
          <w:p>
            <w:pPr>
              <w:spacing w:line="240" w:lineRule="auto"/>
              <w:jc w:val="left"/>
              <w:rPr>
                <w:rFonts w:hint="eastAsia" w:ascii="仿宋" w:hAnsi="仿宋" w:eastAsia="仿宋" w:cs="仿宋"/>
                <w:color w:val="auto"/>
                <w:sz w:val="24"/>
                <w:szCs w:val="24"/>
                <w:highlight w:val="none"/>
              </w:rPr>
            </w:pPr>
          </w:p>
        </w:tc>
        <w:tc>
          <w:tcPr>
            <w:tcW w:w="85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85" w:hRule="atLeast"/>
          <w:jc w:val="center"/>
        </w:trPr>
        <w:tc>
          <w:tcPr>
            <w:tcW w:w="9097" w:type="dxa"/>
            <w:gridSpan w:val="7"/>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我公司承诺以上机具、设施设备、车辆仅用于本项目本标项。</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我公司承诺表中注明过渡期内具备的机具、设施设备、车辆全部在过渡期内配备到位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rPr>
              <w:t>未按承诺的过渡时间内完成</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，则视为</w:t>
            </w:r>
            <w:r>
              <w:rPr>
                <w:rFonts w:hint="eastAsia" w:ascii="仿宋" w:hAnsi="仿宋" w:eastAsia="仿宋" w:cs="仿宋"/>
                <w:color w:val="auto"/>
                <w:sz w:val="24"/>
                <w:szCs w:val="24"/>
                <w:highlight w:val="none"/>
                <w:lang w:val="en-US" w:eastAsia="zh-CN"/>
              </w:rPr>
              <w:t>主动放弃中标</w:t>
            </w:r>
            <w:r>
              <w:rPr>
                <w:rFonts w:hint="eastAsia" w:ascii="仿宋" w:hAnsi="仿宋" w:eastAsia="仿宋" w:cs="仿宋"/>
                <w:color w:val="auto"/>
                <w:sz w:val="24"/>
                <w:szCs w:val="24"/>
                <w:highlight w:val="none"/>
              </w:rPr>
              <w:t>。</w:t>
            </w:r>
          </w:p>
        </w:tc>
      </w:tr>
    </w:tbl>
    <w:p>
      <w:pPr>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备注：供应商可按上述的格式自行编制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并提供相应材料。</w:t>
      </w: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项目组配备情况一览表</w:t>
      </w:r>
    </w:p>
    <w:p>
      <w:pPr>
        <w:spacing w:line="360" w:lineRule="auto"/>
        <w:jc w:val="both"/>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lang w:val="en-US"/>
        </w:rPr>
        <w:t>标项：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rPr>
        <w:t xml:space="preserve">  </w:t>
      </w:r>
    </w:p>
    <w:tbl>
      <w:tblPr>
        <w:tblStyle w:val="2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80"/>
        <w:gridCol w:w="1905"/>
        <w:gridCol w:w="678"/>
        <w:gridCol w:w="655"/>
        <w:gridCol w:w="1556"/>
        <w:gridCol w:w="1580"/>
        <w:gridCol w:w="85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48"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05"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学历  </w:t>
            </w: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资格证、培训证获得情况</w:t>
            </w: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从事行业</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w:t>
            </w:r>
          </w:p>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867" w:type="dxa"/>
            <w:noWrap w:val="0"/>
            <w:vAlign w:val="center"/>
          </w:tcPr>
          <w:p>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1905"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rPr>
                <w:rFonts w:hint="eastAsia" w:ascii="仿宋" w:hAnsi="仿宋" w:eastAsia="仿宋" w:cs="仿宋"/>
                <w:color w:val="auto"/>
                <w:sz w:val="24"/>
                <w:szCs w:val="24"/>
                <w:highlight w:val="none"/>
              </w:rPr>
            </w:pP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策划组</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平台对接</w:t>
            </w:r>
            <w:r>
              <w:rPr>
                <w:rFonts w:hint="eastAsia" w:ascii="仿宋" w:hAnsi="仿宋" w:eastAsia="仿宋" w:cs="仿宋"/>
                <w:color w:val="auto"/>
                <w:sz w:val="24"/>
                <w:szCs w:val="24"/>
                <w:highlight w:val="none"/>
              </w:rPr>
              <w:t>组</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再生资源回收组</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0" w:hRule="atLeast"/>
          <w:jc w:val="center"/>
        </w:trPr>
        <w:tc>
          <w:tcPr>
            <w:tcW w:w="680" w:type="dxa"/>
            <w:noWrap w:val="0"/>
            <w:vAlign w:val="center"/>
          </w:tcPr>
          <w:p>
            <w:pPr>
              <w:spacing w:line="240" w:lineRule="auto"/>
              <w:jc w:val="center"/>
              <w:rPr>
                <w:rFonts w:hint="eastAsia" w:ascii="仿宋" w:hAnsi="仿宋" w:eastAsia="仿宋" w:cs="仿宋"/>
                <w:color w:val="auto"/>
                <w:sz w:val="24"/>
                <w:szCs w:val="24"/>
                <w:highlight w:val="none"/>
              </w:rPr>
            </w:pPr>
          </w:p>
        </w:tc>
        <w:tc>
          <w:tcPr>
            <w:tcW w:w="1905" w:type="dxa"/>
            <w:noWrap w:val="0"/>
            <w:vAlign w:val="center"/>
          </w:tcPr>
          <w:p>
            <w:pPr>
              <w:spacing w:line="240" w:lineRule="auto"/>
              <w:jc w:val="left"/>
              <w:rPr>
                <w:rFonts w:hint="eastAsia" w:ascii="仿宋" w:hAnsi="仿宋" w:eastAsia="仿宋" w:cs="仿宋"/>
                <w:color w:val="auto"/>
                <w:sz w:val="24"/>
                <w:szCs w:val="24"/>
                <w:highlight w:val="none"/>
              </w:rPr>
            </w:pPr>
          </w:p>
        </w:tc>
        <w:tc>
          <w:tcPr>
            <w:tcW w:w="678" w:type="dxa"/>
            <w:noWrap w:val="0"/>
            <w:vAlign w:val="center"/>
          </w:tcPr>
          <w:p>
            <w:pPr>
              <w:spacing w:line="240" w:lineRule="auto"/>
              <w:jc w:val="left"/>
              <w:rPr>
                <w:rFonts w:hint="eastAsia" w:ascii="仿宋" w:hAnsi="仿宋" w:eastAsia="仿宋" w:cs="仿宋"/>
                <w:color w:val="auto"/>
                <w:sz w:val="24"/>
                <w:szCs w:val="24"/>
                <w:highlight w:val="none"/>
              </w:rPr>
            </w:pPr>
          </w:p>
        </w:tc>
        <w:tc>
          <w:tcPr>
            <w:tcW w:w="655" w:type="dxa"/>
            <w:noWrap w:val="0"/>
            <w:vAlign w:val="center"/>
          </w:tcPr>
          <w:p>
            <w:pPr>
              <w:spacing w:line="240" w:lineRule="auto"/>
              <w:jc w:val="left"/>
              <w:rPr>
                <w:rFonts w:hint="eastAsia" w:ascii="仿宋" w:hAnsi="仿宋" w:eastAsia="仿宋" w:cs="仿宋"/>
                <w:color w:val="auto"/>
                <w:sz w:val="24"/>
                <w:szCs w:val="24"/>
                <w:highlight w:val="none"/>
              </w:rPr>
            </w:pPr>
          </w:p>
        </w:tc>
        <w:tc>
          <w:tcPr>
            <w:tcW w:w="1556" w:type="dxa"/>
            <w:noWrap w:val="0"/>
            <w:vAlign w:val="center"/>
          </w:tcPr>
          <w:p>
            <w:pPr>
              <w:spacing w:line="240" w:lineRule="auto"/>
              <w:jc w:val="left"/>
              <w:rPr>
                <w:rFonts w:hint="eastAsia" w:ascii="仿宋" w:hAnsi="仿宋" w:eastAsia="仿宋" w:cs="仿宋"/>
                <w:color w:val="auto"/>
                <w:sz w:val="24"/>
                <w:szCs w:val="24"/>
                <w:highlight w:val="none"/>
              </w:rPr>
            </w:pPr>
          </w:p>
        </w:tc>
        <w:tc>
          <w:tcPr>
            <w:tcW w:w="1580" w:type="dxa"/>
            <w:noWrap w:val="0"/>
            <w:vAlign w:val="center"/>
          </w:tcPr>
          <w:p>
            <w:pPr>
              <w:spacing w:line="240" w:lineRule="auto"/>
              <w:jc w:val="left"/>
              <w:rPr>
                <w:rFonts w:hint="eastAsia" w:ascii="仿宋" w:hAnsi="仿宋" w:eastAsia="仿宋" w:cs="仿宋"/>
                <w:color w:val="auto"/>
                <w:sz w:val="24"/>
                <w:szCs w:val="24"/>
                <w:highlight w:val="none"/>
              </w:rPr>
            </w:pPr>
          </w:p>
        </w:tc>
        <w:tc>
          <w:tcPr>
            <w:tcW w:w="856" w:type="dxa"/>
            <w:noWrap w:val="0"/>
            <w:vAlign w:val="center"/>
          </w:tcPr>
          <w:p>
            <w:pPr>
              <w:spacing w:line="240" w:lineRule="auto"/>
              <w:jc w:val="left"/>
              <w:rPr>
                <w:rFonts w:hint="eastAsia" w:ascii="仿宋" w:hAnsi="仿宋" w:eastAsia="仿宋" w:cs="仿宋"/>
                <w:color w:val="auto"/>
                <w:sz w:val="24"/>
                <w:szCs w:val="24"/>
                <w:highlight w:val="none"/>
              </w:rPr>
            </w:pPr>
          </w:p>
        </w:tc>
        <w:tc>
          <w:tcPr>
            <w:tcW w:w="867"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0" w:hRule="atLeast"/>
          <w:jc w:val="center"/>
        </w:trPr>
        <w:tc>
          <w:tcPr>
            <w:tcW w:w="8777" w:type="dxa"/>
            <w:gridSpan w:val="8"/>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我公司承诺以上人员仅服务于本项目本标项。</w:t>
            </w:r>
          </w:p>
        </w:tc>
      </w:tr>
    </w:tbl>
    <w:p>
      <w:pPr>
        <w:spacing w:line="440" w:lineRule="exact"/>
        <w:ind w:firstLine="240" w:firstLineChars="1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备注：供应商可按上述的格式自行编制，</w:t>
      </w:r>
      <w:r>
        <w:rPr>
          <w:rFonts w:hint="eastAsia" w:ascii="仿宋" w:hAnsi="仿宋" w:eastAsia="仿宋" w:cs="仿宋"/>
          <w:b w:val="0"/>
          <w:bCs w:val="0"/>
          <w:color w:val="auto"/>
          <w:sz w:val="24"/>
          <w:szCs w:val="24"/>
          <w:highlight w:val="none"/>
          <w:lang w:val="en-US" w:eastAsia="zh-CN"/>
        </w:rPr>
        <w:t>并提供相应材料。</w:t>
      </w:r>
    </w:p>
    <w:p>
      <w:pPr>
        <w:spacing w:line="440" w:lineRule="exact"/>
        <w:jc w:val="left"/>
        <w:rPr>
          <w:rFonts w:hint="eastAsia" w:ascii="仿宋" w:hAnsi="仿宋" w:eastAsia="仿宋" w:cs="仿宋"/>
          <w:color w:val="auto"/>
          <w:sz w:val="24"/>
          <w:szCs w:val="24"/>
          <w:highlight w:val="none"/>
        </w:rPr>
      </w:pP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440" w:lineRule="exact"/>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pacing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垃圾分类其他服务人员配备情况一览表</w:t>
      </w:r>
    </w:p>
    <w:p>
      <w:pPr>
        <w:spacing w:line="440" w:lineRule="exact"/>
        <w:jc w:val="both"/>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en-US"/>
        </w:rPr>
        <w:t>标项：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rPr>
        <w:t xml:space="preserve">  </w:t>
      </w:r>
    </w:p>
    <w:tbl>
      <w:tblPr>
        <w:tblStyle w:val="2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98"/>
        <w:gridCol w:w="2878"/>
        <w:gridCol w:w="1271"/>
        <w:gridCol w:w="1251"/>
        <w:gridCol w:w="223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12" w:hRule="atLeast"/>
          <w:jc w:val="center"/>
        </w:trPr>
        <w:tc>
          <w:tcPr>
            <w:tcW w:w="698"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78"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271"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251"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注明已具备或过渡期内具备</w:t>
            </w: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44"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 </w:t>
            </w: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定时定点分类员 </w:t>
            </w: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p>
        </w:tc>
        <w:tc>
          <w:tcPr>
            <w:tcW w:w="287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巡检员 </w:t>
            </w: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p>
        </w:tc>
        <w:tc>
          <w:tcPr>
            <w:tcW w:w="287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集置点管理员</w:t>
            </w: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9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p>
        </w:tc>
        <w:tc>
          <w:tcPr>
            <w:tcW w:w="2878"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42" w:hRule="atLeast"/>
          <w:jc w:val="center"/>
        </w:trPr>
        <w:tc>
          <w:tcPr>
            <w:tcW w:w="69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2878" w:type="dxa"/>
            <w:noWrap w:val="0"/>
            <w:vAlign w:val="center"/>
          </w:tcPr>
          <w:p>
            <w:pPr>
              <w:widowControl/>
              <w:spacing w:line="240" w:lineRule="auto"/>
              <w:jc w:val="center"/>
              <w:rPr>
                <w:rFonts w:hint="eastAsia" w:ascii="仿宋" w:hAnsi="仿宋" w:eastAsia="仿宋" w:cs="仿宋"/>
                <w:color w:val="auto"/>
                <w:sz w:val="24"/>
                <w:szCs w:val="24"/>
                <w:highlight w:val="none"/>
              </w:rPr>
            </w:pPr>
          </w:p>
        </w:tc>
        <w:tc>
          <w:tcPr>
            <w:tcW w:w="1271" w:type="dxa"/>
            <w:noWrap w:val="0"/>
            <w:vAlign w:val="center"/>
          </w:tcPr>
          <w:p>
            <w:pPr>
              <w:spacing w:line="240" w:lineRule="auto"/>
              <w:jc w:val="left"/>
              <w:rPr>
                <w:rFonts w:hint="eastAsia" w:ascii="仿宋" w:hAnsi="仿宋" w:eastAsia="仿宋" w:cs="仿宋"/>
                <w:color w:val="auto"/>
                <w:sz w:val="24"/>
                <w:szCs w:val="24"/>
                <w:highlight w:val="none"/>
              </w:rPr>
            </w:pPr>
          </w:p>
        </w:tc>
        <w:tc>
          <w:tcPr>
            <w:tcW w:w="1251" w:type="dxa"/>
            <w:noWrap w:val="0"/>
            <w:vAlign w:val="center"/>
          </w:tcPr>
          <w:p>
            <w:pPr>
              <w:spacing w:line="240" w:lineRule="auto"/>
              <w:jc w:val="left"/>
              <w:rPr>
                <w:rFonts w:hint="eastAsia" w:ascii="仿宋" w:hAnsi="仿宋" w:eastAsia="仿宋" w:cs="仿宋"/>
                <w:color w:val="auto"/>
                <w:sz w:val="24"/>
                <w:szCs w:val="24"/>
                <w:highlight w:val="none"/>
              </w:rPr>
            </w:pPr>
          </w:p>
        </w:tc>
        <w:tc>
          <w:tcPr>
            <w:tcW w:w="2239" w:type="dxa"/>
            <w:noWrap w:val="0"/>
            <w:vAlign w:val="center"/>
          </w:tcPr>
          <w:p>
            <w:pPr>
              <w:spacing w:line="240" w:lineRule="auto"/>
              <w:jc w:val="left"/>
              <w:rPr>
                <w:rFonts w:hint="eastAsia" w:ascii="仿宋" w:hAnsi="仿宋" w:eastAsia="仿宋" w:cs="仿宋"/>
                <w:color w:val="auto"/>
                <w:sz w:val="24"/>
                <w:szCs w:val="24"/>
                <w:highlight w:val="none"/>
              </w:rPr>
            </w:pPr>
          </w:p>
        </w:tc>
        <w:tc>
          <w:tcPr>
            <w:tcW w:w="861" w:type="dxa"/>
            <w:noWrap w:val="0"/>
            <w:vAlign w:val="center"/>
          </w:tcPr>
          <w:p>
            <w:pPr>
              <w:spacing w:line="24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9198" w:type="dxa"/>
            <w:gridSpan w:val="6"/>
            <w:noWrap w:val="0"/>
            <w:vAlign w:val="center"/>
          </w:tcPr>
          <w:p>
            <w:pPr>
              <w:spacing w:line="240" w:lineRule="auto"/>
              <w:jc w:val="left"/>
              <w:rPr>
                <w:rFonts w:hint="eastAsia" w:ascii="仿宋" w:hAnsi="仿宋" w:eastAsia="仿宋" w:cs="仿宋"/>
                <w:b w:val="0"/>
                <w:bCs w:val="0"/>
                <w:color w:val="auto"/>
                <w:sz w:val="24"/>
                <w:szCs w:val="24"/>
                <w:highlight w:val="none"/>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过渡期内具备的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b w:val="0"/>
                <w:bCs w:val="0"/>
                <w:color w:val="auto"/>
                <w:sz w:val="24"/>
                <w:szCs w:val="24"/>
                <w:highlight w:val="none"/>
              </w:rPr>
              <w:t>表中人员姓名以阿拉伯数字代替。</w:t>
            </w:r>
          </w:p>
          <w:p>
            <w:pPr>
              <w:spacing w:line="240" w:lineRule="auto"/>
              <w:jc w:val="lef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我公司承诺表中注明过渡期内具备的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全部在过渡期内配备到位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rPr>
              <w:t>未按承诺的过渡时间内完成</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，则视为</w:t>
            </w:r>
            <w:r>
              <w:rPr>
                <w:rFonts w:hint="eastAsia" w:ascii="仿宋" w:hAnsi="仿宋" w:eastAsia="仿宋" w:cs="仿宋"/>
                <w:color w:val="auto"/>
                <w:sz w:val="24"/>
                <w:szCs w:val="24"/>
                <w:highlight w:val="none"/>
                <w:lang w:val="en-US" w:eastAsia="zh-CN"/>
              </w:rPr>
              <w:t>主动放弃中标</w:t>
            </w:r>
            <w:r>
              <w:rPr>
                <w:rFonts w:hint="eastAsia" w:ascii="仿宋" w:hAnsi="仿宋" w:eastAsia="仿宋" w:cs="仿宋"/>
                <w:color w:val="auto"/>
                <w:sz w:val="24"/>
                <w:szCs w:val="24"/>
                <w:highlight w:val="none"/>
              </w:rPr>
              <w:t>。</w:t>
            </w:r>
          </w:p>
        </w:tc>
      </w:tr>
    </w:tbl>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备注：供应商可按上述的格式自行编制，</w:t>
      </w:r>
      <w:r>
        <w:rPr>
          <w:rFonts w:hint="eastAsia" w:ascii="仿宋" w:hAnsi="仿宋" w:eastAsia="仿宋" w:cs="仿宋"/>
          <w:b w:val="0"/>
          <w:bCs w:val="0"/>
          <w:color w:val="auto"/>
          <w:sz w:val="24"/>
          <w:szCs w:val="24"/>
          <w:highlight w:val="none"/>
          <w:lang w:val="en-US" w:eastAsia="zh-CN"/>
        </w:rPr>
        <w:t>并提供相应材料。</w:t>
      </w:r>
    </w:p>
    <w:p>
      <w:pPr>
        <w:spacing w:line="360" w:lineRule="auto"/>
        <w:jc w:val="right"/>
        <w:rPr>
          <w:rFonts w:hint="eastAsia" w:ascii="仿宋" w:hAnsi="仿宋" w:eastAsia="仿宋" w:cs="仿宋"/>
          <w:color w:val="auto"/>
          <w:highlight w:val="none"/>
          <w:lang w:val="zh-CN"/>
        </w:rPr>
      </w:pP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薪资发放承诺书</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（采购人）、（采购代理机构）：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我单位</w:t>
      </w:r>
      <w:r>
        <w:rPr>
          <w:rFonts w:hint="eastAsia" w:ascii="仿宋" w:hAnsi="仿宋" w:eastAsia="仿宋" w:cs="仿宋"/>
          <w:color w:val="auto"/>
          <w:sz w:val="24"/>
          <w:szCs w:val="24"/>
          <w:highlight w:val="none"/>
        </w:rPr>
        <w:t>承诺服务人员实发工资按招标文件要求执行，如中标，将按投标承诺签署合同，并在整个合同履行期间严格执行：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我单位承诺按实发工资金额不少于最低金额足额发放到每一位服务人员，并于每月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日发放□下月□当月□上月工资，工资发放形式：发员工银行卡。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倘若发现我方未按投标承诺执行的，我方自愿承诺：贵单位可据此按我方合同违约处理，我方应向贵单位支付年度合同总价的5%作为违约赔偿金，同时贵单位有权据此认定我方年度考核不合格或单方直接终止合同。</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spacing w:line="360" w:lineRule="auto"/>
        <w:jc w:val="right"/>
        <w:rPr>
          <w:rFonts w:hint="eastAsia" w:ascii="仿宋" w:hAnsi="仿宋" w:eastAsia="仿宋" w:cs="仿宋"/>
          <w:color w:val="auto"/>
          <w:highlight w:val="none"/>
          <w:lang w:val="zh-CN"/>
        </w:rPr>
      </w:pP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360" w:lineRule="auto"/>
        <w:jc w:val="right"/>
        <w:rPr>
          <w:rFonts w:hint="eastAsia" w:ascii="仿宋" w:hAnsi="仿宋" w:eastAsia="仿宋" w:cs="仿宋"/>
          <w:b/>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pStyle w:val="24"/>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有关“员工薪酬及权益保障方面的投诉或群体性事件”被劳动部门处罚且被环卫行政主管部门通报批评的声明书</w:t>
      </w:r>
    </w:p>
    <w:p>
      <w:pPr>
        <w:pStyle w:val="17"/>
        <w:spacing w:line="360" w:lineRule="auto"/>
        <w:ind w:firstLine="480" w:firstLineChars="200"/>
        <w:rPr>
          <w:rFonts w:hint="eastAsia" w:ascii="仿宋" w:hAnsi="仿宋" w:eastAsia="仿宋" w:cs="仿宋"/>
          <w:color w:val="auto"/>
          <w:sz w:val="24"/>
          <w:szCs w:val="24"/>
          <w:highlight w:val="none"/>
        </w:rPr>
      </w:pPr>
    </w:p>
    <w:p>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val="zh-CN"/>
        </w:rPr>
        <w:t>【招标编号：</w:t>
      </w:r>
      <w:r>
        <w:rPr>
          <w:rFonts w:hint="eastAsia" w:ascii="仿宋" w:hAnsi="仿宋" w:eastAsia="仿宋" w:cs="仿宋"/>
          <w:color w:val="auto"/>
          <w:sz w:val="24"/>
          <w:szCs w:val="24"/>
          <w:highlight w:val="none"/>
          <w:u w:val="single"/>
        </w:rPr>
        <w:t>（采购编号）】</w:t>
      </w:r>
      <w:r>
        <w:rPr>
          <w:rFonts w:hint="eastAsia" w:ascii="仿宋" w:hAnsi="仿宋" w:eastAsia="仿宋" w:cs="仿宋"/>
          <w:color w:val="auto"/>
          <w:sz w:val="24"/>
          <w:szCs w:val="24"/>
          <w:highlight w:val="none"/>
        </w:rPr>
        <w:t>的采购活动，现声明如下：</w:t>
      </w:r>
    </w:p>
    <w:p>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（1）我公司201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年1月1日至今（以公告发布之日或通报文件生效之日为准），□有□无发生过有关“员工薪酬及权益保障方面的投诉或群体性事件”被劳动部门处罚且被环卫行政主管部门通报批评；如有，共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次，具体为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pStyle w:val="17"/>
        <w:spacing w:line="360" w:lineRule="auto"/>
        <w:ind w:firstLine="480" w:firstLineChars="2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lang w:eastAsia="zh-CN"/>
              </w:rPr>
            </w:pPr>
            <w:r>
              <w:rPr>
                <w:rFonts w:hint="eastAsia" w:cs="仿宋"/>
                <w:color w:val="auto"/>
                <w:highlight w:val="none"/>
                <w:lang w:val="en-US" w:eastAsia="zh-CN"/>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八、商务技术偏离表</w:t>
      </w:r>
    </w:p>
    <w:tbl>
      <w:tblPr>
        <w:tblStyle w:val="2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54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276" w:type="dxa"/>
          </w:tcPr>
          <w:p>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tcPr>
          <w:p>
            <w:pPr>
              <w:spacing w:after="0"/>
              <w:jc w:val="center"/>
              <w:rPr>
                <w:rFonts w:hint="eastAsia" w:ascii="仿宋" w:hAnsi="仿宋" w:eastAsia="仿宋" w:cs="仿宋"/>
                <w:b/>
                <w:color w:val="auto"/>
                <w:sz w:val="32"/>
                <w:szCs w:val="32"/>
                <w:highlight w:val="none"/>
              </w:rPr>
            </w:pPr>
          </w:p>
        </w:tc>
        <w:tc>
          <w:tcPr>
            <w:tcW w:w="3546" w:type="dxa"/>
          </w:tcPr>
          <w:p>
            <w:pPr>
              <w:spacing w:after="0"/>
              <w:jc w:val="center"/>
              <w:rPr>
                <w:rFonts w:hint="eastAsia" w:ascii="仿宋" w:hAnsi="仿宋" w:eastAsia="仿宋" w:cs="仿宋"/>
                <w:b/>
                <w:color w:val="auto"/>
                <w:sz w:val="32"/>
                <w:szCs w:val="32"/>
                <w:highlight w:val="none"/>
              </w:rPr>
            </w:pPr>
          </w:p>
        </w:tc>
        <w:tc>
          <w:tcPr>
            <w:tcW w:w="1276" w:type="dxa"/>
          </w:tcPr>
          <w:p>
            <w:pPr>
              <w:spacing w:after="0"/>
              <w:jc w:val="center"/>
              <w:rPr>
                <w:rFonts w:hint="eastAsia" w:ascii="仿宋" w:hAnsi="仿宋" w:eastAsia="仿宋" w:cs="仿宋"/>
                <w:b/>
                <w:color w:val="auto"/>
                <w:sz w:val="32"/>
                <w:szCs w:val="32"/>
                <w:highlight w:val="none"/>
              </w:rPr>
            </w:pPr>
          </w:p>
        </w:tc>
      </w:tr>
    </w:tbl>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bCs/>
          <w:color w:val="auto"/>
          <w:highlight w:val="none"/>
        </w:rPr>
        <w:t>九</w:t>
      </w:r>
      <w:r>
        <w:rPr>
          <w:rFonts w:hint="eastAsia" w:ascii="仿宋" w:hAnsi="仿宋" w:eastAsia="仿宋" w:cs="仿宋"/>
          <w:color w:val="auto"/>
          <w:highlight w:val="none"/>
        </w:rPr>
        <w:t>、</w:t>
      </w:r>
      <w:r>
        <w:rPr>
          <w:rFonts w:hint="eastAsia" w:ascii="仿宋" w:hAnsi="仿宋" w:eastAsia="仿宋" w:cs="仿宋"/>
          <w:color w:val="auto"/>
          <w:highlight w:val="none"/>
          <w:lang w:val="zh-CN"/>
        </w:rPr>
        <w:t>政府采购供应商廉洁自律承诺书</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法》《中华人民共和国民法典》等法律法规，诚实守信，合法经营，坚决抵制各种违法违纪行为。 </w:t>
      </w:r>
    </w:p>
    <w:p>
      <w:pPr>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有权立即取消我单位投标、中标或在建项目的建设资格，有权拒绝我单位在一定时期内进入你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pPr>
        <w:spacing w:line="360" w:lineRule="auto"/>
        <w:jc w:val="right"/>
        <w:rPr>
          <w:rFonts w:hint="eastAsia" w:ascii="仿宋" w:hAnsi="仿宋" w:eastAsia="仿宋" w:cs="仿宋"/>
          <w:color w:val="auto"/>
          <w:highlight w:val="none"/>
          <w:lang w:val="zh-CN"/>
        </w:rPr>
      </w:pPr>
    </w:p>
    <w:p>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pPr>
        <w:spacing w:line="360" w:lineRule="auto"/>
        <w:rPr>
          <w:rFonts w:hint="eastAsia" w:ascii="仿宋" w:hAnsi="仿宋" w:eastAsia="仿宋" w:cs="仿宋"/>
          <w:b/>
          <w:bCs/>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（1）开标一览表（报价表）…………………………………………………（页码</w:t>
      </w:r>
      <w:r>
        <w:rPr>
          <w:rFonts w:hint="eastAsia" w:ascii="仿宋" w:hAnsi="仿宋" w:eastAsia="仿宋" w:cs="仿宋"/>
          <w:color w:val="auto"/>
          <w:highlight w:val="none"/>
          <w:lang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（2）最低实发工资</w:t>
      </w:r>
      <w:r>
        <w:rPr>
          <w:rFonts w:hint="eastAsia" w:ascii="仿宋" w:hAnsi="仿宋" w:eastAsia="仿宋" w:cs="仿宋"/>
          <w:color w:val="auto"/>
          <w:highlight w:val="none"/>
          <w:lang w:val="en-US" w:eastAsia="zh-CN"/>
        </w:rPr>
        <w:t>表</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r>
        <w:rPr>
          <w:rFonts w:hint="eastAsia" w:ascii="仿宋" w:hAnsi="仿宋" w:eastAsia="仿宋" w:cs="仿宋"/>
          <w:color w:val="auto"/>
          <w:highlight w:val="none"/>
          <w:lang w:eastAsia="zh-CN"/>
        </w:rPr>
        <w:t>）</w:t>
      </w:r>
    </w:p>
    <w:p>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）中小企业声明函…………………………………………………………（页码）</w:t>
      </w:r>
    </w:p>
    <w:p>
      <w:pPr>
        <w:snapToGrid w:val="0"/>
        <w:spacing w:line="360" w:lineRule="auto"/>
        <w:ind w:right="480"/>
        <w:jc w:val="center"/>
        <w:rPr>
          <w:rFonts w:hint="eastAsia" w:ascii="仿宋" w:hAnsi="仿宋" w:eastAsia="仿宋" w:cs="仿宋"/>
          <w:b/>
          <w:color w:val="auto"/>
          <w:sz w:val="32"/>
          <w:szCs w:val="32"/>
          <w:highlight w:val="none"/>
        </w:rPr>
      </w:pPr>
    </w:p>
    <w:p>
      <w:pPr>
        <w:pStyle w:val="76"/>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8" w:type="default"/>
          <w:footerReference r:id="rId9" w:type="default"/>
          <w:pgSz w:w="11906" w:h="16838"/>
          <w:pgMar w:top="1440" w:right="1700" w:bottom="1440" w:left="1800" w:header="851" w:footer="992" w:gutter="0"/>
          <w:pgNumType w:fmt="decimal"/>
          <w:cols w:space="425" w:num="1"/>
          <w:docGrid w:type="lines" w:linePitch="312" w:charSpace="0"/>
        </w:sectPr>
      </w:pPr>
      <w:r>
        <w:rPr>
          <w:rFonts w:hint="eastAsia" w:ascii="仿宋" w:hAnsi="仿宋" w:eastAsia="仿宋" w:cs="仿宋"/>
          <w:b/>
          <w:bCs/>
          <w:color w:val="auto"/>
          <w:sz w:val="52"/>
          <w:szCs w:val="52"/>
          <w:highlight w:val="none"/>
        </w:rPr>
        <w:t>注：</w:t>
      </w:r>
      <w:r>
        <w:rPr>
          <w:rFonts w:hint="eastAsia" w:ascii="仿宋" w:hAnsi="仿宋" w:eastAsia="仿宋" w:cs="仿宋"/>
          <w:b/>
          <w:bCs/>
          <w:color w:val="auto"/>
          <w:sz w:val="52"/>
          <w:szCs w:val="52"/>
          <w:highlight w:val="none"/>
          <w:lang w:val="en-US" w:eastAsia="zh-CN"/>
        </w:rPr>
        <w:t>若多个标项响应投标时，</w:t>
      </w:r>
      <w:r>
        <w:rPr>
          <w:rFonts w:hint="eastAsia" w:ascii="仿宋" w:hAnsi="仿宋" w:eastAsia="仿宋" w:cs="仿宋"/>
          <w:b/>
          <w:bCs/>
          <w:color w:val="auto"/>
          <w:sz w:val="52"/>
          <w:szCs w:val="52"/>
          <w:highlight w:val="none"/>
        </w:rPr>
        <w:t>各标项报价文件</w:t>
      </w:r>
      <w:r>
        <w:rPr>
          <w:rFonts w:hint="eastAsia" w:ascii="仿宋" w:hAnsi="仿宋" w:eastAsia="仿宋" w:cs="仿宋"/>
          <w:b/>
          <w:bCs/>
          <w:color w:val="auto"/>
          <w:sz w:val="52"/>
          <w:szCs w:val="52"/>
          <w:highlight w:val="none"/>
          <w:lang w:val="en-US" w:eastAsia="zh-CN"/>
        </w:rPr>
        <w:t>须</w:t>
      </w:r>
      <w:r>
        <w:rPr>
          <w:rFonts w:hint="eastAsia" w:ascii="仿宋" w:hAnsi="仿宋" w:eastAsia="仿宋" w:cs="仿宋"/>
          <w:b/>
          <w:bCs/>
          <w:color w:val="auto"/>
          <w:sz w:val="52"/>
          <w:szCs w:val="52"/>
          <w:highlight w:val="none"/>
        </w:rPr>
        <w:t>单独制作，单独上传。</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一、开标一览表（报价表）</w:t>
      </w:r>
    </w:p>
    <w:p>
      <w:pPr>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【招标编号：</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标项</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的实施</w:t>
      </w:r>
      <w:r>
        <w:rPr>
          <w:rFonts w:hint="eastAsia" w:ascii="仿宋" w:hAnsi="仿宋" w:eastAsia="仿宋" w:cs="仿宋"/>
          <w:color w:val="auto"/>
          <w:highlight w:val="none"/>
          <w:lang w:val="zh-CN"/>
        </w:rPr>
        <w:t>。</w:t>
      </w:r>
    </w:p>
    <w:p>
      <w:pPr>
        <w:jc w:val="cente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开标一览表（报价表）(单位均为人民币元)</w:t>
      </w:r>
    </w:p>
    <w:p>
      <w:pPr>
        <w:jc w:val="both"/>
        <w:rPr>
          <w:rFonts w:hint="eastAsia" w:ascii="仿宋" w:hAnsi="仿宋" w:eastAsia="仿宋" w:cs="仿宋"/>
          <w:b/>
          <w:color w:val="auto"/>
          <w:highlight w:val="none"/>
          <w:u w:val="single"/>
          <w:lang w:val="en-US" w:eastAsia="zh-CN"/>
        </w:rPr>
      </w:pPr>
      <w:r>
        <w:rPr>
          <w:rFonts w:hint="eastAsia" w:ascii="仿宋" w:hAnsi="仿宋" w:eastAsia="仿宋" w:cs="仿宋"/>
          <w:b/>
          <w:color w:val="auto"/>
          <w:highlight w:val="none"/>
          <w:lang w:val="en-US" w:eastAsia="zh-CN"/>
        </w:rPr>
        <w:t>标项：</w:t>
      </w:r>
      <w:r>
        <w:rPr>
          <w:rFonts w:hint="eastAsia" w:ascii="仿宋" w:hAnsi="仿宋" w:eastAsia="仿宋" w:cs="仿宋"/>
          <w:b/>
          <w:color w:val="auto"/>
          <w:highlight w:val="none"/>
          <w:u w:val="single"/>
          <w:lang w:val="en-US" w:eastAsia="zh-CN"/>
        </w:rPr>
        <w:t xml:space="preserve">     </w:t>
      </w:r>
    </w:p>
    <w:tbl>
      <w:tblPr>
        <w:tblStyle w:val="2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961"/>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4961" w:type="dxa"/>
            <w:vAlign w:val="center"/>
          </w:tcPr>
          <w:p>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内容描述</w:t>
            </w:r>
          </w:p>
        </w:tc>
        <w:tc>
          <w:tcPr>
            <w:tcW w:w="993" w:type="dxa"/>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pPr>
              <w:jc w:val="center"/>
              <w:rPr>
                <w:rFonts w:hint="eastAsia" w:ascii="仿宋" w:hAnsi="仿宋" w:eastAsia="仿宋" w:cs="仿宋"/>
                <w:color w:val="auto"/>
                <w:highlight w:val="none"/>
              </w:rPr>
            </w:pPr>
          </w:p>
        </w:tc>
        <w:tc>
          <w:tcPr>
            <w:tcW w:w="4961" w:type="dxa"/>
            <w:vAlign w:val="center"/>
          </w:tcPr>
          <w:p>
            <w:pPr>
              <w:jc w:val="center"/>
              <w:rPr>
                <w:rFonts w:hint="eastAsia" w:ascii="仿宋" w:hAnsi="仿宋" w:eastAsia="仿宋" w:cs="仿宋"/>
                <w:color w:val="auto"/>
                <w:highlight w:val="none"/>
              </w:rPr>
            </w:pPr>
          </w:p>
        </w:tc>
        <w:tc>
          <w:tcPr>
            <w:tcW w:w="993" w:type="dxa"/>
            <w:vAlign w:val="center"/>
          </w:tcPr>
          <w:p>
            <w:pPr>
              <w:jc w:val="center"/>
              <w:rPr>
                <w:rFonts w:hint="eastAsia" w:ascii="仿宋" w:hAnsi="仿宋" w:eastAsia="仿宋" w:cs="仿宋"/>
                <w:color w:val="auto"/>
                <w:highlight w:val="none"/>
              </w:rPr>
            </w:pPr>
          </w:p>
        </w:tc>
        <w:tc>
          <w:tcPr>
            <w:tcW w:w="1559" w:type="dxa"/>
            <w:vAlign w:val="center"/>
          </w:tcPr>
          <w:p>
            <w:pPr>
              <w:jc w:val="center"/>
              <w:rPr>
                <w:rFonts w:hint="eastAsia" w:ascii="仿宋" w:hAnsi="仿宋" w:eastAsia="仿宋" w:cs="仿宋"/>
                <w:color w:val="auto"/>
                <w:highlight w:val="none"/>
              </w:rPr>
            </w:pPr>
          </w:p>
        </w:tc>
        <w:tc>
          <w:tcPr>
            <w:tcW w:w="1984" w:type="dxa"/>
            <w:vAlign w:val="center"/>
          </w:tcPr>
          <w:p>
            <w:pPr>
              <w:jc w:val="center"/>
              <w:rPr>
                <w:rFonts w:hint="eastAsia" w:ascii="仿宋" w:hAnsi="仿宋" w:eastAsia="仿宋" w:cs="仿宋"/>
                <w:color w:val="auto"/>
                <w:highlight w:val="none"/>
              </w:rPr>
            </w:pPr>
          </w:p>
        </w:tc>
        <w:tc>
          <w:tcPr>
            <w:tcW w:w="311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pPr>
              <w:jc w:val="center"/>
              <w:rPr>
                <w:rFonts w:hint="eastAsia" w:ascii="仿宋" w:hAnsi="仿宋" w:eastAsia="仿宋" w:cs="仿宋"/>
                <w:color w:val="auto"/>
                <w:highlight w:val="none"/>
              </w:rPr>
            </w:pPr>
          </w:p>
        </w:tc>
        <w:tc>
          <w:tcPr>
            <w:tcW w:w="4961" w:type="dxa"/>
            <w:vAlign w:val="center"/>
          </w:tcPr>
          <w:p>
            <w:pPr>
              <w:jc w:val="center"/>
              <w:rPr>
                <w:rFonts w:hint="eastAsia" w:ascii="仿宋" w:hAnsi="仿宋" w:eastAsia="仿宋" w:cs="仿宋"/>
                <w:color w:val="auto"/>
                <w:highlight w:val="none"/>
              </w:rPr>
            </w:pPr>
          </w:p>
        </w:tc>
        <w:tc>
          <w:tcPr>
            <w:tcW w:w="993" w:type="dxa"/>
            <w:vAlign w:val="center"/>
          </w:tcPr>
          <w:p>
            <w:pPr>
              <w:jc w:val="center"/>
              <w:rPr>
                <w:rFonts w:hint="eastAsia" w:ascii="仿宋" w:hAnsi="仿宋" w:eastAsia="仿宋" w:cs="仿宋"/>
                <w:color w:val="auto"/>
                <w:highlight w:val="none"/>
              </w:rPr>
            </w:pPr>
          </w:p>
        </w:tc>
        <w:tc>
          <w:tcPr>
            <w:tcW w:w="1559" w:type="dxa"/>
            <w:vAlign w:val="center"/>
          </w:tcPr>
          <w:p>
            <w:pPr>
              <w:jc w:val="center"/>
              <w:rPr>
                <w:rFonts w:hint="eastAsia" w:ascii="仿宋" w:hAnsi="仿宋" w:eastAsia="仿宋" w:cs="仿宋"/>
                <w:color w:val="auto"/>
                <w:highlight w:val="none"/>
              </w:rPr>
            </w:pPr>
          </w:p>
        </w:tc>
        <w:tc>
          <w:tcPr>
            <w:tcW w:w="1984" w:type="dxa"/>
            <w:vAlign w:val="center"/>
          </w:tcPr>
          <w:p>
            <w:pPr>
              <w:jc w:val="center"/>
              <w:rPr>
                <w:rFonts w:hint="eastAsia" w:ascii="仿宋" w:hAnsi="仿宋" w:eastAsia="仿宋" w:cs="仿宋"/>
                <w:color w:val="auto"/>
                <w:highlight w:val="none"/>
              </w:rPr>
            </w:pPr>
          </w:p>
        </w:tc>
        <w:tc>
          <w:tcPr>
            <w:tcW w:w="311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34"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pPr>
              <w:jc w:val="center"/>
              <w:rPr>
                <w:rFonts w:hint="eastAsia" w:ascii="仿宋" w:hAnsi="仿宋" w:eastAsia="仿宋" w:cs="仿宋"/>
                <w:color w:val="auto"/>
                <w:highlight w:val="none"/>
              </w:rPr>
            </w:pPr>
          </w:p>
        </w:tc>
        <w:tc>
          <w:tcPr>
            <w:tcW w:w="4961" w:type="dxa"/>
            <w:vAlign w:val="center"/>
          </w:tcPr>
          <w:p>
            <w:pPr>
              <w:jc w:val="center"/>
              <w:rPr>
                <w:rFonts w:hint="eastAsia" w:ascii="仿宋" w:hAnsi="仿宋" w:eastAsia="仿宋" w:cs="仿宋"/>
                <w:color w:val="auto"/>
                <w:highlight w:val="none"/>
              </w:rPr>
            </w:pPr>
          </w:p>
        </w:tc>
        <w:tc>
          <w:tcPr>
            <w:tcW w:w="993" w:type="dxa"/>
            <w:vAlign w:val="center"/>
          </w:tcPr>
          <w:p>
            <w:pPr>
              <w:jc w:val="center"/>
              <w:rPr>
                <w:rFonts w:hint="eastAsia" w:ascii="仿宋" w:hAnsi="仿宋" w:eastAsia="仿宋" w:cs="仿宋"/>
                <w:color w:val="auto"/>
                <w:highlight w:val="none"/>
              </w:rPr>
            </w:pPr>
          </w:p>
        </w:tc>
        <w:tc>
          <w:tcPr>
            <w:tcW w:w="1559" w:type="dxa"/>
            <w:vAlign w:val="center"/>
          </w:tcPr>
          <w:p>
            <w:pPr>
              <w:jc w:val="center"/>
              <w:rPr>
                <w:rFonts w:hint="eastAsia" w:ascii="仿宋" w:hAnsi="仿宋" w:eastAsia="仿宋" w:cs="仿宋"/>
                <w:color w:val="auto"/>
                <w:highlight w:val="none"/>
              </w:rPr>
            </w:pPr>
          </w:p>
        </w:tc>
        <w:tc>
          <w:tcPr>
            <w:tcW w:w="1984" w:type="dxa"/>
            <w:vAlign w:val="center"/>
          </w:tcPr>
          <w:p>
            <w:pPr>
              <w:jc w:val="center"/>
              <w:rPr>
                <w:rFonts w:hint="eastAsia" w:ascii="仿宋" w:hAnsi="仿宋" w:eastAsia="仿宋" w:cs="仿宋"/>
                <w:color w:val="auto"/>
                <w:highlight w:val="none"/>
              </w:rPr>
            </w:pPr>
          </w:p>
        </w:tc>
        <w:tc>
          <w:tcPr>
            <w:tcW w:w="311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34" w:type="dxa"/>
            <w:vAlign w:val="center"/>
          </w:tcPr>
          <w:p>
            <w:pPr>
              <w:jc w:val="center"/>
              <w:rPr>
                <w:rFonts w:hint="eastAsia" w:ascii="仿宋" w:hAnsi="仿宋" w:eastAsia="仿宋" w:cs="仿宋"/>
                <w:color w:val="auto"/>
                <w:highlight w:val="none"/>
              </w:rPr>
            </w:pPr>
          </w:p>
        </w:tc>
        <w:tc>
          <w:tcPr>
            <w:tcW w:w="1417" w:type="dxa"/>
            <w:vAlign w:val="center"/>
          </w:tcPr>
          <w:p>
            <w:pPr>
              <w:jc w:val="center"/>
              <w:rPr>
                <w:rFonts w:hint="eastAsia" w:ascii="仿宋" w:hAnsi="仿宋" w:eastAsia="仿宋" w:cs="仿宋"/>
                <w:color w:val="auto"/>
                <w:highlight w:val="none"/>
              </w:rPr>
            </w:pPr>
          </w:p>
        </w:tc>
        <w:tc>
          <w:tcPr>
            <w:tcW w:w="4961" w:type="dxa"/>
            <w:vAlign w:val="center"/>
          </w:tcPr>
          <w:p>
            <w:pPr>
              <w:jc w:val="center"/>
              <w:rPr>
                <w:rFonts w:hint="eastAsia" w:ascii="仿宋" w:hAnsi="仿宋" w:eastAsia="仿宋" w:cs="仿宋"/>
                <w:color w:val="auto"/>
                <w:highlight w:val="none"/>
              </w:rPr>
            </w:pPr>
          </w:p>
        </w:tc>
        <w:tc>
          <w:tcPr>
            <w:tcW w:w="993" w:type="dxa"/>
            <w:vAlign w:val="center"/>
          </w:tcPr>
          <w:p>
            <w:pPr>
              <w:jc w:val="center"/>
              <w:rPr>
                <w:rFonts w:hint="eastAsia" w:ascii="仿宋" w:hAnsi="仿宋" w:eastAsia="仿宋" w:cs="仿宋"/>
                <w:color w:val="auto"/>
                <w:highlight w:val="none"/>
              </w:rPr>
            </w:pPr>
          </w:p>
        </w:tc>
        <w:tc>
          <w:tcPr>
            <w:tcW w:w="1559" w:type="dxa"/>
            <w:vAlign w:val="center"/>
          </w:tcPr>
          <w:p>
            <w:pPr>
              <w:jc w:val="center"/>
              <w:rPr>
                <w:rFonts w:hint="eastAsia" w:ascii="仿宋" w:hAnsi="仿宋" w:eastAsia="仿宋" w:cs="仿宋"/>
                <w:color w:val="auto"/>
                <w:highlight w:val="none"/>
              </w:rPr>
            </w:pPr>
          </w:p>
        </w:tc>
        <w:tc>
          <w:tcPr>
            <w:tcW w:w="1984" w:type="dxa"/>
            <w:vAlign w:val="center"/>
          </w:tcPr>
          <w:p>
            <w:pPr>
              <w:jc w:val="center"/>
              <w:rPr>
                <w:rFonts w:hint="eastAsia" w:ascii="仿宋" w:hAnsi="仿宋" w:eastAsia="仿宋" w:cs="仿宋"/>
                <w:color w:val="auto"/>
                <w:highlight w:val="none"/>
              </w:rPr>
            </w:pPr>
          </w:p>
        </w:tc>
        <w:tc>
          <w:tcPr>
            <w:tcW w:w="311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jc w:val="center"/>
              <w:rPr>
                <w:rFonts w:hint="eastAsia" w:ascii="仿宋" w:hAnsi="仿宋" w:eastAsia="仿宋" w:cs="仿宋"/>
                <w:color w:val="auto"/>
                <w:highlight w:val="none"/>
              </w:rPr>
            </w:pPr>
          </w:p>
        </w:tc>
        <w:tc>
          <w:tcPr>
            <w:tcW w:w="1417" w:type="dxa"/>
            <w:vAlign w:val="center"/>
          </w:tcPr>
          <w:p>
            <w:pPr>
              <w:jc w:val="center"/>
              <w:rPr>
                <w:rFonts w:hint="eastAsia" w:ascii="仿宋" w:hAnsi="仿宋" w:eastAsia="仿宋" w:cs="仿宋"/>
                <w:color w:val="auto"/>
                <w:highlight w:val="none"/>
              </w:rPr>
            </w:pPr>
          </w:p>
        </w:tc>
        <w:tc>
          <w:tcPr>
            <w:tcW w:w="4961" w:type="dxa"/>
            <w:vAlign w:val="center"/>
          </w:tcPr>
          <w:p>
            <w:pPr>
              <w:jc w:val="center"/>
              <w:rPr>
                <w:rFonts w:hint="eastAsia" w:ascii="仿宋" w:hAnsi="仿宋" w:eastAsia="仿宋" w:cs="仿宋"/>
                <w:color w:val="auto"/>
                <w:highlight w:val="none"/>
              </w:rPr>
            </w:pPr>
          </w:p>
        </w:tc>
        <w:tc>
          <w:tcPr>
            <w:tcW w:w="993" w:type="dxa"/>
            <w:vAlign w:val="center"/>
          </w:tcPr>
          <w:p>
            <w:pPr>
              <w:jc w:val="center"/>
              <w:rPr>
                <w:rFonts w:hint="eastAsia" w:ascii="仿宋" w:hAnsi="仿宋" w:eastAsia="仿宋" w:cs="仿宋"/>
                <w:color w:val="auto"/>
                <w:highlight w:val="none"/>
              </w:rPr>
            </w:pPr>
          </w:p>
        </w:tc>
        <w:tc>
          <w:tcPr>
            <w:tcW w:w="1559" w:type="dxa"/>
            <w:vAlign w:val="center"/>
          </w:tcPr>
          <w:p>
            <w:pPr>
              <w:jc w:val="center"/>
              <w:rPr>
                <w:rFonts w:hint="eastAsia" w:ascii="仿宋" w:hAnsi="仿宋" w:eastAsia="仿宋" w:cs="仿宋"/>
                <w:color w:val="auto"/>
                <w:highlight w:val="none"/>
              </w:rPr>
            </w:pPr>
          </w:p>
        </w:tc>
        <w:tc>
          <w:tcPr>
            <w:tcW w:w="1984" w:type="dxa"/>
            <w:vAlign w:val="center"/>
          </w:tcPr>
          <w:p>
            <w:pPr>
              <w:jc w:val="center"/>
              <w:rPr>
                <w:rFonts w:hint="eastAsia" w:ascii="仿宋" w:hAnsi="仿宋" w:eastAsia="仿宋" w:cs="仿宋"/>
                <w:color w:val="auto"/>
                <w:highlight w:val="none"/>
              </w:rPr>
            </w:pPr>
          </w:p>
        </w:tc>
        <w:tc>
          <w:tcPr>
            <w:tcW w:w="311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6912" w:type="dxa"/>
            <w:gridSpan w:val="3"/>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6912" w:type="dxa"/>
            <w:gridSpan w:val="3"/>
            <w:vAlign w:val="center"/>
          </w:tcPr>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pPr>
              <w:jc w:val="center"/>
              <w:rPr>
                <w:rFonts w:hint="eastAsia" w:ascii="仿宋" w:hAnsi="仿宋" w:eastAsia="仿宋" w:cs="仿宋"/>
                <w:color w:val="auto"/>
                <w:highlight w:val="none"/>
              </w:rPr>
            </w:pPr>
          </w:p>
        </w:tc>
      </w:tr>
    </w:tbl>
    <w:p>
      <w:pPr>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注：</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1、投标人需按本表格式填写。</w:t>
      </w:r>
      <w:r>
        <w:rPr>
          <w:rFonts w:hint="eastAsia" w:ascii="仿宋" w:hAnsi="仿宋" w:eastAsia="仿宋" w:cs="仿宋"/>
          <w:color w:val="auto"/>
          <w:highlight w:val="none"/>
          <w:lang w:val="zh-CN"/>
        </w:rPr>
        <w:tab/>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2、有关本项目实施所涉及的一切费用均计入报价。</w:t>
      </w:r>
      <w:r>
        <w:rPr>
          <w:rFonts w:hint="eastAsia" w:ascii="仿宋" w:hAnsi="仿宋" w:eastAsia="仿宋" w:cs="仿宋"/>
          <w:b/>
          <w:color w:val="auto"/>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highlight w:val="none"/>
          <w:lang w:val="zh-CN"/>
        </w:rPr>
        <w:t>，</w:t>
      </w:r>
      <w:r>
        <w:rPr>
          <w:rFonts w:hint="eastAsia" w:ascii="仿宋" w:hAnsi="仿宋" w:eastAsia="仿宋" w:cs="仿宋"/>
          <w:b/>
          <w:color w:val="auto"/>
          <w:highlight w:val="none"/>
          <w:lang w:val="zh-CN"/>
        </w:rPr>
        <w:t>不得出现“0元”“免费赠送”等形式的无偿报价，</w:t>
      </w:r>
      <w:r>
        <w:rPr>
          <w:rFonts w:hint="eastAsia" w:ascii="仿宋" w:hAnsi="仿宋" w:eastAsia="仿宋" w:cs="仿宋"/>
          <w:b/>
          <w:color w:val="auto"/>
          <w:highlight w:val="none"/>
        </w:rPr>
        <w:t>否则视为投标文件含有采购人不能接受的附加条件的，投标无效</w:t>
      </w:r>
      <w:r>
        <w:rPr>
          <w:rFonts w:hint="eastAsia" w:ascii="仿宋" w:hAnsi="仿宋" w:eastAsia="仿宋" w:cs="仿宋"/>
          <w:b/>
          <w:color w:val="auto"/>
          <w:highlight w:val="none"/>
          <w:lang w:val="zh-CN"/>
        </w:rPr>
        <w:t>；采购内容未包含在《开标一览表（报价表）》名称栏中，投标人不能作出合理解释的，</w:t>
      </w:r>
      <w:r>
        <w:rPr>
          <w:rFonts w:hint="eastAsia" w:ascii="仿宋" w:hAnsi="仿宋" w:eastAsia="仿宋" w:cs="仿宋"/>
          <w:b/>
          <w:color w:val="auto"/>
          <w:highlight w:val="none"/>
        </w:rPr>
        <w:t>视为投标文件含有采购人不能接受的附加条件的，投标无效。</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3、以上表格要求细分项目及报价。</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4、特别提示：采购机构将对项目名称和项目编号，中标供应商名称、地址和中标金额，主要中标标的的名称、</w:t>
      </w:r>
      <w:r>
        <w:rPr>
          <w:rFonts w:hint="eastAsia" w:ascii="仿宋" w:hAnsi="仿宋" w:eastAsia="仿宋" w:cs="仿宋"/>
          <w:color w:val="auto"/>
          <w:highlight w:val="none"/>
          <w:lang w:val="zh-CN" w:eastAsia="zh-CN"/>
        </w:rPr>
        <w:t>内容描述</w:t>
      </w:r>
      <w:r>
        <w:rPr>
          <w:rFonts w:hint="eastAsia" w:ascii="仿宋" w:hAnsi="仿宋" w:eastAsia="仿宋" w:cs="仿宋"/>
          <w:color w:val="auto"/>
          <w:highlight w:val="none"/>
          <w:lang w:val="zh-CN"/>
        </w:rPr>
        <w:t>、数量、单价、</w:t>
      </w:r>
      <w:r>
        <w:rPr>
          <w:rFonts w:hint="eastAsia" w:cs="仿宋"/>
          <w:color w:val="auto"/>
          <w:highlight w:val="none"/>
          <w:lang w:val="en-US" w:eastAsia="zh-CN"/>
        </w:rPr>
        <w:t>总价</w:t>
      </w:r>
      <w:r>
        <w:rPr>
          <w:rFonts w:hint="eastAsia" w:ascii="仿宋" w:hAnsi="仿宋" w:eastAsia="仿宋" w:cs="仿宋"/>
          <w:color w:val="auto"/>
          <w:highlight w:val="none"/>
          <w:lang w:val="zh-CN"/>
        </w:rPr>
        <w:t>等予以公示。</w:t>
      </w:r>
    </w:p>
    <w:p>
      <w:pPr>
        <w:rPr>
          <w:rFonts w:hint="eastAsia" w:ascii="仿宋" w:hAnsi="仿宋" w:eastAsia="仿宋" w:cs="仿宋"/>
          <w:color w:val="auto"/>
          <w:highlight w:val="none"/>
          <w:lang w:val="zh-CN"/>
        </w:rPr>
      </w:pPr>
      <w:r>
        <w:rPr>
          <w:rFonts w:hint="eastAsia" w:ascii="仿宋" w:hAnsi="仿宋" w:eastAsia="仿宋" w:cs="仿宋"/>
          <w:color w:val="auto"/>
          <w:szCs w:val="22"/>
          <w:highlight w:val="none"/>
          <w:lang w:val="zh-CN"/>
        </w:rPr>
        <w:t>5、</w:t>
      </w:r>
      <w:r>
        <w:rPr>
          <w:rFonts w:hint="eastAsia" w:ascii="仿宋" w:hAnsi="仿宋" w:eastAsia="仿宋" w:cs="仿宋"/>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color w:val="auto"/>
          <w:highlight w:val="none"/>
          <w:lang w:val="zh-CN"/>
        </w:rPr>
      </w:pPr>
    </w:p>
    <w:p>
      <w:pPr>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投标人名称（电子签名）：                          </w:t>
      </w:r>
    </w:p>
    <w:p>
      <w:pPr>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  年   月   日</w:t>
      </w:r>
    </w:p>
    <w:p>
      <w:pPr>
        <w:spacing w:line="360" w:lineRule="auto"/>
        <w:rPr>
          <w:rFonts w:hint="eastAsia" w:ascii="仿宋" w:hAnsi="仿宋" w:eastAsia="仿宋" w:cs="仿宋"/>
          <w:b/>
          <w:color w:val="auto"/>
          <w:highlight w:val="none"/>
        </w:rPr>
        <w:sectPr>
          <w:pgSz w:w="16838" w:h="11906" w:orient="landscape"/>
          <w:pgMar w:top="1800" w:right="1440" w:bottom="1700" w:left="1440" w:header="851" w:footer="992" w:gutter="0"/>
          <w:pgNumType w:fmt="decimal"/>
          <w:cols w:space="425" w:num="1"/>
          <w:docGrid w:type="lines" w:linePitch="326" w:charSpace="0"/>
        </w:sectPr>
      </w:pPr>
    </w:p>
    <w:p>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最低实发工资</w:t>
      </w:r>
      <w:r>
        <w:rPr>
          <w:rFonts w:hint="eastAsia" w:ascii="仿宋" w:hAnsi="仿宋" w:eastAsia="仿宋" w:cs="仿宋"/>
          <w:color w:val="auto"/>
          <w:highlight w:val="none"/>
          <w:lang w:val="en-US" w:eastAsia="zh-CN"/>
        </w:rPr>
        <w:t>表</w:t>
      </w:r>
    </w:p>
    <w:p>
      <w:pPr>
        <w:pStyle w:val="2"/>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标项：</w:t>
      </w:r>
      <w:r>
        <w:rPr>
          <w:rFonts w:hint="eastAsia" w:ascii="仿宋" w:hAnsi="仿宋" w:eastAsia="仿宋" w:cs="仿宋"/>
          <w:b/>
          <w:color w:val="auto"/>
          <w:sz w:val="24"/>
          <w:szCs w:val="24"/>
          <w:highlight w:val="none"/>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32"/>
        <w:gridCol w:w="1295"/>
        <w:gridCol w:w="637"/>
        <w:gridCol w:w="825"/>
        <w:gridCol w:w="1376"/>
        <w:gridCol w:w="1334"/>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2"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内容描述</w:t>
            </w: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最低</w:t>
            </w:r>
            <w:r>
              <w:rPr>
                <w:rFonts w:hint="eastAsia" w:ascii="仿宋" w:hAnsi="仿宋" w:eastAsia="仿宋" w:cs="仿宋"/>
                <w:color w:val="auto"/>
                <w:sz w:val="24"/>
                <w:szCs w:val="24"/>
                <w:highlight w:val="none"/>
              </w:rPr>
              <w:t>实发工资（元/人/月）</w:t>
            </w: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合价</w:t>
            </w: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项目经理</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管理员</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工程师</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回收员</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5</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分类员</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6</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巡检员</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7</w:t>
            </w:r>
          </w:p>
        </w:tc>
        <w:tc>
          <w:tcPr>
            <w:tcW w:w="1632" w:type="dxa"/>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集置点管理员</w:t>
            </w:r>
          </w:p>
        </w:tc>
        <w:tc>
          <w:tcPr>
            <w:tcW w:w="129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637"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人</w:t>
            </w:r>
          </w:p>
        </w:tc>
        <w:tc>
          <w:tcPr>
            <w:tcW w:w="825"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76"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tc>
        <w:tc>
          <w:tcPr>
            <w:tcW w:w="5765" w:type="dxa"/>
            <w:gridSpan w:val="5"/>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合计</w:t>
            </w:r>
          </w:p>
        </w:tc>
        <w:tc>
          <w:tcPr>
            <w:tcW w:w="1334"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c>
          <w:tcPr>
            <w:tcW w:w="750" w:type="dxa"/>
            <w:noWrap w:val="0"/>
            <w:vAlign w:val="center"/>
          </w:tcPr>
          <w:p>
            <w:pPr>
              <w:pStyle w:val="82"/>
              <w:widowControl w:val="0"/>
              <w:spacing w:line="240" w:lineRule="auto"/>
              <w:jc w:val="center"/>
              <w:rPr>
                <w:rFonts w:hint="eastAsia" w:ascii="仿宋" w:hAnsi="仿宋" w:eastAsia="仿宋" w:cs="仿宋"/>
                <w:color w:val="auto"/>
                <w:sz w:val="24"/>
                <w:szCs w:val="24"/>
                <w:highlight w:val="none"/>
              </w:rPr>
            </w:pPr>
          </w:p>
        </w:tc>
      </w:tr>
    </w:tbl>
    <w:p>
      <w:pPr>
        <w:jc w:val="right"/>
        <w:rPr>
          <w:rFonts w:hint="eastAsia" w:ascii="仿宋" w:hAnsi="仿宋" w:eastAsia="仿宋" w:cs="仿宋"/>
          <w:color w:val="auto"/>
          <w:highlight w:val="none"/>
          <w:lang w:val="zh-CN"/>
        </w:rPr>
      </w:pPr>
    </w:p>
    <w:p>
      <w:pPr>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投标人名称（电子签名）：</w:t>
      </w:r>
    </w:p>
    <w:p>
      <w:pPr>
        <w:jc w:val="right"/>
        <w:rPr>
          <w:rFonts w:hint="eastAsia" w:ascii="仿宋" w:hAnsi="仿宋" w:eastAsia="仿宋" w:cs="仿宋"/>
          <w:color w:val="auto"/>
          <w:kern w:val="2"/>
          <w:highlight w:val="none"/>
        </w:rPr>
      </w:pPr>
      <w:r>
        <w:rPr>
          <w:rFonts w:hint="eastAsia" w:ascii="仿宋" w:hAnsi="仿宋" w:eastAsia="仿宋" w:cs="仿宋"/>
          <w:color w:val="auto"/>
          <w:highlight w:val="none"/>
          <w:lang w:val="zh-CN"/>
        </w:rPr>
        <w:t>日期：  年   月   日</w:t>
      </w:r>
      <w:r>
        <w:rPr>
          <w:rFonts w:hint="eastAsia" w:ascii="仿宋" w:hAnsi="仿宋" w:eastAsia="仿宋" w:cs="仿宋"/>
          <w:color w:val="auto"/>
          <w:kern w:val="2"/>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kern w:val="2"/>
          <w:highlight w:val="none"/>
          <w:lang w:val="en-US" w:eastAsia="zh-CN"/>
        </w:rPr>
        <w:t>三</w:t>
      </w:r>
      <w:r>
        <w:rPr>
          <w:rFonts w:hint="eastAsia" w:ascii="仿宋" w:hAnsi="仿宋" w:eastAsia="仿宋" w:cs="仿宋"/>
          <w:color w:val="auto"/>
          <w:kern w:val="2"/>
          <w:highlight w:val="none"/>
        </w:rPr>
        <w:t>、</w:t>
      </w:r>
      <w:r>
        <w:rPr>
          <w:rFonts w:hint="eastAsia" w:ascii="仿宋" w:hAnsi="仿宋" w:eastAsia="仿宋" w:cs="仿宋"/>
          <w:color w:val="auto"/>
          <w:highlight w:val="none"/>
        </w:rPr>
        <w:t>中小企业声明函</w:t>
      </w:r>
    </w:p>
    <w:p>
      <w:pPr>
        <w:spacing w:line="360" w:lineRule="auto"/>
        <w:ind w:firstLine="120" w:firstLineChars="50"/>
        <w:rPr>
          <w:rFonts w:hint="eastAsia" w:ascii="仿宋" w:hAnsi="仿宋" w:eastAsia="仿宋" w:cs="仿宋"/>
          <w:b/>
          <w:color w:val="auto"/>
          <w:highlight w:val="none"/>
        </w:rPr>
      </w:pPr>
      <w:r>
        <w:rPr>
          <w:rFonts w:hint="eastAsia" w:ascii="仿宋" w:hAnsi="仿宋" w:eastAsia="仿宋" w:cs="仿宋"/>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政府采购支持中小企业信用融资相关事项通知</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color w:val="auto"/>
          <w:highlight w:val="none"/>
        </w:rPr>
      </w:pPr>
      <w:r>
        <w:rPr>
          <w:rFonts w:hint="eastAsia" w:ascii="仿宋" w:hAnsi="仿宋" w:eastAsia="仿宋" w:cs="仿宋"/>
          <w:b/>
          <w:color w:val="auto"/>
          <w:highlight w:val="none"/>
        </w:rPr>
        <w:t>一、适用对象</w:t>
      </w:r>
    </w:p>
    <w:p>
      <w:pPr>
        <w:rPr>
          <w:rFonts w:hint="eastAsia" w:ascii="仿宋" w:hAnsi="仿宋" w:eastAsia="仿宋" w:cs="仿宋"/>
          <w:color w:val="auto"/>
          <w:highlight w:val="none"/>
        </w:rPr>
      </w:pPr>
      <w:r>
        <w:rPr>
          <w:rFonts w:hint="eastAsia" w:ascii="仿宋" w:hAnsi="仿宋" w:eastAsia="仿宋" w:cs="仿宋"/>
          <w:color w:val="auto"/>
          <w:highlight w:val="none"/>
        </w:rPr>
        <w:t>凡已在浙江政府采购网上注册入库，并取得杭州市政府采购合同的中小企业供应商（以下简称“供应商”），均可申请政府采购信用融资。</w:t>
      </w:r>
    </w:p>
    <w:p>
      <w:pPr>
        <w:rPr>
          <w:rFonts w:hint="eastAsia" w:ascii="仿宋" w:hAnsi="仿宋" w:eastAsia="仿宋" w:cs="仿宋"/>
          <w:b/>
          <w:color w:val="auto"/>
          <w:highlight w:val="none"/>
        </w:rPr>
      </w:pPr>
      <w:r>
        <w:rPr>
          <w:rFonts w:hint="eastAsia" w:ascii="仿宋" w:hAnsi="仿宋" w:eastAsia="仿宋" w:cs="仿宋"/>
          <w:b/>
          <w:color w:val="auto"/>
          <w:highlight w:val="none"/>
        </w:rPr>
        <w:t>二、相关信息获取方式</w:t>
      </w:r>
    </w:p>
    <w:p>
      <w:pPr>
        <w:rPr>
          <w:rFonts w:hint="eastAsia" w:ascii="仿宋" w:hAnsi="仿宋" w:eastAsia="仿宋" w:cs="仿宋"/>
          <w:color w:val="auto"/>
          <w:highlight w:val="none"/>
        </w:rPr>
      </w:pPr>
      <w:r>
        <w:rPr>
          <w:rFonts w:hint="eastAsia" w:ascii="仿宋" w:hAnsi="仿宋" w:eastAsia="仿宋" w:cs="仿宋"/>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color w:val="auto"/>
          <w:highlight w:val="none"/>
        </w:rPr>
      </w:pPr>
      <w:r>
        <w:rPr>
          <w:rFonts w:hint="eastAsia" w:ascii="仿宋" w:hAnsi="仿宋" w:eastAsia="仿宋" w:cs="仿宋"/>
          <w:b/>
          <w:color w:val="auto"/>
          <w:highlight w:val="none"/>
        </w:rPr>
        <w:t>三、　政府采购信用融资操作流程：</w:t>
      </w:r>
    </w:p>
    <w:p>
      <w:pPr>
        <w:rPr>
          <w:rFonts w:hint="eastAsia" w:ascii="仿宋" w:hAnsi="仿宋" w:eastAsia="仿宋" w:cs="仿宋"/>
          <w:color w:val="auto"/>
          <w:highlight w:val="none"/>
        </w:rPr>
      </w:pPr>
      <w:r>
        <w:rPr>
          <w:rFonts w:hint="eastAsia" w:ascii="仿宋" w:hAnsi="仿宋" w:eastAsia="仿宋" w:cs="仿宋"/>
          <w:color w:val="auto"/>
          <w:highlight w:val="none"/>
        </w:rPr>
        <w:t>（一）线上融资模式：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2.供应商中标后，可通过杭州市政府采购网或“浙里办”测算授信额度；</w:t>
      </w:r>
    </w:p>
    <w:p>
      <w:pPr>
        <w:rPr>
          <w:rFonts w:hint="eastAsia" w:ascii="仿宋" w:hAnsi="仿宋" w:eastAsia="仿宋" w:cs="仿宋"/>
          <w:color w:val="auto"/>
          <w:highlight w:val="none"/>
        </w:rPr>
      </w:pPr>
      <w:r>
        <w:rPr>
          <w:rFonts w:hint="eastAsia" w:ascii="仿宋" w:hAnsi="仿宋" w:eastAsia="仿宋" w:cs="仿宋"/>
          <w:color w:val="auto"/>
          <w:highlight w:val="none"/>
        </w:rPr>
        <w:t>　　3.采购合同签订后，供应商在杭州市政府采购网或“浙里办”向合作银行发出融资申请；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4.审批通过后，在线办理放贷手续。</w:t>
      </w:r>
    </w:p>
    <w:p>
      <w:pPr>
        <w:rPr>
          <w:rFonts w:hint="eastAsia" w:ascii="仿宋" w:hAnsi="仿宋" w:eastAsia="仿宋" w:cs="仿宋"/>
          <w:color w:val="auto"/>
          <w:highlight w:val="none"/>
        </w:rPr>
      </w:pPr>
      <w:r>
        <w:rPr>
          <w:rFonts w:hint="eastAsia" w:ascii="仿宋" w:hAnsi="仿宋" w:eastAsia="仿宋" w:cs="仿宋"/>
          <w:color w:val="auto"/>
          <w:highlight w:val="none"/>
        </w:rPr>
        <w:t>　　（二）线下融资模式：</w:t>
      </w:r>
    </w:p>
    <w:p>
      <w:pPr>
        <w:rPr>
          <w:rFonts w:hint="eastAsia" w:ascii="仿宋" w:hAnsi="仿宋" w:eastAsia="仿宋" w:cs="仿宋"/>
          <w:color w:val="auto"/>
          <w:highlight w:val="none"/>
        </w:rPr>
      </w:pPr>
      <w:r>
        <w:rPr>
          <w:rFonts w:hint="eastAsia" w:ascii="仿宋" w:hAnsi="仿宋" w:eastAsia="仿宋" w:cs="仿宋"/>
          <w:color w:val="auto"/>
          <w:highlight w:val="none"/>
        </w:rPr>
        <w:t>　　1.供应商根据合作银行提供的方案，自行选择金融产品，向合作银行提出信用资格预审，并办理开户等手续；</w:t>
      </w:r>
    </w:p>
    <w:p>
      <w:pPr>
        <w:rPr>
          <w:rFonts w:hint="eastAsia" w:ascii="仿宋" w:hAnsi="仿宋" w:eastAsia="仿宋" w:cs="仿宋"/>
          <w:color w:val="auto"/>
          <w:highlight w:val="none"/>
        </w:rPr>
      </w:pPr>
      <w:r>
        <w:rPr>
          <w:rFonts w:hint="eastAsia" w:ascii="仿宋" w:hAnsi="仿宋" w:eastAsia="仿宋" w:cs="仿宋"/>
          <w:color w:val="auto"/>
          <w:highlight w:val="none"/>
        </w:rPr>
        <w:t>　　2.采购合同签订后，供应商在杭州市政府采购网或“浙里办”向合作银行发出融资申请；</w:t>
      </w:r>
    </w:p>
    <w:p>
      <w:pPr>
        <w:rPr>
          <w:rFonts w:hint="eastAsia" w:ascii="仿宋" w:hAnsi="仿宋" w:eastAsia="仿宋" w:cs="仿宋"/>
          <w:color w:val="auto"/>
          <w:highlight w:val="none"/>
        </w:rPr>
      </w:pPr>
      <w:r>
        <w:rPr>
          <w:rFonts w:hint="eastAsia" w:ascii="仿宋" w:hAnsi="仿宋" w:eastAsia="仿宋" w:cs="仿宋"/>
          <w:color w:val="auto"/>
          <w:highlight w:val="none"/>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color w:val="auto"/>
          <w:highlight w:val="none"/>
        </w:rPr>
      </w:pPr>
      <w:r>
        <w:rPr>
          <w:rFonts w:hint="eastAsia" w:ascii="仿宋" w:hAnsi="仿宋" w:eastAsia="仿宋" w:cs="仿宋"/>
          <w:color w:val="auto"/>
          <w:highlight w:val="none"/>
        </w:rPr>
        <w:t>　　4.审批通过后，合作银行应按照合作备忘录中约定的审批放款期限和优惠利率及时予以放款。</w:t>
      </w:r>
    </w:p>
    <w:p>
      <w:pPr>
        <w:rPr>
          <w:rFonts w:hint="eastAsia" w:ascii="仿宋" w:hAnsi="仿宋" w:eastAsia="仿宋" w:cs="仿宋"/>
          <w:b/>
          <w:bCs/>
          <w:color w:val="auto"/>
          <w:highlight w:val="none"/>
        </w:rPr>
      </w:pPr>
      <w:r>
        <w:rPr>
          <w:rFonts w:hint="eastAsia" w:ascii="仿宋" w:hAnsi="仿宋" w:eastAsia="仿宋" w:cs="仿宋"/>
          <w:color w:val="auto"/>
          <w:highlight w:val="none"/>
        </w:rPr>
        <w:t>（三）杭州e融平台申请融资</w:t>
      </w:r>
    </w:p>
    <w:p>
      <w:pPr>
        <w:rPr>
          <w:rFonts w:hint="eastAsia" w:ascii="仿宋" w:hAnsi="仿宋" w:eastAsia="仿宋" w:cs="仿宋"/>
          <w:b/>
          <w:bCs/>
          <w:color w:val="auto"/>
          <w:highlight w:val="none"/>
        </w:rPr>
      </w:pPr>
      <w:r>
        <w:rPr>
          <w:rFonts w:hint="eastAsia" w:ascii="仿宋" w:hAnsi="仿宋" w:eastAsia="仿宋" w:cs="仿宋"/>
          <w:color w:val="auto"/>
          <w:highlight w:val="none"/>
        </w:rPr>
        <w:t>供应商通过杭州e融平台政采贷专区，自行选择金融产品，按规定手续办理贷款流程。</w:t>
      </w:r>
    </w:p>
    <w:p>
      <w:pPr>
        <w:rPr>
          <w:rFonts w:hint="eastAsia" w:ascii="仿宋" w:hAnsi="仿宋" w:eastAsia="仿宋" w:cs="仿宋"/>
          <w:b/>
          <w:color w:val="auto"/>
          <w:highlight w:val="none"/>
        </w:rPr>
      </w:pPr>
      <w:r>
        <w:rPr>
          <w:rFonts w:hint="eastAsia" w:ascii="仿宋" w:hAnsi="仿宋" w:eastAsia="仿宋" w:cs="仿宋"/>
          <w:b/>
          <w:color w:val="auto"/>
          <w:highlight w:val="none"/>
        </w:rPr>
        <w:t>四、注意事项</w:t>
      </w:r>
    </w:p>
    <w:p>
      <w:pPr>
        <w:rPr>
          <w:rFonts w:hint="eastAsia" w:ascii="仿宋" w:hAnsi="仿宋" w:eastAsia="仿宋" w:cs="仿宋"/>
          <w:color w:val="auto"/>
          <w:highlight w:val="none"/>
        </w:rPr>
      </w:pPr>
      <w:r>
        <w:rPr>
          <w:rFonts w:hint="eastAsia" w:ascii="仿宋" w:hAnsi="仿宋" w:eastAsia="仿宋" w:cs="仿宋"/>
          <w:color w:val="auto"/>
          <w:highlight w:val="none"/>
        </w:rPr>
        <w:t>1、对拟用于信用融资的政府采购合同，供应商在签订合同时应当在合同中注明融资银行名称及账号，作为在该银行的唯一收款账号。</w:t>
      </w:r>
    </w:p>
    <w:p>
      <w:pPr>
        <w:rPr>
          <w:rFonts w:hint="eastAsia" w:ascii="仿宋" w:hAnsi="仿宋" w:eastAsia="仿宋" w:cs="仿宋"/>
          <w:color w:val="auto"/>
          <w:highlight w:val="none"/>
        </w:rPr>
      </w:pPr>
      <w:r>
        <w:rPr>
          <w:rFonts w:hint="eastAsia" w:ascii="仿宋" w:hAnsi="仿宋" w:eastAsia="仿宋" w:cs="仿宋"/>
          <w:color w:val="auto"/>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highlight w:val="none"/>
        </w:rPr>
      </w:pPr>
    </w:p>
    <w:p>
      <w:pPr>
        <w:spacing w:line="360" w:lineRule="auto"/>
        <w:ind w:firstLine="120" w:firstLineChars="50"/>
        <w:rPr>
          <w:rFonts w:hint="eastAsia" w:ascii="仿宋" w:hAnsi="仿宋" w:eastAsia="仿宋" w:cs="仿宋"/>
          <w:b/>
          <w:color w:val="auto"/>
          <w:highlight w:val="none"/>
        </w:rPr>
      </w:pPr>
    </w:p>
    <w:p>
      <w:pPr>
        <w:spacing w:line="360" w:lineRule="auto"/>
        <w:ind w:firstLine="482" w:firstLineChars="200"/>
        <w:rPr>
          <w:rFonts w:hint="eastAsia" w:ascii="仿宋" w:hAnsi="仿宋" w:eastAsia="仿宋" w:cs="仿宋"/>
          <w:b/>
          <w:color w:val="auto"/>
          <w:highlight w:val="none"/>
        </w:rPr>
      </w:pPr>
    </w:p>
    <w:p>
      <w:pPr>
        <w:pStyle w:val="7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rPr>
          <w:rFonts w:hint="eastAsia" w:ascii="仿宋" w:hAnsi="仿宋" w:eastAsia="仿宋" w:cs="仿宋"/>
          <w:color w:val="auto"/>
          <w:highlight w:val="none"/>
        </w:rPr>
      </w:pPr>
      <w:bookmarkStart w:id="48" w:name="_Toc465665161"/>
      <w:r>
        <w:rPr>
          <w:rFonts w:hint="eastAsia" w:ascii="仿宋" w:hAnsi="仿宋" w:eastAsia="仿宋" w:cs="仿宋"/>
          <w:color w:val="auto"/>
          <w:highlight w:val="none"/>
        </w:rPr>
        <w:t>附件</w:t>
      </w:r>
      <w:bookmarkEnd w:id="48"/>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pPr>
        <w:spacing w:line="360" w:lineRule="auto"/>
        <w:jc w:val="center"/>
        <w:rPr>
          <w:rFonts w:hint="eastAsia" w:ascii="仿宋" w:hAnsi="仿宋" w:eastAsia="仿宋" w:cs="仿宋"/>
          <w:b/>
          <w:color w:val="auto"/>
          <w:spacing w:val="6"/>
          <w:sz w:val="32"/>
          <w:szCs w:val="32"/>
          <w:highlight w:val="none"/>
        </w:rPr>
      </w:pPr>
      <w:bookmarkStart w:id="49" w:name="OLE_LINK13"/>
      <w:bookmarkStart w:id="50" w:name="OLE_LINK14"/>
      <w:r>
        <w:rPr>
          <w:rFonts w:hint="eastAsia" w:ascii="仿宋" w:hAnsi="仿宋" w:eastAsia="仿宋" w:cs="仿宋"/>
          <w:b/>
          <w:color w:val="auto"/>
          <w:spacing w:val="6"/>
          <w:sz w:val="32"/>
          <w:szCs w:val="32"/>
          <w:highlight w:val="none"/>
        </w:rPr>
        <w:t>残疾人福利性单位声明函</w:t>
      </w:r>
    </w:p>
    <w:bookmarkEnd w:id="49"/>
    <w:bookmarkEnd w:id="50"/>
    <w:p>
      <w:pPr>
        <w:spacing w:line="360" w:lineRule="auto"/>
        <w:rPr>
          <w:rFonts w:hint="eastAsia" w:ascii="仿宋" w:hAnsi="仿宋" w:eastAsia="仿宋" w:cs="仿宋"/>
          <w:b/>
          <w:color w:val="auto"/>
          <w:spacing w:val="6"/>
          <w:sz w:val="30"/>
          <w:szCs w:val="30"/>
          <w:highlight w:val="none"/>
        </w:rPr>
      </w:pPr>
    </w:p>
    <w:p>
      <w:pPr>
        <w:pStyle w:val="61"/>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pStyle w:val="61"/>
        <w:rPr>
          <w:rFonts w:hint="eastAsia" w:ascii="仿宋" w:hAnsi="仿宋" w:eastAsia="仿宋" w:cs="仿宋"/>
          <w:color w:val="auto"/>
          <w:highlight w:val="none"/>
        </w:rPr>
      </w:pPr>
    </w:p>
    <w:p>
      <w:pPr>
        <w:pStyle w:val="61"/>
        <w:rPr>
          <w:rFonts w:hint="eastAsia" w:ascii="仿宋" w:hAnsi="仿宋" w:eastAsia="仿宋" w:cs="仿宋"/>
          <w:color w:val="auto"/>
          <w:highlight w:val="none"/>
        </w:rPr>
      </w:pPr>
    </w:p>
    <w:p>
      <w:pPr>
        <w:pStyle w:val="61"/>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pStyle w:val="61"/>
        <w:jc w:val="right"/>
        <w:rPr>
          <w:rFonts w:hint="eastAsia" w:ascii="仿宋" w:hAnsi="仿宋" w:eastAsia="仿宋" w:cs="仿宋"/>
          <w:color w:val="auto"/>
          <w:highlight w:val="none"/>
        </w:rPr>
      </w:pPr>
      <w:r>
        <w:rPr>
          <w:rFonts w:hint="eastAsia" w:ascii="仿宋" w:hAnsi="仿宋" w:eastAsia="仿宋" w:cs="仿宋"/>
          <w:color w:val="auto"/>
          <w:highlight w:val="none"/>
        </w:rPr>
        <w:t>日  期：</w:t>
      </w:r>
    </w:p>
    <w:p>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一、质疑供应商基本信息</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质疑供应商：</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地址： </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质疑项目的编号：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采购文件获取日期：</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pPr>
        <w:pStyle w:val="61"/>
        <w:rPr>
          <w:rFonts w:hint="eastAsia" w:ascii="仿宋" w:hAnsi="仿宋" w:eastAsia="仿宋" w:cs="仿宋"/>
          <w:color w:val="auto"/>
          <w:highlight w:val="none"/>
          <w:u w:val="dotted"/>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pPr>
        <w:pStyle w:val="61"/>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pPr>
        <w:spacing w:line="360" w:lineRule="auto"/>
        <w:jc w:val="center"/>
        <w:rPr>
          <w:rFonts w:hint="eastAsia" w:ascii="仿宋" w:hAnsi="仿宋" w:eastAsia="仿宋" w:cs="仿宋"/>
          <w:b/>
          <w:color w:val="auto"/>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tabs>
          <w:tab w:val="left" w:pos="6510"/>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tabs>
          <w:tab w:val="left" w:pos="6510"/>
        </w:tabs>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相关供应商：</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邮编：</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联系人：</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采购项目编号：</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包号：</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采购文件公告: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采购结果公告: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pPr>
        <w:spacing w:line="360" w:lineRule="auto"/>
        <w:ind w:firstLine="480" w:firstLineChars="200"/>
        <w:rPr>
          <w:rFonts w:hint="eastAsia" w:ascii="仿宋" w:hAnsi="仿宋" w:eastAsia="仿宋" w:cs="仿宋"/>
          <w:color w:val="auto"/>
          <w:highlight w:val="none"/>
          <w:u w:val="dotted"/>
        </w:rPr>
      </w:pPr>
      <w:r>
        <w:rPr>
          <w:rFonts w:hint="eastAsia" w:ascii="仿宋" w:hAnsi="仿宋" w:eastAsia="仿宋" w:cs="仿宋"/>
          <w:color w:val="auto"/>
          <w:highlight w:val="none"/>
        </w:rPr>
        <w:t>投诉人于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日,向</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提出质疑，质疑事项为：</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u w:val="dotted"/>
        </w:rPr>
        <w:t>采购人/代理机构</w:t>
      </w:r>
      <w:r>
        <w:rPr>
          <w:rFonts w:hint="eastAsia" w:ascii="仿宋" w:hAnsi="仿宋" w:eastAsia="仿宋" w:cs="仿宋"/>
          <w:color w:val="auto"/>
          <w:highlight w:val="none"/>
        </w:rPr>
        <w:t>于</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日,就质疑事项作出了答复/没有在法定期限内作出答复。</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事实依据：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u w:val="dotted"/>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pPr>
        <w:spacing w:line="360" w:lineRule="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请求：</w:t>
      </w:r>
      <w:r>
        <w:rPr>
          <w:rFonts w:hint="eastAsia" w:ascii="仿宋" w:hAnsi="仿宋" w:eastAsia="仿宋" w:cs="仿宋"/>
          <w:color w:val="auto"/>
          <w:highlight w:val="none"/>
          <w:u w:val="dotted"/>
        </w:rPr>
        <w:t xml:space="preserve">                                              </w:t>
      </w: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2"/>
        <w:jc w:val="left"/>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pPr>
        <w:spacing w:line="276"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（采购人）、（采购代理机构）</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rPr>
        <w:t>(投标人全称)是中华人民共和国依法登记注册的合法企业，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你方组织的（项目名称）项目【招标编号：（采购编号）】</w:t>
      </w:r>
      <w:r>
        <w:rPr>
          <w:rFonts w:hint="eastAsia" w:ascii="仿宋" w:hAnsi="仿宋" w:eastAsia="仿宋" w:cs="仿宋"/>
          <w:bCs/>
          <w:color w:val="auto"/>
          <w:highlight w:val="none"/>
        </w:rPr>
        <w:t>投标活动中作如下说明：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firstLine="494"/>
        <w:rPr>
          <w:rFonts w:hint="eastAsia" w:ascii="仿宋" w:hAnsi="仿宋" w:eastAsia="仿宋" w:cs="仿宋"/>
          <w:color w:val="auto"/>
          <w:highlight w:val="none"/>
        </w:rPr>
      </w:pPr>
    </w:p>
    <w:p>
      <w:pPr>
        <w:spacing w:line="360"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投标单位（法定名称章）：</w:t>
      </w:r>
    </w:p>
    <w:p>
      <w:pPr>
        <w:ind w:right="1440" w:firstLine="494"/>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日期：       年     月     日</w:t>
      </w:r>
    </w:p>
    <w:p>
      <w:pPr>
        <w:rPr>
          <w:rFonts w:hint="eastAsia" w:ascii="仿宋" w:hAnsi="仿宋" w:eastAsia="仿宋" w:cs="仿宋"/>
          <w:color w:val="auto"/>
          <w:highlight w:val="none"/>
        </w:rPr>
      </w:pPr>
      <w:r>
        <w:rPr>
          <w:rFonts w:hint="eastAsia" w:ascii="仿宋" w:hAnsi="仿宋" w:eastAsia="仿宋" w:cs="仿宋"/>
          <w:b/>
          <w:bCs/>
          <w:color w:val="auto"/>
          <w:highlight w:val="none"/>
        </w:rPr>
        <w:t>附：</w:t>
      </w:r>
    </w:p>
    <w:p>
      <w:pPr>
        <w:spacing w:line="360" w:lineRule="auto"/>
        <w:rPr>
          <w:rFonts w:hint="eastAsia" w:ascii="仿宋" w:hAnsi="仿宋" w:eastAsia="仿宋" w:cs="仿宋"/>
          <w:bCs/>
          <w:color w:val="auto"/>
          <w:highlight w:val="none"/>
        </w:rPr>
      </w:pPr>
      <w:r>
        <w:rPr>
          <w:rFonts w:hint="eastAsia" w:ascii="仿宋" w:hAnsi="仿宋" w:eastAsia="仿宋" w:cs="仿宋"/>
          <w:b/>
          <w:bCs/>
          <w:color w:val="auto"/>
          <w:highlight w:val="none"/>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eastAsia="仿宋" w:cs="仿宋"/>
          <w:b/>
          <w:bCs/>
          <w:color w:val="auto"/>
          <w:highlight w:val="none"/>
        </w:rPr>
        <w:pict>
          <v:rect id="Rectangle 16" o:spid="_x0000_s1027"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eastAsia="仿宋" w:cs="仿宋"/>
          <w:color w:val="auto"/>
          <w:highlight w:val="none"/>
        </w:rPr>
        <w:t>投标单位法定名称章（印模）                投标单位“XX专用章”（印模）</w:t>
      </w:r>
    </w:p>
    <w:p>
      <w:pPr>
        <w:spacing w:line="276" w:lineRule="auto"/>
        <w:rPr>
          <w:rFonts w:hint="eastAsia" w:ascii="仿宋" w:hAnsi="仿宋" w:eastAsia="仿宋" w:cs="仿宋"/>
          <w:b/>
          <w:color w:val="auto"/>
          <w:spacing w:val="6"/>
          <w:sz w:val="32"/>
          <w:szCs w:val="32"/>
          <w:highlight w:val="none"/>
        </w:rPr>
      </w:pPr>
    </w:p>
    <w:p>
      <w:pPr>
        <w:spacing w:line="276" w:lineRule="auto"/>
        <w:rPr>
          <w:rFonts w:hint="eastAsia" w:ascii="仿宋" w:hAnsi="仿宋" w:eastAsia="仿宋" w:cs="仿宋"/>
          <w:b/>
          <w:smallCaps/>
          <w:color w:val="auto"/>
          <w:spacing w:val="6"/>
          <w:sz w:val="28"/>
          <w:szCs w:val="28"/>
          <w:highlight w:val="none"/>
        </w:rPr>
      </w:pPr>
    </w:p>
    <w:p>
      <w:pPr>
        <w:spacing w:line="276" w:lineRule="auto"/>
        <w:rPr>
          <w:rFonts w:hint="eastAsia" w:ascii="仿宋" w:hAnsi="仿宋" w:eastAsia="仿宋" w:cs="仿宋"/>
          <w:b/>
          <w:smallCaps/>
          <w:color w:val="auto"/>
          <w:spacing w:val="6"/>
          <w:sz w:val="28"/>
          <w:szCs w:val="28"/>
          <w:highlight w:val="none"/>
        </w:rPr>
      </w:pPr>
      <w:r>
        <w:rPr>
          <w:rFonts w:hint="eastAsia" w:ascii="仿宋" w:hAnsi="仿宋" w:eastAsia="仿宋" w:cs="仿宋"/>
          <w:color w:val="auto"/>
          <w:spacing w:val="6"/>
          <w:highlight w:val="none"/>
        </w:rPr>
        <w:br w:type="page"/>
      </w:r>
    </w:p>
    <w:p>
      <w:pPr>
        <w:pStyle w:val="2"/>
        <w:rPr>
          <w:rFonts w:hint="eastAsia" w:ascii="仿宋" w:hAnsi="仿宋" w:eastAsia="仿宋" w:cs="仿宋"/>
          <w:bCs/>
          <w:color w:val="auto"/>
          <w:highlight w:val="none"/>
        </w:rPr>
      </w:pPr>
      <w:r>
        <w:rPr>
          <w:rFonts w:hint="eastAsia" w:ascii="仿宋" w:hAnsi="仿宋" w:eastAsia="仿宋" w:cs="仿宋"/>
          <w:color w:val="auto"/>
          <w:spacing w:val="6"/>
          <w:highlight w:val="none"/>
        </w:rPr>
        <w:t>附件5：</w:t>
      </w:r>
      <w:r>
        <w:rPr>
          <w:rFonts w:hint="eastAsia" w:ascii="仿宋" w:hAnsi="仿宋" w:eastAsia="仿宋" w:cs="仿宋"/>
          <w:color w:val="auto"/>
          <w:highlight w:val="none"/>
        </w:rPr>
        <w:t>中小企业声明函</w:t>
      </w:r>
    </w:p>
    <w:p>
      <w:pPr>
        <w:spacing w:line="360" w:lineRule="auto"/>
        <w:jc w:val="center"/>
        <w:rPr>
          <w:rFonts w:hint="eastAsia" w:ascii="仿宋" w:hAnsi="仿宋" w:eastAsia="仿宋" w:cs="仿宋"/>
          <w:color w:val="auto"/>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（单位名称）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 ，属于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行业 ；制造商为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w:t>
      </w:r>
      <w:r>
        <w:rPr>
          <w:rFonts w:hint="eastAsia" w:ascii="仿宋" w:hAnsi="仿宋" w:eastAsia="仿宋" w:cs="仿宋"/>
          <w:color w:val="auto"/>
          <w:highlight w:val="none"/>
        </w:rPr>
        <w:t xml:space="preserve"> ；</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highlight w:val="none"/>
        </w:rPr>
      </w:pPr>
      <w:r>
        <w:rPr>
          <w:rFonts w:hint="eastAsia" w:ascii="仿宋" w:hAnsi="仿宋" w:eastAsia="仿宋" w:cs="仿宋"/>
          <w:color w:val="auto"/>
          <w:highlight w:val="none"/>
          <w:lang w:val="zh-CN"/>
        </w:rPr>
        <w:t>投标人名称(电子签名)：</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highlight w:val="none"/>
        </w:rPr>
      </w:pPr>
      <w:r>
        <w:rPr>
          <w:rFonts w:hint="eastAsia" w:ascii="仿宋" w:hAnsi="仿宋" w:eastAsia="仿宋" w:cs="仿宋"/>
          <w:color w:val="auto"/>
          <w:highlight w:val="none"/>
        </w:rPr>
        <w:t>投标人名称（电子签名）：</w:t>
      </w:r>
    </w:p>
    <w:p>
      <w:pPr>
        <w:spacing w:line="360" w:lineRule="auto"/>
        <w:ind w:right="1120" w:firstLine="3840" w:firstLineChars="1600"/>
        <w:rPr>
          <w:rFonts w:hint="eastAsia" w:ascii="仿宋" w:hAnsi="仿宋" w:eastAsia="仿宋" w:cs="仿宋"/>
          <w:color w:val="auto"/>
          <w:highlight w:val="none"/>
        </w:rPr>
      </w:pPr>
      <w:r>
        <w:rPr>
          <w:rFonts w:hint="eastAsia" w:ascii="仿宋" w:hAnsi="仿宋" w:eastAsia="仿宋" w:cs="仿宋"/>
          <w:color w:val="auto"/>
          <w:highlight w:val="none"/>
        </w:rPr>
        <w:t xml:space="preserve">日 期：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spacing w:line="360" w:lineRule="auto"/>
        <w:ind w:firstLine="354"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 xml:space="preserve">   注：</w:t>
      </w:r>
    </w:p>
    <w:p>
      <w:pPr>
        <w:spacing w:line="360" w:lineRule="auto"/>
        <w:ind w:right="42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附件6</w:t>
      </w:r>
    </w:p>
    <w:p>
      <w:pPr>
        <w:jc w:val="center"/>
        <w:rPr>
          <w:rFonts w:hint="eastAsia" w:ascii="仿宋" w:hAnsi="仿宋" w:eastAsia="仿宋" w:cs="仿宋"/>
          <w:color w:val="auto"/>
          <w:sz w:val="40"/>
          <w:highlight w:val="none"/>
        </w:rPr>
      </w:pPr>
      <w:r>
        <w:rPr>
          <w:rFonts w:hint="eastAsia" w:cs="仿宋"/>
          <w:color w:val="auto"/>
          <w:sz w:val="40"/>
          <w:highlight w:val="none"/>
          <w:lang w:val="en-US" w:eastAsia="zh-CN"/>
        </w:rPr>
        <w:t>软件演示</w:t>
      </w:r>
      <w:r>
        <w:rPr>
          <w:rFonts w:hint="eastAsia" w:ascii="仿宋" w:hAnsi="仿宋" w:eastAsia="仿宋" w:cs="仿宋"/>
          <w:color w:val="auto"/>
          <w:sz w:val="40"/>
          <w:highlight w:val="none"/>
        </w:rPr>
        <w:t>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r>
        <w:rPr>
          <w:rFonts w:hint="eastAsia" w:cs="仿宋"/>
          <w:color w:val="auto"/>
          <w:highlight w:val="none"/>
          <w:u w:val="none"/>
          <w:lang w:val="zh-CN"/>
        </w:rPr>
        <w:t>，</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w:t>
      </w:r>
      <w:r>
        <w:rPr>
          <w:rFonts w:hint="eastAsia" w:cs="仿宋"/>
          <w:color w:val="auto"/>
          <w:highlight w:val="none"/>
          <w:lang w:val="en-US" w:eastAsia="zh-CN"/>
        </w:rPr>
        <w:t>参加</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【招标编号：</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标项</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w:t>
      </w:r>
      <w:r>
        <w:rPr>
          <w:rFonts w:hint="eastAsia" w:cs="仿宋"/>
          <w:color w:val="auto"/>
          <w:highlight w:val="none"/>
          <w:u w:val="none"/>
          <w:lang w:val="en-US" w:eastAsia="zh-CN"/>
        </w:rPr>
        <w:t>软件演示</w:t>
      </w:r>
      <w:r>
        <w:rPr>
          <w:rFonts w:hint="eastAsia" w:ascii="仿宋" w:hAnsi="仿宋" w:eastAsia="仿宋" w:cs="仿宋"/>
          <w:color w:val="auto"/>
          <w:highlight w:val="none"/>
          <w:lang w:val="zh-CN"/>
        </w:rPr>
        <w:t>，并全权负责处理其他事宜。</w:t>
      </w:r>
    </w:p>
    <w:p>
      <w:pPr>
        <w:snapToGrid w:val="0"/>
        <w:spacing w:line="360" w:lineRule="auto"/>
        <w:rPr>
          <w:rFonts w:hint="eastAsia" w:ascii="仿宋" w:hAnsi="仿宋" w:eastAsia="仿宋" w:cs="仿宋"/>
          <w:color w:val="auto"/>
          <w:highlight w:val="none"/>
          <w:lang w:val="zh-CN"/>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jc w:val="center"/>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投标人（</w:t>
      </w:r>
      <w:r>
        <w:rPr>
          <w:rFonts w:hint="eastAsia" w:cs="仿宋"/>
          <w:color w:val="auto"/>
          <w:highlight w:val="none"/>
          <w:lang w:val="en-US" w:eastAsia="zh-CN"/>
        </w:rPr>
        <w:t>盖章</w:t>
      </w: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cs="仿宋"/>
          <w:color w:val="auto"/>
          <w:highlight w:val="none"/>
          <w:lang w:val="en-US" w:eastAsia="zh-CN"/>
        </w:rPr>
        <w:t>授权代表</w:t>
      </w:r>
      <w:r>
        <w:rPr>
          <w:rFonts w:hint="eastAsia" w:ascii="仿宋" w:hAnsi="仿宋" w:eastAsia="仿宋" w:cs="仿宋"/>
          <w:color w:val="auto"/>
          <w:highlight w:val="none"/>
          <w:lang w:val="zh-CN"/>
        </w:rPr>
        <w:t>身份证复印件：</w:t>
      </w:r>
    </w:p>
    <w:p>
      <w:pPr>
        <w:rPr>
          <w:rFonts w:hint="eastAsia"/>
          <w:color w:val="auto"/>
          <w:highlight w:val="none"/>
        </w:rPr>
      </w:pPr>
      <w:r>
        <w:rPr>
          <w:rFonts w:hint="eastAsia"/>
          <w:color w:val="auto"/>
          <w:highlight w:val="none"/>
        </w:rPr>
        <w:br w:type="page"/>
      </w:r>
    </w:p>
    <w:p>
      <w:pPr>
        <w:pStyle w:val="2"/>
        <w:jc w:val="left"/>
        <w:rPr>
          <w:rFonts w:hint="eastAsia" w:ascii="仿宋" w:hAnsi="仿宋" w:eastAsia="仿宋" w:cs="仿宋"/>
          <w:color w:val="auto"/>
          <w:sz w:val="24"/>
          <w:highlight w:val="none"/>
          <w:lang w:eastAsia="zh-CN"/>
        </w:rPr>
      </w:pPr>
      <w:r>
        <w:rPr>
          <w:rFonts w:hint="eastAsia" w:ascii="仿宋" w:hAnsi="仿宋" w:eastAsia="仿宋" w:cs="仿宋"/>
          <w:color w:val="auto"/>
          <w:highlight w:val="none"/>
        </w:rPr>
        <w:t>附件</w:t>
      </w:r>
      <w:r>
        <w:rPr>
          <w:rFonts w:hint="eastAsia" w:cs="仿宋"/>
          <w:color w:val="auto"/>
          <w:highlight w:val="none"/>
          <w:lang w:val="en-US" w:eastAsia="zh-CN"/>
        </w:rPr>
        <w:t>7</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lang w:val="en-US" w:eastAsia="zh-CN"/>
        </w:rPr>
        <w:t>样品提供、演示</w:t>
      </w:r>
      <w:r>
        <w:rPr>
          <w:rFonts w:hint="eastAsia" w:ascii="仿宋" w:hAnsi="仿宋" w:eastAsia="仿宋" w:cs="仿宋"/>
          <w:color w:val="auto"/>
          <w:sz w:val="40"/>
          <w:highlight w:val="none"/>
        </w:rPr>
        <w:t>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r>
        <w:rPr>
          <w:rFonts w:hint="eastAsia" w:cs="仿宋"/>
          <w:color w:val="auto"/>
          <w:highlight w:val="none"/>
          <w:u w:val="none"/>
          <w:lang w:val="zh-CN"/>
        </w:rPr>
        <w:t>，</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w:t>
      </w:r>
      <w:r>
        <w:rPr>
          <w:rFonts w:hint="eastAsia" w:cs="仿宋"/>
          <w:color w:val="auto"/>
          <w:highlight w:val="none"/>
          <w:lang w:val="en-US" w:eastAsia="zh-CN"/>
        </w:rPr>
        <w:t>参加</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【招标编号：</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标项</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none"/>
          <w:lang w:val="en-US" w:eastAsia="zh-CN"/>
        </w:rPr>
        <w:t>样品提供、演示</w:t>
      </w:r>
      <w:r>
        <w:rPr>
          <w:rFonts w:hint="eastAsia" w:ascii="仿宋" w:hAnsi="仿宋" w:eastAsia="仿宋" w:cs="仿宋"/>
          <w:color w:val="auto"/>
          <w:highlight w:val="none"/>
          <w:lang w:val="zh-CN"/>
        </w:rPr>
        <w:t>，并全权负责处理其他事宜。</w:t>
      </w:r>
    </w:p>
    <w:p>
      <w:pPr>
        <w:snapToGrid w:val="0"/>
        <w:spacing w:line="360" w:lineRule="auto"/>
        <w:rPr>
          <w:rFonts w:hint="eastAsia" w:ascii="仿宋" w:hAnsi="仿宋" w:eastAsia="仿宋" w:cs="仿宋"/>
          <w:color w:val="auto"/>
          <w:highlight w:val="none"/>
          <w:lang w:val="zh-CN"/>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jc w:val="center"/>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投标人（</w:t>
      </w:r>
      <w:r>
        <w:rPr>
          <w:rFonts w:hint="eastAsia" w:cs="仿宋"/>
          <w:color w:val="auto"/>
          <w:highlight w:val="none"/>
          <w:lang w:val="en-US" w:eastAsia="zh-CN"/>
        </w:rPr>
        <w:t>盖章</w:t>
      </w: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日期：  年   月   日</w:t>
      </w:r>
    </w:p>
    <w:p>
      <w:pPr>
        <w:snapToGrid w:val="0"/>
        <w:spacing w:line="360" w:lineRule="auto"/>
        <w:ind w:right="240"/>
        <w:jc w:val="right"/>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r>
        <w:rPr>
          <w:rFonts w:hint="eastAsia" w:cs="仿宋"/>
          <w:color w:val="auto"/>
          <w:highlight w:val="none"/>
          <w:lang w:val="en-US" w:eastAsia="zh-CN"/>
        </w:rPr>
        <w:t>授权代表</w:t>
      </w:r>
      <w:r>
        <w:rPr>
          <w:rFonts w:hint="eastAsia" w:ascii="仿宋" w:hAnsi="仿宋" w:eastAsia="仿宋" w:cs="仿宋"/>
          <w:color w:val="auto"/>
          <w:highlight w:val="none"/>
          <w:lang w:val="zh-CN"/>
        </w:rPr>
        <w:t>身份证复印件：</w:t>
      </w:r>
    </w:p>
    <w:p>
      <w:pPr>
        <w:rPr>
          <w:rFonts w:hint="eastAsia"/>
          <w:color w:val="auto"/>
          <w:highlight w:val="none"/>
        </w:rPr>
      </w:pPr>
      <w:r>
        <w:rPr>
          <w:rFonts w:hint="eastAsia"/>
          <w:color w:val="auto"/>
          <w:highlight w:val="none"/>
        </w:rPr>
        <w:br w:type="page"/>
      </w:r>
    </w:p>
    <w:p>
      <w:pPr>
        <w:pStyle w:val="2"/>
        <w:jc w:val="left"/>
        <w:rPr>
          <w:rFonts w:hint="eastAsia" w:ascii="仿宋" w:hAnsi="仿宋" w:eastAsia="仿宋" w:cs="仿宋"/>
          <w:color w:val="auto"/>
          <w:sz w:val="24"/>
          <w:highlight w:val="none"/>
          <w:lang w:eastAsia="zh-CN"/>
        </w:rPr>
      </w:pPr>
      <w:r>
        <w:rPr>
          <w:rFonts w:hint="eastAsia" w:ascii="仿宋" w:hAnsi="仿宋" w:eastAsia="仿宋" w:cs="仿宋"/>
          <w:color w:val="auto"/>
          <w:highlight w:val="none"/>
        </w:rPr>
        <w:t>附件</w:t>
      </w:r>
      <w:r>
        <w:rPr>
          <w:rFonts w:hint="eastAsia" w:cs="仿宋"/>
          <w:color w:val="auto"/>
          <w:highlight w:val="none"/>
          <w:lang w:val="en-US" w:eastAsia="zh-CN"/>
        </w:rPr>
        <w:t>8</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lang w:val="en-US" w:eastAsia="zh-CN"/>
        </w:rPr>
        <w:t>项目经理服务方案讲解</w:t>
      </w:r>
      <w:r>
        <w:rPr>
          <w:rFonts w:hint="eastAsia" w:ascii="仿宋" w:hAnsi="仿宋" w:eastAsia="仿宋" w:cs="仿宋"/>
          <w:color w:val="auto"/>
          <w:sz w:val="40"/>
          <w:highlight w:val="none"/>
        </w:rPr>
        <w:t>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（采购人）、（采购代理机构）</w:t>
      </w:r>
      <w:r>
        <w:rPr>
          <w:rFonts w:hint="eastAsia" w:ascii="仿宋" w:hAnsi="仿宋" w:eastAsia="仿宋" w:cs="仿宋"/>
          <w:color w:val="auto"/>
          <w:highlight w:val="none"/>
          <w:lang w:val="zh-CN"/>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r>
        <w:rPr>
          <w:rFonts w:hint="eastAsia" w:cs="仿宋"/>
          <w:color w:val="auto"/>
          <w:highlight w:val="none"/>
          <w:u w:val="none"/>
          <w:lang w:val="zh-CN"/>
        </w:rPr>
        <w:t>，</w:t>
      </w: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w:t>
      </w:r>
      <w:r>
        <w:rPr>
          <w:rFonts w:hint="eastAsia" w:cs="仿宋"/>
          <w:color w:val="auto"/>
          <w:highlight w:val="none"/>
          <w:lang w:val="en-US" w:eastAsia="zh-CN"/>
        </w:rPr>
        <w:t>参加</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【招标编号：</w:t>
      </w:r>
      <w:r>
        <w:rPr>
          <w:rFonts w:hint="eastAsia" w:ascii="仿宋" w:hAnsi="仿宋" w:eastAsia="仿宋" w:cs="仿宋"/>
          <w:color w:val="auto"/>
          <w:highlight w:val="none"/>
          <w:u w:val="single"/>
        </w:rPr>
        <w:t>（采购编号）】</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标项</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none"/>
          <w:lang w:val="en-US" w:eastAsia="zh-CN"/>
        </w:rPr>
        <w:t>项目经理服务方案讲解</w:t>
      </w:r>
      <w:r>
        <w:rPr>
          <w:rFonts w:hint="eastAsia" w:ascii="仿宋" w:hAnsi="仿宋" w:eastAsia="仿宋" w:cs="仿宋"/>
          <w:color w:val="auto"/>
          <w:highlight w:val="none"/>
          <w:lang w:val="zh-CN"/>
        </w:rPr>
        <w:t>，并全权负责处理其他事宜。</w:t>
      </w:r>
    </w:p>
    <w:p>
      <w:pPr>
        <w:snapToGrid w:val="0"/>
        <w:spacing w:line="360" w:lineRule="auto"/>
        <w:rPr>
          <w:rFonts w:hint="eastAsia" w:ascii="仿宋" w:hAnsi="仿宋" w:eastAsia="仿宋" w:cs="仿宋"/>
          <w:color w:val="auto"/>
          <w:highlight w:val="none"/>
          <w:lang w:val="zh-CN"/>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jc w:val="center"/>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投标人（</w:t>
      </w:r>
      <w:r>
        <w:rPr>
          <w:rFonts w:hint="eastAsia" w:cs="仿宋"/>
          <w:color w:val="auto"/>
          <w:highlight w:val="none"/>
          <w:lang w:val="en-US" w:eastAsia="zh-CN"/>
        </w:rPr>
        <w:t>盖章</w:t>
      </w: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cs="仿宋"/>
          <w:color w:val="auto"/>
          <w:highlight w:val="none"/>
          <w:lang w:val="en-US" w:eastAsia="zh-CN"/>
        </w:rPr>
        <w:t xml:space="preserve">                                             </w:t>
      </w:r>
      <w:r>
        <w:rPr>
          <w:rFonts w:hint="eastAsia" w:ascii="仿宋" w:hAnsi="仿宋" w:eastAsia="仿宋" w:cs="仿宋"/>
          <w:color w:val="auto"/>
          <w:highlight w:val="none"/>
          <w:lang w:val="zh-CN"/>
        </w:rPr>
        <w:t>日期：  年   月   日</w:t>
      </w:r>
    </w:p>
    <w:p>
      <w:pPr>
        <w:snapToGrid w:val="0"/>
        <w:spacing w:line="360" w:lineRule="auto"/>
        <w:ind w:right="240"/>
        <w:jc w:val="right"/>
        <w:rPr>
          <w:rFonts w:hint="eastAsia" w:ascii="仿宋" w:hAnsi="仿宋" w:eastAsia="仿宋" w:cs="仿宋"/>
          <w:color w:val="auto"/>
          <w:highlight w:val="none"/>
          <w:lang w:val="zh-CN"/>
        </w:rPr>
      </w:pPr>
    </w:p>
    <w:p>
      <w:pPr>
        <w:rPr>
          <w:rFonts w:hint="eastAsia"/>
          <w:color w:val="auto"/>
          <w:highlight w:val="none"/>
        </w:rPr>
      </w:pPr>
      <w:r>
        <w:rPr>
          <w:rFonts w:hint="eastAsia" w:cs="仿宋"/>
          <w:color w:val="auto"/>
          <w:highlight w:val="none"/>
          <w:lang w:val="en-US" w:eastAsia="zh-CN"/>
        </w:rPr>
        <w:t>授权代表</w:t>
      </w:r>
      <w:r>
        <w:rPr>
          <w:rFonts w:hint="eastAsia" w:ascii="仿宋" w:hAnsi="仿宋" w:eastAsia="仿宋" w:cs="仿宋"/>
          <w:color w:val="auto"/>
          <w:highlight w:val="none"/>
          <w:lang w:val="zh-CN"/>
        </w:rPr>
        <w:t>身份证复印件：</w:t>
      </w:r>
    </w:p>
    <w:sectPr>
      <w:pgSz w:w="11906" w:h="16838"/>
      <w:pgMar w:top="1440" w:right="1700" w:bottom="1440" w:left="180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eastAsia="仿宋_GB2312"/>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仿宋_GB2312" w:eastAsia="仿宋_GB2312"/>
      </w:rP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仿宋"/>
        <w:lang w:val="en-US" w:eastAsia="zh-CN"/>
      </w:rPr>
    </w:pP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ind w:firstLine="420"/>
      <w:jc w:val="right"/>
      <w:rPr>
        <w:rFonts w:hint="eastAsia" w:eastAsia="仿宋"/>
        <w:lang w:val="en-US" w:eastAsia="zh-CN"/>
      </w:rPr>
    </w:pPr>
    <w:r>
      <w:rPr>
        <w:rFonts w:hint="eastAsia"/>
        <w:lang w:val="en-US" w:eastAsia="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仿宋"/>
        <w:lang w:val="en-US" w:eastAsia="zh-CN"/>
      </w:rPr>
    </w:pPr>
    <w:r>
      <w:rPr>
        <w:rFonts w:hint="eastAsia"/>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FA813"/>
    <w:multiLevelType w:val="singleLevel"/>
    <w:tmpl w:val="ACAFA813"/>
    <w:lvl w:ilvl="0" w:tentative="0">
      <w:start w:val="1"/>
      <w:numFmt w:val="decimal"/>
      <w:lvlText w:val="%1."/>
      <w:lvlJc w:val="left"/>
      <w:pPr>
        <w:tabs>
          <w:tab w:val="left" w:pos="312"/>
        </w:tabs>
      </w:pPr>
    </w:lvl>
  </w:abstractNum>
  <w:abstractNum w:abstractNumId="1">
    <w:nsid w:val="BC89AA94"/>
    <w:multiLevelType w:val="singleLevel"/>
    <w:tmpl w:val="BC89AA94"/>
    <w:lvl w:ilvl="0" w:tentative="0">
      <w:start w:val="1"/>
      <w:numFmt w:val="decimal"/>
      <w:suff w:val="nothing"/>
      <w:lvlText w:val="%1、"/>
      <w:lvlJc w:val="left"/>
    </w:lvl>
  </w:abstractNum>
  <w:abstractNum w:abstractNumId="2">
    <w:nsid w:val="F397075C"/>
    <w:multiLevelType w:val="singleLevel"/>
    <w:tmpl w:val="F397075C"/>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4">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6">
    <w:nsid w:val="00000006"/>
    <w:multiLevelType w:val="singleLevel"/>
    <w:tmpl w:val="00000006"/>
    <w:lvl w:ilvl="0" w:tentative="0">
      <w:start w:val="1"/>
      <w:numFmt w:val="decimalEnclosedCircleChinese"/>
      <w:suff w:val="nothing"/>
      <w:lvlText w:val="%1　"/>
      <w:lvlJc w:val="left"/>
      <w:pPr>
        <w:ind w:left="0" w:firstLine="400"/>
      </w:pPr>
      <w:rPr>
        <w:rFonts w:hint="eastAsia"/>
      </w:rPr>
    </w:lvl>
  </w:abstractNum>
  <w:abstractNum w:abstractNumId="7">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29AC8FA"/>
    <w:multiLevelType w:val="singleLevel"/>
    <w:tmpl w:val="229AC8FA"/>
    <w:lvl w:ilvl="0" w:tentative="0">
      <w:start w:val="1"/>
      <w:numFmt w:val="decimal"/>
      <w:lvlText w:val="%1."/>
      <w:lvlJc w:val="left"/>
      <w:pPr>
        <w:tabs>
          <w:tab w:val="left" w:pos="312"/>
        </w:tabs>
      </w:pPr>
    </w:lvl>
  </w:abstractNum>
  <w:abstractNum w:abstractNumId="9">
    <w:nsid w:val="279A80E8"/>
    <w:multiLevelType w:val="singleLevel"/>
    <w:tmpl w:val="279A80E8"/>
    <w:lvl w:ilvl="0" w:tentative="0">
      <w:start w:val="1"/>
      <w:numFmt w:val="decimal"/>
      <w:lvlText w:val="%1."/>
      <w:lvlJc w:val="left"/>
      <w:pPr>
        <w:tabs>
          <w:tab w:val="left" w:pos="397"/>
        </w:tabs>
        <w:ind w:left="0" w:firstLine="0"/>
      </w:pPr>
      <w:rPr>
        <w:rFonts w:hint="default"/>
      </w:rPr>
    </w:lvl>
  </w:abstractNum>
  <w:abstractNum w:abstractNumId="10">
    <w:nsid w:val="5153533D"/>
    <w:multiLevelType w:val="singleLevel"/>
    <w:tmpl w:val="5153533D"/>
    <w:lvl w:ilvl="0" w:tentative="0">
      <w:start w:val="1"/>
      <w:numFmt w:val="decimal"/>
      <w:lvlText w:val="%1."/>
      <w:lvlJc w:val="left"/>
      <w:pPr>
        <w:tabs>
          <w:tab w:val="left" w:pos="312"/>
        </w:tabs>
      </w:pPr>
    </w:lvl>
  </w:abstractNum>
  <w:abstractNum w:abstractNumId="11">
    <w:nsid w:val="6106B33C"/>
    <w:multiLevelType w:val="singleLevel"/>
    <w:tmpl w:val="6106B33C"/>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8"/>
  </w:num>
  <w:num w:numId="3">
    <w:abstractNumId w:val="10"/>
  </w:num>
  <w:num w:numId="4">
    <w:abstractNumId w:val="5"/>
  </w:num>
  <w:num w:numId="5">
    <w:abstractNumId w:val="2"/>
  </w:num>
  <w:num w:numId="6">
    <w:abstractNumId w:val="7"/>
  </w:num>
  <w:num w:numId="7">
    <w:abstractNumId w:val="3"/>
  </w:num>
  <w:num w:numId="8">
    <w:abstractNumId w:val="4"/>
  </w:num>
  <w:num w:numId="9">
    <w:abstractNumId w:val="6"/>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iNTJiODcwZTAyMmI2NTZjM2JiMmMxNzFiOGQ5YjIifQ=="/>
  </w:docVars>
  <w:rsids>
    <w:rsidRoot w:val="004A31C0"/>
    <w:rsid w:val="00021A48"/>
    <w:rsid w:val="00040E44"/>
    <w:rsid w:val="000506FE"/>
    <w:rsid w:val="00052050"/>
    <w:rsid w:val="00052F13"/>
    <w:rsid w:val="00062A5D"/>
    <w:rsid w:val="00083EEE"/>
    <w:rsid w:val="0008723D"/>
    <w:rsid w:val="000C67BA"/>
    <w:rsid w:val="000D12B1"/>
    <w:rsid w:val="000D4BBC"/>
    <w:rsid w:val="000E75F8"/>
    <w:rsid w:val="00103D62"/>
    <w:rsid w:val="00106784"/>
    <w:rsid w:val="00131518"/>
    <w:rsid w:val="001375DB"/>
    <w:rsid w:val="001448FA"/>
    <w:rsid w:val="001478DA"/>
    <w:rsid w:val="00173428"/>
    <w:rsid w:val="001A3CF6"/>
    <w:rsid w:val="001D5532"/>
    <w:rsid w:val="00240685"/>
    <w:rsid w:val="0024401D"/>
    <w:rsid w:val="002534A7"/>
    <w:rsid w:val="002667D6"/>
    <w:rsid w:val="002A2CD5"/>
    <w:rsid w:val="002E02E0"/>
    <w:rsid w:val="003169BC"/>
    <w:rsid w:val="0035778E"/>
    <w:rsid w:val="00380ED1"/>
    <w:rsid w:val="00381B1D"/>
    <w:rsid w:val="003A3435"/>
    <w:rsid w:val="003E14E8"/>
    <w:rsid w:val="003E2487"/>
    <w:rsid w:val="004105E2"/>
    <w:rsid w:val="00424619"/>
    <w:rsid w:val="00424A1D"/>
    <w:rsid w:val="00462F9D"/>
    <w:rsid w:val="004A31C0"/>
    <w:rsid w:val="004E6448"/>
    <w:rsid w:val="00501CA3"/>
    <w:rsid w:val="00581054"/>
    <w:rsid w:val="00587A52"/>
    <w:rsid w:val="005A325A"/>
    <w:rsid w:val="005A3BF2"/>
    <w:rsid w:val="0060320D"/>
    <w:rsid w:val="00610EDB"/>
    <w:rsid w:val="006139C7"/>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302B"/>
    <w:rsid w:val="00744AB4"/>
    <w:rsid w:val="007B07B1"/>
    <w:rsid w:val="007B1161"/>
    <w:rsid w:val="007D18A5"/>
    <w:rsid w:val="00825212"/>
    <w:rsid w:val="00843A59"/>
    <w:rsid w:val="00852E70"/>
    <w:rsid w:val="00872DA1"/>
    <w:rsid w:val="00873B8A"/>
    <w:rsid w:val="00886B25"/>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A28F0"/>
    <w:rsid w:val="00AB3C03"/>
    <w:rsid w:val="00AC5A89"/>
    <w:rsid w:val="00AD3120"/>
    <w:rsid w:val="00B34428"/>
    <w:rsid w:val="00B50722"/>
    <w:rsid w:val="00B638D9"/>
    <w:rsid w:val="00B955CF"/>
    <w:rsid w:val="00C1460D"/>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B65D8"/>
    <w:rsid w:val="00ED389E"/>
    <w:rsid w:val="00EE2D23"/>
    <w:rsid w:val="00F577A9"/>
    <w:rsid w:val="00F66F6C"/>
    <w:rsid w:val="00F82240"/>
    <w:rsid w:val="00F872C5"/>
    <w:rsid w:val="00F906B9"/>
    <w:rsid w:val="00FD5896"/>
    <w:rsid w:val="00FF3FB0"/>
    <w:rsid w:val="018609A3"/>
    <w:rsid w:val="037E5B48"/>
    <w:rsid w:val="05817492"/>
    <w:rsid w:val="05857F89"/>
    <w:rsid w:val="05980252"/>
    <w:rsid w:val="06A170B0"/>
    <w:rsid w:val="07504523"/>
    <w:rsid w:val="076369A2"/>
    <w:rsid w:val="0A4D58C3"/>
    <w:rsid w:val="0BB579E9"/>
    <w:rsid w:val="0CB95034"/>
    <w:rsid w:val="0DD0457C"/>
    <w:rsid w:val="0E501F53"/>
    <w:rsid w:val="0F4C4B05"/>
    <w:rsid w:val="0F825E34"/>
    <w:rsid w:val="103E0F42"/>
    <w:rsid w:val="10FB487E"/>
    <w:rsid w:val="12DC05BA"/>
    <w:rsid w:val="14FB5036"/>
    <w:rsid w:val="171630F2"/>
    <w:rsid w:val="176F31FD"/>
    <w:rsid w:val="1858175B"/>
    <w:rsid w:val="18EF00C2"/>
    <w:rsid w:val="1943100A"/>
    <w:rsid w:val="194D132E"/>
    <w:rsid w:val="196A590F"/>
    <w:rsid w:val="1A097A43"/>
    <w:rsid w:val="1A8F3379"/>
    <w:rsid w:val="1C915908"/>
    <w:rsid w:val="1EF91C0C"/>
    <w:rsid w:val="1FB050A2"/>
    <w:rsid w:val="234046F8"/>
    <w:rsid w:val="249742D4"/>
    <w:rsid w:val="249A4377"/>
    <w:rsid w:val="27C43F9E"/>
    <w:rsid w:val="28590759"/>
    <w:rsid w:val="28A91BE3"/>
    <w:rsid w:val="29947356"/>
    <w:rsid w:val="2B6568DD"/>
    <w:rsid w:val="2DB86ECD"/>
    <w:rsid w:val="2ED97CFB"/>
    <w:rsid w:val="301614A4"/>
    <w:rsid w:val="316D771C"/>
    <w:rsid w:val="31A44764"/>
    <w:rsid w:val="320071E5"/>
    <w:rsid w:val="328F5F4B"/>
    <w:rsid w:val="33DB489B"/>
    <w:rsid w:val="33F03374"/>
    <w:rsid w:val="35864782"/>
    <w:rsid w:val="36BA4D8C"/>
    <w:rsid w:val="37CA791D"/>
    <w:rsid w:val="38484B7A"/>
    <w:rsid w:val="3B236D85"/>
    <w:rsid w:val="3B857D4D"/>
    <w:rsid w:val="3C900784"/>
    <w:rsid w:val="42F656FC"/>
    <w:rsid w:val="43D367BC"/>
    <w:rsid w:val="466624CC"/>
    <w:rsid w:val="477C07C1"/>
    <w:rsid w:val="47C53DD0"/>
    <w:rsid w:val="4A516008"/>
    <w:rsid w:val="4AC46950"/>
    <w:rsid w:val="4BCC4252"/>
    <w:rsid w:val="5030587D"/>
    <w:rsid w:val="507E6B0C"/>
    <w:rsid w:val="50B36CB4"/>
    <w:rsid w:val="517E4910"/>
    <w:rsid w:val="521056A2"/>
    <w:rsid w:val="523850DD"/>
    <w:rsid w:val="53BC24C2"/>
    <w:rsid w:val="54106536"/>
    <w:rsid w:val="54BE376A"/>
    <w:rsid w:val="54F7138C"/>
    <w:rsid w:val="554F4532"/>
    <w:rsid w:val="5572241B"/>
    <w:rsid w:val="5B321A89"/>
    <w:rsid w:val="5BB3734E"/>
    <w:rsid w:val="5C022850"/>
    <w:rsid w:val="5C1840FB"/>
    <w:rsid w:val="5E1303FD"/>
    <w:rsid w:val="5E265610"/>
    <w:rsid w:val="5EDE15A7"/>
    <w:rsid w:val="5F343AD2"/>
    <w:rsid w:val="5F581424"/>
    <w:rsid w:val="5F7016DE"/>
    <w:rsid w:val="600C14FD"/>
    <w:rsid w:val="60532FC7"/>
    <w:rsid w:val="61120643"/>
    <w:rsid w:val="61157CC2"/>
    <w:rsid w:val="6178127C"/>
    <w:rsid w:val="61D8786D"/>
    <w:rsid w:val="642555D4"/>
    <w:rsid w:val="650869CE"/>
    <w:rsid w:val="65EE47FE"/>
    <w:rsid w:val="66AA0520"/>
    <w:rsid w:val="678533DE"/>
    <w:rsid w:val="6815357B"/>
    <w:rsid w:val="69647836"/>
    <w:rsid w:val="6A35239E"/>
    <w:rsid w:val="6EB743A6"/>
    <w:rsid w:val="6FD36E75"/>
    <w:rsid w:val="72075488"/>
    <w:rsid w:val="742F0836"/>
    <w:rsid w:val="75166494"/>
    <w:rsid w:val="7560587A"/>
    <w:rsid w:val="75F530E6"/>
    <w:rsid w:val="774F65F3"/>
    <w:rsid w:val="781D5F22"/>
    <w:rsid w:val="78C710B9"/>
    <w:rsid w:val="7A121A0C"/>
    <w:rsid w:val="7A6B3FB3"/>
    <w:rsid w:val="7C631A32"/>
    <w:rsid w:val="7D1B0177"/>
    <w:rsid w:val="7DDC2D72"/>
    <w:rsid w:val="7E5104E9"/>
    <w:rsid w:val="7E55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5"/>
    <w:qFormat/>
    <w:uiPriority w:val="9"/>
    <w:pPr>
      <w:spacing w:before="480" w:after="0"/>
      <w:contextualSpacing/>
      <w:jc w:val="center"/>
      <w:outlineLvl w:val="0"/>
    </w:pPr>
    <w:rPr>
      <w:rFonts w:ascii="仿宋_GB2312" w:eastAsia="仿宋_GB2312"/>
      <w:b/>
      <w:smallCaps/>
      <w:spacing w:val="5"/>
      <w:sz w:val="36"/>
      <w:szCs w:val="36"/>
    </w:rPr>
  </w:style>
  <w:style w:type="paragraph" w:styleId="2">
    <w:name w:val="heading 2"/>
    <w:basedOn w:val="1"/>
    <w:next w:val="1"/>
    <w:link w:val="36"/>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7"/>
    <w:unhideWhenUsed/>
    <w:qFormat/>
    <w:uiPriority w:val="9"/>
    <w:pPr>
      <w:outlineLvl w:val="2"/>
    </w:pPr>
    <w:rPr>
      <w:b/>
    </w:rPr>
  </w:style>
  <w:style w:type="paragraph" w:styleId="5">
    <w:name w:val="heading 4"/>
    <w:basedOn w:val="1"/>
    <w:next w:val="1"/>
    <w:link w:val="38"/>
    <w:unhideWhenUsed/>
    <w:qFormat/>
    <w:uiPriority w:val="9"/>
    <w:pPr>
      <w:spacing w:after="0" w:line="271" w:lineRule="auto"/>
      <w:outlineLvl w:val="3"/>
    </w:pPr>
    <w:rPr>
      <w:b/>
      <w:bCs/>
      <w:spacing w:val="5"/>
    </w:rPr>
  </w:style>
  <w:style w:type="paragraph" w:styleId="6">
    <w:name w:val="heading 5"/>
    <w:basedOn w:val="1"/>
    <w:next w:val="1"/>
    <w:link w:val="39"/>
    <w:unhideWhenUsed/>
    <w:qFormat/>
    <w:uiPriority w:val="9"/>
    <w:pPr>
      <w:spacing w:after="0" w:line="271" w:lineRule="auto"/>
      <w:outlineLvl w:val="4"/>
    </w:pPr>
    <w:rPr>
      <w:i/>
      <w:iCs/>
    </w:rPr>
  </w:style>
  <w:style w:type="paragraph" w:styleId="7">
    <w:name w:val="heading 6"/>
    <w:basedOn w:val="1"/>
    <w:next w:val="1"/>
    <w:link w:val="40"/>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8">
    <w:name w:val="heading 7"/>
    <w:basedOn w:val="1"/>
    <w:next w:val="1"/>
    <w:link w:val="41"/>
    <w:semiHidden/>
    <w:unhideWhenUsed/>
    <w:qFormat/>
    <w:uiPriority w:val="9"/>
    <w:pPr>
      <w:spacing w:after="0"/>
      <w:outlineLvl w:val="6"/>
    </w:pPr>
    <w:rPr>
      <w:b/>
      <w:bCs/>
      <w:i/>
      <w:iCs/>
      <w:color w:val="585858" w:themeColor="text1" w:themeTint="A6"/>
      <w:sz w:val="20"/>
      <w:szCs w:val="20"/>
    </w:rPr>
  </w:style>
  <w:style w:type="paragraph" w:styleId="9">
    <w:name w:val="heading 8"/>
    <w:basedOn w:val="1"/>
    <w:next w:val="1"/>
    <w:link w:val="42"/>
    <w:semiHidden/>
    <w:unhideWhenUsed/>
    <w:qFormat/>
    <w:uiPriority w:val="9"/>
    <w:pPr>
      <w:spacing w:after="0"/>
      <w:outlineLvl w:val="7"/>
    </w:pPr>
    <w:rPr>
      <w:b/>
      <w:bCs/>
      <w:color w:val="7E7E7E" w:themeColor="text1" w:themeTint="80"/>
      <w:sz w:val="20"/>
      <w:szCs w:val="20"/>
    </w:rPr>
  </w:style>
  <w:style w:type="paragraph" w:styleId="10">
    <w:name w:val="heading 9"/>
    <w:basedOn w:val="1"/>
    <w:next w:val="1"/>
    <w:link w:val="43"/>
    <w:semiHidden/>
    <w:unhideWhenUsed/>
    <w:qFormat/>
    <w:uiPriority w:val="9"/>
    <w:pPr>
      <w:spacing w:after="0" w:line="271" w:lineRule="auto"/>
      <w:outlineLvl w:val="8"/>
    </w:pPr>
    <w:rPr>
      <w:b/>
      <w:bCs/>
      <w:i/>
      <w:iCs/>
      <w:color w:val="7E7E7E" w:themeColor="text1" w:themeTint="80"/>
      <w:sz w:val="18"/>
      <w:szCs w:val="1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2"/>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qFormat/>
    <w:uiPriority w:val="0"/>
    <w:pPr>
      <w:jc w:val="left"/>
    </w:pPr>
    <w:rPr>
      <w:rFonts w:ascii="宋体" w:hAnsi="Courier New" w:eastAsia="宋体"/>
      <w:kern w:val="2"/>
      <w:sz w:val="21"/>
      <w:lang w:val="en-US" w:eastAsia="zh-CN"/>
    </w:rPr>
  </w:style>
  <w:style w:type="paragraph" w:styleId="14">
    <w:name w:val="Body Text"/>
    <w:basedOn w:val="1"/>
    <w:next w:val="15"/>
    <w:link w:val="78"/>
    <w:qFormat/>
    <w:uiPriority w:val="0"/>
    <w:pPr>
      <w:autoSpaceDE w:val="0"/>
      <w:autoSpaceDN w:val="0"/>
      <w:spacing w:line="360" w:lineRule="auto"/>
    </w:pPr>
    <w:rPr>
      <w:rFonts w:ascii="宋体" w:hAnsi="Arial" w:cs="Arial"/>
      <w:snapToGrid w:val="0"/>
      <w:szCs w:val="21"/>
      <w:lang w:val="zh-CN"/>
    </w:rPr>
  </w:style>
  <w:style w:type="paragraph" w:styleId="15">
    <w:name w:val="Body Text First Indent"/>
    <w:basedOn w:val="14"/>
    <w:next w:val="1"/>
    <w:qFormat/>
    <w:uiPriority w:val="0"/>
    <w:pPr>
      <w:ind w:firstLine="420"/>
    </w:pPr>
    <w:rPr>
      <w:rFonts w:hAnsi="Calibri" w:cs="Times New Roman"/>
      <w:snapToGrid/>
      <w:szCs w:val="20"/>
    </w:rPr>
  </w:style>
  <w:style w:type="paragraph" w:styleId="16">
    <w:name w:val="Body Text Indent"/>
    <w:basedOn w:val="1"/>
    <w:next w:val="11"/>
    <w:link w:val="65"/>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next w:val="18"/>
    <w:link w:val="63"/>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Date"/>
    <w:basedOn w:val="1"/>
    <w:next w:val="1"/>
    <w:qFormat/>
    <w:uiPriority w:val="0"/>
    <w:pPr>
      <w:ind w:left="100" w:leftChars="2500"/>
    </w:pPr>
    <w:rPr>
      <w:rFonts w:ascii="宋体"/>
      <w:sz w:val="24"/>
      <w:lang w:val="zh-CN"/>
    </w:rPr>
  </w:style>
  <w:style w:type="paragraph" w:styleId="19">
    <w:name w:val="Balloon Text"/>
    <w:basedOn w:val="1"/>
    <w:link w:val="77"/>
    <w:semiHidden/>
    <w:unhideWhenUsed/>
    <w:qFormat/>
    <w:uiPriority w:val="99"/>
    <w:pPr>
      <w:spacing w:after="0"/>
    </w:pPr>
    <w:rPr>
      <w:sz w:val="18"/>
      <w:szCs w:val="18"/>
    </w:rPr>
  </w:style>
  <w:style w:type="paragraph" w:styleId="20">
    <w:name w:val="footer"/>
    <w:basedOn w:val="1"/>
    <w:link w:val="34"/>
    <w:unhideWhenUsed/>
    <w:qFormat/>
    <w:uiPriority w:val="99"/>
    <w:pPr>
      <w:tabs>
        <w:tab w:val="center" w:pos="4153"/>
        <w:tab w:val="right" w:pos="8306"/>
      </w:tabs>
      <w:snapToGrid w:val="0"/>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5"/>
    <w:qFormat/>
    <w:uiPriority w:val="11"/>
    <w:rPr>
      <w:i/>
      <w:iCs/>
      <w:smallCaps/>
      <w:spacing w:val="10"/>
      <w:sz w:val="28"/>
      <w:szCs w:val="28"/>
    </w:rPr>
  </w:style>
  <w:style w:type="paragraph" w:styleId="23">
    <w:name w:val="Title"/>
    <w:basedOn w:val="1"/>
    <w:next w:val="1"/>
    <w:link w:val="44"/>
    <w:qFormat/>
    <w:uiPriority w:val="10"/>
    <w:pPr>
      <w:spacing w:after="300"/>
      <w:contextualSpacing/>
    </w:pPr>
    <w:rPr>
      <w:smallCaps/>
      <w:sz w:val="52"/>
      <w:szCs w:val="52"/>
    </w:rPr>
  </w:style>
  <w:style w:type="paragraph" w:styleId="24">
    <w:name w:val="Body Text First Indent 2"/>
    <w:basedOn w:val="16"/>
    <w:next w:val="1"/>
    <w:qFormat/>
    <w:uiPriority w:val="0"/>
    <w:pPr>
      <w:adjustRightInd/>
      <w:spacing w:after="120" w:line="240" w:lineRule="auto"/>
      <w:ind w:left="420" w:leftChars="200" w:firstLine="210"/>
    </w:pPr>
    <w:rPr>
      <w:sz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正文文本首行缩进 21"/>
    <w:basedOn w:val="16"/>
    <w:qFormat/>
    <w:uiPriority w:val="99"/>
    <w:pPr>
      <w:spacing w:line="200" w:lineRule="atLeast"/>
      <w:ind w:firstLine="420"/>
    </w:pPr>
    <w:rPr>
      <w:rFonts w:hAnsi="Courier New"/>
      <w:spacing w:val="-4"/>
      <w:sz w:val="18"/>
    </w:rPr>
  </w:style>
  <w:style w:type="paragraph" w:customStyle="1" w:styleId="32">
    <w:name w:val="正文（首行缩进2字符）"/>
    <w:basedOn w:val="1"/>
    <w:qFormat/>
    <w:uiPriority w:val="0"/>
    <w:pPr>
      <w:spacing w:line="360" w:lineRule="auto"/>
      <w:ind w:firstLine="480" w:firstLineChars="200"/>
    </w:pPr>
    <w:rPr>
      <w:szCs w:val="20"/>
    </w:rPr>
  </w:style>
  <w:style w:type="character" w:customStyle="1" w:styleId="33">
    <w:name w:val="页眉 Char"/>
    <w:basedOn w:val="27"/>
    <w:link w:val="21"/>
    <w:qFormat/>
    <w:uiPriority w:val="99"/>
    <w:rPr>
      <w:sz w:val="18"/>
      <w:szCs w:val="18"/>
    </w:rPr>
  </w:style>
  <w:style w:type="character" w:customStyle="1" w:styleId="34">
    <w:name w:val="页脚 Char"/>
    <w:basedOn w:val="27"/>
    <w:link w:val="20"/>
    <w:qFormat/>
    <w:uiPriority w:val="99"/>
    <w:rPr>
      <w:sz w:val="18"/>
      <w:szCs w:val="18"/>
    </w:rPr>
  </w:style>
  <w:style w:type="character" w:customStyle="1" w:styleId="35">
    <w:name w:val="标题 1 Char"/>
    <w:basedOn w:val="27"/>
    <w:link w:val="3"/>
    <w:qFormat/>
    <w:uiPriority w:val="9"/>
    <w:rPr>
      <w:rFonts w:ascii="仿宋_GB2312" w:hAnsi="仿宋" w:eastAsia="仿宋_GB2312"/>
      <w:b/>
      <w:smallCaps/>
      <w:spacing w:val="5"/>
      <w:sz w:val="36"/>
      <w:szCs w:val="36"/>
    </w:rPr>
  </w:style>
  <w:style w:type="character" w:customStyle="1" w:styleId="36">
    <w:name w:val="标题 2 Char"/>
    <w:basedOn w:val="27"/>
    <w:link w:val="2"/>
    <w:qFormat/>
    <w:uiPriority w:val="9"/>
    <w:rPr>
      <w:rFonts w:ascii="仿宋" w:hAnsi="仿宋" w:eastAsia="仿宋"/>
      <w:b/>
      <w:smallCaps/>
      <w:sz w:val="28"/>
      <w:szCs w:val="28"/>
    </w:rPr>
  </w:style>
  <w:style w:type="character" w:customStyle="1" w:styleId="37">
    <w:name w:val="标题 3 Char"/>
    <w:basedOn w:val="27"/>
    <w:link w:val="4"/>
    <w:qFormat/>
    <w:uiPriority w:val="9"/>
    <w:rPr>
      <w:rFonts w:ascii="仿宋" w:hAnsi="仿宋" w:eastAsia="仿宋"/>
      <w:b/>
      <w:sz w:val="24"/>
      <w:szCs w:val="24"/>
    </w:rPr>
  </w:style>
  <w:style w:type="character" w:customStyle="1" w:styleId="38">
    <w:name w:val="标题 4 Char"/>
    <w:basedOn w:val="27"/>
    <w:link w:val="5"/>
    <w:qFormat/>
    <w:uiPriority w:val="9"/>
    <w:rPr>
      <w:b/>
      <w:bCs/>
      <w:spacing w:val="5"/>
      <w:sz w:val="24"/>
      <w:szCs w:val="24"/>
    </w:rPr>
  </w:style>
  <w:style w:type="character" w:customStyle="1" w:styleId="39">
    <w:name w:val="标题 5 Char"/>
    <w:basedOn w:val="27"/>
    <w:link w:val="6"/>
    <w:qFormat/>
    <w:uiPriority w:val="9"/>
    <w:rPr>
      <w:i/>
      <w:iCs/>
      <w:sz w:val="24"/>
      <w:szCs w:val="24"/>
    </w:rPr>
  </w:style>
  <w:style w:type="character" w:customStyle="1" w:styleId="40">
    <w:name w:val="标题 6 Char"/>
    <w:basedOn w:val="27"/>
    <w:link w:val="7"/>
    <w:semiHidden/>
    <w:qFormat/>
    <w:uiPriority w:val="9"/>
    <w:rPr>
      <w:b/>
      <w:bCs/>
      <w:color w:val="585858" w:themeColor="text1" w:themeTint="A6"/>
      <w:spacing w:val="5"/>
      <w:shd w:val="clear" w:color="auto" w:fill="FFFFFF" w:themeFill="background1"/>
    </w:rPr>
  </w:style>
  <w:style w:type="character" w:customStyle="1" w:styleId="41">
    <w:name w:val="标题 7 Char"/>
    <w:basedOn w:val="27"/>
    <w:link w:val="8"/>
    <w:semiHidden/>
    <w:qFormat/>
    <w:uiPriority w:val="9"/>
    <w:rPr>
      <w:b/>
      <w:bCs/>
      <w:i/>
      <w:iCs/>
      <w:color w:val="585858" w:themeColor="text1" w:themeTint="A6"/>
      <w:sz w:val="20"/>
      <w:szCs w:val="20"/>
    </w:rPr>
  </w:style>
  <w:style w:type="character" w:customStyle="1" w:styleId="42">
    <w:name w:val="标题 8 Char"/>
    <w:basedOn w:val="27"/>
    <w:link w:val="9"/>
    <w:semiHidden/>
    <w:qFormat/>
    <w:uiPriority w:val="9"/>
    <w:rPr>
      <w:b/>
      <w:bCs/>
      <w:color w:val="7E7E7E" w:themeColor="text1" w:themeTint="80"/>
      <w:sz w:val="20"/>
      <w:szCs w:val="20"/>
    </w:rPr>
  </w:style>
  <w:style w:type="character" w:customStyle="1" w:styleId="43">
    <w:name w:val="标题 9 Char"/>
    <w:basedOn w:val="27"/>
    <w:link w:val="10"/>
    <w:semiHidden/>
    <w:qFormat/>
    <w:uiPriority w:val="9"/>
    <w:rPr>
      <w:b/>
      <w:bCs/>
      <w:i/>
      <w:iCs/>
      <w:color w:val="7E7E7E" w:themeColor="text1" w:themeTint="80"/>
      <w:sz w:val="18"/>
      <w:szCs w:val="18"/>
    </w:rPr>
  </w:style>
  <w:style w:type="character" w:customStyle="1" w:styleId="44">
    <w:name w:val="标题 Char"/>
    <w:basedOn w:val="27"/>
    <w:link w:val="23"/>
    <w:qFormat/>
    <w:uiPriority w:val="10"/>
    <w:rPr>
      <w:smallCaps/>
      <w:sz w:val="52"/>
      <w:szCs w:val="52"/>
    </w:rPr>
  </w:style>
  <w:style w:type="character" w:customStyle="1" w:styleId="45">
    <w:name w:val="副标题 Char"/>
    <w:basedOn w:val="27"/>
    <w:link w:val="22"/>
    <w:qFormat/>
    <w:uiPriority w:val="11"/>
    <w:rPr>
      <w:i/>
      <w:iCs/>
      <w:smallCaps/>
      <w:spacing w:val="10"/>
      <w:sz w:val="28"/>
      <w:szCs w:val="28"/>
    </w:rPr>
  </w:style>
  <w:style w:type="paragraph" w:styleId="46">
    <w:name w:val="No Spacing"/>
    <w:basedOn w:val="1"/>
    <w:next w:val="1"/>
    <w:link w:val="58"/>
    <w:qFormat/>
    <w:uiPriority w:val="1"/>
    <w:pPr>
      <w:spacing w:after="0"/>
    </w:pPr>
  </w:style>
  <w:style w:type="paragraph" w:styleId="47">
    <w:name w:val="List Paragraph"/>
    <w:basedOn w:val="1"/>
    <w:qFormat/>
    <w:uiPriority w:val="34"/>
    <w:pPr>
      <w:ind w:left="720"/>
      <w:contextualSpacing/>
    </w:pPr>
  </w:style>
  <w:style w:type="paragraph" w:styleId="48">
    <w:name w:val="Quote"/>
    <w:basedOn w:val="1"/>
    <w:next w:val="1"/>
    <w:link w:val="49"/>
    <w:qFormat/>
    <w:uiPriority w:val="29"/>
    <w:rPr>
      <w:i/>
      <w:iCs/>
    </w:rPr>
  </w:style>
  <w:style w:type="character" w:customStyle="1" w:styleId="49">
    <w:name w:val="引用 Char"/>
    <w:basedOn w:val="27"/>
    <w:link w:val="48"/>
    <w:qFormat/>
    <w:uiPriority w:val="29"/>
    <w:rPr>
      <w:i/>
      <w:iCs/>
    </w:rPr>
  </w:style>
  <w:style w:type="paragraph" w:styleId="50">
    <w:name w:val="Intense Quote"/>
    <w:basedOn w:val="1"/>
    <w:next w:val="1"/>
    <w:link w:val="51"/>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1">
    <w:name w:val="明显引用 Char"/>
    <w:basedOn w:val="27"/>
    <w:link w:val="50"/>
    <w:qFormat/>
    <w:uiPriority w:val="30"/>
    <w:rPr>
      <w:i/>
      <w:iCs/>
    </w:rPr>
  </w:style>
  <w:style w:type="character" w:customStyle="1" w:styleId="52">
    <w:name w:val="不明显强调1"/>
    <w:qFormat/>
    <w:uiPriority w:val="19"/>
    <w:rPr>
      <w:i/>
      <w:iCs/>
    </w:rPr>
  </w:style>
  <w:style w:type="character" w:customStyle="1" w:styleId="53">
    <w:name w:val="明显强调1"/>
    <w:qFormat/>
    <w:uiPriority w:val="21"/>
    <w:rPr>
      <w:b/>
      <w:bCs/>
      <w:i/>
      <w:iCs/>
    </w:rPr>
  </w:style>
  <w:style w:type="character" w:customStyle="1" w:styleId="54">
    <w:name w:val="不明显参考1"/>
    <w:basedOn w:val="27"/>
    <w:qFormat/>
    <w:uiPriority w:val="31"/>
    <w:rPr>
      <w:smallCaps/>
    </w:rPr>
  </w:style>
  <w:style w:type="character" w:customStyle="1" w:styleId="55">
    <w:name w:val="明显参考1"/>
    <w:qFormat/>
    <w:uiPriority w:val="32"/>
    <w:rPr>
      <w:b/>
      <w:bCs/>
      <w:smallCaps/>
    </w:rPr>
  </w:style>
  <w:style w:type="character" w:customStyle="1" w:styleId="56">
    <w:name w:val="书籍标题1"/>
    <w:basedOn w:val="27"/>
    <w:qFormat/>
    <w:uiPriority w:val="33"/>
    <w:rPr>
      <w:i/>
      <w:iCs/>
      <w:smallCaps/>
      <w:spacing w:val="5"/>
    </w:rPr>
  </w:style>
  <w:style w:type="paragraph" w:customStyle="1" w:styleId="57">
    <w:name w:val="TOC 标题1"/>
    <w:basedOn w:val="3"/>
    <w:next w:val="1"/>
    <w:semiHidden/>
    <w:unhideWhenUsed/>
    <w:qFormat/>
    <w:uiPriority w:val="39"/>
    <w:pPr>
      <w:outlineLvl w:val="9"/>
    </w:pPr>
    <w:rPr>
      <w:lang w:bidi="en-US"/>
    </w:rPr>
  </w:style>
  <w:style w:type="character" w:customStyle="1" w:styleId="58">
    <w:name w:val="无间隔 Char"/>
    <w:basedOn w:val="27"/>
    <w:link w:val="46"/>
    <w:qFormat/>
    <w:uiPriority w:val="1"/>
  </w:style>
  <w:style w:type="paragraph" w:customStyle="1" w:styleId="59">
    <w:name w:val="Personal Name"/>
    <w:basedOn w:val="23"/>
    <w:qFormat/>
    <w:uiPriority w:val="0"/>
    <w:rPr>
      <w:b/>
      <w:caps/>
      <w:color w:val="000000"/>
      <w:sz w:val="28"/>
      <w:szCs w:val="28"/>
    </w:rPr>
  </w:style>
  <w:style w:type="character" w:customStyle="1" w:styleId="60">
    <w:name w:val="正文2 Char Char"/>
    <w:link w:val="61"/>
    <w:qFormat/>
    <w:uiPriority w:val="0"/>
    <w:rPr>
      <w:rFonts w:ascii="仿宋" w:hAnsi="仿宋" w:eastAsia="仿宋"/>
      <w:sz w:val="24"/>
      <w:szCs w:val="24"/>
    </w:rPr>
  </w:style>
  <w:style w:type="paragraph" w:customStyle="1" w:styleId="61">
    <w:name w:val="正文2"/>
    <w:basedOn w:val="1"/>
    <w:link w:val="60"/>
    <w:qFormat/>
    <w:uiPriority w:val="0"/>
    <w:pPr>
      <w:spacing w:line="360" w:lineRule="auto"/>
    </w:pPr>
  </w:style>
  <w:style w:type="character" w:customStyle="1" w:styleId="62">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3">
    <w:name w:val="纯文本 Char"/>
    <w:basedOn w:val="27"/>
    <w:link w:val="17"/>
    <w:qFormat/>
    <w:uiPriority w:val="0"/>
    <w:rPr>
      <w:rFonts w:ascii="宋体" w:hAnsi="Courier New" w:eastAsia="宋体" w:cs="Arial"/>
      <w:snapToGrid w:val="0"/>
      <w:kern w:val="2"/>
      <w:sz w:val="21"/>
      <w:szCs w:val="21"/>
    </w:rPr>
  </w:style>
  <w:style w:type="character" w:customStyle="1" w:styleId="64">
    <w:name w:val="正文文本缩进 Char"/>
    <w:basedOn w:val="27"/>
    <w:semiHidden/>
    <w:qFormat/>
    <w:uiPriority w:val="99"/>
    <w:rPr>
      <w:rFonts w:ascii="仿宋" w:hAnsi="仿宋" w:eastAsia="仿宋"/>
      <w:sz w:val="24"/>
      <w:szCs w:val="24"/>
    </w:rPr>
  </w:style>
  <w:style w:type="character" w:customStyle="1" w:styleId="65">
    <w:name w:val="正文文本缩进 Char1"/>
    <w:link w:val="16"/>
    <w:qFormat/>
    <w:uiPriority w:val="0"/>
    <w:rPr>
      <w:rFonts w:ascii="宋体" w:hAnsi="宋体" w:eastAsia="宋体" w:cs="Times New Roman"/>
      <w:kern w:val="2"/>
      <w:sz w:val="24"/>
      <w:szCs w:val="24"/>
    </w:rPr>
  </w:style>
  <w:style w:type="character" w:customStyle="1" w:styleId="66">
    <w:name w:val="标题 Char2"/>
    <w:qFormat/>
    <w:uiPriority w:val="10"/>
    <w:rPr>
      <w:b/>
      <w:sz w:val="24"/>
      <w:lang w:val="en-GB"/>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pPr>
      <w:widowControl w:val="0"/>
      <w:spacing w:after="0"/>
      <w:jc w:val="both"/>
    </w:pPr>
    <w:rPr>
      <w:rFonts w:ascii="宋体" w:hAnsi="Courier New" w:eastAsiaTheme="majorEastAsia"/>
      <w:sz w:val="22"/>
      <w:szCs w:val="22"/>
    </w:rPr>
  </w:style>
  <w:style w:type="character" w:customStyle="1" w:styleId="69">
    <w:name w:val="页脚 Char2"/>
    <w:qFormat/>
    <w:locked/>
    <w:uiPriority w:val="99"/>
    <w:rPr>
      <w:kern w:val="2"/>
      <w:sz w:val="18"/>
      <w:szCs w:val="18"/>
    </w:rPr>
  </w:style>
  <w:style w:type="character" w:customStyle="1" w:styleId="70">
    <w:name w:val="页眉 Char2"/>
    <w:qFormat/>
    <w:uiPriority w:val="99"/>
    <w:rPr>
      <w:kern w:val="2"/>
      <w:sz w:val="18"/>
      <w:szCs w:val="18"/>
    </w:rPr>
  </w:style>
  <w:style w:type="paragraph" w:customStyle="1" w:styleId="71">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2">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3">
    <w:name w:val="text-tag"/>
    <w:basedOn w:val="1"/>
    <w:semiHidden/>
    <w:qFormat/>
    <w:uiPriority w:val="99"/>
    <w:pPr>
      <w:spacing w:before="100" w:beforeAutospacing="1" w:after="100" w:afterAutospacing="1"/>
    </w:pPr>
    <w:rPr>
      <w:rFonts w:ascii="宋体" w:hAnsi="宋体" w:eastAsia="宋体" w:cs="宋体"/>
    </w:rPr>
  </w:style>
  <w:style w:type="character" w:customStyle="1" w:styleId="74">
    <w:name w:val="纯文本 Char_0"/>
    <w:link w:val="75"/>
    <w:qFormat/>
    <w:uiPriority w:val="0"/>
    <w:rPr>
      <w:rFonts w:ascii="宋体" w:hAnsi="Courier New"/>
      <w:kern w:val="2"/>
      <w:sz w:val="21"/>
      <w:szCs w:val="21"/>
    </w:rPr>
  </w:style>
  <w:style w:type="paragraph" w:customStyle="1" w:styleId="75">
    <w:name w:val="纯文本_0_0"/>
    <w:basedOn w:val="1"/>
    <w:link w:val="74"/>
    <w:qFormat/>
    <w:uiPriority w:val="0"/>
    <w:pPr>
      <w:widowControl w:val="0"/>
      <w:spacing w:after="0"/>
      <w:jc w:val="both"/>
    </w:pPr>
    <w:rPr>
      <w:rFonts w:ascii="宋体" w:hAnsi="Courier New" w:eastAsiaTheme="majorEastAsia"/>
      <w:kern w:val="2"/>
      <w:sz w:val="21"/>
      <w:szCs w:val="21"/>
    </w:rPr>
  </w:style>
  <w:style w:type="paragraph" w:customStyle="1" w:styleId="76">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7">
    <w:name w:val="批注框文本 Char"/>
    <w:basedOn w:val="27"/>
    <w:link w:val="19"/>
    <w:semiHidden/>
    <w:qFormat/>
    <w:uiPriority w:val="99"/>
    <w:rPr>
      <w:rFonts w:ascii="仿宋" w:hAnsi="仿宋" w:eastAsia="仿宋"/>
      <w:sz w:val="18"/>
      <w:szCs w:val="18"/>
    </w:rPr>
  </w:style>
  <w:style w:type="character" w:customStyle="1" w:styleId="78">
    <w:name w:val="正文文本 Char"/>
    <w:basedOn w:val="27"/>
    <w:link w:val="14"/>
    <w:qFormat/>
    <w:uiPriority w:val="0"/>
    <w:rPr>
      <w:rFonts w:ascii="宋体" w:hAnsi="Arial" w:eastAsia="仿宋" w:cs="Arial"/>
      <w:snapToGrid w:val="0"/>
      <w:sz w:val="24"/>
      <w:szCs w:val="21"/>
      <w:lang w:val="zh-CN"/>
    </w:rPr>
  </w:style>
  <w:style w:type="paragraph" w:customStyle="1" w:styleId="79">
    <w:name w:val="Body Text First Indent1"/>
    <w:basedOn w:val="14"/>
    <w:qFormat/>
    <w:uiPriority w:val="0"/>
    <w:pPr>
      <w:tabs>
        <w:tab w:val="left" w:pos="1275"/>
      </w:tabs>
      <w:spacing w:after="0"/>
      <w:ind w:firstLine="420" w:firstLineChars="100"/>
    </w:pPr>
  </w:style>
  <w:style w:type="character" w:customStyle="1" w:styleId="80">
    <w:name w:val="zbggmain style9"/>
    <w:qFormat/>
    <w:uiPriority w:val="0"/>
    <w:rPr>
      <w:rFonts w:ascii="Tahoma" w:hAnsi="Tahoma"/>
      <w:sz w:val="24"/>
      <w:szCs w:val="20"/>
    </w:rPr>
  </w:style>
  <w:style w:type="paragraph" w:customStyle="1" w:styleId="81">
    <w:name w:val="Default"/>
    <w:qFormat/>
    <w:uiPriority w:val="0"/>
    <w:pPr>
      <w:widowControl w:val="0"/>
      <w:autoSpaceDE w:val="0"/>
      <w:autoSpaceDN w:val="0"/>
      <w:adjustRightInd w:val="0"/>
      <w:spacing w:line="260" w:lineRule="atLeast"/>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大标题"/>
    <w:basedOn w:val="84"/>
    <w:qFormat/>
    <w:uiPriority w:val="0"/>
    <w:rPr>
      <w:szCs w:val="36"/>
    </w:rPr>
  </w:style>
  <w:style w:type="paragraph" w:customStyle="1" w:styleId="84">
    <w:name w:val="目录标题"/>
    <w:basedOn w:val="85"/>
    <w:next w:val="85"/>
    <w:qFormat/>
    <w:uiPriority w:val="0"/>
    <w:pPr>
      <w:jc w:val="center"/>
    </w:pPr>
  </w:style>
  <w:style w:type="paragraph" w:customStyle="1" w:styleId="85">
    <w:name w:val="第一部分"/>
    <w:basedOn w:val="1"/>
    <w:qFormat/>
    <w:uiPriority w:val="0"/>
    <w:pPr>
      <w:jc w:val="center"/>
    </w:pPr>
    <w:rPr>
      <w:rFonts w:ascii="Times New Roman" w:hAnsi="Times New Roman" w:eastAsia="宋体"/>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textRotate="1"/>
    <customShpInfo spid="_x0000_s2051" textRotate="1"/>
    <customShpInfo spid="_x0000_s2052"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FEE4D-06F9-423C-8793-6161373B66F3}">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53095</Words>
  <Characters>55679</Characters>
  <Lines>408</Lines>
  <Paragraphs>114</Paragraphs>
  <TotalTime>1</TotalTime>
  <ScaleCrop>false</ScaleCrop>
  <LinksUpToDate>false</LinksUpToDate>
  <CharactersWithSpaces>60737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DELL</cp:lastModifiedBy>
  <cp:lastPrinted>2022-11-23T00:21:00Z</cp:lastPrinted>
  <dcterms:modified xsi:type="dcterms:W3CDTF">2022-11-24T00:44:27Z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43CF6BF4E4D1499D9A711C36155E3FC7</vt:lpwstr>
  </property>
</Properties>
</file>