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jc w:val="center"/>
        <w:rPr>
          <w:rFonts w:hint="eastAsia" w:ascii="仿宋" w:hAnsi="仿宋" w:eastAsia="仿宋" w:cs="仿宋"/>
          <w:color w:val="auto"/>
          <w:sz w:val="40"/>
          <w:highlight w:val="none"/>
          <w:lang w:eastAsia="zh-CN"/>
        </w:rPr>
      </w:pPr>
      <w:r>
        <w:rPr>
          <w:rFonts w:hint="eastAsia" w:ascii="仿宋" w:hAnsi="仿宋" w:eastAsia="仿宋" w:cs="仿宋"/>
          <w:color w:val="auto"/>
          <w:sz w:val="44"/>
          <w:szCs w:val="44"/>
          <w:highlight w:val="none"/>
          <w:lang w:eastAsia="zh-CN"/>
        </w:rPr>
        <w:t>萧山区“耕地智保”铁塔高位视频探头项目</w:t>
      </w:r>
    </w:p>
    <w:p>
      <w:pPr>
        <w:jc w:val="center"/>
        <w:rPr>
          <w:rFonts w:hint="eastAsia" w:ascii="仿宋" w:hAnsi="仿宋" w:eastAsia="仿宋" w:cs="仿宋"/>
          <w:color w:val="auto"/>
          <w:sz w:val="40"/>
          <w:highlight w:val="none"/>
        </w:rPr>
      </w:pP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招标文件</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（电子招投标）</w:t>
      </w:r>
    </w:p>
    <w:p>
      <w:pPr>
        <w:jc w:val="center"/>
        <w:rPr>
          <w:rFonts w:hint="eastAsia" w:ascii="仿宋" w:hAnsi="仿宋" w:eastAsia="仿宋" w:cs="仿宋"/>
          <w:color w:val="auto"/>
          <w:sz w:val="36"/>
          <w:highlight w:val="none"/>
          <w:lang w:val="en-US" w:eastAsia="zh-CN"/>
        </w:rPr>
      </w:pPr>
      <w:r>
        <w:rPr>
          <w:rFonts w:hint="eastAsia" w:ascii="仿宋" w:hAnsi="仿宋" w:eastAsia="仿宋" w:cs="仿宋"/>
          <w:color w:val="auto"/>
          <w:sz w:val="36"/>
          <w:highlight w:val="none"/>
        </w:rPr>
        <w:t>编号</w:t>
      </w:r>
      <w:r>
        <w:rPr>
          <w:rFonts w:hint="eastAsia" w:ascii="仿宋" w:hAnsi="仿宋" w:eastAsia="仿宋" w:cs="仿宋"/>
          <w:color w:val="auto"/>
          <w:sz w:val="36"/>
          <w:highlight w:val="none"/>
          <w:lang w:eastAsia="zh-CN"/>
        </w:rPr>
        <w:t>：</w:t>
      </w:r>
      <w:r>
        <w:rPr>
          <w:rFonts w:hint="eastAsia" w:ascii="仿宋" w:hAnsi="仿宋" w:eastAsia="仿宋" w:cs="仿宋"/>
          <w:color w:val="auto"/>
          <w:sz w:val="36"/>
          <w:highlight w:val="none"/>
          <w:lang w:val="en-US" w:eastAsia="zh-CN"/>
        </w:rPr>
        <w:t>BWZB</w:t>
      </w:r>
      <w:r>
        <w:rPr>
          <w:rFonts w:hint="eastAsia" w:ascii="仿宋" w:hAnsi="仿宋" w:eastAsia="仿宋" w:cs="仿宋"/>
          <w:color w:val="auto"/>
          <w:sz w:val="36"/>
          <w:highlight w:val="none"/>
        </w:rPr>
        <w:t>2022-GK-ZCY124</w:t>
      </w:r>
    </w:p>
    <w:p>
      <w:pPr>
        <w:jc w:val="center"/>
        <w:rPr>
          <w:rFonts w:hint="eastAsia" w:ascii="仿宋" w:hAnsi="仿宋" w:eastAsia="仿宋" w:cs="仿宋"/>
          <w:color w:val="auto"/>
          <w:sz w:val="36"/>
          <w:highlight w:val="none"/>
        </w:rPr>
      </w:pPr>
    </w:p>
    <w:p>
      <w:pPr>
        <w:jc w:val="center"/>
        <w:rPr>
          <w:rFonts w:hint="eastAsia" w:ascii="仿宋" w:hAnsi="仿宋" w:eastAsia="仿宋" w:cs="仿宋"/>
          <w:color w:val="auto"/>
          <w:sz w:val="36"/>
          <w:highlight w:val="none"/>
        </w:rPr>
      </w:pPr>
    </w:p>
    <w:p>
      <w:pPr>
        <w:jc w:val="center"/>
        <w:rPr>
          <w:rFonts w:hint="eastAsia" w:ascii="仿宋" w:hAnsi="仿宋" w:eastAsia="仿宋" w:cs="仿宋"/>
          <w:color w:val="auto"/>
          <w:sz w:val="36"/>
          <w:highlight w:val="none"/>
        </w:rPr>
      </w:pPr>
    </w:p>
    <w:p>
      <w:pPr>
        <w:jc w:val="center"/>
        <w:rPr>
          <w:rFonts w:hint="eastAsia" w:ascii="仿宋" w:hAnsi="仿宋" w:eastAsia="仿宋" w:cs="仿宋"/>
          <w:color w:val="auto"/>
          <w:sz w:val="36"/>
          <w:highlight w:val="none"/>
        </w:rPr>
      </w:pPr>
    </w:p>
    <w:p>
      <w:pPr>
        <w:jc w:val="center"/>
        <w:rPr>
          <w:rFonts w:hint="eastAsia" w:ascii="仿宋" w:hAnsi="仿宋" w:eastAsia="仿宋" w:cs="仿宋"/>
          <w:color w:val="auto"/>
          <w:sz w:val="36"/>
          <w:highlight w:val="none"/>
        </w:rPr>
      </w:pPr>
    </w:p>
    <w:p>
      <w:pPr>
        <w:jc w:val="center"/>
        <w:rPr>
          <w:rFonts w:hint="eastAsia" w:ascii="仿宋" w:hAnsi="仿宋" w:eastAsia="仿宋" w:cs="仿宋"/>
          <w:color w:val="auto"/>
          <w:sz w:val="36"/>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sz w:val="36"/>
          <w:highlight w:val="none"/>
        </w:rPr>
      </w:pPr>
    </w:p>
    <w:p>
      <w:pPr>
        <w:jc w:val="center"/>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杭州市规划和自然资源局萧山分局</w:t>
      </w:r>
    </w:p>
    <w:p>
      <w:pPr>
        <w:jc w:val="center"/>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val="en-US" w:eastAsia="zh-CN"/>
        </w:rPr>
        <w:t>杭州博望建设工程招标投标代理有限公司</w:t>
      </w:r>
    </w:p>
    <w:p>
      <w:pPr>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lang w:val="en-US" w:eastAsia="zh-CN"/>
        </w:rPr>
        <w:t>2022</w:t>
      </w:r>
      <w:r>
        <w:rPr>
          <w:rFonts w:hint="eastAsia" w:ascii="仿宋" w:hAnsi="仿宋" w:eastAsia="仿宋" w:cs="仿宋"/>
          <w:color w:val="auto"/>
          <w:sz w:val="36"/>
          <w:highlight w:val="none"/>
        </w:rPr>
        <w:t>年</w:t>
      </w:r>
      <w:r>
        <w:rPr>
          <w:rFonts w:hint="eastAsia" w:ascii="仿宋" w:hAnsi="仿宋" w:eastAsia="仿宋" w:cs="仿宋"/>
          <w:color w:val="auto"/>
          <w:sz w:val="36"/>
          <w:highlight w:val="none"/>
          <w:lang w:val="en-US" w:eastAsia="zh-CN"/>
        </w:rPr>
        <w:t>11</w:t>
      </w:r>
      <w:r>
        <w:rPr>
          <w:rFonts w:hint="eastAsia" w:ascii="仿宋" w:hAnsi="仿宋" w:eastAsia="仿宋" w:cs="仿宋"/>
          <w:color w:val="auto"/>
          <w:sz w:val="36"/>
          <w:highlight w:val="none"/>
        </w:rPr>
        <w:t>月</w:t>
      </w:r>
      <w:r>
        <w:rPr>
          <w:rFonts w:hint="eastAsia" w:ascii="仿宋" w:hAnsi="仿宋" w:eastAsia="仿宋" w:cs="仿宋"/>
          <w:color w:val="auto"/>
          <w:sz w:val="36"/>
          <w:highlight w:val="none"/>
          <w:lang w:val="en-US" w:eastAsia="zh-CN"/>
        </w:rPr>
        <w:t>08</w:t>
      </w:r>
      <w:r>
        <w:rPr>
          <w:rFonts w:hint="eastAsia" w:ascii="仿宋" w:hAnsi="仿宋" w:eastAsia="仿宋" w:cs="仿宋"/>
          <w:color w:val="auto"/>
          <w:sz w:val="36"/>
          <w:highlight w:val="none"/>
        </w:rPr>
        <w:t>日</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本招标文件为2022年7月1日稿，请各位投标人详细阅读各项条款</w:t>
      </w:r>
      <w:r>
        <w:rPr>
          <w:rFonts w:hint="eastAsia" w:ascii="仿宋" w:hAnsi="仿宋" w:eastAsia="仿宋" w:cs="仿宋"/>
          <w:color w:val="auto"/>
          <w:highlight w:val="none"/>
          <w:lang w:eastAsia="zh-CN"/>
        </w:rPr>
        <w:t>。</w:t>
      </w: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目  录</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第一部分      招标公告</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第二部分      投标人须知</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第三部分      采购需求</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第四部分      评标办法</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第五部分      拟签订的合同文本</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第六部分      应提交的有关格式范例</w:t>
      </w:r>
    </w:p>
    <w:p>
      <w:pPr>
        <w:spacing w:line="276" w:lineRule="auto"/>
        <w:rPr>
          <w:rFonts w:hint="eastAsia" w:ascii="仿宋" w:hAnsi="仿宋" w:eastAsia="仿宋" w:cs="仿宋"/>
          <w:color w:val="auto"/>
          <w:sz w:val="32"/>
          <w:highlight w:val="none"/>
        </w:rPr>
      </w:pP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第一部分 招标公告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rFonts w:hint="eastAsia" w:ascii="仿宋" w:hAnsi="仿宋" w:eastAsia="仿宋" w:cs="仿宋"/>
                <w:color w:val="auto"/>
                <w:highlight w:val="none"/>
              </w:rPr>
            </w:pPr>
            <w:r>
              <w:rPr>
                <w:rFonts w:hint="eastAsia" w:ascii="仿宋" w:hAnsi="仿宋" w:eastAsia="仿宋" w:cs="仿宋"/>
                <w:color w:val="auto"/>
                <w:highlight w:val="none"/>
              </w:rPr>
              <w:t>项目概况</w:t>
            </w:r>
          </w:p>
          <w:p>
            <w:pPr>
              <w:spacing w:after="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萧山区“耕地智保”铁塔高位视频探头项目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"https://www.zcygov.cn/）获取（下载）招标文件，并于2021年" </w:instrText>
            </w:r>
            <w:r>
              <w:rPr>
                <w:rFonts w:hint="eastAsia" w:ascii="仿宋" w:hAnsi="仿宋" w:eastAsia="仿宋" w:cs="仿宋"/>
                <w:color w:val="auto"/>
                <w:sz w:val="24"/>
                <w:szCs w:val="24"/>
                <w:highlight w:val="none"/>
              </w:rPr>
              <w:fldChar w:fldCharType="separate"/>
            </w:r>
            <w:r>
              <w:rPr>
                <w:rStyle w:val="28"/>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pPr>
              <w:spacing w:after="0"/>
              <w:rPr>
                <w:rFonts w:hint="eastAsia" w:ascii="仿宋" w:hAnsi="仿宋" w:eastAsia="仿宋" w:cs="仿宋"/>
                <w:color w:val="auto"/>
                <w:highlight w:val="none"/>
              </w:rPr>
            </w:pPr>
          </w:p>
        </w:tc>
      </w:tr>
    </w:tbl>
    <w:p>
      <w:pPr>
        <w:rPr>
          <w:rFonts w:hint="eastAsia" w:ascii="仿宋" w:hAnsi="仿宋" w:eastAsia="仿宋" w:cs="仿宋"/>
          <w:b/>
          <w:color w:val="auto"/>
          <w:highlight w:val="none"/>
        </w:rPr>
      </w:pPr>
      <w:r>
        <w:rPr>
          <w:rFonts w:hint="eastAsia" w:ascii="仿宋" w:hAnsi="仿宋" w:eastAsia="仿宋" w:cs="仿宋"/>
          <w:b/>
          <w:color w:val="auto"/>
          <w:highlight w:val="none"/>
        </w:rPr>
        <w:t xml:space="preserve">一、项目基本情况                                            </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val="en-US" w:eastAsia="zh-CN"/>
        </w:rPr>
        <w:t>BWZB</w:t>
      </w:r>
      <w:r>
        <w:rPr>
          <w:rFonts w:hint="eastAsia" w:ascii="仿宋" w:hAnsi="仿宋" w:eastAsia="仿宋" w:cs="仿宋"/>
          <w:color w:val="auto"/>
          <w:highlight w:val="none"/>
        </w:rPr>
        <w:t>2022-GK-ZCY124</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萧山区“耕地智保”铁塔高位视频探头项目</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24000000</w:t>
      </w:r>
      <w:r>
        <w:rPr>
          <w:rFonts w:hint="eastAsia" w:ascii="仿宋" w:hAnsi="仿宋" w:eastAsia="仿宋" w:cs="仿宋"/>
          <w:color w:val="auto"/>
          <w:highlight w:val="none"/>
          <w:lang w:val="en-US" w:eastAsia="zh-CN"/>
        </w:rPr>
        <w:t>.00</w:t>
      </w:r>
    </w:p>
    <w:p>
      <w:pPr>
        <w:rPr>
          <w:rFonts w:hint="eastAsia" w:ascii="仿宋" w:hAnsi="仿宋" w:eastAsia="仿宋" w:cs="仿宋"/>
          <w:color w:val="auto"/>
          <w:highlight w:val="none"/>
        </w:rPr>
      </w:pPr>
      <w:r>
        <w:rPr>
          <w:rFonts w:hint="eastAsia" w:ascii="仿宋" w:hAnsi="仿宋" w:eastAsia="仿宋" w:cs="仿宋"/>
          <w:color w:val="auto"/>
          <w:highlight w:val="none"/>
        </w:rPr>
        <w:t>最高限价（元）：</w:t>
      </w:r>
      <w:r>
        <w:rPr>
          <w:rFonts w:hint="eastAsia" w:ascii="仿宋" w:hAnsi="仿宋" w:eastAsia="仿宋" w:cs="仿宋"/>
          <w:color w:val="auto"/>
          <w:highlight w:val="none"/>
          <w:lang w:val="en-US" w:eastAsia="zh-CN"/>
        </w:rPr>
        <w:t>24000000</w:t>
      </w:r>
      <w:r>
        <w:rPr>
          <w:rFonts w:hint="eastAsia" w:ascii="仿宋" w:hAnsi="仿宋" w:eastAsia="仿宋" w:cs="仿宋"/>
          <w:color w:val="auto"/>
          <w:highlight w:val="none"/>
          <w:lang w:val="en-US" w:eastAsia="zh-CN"/>
        </w:rPr>
        <w:t>.00</w:t>
      </w:r>
    </w:p>
    <w:p>
      <w:pPr>
        <w:rPr>
          <w:rFonts w:hint="eastAsia" w:ascii="仿宋" w:hAnsi="仿宋" w:eastAsia="仿宋" w:cs="仿宋"/>
          <w:color w:val="auto"/>
          <w:highlight w:val="none"/>
        </w:rPr>
      </w:pPr>
      <w:r>
        <w:rPr>
          <w:rFonts w:hint="eastAsia" w:ascii="仿宋" w:hAnsi="仿宋" w:eastAsia="仿宋" w:cs="仿宋"/>
          <w:color w:val="auto"/>
          <w:highlight w:val="none"/>
        </w:rPr>
        <w:t>采购需求：</w:t>
      </w:r>
      <w:r>
        <w:rPr>
          <w:rFonts w:hint="eastAsia" w:ascii="仿宋" w:hAnsi="仿宋" w:eastAsia="仿宋" w:cs="仿宋"/>
          <w:color w:val="auto"/>
          <w:highlight w:val="none"/>
          <w:lang w:eastAsia="zh-CN"/>
        </w:rPr>
        <w:t>萧山区“耕地智保”铁塔高位视频探头，</w:t>
      </w:r>
      <w:r>
        <w:rPr>
          <w:rFonts w:hint="eastAsia" w:ascii="仿宋" w:hAnsi="仿宋" w:eastAsia="仿宋" w:cs="仿宋"/>
          <w:color w:val="auto"/>
          <w:highlight w:val="none"/>
          <w:lang w:val="en-US" w:eastAsia="zh-CN"/>
        </w:rPr>
        <w:t>服务期3年</w:t>
      </w:r>
      <w:r>
        <w:rPr>
          <w:rFonts w:hint="eastAsia" w:ascii="仿宋" w:hAnsi="仿宋" w:eastAsia="仿宋" w:cs="仿宋"/>
          <w:color w:val="auto"/>
          <w:highlight w:val="none"/>
        </w:rPr>
        <w:t>。详见招标文件第三部分采购需求</w:t>
      </w:r>
    </w:p>
    <w:p>
      <w:pPr>
        <w:rPr>
          <w:rFonts w:hint="eastAsia" w:ascii="仿宋" w:hAnsi="仿宋" w:eastAsia="仿宋" w:cs="仿宋"/>
          <w:color w:val="auto"/>
          <w:highlight w:val="none"/>
        </w:rPr>
      </w:pPr>
      <w:r>
        <w:rPr>
          <w:rFonts w:hint="eastAsia" w:ascii="仿宋" w:hAnsi="仿宋" w:eastAsia="仿宋" w:cs="仿宋"/>
          <w:color w:val="auto"/>
          <w:highlight w:val="none"/>
        </w:rPr>
        <w:t>合同履约期限：详见招标文件第三部分采购需求</w:t>
      </w:r>
    </w:p>
    <w:p>
      <w:pPr>
        <w:rPr>
          <w:rFonts w:hint="eastAsia" w:ascii="仿宋" w:hAnsi="仿宋" w:eastAsia="仿宋" w:cs="仿宋"/>
          <w:color w:val="auto"/>
          <w:highlight w:val="none"/>
        </w:rPr>
      </w:pPr>
      <w:r>
        <w:rPr>
          <w:rFonts w:hint="eastAsia" w:ascii="仿宋" w:hAnsi="仿宋" w:eastAsia="仿宋" w:cs="仿宋"/>
          <w:color w:val="auto"/>
          <w:highlight w:val="none"/>
        </w:rPr>
        <w:t>本项目接受联合体投标：（√）是；（ ）否 。</w:t>
      </w:r>
    </w:p>
    <w:p>
      <w:pPr>
        <w:rPr>
          <w:rFonts w:hint="eastAsia" w:ascii="仿宋" w:hAnsi="仿宋" w:eastAsia="仿宋" w:cs="仿宋"/>
          <w:color w:val="auto"/>
          <w:highlight w:val="none"/>
        </w:rPr>
      </w:pPr>
      <w:r>
        <w:rPr>
          <w:rFonts w:hint="eastAsia" w:ascii="仿宋" w:hAnsi="仿宋" w:eastAsia="仿宋" w:cs="仿宋"/>
          <w:b/>
          <w:color w:val="auto"/>
          <w:highlight w:val="none"/>
        </w:rPr>
        <w:t>二、申请人的资格要求</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（√）无；</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）专门面向中小企业</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）货物全部由符合政策要求的中小企业制造，提供中小企业声明函；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）货物全部由符合政策要求的小微企业制造，提供中小企业声明函；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）服务全部由符合政策要求的中小企业承接，提供中小企业声明函；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）服务全部由符合政策要求的小微企业承接，提供中小企业声明函；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）要求以联合体形式参加，提供联合协议和中小企业声明函，联合协议中中小企业合同金额应当达到  %，小微企业合同金额应当达到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如果供应商本身提供所有标的均由中小企业制造、承建或承接，视同符合了资格条件，无需再与其他中小企业组成联合体参加政府采购活动，无需提供联合协议；</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）要求合同分包，提供分包意向协议和中小企业声明函，分包意向协议中中小企业合同金额应当达到达到  % ，小微企业合同金额应当达到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如果供应商本身提供所有标的均由中小企业制造、承建或承接，视同符合了资格条件，无需再向中小企业分包，无需提供分包意向协议；</w:t>
      </w:r>
    </w:p>
    <w:p>
      <w:pPr>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3.本项目的特定资格要求：无；</w:t>
      </w:r>
    </w:p>
    <w:p>
      <w:pPr>
        <w:rPr>
          <w:rFonts w:hint="eastAsia" w:ascii="仿宋" w:hAnsi="仿宋" w:eastAsia="仿宋" w:cs="仿宋"/>
          <w:color w:val="auto"/>
          <w:highlight w:val="none"/>
        </w:rPr>
      </w:pPr>
      <w:r>
        <w:rPr>
          <w:rFonts w:hint="eastAsia" w:ascii="仿宋" w:hAnsi="仿宋" w:eastAsia="仿宋" w:cs="仿宋"/>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仿宋" w:hAnsi="仿宋" w:eastAsia="仿宋" w:cs="仿宋"/>
          <w:b/>
          <w:color w:val="auto"/>
          <w:highlight w:val="none"/>
        </w:rPr>
      </w:pPr>
      <w:r>
        <w:rPr>
          <w:rFonts w:hint="eastAsia" w:ascii="仿宋" w:hAnsi="仿宋" w:eastAsia="仿宋" w:cs="仿宋"/>
          <w:b/>
          <w:color w:val="auto"/>
          <w:highlight w:val="none"/>
        </w:rPr>
        <w:t xml:space="preserve">三、获取招标文件 </w:t>
      </w:r>
    </w:p>
    <w:p>
      <w:pPr>
        <w:rPr>
          <w:rFonts w:hint="eastAsia" w:ascii="仿宋" w:hAnsi="仿宋" w:eastAsia="仿宋" w:cs="仿宋"/>
          <w:color w:val="auto"/>
          <w:highlight w:val="none"/>
        </w:rPr>
      </w:pPr>
      <w:r>
        <w:rPr>
          <w:rFonts w:hint="eastAsia" w:ascii="仿宋" w:hAnsi="仿宋" w:eastAsia="仿宋" w:cs="仿宋"/>
          <w:color w:val="auto"/>
          <w:highlight w:val="none"/>
        </w:rPr>
        <w:t>时间：/至202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28</w:t>
      </w:r>
      <w:r>
        <w:rPr>
          <w:rFonts w:hint="eastAsia" w:ascii="仿宋" w:hAnsi="仿宋" w:eastAsia="仿宋" w:cs="仿宋"/>
          <w:color w:val="auto"/>
          <w:highlight w:val="none"/>
        </w:rPr>
        <w:t>日，每天上午00:00至12:00 ，下午12:00至23:59（北京时间，线上获取法定节假日均可，线下获取文件法定节假日除外）</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地点（网址）：政采云平台（https://www.zcygov.cn/）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方式：供应商登录政采云平台https://www.zcygov.cn/在线申请获取采购文件（进入“项目采购”应用，在获取采购文件菜单中选择项目，申请获取采购文件）。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售价（元）：0 </w:t>
      </w:r>
      <w:r>
        <w:rPr>
          <w:rFonts w:hint="eastAsia" w:ascii="仿宋" w:hAnsi="仿宋" w:eastAsia="仿宋" w:cs="仿宋"/>
          <w:color w:val="auto"/>
          <w:highlight w:val="none"/>
        </w:rPr>
        <w:tab/>
      </w:r>
    </w:p>
    <w:p>
      <w:pPr>
        <w:rPr>
          <w:rFonts w:hint="eastAsia" w:ascii="仿宋" w:hAnsi="仿宋" w:eastAsia="仿宋" w:cs="仿宋"/>
          <w:b/>
          <w:color w:val="auto"/>
          <w:highlight w:val="none"/>
        </w:rPr>
      </w:pPr>
      <w:r>
        <w:rPr>
          <w:rFonts w:hint="eastAsia" w:ascii="仿宋" w:hAnsi="仿宋" w:eastAsia="仿宋" w:cs="仿宋"/>
          <w:b/>
          <w:color w:val="auto"/>
          <w:highlight w:val="none"/>
        </w:rPr>
        <w:t>四、提交投标文件截止时间、开标时间和地点</w:t>
      </w:r>
    </w:p>
    <w:p>
      <w:pPr>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28</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点</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分（北京时间）</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投标地点（网址）：政采云平台（https://www.zcygov.cn/） </w:t>
      </w:r>
    </w:p>
    <w:p>
      <w:pPr>
        <w:rPr>
          <w:rFonts w:hint="eastAsia" w:ascii="仿宋" w:hAnsi="仿宋" w:eastAsia="仿宋" w:cs="仿宋"/>
          <w:color w:val="auto"/>
          <w:highlight w:val="none"/>
        </w:rPr>
      </w:pPr>
      <w:r>
        <w:rPr>
          <w:rFonts w:hint="eastAsia" w:ascii="仿宋" w:hAnsi="仿宋" w:eastAsia="仿宋" w:cs="仿宋"/>
          <w:color w:val="auto"/>
          <w:highlight w:val="none"/>
        </w:rPr>
        <w:t>开标时间：202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28</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点</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w:t>
      </w:r>
    </w:p>
    <w:p>
      <w:pPr>
        <w:rPr>
          <w:rFonts w:hint="eastAsia" w:ascii="仿宋" w:hAnsi="仿宋" w:eastAsia="仿宋" w:cs="仿宋"/>
          <w:color w:val="auto"/>
          <w:highlight w:val="none"/>
        </w:rPr>
      </w:pPr>
      <w:r>
        <w:rPr>
          <w:rFonts w:hint="eastAsia" w:ascii="仿宋" w:hAnsi="仿宋" w:eastAsia="仿宋" w:cs="仿宋"/>
          <w:color w:val="auto"/>
          <w:highlight w:val="none"/>
        </w:rPr>
        <w:t>开标地点（网址）：政采云平台（https://www.zcygov.cn/）。</w:t>
      </w:r>
    </w:p>
    <w:p>
      <w:pPr>
        <w:rPr>
          <w:rFonts w:hint="eastAsia" w:ascii="仿宋" w:hAnsi="仿宋" w:eastAsia="仿宋" w:cs="仿宋"/>
          <w:b/>
          <w:color w:val="auto"/>
          <w:highlight w:val="none"/>
        </w:rPr>
      </w:pPr>
      <w:r>
        <w:rPr>
          <w:rFonts w:hint="eastAsia" w:ascii="仿宋" w:hAnsi="仿宋" w:eastAsia="仿宋" w:cs="仿宋"/>
          <w:b/>
          <w:color w:val="auto"/>
          <w:highlight w:val="none"/>
        </w:rPr>
        <w:t xml:space="preserve">五、公告期限 </w:t>
      </w:r>
    </w:p>
    <w:p>
      <w:pPr>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pPr>
        <w:rPr>
          <w:rFonts w:hint="eastAsia" w:ascii="仿宋" w:hAnsi="仿宋" w:eastAsia="仿宋" w:cs="仿宋"/>
          <w:color w:val="auto"/>
          <w:highlight w:val="none"/>
        </w:rPr>
      </w:pPr>
      <w:r>
        <w:rPr>
          <w:rFonts w:hint="eastAsia" w:ascii="仿宋" w:hAnsi="仿宋" w:eastAsia="仿宋" w:cs="仿宋"/>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仿宋" w:hAnsi="仿宋" w:eastAsia="仿宋" w:cs="仿宋"/>
          <w:color w:val="auto"/>
          <w:highlight w:val="none"/>
        </w:rPr>
      </w:pPr>
      <w:r>
        <w:rPr>
          <w:rFonts w:hint="eastAsia" w:ascii="仿宋" w:hAnsi="仿宋" w:eastAsia="仿宋" w:cs="仿宋"/>
          <w:color w:val="auto"/>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pPr>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杭州市规划和自然资源局萧山分局</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浙江省杭州市萧山区育才北路508号</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项目联系人（询问）：莫达超</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项目联系方式（询问）：0571-82713115</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质疑联系人：王杨妮</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质疑联系方式：</w:t>
      </w:r>
      <w:bookmarkStart w:id="0" w:name="_Toc28359009"/>
      <w:bookmarkStart w:id="1" w:name="_Toc28359086"/>
      <w:r>
        <w:rPr>
          <w:rFonts w:hint="eastAsia" w:ascii="仿宋" w:hAnsi="仿宋" w:eastAsia="仿宋" w:cs="仿宋"/>
          <w:color w:val="auto"/>
          <w:highlight w:val="none"/>
        </w:rPr>
        <w:t>0571-83813207</w:t>
      </w:r>
    </w:p>
    <w:p>
      <w:pPr>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bookmarkEnd w:id="0"/>
      <w:bookmarkEnd w:id="1"/>
    </w:p>
    <w:p>
      <w:pPr>
        <w:rPr>
          <w:rFonts w:hint="eastAsia" w:ascii="仿宋" w:hAnsi="仿宋" w:eastAsia="仿宋" w:cs="仿宋"/>
          <w:color w:val="auto"/>
          <w:highlight w:val="none"/>
        </w:rPr>
      </w:pPr>
      <w:r>
        <w:rPr>
          <w:rFonts w:hint="eastAsia" w:ascii="仿宋" w:hAnsi="仿宋" w:eastAsia="仿宋" w:cs="仿宋"/>
          <w:color w:val="auto"/>
          <w:highlight w:val="none"/>
        </w:rPr>
        <w:t>名称：</w:t>
      </w:r>
      <w:r>
        <w:rPr>
          <w:rFonts w:hint="eastAsia" w:ascii="仿宋" w:hAnsi="仿宋" w:eastAsia="仿宋" w:cs="仿宋"/>
          <w:color w:val="auto"/>
          <w:highlight w:val="none"/>
          <w:lang w:val="en-US" w:eastAsia="zh-CN"/>
        </w:rPr>
        <w:t>杭州博望建设工程招标投标代理有限公司</w:t>
      </w:r>
    </w:p>
    <w:p>
      <w:pPr>
        <w:rPr>
          <w:rFonts w:hint="eastAsia" w:ascii="仿宋" w:hAnsi="仿宋" w:eastAsia="仿宋" w:cs="仿宋"/>
          <w:color w:val="auto"/>
          <w:highlight w:val="none"/>
        </w:rPr>
      </w:pPr>
      <w:r>
        <w:rPr>
          <w:rFonts w:hint="eastAsia" w:ascii="仿宋" w:hAnsi="仿宋" w:eastAsia="仿宋" w:cs="仿宋"/>
          <w:color w:val="auto"/>
          <w:highlight w:val="none"/>
        </w:rPr>
        <w:t>地址：杭州市萧山区金城路433号天汇园一幢A座5楼</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传真：</w:t>
      </w:r>
      <w:r>
        <w:rPr>
          <w:rFonts w:hint="eastAsia" w:ascii="仿宋" w:hAnsi="仿宋" w:eastAsia="仿宋" w:cs="仿宋"/>
          <w:color w:val="auto"/>
          <w:highlight w:val="none"/>
          <w:lang w:val="en-US" w:eastAsia="zh-CN"/>
        </w:rPr>
        <w:t>0571-83881208</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赵鑫华</w:t>
      </w:r>
    </w:p>
    <w:p>
      <w:pPr>
        <w:rPr>
          <w:rFonts w:hint="eastAsia" w:ascii="仿宋" w:hAnsi="仿宋" w:eastAsia="仿宋" w:cs="仿宋"/>
          <w:color w:val="auto"/>
          <w:highlight w:val="none"/>
        </w:rPr>
      </w:pPr>
      <w:r>
        <w:rPr>
          <w:rFonts w:hint="eastAsia" w:ascii="仿宋" w:hAnsi="仿宋" w:eastAsia="仿宋" w:cs="仿宋"/>
          <w:color w:val="auto"/>
          <w:highlight w:val="none"/>
        </w:rPr>
        <w:t>项目联系方式（询问）：</w:t>
      </w:r>
      <w:r>
        <w:rPr>
          <w:rFonts w:hint="eastAsia" w:ascii="仿宋" w:hAnsi="仿宋" w:eastAsia="仿宋" w:cs="仿宋"/>
          <w:color w:val="auto"/>
          <w:highlight w:val="none"/>
          <w:lang w:val="en-US" w:eastAsia="zh-CN"/>
        </w:rPr>
        <w:t>0571-83881208</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高华萍</w:t>
      </w:r>
    </w:p>
    <w:p>
      <w:pPr>
        <w:rPr>
          <w:rFonts w:hint="eastAsia" w:ascii="仿宋" w:hAnsi="仿宋" w:eastAsia="仿宋" w:cs="仿宋"/>
          <w:color w:val="auto"/>
          <w:highlight w:val="none"/>
        </w:rPr>
      </w:pPr>
      <w:r>
        <w:rPr>
          <w:rFonts w:hint="eastAsia" w:ascii="仿宋" w:hAnsi="仿宋" w:eastAsia="仿宋" w:cs="仿宋"/>
          <w:color w:val="auto"/>
          <w:highlight w:val="none"/>
        </w:rPr>
        <w:t>质疑联系方式：</w:t>
      </w:r>
      <w:r>
        <w:rPr>
          <w:rFonts w:hint="eastAsia" w:ascii="仿宋" w:hAnsi="仿宋" w:eastAsia="仿宋" w:cs="仿宋"/>
          <w:color w:val="auto"/>
          <w:highlight w:val="none"/>
          <w:lang w:val="en-US" w:eastAsia="zh-CN"/>
        </w:rPr>
        <w:t>0571-83881208</w:t>
      </w:r>
    </w:p>
    <w:p>
      <w:pPr>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            </w:t>
      </w:r>
    </w:p>
    <w:p>
      <w:pPr>
        <w:rPr>
          <w:rFonts w:hint="eastAsia" w:ascii="仿宋" w:hAnsi="仿宋" w:eastAsia="仿宋" w:cs="仿宋"/>
          <w:color w:val="auto"/>
          <w:highlight w:val="none"/>
        </w:rPr>
      </w:pPr>
      <w:r>
        <w:rPr>
          <w:rFonts w:hint="eastAsia" w:ascii="仿宋" w:hAnsi="仿宋" w:eastAsia="仿宋" w:cs="仿宋"/>
          <w:color w:val="auto"/>
          <w:highlight w:val="none"/>
        </w:rPr>
        <w:t>名称：萧山区财政局             </w:t>
      </w:r>
    </w:p>
    <w:p>
      <w:pPr>
        <w:rPr>
          <w:rFonts w:hint="eastAsia" w:ascii="仿宋" w:hAnsi="仿宋" w:eastAsia="仿宋" w:cs="仿宋"/>
          <w:color w:val="auto"/>
          <w:highlight w:val="none"/>
        </w:rPr>
      </w:pPr>
      <w:r>
        <w:rPr>
          <w:rFonts w:hint="eastAsia" w:ascii="仿宋" w:hAnsi="仿宋" w:eastAsia="仿宋" w:cs="仿宋"/>
          <w:color w:val="auto"/>
          <w:highlight w:val="none"/>
        </w:rPr>
        <w:t>地址：萧山区人民路318号             </w:t>
      </w:r>
    </w:p>
    <w:p>
      <w:pPr>
        <w:rPr>
          <w:rFonts w:hint="eastAsia" w:ascii="仿宋" w:hAnsi="仿宋" w:eastAsia="仿宋" w:cs="仿宋"/>
          <w:color w:val="auto"/>
          <w:highlight w:val="none"/>
        </w:rPr>
      </w:pPr>
      <w:r>
        <w:rPr>
          <w:rFonts w:hint="eastAsia" w:ascii="仿宋" w:hAnsi="仿宋" w:eastAsia="仿宋" w:cs="仿宋"/>
          <w:color w:val="auto"/>
          <w:highlight w:val="none"/>
        </w:rPr>
        <w:t>传真：0571-82756122          </w:t>
      </w:r>
    </w:p>
    <w:p>
      <w:pPr>
        <w:rPr>
          <w:rFonts w:hint="eastAsia" w:ascii="仿宋" w:hAnsi="仿宋" w:eastAsia="仿宋" w:cs="仿宋"/>
          <w:color w:val="auto"/>
          <w:highlight w:val="none"/>
        </w:rPr>
      </w:pPr>
      <w:r>
        <w:rPr>
          <w:rFonts w:hint="eastAsia" w:ascii="仿宋" w:hAnsi="仿宋" w:eastAsia="仿宋" w:cs="仿宋"/>
          <w:color w:val="auto"/>
          <w:highlight w:val="none"/>
        </w:rPr>
        <w:t>联系人 ：汤先生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监督投诉电话：0571-82756122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若对项目采购电子交易系统操作有疑问，可登录政采云（https://www.zcygov.cn/），点击右侧咨询小采，获取采小蜜智能服务管家帮助，或拨打政采云服务热线400-881-7190获取热线服务帮助。</w:t>
      </w:r>
    </w:p>
    <w:p>
      <w:pPr>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第二部分 投标人须知</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24"/>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事项</w:t>
            </w:r>
          </w:p>
        </w:tc>
        <w:tc>
          <w:tcPr>
            <w:tcW w:w="3867"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3867" w:type="pct"/>
            <w:vAlign w:val="center"/>
          </w:tcPr>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）A货物类，单一产品或核心产品为：</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3867" w:type="pct"/>
            <w:vAlign w:val="center"/>
          </w:tcPr>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（1）标的：</w:t>
            </w:r>
            <w:r>
              <w:rPr>
                <w:rFonts w:hint="eastAsia" w:ascii="仿宋" w:hAnsi="仿宋" w:eastAsia="仿宋" w:cs="仿宋"/>
                <w:b w:val="0"/>
                <w:bCs w:val="0"/>
                <w:color w:val="auto"/>
                <w:sz w:val="24"/>
                <w:szCs w:val="24"/>
                <w:highlight w:val="none"/>
                <w:u w:val="single"/>
                <w:lang w:eastAsia="zh-CN"/>
              </w:rPr>
              <w:t>萧山区“耕地智保”铁塔高位视频探头</w:t>
            </w:r>
            <w:r>
              <w:rPr>
                <w:rFonts w:hint="eastAsia" w:ascii="仿宋" w:hAnsi="仿宋" w:eastAsia="仿宋" w:cs="仿宋"/>
                <w:b w:val="0"/>
                <w:bCs w:val="0"/>
                <w:color w:val="auto"/>
                <w:sz w:val="24"/>
                <w:szCs w:val="24"/>
                <w:highlight w:val="none"/>
              </w:rPr>
              <w:t>，属于</w:t>
            </w:r>
            <w:r>
              <w:rPr>
                <w:rFonts w:hint="eastAsia" w:ascii="仿宋" w:hAnsi="仿宋" w:eastAsia="仿宋" w:cs="仿宋"/>
                <w:b w:val="0"/>
                <w:bCs w:val="0"/>
                <w:color w:val="auto"/>
                <w:sz w:val="24"/>
                <w:szCs w:val="24"/>
                <w:highlight w:val="none"/>
                <w:u w:val="single"/>
              </w:rPr>
              <w:t>其他未列明行业（技术服务业）</w:t>
            </w:r>
            <w:r>
              <w:rPr>
                <w:rFonts w:hint="eastAsia" w:ascii="仿宋" w:hAnsi="仿宋" w:eastAsia="仿宋" w:cs="仿宋"/>
                <w:b w:val="0"/>
                <w:bCs w:val="0"/>
                <w:color w:val="auto"/>
                <w:sz w:val="24"/>
                <w:szCs w:val="24"/>
                <w:highlight w:val="none"/>
              </w:rPr>
              <w:t>行业；</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行业划分标准：</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3867" w:type="pct"/>
            <w:vAlign w:val="center"/>
          </w:tcPr>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）本项目不允许采购进口产品。</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）可以就    采购进口产品。</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分包</w:t>
            </w:r>
          </w:p>
        </w:tc>
        <w:tc>
          <w:tcPr>
            <w:tcW w:w="3867" w:type="pct"/>
            <w:vAlign w:val="center"/>
          </w:tcPr>
          <w:p>
            <w:pPr>
              <w:snapToGrid w:val="0"/>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）A同意将非主体、非关键性的</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工作分包。</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3867" w:type="pct"/>
            <w:vAlign w:val="center"/>
          </w:tcPr>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（√）A不组织。</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）B组织，时间：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,地点：</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联系人：</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样品提供</w:t>
            </w:r>
          </w:p>
        </w:tc>
        <w:tc>
          <w:tcPr>
            <w:tcW w:w="3867" w:type="pct"/>
            <w:vAlign w:val="center"/>
          </w:tcPr>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方案讲解演示</w:t>
            </w:r>
          </w:p>
        </w:tc>
        <w:tc>
          <w:tcPr>
            <w:tcW w:w="3867" w:type="pct"/>
            <w:vAlign w:val="center"/>
          </w:tcPr>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）A不要求。</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（√）B要求演示，</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1、现场演示讲解：在评标时安排投标人现场演示，每个投标人演示讲解时间不超过</w:t>
            </w: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b w:val="0"/>
                <w:bCs w:val="0"/>
                <w:color w:val="auto"/>
                <w:sz w:val="24"/>
                <w:szCs w:val="24"/>
                <w:highlight w:val="none"/>
              </w:rPr>
              <w:t>分钟。讲解次序以投标文件解密时间先后次序为准，演示讲解人员不超过2人，且必须包含法定代表人或其授权代表；现场演示人员进场时携带身份证、样品（演示）授权委托书（</w:t>
            </w:r>
            <w:r>
              <w:rPr>
                <w:rFonts w:hint="eastAsia" w:ascii="仿宋" w:hAnsi="仿宋" w:eastAsia="仿宋" w:cs="仿宋"/>
                <w:b w:val="0"/>
                <w:bCs w:val="0"/>
                <w:color w:val="auto"/>
                <w:sz w:val="24"/>
                <w:szCs w:val="24"/>
                <w:highlight w:val="none"/>
                <w:lang w:val="en-US" w:eastAsia="zh-CN"/>
              </w:rPr>
              <w:t>授权委托书</w:t>
            </w:r>
            <w:r>
              <w:rPr>
                <w:rFonts w:hint="eastAsia" w:ascii="仿宋" w:hAnsi="仿宋" w:eastAsia="仿宋" w:cs="仿宋"/>
                <w:b w:val="0"/>
                <w:bCs w:val="0"/>
                <w:color w:val="auto"/>
                <w:sz w:val="24"/>
                <w:szCs w:val="24"/>
                <w:highlight w:val="none"/>
              </w:rPr>
              <w:t>详见招标文件格式范例附件</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，法人代表可不携带</w:t>
            </w:r>
            <w:r>
              <w:rPr>
                <w:rFonts w:hint="eastAsia" w:ascii="仿宋" w:hAnsi="仿宋" w:eastAsia="仿宋" w:cs="仿宋"/>
                <w:b w:val="0"/>
                <w:bCs w:val="0"/>
                <w:color w:val="auto"/>
                <w:sz w:val="24"/>
                <w:szCs w:val="24"/>
                <w:highlight w:val="none"/>
                <w:lang w:val="en-US" w:eastAsia="zh-CN"/>
              </w:rPr>
              <w:t>授权委托书</w:t>
            </w:r>
            <w:r>
              <w:rPr>
                <w:rFonts w:hint="eastAsia" w:ascii="仿宋" w:hAnsi="仿宋" w:eastAsia="仿宋" w:cs="仿宋"/>
                <w:b w:val="0"/>
                <w:bCs w:val="0"/>
                <w:color w:val="auto"/>
                <w:sz w:val="24"/>
                <w:szCs w:val="24"/>
                <w:highlight w:val="none"/>
              </w:rPr>
              <w:t>，法人代表携带身份证</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营业执照复印件），否则不得进场。现场演示后按要求解答评标委员会的提问。</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2、现场讲解到场时间：开标当天</w:t>
            </w: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00</w:t>
            </w:r>
            <w:r>
              <w:rPr>
                <w:rFonts w:hint="eastAsia" w:ascii="仿宋" w:hAnsi="仿宋" w:eastAsia="仿宋" w:cs="仿宋"/>
                <w:b w:val="0"/>
                <w:bCs w:val="0"/>
                <w:color w:val="auto"/>
                <w:sz w:val="24"/>
                <w:szCs w:val="24"/>
                <w:highlight w:val="none"/>
              </w:rPr>
              <w:t>至</w:t>
            </w: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到杭州博望建设工程招标投标代理有限公司</w:t>
            </w:r>
            <w:r>
              <w:rPr>
                <w:rFonts w:hint="eastAsia" w:ascii="仿宋" w:hAnsi="仿宋" w:eastAsia="仿宋" w:cs="仿宋"/>
                <w:b w:val="0"/>
                <w:bCs w:val="0"/>
                <w:color w:val="auto"/>
                <w:sz w:val="24"/>
                <w:szCs w:val="24"/>
                <w:highlight w:val="none"/>
                <w:lang w:val="en-US" w:eastAsia="zh-CN"/>
              </w:rPr>
              <w:t>开标室</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杭州市萧山区金城路433号天汇园一幢A座5楼</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等候</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截止时间同提交投标文件截止时间（开标时间）</w:t>
            </w:r>
            <w:r>
              <w:rPr>
                <w:rFonts w:hint="eastAsia" w:ascii="仿宋" w:hAnsi="仿宋" w:eastAsia="仿宋" w:cs="仿宋"/>
                <w:b w:val="0"/>
                <w:bCs w:val="0"/>
                <w:color w:val="auto"/>
                <w:sz w:val="24"/>
                <w:szCs w:val="24"/>
                <w:highlight w:val="none"/>
              </w:rPr>
              <w:t>。</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3、请投标人做好疫情防控，进场时戴好口罩。</w:t>
            </w:r>
          </w:p>
          <w:p>
            <w:pPr>
              <w:spacing w:after="0"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4、演示设备自带。</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3867" w:type="pct"/>
            <w:vAlign w:val="center"/>
          </w:tcPr>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（1）资格证明文件：见招标文件第二部分11.1。</w:t>
            </w:r>
          </w:p>
          <w:p>
            <w:pPr>
              <w:spacing w:after="0" w:line="240" w:lineRule="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投标人未提供有效的资格证明文件的，视为投标人不具备招标文件中规定的资格要求，投标无效。</w:t>
            </w:r>
          </w:p>
          <w:p>
            <w:pPr>
              <w:spacing w:after="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3867" w:type="pct"/>
            <w:vAlign w:val="center"/>
          </w:tcPr>
          <w:p>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报价要求</w:t>
            </w:r>
          </w:p>
        </w:tc>
        <w:tc>
          <w:tcPr>
            <w:tcW w:w="3867" w:type="pct"/>
            <w:vAlign w:val="center"/>
          </w:tcPr>
          <w:p>
            <w:pPr>
              <w:spacing w:after="0" w:line="24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有关本项目实施所需的所有费用（含税费）均计入报价。</w:t>
            </w:r>
            <w:r>
              <w:rPr>
                <w:rFonts w:hint="eastAsia" w:ascii="仿宋" w:hAnsi="仿宋" w:eastAsia="仿宋" w:cs="仿宋"/>
                <w:bCs/>
                <w:color w:val="auto"/>
                <w:sz w:val="24"/>
                <w:szCs w:val="24"/>
                <w:highlight w:val="none"/>
              </w:rPr>
              <w:t>开标一览表（报价表）是报价的唯一载体</w:t>
            </w:r>
            <w:r>
              <w:rPr>
                <w:rFonts w:hint="eastAsia" w:ascii="仿宋" w:hAnsi="仿宋" w:eastAsia="仿宋" w:cs="仿宋"/>
                <w:bCs/>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spacing w:after="0" w:line="24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投标报价出现下列情形的，投标无效：</w:t>
            </w:r>
          </w:p>
          <w:p>
            <w:pPr>
              <w:spacing w:after="0" w:line="24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投标文件出现不是唯一的、有选择性投标报价的；</w:t>
            </w:r>
          </w:p>
          <w:p>
            <w:pPr>
              <w:spacing w:after="0" w:line="24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投标报价超过招标文件中规定的预算金额或者最高限价的;</w:t>
            </w:r>
          </w:p>
          <w:p>
            <w:pPr>
              <w:spacing w:after="0"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pPr>
              <w:spacing w:after="0"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投标人对根据修正原则修正后的报价不确认的。</w:t>
            </w:r>
          </w:p>
          <w:p>
            <w:pPr>
              <w:spacing w:after="0"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中小企业信用融资</w:t>
            </w:r>
          </w:p>
        </w:tc>
        <w:tc>
          <w:tcPr>
            <w:tcW w:w="3867" w:type="pct"/>
            <w:vAlign w:val="center"/>
          </w:tcPr>
          <w:p>
            <w:pPr>
              <w:snapToGrid w:val="0"/>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28"/>
                <w:rFonts w:hint="eastAsia" w:ascii="仿宋" w:hAnsi="仿宋" w:eastAsia="仿宋" w:cs="仿宋"/>
                <w:snapToGrid/>
                <w:color w:val="auto"/>
                <w:sz w:val="24"/>
                <w:szCs w:val="24"/>
                <w:highlight w:val="none"/>
              </w:rPr>
              <w:t>http://www.xiaoshan.gov.cn/art/2018/12/20/art_1229293109_1559514.html</w:t>
            </w:r>
            <w:r>
              <w:rPr>
                <w:rStyle w:val="28"/>
                <w:rFonts w:hint="eastAsia" w:ascii="仿宋" w:hAnsi="仿宋" w:eastAsia="仿宋" w:cs="仿宋"/>
                <w:snapToGrid/>
                <w:color w:val="auto"/>
                <w:sz w:val="24"/>
                <w:szCs w:val="24"/>
                <w:highlight w:val="none"/>
              </w:rPr>
              <w:fldChar w:fldCharType="end"/>
            </w:r>
          </w:p>
          <w:p>
            <w:pPr>
              <w:spacing w:after="0" w:line="240" w:lineRule="auto"/>
              <w:rPr>
                <w:rFonts w:hint="eastAsia" w:ascii="仿宋" w:hAnsi="仿宋" w:eastAsia="仿宋" w:cs="仿宋"/>
                <w:color w:val="auto"/>
                <w:sz w:val="24"/>
                <w:szCs w:val="24"/>
                <w:highlight w:val="none"/>
              </w:rPr>
            </w:pPr>
          </w:p>
          <w:p>
            <w:pPr>
              <w:spacing w:after="0" w:line="24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备份投标文件</w:t>
            </w:r>
          </w:p>
        </w:tc>
        <w:tc>
          <w:tcPr>
            <w:tcW w:w="3867" w:type="pct"/>
            <w:vAlign w:val="center"/>
          </w:tcPr>
          <w:p>
            <w:pPr>
              <w:pStyle w:val="16"/>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采购机构代理费用</w:t>
            </w:r>
          </w:p>
        </w:tc>
        <w:tc>
          <w:tcPr>
            <w:tcW w:w="3867" w:type="pct"/>
            <w:vAlign w:val="center"/>
          </w:tcPr>
          <w:p>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履约保证金</w:t>
            </w:r>
          </w:p>
        </w:tc>
        <w:tc>
          <w:tcPr>
            <w:tcW w:w="3867" w:type="pct"/>
            <w:vAlign w:val="center"/>
          </w:tcPr>
          <w:p>
            <w:pPr>
              <w:pStyle w:val="16"/>
              <w:spacing w:line="240" w:lineRule="auto"/>
              <w:ind w:hanging="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资格审查和信用信息审查</w:t>
            </w:r>
          </w:p>
        </w:tc>
        <w:tc>
          <w:tcPr>
            <w:tcW w:w="3867" w:type="pct"/>
            <w:vAlign w:val="center"/>
          </w:tcPr>
          <w:p>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质疑接收人及答复</w:t>
            </w:r>
          </w:p>
        </w:tc>
        <w:tc>
          <w:tcPr>
            <w:tcW w:w="3867" w:type="pct"/>
            <w:vAlign w:val="center"/>
          </w:tcPr>
          <w:p>
            <w:pPr>
              <w:snapToGrid w:val="0"/>
              <w:spacing w:after="0"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snapToGrid w:val="0"/>
              <w:spacing w:after="0"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22" w:type="pct"/>
            <w:vAlign w:val="center"/>
          </w:tcPr>
          <w:p>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特别说明</w:t>
            </w:r>
          </w:p>
        </w:tc>
        <w:tc>
          <w:tcPr>
            <w:tcW w:w="3867" w:type="pct"/>
            <w:vAlign w:val="center"/>
          </w:tcPr>
          <w:p>
            <w:pPr>
              <w:spacing w:after="0" w:line="24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本项目通用总则条款与前附表等专用特别规定有冲突之处，以专用条款（特别规定）为准</w:t>
            </w:r>
            <w:r>
              <w:rPr>
                <w:rFonts w:hint="eastAsia" w:ascii="仿宋" w:hAnsi="仿宋" w:eastAsia="仿宋" w:cs="仿宋"/>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4" w:type="dxa"/>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18</w:t>
            </w:r>
          </w:p>
        </w:tc>
        <w:tc>
          <w:tcPr>
            <w:tcW w:w="1411" w:type="dxa"/>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投标文件份数</w:t>
            </w:r>
          </w:p>
        </w:tc>
        <w:tc>
          <w:tcPr>
            <w:tcW w:w="6640" w:type="dxa"/>
            <w:vAlign w:val="center"/>
          </w:tcPr>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中标</w:t>
            </w:r>
            <w:r>
              <w:rPr>
                <w:rFonts w:hint="eastAsia" w:ascii="仿宋" w:hAnsi="仿宋" w:eastAsia="仿宋" w:cs="仿宋"/>
                <w:b/>
                <w:color w:val="auto"/>
                <w:sz w:val="24"/>
                <w:highlight w:val="none"/>
                <w:lang w:val="en-US" w:eastAsia="zh-CN"/>
              </w:rPr>
              <w:t>人</w:t>
            </w:r>
            <w:r>
              <w:rPr>
                <w:rFonts w:hint="eastAsia" w:ascii="仿宋" w:hAnsi="仿宋" w:eastAsia="仿宋" w:cs="仿宋"/>
                <w:b/>
                <w:color w:val="auto"/>
                <w:sz w:val="24"/>
                <w:highlight w:val="none"/>
              </w:rPr>
              <w:t>应在中标后向采购</w:t>
            </w:r>
            <w:r>
              <w:rPr>
                <w:rFonts w:hint="eastAsia" w:ascii="仿宋" w:hAnsi="仿宋" w:eastAsia="仿宋" w:cs="仿宋"/>
                <w:b/>
                <w:color w:val="auto"/>
                <w:sz w:val="24"/>
                <w:highlight w:val="none"/>
                <w:lang w:val="en-US" w:eastAsia="zh-CN"/>
              </w:rPr>
              <w:t>代理机构</w:t>
            </w:r>
            <w:r>
              <w:rPr>
                <w:rFonts w:hint="eastAsia" w:ascii="仿宋" w:hAnsi="仿宋" w:eastAsia="仿宋" w:cs="仿宋"/>
                <w:b/>
                <w:color w:val="auto"/>
                <w:sz w:val="24"/>
                <w:highlight w:val="none"/>
              </w:rPr>
              <w:t>提供纸质投标文件一正二副</w:t>
            </w:r>
            <w:r>
              <w:rPr>
                <w:rFonts w:hint="eastAsia" w:ascii="仿宋" w:hAnsi="仿宋" w:eastAsia="仿宋" w:cs="仿宋"/>
                <w:b/>
                <w:color w:val="auto"/>
                <w:sz w:val="24"/>
                <w:highlight w:val="none"/>
                <w:lang w:eastAsia="zh-CN"/>
              </w:rPr>
              <w:t>。</w:t>
            </w:r>
          </w:p>
        </w:tc>
      </w:tr>
    </w:tbl>
    <w:p>
      <w:pPr>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一、总则</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 适用范围</w:t>
      </w:r>
    </w:p>
    <w:p>
      <w:pPr>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本招标文件适用于该项目的招标、投标、开标、资格审查及信用信息查询、评标、定标、合同、验收等行为（法律、法规另有规定的，从其规定）。</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2.定义</w:t>
      </w:r>
    </w:p>
    <w:p>
      <w:pPr>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pPr>
        <w:rPr>
          <w:rFonts w:hint="eastAsia" w:ascii="仿宋" w:hAnsi="仿宋" w:eastAsia="仿宋" w:cs="仿宋"/>
          <w:color w:val="auto"/>
          <w:highlight w:val="none"/>
        </w:rPr>
      </w:pPr>
      <w:r>
        <w:rPr>
          <w:rFonts w:hint="eastAsia" w:ascii="仿宋" w:hAnsi="仿宋" w:eastAsia="仿宋" w:cs="仿宋"/>
          <w:color w:val="auto"/>
          <w:highlight w:val="none"/>
        </w:rPr>
        <w:t>2.2 “采购机构”系指招标公告中载明的本项目的采购机构。</w:t>
      </w:r>
    </w:p>
    <w:p>
      <w:pPr>
        <w:rPr>
          <w:rFonts w:hint="eastAsia" w:ascii="仿宋" w:hAnsi="仿宋" w:eastAsia="仿宋" w:cs="仿宋"/>
          <w:color w:val="auto"/>
          <w:highlight w:val="none"/>
        </w:rPr>
      </w:pPr>
      <w:r>
        <w:rPr>
          <w:rFonts w:hint="eastAsia" w:ascii="仿宋" w:hAnsi="仿宋" w:eastAsia="仿宋" w:cs="仿宋"/>
          <w:color w:val="auto"/>
          <w:highlight w:val="none"/>
        </w:rPr>
        <w:t>2.3 “投标人”系指是指响应招标、参加投标竞争的法人、其他组织或者自然人。</w:t>
      </w:r>
    </w:p>
    <w:p>
      <w:pPr>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pPr>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2.6“电子交易平台”是指本项目政府采购活动所依托的政府采购云平台（https://www.zcygov.cn/）。</w:t>
      </w:r>
    </w:p>
    <w:p>
      <w:pPr>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 系指适用本项目的要求，“（  ）”系指不适用本项目的要求。</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3. 采购项目需要落实的政府采购政策</w:t>
      </w:r>
    </w:p>
    <w:p>
      <w:pPr>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pPr>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pPr>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pPr>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pPr>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w:t>
      </w:r>
    </w:p>
    <w:p>
      <w:pPr>
        <w:rPr>
          <w:rFonts w:hint="eastAsia" w:ascii="仿宋" w:hAnsi="仿宋" w:eastAsia="仿宋" w:cs="仿宋"/>
          <w:color w:val="auto"/>
          <w:highlight w:val="none"/>
        </w:rPr>
      </w:pPr>
      <w:r>
        <w:rPr>
          <w:rFonts w:hint="eastAsia" w:ascii="仿宋" w:hAnsi="仿宋" w:eastAsia="仿宋" w:cs="仿宋"/>
          <w:color w:val="auto"/>
          <w:highlight w:val="none"/>
        </w:rPr>
        <w:t>3.3.2.1在货物采购项目中，货物由中小企业制造，即货物由中小企业生产且使用该中小企业商号或者注册商标；</w:t>
      </w:r>
    </w:p>
    <w:p>
      <w:pPr>
        <w:rPr>
          <w:rFonts w:hint="eastAsia" w:ascii="仿宋" w:hAnsi="仿宋" w:eastAsia="仿宋" w:cs="仿宋"/>
          <w:color w:val="auto"/>
          <w:highlight w:val="none"/>
        </w:rPr>
      </w:pPr>
      <w:r>
        <w:rPr>
          <w:rFonts w:hint="eastAsia" w:ascii="仿宋" w:hAnsi="仿宋" w:eastAsia="仿宋" w:cs="仿宋"/>
          <w:color w:val="auto"/>
          <w:highlight w:val="none"/>
        </w:rPr>
        <w:t>3.3.2.2在工程采购项目中，工程由中小企业承建，即工程施工单位为中小企业；</w:t>
      </w:r>
    </w:p>
    <w:p>
      <w:pPr>
        <w:rPr>
          <w:rFonts w:hint="eastAsia" w:ascii="仿宋" w:hAnsi="仿宋" w:eastAsia="仿宋" w:cs="仿宋"/>
          <w:color w:val="auto"/>
          <w:highlight w:val="none"/>
        </w:rPr>
      </w:pPr>
      <w:r>
        <w:rPr>
          <w:rFonts w:hint="eastAsia" w:ascii="仿宋" w:hAnsi="仿宋" w:eastAsia="仿宋" w:cs="仿宋"/>
          <w:color w:val="auto"/>
          <w:highlight w:val="none"/>
        </w:rPr>
        <w:t>3.3.2.3在服务采购项目中，服务由中小企业承接，即提供服务的人员为中小企业依照《中华人民共和国劳动合同法》订立劳动合同的从业人员。</w:t>
      </w:r>
    </w:p>
    <w:p>
      <w:pPr>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在货物采购项目中，投标人提供的货物既有中小企业制造货物，也有大型企业制造货物的，不享受中小企业扶持政策。</w:t>
      </w:r>
    </w:p>
    <w:p>
      <w:pPr>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pPr>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pPr>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pPr>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pPr>
        <w:rPr>
          <w:rFonts w:hint="eastAsia"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pPr>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4. 询问、质疑、投诉</w:t>
      </w:r>
    </w:p>
    <w:p>
      <w:pPr>
        <w:rPr>
          <w:rFonts w:hint="eastAsia" w:ascii="仿宋" w:hAnsi="仿宋" w:eastAsia="仿宋" w:cs="仿宋"/>
          <w:color w:val="auto"/>
          <w:highlight w:val="none"/>
        </w:rPr>
      </w:pPr>
      <w:r>
        <w:rPr>
          <w:rFonts w:hint="eastAsia" w:ascii="仿宋" w:hAnsi="仿宋" w:eastAsia="仿宋" w:cs="仿宋"/>
          <w:color w:val="auto"/>
          <w:highlight w:val="none"/>
        </w:rPr>
        <w:t>4.1供应商询问</w:t>
      </w:r>
    </w:p>
    <w:p>
      <w:pPr>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rPr>
          <w:rFonts w:hint="eastAsia" w:ascii="仿宋" w:hAnsi="仿宋" w:eastAsia="仿宋" w:cs="仿宋"/>
          <w:color w:val="auto"/>
          <w:highlight w:val="none"/>
        </w:rPr>
      </w:pPr>
      <w:r>
        <w:rPr>
          <w:rFonts w:hint="eastAsia" w:ascii="仿宋" w:hAnsi="仿宋" w:eastAsia="仿宋" w:cs="仿宋"/>
          <w:color w:val="auto"/>
          <w:highlight w:val="none"/>
        </w:rPr>
        <w:t>4.2供应商质疑</w:t>
      </w:r>
    </w:p>
    <w:p>
      <w:pPr>
        <w:rPr>
          <w:rFonts w:hint="eastAsia" w:ascii="仿宋" w:hAnsi="仿宋" w:eastAsia="仿宋" w:cs="仿宋"/>
          <w:color w:val="auto"/>
          <w:highlight w:val="none"/>
        </w:rPr>
      </w:pPr>
      <w:r>
        <w:rPr>
          <w:rFonts w:hint="eastAsia" w:ascii="仿宋" w:hAnsi="仿宋" w:eastAsia="仿宋" w:cs="仿宋"/>
          <w:color w:val="auto"/>
          <w:highlight w:val="none"/>
        </w:rPr>
        <w:t>4.2.1提出质疑的供应商应当是参与所质疑项目采购活动的供应商。潜在供应商已依法获取其可质疑的招标文件的，可以对该文件提出质疑。</w:t>
      </w:r>
    </w:p>
    <w:p>
      <w:pPr>
        <w:rPr>
          <w:rFonts w:hint="eastAsia" w:ascii="仿宋" w:hAnsi="仿宋" w:eastAsia="仿宋" w:cs="仿宋"/>
          <w:color w:val="auto"/>
          <w:highlight w:val="none"/>
        </w:rPr>
      </w:pPr>
      <w:r>
        <w:rPr>
          <w:rFonts w:hint="eastAsia" w:ascii="仿宋" w:hAnsi="仿宋" w:eastAsia="仿宋" w:cs="仿宋"/>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rFonts w:hint="eastAsia" w:ascii="仿宋" w:hAnsi="仿宋" w:eastAsia="仿宋" w:cs="仿宋"/>
          <w:color w:val="auto"/>
          <w:highlight w:val="none"/>
        </w:rPr>
      </w:pPr>
      <w:r>
        <w:rPr>
          <w:rFonts w:hint="eastAsia" w:ascii="仿宋" w:hAnsi="仿宋" w:eastAsia="仿宋" w:cs="仿宋"/>
          <w:color w:val="auto"/>
          <w:highlight w:val="none"/>
        </w:rPr>
        <w:t>4.2.2.1对招标文件提出质疑的，质疑期限为供应商获得招标文件之日或者招标文件公告期限届满之日起计算。</w:t>
      </w:r>
    </w:p>
    <w:p>
      <w:pPr>
        <w:rPr>
          <w:rFonts w:hint="eastAsia"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pPr>
        <w:rPr>
          <w:rFonts w:hint="eastAsia"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pPr>
        <w:rPr>
          <w:rFonts w:hint="eastAsia" w:ascii="仿宋" w:hAnsi="仿宋" w:eastAsia="仿宋" w:cs="仿宋"/>
          <w:color w:val="auto"/>
          <w:highlight w:val="none"/>
        </w:rPr>
      </w:pPr>
      <w:r>
        <w:rPr>
          <w:rFonts w:hint="eastAsia" w:ascii="仿宋" w:hAnsi="仿宋" w:eastAsia="仿宋" w:cs="仿宋"/>
          <w:color w:val="auto"/>
          <w:highlight w:val="none"/>
        </w:rPr>
        <w:t>4.2.3供应商提出质疑应当提交质疑函和必要的证明材料。质疑函应当包括下列内容：</w:t>
      </w:r>
    </w:p>
    <w:p>
      <w:pPr>
        <w:rPr>
          <w:rFonts w:hint="eastAsia" w:ascii="仿宋" w:hAnsi="仿宋" w:eastAsia="仿宋" w:cs="仿宋"/>
          <w:color w:val="auto"/>
          <w:highlight w:val="none"/>
        </w:rPr>
      </w:pPr>
      <w:r>
        <w:rPr>
          <w:rFonts w:hint="eastAsia" w:ascii="仿宋" w:hAnsi="仿宋" w:eastAsia="仿宋" w:cs="仿宋"/>
          <w:color w:val="auto"/>
          <w:highlight w:val="none"/>
        </w:rPr>
        <w:t>　　4.2.3.1供应商的姓名或者名称、地址、邮编、联系人及联系电话；</w:t>
      </w:r>
    </w:p>
    <w:p>
      <w:pPr>
        <w:rPr>
          <w:rFonts w:hint="eastAsia" w:ascii="仿宋" w:hAnsi="仿宋" w:eastAsia="仿宋" w:cs="仿宋"/>
          <w:color w:val="auto"/>
          <w:highlight w:val="none"/>
        </w:rPr>
      </w:pPr>
      <w:r>
        <w:rPr>
          <w:rFonts w:hint="eastAsia" w:ascii="仿宋" w:hAnsi="仿宋" w:eastAsia="仿宋" w:cs="仿宋"/>
          <w:color w:val="auto"/>
          <w:highlight w:val="none"/>
        </w:rPr>
        <w:t>　　4.2.3.2质疑项目的名称、编号；</w:t>
      </w:r>
    </w:p>
    <w:p>
      <w:pPr>
        <w:rPr>
          <w:rFonts w:hint="eastAsia" w:ascii="仿宋" w:hAnsi="仿宋" w:eastAsia="仿宋" w:cs="仿宋"/>
          <w:color w:val="auto"/>
          <w:highlight w:val="none"/>
        </w:rPr>
      </w:pPr>
      <w:r>
        <w:rPr>
          <w:rFonts w:hint="eastAsia" w:ascii="仿宋" w:hAnsi="仿宋" w:eastAsia="仿宋" w:cs="仿宋"/>
          <w:color w:val="auto"/>
          <w:highlight w:val="none"/>
        </w:rPr>
        <w:t>　　4.2.3.3具体、明确的质疑事项和与质疑事项相关的请求；</w:t>
      </w:r>
    </w:p>
    <w:p>
      <w:pPr>
        <w:rPr>
          <w:rFonts w:hint="eastAsia" w:ascii="仿宋" w:hAnsi="仿宋" w:eastAsia="仿宋" w:cs="仿宋"/>
          <w:color w:val="auto"/>
          <w:highlight w:val="none"/>
        </w:rPr>
      </w:pPr>
      <w:r>
        <w:rPr>
          <w:rFonts w:hint="eastAsia" w:ascii="仿宋" w:hAnsi="仿宋" w:eastAsia="仿宋" w:cs="仿宋"/>
          <w:color w:val="auto"/>
          <w:highlight w:val="none"/>
        </w:rPr>
        <w:t>　　4.2.3.4事实依据；</w:t>
      </w:r>
    </w:p>
    <w:p>
      <w:pPr>
        <w:rPr>
          <w:rFonts w:hint="eastAsia" w:ascii="仿宋" w:hAnsi="仿宋" w:eastAsia="仿宋" w:cs="仿宋"/>
          <w:color w:val="auto"/>
          <w:highlight w:val="none"/>
        </w:rPr>
      </w:pPr>
      <w:r>
        <w:rPr>
          <w:rFonts w:hint="eastAsia" w:ascii="仿宋" w:hAnsi="仿宋" w:eastAsia="仿宋" w:cs="仿宋"/>
          <w:color w:val="auto"/>
          <w:highlight w:val="none"/>
        </w:rPr>
        <w:t>　　4.2.3.5必要的法律依据；</w:t>
      </w:r>
    </w:p>
    <w:p>
      <w:pPr>
        <w:rPr>
          <w:rFonts w:hint="eastAsia" w:ascii="仿宋" w:hAnsi="仿宋" w:eastAsia="仿宋" w:cs="仿宋"/>
          <w:color w:val="auto"/>
          <w:highlight w:val="none"/>
        </w:rPr>
      </w:pPr>
      <w:r>
        <w:rPr>
          <w:rFonts w:hint="eastAsia" w:ascii="仿宋" w:hAnsi="仿宋" w:eastAsia="仿宋" w:cs="仿宋"/>
          <w:color w:val="auto"/>
          <w:highlight w:val="none"/>
        </w:rPr>
        <w:t>4.2.3.6提出质疑的日期。</w:t>
      </w:r>
    </w:p>
    <w:p>
      <w:pPr>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rPr>
          <w:rFonts w:hint="eastAsia" w:ascii="仿宋" w:hAnsi="仿宋" w:eastAsia="仿宋" w:cs="仿宋"/>
          <w:color w:val="auto"/>
          <w:highlight w:val="none"/>
        </w:rPr>
      </w:pPr>
      <w:r>
        <w:rPr>
          <w:rFonts w:hint="eastAsia" w:ascii="仿宋" w:hAnsi="仿宋" w:eastAsia="仿宋" w:cs="仿宋"/>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rFonts w:hint="eastAsia" w:ascii="仿宋" w:hAnsi="仿宋" w:eastAsia="仿宋" w:cs="仿宋"/>
          <w:color w:val="auto"/>
          <w:highlight w:val="none"/>
        </w:rPr>
      </w:pPr>
      <w:r>
        <w:rPr>
          <w:rFonts w:hint="eastAsia" w:ascii="仿宋" w:hAnsi="仿宋" w:eastAsia="仿宋" w:cs="仿宋"/>
          <w:color w:val="auto"/>
          <w:highlight w:val="none"/>
        </w:rPr>
        <w:t>4.2.5询问或者质疑事项可能影响采购结果的，采购人应当暂停签订合同，已经签订合同的，应当中止履行合同。</w:t>
      </w:r>
    </w:p>
    <w:p>
      <w:pPr>
        <w:rPr>
          <w:rFonts w:hint="eastAsia" w:ascii="仿宋" w:hAnsi="仿宋" w:eastAsia="仿宋" w:cs="仿宋"/>
          <w:color w:val="auto"/>
          <w:highlight w:val="none"/>
        </w:rPr>
      </w:pPr>
      <w:r>
        <w:rPr>
          <w:rFonts w:hint="eastAsia" w:ascii="仿宋" w:hAnsi="仿宋" w:eastAsia="仿宋" w:cs="仿宋"/>
          <w:color w:val="auto"/>
          <w:highlight w:val="none"/>
        </w:rPr>
        <w:t>4.3供应商投诉</w:t>
      </w:r>
    </w:p>
    <w:p>
      <w:pPr>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rPr>
          <w:rFonts w:hint="eastAsia"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pPr>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rPr>
          <w:rFonts w:hint="eastAsia" w:ascii="仿宋" w:hAnsi="仿宋" w:eastAsia="仿宋" w:cs="仿宋"/>
          <w:color w:val="auto"/>
          <w:highlight w:val="none"/>
        </w:rPr>
      </w:pPr>
      <w:r>
        <w:rPr>
          <w:rFonts w:hint="eastAsia" w:ascii="仿宋" w:hAnsi="仿宋" w:eastAsia="仿宋" w:cs="仿宋"/>
          <w:color w:val="auto"/>
          <w:highlight w:val="none"/>
        </w:rPr>
        <w:t>4.3.4 以联合体形式参加政府采购活动的，其投诉应当由组成联合体的所有供应商共同提出。</w:t>
      </w:r>
    </w:p>
    <w:p>
      <w:pPr>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二、招标文件的构成、澄清、修改</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5．招标文件的构成</w:t>
      </w:r>
    </w:p>
    <w:p>
      <w:pPr>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pPr>
        <w:rPr>
          <w:rFonts w:hint="eastAsia" w:ascii="仿宋" w:hAnsi="仿宋" w:eastAsia="仿宋" w:cs="仿宋"/>
          <w:color w:val="auto"/>
          <w:highlight w:val="none"/>
        </w:rPr>
      </w:pPr>
      <w:r>
        <w:rPr>
          <w:rFonts w:hint="eastAsia" w:ascii="仿宋" w:hAnsi="仿宋" w:eastAsia="仿宋" w:cs="仿宋"/>
          <w:color w:val="auto"/>
          <w:highlight w:val="none"/>
        </w:rPr>
        <w:t>5.1.1招标公告；</w:t>
      </w:r>
    </w:p>
    <w:p>
      <w:pPr>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pPr>
        <w:rPr>
          <w:rFonts w:hint="eastAsia" w:ascii="仿宋" w:hAnsi="仿宋" w:eastAsia="仿宋" w:cs="仿宋"/>
          <w:color w:val="auto"/>
          <w:highlight w:val="none"/>
        </w:rPr>
      </w:pPr>
      <w:r>
        <w:rPr>
          <w:rFonts w:hint="eastAsia" w:ascii="仿宋" w:hAnsi="仿宋" w:eastAsia="仿宋" w:cs="仿宋"/>
          <w:color w:val="auto"/>
          <w:highlight w:val="none"/>
        </w:rPr>
        <w:t>5.1.3采购需求；</w:t>
      </w:r>
    </w:p>
    <w:p>
      <w:pPr>
        <w:rPr>
          <w:rFonts w:hint="eastAsia" w:ascii="仿宋" w:hAnsi="仿宋" w:eastAsia="仿宋" w:cs="仿宋"/>
          <w:color w:val="auto"/>
          <w:highlight w:val="none"/>
        </w:rPr>
      </w:pPr>
      <w:r>
        <w:rPr>
          <w:rFonts w:hint="eastAsia" w:ascii="仿宋" w:hAnsi="仿宋" w:eastAsia="仿宋" w:cs="仿宋"/>
          <w:color w:val="auto"/>
          <w:highlight w:val="none"/>
        </w:rPr>
        <w:t>5.1.4评标办法；</w:t>
      </w:r>
    </w:p>
    <w:p>
      <w:pPr>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pPr>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pPr>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5.2与本项目有关的澄清或者修改的内容为招标文件的组成部分。</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6. 招标文件的澄清、修改</w:t>
      </w:r>
    </w:p>
    <w:p>
      <w:pPr>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三、投标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7. 招标文件的获取</w:t>
      </w:r>
    </w:p>
    <w:p>
      <w:pPr>
        <w:rPr>
          <w:rFonts w:hint="eastAsia" w:ascii="仿宋" w:hAnsi="仿宋" w:eastAsia="仿宋" w:cs="仿宋"/>
          <w:color w:val="auto"/>
          <w:highlight w:val="none"/>
        </w:rPr>
      </w:pPr>
      <w:r>
        <w:rPr>
          <w:rFonts w:hint="eastAsia" w:ascii="仿宋" w:hAnsi="仿宋" w:eastAsia="仿宋" w:cs="仿宋"/>
          <w:color w:val="auto"/>
          <w:highlight w:val="none"/>
        </w:rPr>
        <w:t>详见招标公告中获取招标文件的时间期限、地点、方式及招标文件售价。</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8.开标前答疑会或现场考察</w:t>
      </w:r>
    </w:p>
    <w:p>
      <w:pPr>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9.投标保证金</w:t>
      </w:r>
    </w:p>
    <w:p>
      <w:pPr>
        <w:rPr>
          <w:rFonts w:hint="eastAsia" w:ascii="仿宋" w:hAnsi="仿宋" w:eastAsia="仿宋" w:cs="仿宋"/>
          <w:color w:val="auto"/>
          <w:highlight w:val="none"/>
        </w:rPr>
      </w:pPr>
      <w:r>
        <w:rPr>
          <w:rFonts w:hint="eastAsia" w:ascii="仿宋" w:hAnsi="仿宋" w:eastAsia="仿宋" w:cs="仿宋"/>
          <w:color w:val="auto"/>
          <w:highlight w:val="none"/>
        </w:rPr>
        <w:t>本项目不需缴纳投标保证金。</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10. 投标文件的语言</w:t>
      </w:r>
    </w:p>
    <w:p>
      <w:pPr>
        <w:rPr>
          <w:rFonts w:hint="eastAsia" w:ascii="仿宋" w:hAnsi="仿宋" w:eastAsia="仿宋" w:cs="仿宋"/>
          <w:color w:val="auto"/>
          <w:highlight w:val="none"/>
        </w:rPr>
      </w:pPr>
      <w:r>
        <w:rPr>
          <w:rFonts w:hint="eastAsia" w:ascii="仿宋" w:hAnsi="仿宋" w:eastAsia="仿宋" w:cs="仿宋"/>
          <w:color w:val="auto"/>
          <w:highlight w:val="none"/>
        </w:rPr>
        <w:t>投标文件及投标人与采购有关的来往通知、函件和文件均应使用中文。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11. 投标文件的组成</w:t>
      </w:r>
    </w:p>
    <w:p>
      <w:pPr>
        <w:rPr>
          <w:rFonts w:hint="eastAsia" w:ascii="仿宋" w:hAnsi="仿宋" w:eastAsia="仿宋" w:cs="仿宋"/>
          <w:color w:val="auto"/>
          <w:highlight w:val="none"/>
        </w:rPr>
      </w:pPr>
      <w:r>
        <w:rPr>
          <w:rFonts w:hint="eastAsia" w:ascii="仿宋" w:hAnsi="仿宋" w:eastAsia="仿宋" w:cs="仿宋"/>
          <w:color w:val="auto"/>
          <w:highlight w:val="none"/>
        </w:rPr>
        <w:t>11.1资格文件：</w:t>
      </w:r>
    </w:p>
    <w:p>
      <w:pPr>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pPr>
        <w:rPr>
          <w:rFonts w:hint="eastAsia" w:ascii="仿宋" w:hAnsi="仿宋" w:eastAsia="仿宋" w:cs="仿宋"/>
          <w:color w:val="auto"/>
          <w:highlight w:val="none"/>
        </w:rPr>
      </w:pPr>
      <w:r>
        <w:rPr>
          <w:rFonts w:hint="eastAsia" w:ascii="仿宋" w:hAnsi="仿宋" w:eastAsia="仿宋" w:cs="仿宋"/>
          <w:color w:val="auto"/>
          <w:highlight w:val="none"/>
        </w:rPr>
        <w:t>11.1.2落实政府采购政策需满足的资格要求；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11.1.3本项目的特定资格要求。</w:t>
      </w:r>
    </w:p>
    <w:p>
      <w:pPr>
        <w:rPr>
          <w:rFonts w:hint="eastAsia" w:ascii="仿宋" w:hAnsi="仿宋" w:eastAsia="仿宋" w:cs="仿宋"/>
          <w:color w:val="auto"/>
          <w:highlight w:val="none"/>
        </w:rPr>
      </w:pPr>
      <w:r>
        <w:rPr>
          <w:rFonts w:hint="eastAsia" w:ascii="仿宋" w:hAnsi="仿宋" w:eastAsia="仿宋" w:cs="仿宋"/>
          <w:color w:val="auto"/>
          <w:highlight w:val="none"/>
        </w:rPr>
        <w:t>11.2商务技术文件：</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11.2.1投标函； </w:t>
      </w:r>
    </w:p>
    <w:p>
      <w:pPr>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pPr>
        <w:rPr>
          <w:rFonts w:hint="eastAsia" w:ascii="仿宋" w:hAnsi="仿宋" w:eastAsia="仿宋" w:cs="仿宋"/>
          <w:color w:val="auto"/>
          <w:highlight w:val="none"/>
        </w:rPr>
      </w:pPr>
      <w:r>
        <w:rPr>
          <w:rFonts w:hint="eastAsia" w:ascii="仿宋" w:hAnsi="仿宋" w:eastAsia="仿宋" w:cs="仿宋"/>
          <w:color w:val="auto"/>
          <w:highlight w:val="none"/>
        </w:rPr>
        <w:t>11.2.3联合协议；</w:t>
      </w:r>
    </w:p>
    <w:p>
      <w:pPr>
        <w:rPr>
          <w:rFonts w:hint="eastAsia" w:ascii="仿宋" w:hAnsi="仿宋" w:eastAsia="仿宋" w:cs="仿宋"/>
          <w:color w:val="auto"/>
          <w:highlight w:val="none"/>
        </w:rPr>
      </w:pPr>
      <w:r>
        <w:rPr>
          <w:rFonts w:hint="eastAsia" w:ascii="仿宋" w:hAnsi="仿宋" w:eastAsia="仿宋" w:cs="仿宋"/>
          <w:color w:val="auto"/>
          <w:highlight w:val="none"/>
        </w:rPr>
        <w:t>11.2.4分包意向协议；</w:t>
      </w:r>
    </w:p>
    <w:p>
      <w:pPr>
        <w:rPr>
          <w:rFonts w:hint="eastAsia" w:ascii="仿宋" w:hAnsi="仿宋" w:eastAsia="仿宋" w:cs="仿宋"/>
          <w:color w:val="auto"/>
          <w:highlight w:val="none"/>
        </w:rPr>
      </w:pPr>
      <w:r>
        <w:rPr>
          <w:rFonts w:hint="eastAsia" w:ascii="仿宋" w:hAnsi="仿宋" w:eastAsia="仿宋" w:cs="仿宋"/>
          <w:color w:val="auto"/>
          <w:highlight w:val="none"/>
        </w:rPr>
        <w:t>11.2.5符合性审查资料；</w:t>
      </w:r>
    </w:p>
    <w:p>
      <w:pPr>
        <w:rPr>
          <w:rFonts w:hint="eastAsia" w:ascii="仿宋" w:hAnsi="仿宋" w:eastAsia="仿宋" w:cs="仿宋"/>
          <w:color w:val="auto"/>
          <w:highlight w:val="none"/>
        </w:rPr>
      </w:pPr>
      <w:r>
        <w:rPr>
          <w:rFonts w:hint="eastAsia" w:ascii="仿宋" w:hAnsi="仿宋" w:eastAsia="仿宋" w:cs="仿宋"/>
          <w:color w:val="auto"/>
          <w:highlight w:val="none"/>
        </w:rPr>
        <w:t>11.2.6评标标准相应的商务技术资料；</w:t>
      </w:r>
    </w:p>
    <w:p>
      <w:pPr>
        <w:rPr>
          <w:rFonts w:hint="eastAsia" w:ascii="仿宋" w:hAnsi="仿宋" w:eastAsia="仿宋" w:cs="仿宋"/>
          <w:color w:val="auto"/>
          <w:highlight w:val="none"/>
        </w:rPr>
      </w:pPr>
      <w:r>
        <w:rPr>
          <w:rFonts w:hint="eastAsia" w:ascii="仿宋" w:hAnsi="仿宋" w:eastAsia="仿宋" w:cs="仿宋"/>
          <w:color w:val="auto"/>
          <w:highlight w:val="none"/>
        </w:rPr>
        <w:t>11.2.7投标标的清单；</w:t>
      </w:r>
    </w:p>
    <w:p>
      <w:pPr>
        <w:rPr>
          <w:rFonts w:hint="eastAsia" w:ascii="仿宋" w:hAnsi="仿宋" w:eastAsia="仿宋" w:cs="仿宋"/>
          <w:color w:val="auto"/>
          <w:highlight w:val="none"/>
        </w:rPr>
      </w:pPr>
      <w:r>
        <w:rPr>
          <w:rFonts w:hint="eastAsia" w:ascii="仿宋" w:hAnsi="仿宋" w:eastAsia="仿宋" w:cs="仿宋"/>
          <w:color w:val="auto"/>
          <w:highlight w:val="none"/>
        </w:rPr>
        <w:t>11.2.8商务技术偏离表；</w:t>
      </w:r>
    </w:p>
    <w:p>
      <w:pPr>
        <w:rPr>
          <w:rFonts w:hint="eastAsia" w:ascii="仿宋" w:hAnsi="仿宋" w:eastAsia="仿宋" w:cs="仿宋"/>
          <w:color w:val="auto"/>
          <w:highlight w:val="none"/>
        </w:rPr>
      </w:pPr>
      <w:r>
        <w:rPr>
          <w:rFonts w:hint="eastAsia" w:ascii="仿宋" w:hAnsi="仿宋" w:eastAsia="仿宋" w:cs="仿宋"/>
          <w:color w:val="auto"/>
          <w:highlight w:val="none"/>
        </w:rPr>
        <w:t>11.2.9政府采购供应商廉洁自律承诺书；</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11.3报价文件： </w:t>
      </w:r>
    </w:p>
    <w:p>
      <w:pPr>
        <w:rPr>
          <w:rFonts w:hint="eastAsia" w:ascii="仿宋" w:hAnsi="仿宋" w:eastAsia="仿宋" w:cs="仿宋"/>
          <w:color w:val="auto"/>
          <w:highlight w:val="none"/>
        </w:rPr>
      </w:pPr>
      <w:r>
        <w:rPr>
          <w:rFonts w:hint="eastAsia" w:ascii="仿宋" w:hAnsi="仿宋" w:eastAsia="仿宋" w:cs="仿宋"/>
          <w:color w:val="auto"/>
          <w:highlight w:val="none"/>
        </w:rPr>
        <w:t>11.3.1开标一览表（报价表）；</w:t>
      </w:r>
    </w:p>
    <w:p>
      <w:pPr>
        <w:rPr>
          <w:rFonts w:hint="eastAsia" w:ascii="仿宋" w:hAnsi="仿宋" w:eastAsia="仿宋" w:cs="仿宋"/>
          <w:color w:val="auto"/>
          <w:highlight w:val="none"/>
        </w:rPr>
      </w:pPr>
      <w:r>
        <w:rPr>
          <w:rFonts w:hint="eastAsia" w:ascii="仿宋" w:hAnsi="仿宋" w:eastAsia="仿宋" w:cs="仿宋"/>
          <w:color w:val="auto"/>
          <w:highlight w:val="none"/>
        </w:rPr>
        <w:t>11.3.2中小企业声明函。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投标文件含有采购人不能接受的附加条件的，投标无效；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投标人提供虚假材料投标的，投标无效。</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12. 投标文件的编制</w:t>
      </w:r>
    </w:p>
    <w:p>
      <w:pPr>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13.投标文件的签署、盖章</w:t>
      </w:r>
    </w:p>
    <w:p>
      <w:pPr>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14. 投标文件的提交、补充、修改、撤回</w:t>
      </w:r>
    </w:p>
    <w:p>
      <w:pPr>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15.备份投标文件</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15.3直接提交备份投标文件的，投标人应于投标截止时间前在招标公告中载明的开标地点将备份投标文件提交给采购机构，采购机构将拒绝接受逾期送达的备份投标文件。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rFonts w:hint="eastAsia"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16.投标文件的无效处理</w:t>
      </w:r>
    </w:p>
    <w:p>
      <w:pPr>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17.投标有效期</w:t>
      </w:r>
    </w:p>
    <w:p>
      <w:pPr>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四、开标、资格审查与信用信息查询</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 xml:space="preserve">18.开标 </w:t>
      </w:r>
    </w:p>
    <w:p>
      <w:pPr>
        <w:rPr>
          <w:rFonts w:hint="eastAsia" w:ascii="仿宋" w:hAnsi="仿宋" w:eastAsia="仿宋" w:cs="仿宋"/>
          <w:color w:val="auto"/>
          <w:highlight w:val="none"/>
        </w:rPr>
      </w:pPr>
      <w:r>
        <w:rPr>
          <w:rFonts w:hint="eastAsia" w:ascii="仿宋" w:hAnsi="仿宋" w:eastAsia="仿宋" w:cs="仿宋"/>
          <w:color w:val="auto"/>
          <w:highlight w:val="none"/>
        </w:rPr>
        <w:t>18.1采购机构按照招标文件规定的时间通过电子交易平台组织开标，所有投标人均应当准时在线参加。投标人不足3家的，不得开标。</w:t>
      </w:r>
    </w:p>
    <w:p>
      <w:pPr>
        <w:rPr>
          <w:rFonts w:hint="eastAsia" w:ascii="仿宋" w:hAnsi="仿宋" w:eastAsia="仿宋" w:cs="仿宋"/>
          <w:color w:val="auto"/>
          <w:highlight w:val="none"/>
        </w:rPr>
      </w:pPr>
      <w:r>
        <w:rPr>
          <w:rFonts w:hint="eastAsia" w:ascii="仿宋" w:hAnsi="仿宋" w:eastAsia="仿宋" w:cs="仿宋"/>
          <w:color w:val="auto"/>
          <w:highlight w:val="none"/>
        </w:rPr>
        <w:t>　18.2开标时，电子交易平台按开标时间自动提取所有投标文件。采购机构依托电子交易平台发起开始解密指令，投标人按照平台提示和招标文件的规定在半小时内完成在线解密。</w:t>
      </w:r>
    </w:p>
    <w:p>
      <w:pPr>
        <w:rPr>
          <w:rFonts w:hint="eastAsia" w:ascii="仿宋" w:hAnsi="仿宋" w:eastAsia="仿宋" w:cs="仿宋"/>
          <w:color w:val="auto"/>
          <w:highlight w:val="none"/>
        </w:rPr>
      </w:pPr>
      <w:r>
        <w:rPr>
          <w:rFonts w:hint="eastAsia" w:ascii="仿宋" w:hAnsi="仿宋" w:eastAsia="仿宋" w:cs="仿宋"/>
          <w:color w:val="auto"/>
          <w:highlight w:val="none"/>
        </w:rPr>
        <w:t>　18.3投标文件未按时解密，投标人提供了备份投标文件的，以备份投标文件作为依据，否则视为投标文件撤回。投标文件已按时解密的，备份投标文件自动失效。</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19、资格审查</w:t>
      </w:r>
    </w:p>
    <w:p>
      <w:pPr>
        <w:rPr>
          <w:rFonts w:hint="eastAsia" w:ascii="仿宋" w:hAnsi="仿宋" w:eastAsia="仿宋" w:cs="仿宋"/>
          <w:color w:val="auto"/>
          <w:highlight w:val="none"/>
        </w:rPr>
      </w:pPr>
      <w:r>
        <w:rPr>
          <w:rFonts w:hint="eastAsia" w:ascii="仿宋" w:hAnsi="仿宋" w:eastAsia="仿宋" w:cs="仿宋"/>
          <w:color w:val="auto"/>
          <w:highlight w:val="none"/>
        </w:rPr>
        <w:t>19.1开标后，采购人或采购机构将依法对投标人的资格进行审查。</w:t>
      </w:r>
    </w:p>
    <w:p>
      <w:pPr>
        <w:rPr>
          <w:rFonts w:hint="eastAsia" w:ascii="仿宋" w:hAnsi="仿宋" w:eastAsia="仿宋" w:cs="仿宋"/>
          <w:color w:val="auto"/>
          <w:highlight w:val="none"/>
        </w:rPr>
      </w:pPr>
      <w:r>
        <w:rPr>
          <w:rFonts w:hint="eastAsia" w:ascii="仿宋" w:hAnsi="仿宋" w:eastAsia="仿宋" w:cs="仿宋"/>
          <w:color w:val="auto"/>
          <w:highlight w:val="none"/>
        </w:rPr>
        <w:t>19.2采购人或采购机构依据法律法规和招标文件的规定，对投标人的基本资格条件、特定资格条件进行审查。</w:t>
      </w:r>
    </w:p>
    <w:p>
      <w:pPr>
        <w:rPr>
          <w:rFonts w:hint="eastAsia" w:ascii="仿宋" w:hAnsi="仿宋" w:eastAsia="仿宋" w:cs="仿宋"/>
          <w:color w:val="auto"/>
          <w:highlight w:val="none"/>
        </w:rPr>
      </w:pPr>
      <w:r>
        <w:rPr>
          <w:rFonts w:hint="eastAsia" w:ascii="仿宋" w:hAnsi="仿宋" w:eastAsia="仿宋" w:cs="仿宋"/>
          <w:color w:val="auto"/>
          <w:highlight w:val="none"/>
        </w:rPr>
        <w:t>19.3投标人未按照招标文件要求提供与基本资格条件、特定资格条件相应的有效资格证明材料的，视为投标人不具备招标文件中规定的资格要求，其投标无效。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19.4对未通过资格审查的投标人，采购人或采购机构告知其未通过的原因。</w:t>
      </w:r>
    </w:p>
    <w:p>
      <w:pPr>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20、信用信息查询</w:t>
      </w:r>
    </w:p>
    <w:p>
      <w:pPr>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20.1信用信息查询渠道及截止时间：采购机构将通过“信用中国”网站(www.creditchina.gov.cn)、中国政府采购网(www.ccgp.gov.cn)渠道查询投标人投标截止时间当天的信用记录。</w:t>
      </w:r>
    </w:p>
    <w:p>
      <w:pPr>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pPr>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五、评标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21. 评标</w:t>
      </w:r>
    </w:p>
    <w:p>
      <w:pPr>
        <w:rPr>
          <w:rFonts w:hint="eastAsia" w:ascii="仿宋" w:hAnsi="仿宋" w:eastAsia="仿宋" w:cs="仿宋"/>
          <w:color w:val="auto"/>
          <w:highlight w:val="none"/>
        </w:rPr>
      </w:pP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六、定 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22. 确定中标供应商</w:t>
      </w:r>
    </w:p>
    <w:p>
      <w:pPr>
        <w:rPr>
          <w:rFonts w:hint="eastAsia" w:ascii="仿宋" w:hAnsi="仿宋" w:eastAsia="仿宋" w:cs="仿宋"/>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23. 中标通知与中标结果公告</w:t>
      </w:r>
    </w:p>
    <w:p>
      <w:pPr>
        <w:rPr>
          <w:rFonts w:hint="eastAsia" w:ascii="仿宋" w:hAnsi="仿宋" w:eastAsia="仿宋" w:cs="仿宋"/>
          <w:color w:val="auto"/>
          <w:highlight w:val="none"/>
        </w:rPr>
      </w:pPr>
      <w:r>
        <w:rPr>
          <w:rFonts w:hint="eastAsia" w:ascii="仿宋" w:hAnsi="仿宋" w:eastAsia="仿宋" w:cs="仿宋"/>
          <w:color w:val="auto"/>
          <w:highlight w:val="none"/>
        </w:rPr>
        <w:t>23.1自中标人确定之日起2个工作日内，采购机构通过电子交易平台向中标人发出中标通知书，同时编制发布采购结果公告。采购机构也可以以纸质形式进行中标通知。</w:t>
      </w:r>
    </w:p>
    <w:p>
      <w:pPr>
        <w:rPr>
          <w:rFonts w:hint="eastAsia" w:ascii="仿宋" w:hAnsi="仿宋" w:eastAsia="仿宋" w:cs="仿宋"/>
          <w:color w:val="auto"/>
          <w:highlight w:val="none"/>
        </w:rPr>
      </w:pPr>
      <w:r>
        <w:rPr>
          <w:rFonts w:hint="eastAsia" w:ascii="仿宋" w:hAnsi="仿宋" w:eastAsia="仿宋" w:cs="仿宋"/>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七、合同授予</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24. 合同主要条款详见第五部分拟签订的合同文本。</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25. 合同的签订</w:t>
      </w:r>
    </w:p>
    <w:p>
      <w:pPr>
        <w:rPr>
          <w:rFonts w:hint="eastAsia" w:ascii="仿宋" w:hAnsi="仿宋" w:eastAsia="仿宋" w:cs="仿宋"/>
          <w:color w:val="auto"/>
          <w:highlight w:val="none"/>
        </w:rPr>
      </w:pPr>
      <w:r>
        <w:rPr>
          <w:rFonts w:hint="eastAsia" w:ascii="仿宋" w:hAnsi="仿宋" w:eastAsia="仿宋" w:cs="仿宋"/>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rPr>
          <w:rFonts w:hint="eastAsia" w:ascii="仿宋" w:hAnsi="仿宋" w:eastAsia="仿宋" w:cs="仿宋"/>
          <w:color w:val="auto"/>
          <w:highlight w:val="none"/>
        </w:rPr>
      </w:pPr>
      <w:r>
        <w:rPr>
          <w:rFonts w:hint="eastAsia" w:ascii="仿宋" w:hAnsi="仿宋" w:eastAsia="仿宋" w:cs="仿宋"/>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26. 履约保证金</w:t>
      </w:r>
    </w:p>
    <w:p>
      <w:pPr>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rPr>
          <w:rFonts w:hint="eastAsia" w:ascii="仿宋" w:hAnsi="仿宋" w:eastAsia="仿宋" w:cs="仿宋"/>
          <w:color w:val="auto"/>
          <w:highlight w:val="none"/>
        </w:rPr>
      </w:pPr>
      <w:r>
        <w:rPr>
          <w:rFonts w:hint="eastAsia" w:ascii="仿宋" w:hAnsi="仿宋" w:eastAsia="仿宋" w:cs="仿宋"/>
          <w:color w:val="auto"/>
          <w:highlight w:val="none"/>
        </w:rPr>
        <w:t>政府采购货物和服务项目中，采购单位可根据杭州市政府采购网公布的供应商履约评价情况减免履约保证金。供应商履约验收评价总分为100分的，采购单位应当免收履约保证金；</w:t>
      </w:r>
    </w:p>
    <w:p>
      <w:pPr>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pacing w:line="276" w:lineRule="auto"/>
        <w:rPr>
          <w:rFonts w:hint="eastAsia" w:ascii="仿宋" w:hAnsi="仿宋" w:eastAsia="仿宋" w:cs="仿宋"/>
          <w:b/>
          <w:smallCaps/>
          <w:color w:val="auto"/>
          <w:sz w:val="28"/>
          <w:szCs w:val="28"/>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27. 电子交易活动的中止。</w:t>
      </w:r>
    </w:p>
    <w:p>
      <w:pPr>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九、验收</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29.验收</w:t>
      </w:r>
    </w:p>
    <w:p>
      <w:pPr>
        <w:rPr>
          <w:rFonts w:hint="eastAsia" w:ascii="仿宋" w:hAnsi="仿宋" w:eastAsia="仿宋" w:cs="仿宋"/>
          <w:color w:val="auto"/>
          <w:highlight w:val="none"/>
        </w:rPr>
      </w:pPr>
      <w:r>
        <w:rPr>
          <w:rFonts w:hint="eastAsia" w:ascii="仿宋" w:hAnsi="仿宋" w:eastAsia="仿宋" w:cs="仿宋"/>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rPr>
          <w:rFonts w:hint="eastAsia" w:ascii="仿宋" w:hAnsi="仿宋" w:eastAsia="仿宋" w:cs="仿宋"/>
          <w:color w:val="auto"/>
          <w:highlight w:val="none"/>
        </w:rPr>
      </w:pPr>
      <w:r>
        <w:rPr>
          <w:rFonts w:hint="eastAsia" w:ascii="仿宋" w:hAnsi="仿宋" w:eastAsia="仿宋" w:cs="仿宋"/>
          <w:color w:val="auto"/>
          <w:highlight w:val="none"/>
        </w:rPr>
        <w:t>联系电话: 0571-83587785/0571-82816012  联系地址: 萧山区通惠北路2-1号302室</w:t>
      </w:r>
    </w:p>
    <w:p>
      <w:pPr>
        <w:rPr>
          <w:rFonts w:hint="eastAsia" w:ascii="仿宋" w:hAnsi="仿宋" w:eastAsia="仿宋" w:cs="仿宋"/>
          <w:color w:val="auto"/>
          <w:highlight w:val="none"/>
        </w:rPr>
      </w:pPr>
      <w:r>
        <w:rPr>
          <w:rFonts w:hint="eastAsia" w:ascii="仿宋" w:hAnsi="仿宋" w:eastAsia="仿宋" w:cs="仿宋"/>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第三部分   采购需求</w:t>
      </w:r>
    </w:p>
    <w:p>
      <w:pPr>
        <w:snapToGrid w:val="0"/>
        <w:rPr>
          <w:rStyle w:val="48"/>
          <w:rFonts w:hint="eastAsia" w:ascii="仿宋" w:hAnsi="仿宋" w:eastAsia="仿宋" w:cs="仿宋"/>
          <w:i w:val="0"/>
          <w:iCs w:val="0"/>
          <w:color w:val="auto"/>
          <w:highlight w:val="none"/>
        </w:rPr>
      </w:pPr>
      <w:r>
        <w:rPr>
          <w:rStyle w:val="48"/>
          <w:rFonts w:hint="eastAsia" w:ascii="仿宋" w:hAnsi="仿宋" w:eastAsia="仿宋" w:cs="仿宋"/>
          <w:i w:val="0"/>
          <w:iCs w:val="0"/>
          <w:color w:val="auto"/>
          <w:highlight w:val="none"/>
        </w:rPr>
        <w:t>属于实质性要求条款的，请用符号“▲”标明，否则属于非实质性要求。</w:t>
      </w:r>
    </w:p>
    <w:p>
      <w:pPr>
        <w:snapToGrid w:val="0"/>
        <w:rPr>
          <w:rStyle w:val="48"/>
          <w:rFonts w:hint="eastAsia" w:ascii="仿宋" w:hAnsi="仿宋" w:eastAsia="仿宋" w:cs="仿宋"/>
          <w:i w:val="0"/>
          <w:iCs w:val="0"/>
          <w:color w:val="auto"/>
          <w:highlight w:val="none"/>
        </w:rPr>
      </w:pPr>
      <w:r>
        <w:rPr>
          <w:rStyle w:val="48"/>
          <w:rFonts w:hint="eastAsia" w:ascii="仿宋" w:hAnsi="仿宋" w:eastAsia="仿宋" w:cs="仿宋"/>
          <w:i w:val="0"/>
          <w:iCs w:val="0"/>
          <w:color w:val="auto"/>
          <w:highlight w:val="none"/>
        </w:rPr>
        <w:t>“★”系产品采购项目中单一产品或核心产品。</w:t>
      </w:r>
    </w:p>
    <w:p>
      <w:pPr>
        <w:pStyle w:val="2"/>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标项</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p>
    <w:tbl>
      <w:tblPr>
        <w:tblStyle w:val="23"/>
        <w:tblW w:w="8297" w:type="dxa"/>
        <w:jc w:val="center"/>
        <w:tblLayout w:type="fixed"/>
        <w:tblCellMar>
          <w:top w:w="0" w:type="dxa"/>
          <w:left w:w="0" w:type="dxa"/>
          <w:bottom w:w="0" w:type="dxa"/>
          <w:right w:w="0" w:type="dxa"/>
        </w:tblCellMar>
      </w:tblPr>
      <w:tblGrid>
        <w:gridCol w:w="860"/>
        <w:gridCol w:w="2622"/>
        <w:gridCol w:w="1983"/>
        <w:gridCol w:w="1048"/>
        <w:gridCol w:w="911"/>
        <w:gridCol w:w="873"/>
      </w:tblGrid>
      <w:tr>
        <w:tblPrEx>
          <w:tblCellMar>
            <w:top w:w="0" w:type="dxa"/>
            <w:left w:w="0" w:type="dxa"/>
            <w:bottom w:w="0" w:type="dxa"/>
            <w:right w:w="0" w:type="dxa"/>
          </w:tblCellMar>
        </w:tblPrEx>
        <w:trPr>
          <w:cantSplit/>
          <w:trHeight w:val="691" w:hRule="atLeast"/>
          <w:jc w:val="center"/>
        </w:trPr>
        <w:tc>
          <w:tcPr>
            <w:tcW w:w="8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26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具体服务要求</w:t>
            </w:r>
          </w:p>
        </w:tc>
        <w:tc>
          <w:tcPr>
            <w:tcW w:w="10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9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873"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CellMar>
            <w:top w:w="0" w:type="dxa"/>
            <w:left w:w="0" w:type="dxa"/>
            <w:bottom w:w="0" w:type="dxa"/>
            <w:right w:w="0" w:type="dxa"/>
          </w:tblCellMar>
        </w:tblPrEx>
        <w:trPr>
          <w:cantSplit/>
          <w:trHeight w:val="691" w:hRule="atLeast"/>
          <w:jc w:val="center"/>
        </w:trPr>
        <w:tc>
          <w:tcPr>
            <w:tcW w:w="8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萧山区“耕地智保”铁塔高位视频探头项目</w:t>
            </w:r>
          </w:p>
        </w:tc>
        <w:tc>
          <w:tcPr>
            <w:tcW w:w="19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需求</w:t>
            </w:r>
          </w:p>
        </w:tc>
        <w:tc>
          <w:tcPr>
            <w:tcW w:w="10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年</w:t>
            </w:r>
          </w:p>
        </w:tc>
        <w:tc>
          <w:tcPr>
            <w:tcW w:w="9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873"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hint="eastAsia" w:ascii="仿宋" w:hAnsi="仿宋" w:eastAsia="仿宋" w:cs="仿宋"/>
                <w:color w:val="auto"/>
                <w:sz w:val="24"/>
                <w:highlight w:val="none"/>
              </w:rPr>
            </w:pPr>
          </w:p>
        </w:tc>
      </w:tr>
    </w:tbl>
    <w:p>
      <w:pPr>
        <w:jc w:val="cente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numPr>
          <w:ilvl w:val="0"/>
          <w:numId w:val="1"/>
        </w:num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招标需求</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530个高位视频探头监控数据服务：完成530路高清探头前端安装调试，通过专线实现与电子政务外网的互联互通。</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“耕地智保”场景接入：绘制探头可视范围内的耕地保护电子围栏，通过“耕地智保”场景提供监控、每天巡检、预警推送等系统化功能。服务期三年。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、项目背景</w:t>
      </w:r>
    </w:p>
    <w:p>
      <w:pPr>
        <w:spacing w:line="360" w:lineRule="auto"/>
        <w:ind w:firstLine="480" w:firstLineChars="200"/>
        <w:rPr>
          <w:rFonts w:hint="eastAsia" w:ascii="仿宋" w:hAnsi="仿宋" w:eastAsia="仿宋" w:cs="仿宋"/>
          <w:color w:val="auto"/>
          <w:sz w:val="24"/>
          <w:highlight w:val="none"/>
        </w:rPr>
      </w:pPr>
      <w:bookmarkStart w:id="2" w:name="_Toc25559"/>
      <w:r>
        <w:rPr>
          <w:rFonts w:hint="eastAsia" w:ascii="仿宋" w:hAnsi="仿宋" w:eastAsia="仿宋" w:cs="仿宋"/>
          <w:color w:val="auto"/>
          <w:sz w:val="24"/>
          <w:highlight w:val="none"/>
        </w:rPr>
        <w:t>根据《浙江省自然资源厅关于开展“保好耕地一件事”场景推广工作的通知》（浙自然资厅函〔2021〕855号），“保护耕地一件事”场景已纳入数字政府“浙政粮安”重大应用，旨在全面动态掌握耕地资源数据，坚决遏制耕地“非农化”，同时畅通社会公众参与渠道，共同守好“饭碗田”</w:t>
      </w:r>
      <w:bookmarkEnd w:id="2"/>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2022年4月，省自然资源厅下发《浙江省自然资源厅关于做好省域空间治理数字化平台2.0“耕地智保”场景应用贯通工作的通知》（浙自然资厅函〔2022〕397号），文件进一步明确求“耕地智保”应用是省域空间治理数字化平台2.0的重要应用场景之一，是全面落实耕地保护，推行田长制的重要抓手。要求各地充分利用铁塔高位视频、电子围栏、智能算法等技术资源，通过利用存量资源和新增视频、业务服务贯通等工作，将“铁塔视联”应用于“耕地智保”场景，实时发现违法违规占用耕地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共浙江省委办公厅、浙江省人民政府办公厅于2022年4月印发《关于落实最严格的耕地保护制度全面推行田长制的意见的通知》（厅字〔2022〕15号），要求“全面推行耕地智保、天巡地查等应用场景，采用视频监控、遥感监测、卫片执法等数字化手段，全覆盖、无死角监督耕地变化”。</w:t>
      </w:r>
    </w:p>
    <w:p>
      <w:pPr>
        <w:widowControl/>
        <w:tabs>
          <w:tab w:val="left" w:pos="425"/>
          <w:tab w:val="left" w:pos="747"/>
        </w:tabs>
        <w:spacing w:before="120" w:beforeLines="50" w:after="120" w:afterLines="5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、建设目标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更好适应耕地数量、质量、生态“三位一体”保护，坚守住耕地红线，在萧山区推行“耕地智保”场景应用，采用高位视频监控、AI识别、GIS等信息技术，将耕地管理业务数据和前端摄像机视频感知数据进行有效融合，加强对萧山区全域耕地保护与利用情况的动态监测监管。通过“人防+技防”，全面落实“田长制”，建立实施“早发现、早制止、早处置”机制，遏制新增耕地“非农化”、“非粮化”，确保耕地面积不减少、质量不降低，构筑粮食安全保障的新防线。</w:t>
      </w:r>
    </w:p>
    <w:p>
      <w:pPr>
        <w:widowControl/>
        <w:tabs>
          <w:tab w:val="left" w:pos="425"/>
          <w:tab w:val="left" w:pos="747"/>
        </w:tabs>
        <w:spacing w:before="120" w:beforeLines="50" w:after="120" w:afterLines="5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、建设内容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结合自然资源工作特点和实际工作需求，建立耕地智保应用场景，实现耕地“数字化监管”。通过天上看、地上查对辖区内耕地和基本农田资源进行监管，视频自动巡航时发现疑似违法占用耕地行为时，系统发出预警，对应耕地图斑生成“黄码”，预警信息同步发到田长及巡查员，赶赴现场处置，将破坏耕地违法行为遏制在萌芽状态，真正建立“早发现、早制止、早处置”的预防机制。</w:t>
      </w:r>
    </w:p>
    <w:p>
      <w:pPr>
        <w:widowControl/>
        <w:tabs>
          <w:tab w:val="left" w:pos="425"/>
          <w:tab w:val="left" w:pos="747"/>
        </w:tabs>
        <w:spacing w:before="120" w:beforeLines="50" w:after="120" w:afterLines="5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四、项目内容</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w:t>
      </w:r>
      <w:r>
        <w:rPr>
          <w:rFonts w:hint="eastAsia" w:ascii="仿宋" w:hAnsi="仿宋" w:eastAsia="仿宋" w:cs="仿宋"/>
          <w:b/>
          <w:color w:val="auto"/>
          <w:sz w:val="24"/>
          <w:highlight w:val="none"/>
        </w:rPr>
        <w:t>制高点位置及高度：</w:t>
      </w:r>
    </w:p>
    <w:tbl>
      <w:tblPr>
        <w:tblStyle w:val="2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32"/>
        <w:gridCol w:w="1316"/>
        <w:gridCol w:w="1385"/>
        <w:gridCol w:w="1559"/>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序号</w:t>
            </w:r>
          </w:p>
        </w:tc>
        <w:tc>
          <w:tcPr>
            <w:tcW w:w="3048" w:type="dxa"/>
            <w:gridSpan w:val="2"/>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点位大致位置</w:t>
            </w:r>
          </w:p>
        </w:tc>
        <w:tc>
          <w:tcPr>
            <w:tcW w:w="2944" w:type="dxa"/>
            <w:gridSpan w:val="2"/>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大致区域</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高度要求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120.198531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30.043561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河口村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120.203761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30.023651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石码头</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120.211943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30.027009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石马头村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120.218271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30.015334</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后倪村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120.206431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30.010011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张家弄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120.190621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30.013541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120.207061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30.012311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杨家村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120.194833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30.027189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陆家村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120.181661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30.028319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120.181661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30.028319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120.201261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30.007471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杨家桥北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120.201261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30.007471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杨家桥北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120.170561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30.000281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八都村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120.159621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30.008121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丁村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120.150225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30.016299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佛山村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120.123561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29.969501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云石尖子村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120.106349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29.962239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骆村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120.214511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30.030811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郁家山下村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120.219081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30.021681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西周</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120.205851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30.036521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马鞍山</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120.183091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30.045591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河口村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120.189328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30.029923</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畈里村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120.168105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30.006723</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凌山村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120.150862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29.998002</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云石村东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120.143691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30.002571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云石</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120.131381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29.988091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勤工村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120.560694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30.235267</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永安村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120.543202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30.202717</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镇中村东南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120.54148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30.217957</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民新村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120.528004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30.231116</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大西村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120.51563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29.235874</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党湾德北村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120.51563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29.235874</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德北村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120.531339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30.254094</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曙光村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120.531339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30.254094</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曙光村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120.558263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30.249678</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永安村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120.558263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30.249678</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永安村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120.555977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30.221128</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庆丰村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120.555977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30.221128</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庆丰村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120.567124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30.2093</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勤俭四组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120.567124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30.2093</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勤俭四组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120.53666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30.23861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新梅村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120.441291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30.196325</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萧山横梗头</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120.434681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30.166511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长巷村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120.432485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30.138385</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120.502704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30.185862</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梅林村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120.467571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30.182251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进化四组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120.472749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30.19971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120.500365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30.210046</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单木桥村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120.500365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30.210046</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单木桥村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120.516388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30.213485</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裕民村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120.516388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30.213485</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裕民村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120.526531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30.201891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大潭东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120.526531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30.201891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大潭东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120.510177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30.196234</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七张头村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120.510177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30.196234</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七张头村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120.492874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30.189602</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解放村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120.492874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30.189602</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解放村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120.538632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30.179379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碧苑新村北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120.538632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30.179379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群益村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120.538632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30.179379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群益村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120.526134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30.187336</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和合玻璃南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120.526134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30.187336</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和合玻璃南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120.429891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30.189121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工农村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120.441944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30.181042</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东恩村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120.444371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30.161858</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渔庄村2</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120.438701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30.155127</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120.438701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30.155127</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120.387351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30.178599</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八大村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120.399564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30.174745</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沿塘村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120.399564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30.174745</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沿塘村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120.391941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30.199441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新凉亭村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120.391941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30.199441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新凉亭村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120.412251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30.214531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三岔口村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120.412251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30.214531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三岔口村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120.395461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30.228951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红垦九组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120.395461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30.228951</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红垦九组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120.429375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30.213848</w:t>
            </w:r>
          </w:p>
        </w:tc>
        <w:tc>
          <w:tcPr>
            <w:tcW w:w="1385"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0"/>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沙田头村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120.410381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30.192129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坎山群谊</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120.487087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30.173507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黄公娄村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120.136801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29.931279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上汤家坪</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120.204981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29.951971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璇山下村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120.187181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29.941361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泉水村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120.176741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29.928651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金坞自然村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120.133352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29.944552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大坞自然村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120.145831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29.952501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桥头黄村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120.159411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29.950661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凤坞村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120.159411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29.950661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凤坞村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120.180694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29.960625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上塘村坂村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120.180694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29.960625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上塘村坂村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120.187291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29.982511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祥利村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120.205031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29.974181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紫东村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120.172811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29.966411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泽荣村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120.204381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29.991247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沙河村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120.204381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29.991247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沙河村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120.189041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29.995821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祥利河</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120.370011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30.234648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红山农场</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红垦十三组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120.304856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29.952776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欢潭村东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120.251339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30.013528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三江村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120.308311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30.032571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华锋村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120.278231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29.949297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傅家村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120.341941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29.990831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吉山村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120.320661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29.990781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岭下沈村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120.298591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30.005491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裘家坞村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120.306281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29.933481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岳联村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120.319371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29.957031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东坞裘村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120.331222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30.007006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华家垫村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120.282989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30.013205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大汤坞</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120.298741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30.022641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山头埠东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120.294721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29.973331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涂川</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120.315701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30.017241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平阳村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120.267601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30.025501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下颜村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120.287671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29.949441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傅家村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120.294343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29.982397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祝家村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120.294491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29.982671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杜家弄村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120.281561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30.038891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诸坞村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120.496732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30.234441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光明村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120.469671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30.235512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花神庙村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120.465039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30.255421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长红一组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120.50094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30.225127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120.455866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30.216248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运西村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120.444811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30.228171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靖东村西</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120.444811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30.228171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靖东村西</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120.482521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30.226451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花神村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120.475471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30.255311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雷东村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120.223881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30.006941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横一村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120.238331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30.035281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120.229721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30.057221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谭家埭村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120.222441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29.994456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梅里村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120.244131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30.075216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大庄村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120.259142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30.048865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华家村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120.235277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30.017499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塘头中村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120.223285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30.027873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戚家里东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120.228551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30.067871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120.226811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30.078341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120.247771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30.061381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120.264889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30.039715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临东村2173</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120.150001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29.925281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樟树下</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120.140961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29.887021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大同坞</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120.139889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29.90701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吉达汽车</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120.128131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29.906801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120.126965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29.906787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120.139634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29.886453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120.121621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29.869201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上马石</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120.121621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29.869201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上马石</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120.109571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29.859661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大同一村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120.100461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29.867191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田村0487</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120.091611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29.878111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常山坞</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120.097681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29.889931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岩上村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120.102161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29.895971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岩山村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120.104671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29.914631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雀山岭村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120.093351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29.911861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大黄岭</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120.111391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29.927221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桥头村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120.11134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29.927241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桥头村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120.124431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29.930691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里都村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120.124431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29.930691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里都村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120.118351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29.913491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上阳村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120.141603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29.911911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管村村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120.146111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29.910551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管村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120.128586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29.915299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林场村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120.122032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29.910255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120.414285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30.260292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长园村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120.433889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30.288657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岩峰北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120.451791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30.270161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萧山横蓬村南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120.422288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30.275657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龙虎四组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120.450363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30.276767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横蓬村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120.448241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30.276421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横蓬村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120.395181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30.269541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萧山福莱特</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120.421701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30.260381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东风八组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120.399222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30.256922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萧山坞里村北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120.407582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30.244819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120.407582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30.244819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120.491801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30.234974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雷山村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120.431947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30.283374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120.432861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30.276261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120.422631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30.251271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萧山赭东村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120.388051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30.245456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萧山红山三队</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120.283259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30.273986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顺坝村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120.283259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30.273986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顺坝村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120.253691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30.242931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120.291839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30.233141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宁牧村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120.291839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30.233141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宁牧村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120.293581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30.198491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新华村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120.270271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30.242211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120.263183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30.256688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永磁集团</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120.274525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30.212986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宁东社区</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120.274525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30.212986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宁东社区</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120.277623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29.964649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浦阳江大桥北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120.268241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29.941521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下曹坞</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120.243001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29.990001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横塘泥村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120.263433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29.928577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上曹坞</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120.244411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29.952841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舜湖村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120.228296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29.950322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下湾村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120.257041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29.963191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木杓山村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120.230841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29.964011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树蓬王村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120.227681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29.975851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山前许东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120.273424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29.976694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桃北新村东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120.273424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29.976694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王家埭村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120.244721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29.991941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桃北新村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120.246701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29.968081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桃湖村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120.230691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29.958011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漾湖村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120.272231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29.953381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径游南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120.247511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30.092501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张孔湖村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120.292212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30.121649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联谊村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120.306783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30.105428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张家坂村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120.306861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30.085784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张家坂村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120.282979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30.076219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祥里王村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120.272087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30.064859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柳家村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120.266001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30.075801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汀联村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120.289529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30.090818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东复村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120.294586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30.090392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金山村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120.284161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30.126861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杨树下村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120.306874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30.101707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山联村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120.21032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30.094613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知章村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120.213369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30.113406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亚太机电</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120.224011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30.103761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萧山路平村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120.21594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30.128663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湘湖湖东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120.24128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30.113263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前章村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120.260351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30.104761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犁头金村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219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120.262186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30.117612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蜀山村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120.264309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30.135797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开元广场东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120.241516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30.135247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萧山溪头黄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120.160102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30.142608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山南村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120.17061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30.12994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朝红村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120.369959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30.195956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黄山村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120.200311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30.134007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老虎洞村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120.183322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30.110091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三江口村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120.194701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30.130691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老虎洞村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120.129138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30.049091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寺坞岭</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120.166671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30.041104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塘坞村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120.149862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30.045877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120.216627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30.047028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五星村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120.197082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30.066614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120.141531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30.082611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富春村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120.168468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30.083493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河西村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120.169785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30.096762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袁溥大桥</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120.207411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30.080681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120.191671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30.089191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民丰村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120.154761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30.028128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昇光村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239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120.148581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30.087081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传雅沙自然村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120.181881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30.074091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萧山罗幕村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120.378631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30.187751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陈家园村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120.378631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30.187751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陈家园村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120.359225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30.19368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双圩村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120.348524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30.17898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新街元沙村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120.334762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30.210707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盛东村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120.314928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30.19503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同兴村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120.314928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30.19503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同兴村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120.345433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30.21572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盛东廿六组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120.346051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30.160781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和平桥村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120.374362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30.21469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沿江村东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120.336839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30.203314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新街镇</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120.336839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30.203314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新街镇</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120.322845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30.139414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联华新村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120.322845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30.139414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联华新村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120.312477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30.130839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霞江村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120.282731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30.138505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琴山下村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120.294241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30.159733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阮家埭</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120.331071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30.156061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120.331071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30.156061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120.318585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30.165063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萧山五联村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120.297681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30.176451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郎家浜村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120.420001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30.160201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同富村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120.398723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30.124631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萧山毛家上</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120.387661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30.159711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杨江名邸</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120.352756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30.152033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杨汛村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120.4087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30.170835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凤凰村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120.363995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30.165308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吟龙村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120.361021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30.159371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东庄王村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269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120.209341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30.067281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茅山头村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120.155931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30.072091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西山村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120.170451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30.061831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田丰村南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120.519425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30.163924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方党线</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120.545945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30.160386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萧山镇龙殿</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120.589006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30.183503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利民坝</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120.585917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30.223778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长北村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120.582501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30.197221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兴裕村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120.569893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30.188563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赵家湾村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120.577009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30.171617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夹灶村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279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120.617682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30.230315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新行政中心</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120.604531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30.226923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十四工段</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120.611071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30.212191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益农优稞</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120.611071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30.212191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益农优稞</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120.613183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30.194354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兴裕村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120.613183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30.194354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兴裕村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120.598741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30.212512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利兴村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120.606497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30.173045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三围村西</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120.606497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30.173045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120.172003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30.597867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萧山东江南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289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120.630514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30.215623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渐联村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120.630514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30.215623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渐联村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120.580416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30.157656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120.580416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30.157656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120.550836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30.188621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前兴村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120.550836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30.188621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前兴村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120.297072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30.261359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顺坝村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120.269116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30.231594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120.325177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30.242558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金鼎家具</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120.597175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30.197034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东沙村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120.228201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30.118571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蜀山街道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萧山石岩老街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120.560428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30.168041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众力村南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120.570266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30.221157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长峰村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120.562127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30.194092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五六二村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120.582244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30.185432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利民坝西</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120.261357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30.270814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民丰村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120.36771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30.18186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徐家塘</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120.361584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30.212203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120.537112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30.249246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新梅村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120.537099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30.180759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群力村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120.307759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30.218302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盛乐村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120.479995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30.215138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东方村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120.157356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29.929772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联发村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120.597646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30.17937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三围村东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120.537373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30.209408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镇武殿</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120.547485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30.240097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梅东村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120.492998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30.245489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协谊村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120.558292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30.159032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星联村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120.585895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30.205797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益农十三组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120.51505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30.233289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梅西</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319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120.358003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30.202927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江南村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120.455541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30.245451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保税物流中心</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120.482213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30.184316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常联村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120.529774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30.223719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幸福村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120.313388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30.254906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顺坝村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120.244417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30.122512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蜀山街道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萧山石岩搬迁</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120.340718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30.195357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120.40963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30.278459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120.225362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30.042604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詹家埭村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120.298061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30.214485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新华村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329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120.590535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30.167601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民围村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120.568732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30.184003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众力村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120.325728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30.216503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盛东村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120.265825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29.971883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径游村北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120.553736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30.249883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新前村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120.354853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30.185164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双圩村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120.393874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30.242133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农丰村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120.369959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30.195956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万安村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120.464738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30.215028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运西十组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120.236659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30.027155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张家畈村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339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120.295922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30.278443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顺坝村十五组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120.537099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30.180759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群力村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120.553134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30.21058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120.514928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30.200174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七张头村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120.181892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30.059284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猫头山村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120.260433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30.084947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袄庄陈村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120.278741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30.268971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顺坝村10组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120.526448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30.237492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团结村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120.44836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30.218417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120.47395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30.199364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349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120.281462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30.081804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沿村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120.4836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30.237042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甘露村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120.342738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30.183938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山末址村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120.493891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30.217862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单木</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120.393571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30.150206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萧山中方</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120.346726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30.212407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盈上村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120.31687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30.208788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盛中十四组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120.239228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30.214463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北干街道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兴议村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120.266117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29.948964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曹家湾</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120.363163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30.224897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红山六分场</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120.215657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30.105358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蜀山街道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萧山童家里</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120.302331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30.162298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西许村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120.318471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30.011601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天乐村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120.50984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30.239318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德北七组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120.202095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30.086523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120.485481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30.199447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120.569646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30.166346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转塘头</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120.525994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30.179004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路湾村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120.300806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30.019247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120.571731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30.194137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东湾</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369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120.412586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30.155365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四翔村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120.234335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30.252913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景观绿化带</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120.599375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30.205227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东沙村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120.431947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30.283374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岩峰村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120.549382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30.228087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永乐村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120.425352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30.253191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赭东村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120.247599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30.03251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施塔村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120.53147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30.254342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曙光村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120.413759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30.252364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赭山村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120.40963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30.278459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379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120.260691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30.245351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120.555161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30.196761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萧山甩头庙</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120.379571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30.234921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红山五大队</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120.284348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30.225193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萧山盛利塑业</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120.359799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30.241109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红垦十一组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120.435888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30.155887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群联</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120.565953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30.227146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先锋村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120.338979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30.155467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河北楼村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120.35184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30.193299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沿江新农村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120.197376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29.955205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桃花坞村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389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120.584796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30.173217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久联村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120.482608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30.245083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120.238591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30.002561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桃北新村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120.299513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30.201185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新农都市场</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120.476255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30.174221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黄公娄村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120.459589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30.222914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120.245965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30.206354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北干街道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信息港东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120.289431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30.096791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金鸡山</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120.105171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29.901576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楼塔镇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岩山村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120.280273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30.253374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顺发康庄北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399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120.263811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30.094783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东复村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120.239528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30.104785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蜀山街道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黄家章</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120.515761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30.185331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萧山梅林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120.500748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30.240772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协谊村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120.159983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29.944723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凤坞村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120.533932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30.192532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世安桥村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120.305371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29.941514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岳驻村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120.545074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30.176728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众力村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120.266648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29.961773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径游村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120.229932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30.177085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城厢街道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东湘村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409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120.456953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30.201534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友谊四组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120.285442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29.980836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祝家村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120.486105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30.216472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开源村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120.508616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30.207288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群建村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120.300041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30.222231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120.289728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30.192082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北干街道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墩里吴村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120.255388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29.993544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临江村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120.287522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30.243546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二桥村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120.234522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30.228073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120.368372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30.188281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陈家园村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419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120.165561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30.074721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吴闸村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120.278203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29.949359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江西俞村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120.191691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30.101514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南岸花城</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120.277347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30.223844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120.437864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30.220625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渭水桥</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120.605391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30.179432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群围村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120.295477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30.008879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山水公寓</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120.238035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29.971305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河口村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120.44286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30.270885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萧山南阳</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120.492061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30.235043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甘露村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429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120.305108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30.24611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二桥村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120.294241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30.159733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阮家埭村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120.473321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30.223481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花神村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120.575233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30.180382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赵家湾村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120.175351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30.058981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七里店村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120.259736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29.974505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谢家村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120.322251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30.237619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钱江农场</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120.254464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30.028807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三江村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120.529424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30.171268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碧苑新村东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120.246149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30.24336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120.270442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29.937567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曹家埭村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120.282494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30.280271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顺坝村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120.584198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30.2183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长峰村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120.195217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30.058623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丁家庄村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120.329821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30.186181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120.313909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30.203416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新盛村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120.282109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30.029041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安山陈</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120.34596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30.171437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娄下陈村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120.382912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30.240119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红垦五组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120.493584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30.176293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大池溇</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449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120.206448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30.104673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蜀山街道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沿山村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120.415411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30.203071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张神殿村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120.286641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29.960901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小满村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120.47395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30.199364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120.576559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30.20036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东湾七组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120.289371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30.115875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金临村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120.430278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30.1419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昭东南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120.528004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30.231116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大西村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120.222115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30.117588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蜀山街道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湖东村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120.47342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30.211411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运东村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459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120.376448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30.225716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红山三分场</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120.565044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30.175302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夹灶村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120.447644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30.227615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120.235209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30.04094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詹家埭村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120.29251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30.270941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顺坝村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120.437296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30.202688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临港开发区</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120.234071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30.066785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西葛村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120.539126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30.213536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镇中村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120.241628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30.11706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蜀山街道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赵家墩王秀里</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120.37973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30.161936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衙前镇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徐村西</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469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120.419957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30.265883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120.178759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30.020074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戴村镇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上东村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120.256736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30.00453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朱家塔村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120.257703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29.954981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浦阳镇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径游村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120.317075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30.217794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盛中村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120.542881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30.199581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官一村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120.610045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30.205074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东沙村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120.266984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30.224369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盈一一组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120.381975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30.198819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新华村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120.276877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30.105148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里士湖</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479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120.546806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30.235491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梅东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120.242203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30.219801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丰二村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120.25251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30.263674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盈二村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120.485294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30.252909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盛都苑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120.550405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30.245508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永安村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120.19233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29.972029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紫霞村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120.321213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30.024464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平阳村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120.521768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30.191146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八里桥村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120.272308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30.058886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里同村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120.390329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30.222705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钱江电器</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489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120.428907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30.258159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萧山东风八组</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120.191903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30.075323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民丰村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120.293057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30.206699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新华村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120.336948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30.164163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庙金东</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120.306664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30.258792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顺坝村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120.191903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30.075323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丁家庄村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120.484677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30.205042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党山众安村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120.277956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30.239435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120.592928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30.176183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120.256169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30.078798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鲁家坞</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499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120.239771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30.018582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浦南村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120.506591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30.190469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七张头村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120.237603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30.168899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城厢街道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东湘村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120.277116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30.208097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宁税村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120.478385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30.232696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萧山靖</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120.58139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30.191789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兴裕村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120.469088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30.185415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二联村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120.337083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30.190921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新街街道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末址村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120.516357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30.207994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大潭村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120.56683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30.155594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益农镇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星联村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509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120.394922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30.249867</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南阳街道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坞里村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120.44503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30.154833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杨汛村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120.310904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30.1748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涝湖村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120.150469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29.929838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河上镇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江家桥村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120.258638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30.017694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下昭村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120.531497</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30.240.110</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新梅村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120.225224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30.008993</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横一村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120.300106</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29.952311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欢潭乡</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120.205778</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30.05434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义桥镇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联新村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120.504152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30.201815</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瓜沥镇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沙北</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519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120.501875</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30.235986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靖江街道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协谊村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120.308811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30.159749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新塘街道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管家塔村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521</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120.284919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29.976769</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泗化村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522</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120.251159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30.175726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城厢街道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荣联村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523</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120.239001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30.19732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北干街道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荣星村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524</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120.269839</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30.081954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所前镇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洪家潭村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525</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120.515012</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30.239884</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党湾镇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德北-2</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526</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120.217623</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30.037418</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塘琅姚村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527</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120.299164</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30.234286</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宁围街道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二桥村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528</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120.229001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30.047301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临浦镇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詹家埭村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529</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120.287771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30.022971</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进化镇</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安山陈</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7"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530</w:t>
            </w:r>
          </w:p>
        </w:tc>
        <w:tc>
          <w:tcPr>
            <w:tcW w:w="1732"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120.253751</w:t>
            </w:r>
          </w:p>
        </w:tc>
        <w:tc>
          <w:tcPr>
            <w:tcW w:w="1316"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30.107952</w:t>
            </w:r>
          </w:p>
        </w:tc>
        <w:tc>
          <w:tcPr>
            <w:tcW w:w="138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闻堰街道</w:t>
            </w:r>
          </w:p>
        </w:tc>
        <w:tc>
          <w:tcPr>
            <w:tcW w:w="1559"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犁头金村</w:t>
            </w:r>
          </w:p>
        </w:tc>
        <w:tc>
          <w:tcPr>
            <w:tcW w:w="2145" w:type="dxa"/>
            <w:shd w:val="clear" w:color="auto" w:fill="auto"/>
            <w:noWrap/>
            <w:vAlign w:val="center"/>
          </w:tcPr>
          <w:p>
            <w:pPr>
              <w:widowControl/>
              <w:adjustRightInd/>
              <w:spacing w:line="24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30米以上制高点</w:t>
            </w:r>
          </w:p>
        </w:tc>
      </w:tr>
    </w:tbl>
    <w:p>
      <w:pPr>
        <w:widowControl/>
        <w:tabs>
          <w:tab w:val="left" w:pos="425"/>
          <w:tab w:val="left" w:pos="747"/>
        </w:tabs>
        <w:spacing w:before="120" w:beforeLines="50" w:after="120" w:afterLines="5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ind w:firstLine="482" w:firstLineChars="200"/>
        <w:rPr>
          <w:rFonts w:hint="eastAsia" w:ascii="仿宋" w:hAnsi="仿宋" w:eastAsia="仿宋" w:cs="仿宋"/>
          <w:b/>
          <w:color w:val="auto"/>
          <w:sz w:val="24"/>
          <w:highlight w:val="none"/>
          <w:lang w:eastAsia="zh-CN"/>
        </w:rPr>
      </w:pPr>
      <w:bookmarkStart w:id="3" w:name="_Toc5000"/>
      <w:bookmarkStart w:id="4" w:name="_Toc18869"/>
      <w:r>
        <w:rPr>
          <w:rFonts w:hint="eastAsia" w:ascii="仿宋" w:hAnsi="仿宋" w:eastAsia="仿宋" w:cs="仿宋"/>
          <w:b/>
          <w:color w:val="auto"/>
          <w:sz w:val="24"/>
          <w:highlight w:val="none"/>
        </w:rPr>
        <w:t>（二）服务清单</w:t>
      </w:r>
      <w:r>
        <w:rPr>
          <w:rFonts w:hint="eastAsia" w:ascii="仿宋" w:hAnsi="仿宋" w:eastAsia="仿宋" w:cs="仿宋"/>
          <w:b/>
          <w:color w:val="auto"/>
          <w:sz w:val="24"/>
          <w:highlight w:val="none"/>
          <w:lang w:eastAsia="zh-CN"/>
        </w:rPr>
        <w:t>：</w:t>
      </w:r>
    </w:p>
    <w:tbl>
      <w:tblPr>
        <w:tblStyle w:val="23"/>
        <w:tblW w:w="52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87"/>
        <w:gridCol w:w="5275"/>
        <w:gridCol w:w="819"/>
        <w:gridCol w:w="81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产品类别</w:t>
            </w:r>
          </w:p>
        </w:tc>
        <w:tc>
          <w:tcPr>
            <w:tcW w:w="2937"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82" w:firstLineChars="20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技术规格</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参考</w:t>
            </w:r>
          </w:p>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品牌</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前端高位监控视频服务</w:t>
            </w:r>
          </w:p>
        </w:tc>
        <w:tc>
          <w:tcPr>
            <w:tcW w:w="293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新建</w:t>
            </w:r>
            <w:r>
              <w:rPr>
                <w:rFonts w:hint="eastAsia" w:ascii="仿宋" w:hAnsi="仿宋" w:eastAsia="仿宋" w:cs="仿宋"/>
                <w:color w:val="auto"/>
                <w:szCs w:val="21"/>
                <w:highlight w:val="none"/>
              </w:rPr>
              <w:t>530</w:t>
            </w:r>
            <w:r>
              <w:rPr>
                <w:rFonts w:hint="eastAsia" w:ascii="仿宋" w:hAnsi="仿宋" w:eastAsia="仿宋" w:cs="仿宋"/>
                <w:color w:val="auto"/>
                <w:szCs w:val="21"/>
                <w:highlight w:val="none"/>
              </w:rPr>
              <w:t>路高位监控接入，具体位置高度满足前表所述。招标人租用专线接入，安装调试，电力引入，维护等；</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1、智能球形摄像机参数要求：</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（1）▲传感器类型 ：1/1.8''CMOS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（2）▲像素：400 万（</w:t>
            </w:r>
            <w:r>
              <w:rPr>
                <w:rFonts w:hint="eastAsia" w:ascii="仿宋" w:hAnsi="仿宋" w:eastAsia="仿宋" w:cs="仿宋"/>
                <w:color w:val="auto"/>
                <w:szCs w:val="21"/>
                <w:highlight w:val="none"/>
                <w:lang w:val="en-US" w:eastAsia="zh-CN"/>
              </w:rPr>
              <w:t>不低于</w:t>
            </w:r>
            <w:r>
              <w:rPr>
                <w:rFonts w:hint="eastAsia" w:ascii="仿宋" w:hAnsi="仿宋" w:eastAsia="仿宋" w:cs="仿宋"/>
                <w:color w:val="auto"/>
                <w:szCs w:val="21"/>
                <w:highlight w:val="none"/>
              </w:rPr>
              <w:t>）</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（3）最大分辨率：5.3MP@12fps ，4MP@25fps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（5）电子快门：1/1s~1/30000s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（6）最低照度：彩色：0.00049Lux@F1.19 黑白：0.00001Lux@F1.19 0Lux（红外灯开启）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（7）最大补光距离：250m（红外）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（8）补光灯控制：倍率优先/手动/SmartIR/关闭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（9）补光灯数量：6 颗（红外灯）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（10）补光类型：红外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（11）镜头焦距：7.4mm~333mm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（12）镜头光圈：F1.19-F4.5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（13）光学变倍：45 倍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（14）聚焦模式：自动/半自动/手动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（15）近摄距：1.5-8m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（16）变倍速度 ：约 6.0s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（17）旋转范围：水平：0°~360°连续旋转 ；垂直：-30°~+90°自动翻转 180°后连续监视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（18）视频帧率：主码流（3072×1728@12fps），主码流（2560×1440@25fps），主码流（2048×1536@25fps），主码流（1920×1080@25fps），主码流（1280×960@25fps），主码流（1280×720@25fps） 辅码流 1（704× 576@25fps），辅码流 1（352×288@25fps） 辅码流 2（1920×1080@25fps），辅码流 2（1280×960@25fps），辅码流 2（1280×720@25fps）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2、网络要求：20M互联网。</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国产</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点位</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耕地智保平台服务</w:t>
            </w:r>
          </w:p>
        </w:tc>
        <w:tc>
          <w:tcPr>
            <w:tcW w:w="293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耕地智保应用场景主要功能描述如下：</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1、地图数据管理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（1）支持在系统平台中对地图图层进行分组管理。地图图层以目录树的形式罗列，并且可以进行分组管理。地图图层的目录树中可以通过勾选的方式展示一个或叠加多个图层。</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（2）支持在系统平台中对影像地图或矢量地图等各专题数据图层进行管理。包括图层的导入，以及浏览、放大、缩小、平移等基础操作。</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（3）支持在系统平台中对地图图层的修改和删除管理。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（4）支持在系统平台中对地图数据进行预览。</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（5）支持在系统平台中对地图样式进行修改。</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2、基础地理信息功能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（1）支持在系统中对地图数据属性进行识别。在点击地图后，将地图中选取的点所归属的地块数据属性进行识别和展示。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（2）支持在系统中进行地图数据查询。能够对地图图层按属性进行筛选和查询，支持字段查询。</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（3）支持在系统中进行多图比对。能够在同一屏幕中，将多个选定的地图图层进行展示比对。可以将不同年度（时相）的图层进行比对。</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（4）支持在系统中进行地图坐标拾取或定位。对于在地图中选定的点，显示该点的坐标。同时允许提取坐标信息。</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（5）支持在系统中地图数据分析。对于地图中选定的区域进行数据分析及展。</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3、视频管理功能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（1）支持对视频按组织架构分组。视频监控能够以目录树的形式罗列，并且可以进行分组管理和显示。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（2）支持按用户权限管理视频。具备用户权限分级功能，能够按照不同的用户权限显示相对应的视频设备。</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（3）支持视频实时浏览。能够查看视频监控实时内容，实现实时画面展示。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（4）支持视频云台操作。视频监控角度能够360度旋转和俯仰，支持缩放功能。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（5）支持多路视频播放。能够实现4路及以上多路视频同时播放，实现远程指挥调度。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（6）支持视频抓拍。实现对视频监控的图像抓拍。</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4、智能告警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（1）支持系统平台绘制视频电子围栏位置。能够在视频监控画面中绘制电子围栏，实现对电子围栏范围内的实时预警监测。</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（2）支持实时告警。对于电子围栏范围内的违法违规行为能够进行实时识别并在系统平台实时产生告警。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（3）支持告警声音提示。系统平台产生实时告警时会进行响铃提示。告警响铃可设置开启和静音。</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（4）支持显示告警位置和时间。能够在地图中显示实时告警的位置，并且显示告警发生的时间。</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（5）支持告警审核。能够在系统平台对实时告警进行审核管理。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5、算法仓库</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算法仓库清单包括：</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（1）乱石堆放；</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（2）土堆堆放；</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（3）在修建筑；</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（4）地面硬化；</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（5）红砖堆占；</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（6）水泥框架；</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（7）板房棚房；</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（8）脚手架；</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（9）建筑材料；</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（10）围挡；</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（11）起重机；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（12）运输车辆；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（13）施工车辆；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（14）塔吊；</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（15）搅拌机；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（16）搅拌车。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6、视频与地图融合功能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（1）支持在视频中叠加图斑。能够将图斑图层添加进视频监控实时画面中，在视频监控画面中显示图层边界范围。</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（2）支持视频中图斑属性预览。能够在视频监控画面中显示图斑图层的属性信息。</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（3）支持视频中用地分析。能够在视频监控画面中绘制选定区域并显示选定区域的用地数据及分析结果。</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（4）支持以地找视频。在地图中选取地点，能够显示以选点为中心，1.5公里为半径的范围内的视频监控。</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国产</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r>
      <w:bookmarkEnd w:id="3"/>
      <w:bookmarkEnd w:id="4"/>
    </w:tbl>
    <w:p>
      <w:pPr>
        <w:widowControl/>
        <w:tabs>
          <w:tab w:val="left" w:pos="425"/>
          <w:tab w:val="left" w:pos="747"/>
        </w:tabs>
        <w:spacing w:before="120" w:beforeLines="50" w:after="120" w:afterLines="5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五、服务要求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（一）服务期限：</w:t>
      </w:r>
      <w:r>
        <w:rPr>
          <w:rFonts w:hint="eastAsia" w:ascii="仿宋" w:hAnsi="仿宋" w:eastAsia="仿宋" w:cs="仿宋"/>
          <w:color w:val="auto"/>
          <w:kern w:val="0"/>
          <w:sz w:val="24"/>
          <w:highlight w:val="none"/>
        </w:rPr>
        <w:t>合同签订后30天内</w:t>
      </w:r>
      <w:r>
        <w:rPr>
          <w:rFonts w:hint="eastAsia" w:ascii="仿宋" w:hAnsi="仿宋" w:eastAsia="仿宋" w:cs="仿宋"/>
          <w:color w:val="auto"/>
          <w:sz w:val="24"/>
          <w:highlight w:val="none"/>
        </w:rPr>
        <w:t>按照省市要求部署到位，</w:t>
      </w:r>
      <w:r>
        <w:rPr>
          <w:rFonts w:hint="eastAsia" w:ascii="仿宋" w:hAnsi="仿宋" w:eastAsia="仿宋" w:cs="仿宋"/>
          <w:color w:val="auto"/>
          <w:kern w:val="0"/>
          <w:sz w:val="24"/>
          <w:highlight w:val="none"/>
        </w:rPr>
        <w:t>完成所有服务设施建设并验收通过，验收通过后服务期3年。</w:t>
      </w:r>
    </w:p>
    <w:p>
      <w:pPr>
        <w:widowControl/>
        <w:autoSpaceDE w:val="0"/>
        <w:autoSpaceDN w:val="0"/>
        <w:spacing w:line="360" w:lineRule="auto"/>
        <w:ind w:firstLine="482" w:firstLineChars="20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（二）验收方式及标准</w:t>
      </w:r>
    </w:p>
    <w:p>
      <w:pPr>
        <w:widowControl/>
        <w:autoSpaceDE w:val="0"/>
        <w:autoSpaceDN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验收按国家有关规范标准（国家无验收规范标准的按双方合同规定的要求）进行。</w:t>
      </w:r>
    </w:p>
    <w:p>
      <w:pPr>
        <w:widowControl/>
        <w:autoSpaceDE w:val="0"/>
        <w:autoSpaceDN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autoSpaceDE w:val="0"/>
        <w:autoSpaceDN w:val="0"/>
        <w:spacing w:line="360" w:lineRule="auto"/>
        <w:ind w:firstLine="482" w:firstLineChars="20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（三）运维要求</w:t>
      </w:r>
    </w:p>
    <w:p>
      <w:pPr>
        <w:widowControl/>
        <w:autoSpaceDE w:val="0"/>
        <w:autoSpaceDN w:val="0"/>
        <w:spacing w:line="360" w:lineRule="auto"/>
        <w:ind w:firstLine="480" w:firstLineChars="200"/>
        <w:textAlignment w:val="bottom"/>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（1）在服务期内提供免费上门维护服务，对故障能在1小时内响应，2小时内到现场， 24小时以内解决问题</w:t>
      </w:r>
      <w:r>
        <w:rPr>
          <w:rFonts w:hint="eastAsia" w:ascii="仿宋" w:hAnsi="仿宋" w:eastAsia="仿宋" w:cs="仿宋"/>
          <w:color w:val="auto"/>
          <w:sz w:val="24"/>
          <w:highlight w:val="none"/>
          <w:lang w:eastAsia="zh-CN"/>
        </w:rPr>
        <w:t>。</w:t>
      </w:r>
    </w:p>
    <w:p>
      <w:pPr>
        <w:widowControl/>
        <w:autoSpaceDE w:val="0"/>
        <w:autoSpaceDN w:val="0"/>
        <w:spacing w:line="360" w:lineRule="auto"/>
        <w:ind w:firstLine="480" w:firstLineChars="200"/>
        <w:textAlignment w:val="bottom"/>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（2）中标人在接到采购人通知后，2小时内派人赴现场处理设备质量问题。48小时内不能修复的，则无偿提供备机或备用零件供采购人使用</w:t>
      </w:r>
      <w:r>
        <w:rPr>
          <w:rFonts w:hint="eastAsia" w:ascii="仿宋" w:hAnsi="仿宋" w:eastAsia="仿宋" w:cs="仿宋"/>
          <w:color w:val="auto"/>
          <w:sz w:val="24"/>
          <w:highlight w:val="none"/>
          <w:lang w:eastAsia="zh-CN"/>
        </w:rPr>
        <w:t>。</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（四）服务要求</w:t>
      </w:r>
    </w:p>
    <w:p>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中标人提供的设备，必须符合采购文件及其投标文件规定的要求，如有不符，采购人可以无条件退货，造成的损失由中标人承担。</w:t>
      </w:r>
    </w:p>
    <w:p>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在本项目运行维护期内，设备的使用权归采购方所有。</w:t>
      </w:r>
    </w:p>
    <w:p>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本项目实施过程中可能涉及的所有财务成本已经包含投标总报价之中，中标人不得以其它理由增加费用。</w:t>
      </w:r>
    </w:p>
    <w:p>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维护时效：</w:t>
      </w:r>
      <w:bookmarkStart w:id="529" w:name="_GoBack"/>
      <w:bookmarkEnd w:id="529"/>
    </w:p>
    <w:p>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服务期内，中标供应商负责保证所有硬件与平台之间的数据对接、运行。</w:t>
      </w:r>
    </w:p>
    <w:p>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制定服务计划</w:t>
      </w:r>
    </w:p>
    <w:p>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中标供应商需制定详尽的服务计划，至少每月对硬件运行情况进行一次巡检，每季度进行一次全面的检查和维护，除安装所需硬件外，配置一定数量的备用件，对无法及时维修排除疑难故障的硬件进行更换，避免出现空档期。 </w:t>
      </w:r>
    </w:p>
    <w:p>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中标供应商应指定专门的联络人，负责本项目的技术咨询、软硬件维护的接洽工作。</w:t>
      </w:r>
    </w:p>
    <w:p>
      <w:pPr>
        <w:autoSpaceDE w:val="0"/>
        <w:autoSpaceDN w:val="0"/>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中标供应商应为采购方提供及时优质的服务，保障项目的运行稳定，负责故障的全程处理。</w:t>
      </w:r>
    </w:p>
    <w:p>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lang w:val="en-US" w:eastAsia="zh-CN"/>
        </w:rPr>
        <w:t>付款方式</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依据浙财采监【2022】3号，第二条第五款相关规定结算，具体支付方式甲乙双方在合同中明确。</w:t>
      </w:r>
    </w:p>
    <w:p>
      <w:pPr>
        <w:spacing w:line="360" w:lineRule="auto"/>
        <w:rPr>
          <w:rFonts w:hint="eastAsia" w:ascii="仿宋" w:hAnsi="仿宋" w:eastAsia="仿宋" w:cs="仿宋"/>
          <w:b w:val="0"/>
          <w:bCs w:val="0"/>
          <w:color w:val="auto"/>
          <w:sz w:val="24"/>
          <w:szCs w:val="24"/>
          <w:highlight w:val="none"/>
        </w:rPr>
      </w:pPr>
    </w:p>
    <w:p>
      <w:pPr>
        <w:spacing w:line="360" w:lineRule="auto"/>
        <w:rPr>
          <w:rFonts w:hint="eastAsia" w:ascii="仿宋" w:hAnsi="仿宋" w:eastAsia="仿宋" w:cs="仿宋"/>
          <w:b w:val="0"/>
          <w:bCs w:val="0"/>
          <w:color w:val="auto"/>
          <w:sz w:val="24"/>
          <w:szCs w:val="24"/>
          <w:highlight w:val="none"/>
        </w:rPr>
      </w:pPr>
    </w:p>
    <w:p>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w:t>
      </w:r>
    </w:p>
    <w:p>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1、除标注的参考品牌外，欢迎其它能满足本项目技术需求且性能与所注品牌相当的产品参与。</w:t>
      </w:r>
    </w:p>
    <w:p>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2、如有附图，仅作参考。</w:t>
      </w:r>
    </w:p>
    <w:p>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3、打▲内容为实质性要求，不允许有负偏离，否则将以涉及无效投标条款作无效投标。</w:t>
      </w:r>
    </w:p>
    <w:p>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4、中标人所提供的货物、服务须与投标承诺一致，不得以次充好、偷工减料，若在项目验收中发现有上述情况，将向有关部门举报，根据相关规定进行处理。</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 xml:space="preserve">第四部分   </w:t>
      </w:r>
      <w:bookmarkStart w:id="5" w:name="_Toc184312086"/>
      <w:bookmarkEnd w:id="5"/>
      <w:bookmarkStart w:id="6" w:name="_Toc184312097"/>
      <w:bookmarkEnd w:id="6"/>
      <w:bookmarkStart w:id="7" w:name="_Toc184310344"/>
      <w:bookmarkEnd w:id="7"/>
      <w:bookmarkStart w:id="8" w:name="_Toc184313241"/>
      <w:bookmarkEnd w:id="8"/>
      <w:bookmarkStart w:id="9" w:name="_Toc184312078"/>
      <w:bookmarkEnd w:id="9"/>
      <w:bookmarkStart w:id="10" w:name="_Toc184312137"/>
      <w:bookmarkEnd w:id="10"/>
      <w:bookmarkStart w:id="11" w:name="_Toc184313274"/>
      <w:bookmarkEnd w:id="11"/>
      <w:bookmarkStart w:id="12" w:name="_Toc184310340"/>
      <w:bookmarkEnd w:id="12"/>
      <w:bookmarkStart w:id="13" w:name="_Toc184308055"/>
      <w:bookmarkEnd w:id="13"/>
      <w:bookmarkStart w:id="14" w:name="_Toc184310280"/>
      <w:bookmarkEnd w:id="14"/>
      <w:bookmarkStart w:id="15" w:name="_Toc184314466"/>
      <w:bookmarkEnd w:id="15"/>
      <w:bookmarkStart w:id="16" w:name="_Toc184308047"/>
      <w:bookmarkEnd w:id="16"/>
      <w:bookmarkStart w:id="17" w:name="_Toc184310322"/>
      <w:bookmarkEnd w:id="17"/>
      <w:bookmarkStart w:id="18" w:name="_Toc184313299"/>
      <w:bookmarkEnd w:id="18"/>
      <w:bookmarkStart w:id="19" w:name="_Toc184308067"/>
      <w:bookmarkEnd w:id="19"/>
      <w:bookmarkStart w:id="20" w:name="_Toc184312130"/>
      <w:bookmarkEnd w:id="20"/>
      <w:bookmarkStart w:id="21" w:name="_Toc184313243"/>
      <w:bookmarkEnd w:id="21"/>
      <w:bookmarkStart w:id="22" w:name="_Toc184310331"/>
      <w:bookmarkEnd w:id="22"/>
      <w:bookmarkStart w:id="23" w:name="_Toc184313304"/>
      <w:bookmarkEnd w:id="23"/>
      <w:bookmarkStart w:id="24" w:name="_Toc184310309"/>
      <w:bookmarkEnd w:id="24"/>
      <w:bookmarkStart w:id="25" w:name="_Toc184310296"/>
      <w:bookmarkEnd w:id="25"/>
      <w:bookmarkStart w:id="26" w:name="_Toc184310276"/>
      <w:bookmarkEnd w:id="26"/>
      <w:bookmarkStart w:id="27" w:name="_Toc184308043"/>
      <w:bookmarkEnd w:id="27"/>
      <w:bookmarkStart w:id="28" w:name="_Toc184314428"/>
      <w:bookmarkEnd w:id="28"/>
      <w:bookmarkStart w:id="29" w:name="_Toc184310286"/>
      <w:bookmarkEnd w:id="29"/>
      <w:bookmarkStart w:id="30" w:name="_Toc184314427"/>
      <w:bookmarkEnd w:id="30"/>
      <w:bookmarkStart w:id="31" w:name="_Toc184308062"/>
      <w:bookmarkEnd w:id="31"/>
      <w:bookmarkStart w:id="32" w:name="_Toc184308097"/>
      <w:bookmarkEnd w:id="32"/>
      <w:bookmarkStart w:id="33" w:name="_Toc184313300"/>
      <w:bookmarkEnd w:id="33"/>
      <w:bookmarkStart w:id="34" w:name="_Toc184312108"/>
      <w:bookmarkEnd w:id="34"/>
      <w:bookmarkStart w:id="35" w:name="_Toc184314420"/>
      <w:bookmarkEnd w:id="35"/>
      <w:bookmarkStart w:id="36" w:name="_Toc184308054"/>
      <w:bookmarkEnd w:id="36"/>
      <w:bookmarkStart w:id="37" w:name="_Toc184308106"/>
      <w:bookmarkEnd w:id="37"/>
      <w:bookmarkStart w:id="38" w:name="_Toc184312106"/>
      <w:bookmarkEnd w:id="38"/>
      <w:bookmarkStart w:id="39" w:name="_Toc184314417"/>
      <w:bookmarkEnd w:id="39"/>
      <w:bookmarkStart w:id="40" w:name="_Toc184314447"/>
      <w:bookmarkEnd w:id="40"/>
      <w:bookmarkStart w:id="41" w:name="_Toc184308050"/>
      <w:bookmarkEnd w:id="41"/>
      <w:bookmarkStart w:id="42" w:name="_Toc184314423"/>
      <w:bookmarkEnd w:id="42"/>
      <w:bookmarkStart w:id="43" w:name="_Toc184310285"/>
      <w:bookmarkEnd w:id="43"/>
      <w:bookmarkStart w:id="44" w:name="_Toc184313293"/>
      <w:bookmarkEnd w:id="44"/>
      <w:bookmarkStart w:id="45" w:name="_Toc184312088"/>
      <w:bookmarkEnd w:id="45"/>
      <w:bookmarkStart w:id="46" w:name="_Toc184312091"/>
      <w:bookmarkEnd w:id="46"/>
      <w:bookmarkStart w:id="47" w:name="_Toc184310326"/>
      <w:bookmarkEnd w:id="47"/>
      <w:bookmarkStart w:id="48" w:name="_Toc184310290"/>
      <w:bookmarkEnd w:id="48"/>
      <w:bookmarkStart w:id="49" w:name="_Toc184313247"/>
      <w:bookmarkEnd w:id="49"/>
      <w:bookmarkStart w:id="50" w:name="_Toc184312084"/>
      <w:bookmarkEnd w:id="50"/>
      <w:bookmarkStart w:id="51" w:name="_Toc184310325"/>
      <w:bookmarkEnd w:id="51"/>
      <w:bookmarkStart w:id="52" w:name="_Toc184313267"/>
      <w:bookmarkEnd w:id="52"/>
      <w:bookmarkStart w:id="53" w:name="_Toc184312100"/>
      <w:bookmarkEnd w:id="53"/>
      <w:bookmarkStart w:id="54" w:name="_Toc184313249"/>
      <w:bookmarkEnd w:id="54"/>
      <w:bookmarkStart w:id="55" w:name="_Toc184308039"/>
      <w:bookmarkEnd w:id="55"/>
      <w:bookmarkStart w:id="56" w:name="_Toc184308061"/>
      <w:bookmarkEnd w:id="56"/>
      <w:bookmarkStart w:id="57" w:name="_Toc184314460"/>
      <w:bookmarkEnd w:id="57"/>
      <w:bookmarkStart w:id="58" w:name="_Toc184310320"/>
      <w:bookmarkEnd w:id="58"/>
      <w:bookmarkStart w:id="59" w:name="_Toc184308065"/>
      <w:bookmarkEnd w:id="59"/>
      <w:bookmarkStart w:id="60" w:name="_Toc184312111"/>
      <w:bookmarkEnd w:id="60"/>
      <w:bookmarkStart w:id="61" w:name="_Toc184308105"/>
      <w:bookmarkEnd w:id="61"/>
      <w:bookmarkStart w:id="62" w:name="_Toc184312113"/>
      <w:bookmarkEnd w:id="62"/>
      <w:bookmarkStart w:id="63" w:name="_Toc184308048"/>
      <w:bookmarkEnd w:id="63"/>
      <w:bookmarkStart w:id="64" w:name="_Toc184313285"/>
      <w:bookmarkEnd w:id="64"/>
      <w:bookmarkStart w:id="65" w:name="_Toc184310341"/>
      <w:bookmarkEnd w:id="65"/>
      <w:bookmarkStart w:id="66" w:name="_Toc184312073"/>
      <w:bookmarkEnd w:id="66"/>
      <w:bookmarkStart w:id="67" w:name="_Toc184312116"/>
      <w:bookmarkEnd w:id="67"/>
      <w:bookmarkStart w:id="68" w:name="_Toc184313279"/>
      <w:bookmarkEnd w:id="68"/>
      <w:bookmarkStart w:id="69" w:name="_Toc184308086"/>
      <w:bookmarkEnd w:id="69"/>
      <w:bookmarkStart w:id="70" w:name="_Toc184314440"/>
      <w:bookmarkEnd w:id="70"/>
      <w:bookmarkStart w:id="71" w:name="_Toc184308084"/>
      <w:bookmarkEnd w:id="71"/>
      <w:bookmarkStart w:id="72" w:name="_Toc184313263"/>
      <w:bookmarkEnd w:id="72"/>
      <w:bookmarkStart w:id="73" w:name="_Toc184314443"/>
      <w:bookmarkEnd w:id="73"/>
      <w:bookmarkStart w:id="74" w:name="_Toc184310329"/>
      <w:bookmarkEnd w:id="74"/>
      <w:bookmarkStart w:id="75" w:name="_Toc184308108"/>
      <w:bookmarkEnd w:id="75"/>
      <w:bookmarkStart w:id="76" w:name="_Toc184312082"/>
      <w:bookmarkEnd w:id="76"/>
      <w:bookmarkStart w:id="77" w:name="_Toc184308085"/>
      <w:bookmarkEnd w:id="77"/>
      <w:bookmarkStart w:id="78" w:name="_Toc184312076"/>
      <w:bookmarkEnd w:id="78"/>
      <w:bookmarkStart w:id="79" w:name="_Toc184314454"/>
      <w:bookmarkEnd w:id="79"/>
      <w:bookmarkStart w:id="80" w:name="_Toc184314431"/>
      <w:bookmarkEnd w:id="80"/>
      <w:bookmarkStart w:id="81" w:name="_Toc184314424"/>
      <w:bookmarkEnd w:id="81"/>
      <w:bookmarkStart w:id="82" w:name="_Toc184310328"/>
      <w:bookmarkEnd w:id="82"/>
      <w:bookmarkStart w:id="83" w:name="_Toc184312127"/>
      <w:bookmarkEnd w:id="83"/>
      <w:bookmarkStart w:id="84" w:name="_Toc184312085"/>
      <w:bookmarkEnd w:id="84"/>
      <w:bookmarkStart w:id="85" w:name="_Toc184310300"/>
      <w:bookmarkEnd w:id="85"/>
      <w:bookmarkStart w:id="86" w:name="_Toc184310305"/>
      <w:bookmarkEnd w:id="86"/>
      <w:bookmarkStart w:id="87" w:name="_Toc184308096"/>
      <w:bookmarkEnd w:id="87"/>
      <w:bookmarkStart w:id="88" w:name="_Toc184308103"/>
      <w:bookmarkEnd w:id="88"/>
      <w:bookmarkStart w:id="89" w:name="_Toc184308100"/>
      <w:bookmarkEnd w:id="89"/>
      <w:bookmarkStart w:id="90" w:name="_Toc184313297"/>
      <w:bookmarkEnd w:id="90"/>
      <w:bookmarkStart w:id="91" w:name="_Toc184310338"/>
      <w:bookmarkEnd w:id="91"/>
      <w:bookmarkStart w:id="92" w:name="_Toc184310273"/>
      <w:bookmarkEnd w:id="92"/>
      <w:bookmarkStart w:id="93" w:name="_Toc184310318"/>
      <w:bookmarkEnd w:id="93"/>
      <w:bookmarkStart w:id="94" w:name="_Toc184314438"/>
      <w:bookmarkEnd w:id="94"/>
      <w:bookmarkStart w:id="95" w:name="_Toc184312136"/>
      <w:bookmarkEnd w:id="95"/>
      <w:bookmarkStart w:id="96" w:name="_Toc184314412"/>
      <w:bookmarkEnd w:id="96"/>
      <w:bookmarkStart w:id="97" w:name="_Toc184308102"/>
      <w:bookmarkEnd w:id="97"/>
      <w:bookmarkStart w:id="98" w:name="_Toc184312103"/>
      <w:bookmarkEnd w:id="98"/>
      <w:bookmarkStart w:id="99" w:name="_Toc184312067"/>
      <w:bookmarkEnd w:id="99"/>
      <w:bookmarkStart w:id="100" w:name="_Toc184313298"/>
      <w:bookmarkEnd w:id="100"/>
      <w:bookmarkStart w:id="101" w:name="_Toc184314470"/>
      <w:bookmarkEnd w:id="101"/>
      <w:bookmarkStart w:id="102" w:name="_Toc184312109"/>
      <w:bookmarkEnd w:id="102"/>
      <w:bookmarkStart w:id="103" w:name="_Toc184314441"/>
      <w:bookmarkEnd w:id="103"/>
      <w:bookmarkStart w:id="104" w:name="_Toc184310319"/>
      <w:bookmarkEnd w:id="104"/>
      <w:bookmarkStart w:id="105" w:name="_Toc184310332"/>
      <w:bookmarkEnd w:id="105"/>
      <w:bookmarkStart w:id="106" w:name="_Toc184313265"/>
      <w:bookmarkEnd w:id="106"/>
      <w:bookmarkStart w:id="107" w:name="_Toc184308036"/>
      <w:bookmarkEnd w:id="107"/>
      <w:bookmarkStart w:id="108" w:name="_Toc184310293"/>
      <w:bookmarkEnd w:id="108"/>
      <w:bookmarkStart w:id="109" w:name="_Toc184312120"/>
      <w:bookmarkEnd w:id="109"/>
      <w:bookmarkStart w:id="110" w:name="_Toc184314475"/>
      <w:bookmarkEnd w:id="110"/>
      <w:bookmarkStart w:id="111" w:name="_Toc184314481"/>
      <w:bookmarkEnd w:id="111"/>
      <w:bookmarkStart w:id="112" w:name="_Toc184313276"/>
      <w:bookmarkEnd w:id="112"/>
      <w:bookmarkStart w:id="113" w:name="_Toc184310291"/>
      <w:bookmarkEnd w:id="113"/>
      <w:bookmarkStart w:id="114" w:name="_Toc184308082"/>
      <w:bookmarkEnd w:id="114"/>
      <w:bookmarkStart w:id="115" w:name="_Toc184314452"/>
      <w:bookmarkEnd w:id="115"/>
      <w:bookmarkStart w:id="116" w:name="_Toc184310323"/>
      <w:bookmarkEnd w:id="116"/>
      <w:bookmarkStart w:id="117" w:name="_Toc184314479"/>
      <w:bookmarkEnd w:id="117"/>
      <w:bookmarkStart w:id="118" w:name="_Toc184312125"/>
      <w:bookmarkEnd w:id="118"/>
      <w:bookmarkStart w:id="119" w:name="_Toc184314445"/>
      <w:bookmarkEnd w:id="119"/>
      <w:bookmarkStart w:id="120" w:name="_Toc184314474"/>
      <w:bookmarkEnd w:id="120"/>
      <w:bookmarkStart w:id="121" w:name="_Toc184310301"/>
      <w:bookmarkEnd w:id="121"/>
      <w:bookmarkStart w:id="122" w:name="_Toc184310317"/>
      <w:bookmarkEnd w:id="122"/>
      <w:bookmarkStart w:id="123" w:name="_Toc184314461"/>
      <w:bookmarkEnd w:id="123"/>
      <w:bookmarkStart w:id="124" w:name="_Toc184313288"/>
      <w:bookmarkEnd w:id="124"/>
      <w:bookmarkStart w:id="125" w:name="_Toc184314451"/>
      <w:bookmarkEnd w:id="125"/>
      <w:bookmarkStart w:id="126" w:name="_Toc184313302"/>
      <w:bookmarkEnd w:id="126"/>
      <w:bookmarkStart w:id="127" w:name="_Toc184314432"/>
      <w:bookmarkEnd w:id="127"/>
      <w:bookmarkStart w:id="128" w:name="_Toc184313242"/>
      <w:bookmarkEnd w:id="128"/>
      <w:bookmarkStart w:id="129" w:name="_Toc184312129"/>
      <w:bookmarkEnd w:id="129"/>
      <w:bookmarkStart w:id="130" w:name="_Toc184312077"/>
      <w:bookmarkEnd w:id="130"/>
      <w:bookmarkStart w:id="131" w:name="_Toc184314471"/>
      <w:bookmarkEnd w:id="131"/>
      <w:bookmarkStart w:id="132" w:name="_Toc184308044"/>
      <w:bookmarkEnd w:id="132"/>
      <w:bookmarkStart w:id="133" w:name="_Toc184310306"/>
      <w:bookmarkEnd w:id="133"/>
      <w:bookmarkStart w:id="134" w:name="_Toc184313257"/>
      <w:bookmarkEnd w:id="134"/>
      <w:bookmarkStart w:id="135" w:name="_Toc184314436"/>
      <w:bookmarkEnd w:id="135"/>
      <w:bookmarkStart w:id="136" w:name="_Toc184310288"/>
      <w:bookmarkEnd w:id="136"/>
      <w:bookmarkStart w:id="137" w:name="_Toc184313294"/>
      <w:bookmarkEnd w:id="137"/>
      <w:bookmarkStart w:id="138" w:name="_Toc184308094"/>
      <w:bookmarkEnd w:id="138"/>
      <w:bookmarkStart w:id="139" w:name="_Toc184310315"/>
      <w:bookmarkEnd w:id="139"/>
      <w:bookmarkStart w:id="140" w:name="_Toc184314456"/>
      <w:bookmarkEnd w:id="140"/>
      <w:bookmarkStart w:id="141" w:name="_Toc184308088"/>
      <w:bookmarkEnd w:id="141"/>
      <w:bookmarkStart w:id="142" w:name="_Toc184313283"/>
      <w:bookmarkEnd w:id="142"/>
      <w:bookmarkStart w:id="143" w:name="_Toc184310272"/>
      <w:bookmarkEnd w:id="143"/>
      <w:bookmarkStart w:id="144" w:name="_Toc184314459"/>
      <w:bookmarkEnd w:id="144"/>
      <w:bookmarkStart w:id="145" w:name="_Toc184313240"/>
      <w:bookmarkEnd w:id="145"/>
      <w:bookmarkStart w:id="146" w:name="_Toc184314421"/>
      <w:bookmarkEnd w:id="146"/>
      <w:bookmarkStart w:id="147" w:name="_Toc184312112"/>
      <w:bookmarkEnd w:id="147"/>
      <w:bookmarkStart w:id="148" w:name="_Toc184310337"/>
      <w:bookmarkEnd w:id="148"/>
      <w:bookmarkStart w:id="149" w:name="_Toc184313256"/>
      <w:bookmarkEnd w:id="149"/>
      <w:bookmarkStart w:id="150" w:name="_Toc184310321"/>
      <w:bookmarkEnd w:id="150"/>
      <w:bookmarkStart w:id="151" w:name="_Toc184312069"/>
      <w:bookmarkEnd w:id="151"/>
      <w:bookmarkStart w:id="152" w:name="_Toc184312072"/>
      <w:bookmarkEnd w:id="152"/>
      <w:bookmarkStart w:id="153" w:name="_Toc184314419"/>
      <w:bookmarkEnd w:id="153"/>
      <w:bookmarkStart w:id="154" w:name="_Toc184314464"/>
      <w:bookmarkEnd w:id="154"/>
      <w:bookmarkStart w:id="155" w:name="_Toc184308101"/>
      <w:bookmarkEnd w:id="155"/>
      <w:bookmarkStart w:id="156" w:name="_Toc184308081"/>
      <w:bookmarkEnd w:id="156"/>
      <w:bookmarkStart w:id="157" w:name="_Toc184312118"/>
      <w:bookmarkEnd w:id="157"/>
      <w:bookmarkStart w:id="158" w:name="_Toc184312134"/>
      <w:bookmarkEnd w:id="158"/>
      <w:bookmarkStart w:id="159" w:name="_Toc184314448"/>
      <w:bookmarkEnd w:id="159"/>
      <w:bookmarkStart w:id="160" w:name="_Toc184308045"/>
      <w:bookmarkEnd w:id="160"/>
      <w:bookmarkStart w:id="161" w:name="_Toc184312087"/>
      <w:bookmarkEnd w:id="161"/>
      <w:bookmarkStart w:id="162" w:name="_Toc184310307"/>
      <w:bookmarkEnd w:id="162"/>
      <w:bookmarkStart w:id="163" w:name="_Toc184312132"/>
      <w:bookmarkEnd w:id="163"/>
      <w:bookmarkStart w:id="164" w:name="_Toc184308046"/>
      <w:bookmarkEnd w:id="164"/>
      <w:bookmarkStart w:id="165" w:name="_Toc184314414"/>
      <w:bookmarkEnd w:id="165"/>
      <w:bookmarkStart w:id="166" w:name="_Toc184310298"/>
      <w:bookmarkEnd w:id="166"/>
      <w:bookmarkStart w:id="167" w:name="_Toc184310335"/>
      <w:bookmarkEnd w:id="167"/>
      <w:bookmarkStart w:id="168" w:name="_Toc184308040"/>
      <w:bookmarkEnd w:id="168"/>
      <w:bookmarkStart w:id="169" w:name="_Toc184313308"/>
      <w:bookmarkEnd w:id="169"/>
      <w:bookmarkStart w:id="170" w:name="_Toc184312133"/>
      <w:bookmarkEnd w:id="170"/>
      <w:bookmarkStart w:id="171" w:name="_Toc184313287"/>
      <w:bookmarkEnd w:id="171"/>
      <w:bookmarkStart w:id="172" w:name="_Toc184312070"/>
      <w:bookmarkEnd w:id="172"/>
      <w:bookmarkStart w:id="173" w:name="_Toc184308049"/>
      <w:bookmarkEnd w:id="173"/>
      <w:bookmarkStart w:id="174" w:name="_Toc184314458"/>
      <w:bookmarkEnd w:id="174"/>
      <w:bookmarkStart w:id="175" w:name="_Toc184308051"/>
      <w:bookmarkEnd w:id="175"/>
      <w:bookmarkStart w:id="176" w:name="_Toc184314415"/>
      <w:bookmarkEnd w:id="176"/>
      <w:bookmarkStart w:id="177" w:name="_Toc184313251"/>
      <w:bookmarkEnd w:id="177"/>
      <w:bookmarkStart w:id="178" w:name="_Toc184308099"/>
      <w:bookmarkEnd w:id="178"/>
      <w:bookmarkStart w:id="179" w:name="_Toc184312094"/>
      <w:bookmarkEnd w:id="179"/>
      <w:bookmarkStart w:id="180" w:name="_Toc184310330"/>
      <w:bookmarkEnd w:id="180"/>
      <w:bookmarkStart w:id="181" w:name="_Toc184314467"/>
      <w:bookmarkEnd w:id="181"/>
      <w:bookmarkStart w:id="182" w:name="_Toc184308073"/>
      <w:bookmarkEnd w:id="182"/>
      <w:bookmarkStart w:id="183" w:name="_Toc184308107"/>
      <w:bookmarkEnd w:id="183"/>
      <w:bookmarkStart w:id="184" w:name="_Toc184308080"/>
      <w:bookmarkEnd w:id="184"/>
      <w:bookmarkStart w:id="185" w:name="_Toc184312123"/>
      <w:bookmarkEnd w:id="185"/>
      <w:bookmarkStart w:id="186" w:name="_Toc184313270"/>
      <w:bookmarkEnd w:id="186"/>
      <w:bookmarkStart w:id="187" w:name="_Toc184313266"/>
      <w:bookmarkEnd w:id="187"/>
      <w:bookmarkStart w:id="188" w:name="_Toc184308037"/>
      <w:bookmarkEnd w:id="188"/>
      <w:bookmarkStart w:id="189" w:name="_Toc184314413"/>
      <w:bookmarkEnd w:id="189"/>
      <w:bookmarkStart w:id="190" w:name="_Toc184308075"/>
      <w:bookmarkEnd w:id="190"/>
      <w:bookmarkStart w:id="191" w:name="_Toc184313271"/>
      <w:bookmarkEnd w:id="191"/>
      <w:bookmarkStart w:id="192" w:name="_Toc184313310"/>
      <w:bookmarkEnd w:id="192"/>
      <w:bookmarkStart w:id="193" w:name="_Toc184308104"/>
      <w:bookmarkEnd w:id="193"/>
      <w:bookmarkStart w:id="194" w:name="_Toc184313278"/>
      <w:bookmarkEnd w:id="194"/>
      <w:bookmarkStart w:id="195" w:name="_Toc184310303"/>
      <w:bookmarkEnd w:id="195"/>
      <w:bookmarkStart w:id="196" w:name="_Toc184312119"/>
      <w:bookmarkEnd w:id="196"/>
      <w:bookmarkStart w:id="197" w:name="_Toc184310311"/>
      <w:bookmarkEnd w:id="197"/>
      <w:bookmarkStart w:id="198" w:name="_Toc184308098"/>
      <w:bookmarkEnd w:id="198"/>
      <w:bookmarkStart w:id="199" w:name="_Toc184312098"/>
      <w:bookmarkEnd w:id="199"/>
      <w:bookmarkStart w:id="200" w:name="_Toc184314449"/>
      <w:bookmarkEnd w:id="200"/>
      <w:bookmarkStart w:id="201" w:name="_Toc184310299"/>
      <w:bookmarkEnd w:id="201"/>
      <w:bookmarkStart w:id="202" w:name="_Toc184313290"/>
      <w:bookmarkEnd w:id="202"/>
      <w:bookmarkStart w:id="203" w:name="_Toc184313280"/>
      <w:bookmarkEnd w:id="203"/>
      <w:bookmarkStart w:id="204" w:name="_Toc184312128"/>
      <w:bookmarkEnd w:id="204"/>
      <w:bookmarkStart w:id="205" w:name="_Toc184312079"/>
      <w:bookmarkEnd w:id="205"/>
      <w:bookmarkStart w:id="206" w:name="_Toc184313246"/>
      <w:bookmarkEnd w:id="206"/>
      <w:bookmarkStart w:id="207" w:name="_Toc184310334"/>
      <w:bookmarkEnd w:id="207"/>
      <w:bookmarkStart w:id="208" w:name="_Toc184314434"/>
      <w:bookmarkEnd w:id="208"/>
      <w:bookmarkStart w:id="209" w:name="_Toc184314468"/>
      <w:bookmarkEnd w:id="209"/>
      <w:bookmarkStart w:id="210" w:name="_Toc184313301"/>
      <w:bookmarkEnd w:id="210"/>
      <w:bookmarkStart w:id="211" w:name="_Toc184310333"/>
      <w:bookmarkEnd w:id="211"/>
      <w:bookmarkStart w:id="212" w:name="_Toc184313255"/>
      <w:bookmarkEnd w:id="212"/>
      <w:bookmarkStart w:id="213" w:name="_Toc184314480"/>
      <w:bookmarkEnd w:id="213"/>
      <w:bookmarkStart w:id="214" w:name="_Toc184314473"/>
      <w:bookmarkEnd w:id="214"/>
      <w:bookmarkStart w:id="215" w:name="_Toc184314422"/>
      <w:bookmarkEnd w:id="215"/>
      <w:bookmarkStart w:id="216" w:name="_Toc184308078"/>
      <w:bookmarkEnd w:id="216"/>
      <w:bookmarkStart w:id="217" w:name="_Toc184312107"/>
      <w:bookmarkEnd w:id="217"/>
      <w:bookmarkStart w:id="218" w:name="_Toc184308092"/>
      <w:bookmarkEnd w:id="218"/>
      <w:bookmarkStart w:id="219" w:name="_Toc184313295"/>
      <w:bookmarkEnd w:id="219"/>
      <w:bookmarkStart w:id="220" w:name="_Toc184313252"/>
      <w:bookmarkEnd w:id="220"/>
      <w:bookmarkStart w:id="221" w:name="_Toc184313261"/>
      <w:bookmarkEnd w:id="221"/>
      <w:bookmarkStart w:id="222" w:name="_Toc184310313"/>
      <w:bookmarkEnd w:id="222"/>
      <w:bookmarkStart w:id="223" w:name="_Toc184310278"/>
      <w:bookmarkEnd w:id="223"/>
      <w:bookmarkStart w:id="224" w:name="_Toc184314477"/>
      <w:bookmarkEnd w:id="224"/>
      <w:bookmarkStart w:id="225" w:name="_Toc184312126"/>
      <w:bookmarkEnd w:id="225"/>
      <w:bookmarkStart w:id="226" w:name="_Toc184313239"/>
      <w:bookmarkEnd w:id="226"/>
      <w:bookmarkStart w:id="227" w:name="_Toc184308052"/>
      <w:bookmarkEnd w:id="227"/>
      <w:bookmarkStart w:id="228" w:name="_Toc184313296"/>
      <w:bookmarkEnd w:id="228"/>
      <w:bookmarkStart w:id="229" w:name="_Toc184313307"/>
      <w:bookmarkEnd w:id="229"/>
      <w:bookmarkStart w:id="230" w:name="_Toc184313289"/>
      <w:bookmarkEnd w:id="230"/>
      <w:bookmarkStart w:id="231" w:name="_Toc184313260"/>
      <w:bookmarkEnd w:id="231"/>
      <w:bookmarkStart w:id="232" w:name="_Toc184314437"/>
      <w:bookmarkEnd w:id="232"/>
      <w:bookmarkStart w:id="233" w:name="_Toc184314416"/>
      <w:bookmarkEnd w:id="233"/>
      <w:bookmarkStart w:id="234" w:name="_Toc184314469"/>
      <w:bookmarkEnd w:id="234"/>
      <w:bookmarkStart w:id="235" w:name="_Toc184312068"/>
      <w:bookmarkEnd w:id="235"/>
      <w:bookmarkStart w:id="236" w:name="_Toc184313281"/>
      <w:bookmarkEnd w:id="236"/>
      <w:bookmarkStart w:id="237" w:name="_Toc184313248"/>
      <w:bookmarkEnd w:id="237"/>
      <w:bookmarkStart w:id="238" w:name="_Toc184308038"/>
      <w:bookmarkEnd w:id="238"/>
      <w:bookmarkStart w:id="239" w:name="_Toc184312080"/>
      <w:bookmarkEnd w:id="239"/>
      <w:bookmarkStart w:id="240" w:name="_Toc184308066"/>
      <w:bookmarkEnd w:id="240"/>
      <w:bookmarkStart w:id="241" w:name="_Toc184313268"/>
      <w:bookmarkEnd w:id="241"/>
      <w:bookmarkStart w:id="242" w:name="_Toc184314457"/>
      <w:bookmarkEnd w:id="242"/>
      <w:bookmarkStart w:id="243" w:name="_Toc184314478"/>
      <w:bookmarkEnd w:id="243"/>
      <w:bookmarkStart w:id="244" w:name="_Toc184310292"/>
      <w:bookmarkEnd w:id="244"/>
      <w:bookmarkStart w:id="245" w:name="_Toc184308041"/>
      <w:bookmarkEnd w:id="245"/>
      <w:bookmarkStart w:id="246" w:name="_Toc184312074"/>
      <w:bookmarkEnd w:id="246"/>
      <w:bookmarkStart w:id="247" w:name="_Toc184312139"/>
      <w:bookmarkEnd w:id="247"/>
      <w:bookmarkStart w:id="248" w:name="_Toc184308091"/>
      <w:bookmarkEnd w:id="248"/>
      <w:bookmarkStart w:id="249" w:name="_Toc184308057"/>
      <w:bookmarkEnd w:id="249"/>
      <w:bookmarkStart w:id="250" w:name="_Toc184314429"/>
      <w:bookmarkEnd w:id="250"/>
      <w:bookmarkStart w:id="251" w:name="_Toc184313305"/>
      <w:bookmarkEnd w:id="251"/>
      <w:bookmarkStart w:id="252" w:name="_Toc184310302"/>
      <w:bookmarkEnd w:id="252"/>
      <w:bookmarkStart w:id="253" w:name="_Toc184314442"/>
      <w:bookmarkEnd w:id="253"/>
      <w:bookmarkStart w:id="254" w:name="_Toc184308095"/>
      <w:bookmarkEnd w:id="254"/>
      <w:bookmarkStart w:id="255" w:name="_Toc184313250"/>
      <w:bookmarkEnd w:id="255"/>
      <w:bookmarkStart w:id="256" w:name="_Toc184312131"/>
      <w:bookmarkEnd w:id="256"/>
      <w:bookmarkStart w:id="257" w:name="_Toc184310287"/>
      <w:bookmarkEnd w:id="257"/>
      <w:bookmarkStart w:id="258" w:name="_Toc184310308"/>
      <w:bookmarkEnd w:id="258"/>
      <w:bookmarkStart w:id="259" w:name="_Toc184313258"/>
      <w:bookmarkEnd w:id="259"/>
      <w:bookmarkStart w:id="260" w:name="_Toc184313272"/>
      <w:bookmarkEnd w:id="260"/>
      <w:bookmarkStart w:id="261" w:name="_Toc184314430"/>
      <w:bookmarkEnd w:id="261"/>
      <w:bookmarkStart w:id="262" w:name="_Toc184310281"/>
      <w:bookmarkEnd w:id="262"/>
      <w:bookmarkStart w:id="263" w:name="_Toc184314453"/>
      <w:bookmarkEnd w:id="263"/>
      <w:bookmarkStart w:id="264" w:name="_Toc184308063"/>
      <w:bookmarkEnd w:id="264"/>
      <w:bookmarkStart w:id="265" w:name="_Toc184314411"/>
      <w:bookmarkEnd w:id="265"/>
      <w:bookmarkStart w:id="266" w:name="_Toc184312138"/>
      <w:bookmarkEnd w:id="266"/>
      <w:bookmarkStart w:id="267" w:name="_Toc184308056"/>
      <w:bookmarkEnd w:id="267"/>
      <w:bookmarkStart w:id="268" w:name="_Toc184310297"/>
      <w:bookmarkEnd w:id="268"/>
      <w:bookmarkStart w:id="269" w:name="_Toc184310314"/>
      <w:bookmarkEnd w:id="269"/>
      <w:bookmarkStart w:id="270" w:name="_Toc184314446"/>
      <w:bookmarkEnd w:id="270"/>
      <w:bookmarkStart w:id="271" w:name="_Toc184308090"/>
      <w:bookmarkEnd w:id="271"/>
      <w:bookmarkStart w:id="272" w:name="_Toc184310339"/>
      <w:bookmarkEnd w:id="272"/>
      <w:bookmarkStart w:id="273" w:name="_Toc184312114"/>
      <w:bookmarkEnd w:id="273"/>
      <w:bookmarkStart w:id="274" w:name="_Toc184314463"/>
      <w:bookmarkEnd w:id="274"/>
      <w:bookmarkStart w:id="275" w:name="_Toc184314444"/>
      <w:bookmarkEnd w:id="275"/>
      <w:bookmarkStart w:id="276" w:name="_Toc184312110"/>
      <w:bookmarkEnd w:id="276"/>
      <w:bookmarkStart w:id="277" w:name="_Toc184314426"/>
      <w:bookmarkEnd w:id="277"/>
      <w:bookmarkStart w:id="278" w:name="_Toc184308072"/>
      <w:bookmarkEnd w:id="278"/>
      <w:bookmarkStart w:id="279" w:name="_Toc184310295"/>
      <w:bookmarkEnd w:id="279"/>
      <w:bookmarkStart w:id="280" w:name="_Toc184310279"/>
      <w:bookmarkEnd w:id="280"/>
      <w:bookmarkStart w:id="281" w:name="_Toc184313244"/>
      <w:bookmarkEnd w:id="281"/>
      <w:bookmarkStart w:id="282" w:name="_Toc184314450"/>
      <w:bookmarkEnd w:id="282"/>
      <w:bookmarkStart w:id="283" w:name="_Toc184310324"/>
      <w:bookmarkEnd w:id="283"/>
      <w:bookmarkStart w:id="284" w:name="_Toc184313254"/>
      <w:bookmarkEnd w:id="284"/>
      <w:bookmarkStart w:id="285" w:name="_Toc184313306"/>
      <w:bookmarkEnd w:id="285"/>
      <w:bookmarkStart w:id="286" w:name="_Toc184314482"/>
      <w:bookmarkEnd w:id="286"/>
      <w:bookmarkStart w:id="287" w:name="_Toc184310343"/>
      <w:bookmarkEnd w:id="287"/>
      <w:bookmarkStart w:id="288" w:name="_Toc184308070"/>
      <w:bookmarkEnd w:id="288"/>
      <w:bookmarkStart w:id="289" w:name="_Toc184310327"/>
      <w:bookmarkEnd w:id="289"/>
      <w:bookmarkStart w:id="290" w:name="_Toc184308076"/>
      <w:bookmarkEnd w:id="290"/>
      <w:bookmarkStart w:id="291" w:name="_Toc184310304"/>
      <w:bookmarkEnd w:id="291"/>
      <w:bookmarkStart w:id="292" w:name="_Toc184313264"/>
      <w:bookmarkEnd w:id="292"/>
      <w:bookmarkStart w:id="293" w:name="_Toc184310342"/>
      <w:bookmarkEnd w:id="293"/>
      <w:bookmarkStart w:id="294" w:name="_Toc184310284"/>
      <w:bookmarkEnd w:id="294"/>
      <w:bookmarkStart w:id="295" w:name="_Toc184312071"/>
      <w:bookmarkEnd w:id="295"/>
      <w:bookmarkStart w:id="296" w:name="_Toc184313292"/>
      <w:bookmarkEnd w:id="296"/>
      <w:bookmarkStart w:id="297" w:name="_Toc184313269"/>
      <w:bookmarkEnd w:id="297"/>
      <w:bookmarkStart w:id="298" w:name="_Toc184314472"/>
      <w:bookmarkEnd w:id="298"/>
      <w:bookmarkStart w:id="299" w:name="_Toc184313262"/>
      <w:bookmarkEnd w:id="299"/>
      <w:bookmarkStart w:id="300" w:name="_Toc184308053"/>
      <w:bookmarkEnd w:id="300"/>
      <w:bookmarkStart w:id="301" w:name="_Toc184310294"/>
      <w:bookmarkEnd w:id="301"/>
      <w:bookmarkStart w:id="302" w:name="_Toc184313245"/>
      <w:bookmarkEnd w:id="302"/>
      <w:bookmarkStart w:id="303" w:name="_Toc184310316"/>
      <w:bookmarkEnd w:id="303"/>
      <w:bookmarkStart w:id="304" w:name="_Toc184313277"/>
      <w:bookmarkEnd w:id="304"/>
      <w:bookmarkStart w:id="305" w:name="_Toc184313275"/>
      <w:bookmarkEnd w:id="305"/>
      <w:bookmarkStart w:id="306" w:name="_Toc184308059"/>
      <w:bookmarkEnd w:id="306"/>
      <w:bookmarkStart w:id="307" w:name="_Toc184308077"/>
      <w:bookmarkEnd w:id="307"/>
      <w:bookmarkStart w:id="308" w:name="_Toc184308083"/>
      <w:bookmarkEnd w:id="308"/>
      <w:bookmarkStart w:id="309" w:name="_Toc184314462"/>
      <w:bookmarkEnd w:id="309"/>
      <w:bookmarkStart w:id="310" w:name="_Toc184313286"/>
      <w:bookmarkEnd w:id="310"/>
      <w:bookmarkStart w:id="311" w:name="_Toc184310274"/>
      <w:bookmarkEnd w:id="311"/>
      <w:bookmarkStart w:id="312" w:name="_Toc184308060"/>
      <w:bookmarkEnd w:id="312"/>
      <w:bookmarkStart w:id="313" w:name="_Toc184308069"/>
      <w:bookmarkEnd w:id="313"/>
      <w:bookmarkStart w:id="314" w:name="_Toc184314425"/>
      <w:bookmarkEnd w:id="314"/>
      <w:bookmarkStart w:id="315" w:name="_Toc184313273"/>
      <w:bookmarkEnd w:id="315"/>
      <w:bookmarkStart w:id="316" w:name="_Toc184313303"/>
      <w:bookmarkEnd w:id="316"/>
      <w:bookmarkStart w:id="317" w:name="_Toc184314476"/>
      <w:bookmarkEnd w:id="317"/>
      <w:bookmarkStart w:id="318" w:name="_Toc184310277"/>
      <w:bookmarkEnd w:id="318"/>
      <w:bookmarkStart w:id="319" w:name="_Toc184308071"/>
      <w:bookmarkEnd w:id="319"/>
      <w:bookmarkStart w:id="320" w:name="_Toc184313282"/>
      <w:bookmarkEnd w:id="320"/>
      <w:bookmarkStart w:id="321" w:name="_Toc184313238"/>
      <w:bookmarkEnd w:id="321"/>
      <w:bookmarkStart w:id="322" w:name="_Toc184312105"/>
      <w:bookmarkEnd w:id="322"/>
      <w:bookmarkStart w:id="323" w:name="_Toc184308058"/>
      <w:bookmarkEnd w:id="323"/>
      <w:bookmarkStart w:id="324" w:name="_Toc184310312"/>
      <w:bookmarkEnd w:id="324"/>
      <w:bookmarkStart w:id="325" w:name="_Toc184312089"/>
      <w:bookmarkEnd w:id="325"/>
      <w:bookmarkStart w:id="326" w:name="_Toc184313259"/>
      <w:bookmarkEnd w:id="326"/>
      <w:bookmarkStart w:id="327" w:name="_Toc184312099"/>
      <w:bookmarkEnd w:id="327"/>
      <w:bookmarkStart w:id="328" w:name="_Toc184308079"/>
      <w:bookmarkEnd w:id="328"/>
      <w:bookmarkStart w:id="329" w:name="_Toc184312104"/>
      <w:bookmarkEnd w:id="329"/>
      <w:bookmarkStart w:id="330" w:name="_Toc184308064"/>
      <w:bookmarkEnd w:id="330"/>
      <w:bookmarkStart w:id="331" w:name="_Toc184314418"/>
      <w:bookmarkEnd w:id="331"/>
      <w:bookmarkStart w:id="332" w:name="_Toc184314465"/>
      <w:bookmarkEnd w:id="332"/>
      <w:bookmarkStart w:id="333" w:name="_Toc184314455"/>
      <w:bookmarkEnd w:id="333"/>
      <w:bookmarkStart w:id="334" w:name="_Toc184312115"/>
      <w:bookmarkEnd w:id="334"/>
      <w:bookmarkStart w:id="335" w:name="_Toc184308074"/>
      <w:bookmarkEnd w:id="335"/>
      <w:bookmarkStart w:id="336" w:name="_Toc184310289"/>
      <w:bookmarkEnd w:id="336"/>
      <w:bookmarkStart w:id="337" w:name="_Toc184308042"/>
      <w:bookmarkEnd w:id="337"/>
      <w:bookmarkStart w:id="338" w:name="_Toc184312122"/>
      <w:bookmarkEnd w:id="338"/>
      <w:bookmarkStart w:id="339" w:name="_Toc184314410"/>
      <w:bookmarkEnd w:id="339"/>
      <w:bookmarkStart w:id="340" w:name="_Toc184313253"/>
      <w:bookmarkEnd w:id="340"/>
      <w:bookmarkStart w:id="341" w:name="_Toc184312135"/>
      <w:bookmarkEnd w:id="341"/>
      <w:bookmarkStart w:id="342" w:name="_Toc184313284"/>
      <w:bookmarkEnd w:id="342"/>
      <w:bookmarkStart w:id="343" w:name="_Toc184314439"/>
      <w:bookmarkEnd w:id="343"/>
      <w:bookmarkStart w:id="344" w:name="_Toc184308068"/>
      <w:bookmarkEnd w:id="344"/>
      <w:bookmarkStart w:id="345" w:name="_Toc184312075"/>
      <w:bookmarkEnd w:id="345"/>
      <w:bookmarkStart w:id="346" w:name="_Toc184313309"/>
      <w:bookmarkEnd w:id="346"/>
      <w:bookmarkStart w:id="347" w:name="_Toc184312093"/>
      <w:bookmarkEnd w:id="347"/>
      <w:bookmarkStart w:id="348" w:name="_Toc184312090"/>
      <w:bookmarkEnd w:id="348"/>
      <w:bookmarkStart w:id="349" w:name="_Toc184308089"/>
      <w:bookmarkEnd w:id="349"/>
      <w:bookmarkStart w:id="350" w:name="_Toc184314435"/>
      <w:bookmarkEnd w:id="350"/>
      <w:bookmarkStart w:id="351" w:name="_Toc184308093"/>
      <w:bookmarkEnd w:id="351"/>
      <w:bookmarkStart w:id="352" w:name="_Toc184310310"/>
      <w:bookmarkEnd w:id="352"/>
      <w:bookmarkStart w:id="353" w:name="_Toc184308087"/>
      <w:bookmarkEnd w:id="353"/>
      <w:bookmarkStart w:id="354" w:name="_Toc184312117"/>
      <w:bookmarkEnd w:id="354"/>
      <w:bookmarkStart w:id="355" w:name="_Toc184313291"/>
      <w:bookmarkEnd w:id="355"/>
      <w:bookmarkStart w:id="356" w:name="_Toc184312081"/>
      <w:bookmarkEnd w:id="356"/>
      <w:bookmarkStart w:id="357" w:name="_Toc184312121"/>
      <w:bookmarkEnd w:id="357"/>
      <w:bookmarkStart w:id="358" w:name="_Toc184314433"/>
      <w:bookmarkEnd w:id="358"/>
      <w:bookmarkStart w:id="359" w:name="_Toc184310282"/>
      <w:bookmarkEnd w:id="359"/>
      <w:bookmarkStart w:id="360" w:name="_Toc184312092"/>
      <w:bookmarkEnd w:id="360"/>
      <w:bookmarkStart w:id="361" w:name="_Toc184310336"/>
      <w:bookmarkEnd w:id="361"/>
      <w:bookmarkStart w:id="362" w:name="_Toc184312096"/>
      <w:bookmarkEnd w:id="362"/>
      <w:bookmarkStart w:id="363" w:name="_Toc184312124"/>
      <w:bookmarkEnd w:id="363"/>
      <w:bookmarkStart w:id="364" w:name="_Toc184310275"/>
      <w:bookmarkEnd w:id="364"/>
      <w:bookmarkStart w:id="365" w:name="_Toc184310283"/>
      <w:bookmarkEnd w:id="365"/>
      <w:bookmarkStart w:id="366" w:name="_Toc184312101"/>
      <w:bookmarkEnd w:id="366"/>
      <w:bookmarkStart w:id="367" w:name="_Toc184312095"/>
      <w:bookmarkEnd w:id="367"/>
      <w:bookmarkStart w:id="368" w:name="_Toc184312102"/>
      <w:bookmarkEnd w:id="368"/>
      <w:bookmarkStart w:id="369" w:name="_Toc184312083"/>
      <w:bookmarkEnd w:id="369"/>
      <w:r>
        <w:rPr>
          <w:rFonts w:hint="eastAsia" w:ascii="仿宋" w:hAnsi="仿宋" w:eastAsia="仿宋" w:cs="仿宋"/>
          <w:color w:val="auto"/>
          <w:highlight w:val="none"/>
        </w:rPr>
        <w:t>评标办法</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p>
      <w:pPr>
        <w:rPr>
          <w:rFonts w:hint="eastAsia" w:ascii="仿宋" w:hAnsi="仿宋" w:eastAsia="仿宋" w:cs="仿宋"/>
          <w:b/>
          <w:color w:val="auto"/>
          <w:highlight w:val="none"/>
        </w:rPr>
      </w:pPr>
      <w:r>
        <w:rPr>
          <w:rFonts w:hint="eastAsia" w:ascii="仿宋" w:hAnsi="仿宋" w:eastAsia="仿宋" w:cs="仿宋"/>
          <w:b/>
          <w:color w:val="auto"/>
          <w:highlight w:val="none"/>
        </w:rPr>
        <w:t>商务技术分（</w:t>
      </w:r>
      <w:r>
        <w:rPr>
          <w:rFonts w:hint="eastAsia" w:ascii="仿宋" w:hAnsi="仿宋" w:eastAsia="仿宋" w:cs="仿宋"/>
          <w:b/>
          <w:color w:val="auto"/>
          <w:highlight w:val="none"/>
          <w:lang w:val="en-US" w:eastAsia="zh-CN"/>
        </w:rPr>
        <w:t>80</w:t>
      </w:r>
      <w:r>
        <w:rPr>
          <w:rFonts w:hint="eastAsia" w:ascii="仿宋" w:hAnsi="仿宋" w:eastAsia="仿宋" w:cs="仿宋"/>
          <w:b/>
          <w:color w:val="auto"/>
          <w:highlight w:val="none"/>
        </w:rPr>
        <w:t>分）</w:t>
      </w:r>
    </w:p>
    <w:tbl>
      <w:tblPr>
        <w:tblStyle w:val="23"/>
        <w:tblW w:w="52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307"/>
        <w:gridCol w:w="758"/>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91" w:type="pct"/>
            <w:noWrap w:val="0"/>
            <w:vAlign w:val="center"/>
          </w:tcPr>
          <w:p>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26" w:type="pct"/>
            <w:noWrap w:val="0"/>
            <w:vAlign w:val="center"/>
          </w:tcPr>
          <w:p>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评审内容</w:t>
            </w:r>
          </w:p>
        </w:tc>
        <w:tc>
          <w:tcPr>
            <w:tcW w:w="421" w:type="pct"/>
            <w:noWrap w:val="0"/>
            <w:vAlign w:val="center"/>
          </w:tcPr>
          <w:p>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c>
          <w:tcPr>
            <w:tcW w:w="3461" w:type="pct"/>
            <w:noWrap w:val="0"/>
            <w:vAlign w:val="center"/>
          </w:tcPr>
          <w:p>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评分内容及基本规则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39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26"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电力和通信的应急方案</w:t>
            </w:r>
          </w:p>
        </w:tc>
        <w:tc>
          <w:tcPr>
            <w:tcW w:w="42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461" w:type="pct"/>
            <w:noWrap w:val="0"/>
            <w:vAlign w:val="center"/>
          </w:tcPr>
          <w:p>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根据投标人提供的电力和通信应急方案</w:t>
            </w:r>
            <w:r>
              <w:rPr>
                <w:rFonts w:hint="eastAsia" w:ascii="仿宋" w:hAnsi="仿宋" w:eastAsia="仿宋" w:cs="仿宋"/>
                <w:color w:val="auto"/>
                <w:sz w:val="24"/>
                <w:highlight w:val="none"/>
                <w:lang w:val="en-US" w:eastAsia="zh-CN"/>
              </w:rPr>
              <w:t>综合评定</w:t>
            </w:r>
            <w:r>
              <w:rPr>
                <w:rFonts w:hint="eastAsia" w:ascii="仿宋" w:hAnsi="仿宋" w:eastAsia="仿宋" w:cs="仿宋"/>
                <w:color w:val="auto"/>
                <w:sz w:val="24"/>
                <w:highlight w:val="none"/>
              </w:rPr>
              <w:t>。</w:t>
            </w:r>
          </w:p>
          <w:p>
            <w:pPr>
              <w:snapToGrid w:val="0"/>
              <w:spacing w:line="240" w:lineRule="auto"/>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投标人专业维护团队人员数量多、技能强，提供连续稳定的24小时电力供应，提供便捷可靠的通讯条件的最高得5分。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9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26"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同类业绩</w:t>
            </w:r>
          </w:p>
        </w:tc>
        <w:tc>
          <w:tcPr>
            <w:tcW w:w="421" w:type="pct"/>
            <w:noWrap w:val="0"/>
            <w:vAlign w:val="center"/>
          </w:tcPr>
          <w:p>
            <w:pPr>
              <w:widowControl/>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461" w:type="pct"/>
            <w:noWrap w:val="0"/>
            <w:vAlign w:val="center"/>
          </w:tcPr>
          <w:p>
            <w:pPr>
              <w:snapToGrid w:val="0"/>
              <w:spacing w:line="24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2019年1月1日（以合同签订时间为准）以来至今，投标人独立承担过类似业绩合同的每个得1分，最高可得2分。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（提供合同原件的扫描件及验收证明报告，二者均不可缺一，否则此项不得分）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91" w:type="pct"/>
            <w:noWrap w:val="0"/>
            <w:vAlign w:val="center"/>
          </w:tcPr>
          <w:p>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p>
        </w:tc>
        <w:tc>
          <w:tcPr>
            <w:tcW w:w="726" w:type="pct"/>
            <w:noWrap w:val="0"/>
            <w:vAlign w:val="center"/>
          </w:tcPr>
          <w:p>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技术参数</w:t>
            </w:r>
          </w:p>
        </w:tc>
        <w:tc>
          <w:tcPr>
            <w:tcW w:w="421" w:type="pct"/>
            <w:noWrap w:val="0"/>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14</w:t>
            </w:r>
          </w:p>
        </w:tc>
        <w:tc>
          <w:tcPr>
            <w:tcW w:w="3461" w:type="pct"/>
            <w:noWrap w:val="0"/>
            <w:vAlign w:val="center"/>
          </w:tcPr>
          <w:p>
            <w:pPr>
              <w:spacing w:line="240" w:lineRule="auto"/>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所有指标均满足采购需求具体要求中服务清单及技术要求的，得基本分14分，技术指标参数如有负偏离项，每项扣2分一处，负偏离4项以上（含4项）则此项不得分。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39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26" w:type="pct"/>
            <w:noWrap w:val="0"/>
            <w:vAlign w:val="center"/>
          </w:tcPr>
          <w:p>
            <w:pPr>
              <w:snapToGrid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高位需求满足</w:t>
            </w:r>
          </w:p>
        </w:tc>
        <w:tc>
          <w:tcPr>
            <w:tcW w:w="421"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w:t>
            </w:r>
          </w:p>
        </w:tc>
        <w:tc>
          <w:tcPr>
            <w:tcW w:w="3461" w:type="pct"/>
            <w:noWrap w:val="0"/>
            <w:vAlign w:val="center"/>
          </w:tcPr>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根据投标人高位需求满足能力进行综合</w:t>
            </w:r>
            <w:r>
              <w:rPr>
                <w:rFonts w:hint="eastAsia" w:ascii="仿宋" w:hAnsi="仿宋" w:eastAsia="仿宋" w:cs="仿宋"/>
                <w:color w:val="auto"/>
                <w:sz w:val="24"/>
                <w:highlight w:val="none"/>
                <w:lang w:val="en-US" w:eastAsia="zh-CN"/>
              </w:rPr>
              <w:t>评定</w:t>
            </w:r>
            <w:r>
              <w:rPr>
                <w:rFonts w:hint="eastAsia" w:ascii="仿宋" w:hAnsi="仿宋" w:eastAsia="仿宋" w:cs="仿宋"/>
                <w:color w:val="auto"/>
                <w:sz w:val="24"/>
                <w:highlight w:val="none"/>
              </w:rPr>
              <w:t>，高位监控制高点拥有自有资产产权或获取产权方针对该项目的授权书,且满足高度不低于30米，满足招标文件要求安装监控点位数量的得满分，不满足一个点位的扣1分，扣完为止。投标时提供高位监控制高点自有资产产权材料或针对该项目所获取的产权授权书等证明材料，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39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26"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售后服务方案</w:t>
            </w:r>
          </w:p>
        </w:tc>
        <w:tc>
          <w:tcPr>
            <w:tcW w:w="421"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461" w:type="pct"/>
            <w:noWrap w:val="0"/>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根据投标人提供的售后维护机构和人员情况，本地化服务能力，本地是否拥有常驻服务和技术支持机构，是否能提供快速的售后服务响应情况</w:t>
            </w:r>
            <w:r>
              <w:rPr>
                <w:rFonts w:hint="eastAsia" w:ascii="仿宋" w:hAnsi="仿宋" w:eastAsia="仿宋" w:cs="仿宋"/>
                <w:color w:val="auto"/>
                <w:sz w:val="24"/>
                <w:highlight w:val="none"/>
                <w:lang w:val="en-US" w:eastAsia="zh-CN"/>
              </w:rPr>
              <w:t>综合评定</w:t>
            </w:r>
            <w:r>
              <w:rPr>
                <w:rFonts w:hint="eastAsia" w:ascii="仿宋" w:hAnsi="仿宋" w:eastAsia="仿宋" w:cs="仿宋"/>
                <w:color w:val="auto"/>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评委根据投标人提供的售后维护机构和人员数量多</w:t>
            </w:r>
            <w:r>
              <w:rPr>
                <w:rFonts w:hint="eastAsia" w:ascii="仿宋" w:hAnsi="仿宋" w:eastAsia="仿宋" w:cs="仿宋"/>
                <w:color w:val="auto"/>
                <w:sz w:val="24"/>
                <w:highlight w:val="none"/>
                <w:lang w:val="en-US" w:eastAsia="zh-CN"/>
              </w:rPr>
              <w:t>少</w:t>
            </w:r>
            <w:r>
              <w:rPr>
                <w:rFonts w:hint="eastAsia" w:ascii="仿宋" w:hAnsi="仿宋" w:eastAsia="仿宋" w:cs="仿宋"/>
                <w:color w:val="auto"/>
                <w:sz w:val="24"/>
                <w:highlight w:val="none"/>
              </w:rPr>
              <w:t>，本地化服务能力强弱</w:t>
            </w:r>
            <w:r>
              <w:rPr>
                <w:rFonts w:hint="eastAsia" w:ascii="仿宋" w:hAnsi="仿宋" w:eastAsia="仿宋" w:cs="仿宋"/>
                <w:color w:val="auto"/>
                <w:sz w:val="24"/>
                <w:highlight w:val="none"/>
                <w:lang w:val="en-US" w:eastAsia="zh-CN"/>
              </w:rPr>
              <w:t>综合评定</w:t>
            </w:r>
            <w:r>
              <w:rPr>
                <w:rFonts w:hint="eastAsia" w:ascii="仿宋" w:hAnsi="仿宋" w:eastAsia="仿宋" w:cs="仿宋"/>
                <w:color w:val="auto"/>
                <w:sz w:val="24"/>
                <w:highlight w:val="none"/>
              </w:rPr>
              <w:t>，最高5分。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9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26"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备选高位监控站址方案</w:t>
            </w:r>
          </w:p>
        </w:tc>
        <w:tc>
          <w:tcPr>
            <w:tcW w:w="421"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461" w:type="pct"/>
            <w:noWrap w:val="0"/>
            <w:vAlign w:val="center"/>
          </w:tcPr>
          <w:p>
            <w:pPr>
              <w:spacing w:line="240" w:lineRule="auto"/>
              <w:jc w:val="left"/>
              <w:rPr>
                <w:rFonts w:hint="eastAsia" w:ascii="仿宋" w:hAnsi="仿宋" w:eastAsia="仿宋" w:cs="仿宋"/>
                <w:color w:val="auto"/>
                <w:spacing w:val="14"/>
                <w:sz w:val="24"/>
                <w:highlight w:val="none"/>
              </w:rPr>
            </w:pPr>
            <w:r>
              <w:rPr>
                <w:rFonts w:hint="eastAsia" w:ascii="仿宋" w:hAnsi="仿宋" w:eastAsia="仿宋" w:cs="仿宋"/>
                <w:color w:val="auto"/>
                <w:sz w:val="24"/>
                <w:highlight w:val="none"/>
              </w:rPr>
              <w:t>投标人提供高位监控服务期间，应适当考虑部分高位监控点位调整的可能性，投标人应当列举出相关的资源优势来满足及应对备选站址。评委根据投标人提供的资源的充足性</w:t>
            </w:r>
            <w:r>
              <w:rPr>
                <w:rFonts w:hint="eastAsia" w:ascii="仿宋" w:hAnsi="仿宋" w:eastAsia="仿宋" w:cs="仿宋"/>
                <w:color w:val="auto"/>
                <w:sz w:val="24"/>
                <w:highlight w:val="none"/>
                <w:lang w:val="en-US" w:eastAsia="zh-CN"/>
              </w:rPr>
              <w:t>评定</w:t>
            </w:r>
            <w:r>
              <w:rPr>
                <w:rFonts w:hint="eastAsia" w:ascii="仿宋" w:hAnsi="仿宋" w:eastAsia="仿宋" w:cs="仿宋"/>
                <w:color w:val="auto"/>
                <w:sz w:val="24"/>
                <w:highlight w:val="none"/>
              </w:rPr>
              <w:t>，最高5分。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9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726"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系统设计方案</w:t>
            </w:r>
          </w:p>
        </w:tc>
        <w:tc>
          <w:tcPr>
            <w:tcW w:w="421"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461" w:type="pct"/>
            <w:noWrap w:val="0"/>
            <w:vAlign w:val="center"/>
          </w:tcPr>
          <w:p>
            <w:pPr>
              <w:spacing w:line="240" w:lineRule="auto"/>
              <w:jc w:val="left"/>
              <w:rPr>
                <w:rFonts w:hint="eastAsia" w:ascii="仿宋" w:hAnsi="仿宋" w:eastAsia="仿宋" w:cs="仿宋"/>
                <w:color w:val="auto"/>
                <w:spacing w:val="14"/>
                <w:sz w:val="24"/>
                <w:highlight w:val="none"/>
              </w:rPr>
            </w:pPr>
            <w:r>
              <w:rPr>
                <w:rFonts w:hint="eastAsia" w:ascii="仿宋" w:hAnsi="仿宋" w:eastAsia="仿宋" w:cs="仿宋"/>
                <w:color w:val="auto"/>
                <w:sz w:val="24"/>
                <w:highlight w:val="none"/>
              </w:rPr>
              <w:t>评委根据投标人提供的耕地智保失联AI预警模块系统设计方案优劣程度</w:t>
            </w:r>
            <w:r>
              <w:rPr>
                <w:rFonts w:hint="eastAsia" w:ascii="仿宋" w:hAnsi="仿宋" w:eastAsia="仿宋" w:cs="仿宋"/>
                <w:color w:val="auto"/>
                <w:sz w:val="24"/>
                <w:highlight w:val="none"/>
                <w:lang w:val="en-US" w:eastAsia="zh-CN"/>
              </w:rPr>
              <w:t>综合评定</w:t>
            </w:r>
            <w:r>
              <w:rPr>
                <w:rFonts w:hint="eastAsia" w:ascii="仿宋" w:hAnsi="仿宋" w:eastAsia="仿宋" w:cs="仿宋"/>
                <w:color w:val="auto"/>
                <w:sz w:val="24"/>
                <w:highlight w:val="none"/>
                <w:lang w:val="zh-CN"/>
              </w:rPr>
              <w:t>，没得不得分</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726"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运维培训方案</w:t>
            </w:r>
          </w:p>
        </w:tc>
        <w:tc>
          <w:tcPr>
            <w:tcW w:w="421"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461" w:type="pct"/>
            <w:noWrap w:val="0"/>
            <w:vAlign w:val="center"/>
          </w:tcPr>
          <w:p>
            <w:pPr>
              <w:spacing w:line="240" w:lineRule="auto"/>
              <w:jc w:val="left"/>
              <w:rPr>
                <w:rFonts w:hint="eastAsia" w:ascii="仿宋" w:hAnsi="仿宋" w:eastAsia="仿宋" w:cs="仿宋"/>
                <w:color w:val="auto"/>
                <w:spacing w:val="14"/>
                <w:sz w:val="24"/>
                <w:highlight w:val="none"/>
              </w:rPr>
            </w:pPr>
            <w:r>
              <w:rPr>
                <w:rFonts w:hint="eastAsia" w:ascii="仿宋" w:hAnsi="仿宋" w:eastAsia="仿宋" w:cs="仿宋"/>
                <w:color w:val="auto"/>
                <w:sz w:val="24"/>
                <w:highlight w:val="none"/>
              </w:rPr>
              <w:t>评委根据投标人提供的运维培训方案优劣程度</w:t>
            </w:r>
            <w:r>
              <w:rPr>
                <w:rFonts w:hint="eastAsia" w:ascii="仿宋" w:hAnsi="仿宋" w:eastAsia="仿宋" w:cs="仿宋"/>
                <w:color w:val="auto"/>
                <w:sz w:val="24"/>
                <w:highlight w:val="none"/>
                <w:lang w:val="en-US" w:eastAsia="zh-CN"/>
              </w:rPr>
              <w:t>综合评定</w:t>
            </w:r>
            <w:r>
              <w:rPr>
                <w:rFonts w:hint="eastAsia" w:ascii="仿宋" w:hAnsi="仿宋" w:eastAsia="仿宋" w:cs="仿宋"/>
                <w:color w:val="auto"/>
                <w:sz w:val="24"/>
                <w:highlight w:val="none"/>
                <w:lang w:val="zh-CN"/>
              </w:rPr>
              <w:t>，没得不得分</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9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726"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合理化建议</w:t>
            </w:r>
          </w:p>
        </w:tc>
        <w:tc>
          <w:tcPr>
            <w:tcW w:w="421"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3461" w:type="pct"/>
            <w:noWrap w:val="0"/>
            <w:vAlign w:val="center"/>
          </w:tcPr>
          <w:p>
            <w:pPr>
              <w:spacing w:line="240" w:lineRule="auto"/>
              <w:jc w:val="left"/>
              <w:rPr>
                <w:rFonts w:hint="eastAsia" w:ascii="仿宋" w:hAnsi="仿宋" w:eastAsia="仿宋" w:cs="仿宋"/>
                <w:color w:val="auto"/>
                <w:spacing w:val="14"/>
                <w:sz w:val="24"/>
                <w:highlight w:val="none"/>
              </w:rPr>
            </w:pPr>
            <w:r>
              <w:rPr>
                <w:rFonts w:hint="eastAsia" w:ascii="仿宋" w:hAnsi="仿宋" w:eastAsia="仿宋" w:cs="仿宋"/>
                <w:color w:val="auto"/>
                <w:sz w:val="24"/>
                <w:highlight w:val="none"/>
              </w:rPr>
              <w:t>评委根据投标人合理化建议，包括重点难点分析并提供解决方案等</w:t>
            </w:r>
            <w:r>
              <w:rPr>
                <w:rFonts w:hint="eastAsia" w:ascii="仿宋" w:hAnsi="仿宋" w:eastAsia="仿宋" w:cs="仿宋"/>
                <w:color w:val="auto"/>
                <w:sz w:val="24"/>
                <w:highlight w:val="none"/>
                <w:lang w:val="en-US" w:eastAsia="zh-CN"/>
              </w:rPr>
              <w:t>综合评定</w:t>
            </w:r>
            <w:r>
              <w:rPr>
                <w:rFonts w:hint="eastAsia" w:ascii="仿宋" w:hAnsi="仿宋" w:eastAsia="仿宋" w:cs="仿宋"/>
                <w:color w:val="auto"/>
                <w:sz w:val="24"/>
                <w:highlight w:val="none"/>
                <w:lang w:val="zh-CN"/>
              </w:rPr>
              <w:t>，没得不得分</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jc w:val="center"/>
        </w:trPr>
        <w:tc>
          <w:tcPr>
            <w:tcW w:w="391" w:type="pct"/>
            <w:noWrap w:val="0"/>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26" w:type="pct"/>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平台软件演示</w:t>
            </w:r>
          </w:p>
        </w:tc>
        <w:tc>
          <w:tcPr>
            <w:tcW w:w="421" w:type="pct"/>
            <w:noWrap w:val="0"/>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3461" w:type="pct"/>
            <w:noWrap w:val="0"/>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以下5项功能，</w:t>
            </w:r>
            <w:r>
              <w:rPr>
                <w:rFonts w:hint="eastAsia" w:ascii="仿宋" w:hAnsi="仿宋" w:eastAsia="仿宋" w:cs="仿宋"/>
                <w:color w:val="auto"/>
                <w:sz w:val="24"/>
                <w:highlight w:val="none"/>
                <w:lang w:val="en-US" w:eastAsia="zh-CN"/>
              </w:rPr>
              <w:t>演示形式不限</w:t>
            </w:r>
            <w:r>
              <w:rPr>
                <w:rFonts w:hint="eastAsia" w:ascii="仿宋" w:hAnsi="仿宋" w:eastAsia="仿宋" w:cs="仿宋"/>
                <w:color w:val="auto"/>
                <w:sz w:val="24"/>
                <w:highlight w:val="none"/>
              </w:rPr>
              <w:t>，没有不得分：</w:t>
            </w:r>
          </w:p>
          <w:p>
            <w:pPr>
              <w:spacing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地图数据管理：能够在系统平台中对地图图层进行分组管理。能能够在系统平台中对地图数据进行预览。在系统中对地图数据属性进行识别，在点击地图后，将地图中选取的点所归属的地块数据属性进行识别和展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0-3分</w:t>
            </w:r>
            <w:r>
              <w:rPr>
                <w:rFonts w:hint="eastAsia" w:ascii="仿宋" w:hAnsi="仿宋" w:eastAsia="仿宋" w:cs="仿宋"/>
                <w:color w:val="auto"/>
                <w:sz w:val="24"/>
                <w:highlight w:val="none"/>
                <w:lang w:eastAsia="zh-CN"/>
              </w:rPr>
              <w:t>）</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视频管理功能：能够对视频按组织架构分组。视频监控能够以目录树的形式罗列，并且可以进行分组管理和显示；能够查看视频监控实时内容，实现实时画面展示；视频监控角度能够360度旋转和俯仰，支持缩放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0-3分</w:t>
            </w:r>
            <w:r>
              <w:rPr>
                <w:rFonts w:hint="eastAsia" w:ascii="仿宋" w:hAnsi="仿宋" w:eastAsia="仿宋" w:cs="仿宋"/>
                <w:color w:val="auto"/>
                <w:sz w:val="24"/>
                <w:highlight w:val="none"/>
                <w:lang w:eastAsia="zh-CN"/>
              </w:rPr>
              <w:t>）</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（3）智能告警：能够对乱石堆放、土堆堆放、在修建筑、地面硬化、机械车辆、新建板房等多种疑似违法违规行为能够进行实时识别并在系统平台实时产生预警，显示实时预警位置及时间。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0-3分</w:t>
            </w:r>
            <w:r>
              <w:rPr>
                <w:rFonts w:hint="eastAsia" w:ascii="仿宋" w:hAnsi="仿宋" w:eastAsia="仿宋" w:cs="仿宋"/>
                <w:color w:val="auto"/>
                <w:sz w:val="24"/>
                <w:highlight w:val="none"/>
                <w:lang w:eastAsia="zh-CN"/>
              </w:rPr>
              <w:t>）</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视频与地图融合功能：能够将图斑图层添加进视频监控实时画面中，在视频监控画面中显示图层边界范围；能够能够在视频监控画面中绘制选定区域并显示选定区域的用地数据及分析结果，具备地找视频、视频找地功能，摄像机能自动旋转至该区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0-3分</w:t>
            </w:r>
            <w:r>
              <w:rPr>
                <w:rFonts w:hint="eastAsia" w:ascii="仿宋" w:hAnsi="仿宋" w:eastAsia="仿宋" w:cs="仿宋"/>
                <w:color w:val="auto"/>
                <w:sz w:val="24"/>
                <w:highlight w:val="none"/>
                <w:lang w:eastAsia="zh-CN"/>
              </w:rPr>
              <w:t>）</w:t>
            </w:r>
          </w:p>
          <w:p>
            <w:pPr>
              <w:spacing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（5）平台数据需具备打通并融合至省域空间治理系统耕地智保平台条件。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0-3分</w:t>
            </w:r>
            <w:r>
              <w:rPr>
                <w:rFonts w:hint="eastAsia" w:ascii="仿宋" w:hAnsi="仿宋" w:eastAsia="仿宋" w:cs="仿宋"/>
                <w:color w:val="auto"/>
                <w:sz w:val="24"/>
                <w:highlight w:val="none"/>
                <w:lang w:eastAsia="zh-CN"/>
              </w:rPr>
              <w:t>）</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注：以上【平台软件演示】投标人需针对系统需求情况进行平台演示，配备讲解。演示硬件环境由各投标人自行搭建，演示时间</w:t>
            </w:r>
            <w:r>
              <w:rPr>
                <w:rFonts w:hint="eastAsia" w:ascii="仿宋" w:hAnsi="仿宋" w:eastAsia="仿宋" w:cs="仿宋"/>
                <w:b/>
                <w:bCs/>
                <w:color w:val="auto"/>
                <w:szCs w:val="21"/>
                <w:highlight w:val="none"/>
                <w:lang w:val="en-US" w:eastAsia="zh-CN"/>
              </w:rPr>
              <w:t>不超过</w:t>
            </w:r>
            <w:r>
              <w:rPr>
                <w:rFonts w:hint="eastAsia" w:ascii="仿宋" w:hAnsi="仿宋" w:eastAsia="仿宋" w:cs="仿宋"/>
                <w:b/>
                <w:bCs/>
                <w:color w:val="auto"/>
                <w:szCs w:val="21"/>
                <w:highlight w:val="none"/>
              </w:rPr>
              <w:t>20分钟。</w:t>
            </w:r>
          </w:p>
        </w:tc>
      </w:tr>
    </w:tbl>
    <w:p>
      <w:pPr>
        <w:rPr>
          <w:rFonts w:hint="eastAsia" w:ascii="仿宋" w:hAnsi="仿宋" w:eastAsia="仿宋" w:cs="仿宋"/>
          <w:b/>
          <w:color w:val="auto"/>
          <w:highlight w:val="none"/>
        </w:rPr>
      </w:pPr>
    </w:p>
    <w:p>
      <w:pPr>
        <w:rPr>
          <w:rFonts w:hint="eastAsia" w:ascii="仿宋" w:hAnsi="仿宋" w:eastAsia="仿宋" w:cs="仿宋"/>
          <w:b/>
          <w:color w:val="auto"/>
          <w:highlight w:val="none"/>
        </w:rPr>
      </w:pPr>
      <w:r>
        <w:rPr>
          <w:rFonts w:hint="eastAsia" w:ascii="仿宋" w:hAnsi="仿宋" w:eastAsia="仿宋" w:cs="仿宋"/>
          <w:b/>
          <w:color w:val="auto"/>
          <w:highlight w:val="none"/>
        </w:rPr>
        <w:t>价格分（</w:t>
      </w:r>
      <w:r>
        <w:rPr>
          <w:rFonts w:hint="eastAsia" w:ascii="仿宋" w:hAnsi="仿宋" w:eastAsia="仿宋" w:cs="仿宋"/>
          <w:b/>
          <w:color w:val="auto"/>
          <w:highlight w:val="none"/>
          <w:lang w:val="en-US" w:eastAsia="zh-CN"/>
        </w:rPr>
        <w:t>20</w:t>
      </w:r>
      <w:r>
        <w:rPr>
          <w:rFonts w:hint="eastAsia" w:ascii="仿宋" w:hAnsi="仿宋" w:eastAsia="仿宋" w:cs="仿宋"/>
          <w:b/>
          <w:color w:val="auto"/>
          <w:highlight w:val="none"/>
        </w:rPr>
        <w:t>分）</w:t>
      </w:r>
    </w:p>
    <w:tbl>
      <w:tblPr>
        <w:tblStyle w:val="2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784"/>
        <w:gridCol w:w="5325"/>
        <w:gridCol w:w="68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52" w:type="dxa"/>
            <w:vAlign w:val="center"/>
          </w:tcPr>
          <w:p>
            <w:pPr>
              <w:pStyle w:val="43"/>
              <w:numPr>
                <w:ilvl w:val="0"/>
                <w:numId w:val="0"/>
              </w:numPr>
              <w:spacing w:after="0" w:line="240" w:lineRule="auto"/>
              <w:ind w:left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784" w:type="dxa"/>
            <w:vAlign w:val="center"/>
          </w:tcPr>
          <w:p>
            <w:pPr>
              <w:spacing w:after="0"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价格权值</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val="en-US" w:eastAsia="zh-CN"/>
              </w:rPr>
              <w:t>20</w:t>
            </w:r>
          </w:p>
        </w:tc>
        <w:tc>
          <w:tcPr>
            <w:tcW w:w="5325" w:type="dxa"/>
          </w:tcPr>
          <w:p>
            <w:pPr>
              <w:spacing w:after="0" w:line="240" w:lineRule="auto"/>
              <w:rPr>
                <w:rFonts w:hint="eastAsia" w:ascii="仿宋" w:hAnsi="仿宋" w:eastAsia="仿宋" w:cs="仿宋"/>
                <w:color w:val="auto"/>
                <w:highlight w:val="none"/>
              </w:rPr>
            </w:pPr>
            <w:r>
              <w:rPr>
                <w:rFonts w:hint="eastAsia" w:ascii="仿宋" w:hAnsi="仿宋" w:eastAsia="仿宋" w:cs="仿宋"/>
                <w:color w:val="auto"/>
                <w:highlight w:val="none"/>
              </w:rPr>
              <w:t>最低有效投标价格为评标基准价</w:t>
            </w:r>
          </w:p>
          <w:p>
            <w:pPr>
              <w:spacing w:after="0" w:line="24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投标报价得分=(评标基准价／投标报价)×价格权值×100</w:t>
            </w:r>
          </w:p>
          <w:p>
            <w:pPr>
              <w:spacing w:after="0" w:line="240" w:lineRule="auto"/>
              <w:rPr>
                <w:rFonts w:hint="eastAsia" w:ascii="仿宋" w:hAnsi="仿宋" w:eastAsia="仿宋" w:cs="仿宋"/>
                <w:color w:val="auto"/>
                <w:highlight w:val="none"/>
              </w:rPr>
            </w:pPr>
            <w:r>
              <w:rPr>
                <w:rFonts w:hint="eastAsia" w:ascii="仿宋" w:hAnsi="仿宋" w:eastAsia="仿宋" w:cs="仿宋"/>
                <w:color w:val="auto"/>
                <w:highlight w:val="none"/>
              </w:rPr>
              <w:t>（计算得分保留小数点后2位）</w:t>
            </w:r>
          </w:p>
        </w:tc>
        <w:tc>
          <w:tcPr>
            <w:tcW w:w="683" w:type="dxa"/>
            <w:vAlign w:val="center"/>
          </w:tcPr>
          <w:p>
            <w:pPr>
              <w:spacing w:after="0"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702" w:type="dxa"/>
            <w:vAlign w:val="center"/>
          </w:tcPr>
          <w:p>
            <w:pPr>
              <w:spacing w:after="0" w:line="240" w:lineRule="auto"/>
              <w:rPr>
                <w:rFonts w:hint="eastAsia" w:ascii="仿宋" w:hAnsi="仿宋" w:eastAsia="仿宋" w:cs="仿宋"/>
                <w:color w:val="auto"/>
                <w:highlight w:val="none"/>
              </w:rPr>
            </w:pPr>
          </w:p>
        </w:tc>
      </w:tr>
    </w:tbl>
    <w:p>
      <w:pPr>
        <w:spacing w:line="360" w:lineRule="auto"/>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1、评分条款中涉及的业绩、荣誉、人员、社保等分公司均有效。</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3、投标人编制投标文件（商务技术文件部分）时，建议按此目录（序号和内容）提供评标标准相应的商务技术资料。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一、评标方法</w:t>
      </w:r>
    </w:p>
    <w:p>
      <w:pPr>
        <w:spacing w:line="360" w:lineRule="auto"/>
        <w:ind w:firstLine="472" w:firstLineChars="196"/>
        <w:rPr>
          <w:rFonts w:hint="eastAsia" w:ascii="仿宋" w:hAnsi="仿宋" w:eastAsia="仿宋" w:cs="仿宋"/>
          <w:color w:val="auto"/>
          <w:highlight w:val="none"/>
        </w:rPr>
      </w:pPr>
      <w:r>
        <w:rPr>
          <w:rStyle w:val="33"/>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pPr>
        <w:pStyle w:val="2"/>
        <w:rPr>
          <w:rFonts w:hint="eastAsia" w:ascii="仿宋" w:hAnsi="仿宋" w:eastAsia="仿宋" w:cs="仿宋"/>
          <w:color w:val="auto"/>
          <w:sz w:val="24"/>
          <w:highlight w:val="none"/>
        </w:rPr>
      </w:pPr>
      <w:r>
        <w:rPr>
          <w:rFonts w:hint="eastAsia" w:ascii="仿宋" w:hAnsi="仿宋" w:eastAsia="仿宋" w:cs="仿宋"/>
          <w:color w:val="auto"/>
          <w:highlight w:val="none"/>
        </w:rPr>
        <w:t>二、评标标准</w:t>
      </w:r>
    </w:p>
    <w:p>
      <w:pPr>
        <w:spacing w:line="360" w:lineRule="auto"/>
        <w:ind w:firstLine="472" w:firstLineChars="196"/>
        <w:rPr>
          <w:rFonts w:hint="eastAsia" w:ascii="仿宋" w:hAnsi="仿宋" w:eastAsia="仿宋" w:cs="仿宋"/>
          <w:b/>
          <w:color w:val="auto"/>
          <w:highlight w:val="none"/>
        </w:rPr>
      </w:pPr>
      <w:r>
        <w:rPr>
          <w:rStyle w:val="33"/>
          <w:rFonts w:hint="eastAsia" w:ascii="仿宋" w:hAnsi="仿宋" w:eastAsia="仿宋" w:cs="仿宋"/>
          <w:color w:val="auto"/>
          <w:highlight w:val="none"/>
        </w:rPr>
        <w:t>2. 评标标准：</w:t>
      </w:r>
      <w:r>
        <w:rPr>
          <w:rFonts w:hint="eastAsia" w:ascii="仿宋" w:hAnsi="仿宋" w:eastAsia="仿宋" w:cs="仿宋"/>
          <w:color w:val="auto"/>
          <w:highlight w:val="none"/>
        </w:rPr>
        <w:t>见评标办法前附表。</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三、评标程序</w:t>
      </w:r>
    </w:p>
    <w:p>
      <w:pPr>
        <w:spacing w:line="360" w:lineRule="auto"/>
        <w:ind w:firstLine="472" w:firstLineChars="196"/>
        <w:rPr>
          <w:rFonts w:hint="eastAsia" w:ascii="仿宋" w:hAnsi="仿宋" w:eastAsia="仿宋" w:cs="仿宋"/>
          <w:color w:val="auto"/>
          <w:highlight w:val="none"/>
        </w:rPr>
      </w:pPr>
      <w:r>
        <w:rPr>
          <w:rStyle w:val="33"/>
          <w:rFonts w:hint="eastAsia" w:ascii="仿宋" w:hAnsi="仿宋" w:eastAsia="仿宋" w:cs="仿宋"/>
          <w:color w:val="auto"/>
          <w:highlight w:val="none"/>
        </w:rPr>
        <w:t>3.1符合性审查。</w:t>
      </w:r>
      <w:r>
        <w:rPr>
          <w:rFonts w:hint="eastAsia" w:ascii="仿宋" w:hAnsi="仿宋" w:eastAsia="仿宋" w:cs="仿宋"/>
          <w:color w:val="auto"/>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highlight w:val="none"/>
        </w:rPr>
      </w:pPr>
      <w:r>
        <w:rPr>
          <w:rStyle w:val="33"/>
          <w:rFonts w:hint="eastAsia" w:ascii="仿宋" w:hAnsi="仿宋" w:eastAsia="仿宋" w:cs="仿宋"/>
          <w:color w:val="auto"/>
          <w:highlight w:val="none"/>
        </w:rPr>
        <w:t>3.2 比较与评价。</w:t>
      </w:r>
      <w:r>
        <w:rPr>
          <w:rFonts w:hint="eastAsia" w:ascii="仿宋" w:hAnsi="仿宋" w:eastAsia="仿宋" w:cs="仿宋"/>
          <w:color w:val="auto"/>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highlight w:val="none"/>
        </w:rPr>
      </w:pPr>
      <w:r>
        <w:rPr>
          <w:rStyle w:val="33"/>
          <w:rFonts w:hint="eastAsia" w:ascii="仿宋" w:hAnsi="仿宋" w:eastAsia="仿宋" w:cs="仿宋"/>
          <w:color w:val="auto"/>
          <w:highlight w:val="none"/>
        </w:rPr>
        <w:t>3.3汇总商务技术得分。</w:t>
      </w:r>
      <w:r>
        <w:rPr>
          <w:rFonts w:hint="eastAsia" w:ascii="仿宋" w:hAnsi="仿宋" w:eastAsia="仿宋" w:cs="仿宋"/>
          <w:color w:val="auto"/>
          <w:highlight w:val="none"/>
        </w:rPr>
        <w:t>评标委员会各成员应当独立对每个投标人的商务和技术文件进行评价，并汇总商务技术得分情况。</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3.4报价评审。</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3.4.1.1投标文件中开标一览表(报价表)内容与投标文件中相应内容不一致的，以开标一览表(报价表)为准;</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highlight w:val="none"/>
        </w:rPr>
      </w:pPr>
      <w:r>
        <w:rPr>
          <w:rStyle w:val="33"/>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highlight w:val="none"/>
        </w:rPr>
      </w:pPr>
      <w:r>
        <w:rPr>
          <w:rFonts w:hint="eastAsia" w:ascii="仿宋" w:hAnsi="仿宋" w:eastAsia="仿宋"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highlight w:val="none"/>
        </w:rPr>
      </w:pPr>
      <w:r>
        <w:rPr>
          <w:rStyle w:val="33"/>
          <w:rFonts w:hint="eastAsia" w:ascii="仿宋" w:hAnsi="仿宋" w:eastAsia="仿宋" w:cs="仿宋"/>
          <w:color w:val="auto"/>
          <w:highlight w:val="none"/>
        </w:rPr>
        <w:t>3.6编写评标报告。</w:t>
      </w:r>
      <w:r>
        <w:rPr>
          <w:rFonts w:hint="eastAsia" w:ascii="仿宋" w:hAnsi="仿宋" w:eastAsia="仿宋"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四、评标中的其他事项</w:t>
      </w:r>
    </w:p>
    <w:p>
      <w:pPr>
        <w:pStyle w:val="57"/>
        <w:rPr>
          <w:rFonts w:hint="eastAsia" w:ascii="仿宋" w:hAnsi="仿宋" w:eastAsia="仿宋" w:cs="仿宋"/>
          <w:color w:val="auto"/>
          <w:highlight w:val="none"/>
        </w:rPr>
      </w:pPr>
      <w:r>
        <w:rPr>
          <w:rStyle w:val="33"/>
          <w:rFonts w:hint="eastAsia" w:ascii="仿宋" w:hAnsi="仿宋" w:eastAsia="仿宋" w:cs="仿宋"/>
          <w:color w:val="auto"/>
          <w:highlight w:val="none"/>
        </w:rPr>
        <w:t>4.1投标人澄清、说明或者补正。</w:t>
      </w:r>
      <w:r>
        <w:rPr>
          <w:rFonts w:hint="eastAsia" w:ascii="仿宋" w:hAnsi="仿宋" w:eastAsia="仿宋" w:cs="仿宋"/>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1021" w:leftChars="226" w:hanging="479" w:firstLineChars="0"/>
        <w:rPr>
          <w:rFonts w:hint="eastAsia" w:ascii="仿宋" w:hAnsi="仿宋" w:eastAsia="仿宋" w:cs="仿宋"/>
          <w:color w:val="auto"/>
          <w:szCs w:val="21"/>
          <w:highlight w:val="none"/>
        </w:rPr>
      </w:pPr>
      <w:r>
        <w:rPr>
          <w:rStyle w:val="33"/>
          <w:rFonts w:hint="eastAsia" w:ascii="仿宋" w:hAnsi="仿宋" w:eastAsia="仿宋" w:cs="仿宋"/>
          <w:color w:val="auto"/>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4.2.4投标文件含有采购人不能接受的附加条件的；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4.2.5投标文件中承诺的投标有效期少于招标文件中载明的投标有效期的；</w:t>
      </w:r>
    </w:p>
    <w:p>
      <w:pPr>
        <w:snapToGrid w:val="0"/>
        <w:spacing w:line="360" w:lineRule="auto"/>
        <w:ind w:firstLine="120" w:firstLineChars="50"/>
        <w:rPr>
          <w:rFonts w:hint="eastAsia" w:ascii="仿宋" w:hAnsi="仿宋" w:eastAsia="仿宋" w:cs="仿宋"/>
          <w:color w:val="auto"/>
          <w:highlight w:val="none"/>
        </w:rPr>
      </w:pPr>
      <w:r>
        <w:rPr>
          <w:rFonts w:hint="eastAsia" w:ascii="仿宋" w:hAnsi="仿宋" w:eastAsia="仿宋" w:cs="仿宋"/>
          <w:color w:val="auto"/>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4.2.9投标人对根据修正原则修正后的报价不确认的；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4.2.10投标人提供虚假材料投标的；</w:t>
      </w:r>
    </w:p>
    <w:p>
      <w:pPr>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4.2.12投标人仅提交备份投标文件，未在电子交易平台传输递交投标文件的，投标无效；</w:t>
      </w:r>
    </w:p>
    <w:p>
      <w:pPr>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4.2.13 投标文件不满足招标文件的其它实质性要求的；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4.2.14法律、法规、规章（适用本市的）及省级以上规范性文件（适用本市的）规定的其他无效情形。</w:t>
      </w:r>
    </w:p>
    <w:p>
      <w:pPr>
        <w:pStyle w:val="15"/>
        <w:snapToGrid w:val="0"/>
        <w:spacing w:line="360" w:lineRule="auto"/>
        <w:ind w:firstLine="472" w:firstLineChars="196"/>
        <w:rPr>
          <w:rFonts w:hint="eastAsia" w:ascii="仿宋" w:hAnsi="仿宋" w:eastAsia="仿宋" w:cs="仿宋"/>
          <w:color w:val="auto"/>
          <w:highlight w:val="none"/>
        </w:rPr>
      </w:pPr>
      <w:r>
        <w:rPr>
          <w:rStyle w:val="33"/>
          <w:rFonts w:hint="eastAsia" w:ascii="仿宋" w:hAnsi="仿宋" w:eastAsia="仿宋"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5"/>
        <w:snapToGrid w:val="0"/>
        <w:spacing w:line="360" w:lineRule="auto"/>
        <w:ind w:firstLine="590" w:firstLineChars="245"/>
        <w:rPr>
          <w:rFonts w:hint="eastAsia" w:ascii="仿宋" w:hAnsi="仿宋" w:eastAsia="仿宋" w:cs="仿宋"/>
          <w:color w:val="auto"/>
          <w:highlight w:val="none"/>
        </w:rPr>
      </w:pPr>
      <w:r>
        <w:rPr>
          <w:rStyle w:val="33"/>
          <w:rFonts w:hint="eastAsia" w:ascii="仿宋" w:hAnsi="仿宋" w:eastAsia="仿宋" w:cs="仿宋"/>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hint="eastAsia" w:ascii="仿宋" w:hAnsi="仿宋" w:eastAsia="仿宋" w:cs="仿宋"/>
          <w:color w:val="auto"/>
          <w:highlight w:val="none"/>
        </w:rPr>
      </w:pPr>
      <w:r>
        <w:rPr>
          <w:rStyle w:val="33"/>
          <w:rFonts w:hint="eastAsia" w:ascii="仿宋" w:hAnsi="仿宋" w:eastAsia="仿宋" w:cs="仿宋"/>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kern w:val="2"/>
          <w:highlight w:val="none"/>
        </w:rPr>
      </w:pPr>
      <w:r>
        <w:rPr>
          <w:rFonts w:hint="eastAsia" w:ascii="仿宋" w:hAnsi="仿宋" w:eastAsia="仿宋" w:cs="仿宋"/>
          <w:color w:val="auto"/>
          <w:highlight w:val="none"/>
        </w:rPr>
        <w:t>第五部分 拟签订的合同文本</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服务类合同建议可按照参考格式按照实际情况调整修改。</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货物类参考范本</w:t>
      </w:r>
    </w:p>
    <w:p>
      <w:pPr>
        <w:jc w:val="right"/>
        <w:rPr>
          <w:rFonts w:hint="eastAsia" w:ascii="仿宋" w:hAnsi="仿宋" w:eastAsia="仿宋" w:cs="仿宋"/>
          <w:color w:val="auto"/>
          <w:highlight w:val="none"/>
          <w:u w:val="single"/>
        </w:rPr>
      </w:pPr>
      <w:r>
        <w:rPr>
          <w:rFonts w:hint="eastAsia" w:ascii="仿宋" w:hAnsi="仿宋" w:eastAsia="仿宋" w:cs="仿宋"/>
          <w:color w:val="auto"/>
          <w:highlight w:val="none"/>
        </w:rPr>
        <w:t>合同编号：</w:t>
      </w:r>
      <w:r>
        <w:rPr>
          <w:rFonts w:hint="eastAsia" w:ascii="仿宋" w:hAnsi="仿宋" w:eastAsia="仿宋" w:cs="仿宋"/>
          <w:color w:val="auto"/>
          <w:highlight w:val="none"/>
          <w:u w:val="single"/>
        </w:rPr>
        <w:t xml:space="preserve">           </w:t>
      </w:r>
    </w:p>
    <w:p>
      <w:pPr>
        <w:pStyle w:val="15"/>
        <w:snapToGrid w:val="0"/>
        <w:spacing w:line="360" w:lineRule="auto"/>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68"/>
        <w:ind w:left="480"/>
        <w:jc w:val="center"/>
        <w:rPr>
          <w:rFonts w:hint="eastAsia" w:ascii="仿宋" w:hAnsi="仿宋" w:eastAsia="仿宋" w:cs="仿宋"/>
          <w:color w:val="auto"/>
          <w:szCs w:val="24"/>
          <w:highlight w:val="none"/>
        </w:rPr>
      </w:pPr>
    </w:p>
    <w:p>
      <w:pPr>
        <w:pStyle w:val="2"/>
        <w:rPr>
          <w:rFonts w:hint="eastAsia" w:ascii="仿宋" w:hAnsi="仿宋" w:eastAsia="仿宋" w:cs="仿宋"/>
          <w:color w:val="auto"/>
          <w:highlight w:val="none"/>
        </w:rPr>
      </w:pPr>
      <w:r>
        <w:rPr>
          <w:rFonts w:hint="eastAsia" w:ascii="仿宋" w:hAnsi="仿宋" w:eastAsia="仿宋" w:cs="仿宋"/>
          <w:color w:val="auto"/>
          <w:highlight w:val="none"/>
        </w:rPr>
        <w:t>第一部分 合同书</w:t>
      </w:r>
    </w:p>
    <w:p>
      <w:pPr>
        <w:pStyle w:val="68"/>
        <w:ind w:left="48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p>
    <w:p>
      <w:pPr>
        <w:pStyle w:val="67"/>
        <w:spacing w:before="120" w:line="22" w:lineRule="atLeast"/>
        <w:rPr>
          <w:rFonts w:hint="eastAsia" w:ascii="仿宋" w:hAnsi="仿宋" w:eastAsia="仿宋" w:cs="仿宋"/>
          <w:color w:val="auto"/>
          <w:szCs w:val="24"/>
          <w:highlight w:val="none"/>
        </w:rPr>
      </w:pPr>
    </w:p>
    <w:p>
      <w:pPr>
        <w:pStyle w:val="67"/>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highlight w:val="none"/>
          <w:u w:val="singl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p>
    <w:p>
      <w:pPr>
        <w:spacing w:before="120" w:line="22" w:lineRule="atLeast"/>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highlight w:val="none"/>
          <w:u w:val="singl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p>
    <w:p>
      <w:pPr>
        <w:spacing w:before="120" w:line="22" w:lineRule="atLeast"/>
        <w:rPr>
          <w:rFonts w:hint="eastAsia" w:ascii="仿宋" w:hAnsi="仿宋" w:eastAsia="仿宋" w:cs="仿宋"/>
          <w:color w:val="auto"/>
          <w:highlight w:val="none"/>
        </w:rPr>
      </w:pPr>
    </w:p>
    <w:p>
      <w:pPr>
        <w:spacing w:before="120" w:line="22" w:lineRule="atLeast"/>
        <w:ind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签订地：</w:t>
      </w:r>
      <w:r>
        <w:rPr>
          <w:rFonts w:hint="eastAsia" w:ascii="仿宋" w:hAnsi="仿宋" w:eastAsia="仿宋" w:cs="仿宋"/>
          <w:color w:val="auto"/>
          <w:highlight w:val="none"/>
          <w:u w:val="single"/>
        </w:rPr>
        <w:t xml:space="preserve">                                     </w:t>
      </w:r>
    </w:p>
    <w:p>
      <w:pPr>
        <w:spacing w:before="120" w:line="22" w:lineRule="atLeast"/>
        <w:rPr>
          <w:rFonts w:hint="eastAsia" w:ascii="仿宋" w:hAnsi="仿宋" w:eastAsia="仿宋" w:cs="仿宋"/>
          <w:color w:val="auto"/>
          <w:highlight w:val="none"/>
        </w:rPr>
      </w:pPr>
    </w:p>
    <w:p>
      <w:pPr>
        <w:spacing w:before="120" w:line="22" w:lineRule="atLeast"/>
        <w:ind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rPr>
          <w:rFonts w:hint="eastAsia" w:ascii="仿宋" w:hAnsi="仿宋" w:eastAsia="仿宋" w:cs="仿宋"/>
          <w:color w:val="auto"/>
          <w:highlight w:val="none"/>
        </w:r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日</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rPr>
        <w:t>以</w:t>
      </w:r>
      <w:r>
        <w:rPr>
          <w:rFonts w:hint="eastAsia" w:ascii="仿宋" w:hAnsi="仿宋" w:eastAsia="仿宋" w:cs="仿宋"/>
          <w:color w:val="auto"/>
          <w:highlight w:val="none"/>
          <w:u w:val="single"/>
        </w:rPr>
        <w:t xml:space="preserve">   （政府采购方式）  </w:t>
      </w:r>
      <w:r>
        <w:rPr>
          <w:rFonts w:hint="eastAsia" w:ascii="仿宋" w:hAnsi="仿宋" w:eastAsia="仿宋" w:cs="仿宋"/>
          <w:color w:val="auto"/>
          <w:highlight w:val="none"/>
        </w:rPr>
        <w:t>对</w:t>
      </w:r>
      <w:r>
        <w:rPr>
          <w:rFonts w:hint="eastAsia" w:ascii="仿宋" w:hAnsi="仿宋" w:eastAsia="仿宋" w:cs="仿宋"/>
          <w:color w:val="auto"/>
          <w:highlight w:val="none"/>
          <w:u w:val="single"/>
        </w:rPr>
        <w:t xml:space="preserve">   （同前页项目名称）   </w:t>
      </w:r>
      <w:r>
        <w:rPr>
          <w:rFonts w:hint="eastAsia" w:ascii="仿宋" w:hAnsi="仿宋" w:eastAsia="仿宋" w:cs="仿宋"/>
          <w:color w:val="auto"/>
          <w:highlight w:val="none"/>
        </w:rPr>
        <w:t>项目进行了采购。经</w:t>
      </w:r>
      <w:r>
        <w:rPr>
          <w:rFonts w:hint="eastAsia" w:ascii="仿宋" w:hAnsi="仿宋" w:eastAsia="仿宋" w:cs="仿宋"/>
          <w:color w:val="auto"/>
          <w:highlight w:val="none"/>
          <w:u w:val="single"/>
        </w:rPr>
        <w:t xml:space="preserve">   （相关评定主体名称）   </w:t>
      </w:r>
      <w:r>
        <w:rPr>
          <w:rFonts w:hint="eastAsia" w:ascii="仿宋" w:hAnsi="仿宋" w:eastAsia="仿宋" w:cs="仿宋"/>
          <w:color w:val="auto"/>
          <w:highlight w:val="none"/>
        </w:rPr>
        <w:t>评定，</w:t>
      </w:r>
      <w:r>
        <w:rPr>
          <w:rFonts w:hint="eastAsia" w:ascii="仿宋" w:hAnsi="仿宋" w:eastAsia="仿宋" w:cs="仿宋"/>
          <w:color w:val="auto"/>
          <w:highlight w:val="none"/>
          <w:u w:val="single"/>
        </w:rPr>
        <w:t xml:space="preserve">   （中标供应商名称）</w:t>
      </w:r>
      <w:r>
        <w:rPr>
          <w:rFonts w:hint="eastAsia" w:ascii="仿宋" w:hAnsi="仿宋" w:eastAsia="仿宋" w:cs="仿宋"/>
          <w:color w:val="auto"/>
          <w:highlight w:val="none"/>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lang w:val="zh-CN"/>
        </w:rPr>
        <w:t>(以下简称：甲方)和</w:t>
      </w:r>
      <w:r>
        <w:rPr>
          <w:rFonts w:hint="eastAsia" w:ascii="仿宋" w:hAnsi="仿宋" w:eastAsia="仿宋" w:cs="仿宋"/>
          <w:color w:val="auto"/>
          <w:highlight w:val="none"/>
          <w:u w:val="single"/>
        </w:rPr>
        <w:t xml:space="preserve">   （中标供应商名称）   </w:t>
      </w:r>
      <w:r>
        <w:rPr>
          <w:rFonts w:hint="eastAsia" w:ascii="仿宋" w:hAnsi="仿宋" w:eastAsia="仿宋" w:cs="仿宋"/>
          <w:color w:val="auto"/>
          <w:highlight w:val="none"/>
          <w:lang w:val="zh-CN"/>
        </w:rPr>
        <w:t>(以下简称：乙方)协商一致，约定以下合同</w:t>
      </w:r>
      <w:r>
        <w:rPr>
          <w:rFonts w:hint="eastAsia" w:ascii="仿宋" w:hAnsi="仿宋" w:eastAsia="仿宋" w:cs="仿宋"/>
          <w:color w:val="auto"/>
          <w:highlight w:val="none"/>
        </w:rPr>
        <w:t>条款，以兹共同遵守、全面履行。</w:t>
      </w:r>
    </w:p>
    <w:p>
      <w:pPr>
        <w:pStyle w:val="4"/>
        <w:rPr>
          <w:rFonts w:hint="eastAsia" w:ascii="仿宋" w:hAnsi="仿宋" w:eastAsia="仿宋" w:cs="仿宋"/>
          <w:color w:val="auto"/>
          <w:highlight w:val="none"/>
        </w:rPr>
      </w:pPr>
      <w:bookmarkStart w:id="370" w:name="_Toc2232"/>
      <w:bookmarkStart w:id="371" w:name="_Toc24059"/>
      <w:bookmarkStart w:id="372" w:name="_Toc3029"/>
      <w:r>
        <w:rPr>
          <w:rFonts w:hint="eastAsia" w:ascii="仿宋" w:hAnsi="仿宋" w:eastAsia="仿宋" w:cs="仿宋"/>
          <w:color w:val="auto"/>
          <w:highlight w:val="none"/>
        </w:rPr>
        <w:t>1.1 合同组成部分</w:t>
      </w:r>
      <w:bookmarkEnd w:id="370"/>
      <w:bookmarkEnd w:id="371"/>
      <w:bookmarkEnd w:id="372"/>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1.1.1 本合同及其补充合同、变更协议；</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 中标通知书；</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1.1.3 投标文件（含澄清或者说明文件）；</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1.1.4 招标文件（含澄清或者修改文件）；</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1.1.5 其他相关采购文件。</w:t>
      </w:r>
    </w:p>
    <w:p>
      <w:pPr>
        <w:pStyle w:val="4"/>
        <w:rPr>
          <w:rFonts w:hint="eastAsia" w:ascii="仿宋" w:hAnsi="仿宋" w:eastAsia="仿宋" w:cs="仿宋"/>
          <w:color w:val="auto"/>
          <w:highlight w:val="none"/>
        </w:rPr>
      </w:pPr>
      <w:bookmarkStart w:id="373" w:name="_Toc27126"/>
      <w:bookmarkStart w:id="374" w:name="_Toc24300"/>
      <w:bookmarkStart w:id="375" w:name="_Toc21295"/>
      <w:r>
        <w:rPr>
          <w:rFonts w:hint="eastAsia" w:ascii="仿宋" w:hAnsi="仿宋" w:eastAsia="仿宋" w:cs="仿宋"/>
          <w:color w:val="auto"/>
          <w:highlight w:val="none"/>
        </w:rPr>
        <w:t>1.2 货物</w:t>
      </w:r>
      <w:bookmarkEnd w:id="373"/>
      <w:bookmarkEnd w:id="374"/>
      <w:bookmarkEnd w:id="375"/>
    </w:p>
    <w:p>
      <w:pPr>
        <w:spacing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1.2.1 货物名称：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spacing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1.2.2 货物数量：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1.2.3 货物质量：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4"/>
        <w:rPr>
          <w:rFonts w:hint="eastAsia" w:ascii="仿宋" w:hAnsi="仿宋" w:eastAsia="仿宋" w:cs="仿宋"/>
          <w:color w:val="auto"/>
          <w:highlight w:val="none"/>
        </w:rPr>
      </w:pPr>
      <w:bookmarkStart w:id="376" w:name="_Toc21551"/>
      <w:bookmarkStart w:id="377" w:name="_Toc21631"/>
      <w:bookmarkStart w:id="378" w:name="_Toc23292"/>
      <w:r>
        <w:rPr>
          <w:rFonts w:hint="eastAsia" w:ascii="仿宋" w:hAnsi="仿宋" w:eastAsia="仿宋" w:cs="仿宋"/>
          <w:color w:val="auto"/>
          <w:highlight w:val="none"/>
        </w:rPr>
        <w:t>1.3 价款</w:t>
      </w:r>
      <w:bookmarkEnd w:id="376"/>
      <w:bookmarkEnd w:id="377"/>
      <w:bookmarkEnd w:id="378"/>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本合同总价为：￥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元人民币）。</w:t>
      </w:r>
    </w:p>
    <w:p>
      <w:pPr>
        <w:spacing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hint="eastAsia" w:ascii="仿宋" w:hAnsi="仿宋" w:eastAsia="仿宋" w:cs="仿宋"/>
                <w:color w:val="auto"/>
                <w:sz w:val="24"/>
                <w:szCs w:val="24"/>
                <w:highlight w:val="none"/>
              </w:rPr>
            </w:pPr>
          </w:p>
        </w:tc>
      </w:tr>
    </w:tbl>
    <w:p>
      <w:pPr>
        <w:pStyle w:val="4"/>
        <w:rPr>
          <w:rFonts w:hint="eastAsia" w:ascii="仿宋" w:hAnsi="仿宋" w:eastAsia="仿宋" w:cs="仿宋"/>
          <w:color w:val="auto"/>
          <w:highlight w:val="none"/>
        </w:rPr>
      </w:pPr>
      <w:bookmarkStart w:id="379" w:name="_Toc22618"/>
      <w:bookmarkStart w:id="380" w:name="_Toc1814"/>
      <w:bookmarkStart w:id="381" w:name="_Toc10340"/>
      <w:r>
        <w:rPr>
          <w:rFonts w:hint="eastAsia" w:ascii="仿宋" w:hAnsi="仿宋" w:eastAsia="仿宋" w:cs="仿宋"/>
          <w:color w:val="auto"/>
          <w:highlight w:val="none"/>
        </w:rPr>
        <w:t>1.4 付款</w:t>
      </w:r>
      <w:bookmarkEnd w:id="379"/>
      <w:bookmarkEnd w:id="380"/>
      <w:bookmarkEnd w:id="381"/>
      <w:r>
        <w:rPr>
          <w:rFonts w:hint="eastAsia" w:ascii="仿宋" w:hAnsi="仿宋" w:eastAsia="仿宋" w:cs="仿宋"/>
          <w:color w:val="auto"/>
          <w:highlight w:val="none"/>
        </w:rPr>
        <w:t>方式、时间和条件</w:t>
      </w:r>
    </w:p>
    <w:p>
      <w:pPr>
        <w:pStyle w:val="6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rPr>
          <w:rFonts w:hint="eastAsia" w:ascii="仿宋" w:hAnsi="仿宋" w:eastAsia="仿宋" w:cs="仿宋"/>
          <w:color w:val="auto"/>
          <w:highlight w:val="none"/>
        </w:rPr>
      </w:pPr>
      <w:r>
        <w:rPr>
          <w:rFonts w:hint="eastAsia" w:ascii="仿宋" w:hAnsi="仿宋" w:eastAsia="仿宋" w:cs="仿宋"/>
          <w:color w:val="auto"/>
          <w:highlight w:val="none"/>
        </w:rPr>
        <w:t>1.4.4资金支付的方式、时间和条件详见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4"/>
        <w:rPr>
          <w:rFonts w:hint="eastAsia" w:ascii="仿宋" w:hAnsi="仿宋" w:eastAsia="仿宋" w:cs="仿宋"/>
          <w:color w:val="auto"/>
          <w:highlight w:val="none"/>
        </w:rPr>
      </w:pPr>
      <w:bookmarkStart w:id="382" w:name="_Toc32071"/>
      <w:bookmarkStart w:id="383" w:name="_Toc2846"/>
      <w:bookmarkStart w:id="384" w:name="_Toc19304"/>
      <w:r>
        <w:rPr>
          <w:rFonts w:hint="eastAsia" w:ascii="仿宋" w:hAnsi="仿宋" w:eastAsia="仿宋" w:cs="仿宋"/>
          <w:color w:val="auto"/>
          <w:highlight w:val="none"/>
        </w:rPr>
        <w:t>1.5 货物交付期限、地点和方式</w:t>
      </w:r>
      <w:bookmarkEnd w:id="382"/>
      <w:bookmarkEnd w:id="383"/>
      <w:bookmarkEnd w:id="384"/>
    </w:p>
    <w:p>
      <w:pPr>
        <w:spacing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1.5.1 交付期限：详见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 交付地点：</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1.5.3 交付方式：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4"/>
        <w:rPr>
          <w:rFonts w:hint="eastAsia" w:ascii="仿宋" w:hAnsi="仿宋" w:eastAsia="仿宋" w:cs="仿宋"/>
          <w:color w:val="auto"/>
          <w:highlight w:val="none"/>
        </w:rPr>
      </w:pPr>
      <w:bookmarkStart w:id="385" w:name="_Toc19554"/>
      <w:bookmarkStart w:id="386" w:name="_Toc21423"/>
      <w:bookmarkStart w:id="387" w:name="_Toc27250"/>
      <w:r>
        <w:rPr>
          <w:rFonts w:hint="eastAsia" w:ascii="仿宋" w:hAnsi="仿宋" w:eastAsia="仿宋" w:cs="仿宋"/>
          <w:color w:val="auto"/>
          <w:highlight w:val="none"/>
        </w:rPr>
        <w:t>1.6 违约责任</w:t>
      </w:r>
      <w:bookmarkEnd w:id="385"/>
      <w:bookmarkEnd w:id="386"/>
      <w:bookmarkEnd w:id="387"/>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1.6.7违约责任</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另有约定的，从其约定。</w:t>
      </w:r>
    </w:p>
    <w:p>
      <w:pPr>
        <w:pStyle w:val="4"/>
        <w:rPr>
          <w:rFonts w:hint="eastAsia" w:ascii="仿宋" w:hAnsi="仿宋" w:eastAsia="仿宋" w:cs="仿宋"/>
          <w:color w:val="auto"/>
          <w:highlight w:val="none"/>
        </w:rPr>
      </w:pPr>
      <w:bookmarkStart w:id="388" w:name="_Toc15583"/>
      <w:bookmarkStart w:id="389" w:name="_Toc16021"/>
      <w:bookmarkStart w:id="390" w:name="_Toc28375"/>
      <w:r>
        <w:rPr>
          <w:rFonts w:hint="eastAsia" w:ascii="仿宋" w:hAnsi="仿宋" w:eastAsia="仿宋" w:cs="仿宋"/>
          <w:color w:val="auto"/>
          <w:highlight w:val="none"/>
        </w:rPr>
        <w:t>1.7 合同争议的解决</w:t>
      </w:r>
      <w:bookmarkEnd w:id="388"/>
      <w:bookmarkEnd w:id="389"/>
      <w:bookmarkEnd w:id="390"/>
    </w:p>
    <w:p>
      <w:pPr>
        <w:spacing w:line="560" w:lineRule="exact"/>
        <w:ind w:left="-70" w:leftChars="-29" w:right="-480" w:rightChars="-20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highlight w:val="none"/>
          <w:u w:val="single"/>
        </w:rPr>
        <w:t xml:space="preserve"> 合同专用条款  </w:t>
      </w:r>
      <w:r>
        <w:rPr>
          <w:rFonts w:hint="eastAsia" w:ascii="仿宋" w:hAnsi="仿宋" w:eastAsia="仿宋" w:cs="仿宋"/>
          <w:color w:val="auto"/>
          <w:highlight w:val="none"/>
        </w:rPr>
        <w:t>条款规定的方式解决：</w:t>
      </w:r>
    </w:p>
    <w:p>
      <w:pPr>
        <w:spacing w:line="560" w:lineRule="exact"/>
        <w:ind w:left="-480" w:leftChars="-200" w:right="-480" w:rightChars="-200"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1.7.1 将争议提交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仲裁委员会依申请仲裁时其现行有效的仲裁规则裁决；</w:t>
      </w:r>
    </w:p>
    <w:p>
      <w:pPr>
        <w:spacing w:line="560" w:lineRule="exact"/>
        <w:ind w:left="-480" w:leftChars="-200" w:right="-480" w:rightChars="-200"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1.7.2 向</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人民法院起诉。</w:t>
      </w:r>
    </w:p>
    <w:p>
      <w:pPr>
        <w:pStyle w:val="4"/>
        <w:rPr>
          <w:rFonts w:hint="eastAsia" w:ascii="仿宋" w:hAnsi="仿宋" w:eastAsia="仿宋" w:cs="仿宋"/>
          <w:color w:val="auto"/>
          <w:highlight w:val="none"/>
        </w:rPr>
      </w:pPr>
      <w:bookmarkStart w:id="391" w:name="_Toc7245"/>
      <w:bookmarkStart w:id="392" w:name="_Toc15322"/>
      <w:bookmarkStart w:id="393" w:name="_Toc11173"/>
      <w:r>
        <w:rPr>
          <w:rFonts w:hint="eastAsia" w:ascii="仿宋" w:hAnsi="仿宋" w:eastAsia="仿宋" w:cs="仿宋"/>
          <w:color w:val="auto"/>
          <w:highlight w:val="none"/>
        </w:rPr>
        <w:t>1.8 合同生效</w:t>
      </w:r>
      <w:bookmarkEnd w:id="391"/>
      <w:bookmarkEnd w:id="392"/>
      <w:bookmarkEnd w:id="393"/>
    </w:p>
    <w:p>
      <w:pPr>
        <w:spacing w:line="560" w:lineRule="exact"/>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本合同自双方当事人盖章或者签字时生效。</w:t>
      </w:r>
    </w:p>
    <w:p>
      <w:pPr>
        <w:autoSpaceDE w:val="0"/>
        <w:autoSpaceDN w:val="0"/>
        <w:spacing w:line="560" w:lineRule="exact"/>
        <w:rPr>
          <w:rFonts w:hint="eastAsia" w:ascii="仿宋" w:hAnsi="仿宋" w:eastAsia="仿宋" w:cs="仿宋"/>
          <w:color w:val="auto"/>
          <w:highlight w:val="none"/>
          <w:lang w:val="zh-CN"/>
        </w:rPr>
      </w:pP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b/>
          <w:color w:val="auto"/>
          <w:highlight w:val="none"/>
          <w:lang w:val="zh-CN"/>
        </w:rPr>
        <w:t>甲方</w:t>
      </w:r>
      <w:r>
        <w:rPr>
          <w:rFonts w:hint="eastAsia" w:ascii="仿宋" w:hAnsi="仿宋" w:eastAsia="仿宋" w:cs="仿宋"/>
          <w:color w:val="auto"/>
          <w:highlight w:val="none"/>
          <w:lang w:val="zh-CN"/>
        </w:rPr>
        <w:t xml:space="preserve">：                             </w:t>
      </w:r>
      <w:r>
        <w:rPr>
          <w:rFonts w:hint="eastAsia" w:ascii="仿宋" w:hAnsi="仿宋" w:eastAsia="仿宋" w:cs="仿宋"/>
          <w:b/>
          <w:color w:val="auto"/>
          <w:highlight w:val="none"/>
          <w:lang w:val="zh-CN"/>
        </w:rPr>
        <w:t xml:space="preserve">      乙方</w:t>
      </w:r>
      <w:r>
        <w:rPr>
          <w:rFonts w:hint="eastAsia" w:ascii="仿宋" w:hAnsi="仿宋" w:eastAsia="仿宋" w:cs="仿宋"/>
          <w:color w:val="auto"/>
          <w:highlight w:val="none"/>
          <w:lang w:val="zh-CN"/>
        </w:rPr>
        <w:t>：</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highlight w:val="none"/>
          <w:lang w:val="zh-CN"/>
        </w:rPr>
      </w:pP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住所：                                   住所：</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法定代表人或                             法定代表人</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授权代表（签字）：                        或授权代表（签字）: </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联系人：                                 联系人：</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约定送达地址：                           约定送达地址：</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邮政编码：                               邮政编码：</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电话:                                    电话: </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传真:                                    传真:</w:t>
      </w:r>
    </w:p>
    <w:p>
      <w:pPr>
        <w:autoSpaceDE w:val="0"/>
        <w:autoSpaceDN w:val="0"/>
        <w:spacing w:line="560" w:lineRule="exact"/>
        <w:rPr>
          <w:rFonts w:hint="eastAsia" w:ascii="仿宋" w:hAnsi="仿宋" w:eastAsia="仿宋" w:cs="仿宋"/>
          <w:color w:val="auto"/>
          <w:highlight w:val="none"/>
        </w:rPr>
      </w:pPr>
      <w:r>
        <w:rPr>
          <w:rFonts w:hint="eastAsia" w:ascii="仿宋" w:hAnsi="仿宋" w:eastAsia="仿宋" w:cs="仿宋"/>
          <w:color w:val="auto"/>
          <w:highlight w:val="none"/>
          <w:lang w:val="zh-CN"/>
        </w:rPr>
        <w:t>电子邮箱：                               电子邮箱：</w:t>
      </w:r>
    </w:p>
    <w:p>
      <w:pPr>
        <w:autoSpaceDE w:val="0"/>
        <w:autoSpaceDN w:val="0"/>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w:t>
      </w:r>
    </w:p>
    <w:p>
      <w:pPr>
        <w:autoSpaceDE w:val="0"/>
        <w:autoSpaceDN w:val="0"/>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开户名称：                               开户名称： </w:t>
      </w:r>
    </w:p>
    <w:p>
      <w:pPr>
        <w:autoSpaceDE w:val="0"/>
        <w:autoSpaceDN w:val="0"/>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开户账号：</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开户账号：</w:t>
      </w:r>
    </w:p>
    <w:p>
      <w:pPr>
        <w:spacing w:line="560" w:lineRule="exact"/>
        <w:rPr>
          <w:rFonts w:hint="eastAsia" w:ascii="仿宋" w:hAnsi="仿宋" w:eastAsia="仿宋" w:cs="仿宋"/>
          <w:b/>
          <w:color w:val="auto"/>
          <w:highlight w:val="none"/>
        </w:rPr>
      </w:pPr>
      <w:bookmarkStart w:id="394" w:name="_Toc331685783"/>
    </w:p>
    <w:p>
      <w:pPr>
        <w:pStyle w:val="2"/>
        <w:rPr>
          <w:rFonts w:hint="eastAsia" w:ascii="仿宋" w:hAnsi="仿宋" w:eastAsia="仿宋" w:cs="仿宋"/>
          <w:color w:val="auto"/>
          <w:highlight w:val="none"/>
        </w:rPr>
      </w:pPr>
      <w:r>
        <w:rPr>
          <w:rFonts w:hint="eastAsia" w:ascii="仿宋" w:hAnsi="仿宋" w:eastAsia="仿宋" w:cs="仿宋"/>
          <w:color w:val="auto"/>
          <w:highlight w:val="none"/>
        </w:rPr>
        <w:t>第二部分 合同一般条款</w:t>
      </w:r>
      <w:bookmarkEnd w:id="394"/>
    </w:p>
    <w:p>
      <w:pPr>
        <w:pStyle w:val="4"/>
        <w:rPr>
          <w:rFonts w:hint="eastAsia" w:ascii="仿宋" w:hAnsi="仿宋" w:eastAsia="仿宋" w:cs="仿宋"/>
          <w:color w:val="auto"/>
          <w:highlight w:val="none"/>
        </w:rPr>
      </w:pPr>
      <w:bookmarkStart w:id="395" w:name="_Toc19614"/>
      <w:bookmarkStart w:id="396" w:name="_Ref467379214"/>
      <w:bookmarkStart w:id="397" w:name="_Ref467378404"/>
      <w:bookmarkStart w:id="398" w:name="_Toc28763"/>
      <w:bookmarkStart w:id="399" w:name="_Ref467379094"/>
      <w:bookmarkStart w:id="400" w:name="_Toc279701240"/>
      <w:bookmarkStart w:id="401" w:name="_Toc16917"/>
      <w:bookmarkStart w:id="402" w:name="_Ref467379101"/>
      <w:bookmarkStart w:id="403" w:name="_Ref467379195"/>
      <w:bookmarkStart w:id="404" w:name="_Ref467379225"/>
      <w:bookmarkStart w:id="405" w:name="_Ref467379205"/>
      <w:bookmarkStart w:id="406" w:name="_Toc487900349"/>
      <w:bookmarkStart w:id="407" w:name="_Ref467378499"/>
      <w:bookmarkStart w:id="408" w:name="_Ref467378463"/>
      <w:bookmarkStart w:id="409" w:name="_Toc259093669"/>
      <w:bookmarkStart w:id="410" w:name="_Ref467379109"/>
      <w:r>
        <w:rPr>
          <w:rFonts w:hint="eastAsia" w:ascii="仿宋" w:hAnsi="仿宋" w:eastAsia="仿宋" w:cs="仿宋"/>
          <w:color w:val="auto"/>
          <w:highlight w:val="none"/>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本合同中的下列词语应按以下内容进行解释：</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highlight w:val="none"/>
        </w:rPr>
      </w:pPr>
      <w:bookmarkStart w:id="411" w:name="_Ref467378840"/>
      <w:r>
        <w:rPr>
          <w:rFonts w:hint="eastAsia" w:ascii="仿宋" w:hAnsi="仿宋" w:eastAsia="仿宋" w:cs="仿宋"/>
          <w:color w:val="auto"/>
          <w:highlight w:val="none"/>
        </w:rPr>
        <w:t>2.1.4 “甲方”系指与中标供应商签署合同的采购人</w:t>
      </w:r>
      <w:bookmarkEnd w:id="411"/>
      <w:r>
        <w:rPr>
          <w:rFonts w:hint="eastAsia" w:ascii="仿宋" w:hAnsi="仿宋" w:eastAsia="仿宋" w:cs="仿宋"/>
          <w:color w:val="auto"/>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highlight w:val="none"/>
        </w:rPr>
      </w:pPr>
      <w:bookmarkStart w:id="412" w:name="_Ref467379400"/>
      <w:r>
        <w:rPr>
          <w:rFonts w:hint="eastAsia" w:ascii="仿宋" w:hAnsi="仿宋" w:eastAsia="仿宋" w:cs="仿宋"/>
          <w:color w:val="auto"/>
          <w:highlight w:val="none"/>
        </w:rPr>
        <w:t>2.1.5 “乙方”系指根据合同约定交付货物的中标供应商</w:t>
      </w:r>
      <w:bookmarkEnd w:id="412"/>
      <w:r>
        <w:rPr>
          <w:rFonts w:hint="eastAsia" w:ascii="仿宋" w:hAnsi="仿宋" w:eastAsia="仿宋" w:cs="仿宋"/>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highlight w:val="none"/>
        </w:rPr>
      </w:pPr>
      <w:bookmarkStart w:id="413" w:name="_Ref467379436"/>
      <w:r>
        <w:rPr>
          <w:rFonts w:hint="eastAsia" w:ascii="仿宋" w:hAnsi="仿宋" w:eastAsia="仿宋" w:cs="仿宋"/>
          <w:color w:val="auto"/>
          <w:highlight w:val="none"/>
        </w:rPr>
        <w:t>2.1.6 “现场”系指合同约定货物将要运至或者安装的地点。</w:t>
      </w:r>
      <w:bookmarkEnd w:id="413"/>
    </w:p>
    <w:p>
      <w:pPr>
        <w:pStyle w:val="4"/>
        <w:rPr>
          <w:rFonts w:hint="eastAsia" w:ascii="仿宋" w:hAnsi="仿宋" w:eastAsia="仿宋" w:cs="仿宋"/>
          <w:color w:val="auto"/>
          <w:highlight w:val="none"/>
        </w:rPr>
      </w:pPr>
      <w:bookmarkStart w:id="414" w:name="_Toc279701241"/>
      <w:bookmarkStart w:id="415" w:name="_Toc27635"/>
      <w:bookmarkStart w:id="416" w:name="_Toc13336"/>
      <w:bookmarkStart w:id="417" w:name="_Toc32504"/>
      <w:bookmarkStart w:id="418" w:name="_Toc259093670"/>
      <w:bookmarkStart w:id="419" w:name="_Toc487900350"/>
      <w:r>
        <w:rPr>
          <w:rFonts w:hint="eastAsia" w:ascii="仿宋" w:hAnsi="仿宋" w:eastAsia="仿宋" w:cs="仿宋"/>
          <w:color w:val="auto"/>
          <w:highlight w:val="none"/>
        </w:rPr>
        <w:t>2.2 技术规范</w:t>
      </w:r>
      <w:bookmarkEnd w:id="414"/>
      <w:bookmarkEnd w:id="415"/>
      <w:bookmarkEnd w:id="416"/>
      <w:bookmarkEnd w:id="417"/>
      <w:bookmarkEnd w:id="418"/>
      <w:bookmarkEnd w:id="419"/>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4"/>
        <w:rPr>
          <w:rFonts w:hint="eastAsia" w:ascii="仿宋" w:hAnsi="仿宋" w:eastAsia="仿宋" w:cs="仿宋"/>
          <w:color w:val="auto"/>
          <w:highlight w:val="none"/>
        </w:rPr>
      </w:pPr>
      <w:bookmarkStart w:id="420" w:name="_Toc279701242"/>
      <w:bookmarkStart w:id="421" w:name="_Toc259093671"/>
      <w:bookmarkStart w:id="422" w:name="_Toc27853"/>
      <w:bookmarkStart w:id="423" w:name="_Toc487900351"/>
      <w:bookmarkStart w:id="424" w:name="_Toc31634"/>
      <w:bookmarkStart w:id="425" w:name="_Toc9829"/>
      <w:r>
        <w:rPr>
          <w:rFonts w:hint="eastAsia" w:ascii="仿宋" w:hAnsi="仿宋" w:eastAsia="仿宋" w:cs="仿宋"/>
          <w:color w:val="auto"/>
          <w:highlight w:val="none"/>
        </w:rPr>
        <w:t>2.3 知识产权</w:t>
      </w:r>
      <w:bookmarkEnd w:id="420"/>
      <w:bookmarkEnd w:id="421"/>
      <w:bookmarkEnd w:id="422"/>
      <w:bookmarkEnd w:id="423"/>
      <w:bookmarkEnd w:id="424"/>
      <w:bookmarkEnd w:id="425"/>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2.3.2具有知识产权的计算机软件等货物的知识产权归属，详见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4"/>
        <w:rPr>
          <w:rFonts w:hint="eastAsia" w:ascii="仿宋" w:hAnsi="仿宋" w:eastAsia="仿宋" w:cs="仿宋"/>
          <w:color w:val="auto"/>
          <w:highlight w:val="none"/>
        </w:rPr>
      </w:pPr>
      <w:bookmarkStart w:id="426" w:name="_Toc11932"/>
      <w:bookmarkStart w:id="427" w:name="_Toc4194"/>
      <w:bookmarkStart w:id="428" w:name="_Toc29149"/>
      <w:r>
        <w:rPr>
          <w:rFonts w:hint="eastAsia" w:ascii="仿宋" w:hAnsi="仿宋" w:eastAsia="仿宋" w:cs="仿宋"/>
          <w:color w:val="auto"/>
          <w:highlight w:val="none"/>
        </w:rPr>
        <w:t>2.4 包装和装运</w:t>
      </w:r>
      <w:bookmarkEnd w:id="426"/>
      <w:bookmarkEnd w:id="427"/>
      <w:bookmarkEnd w:id="428"/>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2.4.1除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2.4.2 装运货物的要求和通知，详见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4"/>
        <w:rPr>
          <w:rFonts w:hint="eastAsia" w:ascii="仿宋" w:hAnsi="仿宋" w:eastAsia="仿宋" w:cs="仿宋"/>
          <w:color w:val="auto"/>
          <w:highlight w:val="none"/>
        </w:rPr>
      </w:pPr>
      <w:bookmarkStart w:id="429" w:name="_Toc279701245"/>
      <w:bookmarkStart w:id="430" w:name="_Ref467379536"/>
      <w:bookmarkStart w:id="431" w:name="_Ref467378591"/>
      <w:bookmarkStart w:id="432" w:name="_Toc487900354"/>
      <w:bookmarkStart w:id="433" w:name="_Ref467379542"/>
      <w:bookmarkStart w:id="434" w:name="_Ref467378541"/>
      <w:bookmarkStart w:id="435" w:name="_Ref467379527"/>
      <w:bookmarkStart w:id="436" w:name="_Toc259093674"/>
      <w:bookmarkStart w:id="437" w:name="_Toc26182"/>
      <w:bookmarkStart w:id="438" w:name="_Toc19074"/>
      <w:bookmarkStart w:id="439" w:name="_Toc30272"/>
      <w:r>
        <w:rPr>
          <w:rFonts w:hint="eastAsia" w:ascii="仿宋" w:hAnsi="仿宋" w:eastAsia="仿宋" w:cs="仿宋"/>
          <w:color w:val="auto"/>
          <w:highlight w:val="none"/>
        </w:rPr>
        <w:t>2.</w:t>
      </w:r>
      <w:bookmarkEnd w:id="429"/>
      <w:bookmarkEnd w:id="430"/>
      <w:bookmarkEnd w:id="431"/>
      <w:bookmarkEnd w:id="432"/>
      <w:bookmarkEnd w:id="433"/>
      <w:bookmarkEnd w:id="434"/>
      <w:bookmarkEnd w:id="435"/>
      <w:bookmarkEnd w:id="436"/>
      <w:r>
        <w:rPr>
          <w:rFonts w:hint="eastAsia" w:ascii="仿宋" w:hAnsi="仿宋" w:eastAsia="仿宋" w:cs="仿宋"/>
          <w:color w:val="auto"/>
          <w:highlight w:val="none"/>
        </w:rPr>
        <w:t>5 履约检查和问题反馈</w:t>
      </w:r>
      <w:bookmarkEnd w:id="437"/>
      <w:bookmarkEnd w:id="438"/>
      <w:bookmarkEnd w:id="439"/>
    </w:p>
    <w:p>
      <w:pPr>
        <w:spacing w:line="560" w:lineRule="exact"/>
        <w:ind w:firstLine="480" w:firstLineChars="200"/>
        <w:rPr>
          <w:rFonts w:hint="eastAsia" w:ascii="仿宋" w:hAnsi="仿宋" w:eastAsia="仿宋" w:cs="仿宋"/>
          <w:color w:val="auto"/>
          <w:highlight w:val="none"/>
        </w:rPr>
      </w:pPr>
      <w:bookmarkStart w:id="440" w:name="_Ref467379657"/>
      <w:r>
        <w:rPr>
          <w:rFonts w:hint="eastAsia" w:ascii="仿宋" w:hAnsi="仿宋" w:eastAsia="仿宋" w:cs="仿宋"/>
          <w:color w:val="auto"/>
          <w:highlight w:val="none"/>
        </w:rPr>
        <w:t>2.5.1</w:t>
      </w:r>
      <w:bookmarkEnd w:id="440"/>
      <w:bookmarkStart w:id="441" w:name="_Toc186431854"/>
      <w:bookmarkStart w:id="442" w:name="_Ref467379807"/>
      <w:bookmarkStart w:id="443" w:name="_Toc279701247"/>
      <w:bookmarkStart w:id="444" w:name="_Toc487900357"/>
      <w:bookmarkStart w:id="445" w:name="_Toc259093676"/>
      <w:bookmarkStart w:id="446" w:name="_Ref467379793"/>
      <w:r>
        <w:rPr>
          <w:rFonts w:hint="eastAsia" w:ascii="仿宋" w:hAnsi="仿宋" w:eastAsia="仿宋" w:cs="仿宋"/>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2.5.2 合同履行期间，甲方有权将履行过程中出现的问题反馈给乙方，双方当事人应以书面形式约定需要完善和改进的内容</w:t>
      </w:r>
      <w:bookmarkEnd w:id="441"/>
      <w:bookmarkStart w:id="447" w:name="_Toc186431855"/>
      <w:r>
        <w:rPr>
          <w:rFonts w:hint="eastAsia" w:ascii="仿宋" w:hAnsi="仿宋" w:eastAsia="仿宋" w:cs="仿宋"/>
          <w:color w:val="auto"/>
          <w:highlight w:val="none"/>
        </w:rPr>
        <w:t>。</w:t>
      </w:r>
    </w:p>
    <w:bookmarkEnd w:id="442"/>
    <w:bookmarkEnd w:id="443"/>
    <w:bookmarkEnd w:id="444"/>
    <w:bookmarkEnd w:id="445"/>
    <w:bookmarkEnd w:id="446"/>
    <w:bookmarkEnd w:id="447"/>
    <w:p>
      <w:pPr>
        <w:pStyle w:val="4"/>
        <w:rPr>
          <w:rFonts w:hint="eastAsia" w:ascii="仿宋" w:hAnsi="仿宋" w:eastAsia="仿宋" w:cs="仿宋"/>
          <w:color w:val="auto"/>
          <w:highlight w:val="none"/>
        </w:rPr>
      </w:pPr>
      <w:bookmarkStart w:id="448" w:name="_Ref467379863"/>
      <w:bookmarkStart w:id="449" w:name="_Ref467379923"/>
      <w:bookmarkStart w:id="450" w:name="_Toc279701248"/>
      <w:bookmarkStart w:id="451" w:name="_Ref467379852"/>
      <w:bookmarkStart w:id="452" w:name="_Toc259093677"/>
      <w:bookmarkStart w:id="453" w:name="_Toc487900358"/>
      <w:bookmarkStart w:id="454" w:name="_Toc16110"/>
      <w:bookmarkStart w:id="455" w:name="_Toc3225"/>
      <w:bookmarkStart w:id="456" w:name="_Toc774"/>
      <w:r>
        <w:rPr>
          <w:rFonts w:hint="eastAsia" w:ascii="仿宋" w:hAnsi="仿宋" w:eastAsia="仿宋" w:cs="仿宋"/>
          <w:color w:val="auto"/>
          <w:highlight w:val="none"/>
        </w:rPr>
        <w:t>2.6 技术资料</w:t>
      </w:r>
      <w:bookmarkEnd w:id="448"/>
      <w:bookmarkEnd w:id="449"/>
      <w:bookmarkEnd w:id="450"/>
      <w:bookmarkEnd w:id="451"/>
      <w:bookmarkEnd w:id="452"/>
      <w:bookmarkEnd w:id="453"/>
      <w:r>
        <w:rPr>
          <w:rFonts w:hint="eastAsia" w:ascii="仿宋" w:hAnsi="仿宋" w:eastAsia="仿宋" w:cs="仿宋"/>
          <w:color w:val="auto"/>
          <w:highlight w:val="none"/>
        </w:rPr>
        <w:t>和保密义务</w:t>
      </w:r>
      <w:bookmarkEnd w:id="454"/>
      <w:bookmarkEnd w:id="455"/>
      <w:bookmarkEnd w:id="456"/>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rPr>
          <w:rFonts w:hint="eastAsia" w:ascii="仿宋" w:hAnsi="仿宋" w:eastAsia="仿宋" w:cs="仿宋"/>
          <w:color w:val="auto"/>
          <w:highlight w:val="none"/>
        </w:rPr>
      </w:pPr>
      <w:bookmarkStart w:id="457" w:name="_Toc7860"/>
      <w:r>
        <w:rPr>
          <w:rFonts w:hint="eastAsia" w:ascii="仿宋" w:hAnsi="仿宋" w:eastAsia="仿宋" w:cs="仿宋"/>
          <w:color w:val="auto"/>
          <w:highlight w:val="none"/>
        </w:rPr>
        <w:t>2.7 质量保证</w:t>
      </w:r>
      <w:bookmarkEnd w:id="457"/>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2.7.2 乙方应保证履行合同的人员数量和素质、软件和硬件设备的配置、场地、环境和设施等满足全面履行合同的要求，并应接受甲方的监督检查。</w:t>
      </w:r>
    </w:p>
    <w:p>
      <w:pPr>
        <w:pStyle w:val="4"/>
        <w:rPr>
          <w:rFonts w:hint="eastAsia" w:ascii="仿宋" w:hAnsi="仿宋" w:eastAsia="仿宋" w:cs="仿宋"/>
          <w:color w:val="auto"/>
          <w:highlight w:val="none"/>
        </w:rPr>
      </w:pPr>
      <w:bookmarkStart w:id="458" w:name="_Toc17244"/>
      <w:bookmarkStart w:id="459" w:name="_Toc259093681"/>
      <w:bookmarkStart w:id="460" w:name="_Toc279701252"/>
      <w:bookmarkStart w:id="461" w:name="_Toc487900362"/>
      <w:r>
        <w:rPr>
          <w:rFonts w:hint="eastAsia" w:ascii="仿宋" w:hAnsi="仿宋" w:eastAsia="仿宋" w:cs="仿宋"/>
          <w:color w:val="auto"/>
          <w:highlight w:val="none"/>
        </w:rPr>
        <w:t>2.8 货物的风险负担</w:t>
      </w:r>
      <w:bookmarkEnd w:id="458"/>
    </w:p>
    <w:p>
      <w:pPr>
        <w:spacing w:line="560" w:lineRule="exact"/>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货物或者在途货物或者交付给第一承运人后的货物毁损、灭失的风险负担详见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4"/>
        <w:rPr>
          <w:rFonts w:hint="eastAsia" w:ascii="仿宋" w:hAnsi="仿宋" w:eastAsia="仿宋" w:cs="仿宋"/>
          <w:color w:val="auto"/>
          <w:highlight w:val="none"/>
        </w:rPr>
      </w:pPr>
      <w:bookmarkStart w:id="462" w:name="_Toc14055"/>
      <w:r>
        <w:rPr>
          <w:rFonts w:hint="eastAsia" w:ascii="仿宋" w:hAnsi="仿宋" w:eastAsia="仿宋" w:cs="仿宋"/>
          <w:color w:val="auto"/>
          <w:highlight w:val="none"/>
        </w:rPr>
        <w:t>2.9 延迟交货</w:t>
      </w:r>
      <w:bookmarkEnd w:id="459"/>
      <w:bookmarkEnd w:id="460"/>
      <w:bookmarkEnd w:id="461"/>
      <w:bookmarkEnd w:id="462"/>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4"/>
        <w:rPr>
          <w:rFonts w:hint="eastAsia" w:ascii="仿宋" w:hAnsi="仿宋" w:eastAsia="仿宋" w:cs="仿宋"/>
          <w:color w:val="auto"/>
          <w:highlight w:val="none"/>
        </w:rPr>
      </w:pPr>
      <w:bookmarkStart w:id="463" w:name="_Toc7502"/>
      <w:bookmarkStart w:id="464" w:name="_Ref467378121"/>
      <w:bookmarkStart w:id="465" w:name="_Toc487900364"/>
      <w:bookmarkStart w:id="466" w:name="_Toc279701254"/>
      <w:bookmarkStart w:id="467" w:name="_Toc259093683"/>
      <w:r>
        <w:rPr>
          <w:rFonts w:hint="eastAsia" w:ascii="仿宋" w:hAnsi="仿宋" w:eastAsia="仿宋" w:cs="仿宋"/>
          <w:color w:val="auto"/>
          <w:highlight w:val="none"/>
        </w:rPr>
        <w:t>2.10 合同变更</w:t>
      </w:r>
      <w:bookmarkEnd w:id="463"/>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合同继续履行将损害国家利益和社会公共利益的，双方当事人应当以书面形式变更合同。有过错的一方应当承担赔偿责任，双方当事人都有过错的，各自承担相应的责任。</w:t>
      </w:r>
      <w:bookmarkStart w:id="468" w:name="_Toc259093688"/>
      <w:bookmarkStart w:id="469" w:name="_Toc279701259"/>
      <w:bookmarkStart w:id="470" w:name="_Toc487900369"/>
    </w:p>
    <w:p>
      <w:pPr>
        <w:pStyle w:val="4"/>
        <w:rPr>
          <w:rFonts w:hint="eastAsia" w:ascii="仿宋" w:hAnsi="仿宋" w:eastAsia="仿宋" w:cs="仿宋"/>
          <w:color w:val="auto"/>
          <w:highlight w:val="none"/>
        </w:rPr>
      </w:pPr>
      <w:bookmarkStart w:id="471" w:name="_Toc22955"/>
      <w:bookmarkStart w:id="472" w:name="_Toc10366"/>
      <w:bookmarkStart w:id="473" w:name="_Toc15237"/>
      <w:r>
        <w:rPr>
          <w:rFonts w:hint="eastAsia" w:ascii="仿宋" w:hAnsi="仿宋" w:eastAsia="仿宋" w:cs="仿宋"/>
          <w:color w:val="auto"/>
          <w:highlight w:val="none"/>
        </w:rPr>
        <w:t>2.11 合同转让</w:t>
      </w:r>
      <w:bookmarkEnd w:id="468"/>
      <w:bookmarkEnd w:id="469"/>
      <w:bookmarkEnd w:id="470"/>
      <w:r>
        <w:rPr>
          <w:rFonts w:hint="eastAsia" w:ascii="仿宋" w:hAnsi="仿宋" w:eastAsia="仿宋" w:cs="仿宋"/>
          <w:color w:val="auto"/>
          <w:highlight w:val="none"/>
        </w:rPr>
        <w:t>和分包</w:t>
      </w:r>
      <w:bookmarkEnd w:id="471"/>
      <w:bookmarkEnd w:id="472"/>
      <w:bookmarkEnd w:id="473"/>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2.11.2乙方采取分包方式履行合同的，甲方可直接向分包供应商支付款项。</w:t>
      </w:r>
    </w:p>
    <w:p>
      <w:pPr>
        <w:pStyle w:val="4"/>
        <w:rPr>
          <w:rFonts w:hint="eastAsia" w:ascii="仿宋" w:hAnsi="仿宋" w:eastAsia="仿宋" w:cs="仿宋"/>
          <w:color w:val="auto"/>
          <w:highlight w:val="none"/>
        </w:rPr>
      </w:pPr>
      <w:bookmarkStart w:id="474" w:name="_Toc16508"/>
      <w:bookmarkStart w:id="475" w:name="_Toc14066"/>
      <w:bookmarkStart w:id="476" w:name="_Toc13566"/>
      <w:r>
        <w:rPr>
          <w:rFonts w:hint="eastAsia" w:ascii="仿宋" w:hAnsi="仿宋" w:eastAsia="仿宋" w:cs="仿宋"/>
          <w:color w:val="auto"/>
          <w:highlight w:val="none"/>
        </w:rPr>
        <w:t>2.12 不可抗力</w:t>
      </w:r>
      <w:bookmarkEnd w:id="474"/>
      <w:bookmarkEnd w:id="475"/>
      <w:bookmarkEnd w:id="476"/>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2.12.3 因不可抗力致使合同有变更必要的，双方当事人应在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约定时间内以书面形式变更合同；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2.12.4受不可抗力影响的一方在不可抗力发生后，应在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约定时间内以书面形式通知对方当事人，并在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约定时间内，将有关部门出具的证明文件送达对方当事人。</w:t>
      </w:r>
    </w:p>
    <w:p>
      <w:pPr>
        <w:pStyle w:val="4"/>
        <w:rPr>
          <w:rFonts w:hint="eastAsia" w:ascii="仿宋" w:hAnsi="仿宋" w:eastAsia="仿宋" w:cs="仿宋"/>
          <w:color w:val="auto"/>
          <w:highlight w:val="none"/>
        </w:rPr>
      </w:pPr>
      <w:bookmarkStart w:id="477" w:name="_Toc689"/>
      <w:bookmarkStart w:id="478" w:name="_Toc487900365"/>
      <w:bookmarkStart w:id="479" w:name="_Toc6969"/>
      <w:bookmarkStart w:id="480" w:name="_Toc279701255"/>
      <w:bookmarkStart w:id="481" w:name="_Toc30676"/>
      <w:bookmarkStart w:id="482" w:name="_Toc259093684"/>
      <w:r>
        <w:rPr>
          <w:rFonts w:hint="eastAsia" w:ascii="仿宋" w:hAnsi="仿宋" w:eastAsia="仿宋" w:cs="仿宋"/>
          <w:color w:val="auto"/>
          <w:highlight w:val="none"/>
        </w:rPr>
        <w:t>2.13 税费</w:t>
      </w:r>
      <w:bookmarkEnd w:id="477"/>
      <w:bookmarkEnd w:id="478"/>
      <w:bookmarkEnd w:id="479"/>
      <w:bookmarkEnd w:id="480"/>
      <w:bookmarkEnd w:id="481"/>
      <w:bookmarkEnd w:id="482"/>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与合同有关的一切税费，均按照中华人民共和国法律的相关规定。</w:t>
      </w:r>
    </w:p>
    <w:p>
      <w:pPr>
        <w:pStyle w:val="4"/>
        <w:rPr>
          <w:rFonts w:hint="eastAsia" w:ascii="仿宋" w:hAnsi="仿宋" w:eastAsia="仿宋" w:cs="仿宋"/>
          <w:color w:val="auto"/>
          <w:highlight w:val="none"/>
        </w:rPr>
      </w:pPr>
      <w:bookmarkStart w:id="483" w:name="_Toc16959"/>
      <w:bookmarkStart w:id="484" w:name="_Toc259093687"/>
      <w:bookmarkStart w:id="485" w:name="_Toc8298"/>
      <w:bookmarkStart w:id="486" w:name="_Toc279701258"/>
      <w:bookmarkStart w:id="487" w:name="_Toc7102"/>
      <w:bookmarkStart w:id="488" w:name="_Toc487900368"/>
      <w:r>
        <w:rPr>
          <w:rFonts w:hint="eastAsia" w:ascii="仿宋" w:hAnsi="仿宋" w:eastAsia="仿宋" w:cs="仿宋"/>
          <w:color w:val="auto"/>
          <w:highlight w:val="none"/>
        </w:rPr>
        <w:t>2.14乙方破产</w:t>
      </w:r>
      <w:bookmarkEnd w:id="483"/>
      <w:bookmarkEnd w:id="484"/>
      <w:bookmarkEnd w:id="485"/>
      <w:bookmarkEnd w:id="486"/>
      <w:bookmarkEnd w:id="487"/>
      <w:bookmarkEnd w:id="488"/>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rPr>
          <w:rFonts w:hint="eastAsia" w:ascii="仿宋" w:hAnsi="仿宋" w:eastAsia="仿宋" w:cs="仿宋"/>
          <w:color w:val="auto"/>
          <w:highlight w:val="none"/>
        </w:rPr>
      </w:pPr>
      <w:bookmarkStart w:id="489" w:name="_Toc15387"/>
      <w:bookmarkStart w:id="490" w:name="_Toc29333"/>
      <w:bookmarkStart w:id="491" w:name="_Toc6134"/>
      <w:r>
        <w:rPr>
          <w:rFonts w:hint="eastAsia" w:ascii="仿宋" w:hAnsi="仿宋" w:eastAsia="仿宋" w:cs="仿宋"/>
          <w:color w:val="auto"/>
          <w:highlight w:val="none"/>
        </w:rPr>
        <w:t>2.15 合同中止、终止</w:t>
      </w:r>
      <w:bookmarkEnd w:id="489"/>
      <w:bookmarkEnd w:id="490"/>
      <w:bookmarkEnd w:id="491"/>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2.15.1 双方当事人不得擅自中止或者终止合同；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2.15.2合同继续履行将损害国家利益和社会公共利益的，双方当事人应当中止或者终止合同。有过错的一方应当承担赔偿责任，双方当事人都有过错的，各自承担相应的责任。</w:t>
      </w:r>
    </w:p>
    <w:p>
      <w:pPr>
        <w:pStyle w:val="4"/>
        <w:rPr>
          <w:rFonts w:hint="eastAsia" w:ascii="仿宋" w:hAnsi="仿宋" w:eastAsia="仿宋" w:cs="仿宋"/>
          <w:color w:val="auto"/>
          <w:highlight w:val="none"/>
        </w:rPr>
      </w:pPr>
      <w:bookmarkStart w:id="492" w:name="_Toc14563"/>
      <w:bookmarkStart w:id="493" w:name="_Toc1125"/>
      <w:bookmarkStart w:id="494" w:name="_Toc6596"/>
      <w:r>
        <w:rPr>
          <w:rFonts w:hint="eastAsia" w:ascii="仿宋" w:hAnsi="仿宋" w:eastAsia="仿宋" w:cs="仿宋"/>
          <w:color w:val="auto"/>
          <w:highlight w:val="none"/>
        </w:rPr>
        <w:t>2.16检验和验收</w:t>
      </w:r>
      <w:bookmarkEnd w:id="492"/>
      <w:bookmarkEnd w:id="493"/>
      <w:bookmarkEnd w:id="494"/>
    </w:p>
    <w:p>
      <w:pPr>
        <w:tabs>
          <w:tab w:val="left" w:pos="360"/>
          <w:tab w:val="left" w:pos="540"/>
          <w:tab w:val="left" w:pos="1080"/>
        </w:tabs>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2.16.3 检验和验收标准、程序等具体内容以及前述验收书的效力详见</w:t>
      </w:r>
      <w:r>
        <w:rPr>
          <w:rFonts w:hint="eastAsia" w:ascii="仿宋" w:hAnsi="仿宋" w:eastAsia="仿宋" w:cs="仿宋"/>
          <w:b/>
          <w:i/>
          <w:color w:val="auto"/>
          <w:highlight w:val="none"/>
          <w:u w:val="single"/>
        </w:rPr>
        <w:t>合同专用条款</w:t>
      </w:r>
      <w:r>
        <w:rPr>
          <w:rFonts w:hint="eastAsia" w:ascii="仿宋" w:hAnsi="仿宋" w:eastAsia="仿宋" w:cs="仿宋"/>
          <w:i/>
          <w:color w:val="auto"/>
          <w:highlight w:val="none"/>
        </w:rPr>
        <w:t>。</w:t>
      </w:r>
    </w:p>
    <w:bookmarkEnd w:id="464"/>
    <w:bookmarkEnd w:id="465"/>
    <w:bookmarkEnd w:id="466"/>
    <w:bookmarkEnd w:id="467"/>
    <w:p>
      <w:pPr>
        <w:pStyle w:val="4"/>
        <w:rPr>
          <w:rFonts w:hint="eastAsia" w:ascii="仿宋" w:hAnsi="仿宋" w:eastAsia="仿宋" w:cs="仿宋"/>
          <w:color w:val="auto"/>
          <w:highlight w:val="none"/>
        </w:rPr>
      </w:pPr>
      <w:bookmarkStart w:id="495" w:name="_Toc279701261"/>
      <w:bookmarkStart w:id="496" w:name="_Toc259093690"/>
      <w:bookmarkStart w:id="497" w:name="_Toc487900371"/>
      <w:bookmarkStart w:id="498" w:name="_Toc11284"/>
      <w:bookmarkStart w:id="499" w:name="_Toc25182"/>
      <w:bookmarkStart w:id="500" w:name="_Toc19604"/>
      <w:r>
        <w:rPr>
          <w:rFonts w:hint="eastAsia" w:ascii="仿宋" w:hAnsi="仿宋" w:eastAsia="仿宋" w:cs="仿宋"/>
          <w:color w:val="auto"/>
          <w:highlight w:val="none"/>
        </w:rPr>
        <w:t>2.17 通知</w:t>
      </w:r>
      <w:bookmarkEnd w:id="495"/>
      <w:bookmarkEnd w:id="496"/>
      <w:bookmarkEnd w:id="497"/>
      <w:r>
        <w:rPr>
          <w:rFonts w:hint="eastAsia" w:ascii="仿宋" w:hAnsi="仿宋" w:eastAsia="仿宋" w:cs="仿宋"/>
          <w:color w:val="auto"/>
          <w:highlight w:val="none"/>
        </w:rPr>
        <w:t>和送达</w:t>
      </w:r>
      <w:bookmarkEnd w:id="498"/>
      <w:bookmarkEnd w:id="499"/>
      <w:bookmarkEnd w:id="500"/>
    </w:p>
    <w:p>
      <w:pPr>
        <w:spacing w:line="560" w:lineRule="exact"/>
        <w:ind w:firstLine="480" w:firstLineChars="200"/>
        <w:rPr>
          <w:rFonts w:hint="eastAsia" w:ascii="仿宋" w:hAnsi="仿宋" w:eastAsia="仿宋" w:cs="仿宋"/>
          <w:color w:val="auto"/>
          <w:highlight w:val="none"/>
        </w:rPr>
      </w:pPr>
      <w:bookmarkStart w:id="501" w:name="_Toc3135"/>
      <w:bookmarkStart w:id="502" w:name="_Toc6698"/>
      <w:bookmarkStart w:id="503" w:name="_Toc259093691"/>
      <w:bookmarkStart w:id="504" w:name="_Toc279701262"/>
      <w:bookmarkStart w:id="505" w:name="_Toc487900372"/>
      <w:r>
        <w:rPr>
          <w:rFonts w:hint="eastAsia" w:ascii="仿宋" w:hAnsi="仿宋" w:eastAsia="仿宋" w:cs="仿宋"/>
          <w:color w:val="auto"/>
          <w:highlight w:val="none"/>
        </w:rPr>
        <w:t xml:space="preserve">2.17.1任何一方因履行合同而以合同第一部分尾部所列明的传真或电子邮件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发出的所有通知、文件、材料，均视为已向对方当事人送达；任何一方变更上述送达方式或者地址的，应于</w:t>
      </w:r>
      <w:r>
        <w:rPr>
          <w:rFonts w:hint="eastAsia" w:ascii="仿宋" w:hAnsi="仿宋" w:eastAsia="仿宋" w:cs="仿宋"/>
          <w:color w:val="auto"/>
          <w:highlight w:val="none"/>
          <w:u w:val="single"/>
        </w:rPr>
        <w:t>3</w:t>
      </w:r>
      <w:r>
        <w:rPr>
          <w:rFonts w:hint="eastAsia" w:ascii="仿宋" w:hAnsi="仿宋" w:eastAsia="仿宋" w:cs="仿宋"/>
          <w:color w:val="auto"/>
          <w:highlight w:val="none"/>
        </w:rPr>
        <w:t>个工作日内书面通知对方当事人，在对方当事人收到有关变更通知之前，变更前的约定送达方式或者地址仍视为有效。</w:t>
      </w:r>
      <w:bookmarkEnd w:id="501"/>
      <w:bookmarkEnd w:id="502"/>
    </w:p>
    <w:p>
      <w:pPr>
        <w:spacing w:line="560" w:lineRule="exact"/>
        <w:ind w:firstLine="480" w:firstLineChars="200"/>
        <w:rPr>
          <w:rFonts w:hint="eastAsia" w:ascii="仿宋" w:hAnsi="仿宋" w:eastAsia="仿宋" w:cs="仿宋"/>
          <w:color w:val="auto"/>
          <w:highlight w:val="none"/>
        </w:rPr>
      </w:pPr>
      <w:bookmarkStart w:id="506" w:name="_Toc23294"/>
      <w:bookmarkStart w:id="507" w:name="_Toc23128"/>
      <w:r>
        <w:rPr>
          <w:rFonts w:hint="eastAsia" w:ascii="仿宋" w:hAnsi="仿宋" w:eastAsia="仿宋" w:cs="仿宋"/>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pPr>
        <w:pStyle w:val="4"/>
        <w:rPr>
          <w:rFonts w:hint="eastAsia" w:ascii="仿宋" w:hAnsi="仿宋" w:eastAsia="仿宋" w:cs="仿宋"/>
          <w:color w:val="auto"/>
          <w:highlight w:val="none"/>
        </w:rPr>
      </w:pPr>
      <w:bookmarkStart w:id="508" w:name="_Toc4355"/>
      <w:bookmarkStart w:id="509" w:name="_Toc18540"/>
      <w:bookmarkStart w:id="510" w:name="_Toc30599"/>
      <w:r>
        <w:rPr>
          <w:rFonts w:hint="eastAsia" w:ascii="仿宋" w:hAnsi="仿宋" w:eastAsia="仿宋" w:cs="仿宋"/>
          <w:color w:val="auto"/>
          <w:highlight w:val="none"/>
        </w:rPr>
        <w:t>2.18 计量单位</w:t>
      </w:r>
      <w:bookmarkEnd w:id="503"/>
      <w:bookmarkEnd w:id="504"/>
      <w:bookmarkEnd w:id="505"/>
      <w:bookmarkEnd w:id="508"/>
      <w:bookmarkEnd w:id="509"/>
      <w:bookmarkEnd w:id="510"/>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除技术规范中另有规定外,合同的计量单位均使用国家法定计量单位。</w:t>
      </w:r>
    </w:p>
    <w:p>
      <w:pPr>
        <w:pStyle w:val="4"/>
        <w:rPr>
          <w:rFonts w:hint="eastAsia" w:ascii="仿宋" w:hAnsi="仿宋" w:eastAsia="仿宋" w:cs="仿宋"/>
          <w:color w:val="auto"/>
          <w:highlight w:val="none"/>
        </w:rPr>
      </w:pPr>
      <w:bookmarkStart w:id="511" w:name="_Toc279701263"/>
      <w:bookmarkStart w:id="512" w:name="_Toc12773"/>
      <w:bookmarkStart w:id="513" w:name="_Toc18567"/>
      <w:bookmarkStart w:id="514" w:name="_Toc487900373"/>
      <w:bookmarkStart w:id="515" w:name="_Toc10330"/>
      <w:bookmarkStart w:id="516" w:name="_Toc259093692"/>
      <w:r>
        <w:rPr>
          <w:rFonts w:hint="eastAsia" w:ascii="仿宋" w:hAnsi="仿宋" w:eastAsia="仿宋" w:cs="仿宋"/>
          <w:color w:val="auto"/>
          <w:highlight w:val="none"/>
        </w:rPr>
        <w:t>2.19 合同使用的文字和适用的法律</w:t>
      </w:r>
      <w:bookmarkEnd w:id="511"/>
      <w:bookmarkEnd w:id="512"/>
      <w:bookmarkEnd w:id="513"/>
      <w:bookmarkEnd w:id="514"/>
      <w:bookmarkEnd w:id="515"/>
      <w:bookmarkEnd w:id="516"/>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2.19.1 合同使用汉语书就、变更和解释；</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2.19.2 合同适用中华人民共和国法律。</w:t>
      </w:r>
    </w:p>
    <w:p>
      <w:pPr>
        <w:pStyle w:val="4"/>
        <w:rPr>
          <w:rFonts w:hint="eastAsia" w:ascii="仿宋" w:hAnsi="仿宋" w:eastAsia="仿宋" w:cs="仿宋"/>
          <w:color w:val="auto"/>
          <w:highlight w:val="none"/>
        </w:rPr>
      </w:pPr>
      <w:bookmarkStart w:id="517" w:name="_Toc12004"/>
      <w:bookmarkStart w:id="518" w:name="_Toc279701264"/>
      <w:bookmarkStart w:id="519" w:name="_Toc16673"/>
      <w:bookmarkStart w:id="520" w:name="_Toc3148"/>
      <w:bookmarkStart w:id="521" w:name="_Toc259093693"/>
      <w:bookmarkStart w:id="522" w:name="_Toc487900374"/>
      <w:r>
        <w:rPr>
          <w:rFonts w:hint="eastAsia" w:ascii="仿宋" w:hAnsi="仿宋" w:eastAsia="仿宋" w:cs="仿宋"/>
          <w:color w:val="auto"/>
          <w:highlight w:val="none"/>
        </w:rPr>
        <w:t>2.20 履约保证金</w:t>
      </w:r>
      <w:bookmarkEnd w:id="517"/>
      <w:bookmarkEnd w:id="518"/>
      <w:bookmarkEnd w:id="519"/>
      <w:bookmarkEnd w:id="520"/>
      <w:bookmarkEnd w:id="521"/>
    </w:p>
    <w:p>
      <w:pPr>
        <w:pStyle w:val="69"/>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2.20.2  甲方在项目验收结束后及时退还履约保证金。甲方在项目通过验收之日起</w:t>
      </w:r>
      <w:r>
        <w:rPr>
          <w:rFonts w:hint="eastAsia" w:ascii="仿宋" w:hAnsi="仿宋" w:eastAsia="仿宋" w:cs="仿宋"/>
          <w:color w:val="auto"/>
          <w:highlight w:val="none"/>
          <w:u w:val="single"/>
        </w:rPr>
        <w:t xml:space="preserve"> 5 </w:t>
      </w:r>
      <w:r>
        <w:rPr>
          <w:rFonts w:hint="eastAsia" w:ascii="仿宋" w:hAnsi="仿宋" w:eastAsia="仿宋" w:cs="仿宋"/>
          <w:color w:val="auto"/>
          <w:highlight w:val="none"/>
        </w:rPr>
        <w:t>个工作日内，按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%计算，最高限额为本合同履约保证金的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 xml:space="preserve">%； </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2.20.5甲方在乙方履行完合同约定义务事项后及时退还，延迟退还的，应当按照合同约定和法律规定承担相应的赔偿责任。</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2.21对于因甲方原因导致变更、中止或者终止政府采购合同的，甲方应当依照合同约定对供应商受到的损失予以赔偿或者补偿。</w:t>
      </w:r>
    </w:p>
    <w:bookmarkEnd w:id="522"/>
    <w:p>
      <w:pPr>
        <w:pStyle w:val="4"/>
        <w:rPr>
          <w:rFonts w:hint="eastAsia" w:ascii="仿宋" w:hAnsi="仿宋" w:eastAsia="仿宋" w:cs="仿宋"/>
          <w:color w:val="auto"/>
          <w:highlight w:val="none"/>
        </w:rPr>
      </w:pPr>
      <w:bookmarkStart w:id="523" w:name="_Toc6885"/>
      <w:bookmarkStart w:id="524" w:name="_Toc19890"/>
      <w:bookmarkStart w:id="525" w:name="_Toc14001"/>
      <w:r>
        <w:rPr>
          <w:rFonts w:hint="eastAsia" w:ascii="仿宋" w:hAnsi="仿宋" w:eastAsia="仿宋" w:cs="仿宋"/>
          <w:color w:val="auto"/>
          <w:highlight w:val="none"/>
        </w:rPr>
        <w:t>2.22合同份数</w:t>
      </w:r>
      <w:bookmarkEnd w:id="523"/>
      <w:bookmarkEnd w:id="524"/>
      <w:bookmarkEnd w:id="525"/>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合同份数按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规定，每份均具有同等法律效力。</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第三部分  合同专用条款</w:t>
      </w:r>
    </w:p>
    <w:p>
      <w:pPr>
        <w:spacing w:line="560" w:lineRule="exact"/>
        <w:ind w:left="-480" w:leftChars="-200" w:right="-480" w:rightChars="-20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条款号</w:t>
            </w:r>
          </w:p>
        </w:tc>
        <w:tc>
          <w:tcPr>
            <w:tcW w:w="4534" w:type="pct"/>
            <w:vAlign w:val="center"/>
          </w:tcPr>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1.4.4</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1.5.1 </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1.5.2</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1.5.3 </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1.6.7</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1.7.1</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1.7.2</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2.3.2</w:t>
            </w:r>
          </w:p>
        </w:tc>
        <w:tc>
          <w:tcPr>
            <w:tcW w:w="4534" w:type="pct"/>
            <w:vAlign w:val="center"/>
          </w:tcPr>
          <w:p>
            <w:pPr>
              <w:spacing w:line="360" w:lineRule="auto"/>
              <w:ind w:left="-480" w:leftChars="-200" w:right="-480" w:rightChars="-200" w:firstLine="480" w:firstLineChars="20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2.4.1</w:t>
            </w:r>
          </w:p>
        </w:tc>
        <w:tc>
          <w:tcPr>
            <w:tcW w:w="4534" w:type="pct"/>
            <w:vAlign w:val="center"/>
          </w:tcPr>
          <w:p>
            <w:pPr>
              <w:spacing w:line="360" w:lineRule="auto"/>
              <w:ind w:left="-480" w:leftChars="-200" w:right="-480" w:rightChars="-200" w:firstLine="480" w:firstLineChars="20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2.4.2</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2.8 </w:t>
            </w:r>
          </w:p>
        </w:tc>
        <w:tc>
          <w:tcPr>
            <w:tcW w:w="4534" w:type="pct"/>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2.12.3</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2.12.4</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2.16.1</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2.16.3</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2.20.1</w:t>
            </w:r>
          </w:p>
        </w:tc>
        <w:tc>
          <w:tcPr>
            <w:tcW w:w="4534" w:type="pct"/>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2.20.2 </w:t>
            </w:r>
          </w:p>
        </w:tc>
        <w:tc>
          <w:tcPr>
            <w:tcW w:w="4534" w:type="pct"/>
            <w:vAlign w:val="center"/>
          </w:tcPr>
          <w:p>
            <w:pPr>
              <w:spacing w:line="360" w:lineRule="auto"/>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2.22 </w:t>
            </w:r>
          </w:p>
        </w:tc>
        <w:tc>
          <w:tcPr>
            <w:tcW w:w="4534" w:type="pct"/>
            <w:vAlign w:val="center"/>
          </w:tcPr>
          <w:p>
            <w:pPr>
              <w:spacing w:line="360" w:lineRule="auto"/>
              <w:rPr>
                <w:rFonts w:hint="eastAsia" w:ascii="仿宋" w:hAnsi="仿宋" w:eastAsia="仿宋" w:cs="仿宋"/>
                <w:color w:val="auto"/>
                <w:highlight w:val="none"/>
              </w:rPr>
            </w:pPr>
          </w:p>
        </w:tc>
      </w:tr>
    </w:tbl>
    <w:p>
      <w:pPr>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第六部分 应提交的有关格式范例</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pPr>
        <w:jc w:val="center"/>
        <w:rPr>
          <w:rFonts w:hint="eastAsia" w:ascii="仿宋" w:hAnsi="仿宋" w:eastAsia="仿宋" w:cs="仿宋"/>
          <w:b/>
          <w:color w:val="auto"/>
          <w:sz w:val="40"/>
          <w:highlight w:val="none"/>
        </w:rPr>
      </w:pPr>
      <w:r>
        <w:rPr>
          <w:rFonts w:hint="eastAsia" w:ascii="仿宋" w:hAnsi="仿宋" w:eastAsia="仿宋" w:cs="仿宋"/>
          <w:b/>
          <w:color w:val="auto"/>
          <w:sz w:val="40"/>
          <w:highlight w:val="none"/>
        </w:rPr>
        <w:t>目录</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（3）本项目的特定资格要求………………………………………………（页码）</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 符合参加政府采购活动应当具备的一般条件的承诺函</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snapToGrid w:val="0"/>
        <w:spacing w:line="360" w:lineRule="auto"/>
        <w:ind w:right="480"/>
        <w:jc w:val="center"/>
        <w:rPr>
          <w:rFonts w:hint="eastAsia" w:ascii="仿宋" w:hAnsi="仿宋" w:eastAsia="仿宋" w:cs="仿宋"/>
          <w:b/>
          <w:color w:val="auto"/>
          <w:sz w:val="32"/>
          <w:szCs w:val="32"/>
          <w:highlight w:val="none"/>
        </w:rPr>
      </w:pPr>
    </w:p>
    <w:p>
      <w:pPr>
        <w:pStyle w:val="2"/>
        <w:rPr>
          <w:rFonts w:hint="eastAsia" w:ascii="仿宋" w:hAnsi="仿宋" w:eastAsia="仿宋" w:cs="仿宋"/>
          <w:color w:val="auto"/>
          <w:highlight w:val="none"/>
        </w:rPr>
      </w:pPr>
      <w:r>
        <w:rPr>
          <w:rFonts w:hint="eastAsia" w:ascii="仿宋" w:hAnsi="仿宋" w:eastAsia="仿宋" w:cs="仿宋"/>
          <w:color w:val="auto"/>
          <w:highlight w:val="none"/>
        </w:rPr>
        <w:t>二、落实政府采购政策需满足的资格要求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（根据招标公告落实政府采购政策需满足的资格要求选择提供相应的材料；未要求的，无需提供）</w:t>
      </w:r>
    </w:p>
    <w:p>
      <w:pPr>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 xml:space="preserve">.专门面向中小企业，货物全部由符合政策要求的中小企业（或小微企业）制造或者服务全部由符合政策要求的中小企业（或小微企业）承接的，提供相应的中小企业声明函（附件5）。 </w:t>
      </w:r>
    </w:p>
    <w:p>
      <w:pPr>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联合协议</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分包意向协议</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highlight w:val="none"/>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    日期：  年  月   日</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三、本项目的特定资格要求</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（根据招标公告本项目的特定资格要求提供相应的材料；未要求的，无需提供）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（1）投标函……………………………………………………………………（页码）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（6）评标标准相应的商务技术资料……………………………………………（页码</w:t>
      </w:r>
      <w:r>
        <w:rPr>
          <w:rFonts w:hint="eastAsia" w:ascii="仿宋" w:hAnsi="仿宋" w:eastAsia="仿宋" w:cs="仿宋"/>
          <w:color w:val="auto"/>
          <w:highlight w:val="none"/>
          <w:lang w:eastAsia="zh-CN"/>
        </w:rPr>
        <w:t>）</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（7）投标标的清单………………………………………………………………（页码）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（8）商务技术偏离表……………………………………………………………（页码）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一、投标函</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我方参加你方组织的（项目名称）【招标编号：（采购编号）】招标的有关活动，并对此项目进行投标。为此：</w:t>
      </w:r>
    </w:p>
    <w:p>
      <w:pPr>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pPr>
        <w:rPr>
          <w:rFonts w:hint="eastAsia" w:ascii="仿宋" w:hAnsi="仿宋" w:eastAsia="仿宋" w:cs="仿宋"/>
          <w:color w:val="auto"/>
          <w:highlight w:val="none"/>
        </w:rPr>
      </w:pPr>
      <w:r>
        <w:rPr>
          <w:rFonts w:hint="eastAsia" w:ascii="仿宋" w:hAnsi="仿宋" w:eastAsia="仿宋" w:cs="仿宋"/>
          <w:color w:val="auto"/>
          <w:highlight w:val="none"/>
        </w:rPr>
        <w:t>2.1资格文件：</w:t>
      </w:r>
    </w:p>
    <w:p>
      <w:pPr>
        <w:rPr>
          <w:rFonts w:hint="eastAsia" w:ascii="仿宋" w:hAnsi="仿宋" w:eastAsia="仿宋" w:cs="仿宋"/>
          <w:color w:val="auto"/>
          <w:highlight w:val="none"/>
        </w:rPr>
      </w:pPr>
      <w:r>
        <w:rPr>
          <w:rFonts w:hint="eastAsia" w:ascii="仿宋" w:hAnsi="仿宋" w:eastAsia="仿宋" w:cs="仿宋"/>
          <w:color w:val="auto"/>
          <w:highlight w:val="none"/>
        </w:rPr>
        <w:t>2.1.1承诺函；</w:t>
      </w:r>
    </w:p>
    <w:p>
      <w:pPr>
        <w:rPr>
          <w:rFonts w:hint="eastAsia" w:ascii="仿宋" w:hAnsi="仿宋" w:eastAsia="仿宋" w:cs="仿宋"/>
          <w:color w:val="auto"/>
          <w:highlight w:val="none"/>
        </w:rPr>
      </w:pPr>
      <w:r>
        <w:rPr>
          <w:rFonts w:hint="eastAsia" w:ascii="仿宋" w:hAnsi="仿宋" w:eastAsia="仿宋" w:cs="仿宋"/>
          <w:color w:val="auto"/>
          <w:highlight w:val="none"/>
        </w:rPr>
        <w:t>2.1.2落实政府采购政策需满足的资格要求（如果有）；</w:t>
      </w:r>
    </w:p>
    <w:p>
      <w:pPr>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商务技术</w:t>
      </w:r>
      <w:r>
        <w:rPr>
          <w:rFonts w:hint="eastAsia" w:ascii="仿宋" w:hAnsi="仿宋" w:eastAsia="仿宋" w:cs="仿宋"/>
          <w:color w:val="auto"/>
          <w:highlight w:val="none"/>
          <w:lang w:val="zh-CN"/>
        </w:rPr>
        <w:t>文件：</w:t>
      </w:r>
    </w:p>
    <w:p>
      <w:pPr>
        <w:rPr>
          <w:rFonts w:hint="eastAsia" w:ascii="仿宋" w:hAnsi="仿宋" w:eastAsia="仿宋" w:cs="仿宋"/>
          <w:color w:val="auto"/>
          <w:highlight w:val="none"/>
        </w:rPr>
      </w:pPr>
      <w:r>
        <w:rPr>
          <w:rFonts w:hint="eastAsia" w:ascii="仿宋" w:hAnsi="仿宋" w:eastAsia="仿宋" w:cs="仿宋"/>
          <w:color w:val="auto"/>
          <w:highlight w:val="none"/>
        </w:rPr>
        <w:t>2.2.1投标函；</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pPr>
        <w:rPr>
          <w:rFonts w:hint="eastAsia" w:ascii="仿宋" w:hAnsi="仿宋" w:eastAsia="仿宋" w:cs="仿宋"/>
          <w:color w:val="auto"/>
          <w:highlight w:val="none"/>
        </w:rPr>
      </w:pPr>
      <w:r>
        <w:rPr>
          <w:rFonts w:hint="eastAsia" w:ascii="仿宋" w:hAnsi="仿宋" w:eastAsia="仿宋" w:cs="仿宋"/>
          <w:color w:val="auto"/>
          <w:highlight w:val="none"/>
        </w:rPr>
        <w:t>2.2.3联合协议（如果有）；</w:t>
      </w:r>
    </w:p>
    <w:p>
      <w:pPr>
        <w:rPr>
          <w:rFonts w:hint="eastAsia" w:ascii="仿宋" w:hAnsi="仿宋" w:eastAsia="仿宋" w:cs="仿宋"/>
          <w:color w:val="auto"/>
          <w:highlight w:val="none"/>
        </w:rPr>
      </w:pPr>
      <w:r>
        <w:rPr>
          <w:rFonts w:hint="eastAsia" w:ascii="仿宋" w:hAnsi="仿宋" w:eastAsia="仿宋" w:cs="仿宋"/>
          <w:color w:val="auto"/>
          <w:highlight w:val="none"/>
        </w:rPr>
        <w:t>2.2.4分包意向协议（如果有）；</w:t>
      </w:r>
    </w:p>
    <w:p>
      <w:pPr>
        <w:rPr>
          <w:rFonts w:hint="eastAsia" w:ascii="仿宋" w:hAnsi="仿宋" w:eastAsia="仿宋" w:cs="仿宋"/>
          <w:color w:val="auto"/>
          <w:highlight w:val="none"/>
        </w:rPr>
      </w:pPr>
      <w:r>
        <w:rPr>
          <w:rFonts w:hint="eastAsia" w:ascii="仿宋" w:hAnsi="仿宋" w:eastAsia="仿宋" w:cs="仿宋"/>
          <w:color w:val="auto"/>
          <w:highlight w:val="none"/>
        </w:rPr>
        <w:t>2.2.5符合性审查资料；</w:t>
      </w:r>
    </w:p>
    <w:p>
      <w:pPr>
        <w:rPr>
          <w:rFonts w:hint="eastAsia" w:ascii="仿宋" w:hAnsi="仿宋" w:eastAsia="仿宋" w:cs="仿宋"/>
          <w:color w:val="auto"/>
          <w:highlight w:val="none"/>
        </w:rPr>
      </w:pPr>
      <w:r>
        <w:rPr>
          <w:rFonts w:hint="eastAsia" w:ascii="仿宋" w:hAnsi="仿宋" w:eastAsia="仿宋" w:cs="仿宋"/>
          <w:color w:val="auto"/>
          <w:highlight w:val="none"/>
        </w:rPr>
        <w:t>2.2.6评标标准相应的商务技术资料；</w:t>
      </w:r>
    </w:p>
    <w:p>
      <w:pPr>
        <w:rPr>
          <w:rFonts w:hint="eastAsia" w:ascii="仿宋" w:hAnsi="仿宋" w:eastAsia="仿宋" w:cs="仿宋"/>
          <w:color w:val="auto"/>
          <w:highlight w:val="none"/>
        </w:rPr>
      </w:pPr>
      <w:r>
        <w:rPr>
          <w:rFonts w:hint="eastAsia" w:ascii="仿宋" w:hAnsi="仿宋" w:eastAsia="仿宋" w:cs="仿宋"/>
          <w:color w:val="auto"/>
          <w:highlight w:val="none"/>
        </w:rPr>
        <w:t>2.2.7投标标的清单；</w:t>
      </w:r>
    </w:p>
    <w:p>
      <w:pPr>
        <w:rPr>
          <w:rFonts w:hint="eastAsia" w:ascii="仿宋" w:hAnsi="仿宋" w:eastAsia="仿宋" w:cs="仿宋"/>
          <w:color w:val="auto"/>
          <w:highlight w:val="none"/>
        </w:rPr>
      </w:pPr>
      <w:r>
        <w:rPr>
          <w:rFonts w:hint="eastAsia" w:ascii="仿宋" w:hAnsi="仿宋" w:eastAsia="仿宋" w:cs="仿宋"/>
          <w:color w:val="auto"/>
          <w:highlight w:val="none"/>
        </w:rPr>
        <w:t>2.2.8商务技术偏离表；</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p>
    <w:p>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pPr>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pPr>
        <w:rPr>
          <w:rFonts w:hint="eastAsia" w:ascii="仿宋" w:hAnsi="仿宋" w:eastAsia="仿宋" w:cs="仿宋"/>
          <w:color w:val="auto"/>
          <w:highlight w:val="none"/>
        </w:rPr>
      </w:pPr>
      <w:r>
        <w:rPr>
          <w:rFonts w:hint="eastAsia" w:ascii="仿宋" w:hAnsi="仿宋" w:eastAsia="仿宋" w:cs="仿宋"/>
          <w:color w:val="auto"/>
          <w:highlight w:val="none"/>
        </w:rPr>
        <w:t>2.3.2中小企业声明函（如果有）。</w:t>
      </w:r>
    </w:p>
    <w:p>
      <w:pPr>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w:t>
      </w:r>
    </w:p>
    <w:p>
      <w:pPr>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pPr>
        <w:rPr>
          <w:rFonts w:hint="eastAsia" w:ascii="仿宋" w:hAnsi="仿宋" w:eastAsia="仿宋" w:cs="仿宋"/>
          <w:color w:val="auto"/>
          <w:highlight w:val="none"/>
        </w:rPr>
      </w:pPr>
      <w:r>
        <w:rPr>
          <w:rFonts w:hint="eastAsia" w:ascii="仿宋" w:hAnsi="仿宋" w:eastAsia="仿宋" w:cs="仿宋"/>
          <w:color w:val="auto"/>
          <w:highlight w:val="none"/>
        </w:rPr>
        <w:t>5、其他补充说明: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rPr>
          <w:rFonts w:hint="eastAsia" w:ascii="仿宋" w:hAnsi="仿宋" w:eastAsia="仿宋" w:cs="仿宋"/>
          <w:color w:val="auto"/>
          <w:highlight w:val="none"/>
          <w:u w:val="single"/>
        </w:rPr>
      </w:pP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签发日期：  年  月   日</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授权委托书（适用于联合体投标）</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spacing w:line="276" w:lineRule="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pPr>
        <w:autoSpaceDE w:val="0"/>
        <w:autoSpaceDN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7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7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                              </w:t>
      </w:r>
    </w:p>
    <w:p>
      <w:pPr>
        <w:spacing w:line="36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spacing w:line="276"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pPr>
        <w:pStyle w:val="2"/>
        <w:rPr>
          <w:rFonts w:hint="eastAsia" w:ascii="仿宋" w:hAnsi="仿宋" w:eastAsia="仿宋" w:cs="仿宋"/>
          <w:color w:val="auto"/>
          <w:highlight w:val="none"/>
          <w:lang w:val="zh-CN"/>
        </w:rPr>
      </w:pPr>
      <w:r>
        <w:rPr>
          <w:rFonts w:hint="eastAsia" w:ascii="仿宋" w:hAnsi="仿宋" w:eastAsia="仿宋" w:cs="仿宋"/>
          <w:color w:val="auto"/>
          <w:highlight w:val="none"/>
        </w:rPr>
        <w:t>三、</w:t>
      </w:r>
      <w:r>
        <w:rPr>
          <w:rFonts w:hint="eastAsia" w:ascii="仿宋" w:hAnsi="仿宋" w:eastAsia="仿宋" w:cs="仿宋"/>
          <w:color w:val="auto"/>
          <w:highlight w:val="none"/>
          <w:lang w:val="zh-CN"/>
        </w:rPr>
        <w:t>联合协议</w:t>
      </w:r>
    </w:p>
    <w:p>
      <w:pPr>
        <w:rPr>
          <w:rFonts w:hint="eastAsia" w:ascii="仿宋" w:hAnsi="仿宋" w:eastAsia="仿宋" w:cs="仿宋"/>
          <w:color w:val="auto"/>
          <w:highlight w:val="none"/>
        </w:rPr>
      </w:pPr>
      <w:r>
        <w:rPr>
          <w:rFonts w:hint="eastAsia" w:ascii="仿宋" w:hAnsi="仿宋" w:eastAsia="仿宋" w:cs="仿宋"/>
          <w:color w:val="auto"/>
          <w:highlight w:val="none"/>
        </w:rPr>
        <w:t>（以联合体形式投标的，提供联合协议；本项目不接受联合体投标或者投标人不以联合体形式投标的，则不需要提供）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rPr>
        <w:t>提供的全部货物由小微企业制造，其合同份额占到合同总金额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四、分包意向协议</w:t>
      </w:r>
    </w:p>
    <w:p>
      <w:pPr>
        <w:rPr>
          <w:rFonts w:hint="eastAsia" w:ascii="仿宋" w:hAnsi="仿宋" w:eastAsia="仿宋" w:cs="仿宋"/>
          <w:b/>
          <w:color w:val="auto"/>
          <w:highlight w:val="none"/>
        </w:rPr>
      </w:pP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（分包供应商名称）提供的货物全部由小微企业制造，</w:t>
      </w:r>
      <w:r>
        <w:rPr>
          <w:rFonts w:hint="eastAsia" w:ascii="仿宋" w:hAnsi="仿宋" w:eastAsia="仿宋" w:cs="仿宋"/>
          <w:color w:val="auto"/>
          <w:highlight w:val="none"/>
        </w:rPr>
        <w:t>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五、符合性审查资料</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140" w:type="dxa"/>
            <w:vAlign w:val="center"/>
          </w:tcPr>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2410" w:type="dxa"/>
            <w:vAlign w:val="center"/>
          </w:tcPr>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701" w:type="dxa"/>
            <w:vAlign w:val="center"/>
          </w:tcPr>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w:t>
            </w:r>
          </w:p>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40" w:type="dxa"/>
          </w:tcPr>
          <w:p>
            <w:pPr>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410"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701" w:type="dxa"/>
          </w:tcPr>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140" w:type="dxa"/>
          </w:tcPr>
          <w:p>
            <w:pPr>
              <w:rPr>
                <w:rFonts w:hint="eastAsia" w:ascii="仿宋" w:hAnsi="仿宋" w:eastAsia="仿宋" w:cs="仿宋"/>
                <w:color w:val="auto"/>
                <w:highlight w:val="none"/>
              </w:rPr>
            </w:pPr>
            <w:r>
              <w:rPr>
                <w:rFonts w:hint="eastAsia" w:ascii="仿宋" w:hAnsi="仿宋" w:eastAsia="仿宋" w:cs="仿宋"/>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节能产品认证证书（本项目拟采购的产品不属于政府强制采购的节能产品品目清单范围的，无需提供）</w:t>
            </w:r>
          </w:p>
        </w:tc>
        <w:tc>
          <w:tcPr>
            <w:tcW w:w="1701" w:type="dxa"/>
          </w:tcPr>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140" w:type="dxa"/>
          </w:tcPr>
          <w:p>
            <w:pPr>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410"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701" w:type="dxa"/>
          </w:tcPr>
          <w:p>
            <w:pPr>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4140" w:type="dxa"/>
          </w:tcPr>
          <w:p>
            <w:pPr>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410"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招标文件其它实质性要求相应的材料（“▲” 系指实质性要求条款，招标文件无其它实质性要求的，无需提供）</w:t>
            </w:r>
          </w:p>
        </w:tc>
        <w:tc>
          <w:tcPr>
            <w:tcW w:w="1701" w:type="dxa"/>
          </w:tcPr>
          <w:p>
            <w:pPr>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六、评标标准相应的商务技术资料</w:t>
      </w:r>
    </w:p>
    <w:p>
      <w:pPr>
        <w:snapToGrid w:val="0"/>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（按招标文件第四部分评标办法前附表中“投标文件中评标标准相应的商务技术资料目录”提供资料。）</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七、投标标的清单</w:t>
      </w:r>
    </w:p>
    <w:tbl>
      <w:tblPr>
        <w:tblStyle w:val="2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八、商务技术偏离表</w:t>
      </w:r>
    </w:p>
    <w:tbl>
      <w:tblPr>
        <w:tblStyle w:val="24"/>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546"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276"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tcPr>
          <w:p>
            <w:pPr>
              <w:spacing w:after="0"/>
              <w:jc w:val="center"/>
              <w:rPr>
                <w:rFonts w:hint="eastAsia" w:ascii="仿宋" w:hAnsi="仿宋" w:eastAsia="仿宋" w:cs="仿宋"/>
                <w:b/>
                <w:color w:val="auto"/>
                <w:sz w:val="32"/>
                <w:szCs w:val="32"/>
                <w:highlight w:val="none"/>
              </w:rPr>
            </w:pPr>
          </w:p>
        </w:tc>
        <w:tc>
          <w:tcPr>
            <w:tcW w:w="3546" w:type="dxa"/>
          </w:tcPr>
          <w:p>
            <w:pPr>
              <w:spacing w:after="0"/>
              <w:jc w:val="center"/>
              <w:rPr>
                <w:rFonts w:hint="eastAsia" w:ascii="仿宋" w:hAnsi="仿宋" w:eastAsia="仿宋" w:cs="仿宋"/>
                <w:b/>
                <w:color w:val="auto"/>
                <w:sz w:val="32"/>
                <w:szCs w:val="32"/>
                <w:highlight w:val="none"/>
              </w:rPr>
            </w:pPr>
          </w:p>
        </w:tc>
        <w:tc>
          <w:tcPr>
            <w:tcW w:w="1276" w:type="dxa"/>
          </w:tcPr>
          <w:p>
            <w:pPr>
              <w:spacing w:after="0"/>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tcPr>
          <w:p>
            <w:pPr>
              <w:spacing w:after="0"/>
              <w:jc w:val="center"/>
              <w:rPr>
                <w:rFonts w:hint="eastAsia" w:ascii="仿宋" w:hAnsi="仿宋" w:eastAsia="仿宋" w:cs="仿宋"/>
                <w:b/>
                <w:color w:val="auto"/>
                <w:sz w:val="32"/>
                <w:szCs w:val="32"/>
                <w:highlight w:val="none"/>
              </w:rPr>
            </w:pPr>
          </w:p>
        </w:tc>
        <w:tc>
          <w:tcPr>
            <w:tcW w:w="3546" w:type="dxa"/>
          </w:tcPr>
          <w:p>
            <w:pPr>
              <w:spacing w:after="0"/>
              <w:jc w:val="center"/>
              <w:rPr>
                <w:rFonts w:hint="eastAsia" w:ascii="仿宋" w:hAnsi="仿宋" w:eastAsia="仿宋" w:cs="仿宋"/>
                <w:b/>
                <w:color w:val="auto"/>
                <w:sz w:val="32"/>
                <w:szCs w:val="32"/>
                <w:highlight w:val="none"/>
              </w:rPr>
            </w:pPr>
          </w:p>
        </w:tc>
        <w:tc>
          <w:tcPr>
            <w:tcW w:w="1276" w:type="dxa"/>
          </w:tcPr>
          <w:p>
            <w:pPr>
              <w:spacing w:after="0"/>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tcPr>
          <w:p>
            <w:pPr>
              <w:spacing w:after="0"/>
              <w:jc w:val="center"/>
              <w:rPr>
                <w:rFonts w:hint="eastAsia" w:ascii="仿宋" w:hAnsi="仿宋" w:eastAsia="仿宋" w:cs="仿宋"/>
                <w:b/>
                <w:color w:val="auto"/>
                <w:sz w:val="32"/>
                <w:szCs w:val="32"/>
                <w:highlight w:val="none"/>
              </w:rPr>
            </w:pPr>
          </w:p>
        </w:tc>
        <w:tc>
          <w:tcPr>
            <w:tcW w:w="3546" w:type="dxa"/>
          </w:tcPr>
          <w:p>
            <w:pPr>
              <w:spacing w:after="0"/>
              <w:jc w:val="center"/>
              <w:rPr>
                <w:rFonts w:hint="eastAsia" w:ascii="仿宋" w:hAnsi="仿宋" w:eastAsia="仿宋" w:cs="仿宋"/>
                <w:b/>
                <w:color w:val="auto"/>
                <w:sz w:val="32"/>
                <w:szCs w:val="32"/>
                <w:highlight w:val="none"/>
              </w:rPr>
            </w:pPr>
          </w:p>
        </w:tc>
        <w:tc>
          <w:tcPr>
            <w:tcW w:w="1276" w:type="dxa"/>
          </w:tcPr>
          <w:p>
            <w:pPr>
              <w:spacing w:after="0"/>
              <w:jc w:val="center"/>
              <w:rPr>
                <w:rFonts w:hint="eastAsia" w:ascii="仿宋" w:hAnsi="仿宋" w:eastAsia="仿宋" w:cs="仿宋"/>
                <w:b/>
                <w:color w:val="auto"/>
                <w:sz w:val="32"/>
                <w:szCs w:val="32"/>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投标人保证：除商务技术偏离表列出的偏离外，投标人响应招标文件的全部要求</w:t>
      </w:r>
    </w:p>
    <w:p>
      <w:pPr>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bCs/>
          <w:color w:val="auto"/>
          <w:highlight w:val="none"/>
        </w:rPr>
        <w:t>九</w:t>
      </w:r>
      <w:r>
        <w:rPr>
          <w:rFonts w:hint="eastAsia" w:ascii="仿宋" w:hAnsi="仿宋" w:eastAsia="仿宋" w:cs="仿宋"/>
          <w:color w:val="auto"/>
          <w:highlight w:val="none"/>
        </w:rPr>
        <w:t>、</w:t>
      </w:r>
      <w:r>
        <w:rPr>
          <w:rFonts w:hint="eastAsia" w:ascii="仿宋" w:hAnsi="仿宋" w:eastAsia="仿宋" w:cs="仿宋"/>
          <w:color w:val="auto"/>
          <w:highlight w:val="none"/>
          <w:lang w:val="zh-CN"/>
        </w:rPr>
        <w:t>政府采购供应商廉洁自律承诺书</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好处；</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法》《中华人民共和国民法典》等法律法规，诚实守信，合法经营，坚决抵制各种违法违纪行为。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进行项目建设或其他经营活动，并通报市财政局。由此引起的相应损失均由我单位承担。</w:t>
      </w: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rPr>
          <w:rFonts w:hint="eastAsia" w:ascii="仿宋" w:hAnsi="仿宋" w:eastAsia="仿宋" w:cs="仿宋"/>
          <w:b/>
          <w:bCs/>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pPr>
        <w:rPr>
          <w:rFonts w:hint="eastAsia" w:ascii="仿宋" w:hAnsi="仿宋" w:eastAsia="仿宋" w:cs="仿宋"/>
          <w:color w:val="auto"/>
          <w:highlight w:val="none"/>
        </w:rPr>
      </w:pPr>
      <w:r>
        <w:rPr>
          <w:rFonts w:hint="eastAsia" w:ascii="仿宋" w:hAnsi="仿宋" w:eastAsia="仿宋" w:cs="仿宋"/>
          <w:color w:val="auto"/>
          <w:highlight w:val="none"/>
        </w:rPr>
        <w:t>（1）开标一览表（报价表）…………………………………………………（页码）</w:t>
      </w:r>
    </w:p>
    <w:p>
      <w:pPr>
        <w:rPr>
          <w:rFonts w:hint="eastAsia" w:ascii="仿宋" w:hAnsi="仿宋" w:eastAsia="仿宋" w:cs="仿宋"/>
          <w:color w:val="auto"/>
          <w:highlight w:val="none"/>
        </w:rPr>
      </w:pPr>
      <w:r>
        <w:rPr>
          <w:rFonts w:hint="eastAsia" w:ascii="仿宋" w:hAnsi="仿宋" w:eastAsia="仿宋" w:cs="仿宋"/>
          <w:color w:val="auto"/>
          <w:highlight w:val="none"/>
        </w:rPr>
        <w:t>（2）中小企业声明函…………………………………………………………（页码）</w:t>
      </w:r>
    </w:p>
    <w:p>
      <w:pPr>
        <w:snapToGrid w:val="0"/>
        <w:spacing w:line="360" w:lineRule="auto"/>
        <w:ind w:right="480"/>
        <w:jc w:val="center"/>
        <w:rPr>
          <w:rFonts w:hint="eastAsia" w:ascii="仿宋" w:hAnsi="仿宋" w:eastAsia="仿宋" w:cs="仿宋"/>
          <w:b/>
          <w:color w:val="auto"/>
          <w:sz w:val="32"/>
          <w:szCs w:val="32"/>
          <w:highlight w:val="none"/>
        </w:rPr>
      </w:pPr>
    </w:p>
    <w:p>
      <w:pPr>
        <w:pStyle w:val="7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6" w:type="default"/>
          <w:pgSz w:w="11906" w:h="16838"/>
          <w:pgMar w:top="1440" w:right="1700" w:bottom="1440" w:left="1800" w:header="851" w:footer="992" w:gutter="0"/>
          <w:cols w:space="425" w:num="1"/>
          <w:docGrid w:type="lines" w:linePitch="312" w:charSpace="0"/>
        </w:sectPr>
      </w:pP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一、开标一览表（报价表）</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highlight w:val="none"/>
          <w:lang w:val="zh-CN"/>
        </w:rPr>
        <w:t>【招标编号：</w:t>
      </w:r>
      <w:r>
        <w:rPr>
          <w:rFonts w:hint="eastAsia" w:ascii="仿宋" w:hAnsi="仿宋" w:eastAsia="仿宋" w:cs="仿宋"/>
          <w:color w:val="auto"/>
          <w:highlight w:val="none"/>
        </w:rPr>
        <w:t>（采购编号）】的实施</w:t>
      </w:r>
      <w:r>
        <w:rPr>
          <w:rFonts w:hint="eastAsia" w:ascii="仿宋" w:hAnsi="仿宋" w:eastAsia="仿宋" w:cs="仿宋"/>
          <w:color w:val="auto"/>
          <w:highlight w:val="none"/>
          <w:lang w:val="zh-CN"/>
        </w:rPr>
        <w:t>。</w:t>
      </w:r>
    </w:p>
    <w:p>
      <w:pPr>
        <w:jc w:val="center"/>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开标一览表（报价表）(单位均为人民币元)</w:t>
      </w:r>
    </w:p>
    <w:tbl>
      <w:tblPr>
        <w:tblStyle w:val="2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843" w:type="dxa"/>
          </w:tcPr>
          <w:p>
            <w:pPr>
              <w:rPr>
                <w:rFonts w:hint="eastAsia" w:ascii="仿宋" w:hAnsi="仿宋" w:eastAsia="仿宋" w:cs="仿宋"/>
                <w:b/>
                <w:color w:val="auto"/>
                <w:highlight w:val="none"/>
              </w:rPr>
            </w:pPr>
          </w:p>
          <w:p>
            <w:pPr>
              <w:rPr>
                <w:rFonts w:hint="eastAsia" w:ascii="仿宋" w:hAnsi="仿宋" w:eastAsia="仿宋" w:cs="仿宋"/>
                <w:b/>
                <w:color w:val="auto"/>
                <w:highlight w:val="none"/>
              </w:rPr>
            </w:pPr>
            <w:r>
              <w:rPr>
                <w:rFonts w:hint="eastAsia" w:ascii="仿宋" w:hAnsi="仿宋" w:eastAsia="仿宋" w:cs="仿宋"/>
                <w:b/>
                <w:color w:val="auto"/>
                <w:highlight w:val="none"/>
              </w:rPr>
              <w:t>品牌（如果有）</w:t>
            </w:r>
          </w:p>
        </w:tc>
        <w:tc>
          <w:tcPr>
            <w:tcW w:w="3118"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规格型号（或具体服务）</w:t>
            </w:r>
          </w:p>
        </w:tc>
        <w:tc>
          <w:tcPr>
            <w:tcW w:w="993"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559"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单价</w:t>
            </w:r>
          </w:p>
        </w:tc>
        <w:tc>
          <w:tcPr>
            <w:tcW w:w="1984" w:type="dxa"/>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总价</w:t>
            </w:r>
          </w:p>
        </w:tc>
        <w:tc>
          <w:tcPr>
            <w:tcW w:w="3119" w:type="dxa"/>
            <w:vAlign w:val="center"/>
          </w:tcPr>
          <w:p>
            <w:pPr>
              <w:rPr>
                <w:rFonts w:hint="eastAsia" w:ascii="仿宋" w:hAnsi="仿宋" w:eastAsia="仿宋" w:cs="仿宋"/>
                <w:b/>
                <w:color w:val="auto"/>
                <w:highlight w:val="none"/>
              </w:rPr>
            </w:pPr>
          </w:p>
          <w:p>
            <w:pPr>
              <w:rPr>
                <w:rFonts w:hint="eastAsia" w:ascii="仿宋" w:hAnsi="仿宋" w:eastAsia="仿宋" w:cs="仿宋"/>
                <w:b/>
                <w:color w:val="auto"/>
                <w:highlight w:val="none"/>
              </w:rPr>
            </w:pPr>
            <w:r>
              <w:rPr>
                <w:rFonts w:hint="eastAsia" w:ascii="仿宋" w:hAnsi="仿宋" w:eastAsia="仿宋" w:cs="仿宋"/>
                <w:b/>
                <w:color w:val="auto"/>
                <w:highlight w:val="none"/>
              </w:rPr>
              <w:t>质保或服务年限</w:t>
            </w:r>
          </w:p>
          <w:p>
            <w:pPr>
              <w:rPr>
                <w:rFonts w:hint="eastAsia" w:ascii="仿宋" w:hAnsi="仿宋" w:eastAsia="仿宋" w:cs="仿宋"/>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highlight w:val="none"/>
              </w:rPr>
            </w:pP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color w:val="auto"/>
                <w:highlight w:val="none"/>
              </w:rPr>
            </w:pPr>
          </w:p>
        </w:tc>
        <w:tc>
          <w:tcPr>
            <w:tcW w:w="1417" w:type="dxa"/>
            <w:vAlign w:val="center"/>
          </w:tcPr>
          <w:p>
            <w:pPr>
              <w:rPr>
                <w:rFonts w:hint="eastAsia" w:ascii="仿宋" w:hAnsi="仿宋" w:eastAsia="仿宋" w:cs="仿宋"/>
                <w:color w:val="auto"/>
                <w:highlight w:val="none"/>
              </w:rPr>
            </w:pPr>
          </w:p>
        </w:tc>
        <w:tc>
          <w:tcPr>
            <w:tcW w:w="1843" w:type="dxa"/>
            <w:vAlign w:val="center"/>
          </w:tcPr>
          <w:p>
            <w:pPr>
              <w:rPr>
                <w:rFonts w:hint="eastAsia" w:ascii="仿宋" w:hAnsi="仿宋" w:eastAsia="仿宋" w:cs="仿宋"/>
                <w:color w:val="auto"/>
                <w:highlight w:val="none"/>
              </w:rPr>
            </w:pPr>
          </w:p>
        </w:tc>
        <w:tc>
          <w:tcPr>
            <w:tcW w:w="3118" w:type="dxa"/>
            <w:vAlign w:val="center"/>
          </w:tcPr>
          <w:p>
            <w:pPr>
              <w:rPr>
                <w:rFonts w:hint="eastAsia" w:ascii="仿宋" w:hAnsi="仿宋" w:eastAsia="仿宋" w:cs="仿宋"/>
                <w:color w:val="auto"/>
                <w:highlight w:val="none"/>
              </w:rPr>
            </w:pPr>
          </w:p>
        </w:tc>
        <w:tc>
          <w:tcPr>
            <w:tcW w:w="993" w:type="dxa"/>
            <w:vAlign w:val="center"/>
          </w:tcPr>
          <w:p>
            <w:pPr>
              <w:rPr>
                <w:rFonts w:hint="eastAsia" w:ascii="仿宋" w:hAnsi="仿宋" w:eastAsia="仿宋" w:cs="仿宋"/>
                <w:color w:val="auto"/>
                <w:highlight w:val="none"/>
              </w:rPr>
            </w:pPr>
          </w:p>
        </w:tc>
        <w:tc>
          <w:tcPr>
            <w:tcW w:w="1559" w:type="dxa"/>
            <w:vAlign w:val="center"/>
          </w:tcPr>
          <w:p>
            <w:pPr>
              <w:rPr>
                <w:rFonts w:hint="eastAsia" w:ascii="仿宋" w:hAnsi="仿宋" w:eastAsia="仿宋" w:cs="仿宋"/>
                <w:color w:val="auto"/>
                <w:highlight w:val="none"/>
              </w:rPr>
            </w:pPr>
          </w:p>
        </w:tc>
        <w:tc>
          <w:tcPr>
            <w:tcW w:w="1984" w:type="dxa"/>
            <w:vAlign w:val="center"/>
          </w:tcPr>
          <w:p>
            <w:pPr>
              <w:rPr>
                <w:rFonts w:hint="eastAsia" w:ascii="仿宋" w:hAnsi="仿宋" w:eastAsia="仿宋" w:cs="仿宋"/>
                <w:color w:val="auto"/>
                <w:highlight w:val="none"/>
              </w:rPr>
            </w:pPr>
          </w:p>
        </w:tc>
        <w:tc>
          <w:tcPr>
            <w:tcW w:w="3119" w:type="dxa"/>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4"/>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hint="eastAsia" w:ascii="仿宋" w:hAnsi="仿宋" w:eastAsia="仿宋" w:cs="仿宋"/>
                <w:b/>
                <w:color w:val="auto"/>
                <w:highlight w:val="none"/>
              </w:rPr>
            </w:pPr>
            <w:r>
              <w:rPr>
                <w:rFonts w:hint="eastAsia" w:ascii="仿宋" w:hAnsi="仿宋" w:eastAsia="仿宋" w:cs="仿宋"/>
                <w:b/>
                <w:color w:val="auto"/>
                <w:highlight w:val="none"/>
              </w:rPr>
              <w:t>投标报价（大写）</w:t>
            </w:r>
          </w:p>
        </w:tc>
        <w:tc>
          <w:tcPr>
            <w:tcW w:w="7655" w:type="dxa"/>
            <w:gridSpan w:val="4"/>
            <w:vAlign w:val="center"/>
          </w:tcPr>
          <w:p>
            <w:pPr>
              <w:rPr>
                <w:rFonts w:hint="eastAsia" w:ascii="仿宋" w:hAnsi="仿宋" w:eastAsia="仿宋" w:cs="仿宋"/>
                <w:color w:val="auto"/>
                <w:highlight w:val="none"/>
              </w:rPr>
            </w:pPr>
          </w:p>
        </w:tc>
      </w:tr>
    </w:tbl>
    <w:p>
      <w:pPr>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1、投标人需按本表格式填写，不得自行更改。</w:t>
      </w:r>
      <w:r>
        <w:rPr>
          <w:rFonts w:hint="eastAsia" w:ascii="仿宋" w:hAnsi="仿宋" w:eastAsia="仿宋" w:cs="仿宋"/>
          <w:color w:val="auto"/>
          <w:highlight w:val="none"/>
          <w:lang w:val="zh-CN"/>
        </w:rPr>
        <w:tab/>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2、有关本项目实施所涉及的一切费用均计入报价。</w:t>
      </w:r>
      <w:r>
        <w:rPr>
          <w:rFonts w:hint="eastAsia" w:ascii="仿宋" w:hAnsi="仿宋" w:eastAsia="仿宋" w:cs="仿宋"/>
          <w:b/>
          <w:color w:val="auto"/>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highlight w:val="none"/>
          <w:lang w:val="zh-CN"/>
        </w:rPr>
        <w:t>，</w:t>
      </w:r>
      <w:r>
        <w:rPr>
          <w:rFonts w:hint="eastAsia" w:ascii="仿宋" w:hAnsi="仿宋" w:eastAsia="仿宋" w:cs="仿宋"/>
          <w:b/>
          <w:color w:val="auto"/>
          <w:highlight w:val="none"/>
          <w:lang w:val="zh-CN"/>
        </w:rPr>
        <w:t>不得出现“0元”“免费赠送”等形式的无偿报价，</w:t>
      </w:r>
      <w:r>
        <w:rPr>
          <w:rFonts w:hint="eastAsia" w:ascii="仿宋" w:hAnsi="仿宋" w:eastAsia="仿宋" w:cs="仿宋"/>
          <w:b/>
          <w:color w:val="auto"/>
          <w:highlight w:val="none"/>
        </w:rPr>
        <w:t>否则视为投标文件含有采购人不能接受的附加条件的，投标无效</w:t>
      </w:r>
      <w:r>
        <w:rPr>
          <w:rFonts w:hint="eastAsia" w:ascii="仿宋" w:hAnsi="仿宋" w:eastAsia="仿宋" w:cs="仿宋"/>
          <w:b/>
          <w:color w:val="auto"/>
          <w:highlight w:val="none"/>
          <w:lang w:val="zh-CN"/>
        </w:rPr>
        <w:t>；采购内容未包含在《开标一览表（报价表）》名称栏中，投标人不能作出合理解释的，</w:t>
      </w:r>
      <w:r>
        <w:rPr>
          <w:rFonts w:hint="eastAsia" w:ascii="仿宋" w:hAnsi="仿宋" w:eastAsia="仿宋" w:cs="仿宋"/>
          <w:b/>
          <w:color w:val="auto"/>
          <w:highlight w:val="none"/>
        </w:rPr>
        <w:t>视为投标文件含有采购人不能接受的附加条件的，投标无效。</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3、以上表格要求细分项目及报价，在“规格型号（或具体服务）”一栏中，货物类项目填写规格型号，服务类项目填写具体服务。</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4、特别提示：采购机构将对项目名称和项目编号，中标供应商名称、地址和中标金额，主要中标标的的名称、规格型号、数量、单价、服务要求等予以公示。</w:t>
      </w:r>
    </w:p>
    <w:p>
      <w:pPr>
        <w:rPr>
          <w:rFonts w:hint="eastAsia" w:ascii="仿宋" w:hAnsi="仿宋" w:eastAsia="仿宋" w:cs="仿宋"/>
          <w:color w:val="auto"/>
          <w:highlight w:val="none"/>
          <w:lang w:val="zh-CN"/>
        </w:rPr>
      </w:pPr>
      <w:r>
        <w:rPr>
          <w:rFonts w:hint="eastAsia" w:ascii="仿宋" w:hAnsi="仿宋" w:eastAsia="仿宋" w:cs="仿宋"/>
          <w:color w:val="auto"/>
          <w:szCs w:val="22"/>
          <w:highlight w:val="none"/>
          <w:lang w:val="zh-CN"/>
        </w:rPr>
        <w:t>5、</w:t>
      </w:r>
      <w:r>
        <w:rPr>
          <w:rFonts w:hint="eastAsia" w:ascii="仿宋" w:hAnsi="仿宋" w:eastAsia="仿宋" w:cs="仿宋"/>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highlight w:val="none"/>
        </w:rPr>
        <w:sectPr>
          <w:pgSz w:w="16838" w:h="11906" w:orient="landscape"/>
          <w:pgMar w:top="1800" w:right="1440" w:bottom="1700" w:left="1440" w:header="851" w:footer="992" w:gutter="0"/>
          <w:cols w:space="425" w:num="1"/>
          <w:docGrid w:type="lines" w:linePitch="326" w:charSpace="0"/>
        </w:sectPr>
      </w:pPr>
    </w:p>
    <w:p>
      <w:pPr>
        <w:pStyle w:val="2"/>
        <w:rPr>
          <w:rFonts w:hint="eastAsia" w:ascii="仿宋" w:hAnsi="仿宋" w:eastAsia="仿宋" w:cs="仿宋"/>
          <w:color w:val="auto"/>
          <w:highlight w:val="none"/>
        </w:rPr>
      </w:pPr>
      <w:r>
        <w:rPr>
          <w:rFonts w:hint="eastAsia" w:ascii="仿宋" w:hAnsi="仿宋" w:eastAsia="仿宋" w:cs="仿宋"/>
          <w:color w:val="auto"/>
          <w:kern w:val="2"/>
          <w:highlight w:val="none"/>
        </w:rPr>
        <w:t>二、</w:t>
      </w:r>
      <w:r>
        <w:rPr>
          <w:rFonts w:hint="eastAsia" w:ascii="仿宋" w:hAnsi="仿宋" w:eastAsia="仿宋" w:cs="仿宋"/>
          <w:color w:val="auto"/>
          <w:highlight w:val="none"/>
        </w:rPr>
        <w:t>中小企业声明函</w:t>
      </w:r>
    </w:p>
    <w:p>
      <w:pPr>
        <w:spacing w:line="360" w:lineRule="auto"/>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政府采购支持中小企业信用融资相关事项通知</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中国银保监会浙江监管局、杭州市地方金融监督管理局、杭州市经济和信息化局制定《杭州市政府采购支持中小企业信用融资管理办法》。相关事项通知如下：</w:t>
      </w:r>
    </w:p>
    <w:p>
      <w:pPr>
        <w:rPr>
          <w:rFonts w:hint="eastAsia" w:ascii="仿宋" w:hAnsi="仿宋" w:eastAsia="仿宋" w:cs="仿宋"/>
          <w:b/>
          <w:color w:val="auto"/>
          <w:highlight w:val="none"/>
        </w:rPr>
      </w:pPr>
      <w:r>
        <w:rPr>
          <w:rFonts w:hint="eastAsia" w:ascii="仿宋" w:hAnsi="仿宋" w:eastAsia="仿宋" w:cs="仿宋"/>
          <w:b/>
          <w:color w:val="auto"/>
          <w:highlight w:val="none"/>
        </w:rPr>
        <w:t>一、适用对象</w:t>
      </w:r>
    </w:p>
    <w:p>
      <w:pPr>
        <w:rPr>
          <w:rFonts w:hint="eastAsia" w:ascii="仿宋" w:hAnsi="仿宋" w:eastAsia="仿宋" w:cs="仿宋"/>
          <w:color w:val="auto"/>
          <w:highlight w:val="none"/>
        </w:rPr>
      </w:pPr>
      <w:r>
        <w:rPr>
          <w:rFonts w:hint="eastAsia" w:ascii="仿宋" w:hAnsi="仿宋" w:eastAsia="仿宋" w:cs="仿宋"/>
          <w:color w:val="auto"/>
          <w:highlight w:val="none"/>
        </w:rPr>
        <w:t>凡已在浙江政府采购网上注册入库，并取得杭州市政府采购合同的中小企业供应商（以下简称“供应商”），均可申请政府采购信用融资。</w:t>
      </w:r>
    </w:p>
    <w:p>
      <w:pPr>
        <w:rPr>
          <w:rFonts w:hint="eastAsia" w:ascii="仿宋" w:hAnsi="仿宋" w:eastAsia="仿宋" w:cs="仿宋"/>
          <w:b/>
          <w:color w:val="auto"/>
          <w:highlight w:val="none"/>
        </w:rPr>
      </w:pPr>
      <w:r>
        <w:rPr>
          <w:rFonts w:hint="eastAsia" w:ascii="仿宋" w:hAnsi="仿宋" w:eastAsia="仿宋" w:cs="仿宋"/>
          <w:b/>
          <w:color w:val="auto"/>
          <w:highlight w:val="none"/>
        </w:rPr>
        <w:t>二、相关信息获取方式</w:t>
      </w:r>
    </w:p>
    <w:p>
      <w:pPr>
        <w:rPr>
          <w:rFonts w:hint="eastAsia" w:ascii="仿宋" w:hAnsi="仿宋" w:eastAsia="仿宋" w:cs="仿宋"/>
          <w:color w:val="auto"/>
          <w:highlight w:val="none"/>
        </w:rPr>
      </w:pPr>
      <w:r>
        <w:rPr>
          <w:rFonts w:hint="eastAsia" w:ascii="仿宋" w:hAnsi="仿宋" w:eastAsia="仿宋" w:cs="仿宋"/>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hint="eastAsia" w:ascii="仿宋" w:hAnsi="仿宋" w:eastAsia="仿宋" w:cs="仿宋"/>
          <w:b/>
          <w:color w:val="auto"/>
          <w:highlight w:val="none"/>
        </w:rPr>
      </w:pPr>
      <w:r>
        <w:rPr>
          <w:rFonts w:hint="eastAsia" w:ascii="仿宋" w:hAnsi="仿宋" w:eastAsia="仿宋" w:cs="仿宋"/>
          <w:b/>
          <w:color w:val="auto"/>
          <w:highlight w:val="none"/>
        </w:rPr>
        <w:t>三、　政府采购信用融资操作流程：</w:t>
      </w:r>
    </w:p>
    <w:p>
      <w:pPr>
        <w:rPr>
          <w:rFonts w:hint="eastAsia" w:ascii="仿宋" w:hAnsi="仿宋" w:eastAsia="仿宋" w:cs="仿宋"/>
          <w:color w:val="auto"/>
          <w:highlight w:val="none"/>
        </w:rPr>
      </w:pPr>
      <w:r>
        <w:rPr>
          <w:rFonts w:hint="eastAsia" w:ascii="仿宋" w:hAnsi="仿宋" w:eastAsia="仿宋" w:cs="仿宋"/>
          <w:color w:val="auto"/>
          <w:highlight w:val="none"/>
        </w:rPr>
        <w:t>（一）线上融资模式：</w:t>
      </w:r>
    </w:p>
    <w:p>
      <w:pPr>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1.供应商根据合作银行提供的方案，自行选择金融产品，并办理开户等手续；</w:t>
      </w:r>
    </w:p>
    <w:p>
      <w:pPr>
        <w:rPr>
          <w:rFonts w:hint="eastAsia" w:ascii="仿宋" w:hAnsi="仿宋" w:eastAsia="仿宋" w:cs="仿宋"/>
          <w:color w:val="auto"/>
          <w:highlight w:val="none"/>
        </w:rPr>
      </w:pPr>
      <w:r>
        <w:rPr>
          <w:rFonts w:hint="eastAsia" w:ascii="仿宋" w:hAnsi="仿宋" w:eastAsia="仿宋" w:cs="仿宋"/>
          <w:color w:val="auto"/>
          <w:highlight w:val="none"/>
        </w:rPr>
        <w:t>　　2.供应商中标后，可通过杭州市政府采购网或“浙里办”测算授信额度；</w:t>
      </w:r>
    </w:p>
    <w:p>
      <w:pPr>
        <w:rPr>
          <w:rFonts w:hint="eastAsia" w:ascii="仿宋" w:hAnsi="仿宋" w:eastAsia="仿宋" w:cs="仿宋"/>
          <w:color w:val="auto"/>
          <w:highlight w:val="none"/>
        </w:rPr>
      </w:pPr>
      <w:r>
        <w:rPr>
          <w:rFonts w:hint="eastAsia" w:ascii="仿宋" w:hAnsi="仿宋" w:eastAsia="仿宋" w:cs="仿宋"/>
          <w:color w:val="auto"/>
          <w:highlight w:val="none"/>
        </w:rPr>
        <w:t>　　3.采购合同签订后，供应商在杭州市政府采购网或“浙里办”向合作银行发出融资申请；</w:t>
      </w:r>
    </w:p>
    <w:p>
      <w:pPr>
        <w:rPr>
          <w:rFonts w:hint="eastAsia" w:ascii="仿宋" w:hAnsi="仿宋" w:eastAsia="仿宋" w:cs="仿宋"/>
          <w:color w:val="auto"/>
          <w:highlight w:val="none"/>
        </w:rPr>
      </w:pPr>
      <w:r>
        <w:rPr>
          <w:rFonts w:hint="eastAsia" w:ascii="仿宋" w:hAnsi="仿宋" w:eastAsia="仿宋" w:cs="仿宋"/>
          <w:color w:val="auto"/>
          <w:highlight w:val="none"/>
        </w:rPr>
        <w:t>　　4.审批通过后，在线办理放贷手续。</w:t>
      </w:r>
    </w:p>
    <w:p>
      <w:pPr>
        <w:rPr>
          <w:rFonts w:hint="eastAsia" w:ascii="仿宋" w:hAnsi="仿宋" w:eastAsia="仿宋" w:cs="仿宋"/>
          <w:color w:val="auto"/>
          <w:highlight w:val="none"/>
        </w:rPr>
      </w:pPr>
      <w:r>
        <w:rPr>
          <w:rFonts w:hint="eastAsia" w:ascii="仿宋" w:hAnsi="仿宋" w:eastAsia="仿宋" w:cs="仿宋"/>
          <w:color w:val="auto"/>
          <w:highlight w:val="none"/>
        </w:rPr>
        <w:t>　　（二）线下融资模式：</w:t>
      </w:r>
    </w:p>
    <w:p>
      <w:pPr>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1.供应商根据合作银行提供的方案，自行选择金融产品，向合作银行提出信用资格预审，并办理开户等手续；</w:t>
      </w:r>
    </w:p>
    <w:p>
      <w:pPr>
        <w:rPr>
          <w:rFonts w:hint="eastAsia" w:ascii="仿宋" w:hAnsi="仿宋" w:eastAsia="仿宋" w:cs="仿宋"/>
          <w:color w:val="auto"/>
          <w:highlight w:val="none"/>
        </w:rPr>
      </w:pPr>
      <w:r>
        <w:rPr>
          <w:rFonts w:hint="eastAsia" w:ascii="仿宋" w:hAnsi="仿宋" w:eastAsia="仿宋" w:cs="仿宋"/>
          <w:color w:val="auto"/>
          <w:highlight w:val="none"/>
        </w:rPr>
        <w:t>　　2.采购合同签订后，供应商在杭州市政府采购网或“浙里办”向合作银行发出融资申请；</w:t>
      </w:r>
    </w:p>
    <w:p>
      <w:pPr>
        <w:rPr>
          <w:rFonts w:hint="eastAsia" w:ascii="仿宋" w:hAnsi="仿宋" w:eastAsia="仿宋" w:cs="仿宋"/>
          <w:color w:val="auto"/>
          <w:highlight w:val="none"/>
        </w:rPr>
      </w:pPr>
      <w:r>
        <w:rPr>
          <w:rFonts w:hint="eastAsia" w:ascii="仿宋" w:hAnsi="仿宋" w:eastAsia="仿宋" w:cs="仿宋"/>
          <w:color w:val="auto"/>
          <w:highlight w:val="none"/>
        </w:rPr>
        <w:t>　　3.合作银行在信用融资模块受理申请后，供应商提供审批材料。合作银行应对申请信用融资的供应商及备案的政府采购合同信息进行核对和审查；</w:t>
      </w:r>
    </w:p>
    <w:p>
      <w:pPr>
        <w:rPr>
          <w:rFonts w:hint="eastAsia" w:ascii="仿宋" w:hAnsi="仿宋" w:eastAsia="仿宋" w:cs="仿宋"/>
          <w:color w:val="auto"/>
          <w:highlight w:val="none"/>
        </w:rPr>
      </w:pPr>
      <w:r>
        <w:rPr>
          <w:rFonts w:hint="eastAsia" w:ascii="仿宋" w:hAnsi="仿宋" w:eastAsia="仿宋" w:cs="仿宋"/>
          <w:color w:val="auto"/>
          <w:highlight w:val="none"/>
        </w:rPr>
        <w:t>　　4.审批通过后，合作银行应按照合作备忘录中约定的审批放款期限和优惠利率及时予以放款。</w:t>
      </w:r>
    </w:p>
    <w:p>
      <w:pPr>
        <w:rPr>
          <w:rFonts w:hint="eastAsia" w:ascii="仿宋" w:hAnsi="仿宋" w:eastAsia="仿宋" w:cs="仿宋"/>
          <w:b/>
          <w:bCs/>
          <w:color w:val="auto"/>
          <w:highlight w:val="none"/>
        </w:rPr>
      </w:pPr>
      <w:r>
        <w:rPr>
          <w:rFonts w:hint="eastAsia" w:ascii="仿宋" w:hAnsi="仿宋" w:eastAsia="仿宋" w:cs="仿宋"/>
          <w:color w:val="auto"/>
          <w:highlight w:val="none"/>
        </w:rPr>
        <w:t>（三）杭州e融平台申请融资</w:t>
      </w:r>
    </w:p>
    <w:p>
      <w:pPr>
        <w:rPr>
          <w:rFonts w:hint="eastAsia" w:ascii="仿宋" w:hAnsi="仿宋" w:eastAsia="仿宋" w:cs="仿宋"/>
          <w:b/>
          <w:bCs/>
          <w:color w:val="auto"/>
          <w:highlight w:val="none"/>
        </w:rPr>
      </w:pPr>
      <w:r>
        <w:rPr>
          <w:rFonts w:hint="eastAsia" w:ascii="仿宋" w:hAnsi="仿宋" w:eastAsia="仿宋" w:cs="仿宋"/>
          <w:color w:val="auto"/>
          <w:highlight w:val="none"/>
        </w:rPr>
        <w:t>供应商通过杭州e融平台政采贷专区，自行选择金融产品，按规定手续办理贷款流程。</w:t>
      </w:r>
    </w:p>
    <w:p>
      <w:pPr>
        <w:rPr>
          <w:rFonts w:hint="eastAsia" w:ascii="仿宋" w:hAnsi="仿宋" w:eastAsia="仿宋" w:cs="仿宋"/>
          <w:b/>
          <w:color w:val="auto"/>
          <w:highlight w:val="none"/>
        </w:rPr>
      </w:pPr>
      <w:r>
        <w:rPr>
          <w:rFonts w:hint="eastAsia" w:ascii="仿宋" w:hAnsi="仿宋" w:eastAsia="仿宋" w:cs="仿宋"/>
          <w:b/>
          <w:color w:val="auto"/>
          <w:highlight w:val="none"/>
        </w:rPr>
        <w:t>四、注意事项</w:t>
      </w:r>
    </w:p>
    <w:p>
      <w:pPr>
        <w:rPr>
          <w:rFonts w:hint="eastAsia" w:ascii="仿宋" w:hAnsi="仿宋" w:eastAsia="仿宋" w:cs="仿宋"/>
          <w:color w:val="auto"/>
          <w:highlight w:val="none"/>
        </w:rPr>
      </w:pPr>
      <w:r>
        <w:rPr>
          <w:rFonts w:hint="eastAsia" w:ascii="仿宋" w:hAnsi="仿宋" w:eastAsia="仿宋" w:cs="仿宋"/>
          <w:color w:val="auto"/>
          <w:highlight w:val="none"/>
        </w:rPr>
        <w:t>1、对拟用于信用融资的政府采购合同，供应商在签订合同时应当在合同中注明融资银行名称及账号，作为在该银行的唯一收款账号。</w:t>
      </w:r>
    </w:p>
    <w:p>
      <w:pPr>
        <w:rPr>
          <w:rFonts w:hint="eastAsia" w:ascii="仿宋" w:hAnsi="仿宋" w:eastAsia="仿宋" w:cs="仿宋"/>
          <w:color w:val="auto"/>
          <w:highlight w:val="none"/>
        </w:rPr>
      </w:pPr>
      <w:r>
        <w:rPr>
          <w:rFonts w:hint="eastAsia" w:ascii="仿宋" w:hAnsi="仿宋" w:eastAsia="仿宋" w:cs="仿宋"/>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highlight w:val="none"/>
        </w:rPr>
      </w:pPr>
    </w:p>
    <w:p>
      <w:pPr>
        <w:spacing w:line="360" w:lineRule="auto"/>
        <w:ind w:firstLine="120" w:firstLineChars="50"/>
        <w:rPr>
          <w:rFonts w:hint="eastAsia" w:ascii="仿宋" w:hAnsi="仿宋" w:eastAsia="仿宋" w:cs="仿宋"/>
          <w:b/>
          <w:color w:val="auto"/>
          <w:highlight w:val="none"/>
        </w:rPr>
      </w:pPr>
    </w:p>
    <w:p>
      <w:pPr>
        <w:spacing w:line="360" w:lineRule="auto"/>
        <w:ind w:firstLine="482" w:firstLineChars="200"/>
        <w:rPr>
          <w:rFonts w:hint="eastAsia" w:ascii="仿宋" w:hAnsi="仿宋" w:eastAsia="仿宋" w:cs="仿宋"/>
          <w:b/>
          <w:color w:val="auto"/>
          <w:highlight w:val="none"/>
        </w:rPr>
      </w:pPr>
    </w:p>
    <w:p>
      <w:pPr>
        <w:pStyle w:val="7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bookmarkStart w:id="526" w:name="_Toc465665161"/>
      <w:r>
        <w:rPr>
          <w:rFonts w:hint="eastAsia" w:ascii="仿宋" w:hAnsi="仿宋" w:eastAsia="仿宋" w:cs="仿宋"/>
          <w:color w:val="auto"/>
          <w:highlight w:val="none"/>
        </w:rPr>
        <w:t>附件</w:t>
      </w:r>
      <w:bookmarkEnd w:id="526"/>
    </w:p>
    <w:p>
      <w:pPr>
        <w:pStyle w:val="2"/>
        <w:jc w:val="left"/>
        <w:rPr>
          <w:rFonts w:hint="eastAsia" w:ascii="仿宋" w:hAnsi="仿宋" w:eastAsia="仿宋" w:cs="仿宋"/>
          <w:color w:val="auto"/>
          <w:highlight w:val="none"/>
        </w:rPr>
      </w:pPr>
      <w:r>
        <w:rPr>
          <w:rFonts w:hint="eastAsia" w:ascii="仿宋" w:hAnsi="仿宋" w:eastAsia="仿宋" w:cs="仿宋"/>
          <w:color w:val="auto"/>
          <w:highlight w:val="none"/>
        </w:rPr>
        <w:t>附件1：残疾人福利性单位声明函</w:t>
      </w:r>
    </w:p>
    <w:p>
      <w:pPr>
        <w:spacing w:line="360" w:lineRule="auto"/>
        <w:jc w:val="center"/>
        <w:rPr>
          <w:rFonts w:hint="eastAsia" w:ascii="仿宋" w:hAnsi="仿宋" w:eastAsia="仿宋" w:cs="仿宋"/>
          <w:b/>
          <w:color w:val="auto"/>
          <w:spacing w:val="6"/>
          <w:sz w:val="32"/>
          <w:szCs w:val="32"/>
          <w:highlight w:val="none"/>
        </w:rPr>
      </w:pPr>
      <w:bookmarkStart w:id="527" w:name="OLE_LINK13"/>
      <w:bookmarkStart w:id="528" w:name="OLE_LINK14"/>
      <w:r>
        <w:rPr>
          <w:rFonts w:hint="eastAsia" w:ascii="仿宋" w:hAnsi="仿宋" w:eastAsia="仿宋" w:cs="仿宋"/>
          <w:b/>
          <w:color w:val="auto"/>
          <w:spacing w:val="6"/>
          <w:sz w:val="32"/>
          <w:szCs w:val="32"/>
          <w:highlight w:val="none"/>
        </w:rPr>
        <w:t>残疾人福利性单位声明函</w:t>
      </w:r>
    </w:p>
    <w:bookmarkEnd w:id="527"/>
    <w:bookmarkEnd w:id="528"/>
    <w:p>
      <w:pPr>
        <w:spacing w:line="360" w:lineRule="auto"/>
        <w:rPr>
          <w:rFonts w:hint="eastAsia" w:ascii="仿宋" w:hAnsi="仿宋" w:eastAsia="仿宋" w:cs="仿宋"/>
          <w:b/>
          <w:color w:val="auto"/>
          <w:spacing w:val="6"/>
          <w:sz w:val="30"/>
          <w:szCs w:val="30"/>
          <w:highlight w:val="none"/>
        </w:rPr>
      </w:pPr>
    </w:p>
    <w:p>
      <w:pPr>
        <w:pStyle w:val="57"/>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pStyle w:val="57"/>
        <w:rPr>
          <w:rFonts w:hint="eastAsia" w:ascii="仿宋" w:hAnsi="仿宋" w:eastAsia="仿宋" w:cs="仿宋"/>
          <w:color w:val="auto"/>
          <w:highlight w:val="none"/>
        </w:rPr>
      </w:pPr>
    </w:p>
    <w:p>
      <w:pPr>
        <w:pStyle w:val="57"/>
        <w:rPr>
          <w:rFonts w:hint="eastAsia" w:ascii="仿宋" w:hAnsi="仿宋" w:eastAsia="仿宋" w:cs="仿宋"/>
          <w:color w:val="auto"/>
          <w:highlight w:val="none"/>
        </w:rPr>
      </w:pPr>
    </w:p>
    <w:p>
      <w:pPr>
        <w:pStyle w:val="57"/>
        <w:jc w:val="right"/>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pStyle w:val="57"/>
        <w:jc w:val="right"/>
        <w:rPr>
          <w:rFonts w:hint="eastAsia" w:ascii="仿宋" w:hAnsi="仿宋" w:eastAsia="仿宋" w:cs="仿宋"/>
          <w:color w:val="auto"/>
          <w:highlight w:val="none"/>
        </w:rPr>
      </w:pPr>
      <w:r>
        <w:rPr>
          <w:rFonts w:hint="eastAsia" w:ascii="仿宋" w:hAnsi="仿宋" w:eastAsia="仿宋" w:cs="仿宋"/>
          <w:color w:val="auto"/>
          <w:highlight w:val="none"/>
        </w:rPr>
        <w:t>日  期：</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jc w:val="left"/>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pPr>
        <w:pStyle w:val="57"/>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pPr>
        <w:pStyle w:val="57"/>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pPr>
        <w:pStyle w:val="57"/>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pPr>
        <w:pStyle w:val="57"/>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pStyle w:val="2"/>
        <w:jc w:val="left"/>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pPr>
        <w:spacing w:line="360" w:lineRule="auto"/>
        <w:jc w:val="center"/>
        <w:rPr>
          <w:rFonts w:hint="eastAsia" w:ascii="仿宋" w:hAnsi="仿宋" w:eastAsia="仿宋" w:cs="仿宋"/>
          <w:b/>
          <w:color w:val="auto"/>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tabs>
          <w:tab w:val="left" w:pos="6510"/>
        </w:tabs>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tabs>
          <w:tab w:val="left" w:pos="6510"/>
        </w:tabs>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pPr>
        <w:spacing w:line="360" w:lineRule="auto"/>
        <w:ind w:firstLine="480" w:firstLineChars="200"/>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spacing w:line="360" w:lineRule="auto"/>
        <w:rPr>
          <w:rFonts w:hint="eastAsia" w:ascii="仿宋" w:hAnsi="仿宋" w:eastAsia="仿宋" w:cs="仿宋"/>
          <w:b/>
          <w:color w:val="auto"/>
          <w:highlight w:val="none"/>
        </w:rPr>
      </w:pPr>
    </w:p>
    <w:p>
      <w:pPr>
        <w:spacing w:line="360" w:lineRule="auto"/>
        <w:rPr>
          <w:rFonts w:hint="eastAsia" w:ascii="仿宋" w:hAnsi="仿宋" w:eastAsia="仿宋" w:cs="仿宋"/>
          <w:b/>
          <w:color w:val="auto"/>
          <w:highlight w:val="none"/>
        </w:rPr>
      </w:pP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2"/>
        <w:jc w:val="left"/>
        <w:rPr>
          <w:rFonts w:hint="eastAsia" w:ascii="仿宋" w:hAnsi="仿宋" w:eastAsia="仿宋" w:cs="仿宋"/>
          <w:color w:val="auto"/>
          <w:highlight w:val="none"/>
        </w:rPr>
      </w:pPr>
      <w:r>
        <w:rPr>
          <w:rFonts w:hint="eastAsia" w:ascii="仿宋" w:hAnsi="仿宋" w:eastAsia="仿宋" w:cs="仿宋"/>
          <w:color w:val="auto"/>
          <w:spacing w:val="6"/>
          <w:highlight w:val="none"/>
        </w:rPr>
        <w:t>附件4：</w:t>
      </w:r>
      <w:r>
        <w:rPr>
          <w:rFonts w:hint="eastAsia" w:ascii="仿宋" w:hAnsi="仿宋" w:eastAsia="仿宋" w:cs="仿宋"/>
          <w:color w:val="auto"/>
          <w:highlight w:val="none"/>
        </w:rPr>
        <w:t>业务专用章使用说明函</w:t>
      </w:r>
    </w:p>
    <w:p>
      <w:pPr>
        <w:spacing w:line="276" w:lineRule="auto"/>
        <w:jc w:val="center"/>
        <w:rPr>
          <w:rFonts w:hint="eastAsia" w:ascii="仿宋" w:hAnsi="仿宋" w:eastAsia="仿宋" w:cs="仿宋"/>
          <w:b/>
          <w:smallCaps/>
          <w:color w:val="auto"/>
          <w:spacing w:val="6"/>
          <w:sz w:val="36"/>
          <w:szCs w:val="28"/>
          <w:highlight w:val="none"/>
        </w:rPr>
      </w:pPr>
      <w:r>
        <w:rPr>
          <w:rFonts w:hint="eastAsia" w:ascii="仿宋" w:hAnsi="仿宋" w:eastAsia="仿宋" w:cs="仿宋"/>
          <w:b/>
          <w:color w:val="auto"/>
          <w:sz w:val="32"/>
          <w:highlight w:val="none"/>
        </w:rPr>
        <w:t>业务专用章使用说明函</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（采购人）、（采购代理机构）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rPr>
        <w:t>(投标人全称)是中华人民共和国依法登记注册的合法企业，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你方组织的（项目名称）项目【招标编号：（采购编号）】</w:t>
      </w:r>
      <w:r>
        <w:rPr>
          <w:rFonts w:hint="eastAsia" w:ascii="仿宋" w:hAnsi="仿宋" w:eastAsia="仿宋" w:cs="仿宋"/>
          <w:bCs/>
          <w:color w:val="auto"/>
          <w:highlight w:val="none"/>
        </w:rPr>
        <w:t>投标活动中作如下说明：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pPr>
        <w:spacing w:line="360" w:lineRule="auto"/>
        <w:ind w:firstLine="494"/>
        <w:rPr>
          <w:rFonts w:hint="eastAsia" w:ascii="仿宋" w:hAnsi="仿宋" w:eastAsia="仿宋" w:cs="仿宋"/>
          <w:color w:val="auto"/>
          <w:highlight w:val="none"/>
        </w:rPr>
      </w:pPr>
    </w:p>
    <w:p>
      <w:pPr>
        <w:spacing w:line="360" w:lineRule="auto"/>
        <w:ind w:firstLine="494"/>
        <w:rPr>
          <w:rFonts w:hint="eastAsia" w:ascii="仿宋" w:hAnsi="仿宋" w:eastAsia="仿宋" w:cs="仿宋"/>
          <w:color w:val="auto"/>
          <w:highlight w:val="none"/>
        </w:rPr>
      </w:pPr>
    </w:p>
    <w:p>
      <w:pPr>
        <w:spacing w:line="360" w:lineRule="auto"/>
        <w:ind w:firstLine="494"/>
        <w:rPr>
          <w:rFonts w:hint="eastAsia" w:ascii="仿宋" w:hAnsi="仿宋" w:eastAsia="仿宋" w:cs="仿宋"/>
          <w:color w:val="auto"/>
          <w:highlight w:val="none"/>
        </w:rPr>
      </w:pPr>
    </w:p>
    <w:p>
      <w:pPr>
        <w:spacing w:line="360" w:lineRule="auto"/>
        <w:ind w:firstLine="494"/>
        <w:rPr>
          <w:rFonts w:hint="eastAsia" w:ascii="仿宋" w:hAnsi="仿宋" w:eastAsia="仿宋" w:cs="仿宋"/>
          <w:color w:val="auto"/>
          <w:highlight w:val="none"/>
        </w:rPr>
      </w:pPr>
    </w:p>
    <w:p>
      <w:pPr>
        <w:spacing w:line="360" w:lineRule="auto"/>
        <w:ind w:right="480"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pPr>
        <w:ind w:right="1440" w:firstLine="494"/>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rPr>
          <w:rFonts w:hint="eastAsia" w:ascii="仿宋" w:hAnsi="仿宋" w:eastAsia="仿宋" w:cs="仿宋"/>
          <w:color w:val="auto"/>
          <w:highlight w:val="none"/>
        </w:rPr>
      </w:pPr>
      <w:r>
        <w:rPr>
          <w:rFonts w:hint="eastAsia" w:ascii="仿宋" w:hAnsi="仿宋" w:eastAsia="仿宋" w:cs="仿宋"/>
          <w:b/>
          <w:bCs/>
          <w:color w:val="auto"/>
          <w:highlight w:val="none"/>
        </w:rPr>
        <w:t>附：</w:t>
      </w:r>
    </w:p>
    <w:p>
      <w:pPr>
        <w:spacing w:line="360" w:lineRule="auto"/>
        <w:rPr>
          <w:rFonts w:hint="eastAsia" w:ascii="仿宋" w:hAnsi="仿宋" w:eastAsia="仿宋" w:cs="仿宋"/>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highlight w:val="none"/>
        </w:rPr>
        <w:t>投标单位法定名称章（印模）                投标单位“XX专用章”（印模）</w:t>
      </w:r>
    </w:p>
    <w:p>
      <w:pPr>
        <w:spacing w:line="276" w:lineRule="auto"/>
        <w:rPr>
          <w:rFonts w:hint="eastAsia" w:ascii="仿宋" w:hAnsi="仿宋" w:eastAsia="仿宋" w:cs="仿宋"/>
          <w:b/>
          <w:color w:val="auto"/>
          <w:spacing w:val="6"/>
          <w:sz w:val="32"/>
          <w:szCs w:val="32"/>
          <w:highlight w:val="none"/>
        </w:rPr>
      </w:pPr>
    </w:p>
    <w:p>
      <w:pPr>
        <w:spacing w:line="276" w:lineRule="auto"/>
        <w:rPr>
          <w:rFonts w:hint="eastAsia" w:ascii="仿宋" w:hAnsi="仿宋" w:eastAsia="仿宋" w:cs="仿宋"/>
          <w:b/>
          <w:smallCaps/>
          <w:color w:val="auto"/>
          <w:spacing w:val="6"/>
          <w:sz w:val="28"/>
          <w:szCs w:val="28"/>
          <w:highlight w:val="none"/>
        </w:rPr>
      </w:pPr>
    </w:p>
    <w:p>
      <w:pPr>
        <w:spacing w:line="276" w:lineRule="auto"/>
        <w:rPr>
          <w:rFonts w:hint="eastAsia" w:ascii="仿宋" w:hAnsi="仿宋" w:eastAsia="仿宋" w:cs="仿宋"/>
          <w:b/>
          <w:smallCaps/>
          <w:color w:val="auto"/>
          <w:spacing w:val="6"/>
          <w:sz w:val="28"/>
          <w:szCs w:val="28"/>
          <w:highlight w:val="none"/>
        </w:rPr>
      </w:pPr>
      <w:r>
        <w:rPr>
          <w:rFonts w:hint="eastAsia" w:ascii="仿宋" w:hAnsi="仿宋" w:eastAsia="仿宋" w:cs="仿宋"/>
          <w:color w:val="auto"/>
          <w:spacing w:val="6"/>
          <w:highlight w:val="none"/>
        </w:rPr>
        <w:br w:type="page"/>
      </w:r>
    </w:p>
    <w:p>
      <w:pPr>
        <w:pStyle w:val="2"/>
        <w:rPr>
          <w:rFonts w:hint="eastAsia" w:ascii="仿宋" w:hAnsi="仿宋" w:eastAsia="仿宋" w:cs="仿宋"/>
          <w:bCs/>
          <w:color w:val="auto"/>
          <w:highlight w:val="none"/>
        </w:rPr>
      </w:pPr>
      <w:r>
        <w:rPr>
          <w:rFonts w:hint="eastAsia" w:ascii="仿宋" w:hAnsi="仿宋" w:eastAsia="仿宋" w:cs="仿宋"/>
          <w:color w:val="auto"/>
          <w:spacing w:val="6"/>
          <w:highlight w:val="none"/>
        </w:rPr>
        <w:t>附件5：</w:t>
      </w:r>
      <w:r>
        <w:rPr>
          <w:rFonts w:hint="eastAsia" w:ascii="仿宋" w:hAnsi="仿宋" w:eastAsia="仿宋" w:cs="仿宋"/>
          <w:color w:val="auto"/>
          <w:highlight w:val="none"/>
        </w:rPr>
        <w:t>中小企业声明函</w:t>
      </w:r>
    </w:p>
    <w:p>
      <w:pPr>
        <w:spacing w:line="360" w:lineRule="auto"/>
        <w:jc w:val="center"/>
        <w:rPr>
          <w:rFonts w:hint="eastAsia" w:ascii="仿宋" w:hAnsi="仿宋" w:eastAsia="仿宋" w:cs="仿宋"/>
          <w:color w:val="auto"/>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（单位名称） </w:t>
      </w:r>
      <w:r>
        <w:rPr>
          <w:rFonts w:hint="eastAsia" w:ascii="仿宋" w:hAnsi="仿宋" w:eastAsia="仿宋" w:cs="仿宋"/>
          <w:color w:val="auto"/>
          <w:highlight w:val="none"/>
        </w:rPr>
        <w:t xml:space="preserve">的 </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 ，属于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w:t>
      </w:r>
      <w:r>
        <w:rPr>
          <w:rFonts w:hint="eastAsia" w:ascii="仿宋" w:hAnsi="仿宋" w:eastAsia="仿宋" w:cs="仿宋"/>
          <w:color w:val="auto"/>
          <w:highlight w:val="none"/>
        </w:rPr>
        <w:t xml:space="preserve"> ；</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 ，属于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w:t>
      </w:r>
      <w:r>
        <w:rPr>
          <w:rFonts w:hint="eastAsia" w:ascii="仿宋" w:hAnsi="仿宋" w:eastAsia="仿宋" w:cs="仿宋"/>
          <w:color w:val="auto"/>
          <w:highlight w:val="none"/>
        </w:rPr>
        <w:t xml:space="preserve"> ；</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（单位名称）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spacing w:line="360" w:lineRule="auto"/>
        <w:ind w:right="1120" w:firstLine="4680" w:firstLineChars="1950"/>
        <w:rPr>
          <w:rFonts w:hint="eastAsia" w:ascii="仿宋" w:hAnsi="仿宋" w:eastAsia="仿宋" w:cs="仿宋"/>
          <w:color w:val="auto"/>
          <w:highlight w:val="none"/>
        </w:rPr>
      </w:pPr>
      <w:r>
        <w:rPr>
          <w:rFonts w:hint="eastAsia" w:ascii="仿宋" w:hAnsi="仿宋" w:eastAsia="仿宋" w:cs="仿宋"/>
          <w:color w:val="auto"/>
          <w:highlight w:val="none"/>
        </w:rPr>
        <w:t>日 期：</w:t>
      </w:r>
    </w:p>
    <w:p>
      <w:pPr>
        <w:spacing w:line="360" w:lineRule="auto"/>
        <w:ind w:firstLine="354" w:firstLineChars="147"/>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highlight w:val="none"/>
        </w:rPr>
      </w:pPr>
    </w:p>
    <w:p>
      <w:pPr>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 xml:space="preserve">   注：</w:t>
      </w:r>
    </w:p>
    <w:p>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附件6样品（演示）授权委托书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90" w:leftChars="121" w:firstLine="48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90" w:leftChars="121"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spacing w:line="360" w:lineRule="auto"/>
        <w:ind w:right="420"/>
        <w:rPr>
          <w:rFonts w:hint="eastAsia" w:ascii="仿宋" w:hAnsi="仿宋" w:eastAsia="仿宋" w:cs="仿宋"/>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w:t>
    </w:r>
    <w:r>
      <w:rPr>
        <w:rFonts w:hint="eastAsia"/>
      </w:rPr>
      <w:t xml:space="preserve">             </w:t>
    </w:r>
    <w:r>
      <w:t>杭州市政府采购公开招标文件</w:t>
    </w:r>
  </w:p>
  <w:p>
    <w:pPr>
      <w:pStyle w:val="21"/>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E6B47"/>
    <w:rsid w:val="00A5394E"/>
    <w:rsid w:val="00A955FA"/>
    <w:rsid w:val="00AB3C03"/>
    <w:rsid w:val="00AC5A89"/>
    <w:rsid w:val="00B34428"/>
    <w:rsid w:val="00B50722"/>
    <w:rsid w:val="00B638D9"/>
    <w:rsid w:val="00C555C7"/>
    <w:rsid w:val="00CA5372"/>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4BB1519"/>
    <w:rsid w:val="10632F08"/>
    <w:rsid w:val="19A35425"/>
    <w:rsid w:val="1C290008"/>
    <w:rsid w:val="20E05738"/>
    <w:rsid w:val="22202CE9"/>
    <w:rsid w:val="29A64E85"/>
    <w:rsid w:val="2BC41B09"/>
    <w:rsid w:val="2E1A4C6F"/>
    <w:rsid w:val="328F5F4B"/>
    <w:rsid w:val="33D60E39"/>
    <w:rsid w:val="37696AE0"/>
    <w:rsid w:val="38CA5D45"/>
    <w:rsid w:val="3C1D31FF"/>
    <w:rsid w:val="3CDE195C"/>
    <w:rsid w:val="3DA73E54"/>
    <w:rsid w:val="3F935063"/>
    <w:rsid w:val="4285504F"/>
    <w:rsid w:val="4C302DCB"/>
    <w:rsid w:val="521A17D6"/>
    <w:rsid w:val="5DBF4F87"/>
    <w:rsid w:val="5DF845D7"/>
    <w:rsid w:val="650869CE"/>
    <w:rsid w:val="658F68CB"/>
    <w:rsid w:val="742E49D3"/>
    <w:rsid w:val="7CFA5674"/>
    <w:rsid w:val="7F8E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1"/>
    <w:qFormat/>
    <w:uiPriority w:val="9"/>
    <w:pPr>
      <w:spacing w:before="480" w:after="0"/>
      <w:contextualSpacing/>
      <w:jc w:val="center"/>
      <w:outlineLvl w:val="0"/>
    </w:pPr>
    <w:rPr>
      <w:rFonts w:ascii="仿宋_GB2312" w:eastAsia="仿宋_GB2312"/>
      <w:b/>
      <w:smallCaps/>
      <w:spacing w:val="5"/>
      <w:sz w:val="36"/>
      <w:szCs w:val="36"/>
    </w:rPr>
  </w:style>
  <w:style w:type="paragraph" w:styleId="2">
    <w:name w:val="heading 2"/>
    <w:basedOn w:val="1"/>
    <w:next w:val="1"/>
    <w:link w:val="32"/>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33"/>
    <w:unhideWhenUsed/>
    <w:qFormat/>
    <w:uiPriority w:val="9"/>
    <w:pPr>
      <w:outlineLvl w:val="2"/>
    </w:pPr>
    <w:rPr>
      <w:b/>
    </w:rPr>
  </w:style>
  <w:style w:type="paragraph" w:styleId="5">
    <w:name w:val="heading 4"/>
    <w:basedOn w:val="1"/>
    <w:next w:val="1"/>
    <w:link w:val="34"/>
    <w:unhideWhenUsed/>
    <w:qFormat/>
    <w:uiPriority w:val="9"/>
    <w:pPr>
      <w:spacing w:after="0" w:line="271" w:lineRule="auto"/>
      <w:outlineLvl w:val="3"/>
    </w:pPr>
    <w:rPr>
      <w:b/>
      <w:bCs/>
      <w:spacing w:val="5"/>
    </w:rPr>
  </w:style>
  <w:style w:type="paragraph" w:styleId="6">
    <w:name w:val="heading 5"/>
    <w:basedOn w:val="1"/>
    <w:next w:val="1"/>
    <w:link w:val="35"/>
    <w:unhideWhenUsed/>
    <w:qFormat/>
    <w:uiPriority w:val="9"/>
    <w:pPr>
      <w:spacing w:after="0" w:line="271" w:lineRule="auto"/>
      <w:outlineLvl w:val="4"/>
    </w:pPr>
    <w:rPr>
      <w:i/>
      <w:iCs/>
    </w:rPr>
  </w:style>
  <w:style w:type="paragraph" w:styleId="7">
    <w:name w:val="heading 6"/>
    <w:basedOn w:val="1"/>
    <w:next w:val="1"/>
    <w:link w:val="36"/>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7"/>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38"/>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39"/>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58"/>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Body Text"/>
    <w:basedOn w:val="1"/>
    <w:next w:val="14"/>
    <w:qFormat/>
    <w:uiPriority w:val="0"/>
    <w:pPr>
      <w:spacing w:after="120"/>
    </w:pPr>
  </w:style>
  <w:style w:type="paragraph" w:styleId="14">
    <w:name w:val="Body Text First Indent"/>
    <w:basedOn w:val="13"/>
    <w:next w:val="1"/>
    <w:unhideWhenUsed/>
    <w:qFormat/>
    <w:uiPriority w:val="99"/>
    <w:pPr>
      <w:ind w:firstLine="420" w:firstLineChars="100"/>
    </w:pPr>
  </w:style>
  <w:style w:type="paragraph" w:styleId="15">
    <w:name w:val="Body Text Indent"/>
    <w:basedOn w:val="1"/>
    <w:next w:val="11"/>
    <w:link w:val="61"/>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Plain Text"/>
    <w:basedOn w:val="1"/>
    <w:link w:val="59"/>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73"/>
    <w:semiHidden/>
    <w:unhideWhenUsed/>
    <w:qFormat/>
    <w:uiPriority w:val="99"/>
    <w:pPr>
      <w:spacing w:after="0"/>
    </w:pPr>
    <w:rPr>
      <w:sz w:val="18"/>
      <w:szCs w:val="18"/>
    </w:rPr>
  </w:style>
  <w:style w:type="paragraph" w:styleId="18">
    <w:name w:val="footer"/>
    <w:basedOn w:val="1"/>
    <w:link w:val="30"/>
    <w:unhideWhenUsed/>
    <w:qFormat/>
    <w:uiPriority w:val="99"/>
    <w:pPr>
      <w:tabs>
        <w:tab w:val="center" w:pos="4153"/>
        <w:tab w:val="right" w:pos="8306"/>
      </w:tabs>
      <w:snapToGrid w:val="0"/>
    </w:pPr>
    <w:rPr>
      <w:sz w:val="18"/>
      <w:szCs w:val="18"/>
    </w:rPr>
  </w:style>
  <w:style w:type="paragraph" w:styleId="1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1"/>
    <w:qFormat/>
    <w:uiPriority w:val="11"/>
    <w:rPr>
      <w:i/>
      <w:iCs/>
      <w:smallCaps/>
      <w:spacing w:val="10"/>
      <w:sz w:val="28"/>
      <w:szCs w:val="28"/>
    </w:rPr>
  </w:style>
  <w:style w:type="paragraph" w:styleId="21">
    <w:name w:val="Title"/>
    <w:basedOn w:val="1"/>
    <w:next w:val="1"/>
    <w:link w:val="40"/>
    <w:qFormat/>
    <w:uiPriority w:val="10"/>
    <w:pPr>
      <w:spacing w:after="300"/>
      <w:contextualSpacing/>
    </w:pPr>
    <w:rPr>
      <w:smallCaps/>
      <w:sz w:val="52"/>
      <w:szCs w:val="52"/>
    </w:rPr>
  </w:style>
  <w:style w:type="paragraph" w:styleId="22">
    <w:name w:val="Body Text First Indent 2"/>
    <w:basedOn w:val="15"/>
    <w:next w:val="1"/>
    <w:qFormat/>
    <w:uiPriority w:val="0"/>
    <w:pPr>
      <w:adjustRightInd/>
      <w:spacing w:after="120" w:line="240" w:lineRule="auto"/>
      <w:ind w:left="420" w:leftChars="200" w:firstLine="210"/>
    </w:pPr>
    <w:rPr>
      <w:sz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Emphasis"/>
    <w:qFormat/>
    <w:uiPriority w:val="20"/>
    <w:rPr>
      <w:b/>
      <w:bCs/>
      <w:i/>
      <w:iCs/>
      <w:spacing w:val="10"/>
    </w:rPr>
  </w:style>
  <w:style w:type="character" w:styleId="28">
    <w:name w:val="Hyperlink"/>
    <w:qFormat/>
    <w:uiPriority w:val="99"/>
    <w:rPr>
      <w:rFonts w:ascii="Arial" w:hAnsi="Arial" w:eastAsia="黑体" w:cs="Arial"/>
      <w:snapToGrid w:val="0"/>
      <w:color w:val="000000"/>
      <w:kern w:val="0"/>
      <w:sz w:val="18"/>
      <w:szCs w:val="18"/>
      <w:u w:val="none"/>
    </w:rPr>
  </w:style>
  <w:style w:type="character" w:customStyle="1" w:styleId="29">
    <w:name w:val="页眉 Char"/>
    <w:basedOn w:val="25"/>
    <w:link w:val="19"/>
    <w:qFormat/>
    <w:uiPriority w:val="99"/>
    <w:rPr>
      <w:sz w:val="18"/>
      <w:szCs w:val="18"/>
    </w:rPr>
  </w:style>
  <w:style w:type="character" w:customStyle="1" w:styleId="30">
    <w:name w:val="页脚 Char"/>
    <w:basedOn w:val="25"/>
    <w:link w:val="18"/>
    <w:qFormat/>
    <w:uiPriority w:val="99"/>
    <w:rPr>
      <w:sz w:val="18"/>
      <w:szCs w:val="18"/>
    </w:rPr>
  </w:style>
  <w:style w:type="character" w:customStyle="1" w:styleId="31">
    <w:name w:val="标题 1 Char"/>
    <w:basedOn w:val="25"/>
    <w:link w:val="3"/>
    <w:qFormat/>
    <w:uiPriority w:val="9"/>
    <w:rPr>
      <w:rFonts w:ascii="仿宋_GB2312" w:hAnsi="仿宋" w:eastAsia="仿宋_GB2312"/>
      <w:b/>
      <w:smallCaps/>
      <w:spacing w:val="5"/>
      <w:sz w:val="36"/>
      <w:szCs w:val="36"/>
    </w:rPr>
  </w:style>
  <w:style w:type="character" w:customStyle="1" w:styleId="32">
    <w:name w:val="标题 2 Char"/>
    <w:basedOn w:val="25"/>
    <w:link w:val="2"/>
    <w:qFormat/>
    <w:uiPriority w:val="9"/>
    <w:rPr>
      <w:rFonts w:ascii="仿宋" w:hAnsi="仿宋" w:eastAsia="仿宋"/>
      <w:b/>
      <w:smallCaps/>
      <w:sz w:val="28"/>
      <w:szCs w:val="28"/>
    </w:rPr>
  </w:style>
  <w:style w:type="character" w:customStyle="1" w:styleId="33">
    <w:name w:val="标题 3 Char"/>
    <w:basedOn w:val="25"/>
    <w:link w:val="4"/>
    <w:qFormat/>
    <w:uiPriority w:val="9"/>
    <w:rPr>
      <w:rFonts w:ascii="仿宋" w:hAnsi="仿宋" w:eastAsia="仿宋"/>
      <w:b/>
      <w:sz w:val="24"/>
      <w:szCs w:val="24"/>
    </w:rPr>
  </w:style>
  <w:style w:type="character" w:customStyle="1" w:styleId="34">
    <w:name w:val="标题 4 Char"/>
    <w:basedOn w:val="25"/>
    <w:link w:val="5"/>
    <w:qFormat/>
    <w:uiPriority w:val="9"/>
    <w:rPr>
      <w:b/>
      <w:bCs/>
      <w:spacing w:val="5"/>
      <w:sz w:val="24"/>
      <w:szCs w:val="24"/>
    </w:rPr>
  </w:style>
  <w:style w:type="character" w:customStyle="1" w:styleId="35">
    <w:name w:val="标题 5 Char"/>
    <w:basedOn w:val="25"/>
    <w:link w:val="6"/>
    <w:qFormat/>
    <w:uiPriority w:val="9"/>
    <w:rPr>
      <w:i/>
      <w:iCs/>
      <w:sz w:val="24"/>
      <w:szCs w:val="24"/>
    </w:rPr>
  </w:style>
  <w:style w:type="character" w:customStyle="1" w:styleId="36">
    <w:name w:val="标题 6 Char"/>
    <w:basedOn w:val="25"/>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7">
    <w:name w:val="标题 7 Char"/>
    <w:basedOn w:val="25"/>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8">
    <w:name w:val="标题 8 Char"/>
    <w:basedOn w:val="25"/>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9">
    <w:name w:val="标题 9 Char"/>
    <w:basedOn w:val="25"/>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0">
    <w:name w:val="标题 Char"/>
    <w:basedOn w:val="25"/>
    <w:link w:val="21"/>
    <w:qFormat/>
    <w:uiPriority w:val="10"/>
    <w:rPr>
      <w:smallCaps/>
      <w:sz w:val="52"/>
      <w:szCs w:val="52"/>
    </w:rPr>
  </w:style>
  <w:style w:type="character" w:customStyle="1" w:styleId="41">
    <w:name w:val="副标题 Char"/>
    <w:basedOn w:val="25"/>
    <w:link w:val="20"/>
    <w:qFormat/>
    <w:uiPriority w:val="11"/>
    <w:rPr>
      <w:i/>
      <w:iCs/>
      <w:smallCaps/>
      <w:spacing w:val="10"/>
      <w:sz w:val="28"/>
      <w:szCs w:val="28"/>
    </w:rPr>
  </w:style>
  <w:style w:type="paragraph" w:styleId="42">
    <w:name w:val="No Spacing"/>
    <w:basedOn w:val="1"/>
    <w:link w:val="54"/>
    <w:qFormat/>
    <w:uiPriority w:val="1"/>
    <w:pPr>
      <w:spacing w:after="0"/>
    </w:pPr>
  </w:style>
  <w:style w:type="paragraph" w:styleId="43">
    <w:name w:val="List Paragraph"/>
    <w:basedOn w:val="1"/>
    <w:qFormat/>
    <w:uiPriority w:val="34"/>
    <w:pPr>
      <w:ind w:left="720"/>
      <w:contextualSpacing/>
    </w:pPr>
  </w:style>
  <w:style w:type="paragraph" w:styleId="44">
    <w:name w:val="Quote"/>
    <w:basedOn w:val="1"/>
    <w:next w:val="1"/>
    <w:link w:val="45"/>
    <w:qFormat/>
    <w:uiPriority w:val="29"/>
    <w:rPr>
      <w:i/>
      <w:iCs/>
    </w:rPr>
  </w:style>
  <w:style w:type="character" w:customStyle="1" w:styleId="45">
    <w:name w:val="引用 Char"/>
    <w:basedOn w:val="25"/>
    <w:link w:val="44"/>
    <w:qFormat/>
    <w:uiPriority w:val="29"/>
    <w:rPr>
      <w:i/>
      <w:iCs/>
    </w:rPr>
  </w:style>
  <w:style w:type="paragraph" w:styleId="46">
    <w:name w:val="Intense Quote"/>
    <w:basedOn w:val="1"/>
    <w:next w:val="1"/>
    <w:link w:val="47"/>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7">
    <w:name w:val="明显引用 Char"/>
    <w:basedOn w:val="25"/>
    <w:link w:val="46"/>
    <w:qFormat/>
    <w:uiPriority w:val="30"/>
    <w:rPr>
      <w:i/>
      <w:iCs/>
    </w:rPr>
  </w:style>
  <w:style w:type="character" w:customStyle="1" w:styleId="48">
    <w:name w:val="不明显强调1"/>
    <w:qFormat/>
    <w:uiPriority w:val="19"/>
    <w:rPr>
      <w:i/>
      <w:iCs/>
    </w:rPr>
  </w:style>
  <w:style w:type="character" w:customStyle="1" w:styleId="49">
    <w:name w:val="明显强调1"/>
    <w:qFormat/>
    <w:uiPriority w:val="21"/>
    <w:rPr>
      <w:b/>
      <w:bCs/>
      <w:i/>
      <w:iCs/>
    </w:rPr>
  </w:style>
  <w:style w:type="character" w:customStyle="1" w:styleId="50">
    <w:name w:val="不明显参考1"/>
    <w:basedOn w:val="25"/>
    <w:qFormat/>
    <w:uiPriority w:val="31"/>
    <w:rPr>
      <w:smallCaps/>
    </w:rPr>
  </w:style>
  <w:style w:type="character" w:customStyle="1" w:styleId="51">
    <w:name w:val="明显参考1"/>
    <w:qFormat/>
    <w:uiPriority w:val="32"/>
    <w:rPr>
      <w:b/>
      <w:bCs/>
      <w:smallCaps/>
    </w:rPr>
  </w:style>
  <w:style w:type="character" w:customStyle="1" w:styleId="52">
    <w:name w:val="书籍标题1"/>
    <w:basedOn w:val="25"/>
    <w:qFormat/>
    <w:uiPriority w:val="33"/>
    <w:rPr>
      <w:i/>
      <w:iCs/>
      <w:smallCaps/>
      <w:spacing w:val="5"/>
    </w:rPr>
  </w:style>
  <w:style w:type="paragraph" w:customStyle="1" w:styleId="53">
    <w:name w:val="TOC 标题1"/>
    <w:basedOn w:val="3"/>
    <w:next w:val="1"/>
    <w:semiHidden/>
    <w:unhideWhenUsed/>
    <w:qFormat/>
    <w:uiPriority w:val="39"/>
    <w:pPr>
      <w:outlineLvl w:val="9"/>
    </w:pPr>
    <w:rPr>
      <w:lang w:bidi="en-US"/>
    </w:rPr>
  </w:style>
  <w:style w:type="character" w:customStyle="1" w:styleId="54">
    <w:name w:val="无间隔 Char"/>
    <w:basedOn w:val="25"/>
    <w:link w:val="42"/>
    <w:qFormat/>
    <w:uiPriority w:val="1"/>
  </w:style>
  <w:style w:type="paragraph" w:customStyle="1" w:styleId="55">
    <w:name w:val="Personal Name"/>
    <w:basedOn w:val="21"/>
    <w:qFormat/>
    <w:uiPriority w:val="0"/>
    <w:rPr>
      <w:b/>
      <w:caps/>
      <w:color w:val="000000"/>
      <w:sz w:val="28"/>
      <w:szCs w:val="28"/>
    </w:rPr>
  </w:style>
  <w:style w:type="character" w:customStyle="1" w:styleId="56">
    <w:name w:val="正文2 Char Char"/>
    <w:link w:val="57"/>
    <w:qFormat/>
    <w:uiPriority w:val="0"/>
    <w:rPr>
      <w:rFonts w:ascii="仿宋" w:hAnsi="仿宋" w:eastAsia="仿宋"/>
      <w:sz w:val="24"/>
      <w:szCs w:val="24"/>
    </w:rPr>
  </w:style>
  <w:style w:type="paragraph" w:customStyle="1" w:styleId="57">
    <w:name w:val="正文2"/>
    <w:basedOn w:val="1"/>
    <w:link w:val="56"/>
    <w:qFormat/>
    <w:uiPriority w:val="0"/>
    <w:pPr>
      <w:spacing w:line="360" w:lineRule="auto"/>
    </w:pPr>
  </w:style>
  <w:style w:type="character" w:customStyle="1" w:styleId="58">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59">
    <w:name w:val="纯文本 Char"/>
    <w:basedOn w:val="25"/>
    <w:link w:val="16"/>
    <w:qFormat/>
    <w:uiPriority w:val="0"/>
    <w:rPr>
      <w:rFonts w:ascii="宋体" w:hAnsi="Courier New" w:eastAsia="宋体" w:cs="Arial"/>
      <w:snapToGrid w:val="0"/>
      <w:kern w:val="2"/>
      <w:sz w:val="21"/>
      <w:szCs w:val="21"/>
    </w:rPr>
  </w:style>
  <w:style w:type="character" w:customStyle="1" w:styleId="60">
    <w:name w:val="正文文本缩进 Char"/>
    <w:basedOn w:val="25"/>
    <w:semiHidden/>
    <w:qFormat/>
    <w:uiPriority w:val="99"/>
    <w:rPr>
      <w:rFonts w:ascii="仿宋" w:hAnsi="仿宋" w:eastAsia="仿宋"/>
      <w:sz w:val="24"/>
      <w:szCs w:val="24"/>
    </w:rPr>
  </w:style>
  <w:style w:type="character" w:customStyle="1" w:styleId="61">
    <w:name w:val="正文文本缩进 Char1"/>
    <w:link w:val="15"/>
    <w:qFormat/>
    <w:uiPriority w:val="0"/>
    <w:rPr>
      <w:rFonts w:ascii="宋体" w:hAnsi="宋体" w:eastAsia="宋体" w:cs="Times New Roman"/>
      <w:kern w:val="2"/>
      <w:sz w:val="24"/>
      <w:szCs w:val="24"/>
    </w:rPr>
  </w:style>
  <w:style w:type="character" w:customStyle="1" w:styleId="62">
    <w:name w:val="标题 Char2"/>
    <w:qFormat/>
    <w:uiPriority w:val="10"/>
    <w:rPr>
      <w:b/>
      <w:sz w:val="24"/>
      <w:lang w:val="en-GB"/>
    </w:rPr>
  </w:style>
  <w:style w:type="character" w:customStyle="1" w:styleId="63">
    <w:name w:val="纯文本 Char1"/>
    <w:link w:val="64"/>
    <w:qFormat/>
    <w:uiPriority w:val="0"/>
    <w:rPr>
      <w:rFonts w:ascii="宋体" w:hAnsi="Courier New"/>
    </w:rPr>
  </w:style>
  <w:style w:type="paragraph" w:customStyle="1" w:styleId="64">
    <w:name w:val="纯文本1"/>
    <w:basedOn w:val="1"/>
    <w:link w:val="63"/>
    <w:qFormat/>
    <w:uiPriority w:val="0"/>
    <w:pPr>
      <w:widowControl w:val="0"/>
      <w:spacing w:after="0"/>
      <w:jc w:val="both"/>
    </w:pPr>
    <w:rPr>
      <w:rFonts w:ascii="宋体" w:hAnsi="Courier New" w:eastAsiaTheme="majorEastAsia"/>
      <w:sz w:val="22"/>
      <w:szCs w:val="22"/>
    </w:rPr>
  </w:style>
  <w:style w:type="character" w:customStyle="1" w:styleId="65">
    <w:name w:val="页脚 Char2"/>
    <w:qFormat/>
    <w:locked/>
    <w:uiPriority w:val="99"/>
    <w:rPr>
      <w:kern w:val="2"/>
      <w:sz w:val="18"/>
      <w:szCs w:val="18"/>
    </w:rPr>
  </w:style>
  <w:style w:type="character" w:customStyle="1" w:styleId="66">
    <w:name w:val="页眉 Char2"/>
    <w:qFormat/>
    <w:uiPriority w:val="99"/>
    <w:rPr>
      <w:kern w:val="2"/>
      <w:sz w:val="18"/>
      <w:szCs w:val="18"/>
    </w:rPr>
  </w:style>
  <w:style w:type="paragraph" w:customStyle="1" w:styleId="67">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8">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9">
    <w:name w:val="text-tag"/>
    <w:basedOn w:val="1"/>
    <w:semiHidden/>
    <w:qFormat/>
    <w:uiPriority w:val="99"/>
    <w:pPr>
      <w:spacing w:before="100" w:beforeAutospacing="1" w:after="100" w:afterAutospacing="1"/>
    </w:pPr>
    <w:rPr>
      <w:rFonts w:ascii="宋体" w:hAnsi="宋体" w:eastAsia="宋体" w:cs="宋体"/>
    </w:rPr>
  </w:style>
  <w:style w:type="character" w:customStyle="1" w:styleId="70">
    <w:name w:val="纯文本 Char_0"/>
    <w:link w:val="71"/>
    <w:qFormat/>
    <w:uiPriority w:val="0"/>
    <w:rPr>
      <w:rFonts w:ascii="宋体" w:hAnsi="Courier New"/>
      <w:kern w:val="2"/>
      <w:sz w:val="21"/>
      <w:szCs w:val="21"/>
    </w:rPr>
  </w:style>
  <w:style w:type="paragraph" w:customStyle="1" w:styleId="71">
    <w:name w:val="纯文本_0_0"/>
    <w:basedOn w:val="1"/>
    <w:link w:val="70"/>
    <w:qFormat/>
    <w:uiPriority w:val="0"/>
    <w:pPr>
      <w:widowControl w:val="0"/>
      <w:spacing w:after="0"/>
      <w:jc w:val="both"/>
    </w:pPr>
    <w:rPr>
      <w:rFonts w:ascii="宋体" w:hAnsi="Courier New" w:eastAsiaTheme="majorEastAsia"/>
      <w:kern w:val="2"/>
      <w:sz w:val="21"/>
      <w:szCs w:val="21"/>
    </w:rPr>
  </w:style>
  <w:style w:type="paragraph" w:customStyle="1" w:styleId="72">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3">
    <w:name w:val="批注框文本 Char"/>
    <w:basedOn w:val="25"/>
    <w:link w:val="17"/>
    <w:semiHidden/>
    <w:qFormat/>
    <w:uiPriority w:val="99"/>
    <w:rPr>
      <w:rFonts w:ascii="仿宋" w:hAnsi="仿宋" w:eastAsia="仿宋"/>
      <w:sz w:val="18"/>
      <w:szCs w:val="18"/>
    </w:rPr>
  </w:style>
  <w:style w:type="paragraph" w:customStyle="1" w:styleId="74">
    <w:name w:val="_Style 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46504</Words>
  <Characters>59294</Characters>
  <Lines>306</Lines>
  <Paragraphs>86</Paragraphs>
  <TotalTime>10</TotalTime>
  <ScaleCrop>false</ScaleCrop>
  <LinksUpToDate>false</LinksUpToDate>
  <CharactersWithSpaces>64928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DELL</cp:lastModifiedBy>
  <cp:lastPrinted>2022-06-10T09:02:00Z</cp:lastPrinted>
  <dcterms:modified xsi:type="dcterms:W3CDTF">2022-11-08T00:39:16Z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A53E50A87BD14D718E383F84A8A10341</vt:lpwstr>
  </property>
</Properties>
</file>