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4"/>
          <w:szCs w:val="44"/>
        </w:rPr>
      </w:pPr>
      <w:r>
        <w:rPr>
          <w:rFonts w:hint="eastAsia" w:ascii="仿宋" w:hAnsi="仿宋" w:eastAsia="仿宋" w:cs="仿宋"/>
          <w:b/>
          <w:sz w:val="48"/>
          <w:szCs w:val="48"/>
        </w:rPr>
        <w:t>杭州市萧山区妇女儿童健康服务中心信息等保2.0政府采购项目</w:t>
      </w:r>
    </w:p>
    <w:p>
      <w:pPr>
        <w:adjustRightInd/>
        <w:spacing w:line="360" w:lineRule="auto"/>
        <w:jc w:val="center"/>
        <w:rPr>
          <w:rFonts w:ascii="仿宋" w:hAnsi="仿宋" w:eastAsia="仿宋" w:cs="仿宋"/>
          <w:b/>
          <w:sz w:val="56"/>
          <w:szCs w:val="72"/>
        </w:rPr>
      </w:pPr>
      <w:r>
        <w:rPr>
          <w:rFonts w:hint="eastAsia" w:ascii="仿宋" w:hAnsi="仿宋" w:eastAsia="仿宋" w:cs="仿宋"/>
          <w:b/>
          <w:sz w:val="56"/>
          <w:szCs w:val="72"/>
        </w:rPr>
        <w:t>招标文件</w:t>
      </w:r>
      <w:r>
        <w:rPr>
          <w:rFonts w:hint="eastAsia" w:ascii="仿宋" w:hAnsi="仿宋" w:eastAsia="仿宋" w:cs="仿宋"/>
          <w:b/>
          <w:sz w:val="56"/>
          <w:szCs w:val="72"/>
        </w:rPr>
        <w:br w:type="textWrapping"/>
      </w:r>
      <w:r>
        <w:rPr>
          <w:rFonts w:hint="eastAsia" w:ascii="仿宋" w:hAnsi="仿宋" w:eastAsia="仿宋" w:cs="仿宋"/>
          <w:b/>
          <w:sz w:val="56"/>
          <w:szCs w:val="72"/>
        </w:rPr>
        <w:t>（电子招投标）</w:t>
      </w:r>
    </w:p>
    <w:p>
      <w:pPr>
        <w:spacing w:line="360" w:lineRule="auto"/>
        <w:jc w:val="center"/>
        <w:rPr>
          <w:rFonts w:ascii="仿宋" w:hAnsi="仿宋" w:eastAsia="仿宋" w:cs="仿宋"/>
          <w:b/>
          <w:sz w:val="24"/>
        </w:rPr>
      </w:pP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编号：BWZB2021-GK-ZCY049</w:t>
      </w:r>
    </w:p>
    <w:p>
      <w:pPr>
        <w:snapToGrid w:val="0"/>
        <w:spacing w:line="360" w:lineRule="auto"/>
        <w:jc w:val="center"/>
        <w:rPr>
          <w:rFonts w:ascii="仿宋" w:hAnsi="仿宋" w:eastAsia="仿宋" w:cs="仿宋"/>
          <w:sz w:val="30"/>
          <w:szCs w:val="30"/>
        </w:rPr>
      </w:pP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sz w:val="24"/>
        </w:rPr>
      </w:pPr>
    </w:p>
    <w:p>
      <w:pPr>
        <w:pStyle w:val="3"/>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pStyle w:val="3"/>
      </w:pPr>
    </w:p>
    <w:p>
      <w:pPr>
        <w:snapToGrid w:val="0"/>
        <w:spacing w:line="360" w:lineRule="auto"/>
        <w:rPr>
          <w:rFonts w:ascii="仿宋" w:hAnsi="仿宋" w:eastAsia="仿宋" w:cs="仿宋"/>
          <w:sz w:val="32"/>
          <w:szCs w:val="32"/>
        </w:rPr>
      </w:pP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杭州市萧山区妇女儿童健康服务中心</w:t>
      </w:r>
    </w:p>
    <w:p>
      <w:pPr>
        <w:spacing w:line="360" w:lineRule="auto"/>
        <w:jc w:val="center"/>
        <w:rPr>
          <w:rFonts w:ascii="仿宋" w:hAnsi="仿宋" w:eastAsia="仿宋" w:cs="仿宋"/>
          <w:bCs/>
          <w:sz w:val="32"/>
          <w:szCs w:val="32"/>
        </w:rPr>
      </w:pPr>
      <w:r>
        <w:rPr>
          <w:rFonts w:hint="eastAsia" w:ascii="仿宋" w:hAnsi="仿宋" w:eastAsia="仿宋" w:cs="仿宋"/>
          <w:bCs/>
          <w:sz w:val="32"/>
          <w:szCs w:val="32"/>
        </w:rPr>
        <w:t>杭州博望建设工程招标投标代理有限公司</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2021年</w:t>
      </w:r>
      <w:r>
        <w:rPr>
          <w:rFonts w:hint="eastAsia" w:ascii="仿宋" w:hAnsi="仿宋" w:eastAsia="仿宋" w:cs="仿宋"/>
          <w:bCs/>
          <w:sz w:val="32"/>
          <w:szCs w:val="32"/>
          <w:lang w:val="en-US" w:eastAsia="zh-CN"/>
        </w:rPr>
        <w:t>07</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06</w:t>
      </w:r>
      <w:r>
        <w:rPr>
          <w:rFonts w:hint="eastAsia" w:ascii="仿宋" w:hAnsi="仿宋" w:eastAsia="仿宋" w:cs="仿宋"/>
          <w:bCs/>
          <w:sz w:val="32"/>
          <w:szCs w:val="32"/>
        </w:rPr>
        <w:t>日</w:t>
      </w:r>
    </w:p>
    <w:p>
      <w:pPr>
        <w:spacing w:line="360" w:lineRule="auto"/>
        <w:jc w:val="center"/>
        <w:rPr>
          <w:rFonts w:ascii="仿宋" w:hAnsi="仿宋" w:eastAsia="仿宋" w:cs="仿宋"/>
          <w:bCs/>
          <w:sz w:val="32"/>
          <w:szCs w:val="32"/>
        </w:rPr>
      </w:pPr>
    </w:p>
    <w:p>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评标方法及评分标准</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pStyle w:val="4"/>
        <w:rPr>
          <w:rFonts w:cs="仿宋"/>
          <w:color w:val="auto"/>
        </w:rPr>
      </w:pPr>
      <w:bookmarkStart w:id="3" w:name="第一部分"/>
      <w:r>
        <w:rPr>
          <w:rFonts w:hint="eastAsia" w:cs="仿宋"/>
          <w:color w:val="auto"/>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cs="仿宋"/>
          <w:color w:val="auto"/>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rPr>
      </w:pPr>
      <w:r>
        <w:rPr>
          <w:rFonts w:hint="eastAsia" w:ascii="仿宋" w:hAnsi="仿宋" w:eastAsia="仿宋" w:cs="仿宋"/>
          <w:sz w:val="24"/>
          <w:szCs w:val="28"/>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rPr>
      </w:pPr>
      <w:r>
        <w:rPr>
          <w:rFonts w:hint="eastAsia" w:ascii="仿宋" w:hAnsi="仿宋" w:eastAsia="仿宋" w:cs="仿宋"/>
          <w:sz w:val="24"/>
          <w:szCs w:val="28"/>
          <w:u w:val="single"/>
        </w:rPr>
        <w:t>(杭州市萧山区妇女儿童健康服务中心信息等保2.0政府采购项目)</w:t>
      </w:r>
      <w:r>
        <w:rPr>
          <w:rFonts w:hint="eastAsia" w:ascii="仿宋" w:hAnsi="仿宋" w:eastAsia="仿宋" w:cs="仿宋"/>
          <w:sz w:val="24"/>
          <w:szCs w:val="28"/>
        </w:rPr>
        <w:t xml:space="preserve"> 招标项目的潜在投标人应在</w:t>
      </w:r>
      <w:r>
        <w:rPr>
          <w:rFonts w:hint="eastAsia" w:ascii="仿宋" w:hAnsi="仿宋" w:eastAsia="仿宋" w:cs="仿宋"/>
          <w:sz w:val="24"/>
          <w:szCs w:val="28"/>
          <w:u w:val="single"/>
        </w:rPr>
        <w:t>政采云系统</w:t>
      </w:r>
      <w:r>
        <w:rPr>
          <w:rFonts w:hint="eastAsia" w:ascii="仿宋" w:hAnsi="仿宋" w:eastAsia="仿宋" w:cs="仿宋"/>
          <w:sz w:val="24"/>
          <w:szCs w:val="28"/>
        </w:rPr>
        <w:t>在线获取招标文件，并于</w:t>
      </w:r>
      <w:r>
        <w:rPr>
          <w:rFonts w:hint="eastAsia" w:ascii="仿宋" w:hAnsi="仿宋" w:eastAsia="仿宋" w:cs="仿宋"/>
          <w:sz w:val="24"/>
          <w:szCs w:val="28"/>
          <w:u w:val="single"/>
        </w:rPr>
        <w:t>2021</w:t>
      </w:r>
      <w:r>
        <w:rPr>
          <w:rFonts w:hint="eastAsia" w:ascii="仿宋" w:hAnsi="仿宋" w:eastAsia="仿宋" w:cs="仿宋"/>
          <w:bCs/>
          <w:sz w:val="24"/>
          <w:szCs w:val="28"/>
          <w:u w:val="single"/>
        </w:rPr>
        <w:t>年07月</w:t>
      </w:r>
      <w:r>
        <w:rPr>
          <w:rFonts w:hint="eastAsia" w:ascii="仿宋" w:hAnsi="仿宋" w:eastAsia="仿宋" w:cs="仿宋"/>
          <w:bCs/>
          <w:sz w:val="24"/>
          <w:szCs w:val="28"/>
          <w:u w:val="single"/>
          <w:lang w:val="en-US" w:eastAsia="zh-CN"/>
        </w:rPr>
        <w:t>26</w:t>
      </w:r>
      <w:r>
        <w:rPr>
          <w:rFonts w:hint="eastAsia" w:ascii="仿宋" w:hAnsi="仿宋" w:eastAsia="仿宋" w:cs="仿宋"/>
          <w:bCs/>
          <w:sz w:val="24"/>
          <w:szCs w:val="28"/>
          <w:u w:val="single"/>
        </w:rPr>
        <w:t>日09点00分</w:t>
      </w:r>
      <w:r>
        <w:rPr>
          <w:rFonts w:hint="eastAsia" w:ascii="仿宋" w:hAnsi="仿宋" w:eastAsia="仿宋" w:cs="仿宋"/>
          <w:bCs/>
          <w:sz w:val="24"/>
          <w:szCs w:val="28"/>
        </w:rPr>
        <w:t>（北京时间）前递交投标文件</w:t>
      </w:r>
      <w:r>
        <w:rPr>
          <w:rFonts w:hint="eastAsia" w:ascii="仿宋" w:hAnsi="仿宋" w:eastAsia="仿宋" w:cs="仿宋"/>
          <w:sz w:val="24"/>
          <w:szCs w:val="28"/>
        </w:rPr>
        <w:t>。</w:t>
      </w:r>
    </w:p>
    <w:p>
      <w:pPr>
        <w:rPr>
          <w:rFonts w:ascii="仿宋" w:hAnsi="仿宋" w:eastAsia="仿宋" w:cs="仿宋"/>
          <w:sz w:val="24"/>
          <w:szCs w:val="28"/>
        </w:rPr>
      </w:pPr>
    </w:p>
    <w:p>
      <w:pPr>
        <w:pStyle w:val="5"/>
        <w:numPr>
          <w:ilvl w:val="0"/>
          <w:numId w:val="0"/>
        </w:numPr>
        <w:rPr>
          <w:rFonts w:ascii="仿宋" w:eastAsia="仿宋" w:cs="仿宋"/>
          <w:sz w:val="24"/>
          <w:szCs w:val="28"/>
        </w:rPr>
      </w:pPr>
      <w:bookmarkStart w:id="11" w:name="_Toc35393790"/>
      <w:bookmarkStart w:id="12" w:name="_Toc28359002"/>
      <w:bookmarkStart w:id="13" w:name="_Toc35393621"/>
      <w:bookmarkStart w:id="14" w:name="_Toc28359079"/>
      <w:bookmarkStart w:id="15" w:name="_Hlk24379207"/>
      <w:r>
        <w:rPr>
          <w:rFonts w:hint="eastAsia" w:ascii="仿宋" w:eastAsia="仿宋" w:cs="仿宋"/>
          <w:sz w:val="24"/>
          <w:szCs w:val="28"/>
        </w:rPr>
        <w:t>一、项目基本情况</w:t>
      </w:r>
      <w:bookmarkEnd w:id="11"/>
      <w:bookmarkEnd w:id="12"/>
      <w:bookmarkEnd w:id="13"/>
      <w:bookmarkEnd w:id="14"/>
    </w:p>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项目编号：BWZB2021-GK-ZCY049</w:t>
      </w:r>
    </w:p>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项目名称：杭州市萧山区妇女儿童健康服务中心信息等保2.0政府采购项目</w:t>
      </w:r>
    </w:p>
    <w:bookmarkEnd w:id="15"/>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预算金额：标项1：500000.00元</w:t>
      </w:r>
    </w:p>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最高限价：标项1：500000.00元</w:t>
      </w:r>
    </w:p>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采购需求：详见招标文件</w:t>
      </w:r>
    </w:p>
    <w:p>
      <w:pPr>
        <w:spacing w:line="360" w:lineRule="auto"/>
        <w:ind w:firstLine="480" w:firstLineChars="200"/>
        <w:jc w:val="left"/>
        <w:rPr>
          <w:rFonts w:ascii="仿宋" w:hAnsi="仿宋" w:eastAsia="仿宋" w:cs="仿宋"/>
          <w:sz w:val="24"/>
          <w:szCs w:val="28"/>
          <w:u w:val="single"/>
        </w:rPr>
      </w:pPr>
      <w:r>
        <w:rPr>
          <w:rFonts w:hint="eastAsia" w:ascii="仿宋" w:hAnsi="仿宋" w:eastAsia="仿宋" w:cs="仿宋"/>
          <w:sz w:val="24"/>
          <w:szCs w:val="28"/>
        </w:rPr>
        <w:t>合同履行期限：详见招标文件</w:t>
      </w:r>
    </w:p>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本项目</w:t>
      </w:r>
      <w:r>
        <w:rPr>
          <w:rFonts w:hint="eastAsia" w:ascii="仿宋" w:hAnsi="仿宋" w:eastAsia="仿宋" w:cs="仿宋"/>
          <w:b/>
          <w:sz w:val="24"/>
          <w:szCs w:val="28"/>
        </w:rPr>
        <w:t>（</w:t>
      </w:r>
      <w:r>
        <w:rPr>
          <w:rFonts w:hint="eastAsia" w:ascii="仿宋" w:hAnsi="仿宋" w:eastAsia="仿宋" w:cs="仿宋"/>
          <w:b/>
          <w:i/>
          <w:sz w:val="24"/>
          <w:szCs w:val="28"/>
        </w:rPr>
        <w:t>否</w:t>
      </w:r>
      <w:r>
        <w:rPr>
          <w:rFonts w:hint="eastAsia" w:ascii="仿宋" w:hAnsi="仿宋" w:eastAsia="仿宋" w:cs="仿宋"/>
          <w:b/>
          <w:sz w:val="24"/>
          <w:szCs w:val="28"/>
        </w:rPr>
        <w:t>）</w:t>
      </w:r>
      <w:r>
        <w:rPr>
          <w:rFonts w:hint="eastAsia" w:ascii="仿宋" w:hAnsi="仿宋" w:eastAsia="仿宋" w:cs="仿宋"/>
          <w:sz w:val="24"/>
          <w:szCs w:val="28"/>
        </w:rPr>
        <w:t>接受联合体投标。</w:t>
      </w:r>
    </w:p>
    <w:p>
      <w:pPr>
        <w:pStyle w:val="5"/>
        <w:numPr>
          <w:ilvl w:val="0"/>
          <w:numId w:val="0"/>
        </w:numPr>
        <w:rPr>
          <w:rFonts w:ascii="仿宋" w:eastAsia="仿宋" w:cs="仿宋"/>
          <w:sz w:val="24"/>
          <w:szCs w:val="28"/>
        </w:rPr>
      </w:pPr>
      <w:r>
        <w:rPr>
          <w:rFonts w:hint="eastAsia" w:ascii="仿宋" w:eastAsia="仿宋" w:cs="仿宋"/>
          <w:sz w:val="24"/>
          <w:szCs w:val="28"/>
        </w:rPr>
        <w:t>二、</w:t>
      </w:r>
      <w:bookmarkStart w:id="16" w:name="_Toc28359003"/>
      <w:bookmarkStart w:id="17" w:name="_Toc28359080"/>
      <w:bookmarkStart w:id="18" w:name="_Toc35393791"/>
      <w:bookmarkStart w:id="19" w:name="_Toc35393622"/>
      <w:r>
        <w:rPr>
          <w:rFonts w:hint="eastAsia" w:ascii="仿宋" w:eastAsia="仿宋" w:cs="仿宋"/>
          <w:sz w:val="24"/>
          <w:szCs w:val="28"/>
        </w:rPr>
        <w:t>申请人的资格要求：</w:t>
      </w:r>
      <w:bookmarkEnd w:id="16"/>
      <w:bookmarkEnd w:id="17"/>
      <w:bookmarkEnd w:id="18"/>
      <w:bookmarkEnd w:id="19"/>
    </w:p>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满足《中华人民共和国政府采购法》第二十二条规定或符合浙财采监【2013】24号《关于规范政府采购供应商资格设定及资格审查的通知》第六条规定；</w:t>
      </w:r>
    </w:p>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rPr>
        <w:t>未被 “信用中国”（www.creditchina.gov.cn）、中国政府采购网（www.ccgp.gov.cn）列入失信被执行人、重大税收违法案件当事人名单、政府采购严重违法失信行为记录名单。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ascii="仿宋" w:hAnsi="仿宋" w:eastAsia="仿宋" w:cs="仿宋"/>
          <w:sz w:val="24"/>
          <w:szCs w:val="28"/>
        </w:rPr>
      </w:pPr>
      <w:bookmarkStart w:id="20" w:name="_Toc28359081"/>
      <w:bookmarkStart w:id="21" w:name="_Toc28359004"/>
      <w:r>
        <w:rPr>
          <w:rFonts w:hint="eastAsia" w:ascii="仿宋" w:hAnsi="仿宋" w:eastAsia="仿宋" w:cs="仿宋"/>
          <w:sz w:val="24"/>
          <w:szCs w:val="28"/>
        </w:rPr>
        <w:t>落实政府采购政策需满足的资格要求：</w:t>
      </w:r>
      <w:r>
        <w:rPr>
          <w:rFonts w:hint="eastAsia" w:ascii="仿宋" w:hAnsi="仿宋" w:eastAsia="仿宋" w:cs="仿宋_GB2312"/>
          <w:snapToGrid w:val="0"/>
          <w:kern w:val="28"/>
          <w:sz w:val="24"/>
          <w:szCs w:val="20"/>
        </w:rPr>
        <w:t>本项目属于专门面向中小企业采购的项目,供应商应为中小微企业、监狱企业、残疾人福利性单位。</w:t>
      </w:r>
    </w:p>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 xml:space="preserve">本项目的特定资格要求：无。 </w:t>
      </w:r>
    </w:p>
    <w:p>
      <w:pPr>
        <w:pStyle w:val="5"/>
        <w:numPr>
          <w:ilvl w:val="0"/>
          <w:numId w:val="0"/>
        </w:numPr>
        <w:rPr>
          <w:rFonts w:ascii="仿宋" w:eastAsia="仿宋" w:cs="仿宋"/>
          <w:sz w:val="24"/>
          <w:szCs w:val="28"/>
        </w:rPr>
      </w:pPr>
      <w:bookmarkStart w:id="22" w:name="_Toc35393792"/>
      <w:bookmarkStart w:id="23" w:name="_Toc35393623"/>
      <w:r>
        <w:rPr>
          <w:rFonts w:hint="eastAsia" w:ascii="仿宋" w:eastAsia="仿宋" w:cs="仿宋"/>
          <w:sz w:val="24"/>
          <w:szCs w:val="28"/>
        </w:rPr>
        <w:t>三、获取招标文件</w:t>
      </w:r>
      <w:bookmarkEnd w:id="20"/>
      <w:bookmarkEnd w:id="21"/>
      <w:bookmarkEnd w:id="22"/>
      <w:bookmarkEnd w:id="23"/>
    </w:p>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时间：</w:t>
      </w:r>
      <w:r>
        <w:rPr>
          <w:rFonts w:hint="eastAsia" w:ascii="仿宋" w:hAnsi="仿宋" w:eastAsia="仿宋" w:cs="仿宋"/>
          <w:iCs/>
          <w:sz w:val="24"/>
          <w:szCs w:val="28"/>
        </w:rPr>
        <w:t>公告发布之日起到投标截止时间；</w:t>
      </w:r>
    </w:p>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地点（网址）：政采云平台（</w:t>
      </w:r>
      <w:r>
        <w:fldChar w:fldCharType="begin"/>
      </w:r>
      <w:r>
        <w:instrText xml:space="preserve"> HYPERLINK "https://www.zcygov.cn/" </w:instrText>
      </w:r>
      <w:r>
        <w:fldChar w:fldCharType="separate"/>
      </w:r>
      <w:r>
        <w:rPr>
          <w:rFonts w:hint="eastAsia" w:ascii="仿宋" w:hAnsi="仿宋" w:eastAsia="仿宋" w:cs="仿宋"/>
          <w:szCs w:val="28"/>
        </w:rPr>
        <w:t>https://www.zcygov.cn/</w:t>
      </w:r>
      <w:r>
        <w:rPr>
          <w:rFonts w:hint="eastAsia" w:ascii="仿宋" w:hAnsi="仿宋" w:eastAsia="仿宋" w:cs="仿宋"/>
          <w:szCs w:val="28"/>
        </w:rPr>
        <w:fldChar w:fldCharType="end"/>
      </w:r>
      <w:r>
        <w:rPr>
          <w:rFonts w:hint="eastAsia" w:ascii="仿宋" w:hAnsi="仿宋" w:eastAsia="仿宋" w:cs="仿宋"/>
          <w:sz w:val="24"/>
          <w:szCs w:val="28"/>
        </w:rPr>
        <w:t>）；</w:t>
      </w:r>
    </w:p>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售价：免费。</w:t>
      </w:r>
    </w:p>
    <w:p>
      <w:pPr>
        <w:pStyle w:val="5"/>
        <w:numPr>
          <w:ilvl w:val="0"/>
          <w:numId w:val="0"/>
        </w:numPr>
        <w:rPr>
          <w:rFonts w:ascii="仿宋" w:eastAsia="仿宋" w:cs="仿宋"/>
          <w:sz w:val="24"/>
          <w:szCs w:val="28"/>
        </w:rPr>
      </w:pPr>
      <w:bookmarkStart w:id="24" w:name="_Toc28359005"/>
      <w:bookmarkStart w:id="25" w:name="_Toc28359082"/>
      <w:bookmarkStart w:id="26" w:name="_Toc35393624"/>
      <w:bookmarkStart w:id="27" w:name="_Toc35393793"/>
      <w:r>
        <w:rPr>
          <w:rFonts w:hint="eastAsia" w:ascii="仿宋" w:eastAsia="仿宋" w:cs="仿宋"/>
          <w:sz w:val="24"/>
          <w:szCs w:val="28"/>
        </w:rPr>
        <w:t>四、提交投标文件</w:t>
      </w:r>
      <w:bookmarkEnd w:id="24"/>
      <w:bookmarkEnd w:id="25"/>
      <w:r>
        <w:rPr>
          <w:rFonts w:hint="eastAsia" w:ascii="仿宋" w:eastAsia="仿宋" w:cs="仿宋"/>
          <w:sz w:val="24"/>
          <w:szCs w:val="28"/>
        </w:rPr>
        <w:t>截止时间、开标时间和地点</w:t>
      </w:r>
      <w:bookmarkEnd w:id="26"/>
      <w:bookmarkEnd w:id="27"/>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2021年</w:t>
      </w:r>
      <w:r>
        <w:rPr>
          <w:rFonts w:hint="eastAsia" w:ascii="仿宋" w:hAnsi="仿宋" w:eastAsia="仿宋" w:cs="仿宋"/>
          <w:bCs/>
          <w:sz w:val="24"/>
          <w:szCs w:val="28"/>
          <w:u w:val="single"/>
        </w:rPr>
        <w:t>07月2</w:t>
      </w:r>
      <w:r>
        <w:rPr>
          <w:rFonts w:hint="eastAsia" w:ascii="仿宋" w:hAnsi="仿宋" w:eastAsia="仿宋" w:cs="仿宋"/>
          <w:bCs/>
          <w:sz w:val="24"/>
          <w:szCs w:val="28"/>
          <w:u w:val="single"/>
          <w:lang w:val="en-US" w:eastAsia="zh-CN"/>
        </w:rPr>
        <w:t>6</w:t>
      </w:r>
      <w:r>
        <w:rPr>
          <w:rFonts w:hint="eastAsia" w:ascii="仿宋" w:hAnsi="仿宋" w:eastAsia="仿宋" w:cs="仿宋"/>
          <w:bCs/>
          <w:sz w:val="24"/>
          <w:szCs w:val="28"/>
          <w:u w:val="single"/>
        </w:rPr>
        <w:t>日09点00分</w:t>
      </w:r>
      <w:r>
        <w:rPr>
          <w:rFonts w:hint="eastAsia" w:ascii="仿宋" w:hAnsi="仿宋" w:eastAsia="仿宋" w:cs="仿宋"/>
          <w:sz w:val="24"/>
          <w:u w:val="single"/>
        </w:rPr>
        <w:t>00秒</w:t>
      </w:r>
      <w:r>
        <w:rPr>
          <w:rFonts w:hint="eastAsia" w:ascii="仿宋" w:hAnsi="仿宋" w:eastAsia="仿宋" w:cs="仿宋"/>
          <w:sz w:val="24"/>
        </w:rPr>
        <w:t>（北京时间）</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开标时间：</w:t>
      </w:r>
      <w:r>
        <w:rPr>
          <w:rFonts w:hint="eastAsia" w:ascii="仿宋" w:hAnsi="仿宋" w:eastAsia="仿宋" w:cs="仿宋"/>
          <w:sz w:val="24"/>
          <w:u w:val="single"/>
        </w:rPr>
        <w:t>2021年</w:t>
      </w:r>
      <w:r>
        <w:rPr>
          <w:rFonts w:hint="eastAsia" w:ascii="仿宋" w:hAnsi="仿宋" w:eastAsia="仿宋" w:cs="仿宋"/>
          <w:bCs/>
          <w:sz w:val="24"/>
          <w:szCs w:val="28"/>
          <w:u w:val="single"/>
        </w:rPr>
        <w:t>07月2</w:t>
      </w:r>
      <w:r>
        <w:rPr>
          <w:rFonts w:hint="eastAsia" w:ascii="仿宋" w:hAnsi="仿宋" w:eastAsia="仿宋" w:cs="仿宋"/>
          <w:bCs/>
          <w:sz w:val="24"/>
          <w:szCs w:val="28"/>
          <w:u w:val="single"/>
          <w:lang w:val="en-US" w:eastAsia="zh-CN"/>
        </w:rPr>
        <w:t>6</w:t>
      </w:r>
      <w:r>
        <w:rPr>
          <w:rFonts w:hint="eastAsia" w:ascii="仿宋" w:hAnsi="仿宋" w:eastAsia="仿宋" w:cs="仿宋"/>
          <w:bCs/>
          <w:sz w:val="24"/>
          <w:szCs w:val="28"/>
          <w:u w:val="single"/>
        </w:rPr>
        <w:t>日09点00分</w:t>
      </w:r>
      <w:r>
        <w:rPr>
          <w:rFonts w:hint="eastAsia" w:ascii="仿宋" w:hAnsi="仿宋" w:eastAsia="仿宋" w:cs="仿宋"/>
          <w:sz w:val="24"/>
          <w:u w:val="single"/>
        </w:rPr>
        <w:t>00秒</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w:t>
      </w:r>
      <w:r>
        <w:rPr>
          <w:rFonts w:hint="eastAsia" w:ascii="仿宋" w:hAnsi="仿宋" w:eastAsia="仿宋" w:cs="仿宋"/>
          <w:sz w:val="24"/>
          <w:szCs w:val="28"/>
        </w:rPr>
        <w:t>政采云平台网上递交。</w:t>
      </w:r>
    </w:p>
    <w:p>
      <w:pPr>
        <w:pStyle w:val="5"/>
        <w:numPr>
          <w:ilvl w:val="0"/>
          <w:numId w:val="0"/>
        </w:numPr>
        <w:rPr>
          <w:rFonts w:ascii="仿宋" w:eastAsia="仿宋" w:cs="仿宋"/>
          <w:sz w:val="24"/>
          <w:szCs w:val="28"/>
        </w:rPr>
      </w:pPr>
      <w:bookmarkStart w:id="28" w:name="_Toc28359084"/>
      <w:bookmarkStart w:id="29" w:name="_Toc28359007"/>
      <w:bookmarkStart w:id="30" w:name="_Toc35393794"/>
      <w:bookmarkStart w:id="31" w:name="_Toc35393625"/>
      <w:r>
        <w:rPr>
          <w:rFonts w:hint="eastAsia" w:ascii="仿宋" w:eastAsia="仿宋" w:cs="仿宋"/>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自本公告发布之日起5个工作日。</w:t>
      </w:r>
    </w:p>
    <w:p>
      <w:pPr>
        <w:pStyle w:val="5"/>
        <w:numPr>
          <w:ilvl w:val="0"/>
          <w:numId w:val="0"/>
        </w:numPr>
        <w:rPr>
          <w:rFonts w:ascii="仿宋" w:eastAsia="仿宋" w:cs="仿宋"/>
          <w:sz w:val="24"/>
          <w:szCs w:val="28"/>
        </w:rPr>
      </w:pPr>
      <w:bookmarkStart w:id="32" w:name="_Toc35393795"/>
      <w:bookmarkStart w:id="33" w:name="_Toc35393626"/>
      <w:r>
        <w:rPr>
          <w:rFonts w:hint="eastAsia" w:ascii="仿宋" w:eastAsia="仿宋" w:cs="仿宋"/>
          <w:sz w:val="24"/>
          <w:szCs w:val="28"/>
        </w:rPr>
        <w:t>六、其他补充事宜</w:t>
      </w:r>
      <w:bookmarkEnd w:id="32"/>
      <w:bookmarkEnd w:id="33"/>
    </w:p>
    <w:p>
      <w:pPr>
        <w:spacing w:line="360" w:lineRule="auto"/>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1、</w:t>
      </w:r>
      <w:r>
        <w:rPr>
          <w:rFonts w:hint="eastAsia" w:ascii="仿宋" w:hAnsi="仿宋" w:eastAsia="仿宋" w:cs="仿宋"/>
          <w:bCs/>
          <w:snapToGrid w:val="0"/>
          <w:kern w:val="0"/>
          <w:sz w:val="24"/>
          <w:szCs w:val="21"/>
        </w:rPr>
        <w:t>电子招投标说明：</w:t>
      </w:r>
    </w:p>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（1）电子招投标：本项目以数据电文形式，依托“政府采购云平台（www.zcygov.cn）”进行招投标活动，不接受纸质投标文件。</w:t>
      </w:r>
    </w:p>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（3）招标文件的获取：使用账号登录或者使用CA登录政采云平台；进入“项目采购”应用，在获取采购文件菜单中选择项目，获取招标文件。</w:t>
      </w:r>
    </w:p>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（4）投标文件的制作：在“政采云电子交易客户端”中完成“填写基本信息”、“导入投标文件”、“标书关联”、“标书检查”、“电子签章”、“生成电子标书”等操作。</w:t>
      </w:r>
    </w:p>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（5）投标文件的传输递交：投标人在投标截止时间前将加密的投标文件上传至政府采购云平台。</w:t>
      </w:r>
    </w:p>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（6）投标文件的解密：投标人按照平台提示和招标文件的规定在开始解密后半小时内完成在线解密。</w:t>
      </w:r>
    </w:p>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（7）具体操作指南：详见政采云平台“服务中心-帮助文档-项目采购-操作流程-电子招投标-政府采购项目电子交易管理操作指南-供应商”。</w:t>
      </w:r>
    </w:p>
    <w:p>
      <w:pPr>
        <w:spacing w:line="360" w:lineRule="auto"/>
        <w:ind w:firstLine="480" w:firstLineChars="200"/>
        <w:jc w:val="left"/>
        <w:rPr>
          <w:rFonts w:ascii="仿宋" w:hAnsi="仿宋" w:eastAsia="仿宋" w:cs="仿宋"/>
          <w:sz w:val="24"/>
          <w:szCs w:val="28"/>
        </w:rPr>
      </w:pPr>
      <w:r>
        <w:rPr>
          <w:rFonts w:hint="eastAsia" w:ascii="仿宋" w:hAnsi="仿宋" w:eastAsia="仿宋" w:cs="仿宋"/>
          <w:sz w:val="24"/>
          <w:szCs w:val="28"/>
        </w:rPr>
        <w:t>（8）政府采购云平台技术咨询电话：400-881-7190。</w:t>
      </w:r>
    </w:p>
    <w:p>
      <w:pPr>
        <w:spacing w:line="360" w:lineRule="auto"/>
        <w:ind w:firstLine="480" w:firstLineChars="200"/>
        <w:jc w:val="left"/>
        <w:rPr>
          <w:rFonts w:ascii="仿宋" w:hAnsi="仿宋" w:eastAsia="仿宋" w:cs="仿宋"/>
          <w:kern w:val="0"/>
          <w:sz w:val="24"/>
          <w:szCs w:val="28"/>
        </w:rPr>
      </w:pPr>
      <w:r>
        <w:rPr>
          <w:rFonts w:hint="eastAsia" w:ascii="仿宋" w:hAnsi="仿宋" w:eastAsia="仿宋" w:cs="仿宋"/>
          <w:kern w:val="0"/>
          <w:sz w:val="24"/>
          <w:szCs w:val="28"/>
        </w:rPr>
        <w:t>2、疫情防控期间，如有样品递送等需到现场的情况，人员进出均按照杭州市公共资源交易中心萧山分中心防控预案操作进行疫情防控。请投标人佩戴口罩进入中心，因疫情防控形势变化较快，如有政策更新，以最新政策及操作方式为准。</w:t>
      </w:r>
    </w:p>
    <w:p>
      <w:pPr>
        <w:pStyle w:val="5"/>
        <w:numPr>
          <w:ilvl w:val="0"/>
          <w:numId w:val="0"/>
        </w:numPr>
        <w:rPr>
          <w:rFonts w:ascii="仿宋" w:eastAsia="仿宋" w:cs="仿宋"/>
          <w:sz w:val="24"/>
          <w:szCs w:val="28"/>
        </w:rPr>
      </w:pPr>
      <w:bookmarkStart w:id="34" w:name="_Toc28359085"/>
      <w:bookmarkStart w:id="35" w:name="_Toc28359008"/>
      <w:bookmarkStart w:id="36" w:name="_Toc35393627"/>
      <w:bookmarkStart w:id="37" w:name="_Toc35393796"/>
      <w:r>
        <w:rPr>
          <w:rFonts w:hint="eastAsia" w:ascii="仿宋" w:eastAsia="仿宋" w:cs="仿宋"/>
          <w:sz w:val="24"/>
          <w:szCs w:val="28"/>
        </w:rPr>
        <w:t>七、对本次招标提出询问，请按以下方式联系。</w:t>
      </w:r>
      <w:bookmarkEnd w:id="34"/>
      <w:bookmarkEnd w:id="35"/>
      <w:bookmarkEnd w:id="36"/>
      <w:bookmarkEnd w:id="37"/>
    </w:p>
    <w:p>
      <w:pPr>
        <w:widowControl/>
        <w:spacing w:line="360" w:lineRule="auto"/>
        <w:jc w:val="left"/>
        <w:rPr>
          <w:rFonts w:ascii="仿宋" w:hAnsi="仿宋" w:eastAsia="仿宋" w:cs="仿宋"/>
          <w:sz w:val="24"/>
          <w:szCs w:val="28"/>
        </w:rPr>
      </w:pPr>
      <w:r>
        <w:rPr>
          <w:rFonts w:hint="eastAsia" w:ascii="仿宋" w:hAnsi="仿宋" w:eastAsia="仿宋" w:cs="仿宋"/>
          <w:sz w:val="24"/>
          <w:szCs w:val="28"/>
        </w:rPr>
        <w:t>1.采购人信息</w:t>
      </w:r>
    </w:p>
    <w:p>
      <w:pPr>
        <w:spacing w:line="360" w:lineRule="auto"/>
        <w:jc w:val="left"/>
        <w:rPr>
          <w:rFonts w:ascii="仿宋" w:hAnsi="仿宋" w:eastAsia="仿宋" w:cs="仿宋"/>
          <w:sz w:val="24"/>
          <w:szCs w:val="28"/>
        </w:rPr>
      </w:pPr>
      <w:r>
        <w:rPr>
          <w:rFonts w:hint="eastAsia" w:ascii="仿宋" w:hAnsi="仿宋" w:eastAsia="仿宋" w:cs="仿宋"/>
          <w:sz w:val="24"/>
          <w:szCs w:val="28"/>
        </w:rPr>
        <w:t>名称：杭州市萧山区妇女儿童健康服务中心</w:t>
      </w:r>
    </w:p>
    <w:p>
      <w:pPr>
        <w:spacing w:line="360" w:lineRule="auto"/>
        <w:jc w:val="left"/>
        <w:rPr>
          <w:rFonts w:ascii="仿宋" w:hAnsi="仿宋" w:eastAsia="仿宋" w:cs="仿宋"/>
          <w:sz w:val="24"/>
          <w:szCs w:val="28"/>
        </w:rPr>
      </w:pPr>
      <w:r>
        <w:rPr>
          <w:rFonts w:hint="eastAsia" w:ascii="仿宋" w:hAnsi="仿宋" w:eastAsia="仿宋" w:cs="仿宋"/>
          <w:sz w:val="24"/>
          <w:szCs w:val="28"/>
        </w:rPr>
        <w:t>地址：杭州市萧山区蜀山街道风情大道3300号</w:t>
      </w:r>
    </w:p>
    <w:p>
      <w:pPr>
        <w:spacing w:line="360" w:lineRule="auto"/>
        <w:jc w:val="left"/>
        <w:rPr>
          <w:rFonts w:ascii="仿宋" w:hAnsi="仿宋" w:eastAsia="仿宋" w:cs="仿宋"/>
          <w:sz w:val="24"/>
          <w:szCs w:val="28"/>
        </w:rPr>
      </w:pPr>
      <w:r>
        <w:rPr>
          <w:rFonts w:hint="eastAsia" w:ascii="仿宋" w:hAnsi="仿宋" w:eastAsia="仿宋" w:cs="仿宋"/>
          <w:sz w:val="24"/>
          <w:szCs w:val="28"/>
        </w:rPr>
        <w:t>传真：0571-82710379</w:t>
      </w:r>
    </w:p>
    <w:p>
      <w:pPr>
        <w:spacing w:line="360" w:lineRule="auto"/>
        <w:jc w:val="left"/>
        <w:rPr>
          <w:rFonts w:ascii="仿宋" w:hAnsi="仿宋" w:eastAsia="仿宋" w:cs="仿宋"/>
          <w:sz w:val="24"/>
          <w:szCs w:val="28"/>
        </w:rPr>
      </w:pPr>
      <w:r>
        <w:rPr>
          <w:rFonts w:hint="eastAsia" w:ascii="仿宋" w:hAnsi="仿宋" w:eastAsia="仿宋" w:cs="仿宋"/>
          <w:sz w:val="24"/>
          <w:szCs w:val="28"/>
        </w:rPr>
        <w:t>项目联系人（询问）：俞银飞</w:t>
      </w:r>
    </w:p>
    <w:p>
      <w:pPr>
        <w:spacing w:line="360" w:lineRule="auto"/>
        <w:jc w:val="left"/>
        <w:rPr>
          <w:rFonts w:ascii="仿宋" w:hAnsi="仿宋" w:eastAsia="仿宋" w:cs="仿宋"/>
          <w:sz w:val="24"/>
          <w:szCs w:val="28"/>
        </w:rPr>
      </w:pPr>
      <w:r>
        <w:rPr>
          <w:rFonts w:hint="eastAsia" w:ascii="仿宋" w:hAnsi="仿宋" w:eastAsia="仿宋" w:cs="仿宋"/>
          <w:sz w:val="24"/>
          <w:szCs w:val="28"/>
        </w:rPr>
        <w:t>项目联系方式（询问）：0571-82710379</w:t>
      </w:r>
    </w:p>
    <w:p>
      <w:pPr>
        <w:spacing w:line="360" w:lineRule="auto"/>
        <w:jc w:val="left"/>
        <w:rPr>
          <w:rFonts w:ascii="仿宋" w:hAnsi="仿宋" w:eastAsia="仿宋" w:cs="仿宋"/>
          <w:sz w:val="24"/>
          <w:szCs w:val="28"/>
        </w:rPr>
      </w:pPr>
      <w:bookmarkStart w:id="38" w:name="_Toc28359086"/>
      <w:bookmarkStart w:id="39" w:name="_Toc28359009"/>
      <w:r>
        <w:rPr>
          <w:rFonts w:hint="eastAsia" w:ascii="仿宋" w:hAnsi="仿宋" w:eastAsia="仿宋" w:cs="仿宋"/>
          <w:sz w:val="24"/>
          <w:szCs w:val="28"/>
        </w:rPr>
        <w:t>质疑联系人：王益红</w:t>
      </w:r>
    </w:p>
    <w:p>
      <w:pPr>
        <w:spacing w:line="360" w:lineRule="auto"/>
        <w:jc w:val="left"/>
        <w:rPr>
          <w:rFonts w:ascii="仿宋" w:hAnsi="仿宋" w:eastAsia="仿宋" w:cs="仿宋"/>
          <w:sz w:val="24"/>
          <w:szCs w:val="28"/>
        </w:rPr>
      </w:pPr>
      <w:r>
        <w:rPr>
          <w:rFonts w:hint="eastAsia" w:ascii="仿宋" w:hAnsi="仿宋" w:eastAsia="仿宋" w:cs="仿宋"/>
          <w:sz w:val="24"/>
          <w:szCs w:val="28"/>
        </w:rPr>
        <w:t>质疑联系方式：0571-82750581</w:t>
      </w:r>
    </w:p>
    <w:p>
      <w:pPr>
        <w:spacing w:line="360" w:lineRule="auto"/>
        <w:jc w:val="left"/>
        <w:rPr>
          <w:rFonts w:ascii="仿宋" w:hAnsi="仿宋" w:eastAsia="仿宋" w:cs="仿宋"/>
          <w:sz w:val="24"/>
          <w:szCs w:val="28"/>
        </w:rPr>
      </w:pPr>
      <w:r>
        <w:rPr>
          <w:rFonts w:hint="eastAsia" w:ascii="仿宋" w:hAnsi="仿宋" w:eastAsia="仿宋" w:cs="仿宋"/>
          <w:sz w:val="24"/>
          <w:szCs w:val="28"/>
        </w:rPr>
        <w:t>2.采购代理机构信息</w:t>
      </w:r>
      <w:bookmarkEnd w:id="38"/>
      <w:bookmarkEnd w:id="39"/>
    </w:p>
    <w:p>
      <w:pPr>
        <w:spacing w:line="360" w:lineRule="auto"/>
        <w:jc w:val="left"/>
        <w:rPr>
          <w:rFonts w:ascii="仿宋" w:hAnsi="仿宋" w:eastAsia="仿宋" w:cs="仿宋"/>
          <w:sz w:val="24"/>
          <w:szCs w:val="28"/>
        </w:rPr>
      </w:pPr>
      <w:r>
        <w:rPr>
          <w:rFonts w:hint="eastAsia" w:ascii="仿宋" w:hAnsi="仿宋" w:eastAsia="仿宋" w:cs="仿宋"/>
          <w:sz w:val="24"/>
          <w:szCs w:val="28"/>
        </w:rPr>
        <w:t>名称：杭州博望建设工程招标投标代理有限公司</w:t>
      </w:r>
    </w:p>
    <w:p>
      <w:pPr>
        <w:spacing w:line="360" w:lineRule="auto"/>
        <w:jc w:val="left"/>
        <w:rPr>
          <w:rFonts w:ascii="仿宋" w:hAnsi="仿宋" w:eastAsia="仿宋" w:cs="仿宋"/>
          <w:sz w:val="24"/>
          <w:szCs w:val="28"/>
        </w:rPr>
      </w:pPr>
      <w:r>
        <w:rPr>
          <w:rFonts w:hint="eastAsia" w:ascii="仿宋" w:hAnsi="仿宋" w:eastAsia="仿宋" w:cs="仿宋"/>
          <w:sz w:val="24"/>
          <w:szCs w:val="28"/>
        </w:rPr>
        <w:t>地址：杭州市萧山区金城路433号天汇园1幢A座5楼</w:t>
      </w:r>
    </w:p>
    <w:p>
      <w:pPr>
        <w:spacing w:line="360" w:lineRule="auto"/>
        <w:jc w:val="left"/>
        <w:rPr>
          <w:rFonts w:ascii="仿宋" w:hAnsi="仿宋" w:eastAsia="仿宋" w:cs="仿宋"/>
          <w:sz w:val="24"/>
          <w:szCs w:val="28"/>
        </w:rPr>
      </w:pPr>
      <w:r>
        <w:rPr>
          <w:rFonts w:hint="eastAsia" w:ascii="仿宋" w:hAnsi="仿宋" w:eastAsia="仿宋" w:cs="仿宋"/>
          <w:sz w:val="24"/>
          <w:szCs w:val="28"/>
        </w:rPr>
        <w:t>传真：0571-83881208</w:t>
      </w:r>
    </w:p>
    <w:p>
      <w:pPr>
        <w:spacing w:line="360" w:lineRule="auto"/>
        <w:jc w:val="left"/>
        <w:rPr>
          <w:rFonts w:ascii="仿宋" w:hAnsi="仿宋" w:eastAsia="仿宋" w:cs="仿宋"/>
          <w:sz w:val="24"/>
          <w:szCs w:val="28"/>
        </w:rPr>
      </w:pPr>
      <w:r>
        <w:rPr>
          <w:rFonts w:hint="eastAsia" w:ascii="仿宋" w:hAnsi="仿宋" w:eastAsia="仿宋" w:cs="仿宋"/>
          <w:sz w:val="24"/>
          <w:szCs w:val="28"/>
        </w:rPr>
        <w:t>项目联系人（询问）：赵鑫华</w:t>
      </w:r>
    </w:p>
    <w:p>
      <w:pPr>
        <w:spacing w:line="360" w:lineRule="auto"/>
        <w:jc w:val="left"/>
        <w:rPr>
          <w:rFonts w:ascii="仿宋" w:hAnsi="仿宋" w:eastAsia="仿宋" w:cs="仿宋"/>
          <w:sz w:val="24"/>
          <w:szCs w:val="28"/>
        </w:rPr>
      </w:pPr>
      <w:r>
        <w:rPr>
          <w:rFonts w:hint="eastAsia" w:ascii="仿宋" w:hAnsi="仿宋" w:eastAsia="仿宋" w:cs="仿宋"/>
          <w:sz w:val="24"/>
          <w:szCs w:val="28"/>
        </w:rPr>
        <w:t>项目联系方式（询问）：0571-83881208</w:t>
      </w:r>
    </w:p>
    <w:p>
      <w:pPr>
        <w:spacing w:line="360" w:lineRule="auto"/>
        <w:jc w:val="left"/>
        <w:rPr>
          <w:rFonts w:ascii="仿宋" w:hAnsi="仿宋" w:eastAsia="仿宋" w:cs="仿宋"/>
          <w:sz w:val="24"/>
          <w:szCs w:val="28"/>
        </w:rPr>
      </w:pPr>
      <w:r>
        <w:rPr>
          <w:rFonts w:hint="eastAsia" w:ascii="仿宋" w:hAnsi="仿宋" w:eastAsia="仿宋" w:cs="仿宋"/>
          <w:sz w:val="24"/>
          <w:szCs w:val="28"/>
        </w:rPr>
        <w:t>质疑联系人：高华萍</w:t>
      </w:r>
    </w:p>
    <w:p>
      <w:pPr>
        <w:spacing w:line="360" w:lineRule="auto"/>
        <w:jc w:val="left"/>
        <w:rPr>
          <w:rFonts w:ascii="仿宋" w:hAnsi="仿宋" w:eastAsia="仿宋" w:cs="仿宋"/>
          <w:sz w:val="24"/>
          <w:szCs w:val="28"/>
        </w:rPr>
      </w:pPr>
      <w:r>
        <w:rPr>
          <w:rFonts w:hint="eastAsia" w:ascii="仿宋" w:hAnsi="仿宋" w:eastAsia="仿宋" w:cs="仿宋"/>
          <w:sz w:val="24"/>
          <w:szCs w:val="28"/>
        </w:rPr>
        <w:t>质疑联系方式：0571-83881208</w:t>
      </w:r>
    </w:p>
    <w:p>
      <w:pPr>
        <w:spacing w:line="360" w:lineRule="auto"/>
        <w:jc w:val="left"/>
        <w:rPr>
          <w:rFonts w:ascii="仿宋" w:hAnsi="仿宋" w:eastAsia="仿宋" w:cs="仿宋"/>
          <w:sz w:val="24"/>
          <w:szCs w:val="28"/>
        </w:rPr>
      </w:pPr>
      <w:r>
        <w:rPr>
          <w:rFonts w:hint="eastAsia" w:ascii="仿宋" w:hAnsi="仿宋" w:eastAsia="仿宋" w:cs="仿宋"/>
          <w:sz w:val="24"/>
          <w:szCs w:val="28"/>
        </w:rPr>
        <w:t>3.同级政府采购监督管理部门</w:t>
      </w:r>
    </w:p>
    <w:p>
      <w:pPr>
        <w:spacing w:line="360" w:lineRule="auto"/>
        <w:jc w:val="left"/>
        <w:rPr>
          <w:rFonts w:ascii="仿宋" w:hAnsi="仿宋" w:eastAsia="仿宋" w:cs="仿宋"/>
          <w:sz w:val="24"/>
          <w:szCs w:val="28"/>
        </w:rPr>
      </w:pPr>
      <w:r>
        <w:rPr>
          <w:rFonts w:hint="eastAsia" w:ascii="仿宋" w:hAnsi="仿宋" w:eastAsia="仿宋" w:cs="仿宋"/>
          <w:sz w:val="24"/>
          <w:szCs w:val="28"/>
        </w:rPr>
        <w:t>名称：杭州市萧山区财政局</w:t>
      </w:r>
    </w:p>
    <w:p>
      <w:pPr>
        <w:spacing w:line="360" w:lineRule="auto"/>
        <w:jc w:val="left"/>
        <w:rPr>
          <w:rFonts w:ascii="仿宋" w:hAnsi="仿宋" w:eastAsia="仿宋" w:cs="仿宋"/>
          <w:sz w:val="24"/>
          <w:szCs w:val="28"/>
        </w:rPr>
      </w:pPr>
      <w:r>
        <w:rPr>
          <w:rFonts w:hint="eastAsia" w:ascii="仿宋" w:hAnsi="仿宋" w:eastAsia="仿宋" w:cs="仿宋"/>
          <w:sz w:val="24"/>
          <w:szCs w:val="28"/>
        </w:rPr>
        <w:t>地址：杭州市萧山区人民路318号</w:t>
      </w:r>
    </w:p>
    <w:p>
      <w:pPr>
        <w:spacing w:line="360" w:lineRule="auto"/>
        <w:jc w:val="left"/>
        <w:rPr>
          <w:rFonts w:ascii="仿宋" w:hAnsi="仿宋" w:eastAsia="仿宋" w:cs="仿宋"/>
          <w:sz w:val="24"/>
          <w:szCs w:val="28"/>
        </w:rPr>
      </w:pPr>
      <w:r>
        <w:rPr>
          <w:rFonts w:hint="eastAsia" w:ascii="仿宋" w:hAnsi="仿宋" w:eastAsia="仿宋" w:cs="仿宋"/>
          <w:sz w:val="24"/>
          <w:szCs w:val="28"/>
        </w:rPr>
        <w:t>传真：0571-82752687</w:t>
      </w:r>
    </w:p>
    <w:p>
      <w:pPr>
        <w:spacing w:line="360" w:lineRule="auto"/>
        <w:jc w:val="left"/>
        <w:rPr>
          <w:rFonts w:ascii="仿宋" w:hAnsi="仿宋" w:eastAsia="仿宋" w:cs="仿宋"/>
          <w:sz w:val="24"/>
          <w:szCs w:val="28"/>
        </w:rPr>
      </w:pPr>
      <w:r>
        <w:rPr>
          <w:rFonts w:hint="eastAsia" w:ascii="仿宋" w:hAnsi="仿宋" w:eastAsia="仿宋" w:cs="仿宋"/>
          <w:sz w:val="24"/>
          <w:szCs w:val="28"/>
        </w:rPr>
        <w:t>联系人：陈先生</w:t>
      </w:r>
    </w:p>
    <w:p>
      <w:pPr>
        <w:spacing w:line="360" w:lineRule="auto"/>
        <w:jc w:val="left"/>
        <w:rPr>
          <w:rFonts w:ascii="仿宋" w:hAnsi="仿宋" w:eastAsia="仿宋" w:cs="仿宋"/>
          <w:sz w:val="24"/>
          <w:szCs w:val="28"/>
        </w:rPr>
      </w:pPr>
      <w:r>
        <w:rPr>
          <w:rFonts w:hint="eastAsia" w:ascii="仿宋" w:hAnsi="仿宋" w:eastAsia="仿宋" w:cs="仿宋"/>
          <w:sz w:val="24"/>
          <w:szCs w:val="28"/>
        </w:rPr>
        <w:t>监督投诉电话：0571-82752687</w:t>
      </w:r>
    </w:p>
    <w:p>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rPr>
          <w:rFonts w:ascii="仿宋" w:hAnsi="仿宋" w:eastAsia="仿宋" w:cs="仿宋"/>
        </w:rPr>
      </w:pPr>
      <w:r>
        <w:rPr>
          <w:rFonts w:hint="eastAsia" w:ascii="仿宋" w:hAnsi="仿宋" w:eastAsia="仿宋" w:cs="仿宋"/>
        </w:rPr>
        <w:br w:type="page"/>
      </w:r>
    </w:p>
    <w:p>
      <w:pPr>
        <w:pStyle w:val="4"/>
        <w:rPr>
          <w:rFonts w:cs="仿宋"/>
          <w:color w:val="auto"/>
        </w:rPr>
      </w:pPr>
      <w:r>
        <w:rPr>
          <w:rFonts w:hint="eastAsia" w:cs="仿宋"/>
          <w:color w:val="auto"/>
        </w:rPr>
        <w:t>第二部分</w:t>
      </w:r>
      <w:bookmarkEnd w:id="8"/>
      <w:r>
        <w:rPr>
          <w:rFonts w:hint="eastAsia" w:cs="仿宋"/>
          <w:color w:val="auto"/>
        </w:rPr>
        <w:t xml:space="preserve"> 投标人须知</w:t>
      </w:r>
      <w:bookmarkEnd w:id="9"/>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1"/>
        <w:tblW w:w="90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8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11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8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有关本项目开展所需的</w:t>
            </w:r>
            <w:r>
              <w:rPr>
                <w:rFonts w:hint="eastAsia" w:ascii="仿宋" w:hAnsi="仿宋" w:eastAsia="仿宋" w:cs="仿宋"/>
                <w:sz w:val="24"/>
              </w:rPr>
              <w:t>一切</w:t>
            </w:r>
            <w:r>
              <w:rPr>
                <w:rFonts w:hint="eastAsia" w:ascii="仿宋" w:hAnsi="仿宋" w:eastAsia="仿宋" w:cs="仿宋"/>
                <w:kern w:val="0"/>
                <w:sz w:val="24"/>
                <w:lang w:val="zh-CN"/>
              </w:rPr>
              <w:t>费用均计入报价。</w:t>
            </w:r>
            <w:r>
              <w:rPr>
                <w:rFonts w:hint="eastAsia" w:ascii="仿宋" w:hAnsi="仿宋" w:eastAsia="仿宋" w:cs="仿宋"/>
                <w:sz w:val="24"/>
              </w:rPr>
              <w:t>《投标（开标）一览表》是报价的唯一载体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sz w:val="24"/>
              </w:rPr>
              <w:t>▲</w:t>
            </w:r>
            <w:r>
              <w:rPr>
                <w:rFonts w:hint="eastAsia" w:ascii="仿宋" w:hAnsi="仿宋" w:eastAsia="仿宋" w:cs="仿宋"/>
                <w:b/>
                <w:kern w:val="0"/>
                <w:sz w:val="24"/>
                <w:lang w:val="zh-CN"/>
              </w:rPr>
              <w:t>投标文件出现不是唯一的、有选择性投标报价的；</w:t>
            </w:r>
          </w:p>
          <w:p>
            <w:pPr>
              <w:snapToGrid w:val="0"/>
              <w:spacing w:line="360" w:lineRule="auto"/>
              <w:jc w:val="left"/>
              <w:rPr>
                <w:rFonts w:ascii="仿宋" w:hAnsi="仿宋" w:eastAsia="仿宋" w:cs="仿宋"/>
                <w:kern w:val="0"/>
                <w:sz w:val="24"/>
                <w:lang w:val="zh-CN"/>
              </w:rPr>
            </w:pPr>
            <w:r>
              <w:rPr>
                <w:rFonts w:hint="eastAsia" w:ascii="仿宋" w:hAnsi="仿宋" w:eastAsia="仿宋" w:cs="仿宋"/>
                <w:b/>
                <w:sz w:val="24"/>
              </w:rPr>
              <w:t>▲投标报价高于本项目采购预算或者最高限价的;</w:t>
            </w:r>
          </w:p>
          <w:p>
            <w:pPr>
              <w:spacing w:line="360" w:lineRule="auto"/>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b/>
                <w:sz w:val="24"/>
                <w:szCs w:val="21"/>
              </w:rPr>
              <w:t>;</w:t>
            </w:r>
          </w:p>
          <w:p>
            <w:pPr>
              <w:spacing w:line="360" w:lineRule="auto"/>
              <w:rPr>
                <w:rFonts w:ascii="仿宋" w:hAnsi="仿宋" w:eastAsia="仿宋" w:cs="仿宋"/>
                <w:sz w:val="24"/>
                <w:szCs w:val="21"/>
              </w:rPr>
            </w:pPr>
            <w:r>
              <w:rPr>
                <w:rFonts w:hint="eastAsia" w:ascii="仿宋" w:hAnsi="仿宋" w:eastAsia="仿宋" w:cs="仿宋"/>
                <w:b/>
                <w:sz w:val="24"/>
              </w:rPr>
              <w:t>▲《投标（开标）一览表》填写不完整或字迹不能辨认或有漏项的；</w:t>
            </w:r>
          </w:p>
          <w:p>
            <w:pPr>
              <w:spacing w:line="360" w:lineRule="auto"/>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4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仿宋" w:hAnsi="仿宋" w:eastAsia="仿宋" w:cs="仿宋"/>
                <w:b/>
                <w:sz w:val="24"/>
              </w:rPr>
            </w:pPr>
            <w:r>
              <w:rPr>
                <w:rFonts w:hint="eastAsia" w:ascii="仿宋" w:hAnsi="仿宋" w:eastAsia="仿宋" w:cs="仿宋"/>
                <w:b/>
                <w:sz w:val="24"/>
              </w:rPr>
              <w:t>分包或转包。</w:t>
            </w:r>
          </w:p>
        </w:tc>
        <w:tc>
          <w:tcPr>
            <w:tcW w:w="68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sz w:val="24"/>
              </w:rPr>
              <w:t>（1）采购人</w:t>
            </w:r>
            <w:r>
              <w:rPr>
                <w:rFonts w:hint="eastAsia" w:ascii="仿宋" w:hAnsi="仿宋" w:eastAsia="仿宋" w:cs="仿宋"/>
                <w:b/>
                <w:sz w:val="24"/>
              </w:rPr>
              <w:t>不同意</w:t>
            </w:r>
            <w:r>
              <w:rPr>
                <w:rFonts w:hint="eastAsia" w:ascii="仿宋" w:hAnsi="仿宋" w:eastAsia="仿宋" w:cs="仿宋"/>
                <w:sz w:val="24"/>
              </w:rPr>
              <w:t>分包。</w:t>
            </w:r>
          </w:p>
          <w:p>
            <w:pPr>
              <w:snapToGrid w:val="0"/>
              <w:spacing w:line="360" w:lineRule="auto"/>
              <w:rPr>
                <w:rFonts w:ascii="仿宋" w:hAnsi="仿宋" w:eastAsia="仿宋" w:cs="仿宋"/>
                <w:sz w:val="24"/>
              </w:rPr>
            </w:pPr>
            <w:r>
              <w:rPr>
                <w:rFonts w:hint="eastAsia" w:ascii="仿宋" w:hAnsi="仿宋" w:eastAsia="仿宋" w:cs="仿宋"/>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投标人应当提供的资格、资信证明等文件</w:t>
            </w:r>
          </w:p>
        </w:tc>
        <w:tc>
          <w:tcPr>
            <w:tcW w:w="6886" w:type="dxa"/>
            <w:tcBorders>
              <w:top w:val="single" w:color="000000" w:sz="8" w:space="0"/>
              <w:left w:val="single" w:color="000000" w:sz="2" w:space="0"/>
              <w:bottom w:val="single" w:color="000000" w:sz="8" w:space="0"/>
              <w:right w:val="single" w:color="000000" w:sz="8" w:space="0"/>
            </w:tcBorders>
            <w:vAlign w:val="center"/>
          </w:tcPr>
          <w:p>
            <w:pPr>
              <w:numPr>
                <w:ilvl w:val="0"/>
                <w:numId w:val="7"/>
              </w:numPr>
              <w:spacing w:line="360" w:lineRule="auto"/>
              <w:jc w:val="left"/>
              <w:rPr>
                <w:rFonts w:ascii="仿宋" w:hAnsi="仿宋" w:eastAsia="仿宋" w:cs="仿宋"/>
                <w:sz w:val="24"/>
              </w:rPr>
            </w:pPr>
            <w:r>
              <w:rPr>
                <w:rFonts w:hint="eastAsia" w:ascii="仿宋" w:hAnsi="仿宋" w:eastAsia="仿宋" w:cs="仿宋"/>
                <w:sz w:val="24"/>
              </w:rPr>
              <w:t>资格证明文件：</w:t>
            </w:r>
            <w:r>
              <w:rPr>
                <w:rFonts w:hint="eastAsia" w:ascii="仿宋" w:hAnsi="仿宋" w:eastAsia="仿宋" w:cs="仿宋"/>
                <w:kern w:val="0"/>
                <w:sz w:val="24"/>
              </w:rPr>
              <w:t>见招标文件第二部分11.1。</w:t>
            </w:r>
          </w:p>
          <w:p>
            <w:pPr>
              <w:numPr>
                <w:ilvl w:val="0"/>
                <w:numId w:val="7"/>
              </w:numPr>
              <w:spacing w:line="360" w:lineRule="auto"/>
              <w:rPr>
                <w:rFonts w:ascii="仿宋" w:hAnsi="仿宋" w:eastAsia="仿宋" w:cs="仿宋"/>
                <w:sz w:val="24"/>
              </w:rPr>
            </w:pPr>
            <w:r>
              <w:rPr>
                <w:rFonts w:hint="eastAsia" w:ascii="仿宋" w:hAnsi="仿宋" w:eastAsia="仿宋" w:cs="仿宋"/>
                <w:sz w:val="24"/>
              </w:rPr>
              <w:t>资信证明文件：按照招标文件要求提供。</w:t>
            </w:r>
          </w:p>
          <w:p>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投标人未提供（1）的有效的资格证明文件的，视为投标人不具备招标文件中规定的资格要求，投标无效。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40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p>
            <w:pPr>
              <w:snapToGrid w:val="0"/>
              <w:spacing w:line="360" w:lineRule="auto"/>
              <w:jc w:val="center"/>
              <w:rPr>
                <w:rFonts w:ascii="仿宋" w:hAnsi="仿宋" w:eastAsia="仿宋" w:cs="仿宋"/>
                <w:sz w:val="24"/>
              </w:rPr>
            </w:pPr>
          </w:p>
        </w:tc>
        <w:tc>
          <w:tcPr>
            <w:tcW w:w="1559" w:type="dxa"/>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投标文件的份数</w:t>
            </w:r>
          </w:p>
        </w:tc>
        <w:tc>
          <w:tcPr>
            <w:tcW w:w="6886" w:type="dxa"/>
            <w:tcBorders>
              <w:top w:val="single" w:color="000000" w:sz="8" w:space="0"/>
              <w:left w:val="single" w:color="000000" w:sz="2" w:space="0"/>
              <w:bottom w:val="single" w:color="auto" w:sz="4" w:space="0"/>
              <w:right w:val="single" w:color="000000" w:sz="8" w:space="0"/>
            </w:tcBorders>
            <w:vAlign w:val="center"/>
          </w:tcPr>
          <w:p>
            <w:pPr>
              <w:pStyle w:val="32"/>
              <w:snapToGrid w:val="0"/>
              <w:spacing w:before="120" w:after="120" w:line="360" w:lineRule="auto"/>
              <w:rPr>
                <w:rFonts w:ascii="仿宋" w:hAnsi="仿宋" w:eastAsia="仿宋" w:cs="仿宋"/>
                <w:sz w:val="24"/>
              </w:rPr>
            </w:pPr>
            <w:r>
              <w:rPr>
                <w:rFonts w:hint="eastAsia" w:ascii="仿宋" w:hAnsi="仿宋" w:eastAsia="仿宋" w:cs="仿宋"/>
                <w:sz w:val="24"/>
              </w:rPr>
              <w:t>本项目实行电子投标。</w:t>
            </w:r>
          </w:p>
          <w:p>
            <w:pPr>
              <w:pStyle w:val="32"/>
              <w:snapToGrid w:val="0"/>
              <w:spacing w:before="120" w:after="120" w:line="360" w:lineRule="auto"/>
              <w:ind w:firstLine="360" w:firstLineChars="150"/>
              <w:rPr>
                <w:rFonts w:ascii="仿宋" w:hAnsi="仿宋" w:eastAsia="仿宋" w:cs="仿宋"/>
                <w:sz w:val="24"/>
              </w:rPr>
            </w:pPr>
            <w:r>
              <w:rPr>
                <w:rFonts w:hint="eastAsia" w:ascii="仿宋" w:hAnsi="仿宋" w:eastAsia="仿宋" w:cs="仿宋"/>
                <w:sz w:val="24"/>
              </w:rPr>
              <w:t>供应商应准备电子投标文件参与投标：</w:t>
            </w:r>
          </w:p>
          <w:p>
            <w:pPr>
              <w:pStyle w:val="32"/>
              <w:numPr>
                <w:ilvl w:val="0"/>
                <w:numId w:val="8"/>
              </w:numPr>
              <w:snapToGrid w:val="0"/>
              <w:spacing w:before="120" w:after="120" w:line="360" w:lineRule="auto"/>
              <w:rPr>
                <w:rFonts w:ascii="仿宋" w:hAnsi="仿宋" w:eastAsia="仿宋" w:cs="仿宋"/>
                <w:sz w:val="24"/>
              </w:rPr>
            </w:pPr>
            <w:r>
              <w:rPr>
                <w:rFonts w:hint="eastAsia" w:ascii="仿宋" w:hAnsi="仿宋" w:eastAsia="仿宋" w:cs="仿宋"/>
                <w:sz w:val="24"/>
              </w:rPr>
              <w:t>电子投标文件，按政采云平台项目采购-电子招投标操作指南及本招标文件要求递交。</w:t>
            </w:r>
          </w:p>
          <w:p>
            <w:pPr>
              <w:spacing w:line="360" w:lineRule="auto"/>
              <w:rPr>
                <w:rFonts w:ascii="仿宋" w:hAnsi="仿宋" w:eastAsia="仿宋" w:cs="仿宋"/>
                <w:b/>
                <w:sz w:val="24"/>
              </w:rPr>
            </w:pPr>
            <w:r>
              <w:rPr>
                <w:rFonts w:hint="eastAsia" w:ascii="仿宋" w:hAnsi="仿宋" w:eastAsia="仿宋" w:cs="仿宋"/>
                <w:b/>
                <w:sz w:val="24"/>
              </w:rPr>
              <w:t>▲未传输递交电子投标文件的，投标无效。</w:t>
            </w:r>
          </w:p>
          <w:p>
            <w:pPr>
              <w:spacing w:line="360" w:lineRule="auto"/>
              <w:rPr>
                <w:rFonts w:ascii="仿宋" w:hAnsi="仿宋" w:eastAsia="仿宋" w:cs="仿宋"/>
                <w:b/>
                <w:sz w:val="24"/>
              </w:rPr>
            </w:pPr>
            <w:r>
              <w:rPr>
                <w:rFonts w:hint="eastAsia" w:ascii="仿宋" w:hAnsi="仿宋" w:eastAsia="仿宋" w:cs="仿宋"/>
                <w:b/>
                <w:sz w:val="24"/>
              </w:rPr>
              <w:t>▲未在系统解密时间内完成解密的，视为投标人自行放弃投标，投标无效。</w:t>
            </w:r>
          </w:p>
          <w:p>
            <w:pPr>
              <w:spacing w:line="360" w:lineRule="auto"/>
              <w:rPr>
                <w:rFonts w:ascii="仿宋" w:hAnsi="仿宋" w:eastAsia="仿宋" w:cs="仿宋"/>
                <w:b/>
                <w:sz w:val="24"/>
              </w:rPr>
            </w:pPr>
            <w:r>
              <w:rPr>
                <w:rFonts w:hint="eastAsia" w:ascii="仿宋" w:hAnsi="仿宋" w:eastAsia="仿宋" w:cs="仿宋"/>
                <w:b/>
                <w:sz w:val="24"/>
              </w:rPr>
              <w:t>本项目备份投标文件：不提供。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559" w:type="dxa"/>
            <w:tcBorders>
              <w:top w:val="single" w:color="auto" w:sz="4"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886" w:type="dxa"/>
            <w:tcBorders>
              <w:top w:val="single" w:color="auto" w:sz="4"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cs="仿宋"/>
                <w:sz w:val="24"/>
              </w:rPr>
            </w:pPr>
            <w:r>
              <w:rPr>
                <w:rFonts w:hint="eastAsia" w:ascii="仿宋" w:hAnsi="仿宋" w:eastAsia="仿宋" w:cs="仿宋"/>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886" w:type="dxa"/>
            <w:tcBorders>
              <w:top w:val="single" w:color="000000" w:sz="8" w:space="0"/>
              <w:left w:val="single" w:color="000000" w:sz="2" w:space="0"/>
              <w:bottom w:val="single" w:color="000000" w:sz="8" w:space="0"/>
              <w:right w:val="single" w:color="000000" w:sz="8" w:space="0"/>
            </w:tcBorders>
            <w:vAlign w:val="center"/>
          </w:tcPr>
          <w:p>
            <w:pPr>
              <w:widowControl/>
              <w:spacing w:before="100" w:beforeAutospacing="1" w:after="240" w:line="360" w:lineRule="auto"/>
              <w:jc w:val="left"/>
              <w:rPr>
                <w:rFonts w:ascii="仿宋" w:hAnsi="仿宋" w:eastAsia="仿宋" w:cs="仿宋"/>
                <w:b/>
                <w:sz w:val="24"/>
              </w:rPr>
            </w:pPr>
            <w:r>
              <w:rPr>
                <w:rFonts w:hint="eastAsia" w:ascii="仿宋" w:hAnsi="仿宋" w:eastAsia="仿宋" w:cs="仿宋"/>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5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8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sz w:val="24"/>
              </w:rPr>
            </w:pPr>
            <w:r>
              <w:rPr>
                <w:rFonts w:hint="eastAsia" w:ascii="仿宋" w:hAnsi="仿宋" w:eastAsia="仿宋" w:cs="仿宋"/>
                <w:bCs/>
                <w:kern w:val="0"/>
                <w:sz w:val="24"/>
                <w:lang w:val="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4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采购机构代理费用</w:t>
            </w:r>
          </w:p>
        </w:tc>
        <w:tc>
          <w:tcPr>
            <w:tcW w:w="68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投标保证金</w:t>
            </w:r>
          </w:p>
          <w:p>
            <w:pPr>
              <w:snapToGrid w:val="0"/>
              <w:spacing w:line="360" w:lineRule="auto"/>
              <w:jc w:val="center"/>
              <w:rPr>
                <w:rFonts w:ascii="仿宋" w:hAnsi="仿宋" w:eastAsia="仿宋" w:cs="仿宋"/>
                <w:b/>
                <w:sz w:val="24"/>
              </w:rPr>
            </w:pPr>
            <w:r>
              <w:rPr>
                <w:rFonts w:hint="eastAsia" w:ascii="仿宋" w:hAnsi="仿宋" w:eastAsia="仿宋" w:cs="仿宋"/>
                <w:b/>
                <w:sz w:val="24"/>
              </w:rPr>
              <w:t>履约保证金</w:t>
            </w:r>
          </w:p>
        </w:tc>
        <w:tc>
          <w:tcPr>
            <w:tcW w:w="6886" w:type="dxa"/>
            <w:tcBorders>
              <w:top w:val="single" w:color="000000" w:sz="8" w:space="0"/>
              <w:left w:val="single" w:color="000000" w:sz="2" w:space="0"/>
              <w:bottom w:val="single" w:color="000000" w:sz="8" w:space="0"/>
              <w:right w:val="single" w:color="000000" w:sz="8" w:space="0"/>
            </w:tcBorders>
            <w:vAlign w:val="center"/>
          </w:tcPr>
          <w:p>
            <w:pPr>
              <w:pStyle w:val="17"/>
              <w:spacing w:line="360" w:lineRule="auto"/>
              <w:ind w:firstLine="0"/>
              <w:rPr>
                <w:rFonts w:ascii="仿宋" w:hAnsi="仿宋" w:eastAsia="仿宋" w:cs="仿宋"/>
                <w:color w:val="auto"/>
                <w:sz w:val="24"/>
              </w:rPr>
            </w:pPr>
            <w:r>
              <w:rPr>
                <w:rFonts w:hint="eastAsia" w:ascii="仿宋" w:hAnsi="仿宋" w:eastAsia="仿宋" w:cs="仿宋"/>
                <w:color w:val="auto"/>
                <w:sz w:val="24"/>
              </w:rPr>
              <w:t>投标保证金：不收取。</w:t>
            </w:r>
          </w:p>
          <w:p>
            <w:pPr>
              <w:pStyle w:val="17"/>
              <w:spacing w:line="360" w:lineRule="auto"/>
              <w:ind w:firstLine="0"/>
              <w:rPr>
                <w:rFonts w:ascii="仿宋" w:hAnsi="仿宋" w:eastAsia="仿宋" w:cs="仿宋"/>
                <w:color w:val="auto"/>
                <w:sz w:val="24"/>
              </w:rPr>
            </w:pPr>
            <w:r>
              <w:rPr>
                <w:rFonts w:hint="eastAsia" w:ascii="仿宋" w:hAnsi="仿宋" w:eastAsia="仿宋" w:cs="仿宋"/>
                <w:color w:val="auto"/>
                <w:sz w:val="24"/>
              </w:rPr>
              <w:t>履约保证金：收取5%</w:t>
            </w:r>
          </w:p>
          <w:p>
            <w:pPr>
              <w:pStyle w:val="17"/>
              <w:spacing w:line="360" w:lineRule="auto"/>
              <w:ind w:firstLine="0"/>
              <w:rPr>
                <w:rFonts w:ascii="仿宋" w:hAnsi="仿宋" w:eastAsia="仿宋" w:cs="仿宋"/>
                <w:color w:val="auto"/>
                <w:sz w:val="24"/>
              </w:rPr>
            </w:pPr>
            <w:r>
              <w:rPr>
                <w:rFonts w:hint="eastAsia" w:ascii="仿宋" w:hAnsi="仿宋" w:eastAsia="仿宋" w:cs="仿宋"/>
                <w:color w:val="auto"/>
                <w:sz w:val="24"/>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6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资格审查及信用信息查询</w:t>
            </w:r>
          </w:p>
        </w:tc>
        <w:tc>
          <w:tcPr>
            <w:tcW w:w="6886" w:type="dxa"/>
            <w:tcBorders>
              <w:top w:val="single" w:color="000000" w:sz="8" w:space="0"/>
              <w:left w:val="single" w:color="000000" w:sz="2" w:space="0"/>
              <w:bottom w:val="single" w:color="000000" w:sz="8" w:space="0"/>
              <w:right w:val="single" w:color="000000" w:sz="8" w:space="0"/>
            </w:tcBorders>
            <w:vAlign w:val="center"/>
          </w:tcPr>
          <w:p>
            <w:pPr>
              <w:pStyle w:val="17"/>
              <w:spacing w:line="360" w:lineRule="auto"/>
              <w:ind w:firstLine="0"/>
              <w:rPr>
                <w:rFonts w:ascii="仿宋" w:hAnsi="仿宋" w:eastAsia="仿宋" w:cs="仿宋"/>
                <w:color w:val="auto"/>
                <w:sz w:val="24"/>
              </w:rPr>
            </w:pPr>
            <w:r>
              <w:rPr>
                <w:rFonts w:hint="eastAsia" w:ascii="仿宋" w:hAnsi="仿宋" w:eastAsia="仿宋" w:cs="仿宋"/>
                <w:color w:val="auto"/>
                <w:sz w:val="24"/>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kern w:val="0"/>
                <w:sz w:val="24"/>
              </w:rPr>
              <w:t>中小企业划分标准所属行业</w:t>
            </w:r>
          </w:p>
        </w:tc>
        <w:tc>
          <w:tcPr>
            <w:tcW w:w="6886" w:type="dxa"/>
            <w:tcBorders>
              <w:top w:val="single" w:color="000000" w:sz="8" w:space="0"/>
              <w:left w:val="single" w:color="000000" w:sz="2" w:space="0"/>
              <w:bottom w:val="single" w:color="000000" w:sz="8" w:space="0"/>
              <w:right w:val="single" w:color="000000" w:sz="8" w:space="0"/>
            </w:tcBorders>
            <w:vAlign w:val="center"/>
          </w:tcPr>
          <w:p>
            <w:pPr>
              <w:pStyle w:val="17"/>
              <w:spacing w:line="360" w:lineRule="auto"/>
              <w:ind w:firstLine="0"/>
              <w:rPr>
                <w:rFonts w:ascii="仿宋" w:hAnsi="仿宋" w:eastAsia="仿宋" w:cs="仿宋"/>
                <w:color w:val="auto"/>
                <w:sz w:val="24"/>
              </w:rPr>
            </w:pPr>
            <w:r>
              <w:rPr>
                <w:rFonts w:hint="eastAsia" w:ascii="仿宋" w:hAnsi="仿宋" w:eastAsia="仿宋" w:cs="仿宋"/>
                <w:color w:val="auto"/>
                <w:kern w:val="0"/>
                <w:sz w:val="24"/>
              </w:rPr>
              <w:t>采购标的：</w:t>
            </w:r>
            <w:r>
              <w:rPr>
                <w:rFonts w:hint="eastAsia" w:ascii="仿宋" w:hAnsi="仿宋" w:eastAsia="仿宋" w:cs="仿宋"/>
                <w:color w:val="auto"/>
                <w:sz w:val="24"/>
                <w:szCs w:val="28"/>
                <w:u w:val="single"/>
              </w:rPr>
              <w:t>信息等保2.0</w:t>
            </w:r>
            <w:r>
              <w:rPr>
                <w:rFonts w:hint="eastAsia" w:ascii="仿宋" w:hAnsi="仿宋" w:eastAsia="仿宋" w:cs="仿宋"/>
                <w:color w:val="auto"/>
                <w:kern w:val="0"/>
                <w:sz w:val="24"/>
              </w:rPr>
              <w:t>，所属行业：</w:t>
            </w:r>
            <w:r>
              <w:rPr>
                <w:rFonts w:hint="eastAsia" w:ascii="仿宋" w:hAnsi="仿宋" w:eastAsia="仿宋" w:cs="仿宋"/>
                <w:color w:val="auto"/>
                <w:kern w:val="0"/>
                <w:sz w:val="24"/>
                <w:u w:val="single"/>
              </w:rPr>
              <w:t>工业</w:t>
            </w:r>
            <w:r>
              <w:rPr>
                <w:rFonts w:hint="eastAsia" w:ascii="仿宋" w:hAnsi="仿宋" w:eastAsia="仿宋" w:cs="仿宋"/>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99"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kern w:val="0"/>
                <w:sz w:val="24"/>
              </w:rPr>
              <w:t>中小企业预留份额情况</w:t>
            </w:r>
          </w:p>
        </w:tc>
        <w:tc>
          <w:tcPr>
            <w:tcW w:w="6886" w:type="dxa"/>
            <w:tcBorders>
              <w:top w:val="single" w:color="000000" w:sz="8" w:space="0"/>
              <w:left w:val="single" w:color="000000" w:sz="2" w:space="0"/>
              <w:bottom w:val="single" w:color="000000" w:sz="8" w:space="0"/>
              <w:right w:val="single" w:color="000000" w:sz="8" w:space="0"/>
            </w:tcBorders>
            <w:vAlign w:val="center"/>
          </w:tcPr>
          <w:p>
            <w:pPr>
              <w:pStyle w:val="17"/>
              <w:spacing w:line="360" w:lineRule="auto"/>
              <w:ind w:firstLine="0"/>
              <w:rPr>
                <w:rFonts w:ascii="仿宋" w:hAnsi="仿宋" w:eastAsia="仿宋" w:cs="仿宋"/>
                <w:color w:val="auto"/>
                <w:sz w:val="24"/>
              </w:rPr>
            </w:pPr>
            <w:r>
              <w:rPr>
                <w:rFonts w:hint="eastAsia" w:ascii="仿宋" w:hAnsi="仿宋" w:eastAsia="仿宋" w:cs="仿宋"/>
                <w:color w:val="auto"/>
                <w:kern w:val="0"/>
                <w:sz w:val="24"/>
              </w:rPr>
              <w:t>本项目</w:t>
            </w:r>
            <w:r>
              <w:rPr>
                <w:rFonts w:hint="eastAsia" w:ascii="仿宋" w:hAnsi="仿宋" w:eastAsia="仿宋" w:cs="仿宋_GB2312"/>
                <w:color w:val="auto"/>
                <w:sz w:val="24"/>
                <w:u w:val="single"/>
              </w:rPr>
              <w:t>预留100%</w:t>
            </w:r>
            <w:r>
              <w:rPr>
                <w:rFonts w:ascii="仿宋" w:hAnsi="仿宋" w:eastAsia="仿宋" w:cs="仿宋_GB2312"/>
                <w:color w:val="auto"/>
                <w:sz w:val="24"/>
                <w:u w:val="single"/>
              </w:rPr>
              <w:t>份额</w:t>
            </w:r>
            <w:r>
              <w:rPr>
                <w:rFonts w:hint="eastAsia" w:ascii="仿宋" w:hAnsi="仿宋" w:eastAsia="仿宋" w:cs="仿宋_GB2312"/>
                <w:color w:val="auto"/>
                <w:sz w:val="24"/>
                <w:u w:val="single"/>
              </w:rPr>
              <w:t>专门面向中小企业采购</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质疑接收人及答复</w:t>
            </w:r>
          </w:p>
        </w:tc>
        <w:tc>
          <w:tcPr>
            <w:tcW w:w="68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u w:val="single"/>
              </w:rPr>
            </w:pPr>
            <w:r>
              <w:rPr>
                <w:rFonts w:hint="eastAsia" w:ascii="仿宋" w:hAnsi="仿宋" w:eastAsia="仿宋" w:cs="仿宋"/>
                <w:sz w:val="24"/>
              </w:rPr>
              <w:t>采购人质疑接收人：</w:t>
            </w:r>
            <w:r>
              <w:rPr>
                <w:rFonts w:hint="eastAsia" w:ascii="仿宋" w:hAnsi="仿宋" w:eastAsia="仿宋" w:cs="仿宋"/>
                <w:sz w:val="24"/>
                <w:szCs w:val="28"/>
                <w:u w:val="single"/>
              </w:rPr>
              <w:t>王益红</w:t>
            </w:r>
            <w:r>
              <w:rPr>
                <w:rFonts w:hint="eastAsia" w:ascii="仿宋" w:hAnsi="仿宋" w:eastAsia="仿宋" w:cs="仿宋"/>
                <w:sz w:val="24"/>
              </w:rPr>
              <w:t xml:space="preserve"> 联系方式：</w:t>
            </w:r>
            <w:r>
              <w:rPr>
                <w:rFonts w:hint="eastAsia" w:ascii="仿宋" w:hAnsi="仿宋" w:eastAsia="仿宋" w:cs="仿宋"/>
                <w:sz w:val="24"/>
                <w:szCs w:val="28"/>
                <w:u w:val="single"/>
              </w:rPr>
              <w:t>0571-82750581</w:t>
            </w:r>
          </w:p>
          <w:p>
            <w:pPr>
              <w:spacing w:line="360" w:lineRule="auto"/>
              <w:jc w:val="left"/>
              <w:rPr>
                <w:rFonts w:ascii="仿宋" w:hAnsi="仿宋" w:eastAsia="仿宋" w:cs="仿宋"/>
                <w:sz w:val="24"/>
                <w:szCs w:val="28"/>
                <w:u w:val="single"/>
              </w:rPr>
            </w:pPr>
            <w:r>
              <w:rPr>
                <w:rFonts w:hint="eastAsia" w:ascii="仿宋" w:hAnsi="仿宋" w:eastAsia="仿宋" w:cs="仿宋"/>
                <w:sz w:val="24"/>
              </w:rPr>
              <w:t>地址：</w:t>
            </w:r>
            <w:r>
              <w:rPr>
                <w:rFonts w:hint="eastAsia" w:ascii="仿宋" w:hAnsi="仿宋" w:eastAsia="仿宋" w:cs="仿宋"/>
                <w:sz w:val="24"/>
                <w:szCs w:val="28"/>
                <w:u w:val="single"/>
              </w:rPr>
              <w:t>杭州市萧山区蜀山街道风情大道3300号</w:t>
            </w:r>
          </w:p>
          <w:p>
            <w:pPr>
              <w:snapToGrid w:val="0"/>
              <w:spacing w:line="360" w:lineRule="auto"/>
              <w:rPr>
                <w:rFonts w:ascii="仿宋" w:hAnsi="仿宋" w:eastAsia="仿宋" w:cs="仿宋"/>
                <w:sz w:val="24"/>
                <w:u w:val="single"/>
              </w:rPr>
            </w:pPr>
            <w:r>
              <w:rPr>
                <w:rFonts w:hint="eastAsia" w:ascii="仿宋" w:hAnsi="仿宋" w:eastAsia="仿宋" w:cs="仿宋"/>
                <w:sz w:val="24"/>
              </w:rPr>
              <w:t>邮箱：</w:t>
            </w:r>
            <w:r>
              <w:rPr>
                <w:rFonts w:hint="eastAsia" w:ascii="仿宋" w:hAnsi="仿宋" w:eastAsia="仿宋" w:cs="仿宋"/>
                <w:sz w:val="24"/>
                <w:u w:val="single"/>
              </w:rPr>
              <w:t>2803761901@qq.com</w:t>
            </w:r>
          </w:p>
          <w:p>
            <w:pPr>
              <w:snapToGrid w:val="0"/>
              <w:spacing w:line="360" w:lineRule="auto"/>
              <w:rPr>
                <w:rFonts w:ascii="仿宋" w:hAnsi="仿宋" w:eastAsia="仿宋" w:cs="仿宋"/>
                <w:sz w:val="24"/>
                <w:u w:val="single"/>
              </w:rPr>
            </w:pPr>
            <w:r>
              <w:rPr>
                <w:rFonts w:hint="eastAsia" w:ascii="仿宋" w:hAnsi="仿宋" w:eastAsia="仿宋" w:cs="仿宋"/>
                <w:sz w:val="24"/>
              </w:rPr>
              <w:t>采购机构质疑接收人：</w:t>
            </w:r>
            <w:r>
              <w:rPr>
                <w:rFonts w:hint="eastAsia" w:ascii="仿宋" w:hAnsi="仿宋" w:eastAsia="仿宋" w:cs="仿宋"/>
                <w:sz w:val="24"/>
                <w:u w:val="single"/>
              </w:rPr>
              <w:t>高华萍</w:t>
            </w:r>
            <w:r>
              <w:rPr>
                <w:rFonts w:hint="eastAsia" w:ascii="仿宋" w:hAnsi="仿宋" w:eastAsia="仿宋" w:cs="仿宋"/>
                <w:sz w:val="24"/>
              </w:rPr>
              <w:t xml:space="preserve"> 联系方式：</w:t>
            </w:r>
            <w:r>
              <w:rPr>
                <w:rFonts w:hint="eastAsia" w:ascii="仿宋" w:hAnsi="仿宋" w:eastAsia="仿宋" w:cs="仿宋"/>
                <w:sz w:val="24"/>
                <w:szCs w:val="28"/>
                <w:u w:val="single"/>
              </w:rPr>
              <w:t>0571-83881208</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szCs w:val="28"/>
                <w:u w:val="single"/>
              </w:rPr>
              <w:t>杭州市萧山区金城路433号天汇园1幢A座5楼</w:t>
            </w:r>
            <w:r>
              <w:rPr>
                <w:rFonts w:hint="eastAsia" w:ascii="仿宋" w:hAnsi="仿宋" w:eastAsia="仿宋" w:cs="仿宋"/>
                <w:sz w:val="24"/>
              </w:rPr>
              <w:t xml:space="preserve"> </w:t>
            </w:r>
          </w:p>
          <w:p>
            <w:pPr>
              <w:snapToGrid w:val="0"/>
              <w:spacing w:line="360" w:lineRule="auto"/>
              <w:rPr>
                <w:rFonts w:ascii="仿宋" w:hAnsi="仿宋" w:eastAsia="仿宋" w:cs="仿宋"/>
                <w:sz w:val="24"/>
                <w:u w:val="single"/>
              </w:rPr>
            </w:pPr>
            <w:r>
              <w:rPr>
                <w:rFonts w:hint="eastAsia" w:ascii="仿宋" w:hAnsi="仿宋" w:eastAsia="仿宋" w:cs="仿宋"/>
                <w:sz w:val="24"/>
              </w:rPr>
              <w:t>邮箱：</w:t>
            </w:r>
            <w:r>
              <w:rPr>
                <w:rFonts w:hint="eastAsia" w:ascii="仿宋" w:hAnsi="仿宋" w:eastAsia="仿宋" w:cs="仿宋"/>
                <w:sz w:val="24"/>
                <w:u w:val="single"/>
              </w:rPr>
              <w:t>751200605@qq.com</w:t>
            </w:r>
          </w:p>
          <w:p>
            <w:pPr>
              <w:snapToGrid w:val="0"/>
              <w:spacing w:line="360" w:lineRule="auto"/>
              <w:rPr>
                <w:rFonts w:ascii="仿宋" w:hAnsi="仿宋" w:eastAsia="仿宋" w:cs="仿宋"/>
                <w:b/>
                <w:sz w:val="24"/>
              </w:rPr>
            </w:pPr>
            <w:r>
              <w:rPr>
                <w:rFonts w:hint="eastAsia" w:ascii="仿宋" w:hAnsi="仿宋" w:eastAsia="仿宋" w:cs="仿宋"/>
                <w:b/>
                <w:sz w:val="24"/>
              </w:rPr>
              <w:t>如通过邮箱方式发送质疑，须提交符合法规及招标文件要求的质疑文件（参考附件2），盖章扫描后发送，质疑的受理按答复主体划分以采购人或采购机构邮箱回复确认受理为准。</w:t>
            </w:r>
          </w:p>
          <w:p>
            <w:pPr>
              <w:snapToGrid w:val="0"/>
              <w:spacing w:line="360" w:lineRule="auto"/>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本项目涉及资格条件、采购需求、评分办法及采购过程中有关现场考察或开标前答疑会事项由采购人进行答复。</w:t>
            </w:r>
          </w:p>
          <w:p>
            <w:pPr>
              <w:snapToGrid w:val="0"/>
              <w:spacing w:line="360" w:lineRule="auto"/>
              <w:rPr>
                <w:rFonts w:ascii="仿宋" w:hAnsi="仿宋" w:eastAsia="仿宋" w:cs="仿宋"/>
                <w:sz w:val="24"/>
                <w:u w:val="single"/>
              </w:rPr>
            </w:pPr>
            <w:r>
              <w:rPr>
                <w:rFonts w:hint="eastAsia" w:ascii="仿宋" w:hAnsi="仿宋" w:eastAsia="仿宋" w:cs="仿宋"/>
                <w:sz w:val="24"/>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项目采购类型</w:t>
            </w:r>
          </w:p>
        </w:tc>
        <w:tc>
          <w:tcPr>
            <w:tcW w:w="68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sz w:val="24"/>
              </w:rPr>
              <w:t>本项目为</w:t>
            </w:r>
            <w:r>
              <w:rPr>
                <w:rFonts w:hint="eastAsia" w:ascii="仿宋" w:hAnsi="仿宋" w:eastAsia="仿宋" w:cs="仿宋"/>
                <w:sz w:val="24"/>
                <w:u w:val="single"/>
              </w:rPr>
              <w:t>货物类</w:t>
            </w:r>
            <w:r>
              <w:rPr>
                <w:rFonts w:hint="eastAsia" w:ascii="仿宋" w:hAnsi="仿宋" w:eastAsia="仿宋" w:cs="仿宋"/>
                <w:sz w:val="24"/>
              </w:rPr>
              <w:t>采购项目</w:t>
            </w:r>
          </w:p>
          <w:p>
            <w:pPr>
              <w:snapToGrid w:val="0"/>
              <w:spacing w:line="360" w:lineRule="auto"/>
              <w:rPr>
                <w:rFonts w:ascii="仿宋" w:hAnsi="仿宋" w:eastAsia="仿宋" w:cs="仿宋"/>
                <w:sz w:val="24"/>
              </w:rPr>
            </w:pPr>
            <w:r>
              <w:rPr>
                <w:rFonts w:hint="eastAsia" w:ascii="仿宋" w:hAnsi="仿宋" w:eastAsia="仿宋"/>
                <w:sz w:val="24"/>
              </w:rPr>
              <w:t>货物类：本项目货物类产品</w:t>
            </w:r>
            <w:r>
              <w:rPr>
                <w:rFonts w:hint="eastAsia" w:ascii="仿宋" w:hAnsi="仿宋" w:eastAsia="仿宋"/>
                <w:sz w:val="24"/>
                <w:u w:val="single"/>
              </w:rPr>
              <w:t>不接受</w:t>
            </w:r>
            <w:r>
              <w:rPr>
                <w:rFonts w:hint="eastAsia" w:ascii="仿宋" w:hAnsi="仿宋" w:eastAsia="仿宋"/>
                <w:sz w:val="24"/>
              </w:rPr>
              <w:t>进口产品投标（进口产品是指通过中国海关报关进入中国境内且产自关境外的产品）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中小企业支持</w:t>
            </w:r>
          </w:p>
        </w:tc>
        <w:tc>
          <w:tcPr>
            <w:tcW w:w="68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rPr>
            </w:pPr>
            <w:r>
              <w:rPr>
                <w:rFonts w:hint="eastAsia" w:ascii="仿宋" w:hAnsi="仿宋" w:eastAsia="仿宋" w:cs="仿宋"/>
                <w:sz w:val="24"/>
              </w:rPr>
              <w:t>本项目支持《杭州市萧山区政府采购支持中小企业信用融资暂行办法》。</w:t>
            </w:r>
          </w:p>
          <w:p>
            <w:pPr>
              <w:snapToGrid w:val="0"/>
              <w:spacing w:line="360" w:lineRule="auto"/>
              <w:jc w:val="left"/>
              <w:rPr>
                <w:rFonts w:ascii="仿宋" w:hAnsi="仿宋" w:eastAsia="仿宋" w:cs="仿宋"/>
                <w:sz w:val="24"/>
              </w:rPr>
            </w:pPr>
            <w:r>
              <w:rPr>
                <w:rFonts w:hint="eastAsia" w:ascii="仿宋" w:hAnsi="仿宋" w:eastAsia="仿宋" w:cs="仿宋"/>
                <w:sz w:val="24"/>
              </w:rPr>
              <w:t>有融资需求的中标供应商可参照相关规定及银行方案凭政府采购合同向相关合作银行提出信用融资（贷款）申请。详见</w:t>
            </w:r>
            <w:r>
              <w:rPr>
                <w:rFonts w:hint="eastAsia" w:ascii="仿宋" w:hAnsi="仿宋" w:eastAsia="仿宋" w:cs="仿宋"/>
              </w:rPr>
              <w:t>http://www.xiaoshan.gov.cn/art/2019/2/15/art_1229293109_1559514.html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16</w:t>
            </w:r>
          </w:p>
        </w:tc>
        <w:tc>
          <w:tcPr>
            <w:tcW w:w="155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同级采购监督管理部门</w:t>
            </w:r>
          </w:p>
        </w:tc>
        <w:tc>
          <w:tcPr>
            <w:tcW w:w="688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杭州市萧山区财政局</w:t>
            </w:r>
          </w:p>
          <w:p>
            <w:pPr>
              <w:snapToGrid w:val="0"/>
              <w:spacing w:line="360" w:lineRule="auto"/>
              <w:jc w:val="left"/>
              <w:rPr>
                <w:rFonts w:ascii="仿宋" w:hAnsi="仿宋" w:eastAsia="仿宋" w:cs="仿宋"/>
                <w:sz w:val="24"/>
              </w:rPr>
            </w:pPr>
            <w:r>
              <w:rPr>
                <w:rFonts w:hint="eastAsia" w:ascii="仿宋" w:hAnsi="仿宋" w:eastAsia="仿宋" w:cs="仿宋"/>
                <w:sz w:val="24"/>
              </w:rPr>
              <w:t>地址：杭州市萧山区人民路318号</w:t>
            </w:r>
          </w:p>
          <w:p>
            <w:pPr>
              <w:snapToGrid w:val="0"/>
              <w:spacing w:line="360" w:lineRule="auto"/>
              <w:jc w:val="left"/>
              <w:rPr>
                <w:rFonts w:ascii="仿宋" w:hAnsi="仿宋" w:eastAsia="仿宋" w:cs="仿宋"/>
                <w:sz w:val="24"/>
              </w:rPr>
            </w:pPr>
            <w:r>
              <w:rPr>
                <w:rFonts w:hint="eastAsia" w:ascii="仿宋" w:hAnsi="仿宋" w:eastAsia="仿宋" w:cs="仿宋"/>
                <w:sz w:val="24"/>
              </w:rPr>
              <w:t>联系方式：0571-82752687</w:t>
            </w:r>
          </w:p>
        </w:tc>
      </w:tr>
    </w:tbl>
    <w:p>
      <w:pPr>
        <w:spacing w:line="360" w:lineRule="auto"/>
        <w:ind w:firstLine="482" w:firstLineChars="200"/>
        <w:rPr>
          <w:rFonts w:ascii="仿宋" w:hAnsi="仿宋" w:eastAsia="仿宋" w:cs="仿宋"/>
          <w:b/>
          <w:sz w:val="24"/>
        </w:rPr>
      </w:pPr>
      <w:r>
        <w:rPr>
          <w:rFonts w:hint="eastAsia" w:ascii="仿宋" w:hAnsi="仿宋" w:eastAsia="仿宋" w:cs="仿宋"/>
          <w:b/>
          <w:sz w:val="24"/>
        </w:rPr>
        <w:t>注：本项目通用总则条款与前附表等专用特别规定有冲突之处，以专用条款（特别规定）为准。</w:t>
      </w: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br w:type="page"/>
      </w:r>
      <w:bookmarkEnd w:id="10"/>
      <w:bookmarkStart w:id="40" w:name="第三部分"/>
      <w:bookmarkStart w:id="41"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 “▲” 系指实质性要求条款，“★”系产品采购项目中单一产品或核心产品。</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节能环保要求</w:t>
      </w:r>
    </w:p>
    <w:p>
      <w:pPr>
        <w:spacing w:line="360" w:lineRule="auto"/>
        <w:ind w:firstLine="482" w:firstLineChars="200"/>
        <w:rPr>
          <w:rFonts w:ascii="仿宋" w:hAnsi="仿宋" w:eastAsia="仿宋" w:cs="仿宋"/>
          <w:sz w:val="24"/>
        </w:rPr>
      </w:pPr>
      <w:r>
        <w:rPr>
          <w:rFonts w:hint="eastAsia" w:ascii="仿宋" w:hAnsi="仿宋" w:eastAsia="仿宋" w:cs="仿宋"/>
          <w:b/>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投标无效。</w:t>
      </w:r>
      <w:r>
        <w:rPr>
          <w:rFonts w:hint="eastAsia" w:ascii="仿宋" w:hAnsi="仿宋" w:eastAsia="仿宋" w:cs="仿宋"/>
          <w:sz w:val="24"/>
        </w:rPr>
        <w:t>（注：在最新一期节能产品品目清单发布之后开展的政府采购活动，执行最新一期节能清单。在此之前已经开展但尚未进入评审环节的政府采购活动，执行上期或最最新一期品目清单。</w:t>
      </w:r>
      <w:r>
        <w:rPr>
          <w:rFonts w:hint="eastAsia" w:ascii="仿宋" w:hAnsi="仿宋" w:eastAsia="仿宋" w:cs="仿宋"/>
          <w:b/>
          <w:sz w:val="24"/>
        </w:rPr>
        <w:t>▲</w:t>
      </w:r>
      <w:r>
        <w:rPr>
          <w:rFonts w:hint="eastAsia" w:ascii="仿宋" w:hAnsi="仿宋" w:eastAsia="仿宋" w:cs="仿宋"/>
          <w:b/>
          <w:sz w:val="24"/>
          <w:szCs w:val="21"/>
        </w:rPr>
        <w:t>本项目如需采购节能品目清单中的政府强制采购的节能产品的，必须以强制采购的品目清单内产品投标，投标人未按要求提供品目清单内的节能产品或相关证明，投标无效。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投标人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pPr>
        <w:spacing w:line="360" w:lineRule="auto"/>
        <w:ind w:firstLine="120" w:firstLineChars="50"/>
        <w:rPr>
          <w:rFonts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支持中小企业发展</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3.3.3对于未预留份额专门面向中小企业的政府采购货物或服务项目，以及预留份额政府采购货物或服务项目中的非预留部分标项，对小型和微型企业的投标报价给予10 %的扣除，用扣除后的价格参与评审。</w:t>
      </w:r>
    </w:p>
    <w:p>
      <w:pPr>
        <w:spacing w:line="360" w:lineRule="auto"/>
        <w:ind w:firstLine="480" w:firstLineChars="200"/>
        <w:rPr>
          <w:rFonts w:ascii="仿宋" w:hAnsi="仿宋" w:eastAsia="仿宋" w:cs="仿宋"/>
          <w:sz w:val="24"/>
        </w:rPr>
      </w:pPr>
      <w:r>
        <w:rPr>
          <w:rFonts w:hint="eastAsia" w:ascii="仿宋" w:hAnsi="仿宋" w:eastAsia="仿宋" w:cs="仿宋"/>
          <w:sz w:val="24"/>
        </w:rPr>
        <w:t>3.3.4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3.3.7可享受</w:t>
      </w:r>
      <w:r>
        <w:rPr>
          <w:rFonts w:hint="eastAsia" w:ascii="仿宋" w:hAnsi="仿宋" w:eastAsia="仿宋" w:cs="仿宋"/>
          <w:kern w:val="0"/>
          <w:sz w:val="24"/>
        </w:rPr>
        <w:t>中小企业扶持政策</w:t>
      </w:r>
      <w:r>
        <w:rPr>
          <w:rFonts w:hint="eastAsia" w:ascii="仿宋" w:hAnsi="仿宋" w:eastAsia="仿宋" w:cs="仿宋"/>
          <w:sz w:val="24"/>
        </w:rPr>
        <w:t>的投标人应按照招标文件格式要求提供《中小企业声明函》。</w:t>
      </w:r>
    </w:p>
    <w:p>
      <w:pPr>
        <w:spacing w:line="360" w:lineRule="auto"/>
        <w:ind w:firstLine="480" w:firstLineChars="200"/>
        <w:rPr>
          <w:rFonts w:ascii="仿宋" w:hAnsi="仿宋" w:eastAsia="仿宋" w:cs="仿宋"/>
          <w:sz w:val="24"/>
        </w:rPr>
      </w:pPr>
      <w:r>
        <w:rPr>
          <w:rFonts w:hint="eastAsia" w:ascii="仿宋" w:hAnsi="仿宋" w:eastAsia="仿宋" w:cs="仿宋"/>
          <w:sz w:val="24"/>
        </w:rPr>
        <w:t>3.3.8中小企业享受扶持政策获得政府采购合同的，小微企业不得将合同分包给大中型企业，中型企业不得将合同分包给大型企业。</w:t>
      </w:r>
    </w:p>
    <w:p>
      <w:pPr>
        <w:spacing w:line="360" w:lineRule="auto"/>
        <w:ind w:firstLine="241" w:firstLineChars="100"/>
        <w:rPr>
          <w:rFonts w:ascii="仿宋" w:hAnsi="仿宋" w:eastAsia="仿宋" w:cs="仿宋"/>
          <w:b/>
          <w:sz w:val="24"/>
        </w:rPr>
      </w:pP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pStyle w:val="32"/>
        <w:spacing w:line="360" w:lineRule="auto"/>
        <w:ind w:right="-512" w:firstLine="480" w:firstLineChars="200"/>
        <w:rPr>
          <w:rFonts w:ascii="仿宋" w:hAnsi="仿宋" w:eastAsia="仿宋" w:cs="仿宋"/>
          <w:sz w:val="24"/>
        </w:rPr>
      </w:pPr>
      <w:r>
        <w:rPr>
          <w:rFonts w:hint="eastAsia" w:ascii="仿宋" w:hAnsi="仿宋" w:eastAsia="仿宋" w:cs="仿宋"/>
          <w:sz w:val="24"/>
        </w:rPr>
        <w:t>供应商可以就采购文件中特定资格条件、采购需求、评分办法及采购过程中有关现场考察或开标前答疑会事项向采购人提出询问，采购人将对此作出答复；供应商可以就采购活动     中的其它事项向采购机构提出询问，采购机构将对此作出答复。答复的内容不得涉及商业秘密。</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32"/>
        <w:spacing w:line="360" w:lineRule="auto"/>
        <w:ind w:right="-512"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.1提出质疑的供应商应当是参与所质疑项目采购活动的供应商。潜在供应商已依法获取其可质疑的采购文件的，可以对该文件提出质疑。</w:t>
      </w:r>
    </w:p>
    <w:p>
      <w:pPr>
        <w:pStyle w:val="32"/>
        <w:spacing w:line="360" w:lineRule="auto"/>
        <w:ind w:right="-512"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34" w:firstLineChars="181"/>
        <w:rPr>
          <w:rFonts w:ascii="仿宋" w:hAnsi="仿宋" w:eastAsia="仿宋" w:cs="仿宋"/>
          <w:snapToGrid/>
          <w:color w:val="auto"/>
          <w:kern w:val="2"/>
          <w:sz w:val="24"/>
        </w:rPr>
      </w:pPr>
      <w:r>
        <w:rPr>
          <w:rFonts w:hint="eastAsia" w:ascii="仿宋" w:hAnsi="仿宋" w:eastAsia="仿宋" w:cs="仿宋"/>
          <w:color w:val="auto"/>
          <w:kern w:val="0"/>
          <w:sz w:val="24"/>
          <w:lang w:val="zh-CN"/>
        </w:rPr>
        <w:t>4.2</w:t>
      </w:r>
      <w:r>
        <w:rPr>
          <w:rFonts w:hint="eastAsia" w:ascii="仿宋" w:hAnsi="仿宋" w:eastAsia="仿宋" w:cs="仿宋"/>
          <w:color w:val="auto"/>
          <w:sz w:val="24"/>
        </w:rPr>
        <w:t>.2.1</w:t>
      </w:r>
      <w:r>
        <w:rPr>
          <w:rFonts w:hint="eastAsia" w:ascii="仿宋" w:hAnsi="仿宋" w:eastAsia="仿宋" w:cs="仿宋"/>
          <w:snapToGrid/>
          <w:color w:val="auto"/>
          <w:kern w:val="2"/>
          <w:sz w:val="24"/>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pPr>
        <w:pStyle w:val="32"/>
        <w:spacing w:line="360" w:lineRule="auto"/>
        <w:ind w:right="-512"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pPr>
        <w:pStyle w:val="32"/>
        <w:spacing w:line="360" w:lineRule="auto"/>
        <w:ind w:right="-512" w:firstLine="480" w:firstLineChars="200"/>
        <w:rPr>
          <w:rFonts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.2.3对采购结果提出质疑的，质疑期限自采购结果公告期限届满之日起计算。对采购结果提出质疑的，采购人或采购机构负责答复。（详见前附表相关规定）</w:t>
      </w:r>
    </w:p>
    <w:p>
      <w:pPr>
        <w:pStyle w:val="32"/>
        <w:snapToGrid w:val="0"/>
        <w:spacing w:line="360" w:lineRule="auto"/>
        <w:ind w:right="-512" w:firstLine="240" w:firstLineChars="100"/>
        <w:contextualSpacing/>
        <w:rPr>
          <w:rFonts w:ascii="仿宋" w:hAnsi="仿宋" w:eastAsia="仿宋" w:cs="仿宋"/>
          <w:sz w:val="24"/>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615"/>
        <w:shd w:val="clear" w:color="auto" w:fill="FFFFFF"/>
        <w:snapToGrid w:val="0"/>
        <w:spacing w:after="240" w:afterAutospacing="0" w:line="360" w:lineRule="auto"/>
        <w:contextualSpacing/>
        <w:rPr>
          <w:rFonts w:ascii="仿宋" w:hAnsi="仿宋" w:eastAsia="仿宋" w:cs="仿宋"/>
          <w:snapToGrid w:val="0"/>
          <w:kern w:val="2"/>
          <w:szCs w:val="21"/>
        </w:rPr>
      </w:pPr>
      <w:r>
        <w:rPr>
          <w:rFonts w:hint="eastAsia" w:ascii="仿宋" w:hAnsi="仿宋" w:eastAsia="仿宋" w:cs="仿宋"/>
          <w:snapToGrid w:val="0"/>
          <w:kern w:val="2"/>
          <w:szCs w:val="21"/>
        </w:rPr>
        <w:t>　　</w:t>
      </w:r>
      <w:r>
        <w:rPr>
          <w:rFonts w:hint="eastAsia" w:ascii="仿宋" w:hAnsi="仿宋" w:eastAsia="仿宋" w:cs="仿宋"/>
          <w:lang w:val="zh-CN"/>
        </w:rPr>
        <w:t>4.2.3.1</w:t>
      </w:r>
      <w:r>
        <w:rPr>
          <w:rFonts w:hint="eastAsia" w:ascii="仿宋" w:hAnsi="仿宋" w:eastAsia="仿宋" w:cs="仿宋"/>
          <w:snapToGrid w:val="0"/>
          <w:kern w:val="2"/>
          <w:szCs w:val="21"/>
        </w:rPr>
        <w:t>供应商的姓名或者名称、地址、邮编、联系人及联系电话；</w:t>
      </w:r>
    </w:p>
    <w:p>
      <w:pPr>
        <w:pStyle w:val="615"/>
        <w:shd w:val="clear" w:color="auto" w:fill="FFFFFF"/>
        <w:snapToGrid w:val="0"/>
        <w:spacing w:after="240" w:afterAutospacing="0" w:line="360" w:lineRule="auto"/>
        <w:contextualSpacing/>
        <w:rPr>
          <w:rFonts w:ascii="仿宋" w:hAnsi="仿宋" w:eastAsia="仿宋" w:cs="仿宋"/>
          <w:snapToGrid w:val="0"/>
          <w:kern w:val="2"/>
          <w:szCs w:val="21"/>
        </w:rPr>
      </w:pPr>
      <w:r>
        <w:rPr>
          <w:rFonts w:hint="eastAsia" w:ascii="仿宋" w:hAnsi="仿宋" w:eastAsia="仿宋" w:cs="仿宋"/>
          <w:snapToGrid w:val="0"/>
          <w:kern w:val="2"/>
          <w:szCs w:val="21"/>
        </w:rPr>
        <w:t>　　</w:t>
      </w:r>
      <w:r>
        <w:rPr>
          <w:rFonts w:hint="eastAsia" w:ascii="仿宋" w:hAnsi="仿宋" w:eastAsia="仿宋" w:cs="仿宋"/>
          <w:lang w:val="zh-CN"/>
        </w:rPr>
        <w:t>4.2.3.2</w:t>
      </w:r>
      <w:r>
        <w:rPr>
          <w:rFonts w:hint="eastAsia" w:ascii="仿宋" w:hAnsi="仿宋" w:eastAsia="仿宋" w:cs="仿宋"/>
          <w:snapToGrid w:val="0"/>
          <w:kern w:val="2"/>
          <w:szCs w:val="21"/>
        </w:rPr>
        <w:t>质疑项目的名称、编号；</w:t>
      </w:r>
    </w:p>
    <w:p>
      <w:pPr>
        <w:pStyle w:val="615"/>
        <w:shd w:val="clear" w:color="auto" w:fill="FFFFFF"/>
        <w:snapToGrid w:val="0"/>
        <w:spacing w:after="240" w:afterAutospacing="0" w:line="360" w:lineRule="auto"/>
        <w:contextualSpacing/>
        <w:rPr>
          <w:rFonts w:ascii="仿宋" w:hAnsi="仿宋" w:eastAsia="仿宋" w:cs="仿宋"/>
          <w:snapToGrid w:val="0"/>
          <w:kern w:val="2"/>
          <w:szCs w:val="21"/>
        </w:rPr>
      </w:pPr>
      <w:r>
        <w:rPr>
          <w:rFonts w:hint="eastAsia" w:ascii="仿宋" w:hAnsi="仿宋" w:eastAsia="仿宋" w:cs="仿宋"/>
          <w:snapToGrid w:val="0"/>
          <w:kern w:val="2"/>
          <w:szCs w:val="21"/>
        </w:rPr>
        <w:t>　　</w:t>
      </w:r>
      <w:r>
        <w:rPr>
          <w:rFonts w:hint="eastAsia" w:ascii="仿宋" w:hAnsi="仿宋" w:eastAsia="仿宋" w:cs="仿宋"/>
          <w:lang w:val="zh-CN"/>
        </w:rPr>
        <w:t>4.2.3.3</w:t>
      </w:r>
      <w:r>
        <w:rPr>
          <w:rFonts w:hint="eastAsia" w:ascii="仿宋" w:hAnsi="仿宋" w:eastAsia="仿宋" w:cs="仿宋"/>
          <w:snapToGrid w:val="0"/>
          <w:kern w:val="2"/>
          <w:szCs w:val="21"/>
        </w:rPr>
        <w:t>具体、明确的质疑事项和与质疑事项相关的请求；</w:t>
      </w:r>
    </w:p>
    <w:p>
      <w:pPr>
        <w:pStyle w:val="615"/>
        <w:shd w:val="clear" w:color="auto" w:fill="FFFFFF"/>
        <w:snapToGrid w:val="0"/>
        <w:spacing w:after="240" w:afterAutospacing="0" w:line="360" w:lineRule="auto"/>
        <w:contextualSpacing/>
        <w:rPr>
          <w:rFonts w:ascii="仿宋" w:hAnsi="仿宋" w:eastAsia="仿宋" w:cs="仿宋"/>
          <w:snapToGrid w:val="0"/>
          <w:kern w:val="2"/>
          <w:szCs w:val="21"/>
        </w:rPr>
      </w:pPr>
      <w:r>
        <w:rPr>
          <w:rFonts w:hint="eastAsia" w:ascii="仿宋" w:hAnsi="仿宋" w:eastAsia="仿宋" w:cs="仿宋"/>
          <w:snapToGrid w:val="0"/>
          <w:kern w:val="2"/>
          <w:szCs w:val="21"/>
        </w:rPr>
        <w:t>　　</w:t>
      </w:r>
      <w:r>
        <w:rPr>
          <w:rFonts w:hint="eastAsia" w:ascii="仿宋" w:hAnsi="仿宋" w:eastAsia="仿宋" w:cs="仿宋"/>
          <w:lang w:val="zh-CN"/>
        </w:rPr>
        <w:t>4.2.3.4</w:t>
      </w:r>
      <w:r>
        <w:rPr>
          <w:rFonts w:hint="eastAsia" w:ascii="仿宋" w:hAnsi="仿宋" w:eastAsia="仿宋" w:cs="仿宋"/>
          <w:snapToGrid w:val="0"/>
          <w:kern w:val="2"/>
          <w:szCs w:val="21"/>
        </w:rPr>
        <w:t>事实依据；</w:t>
      </w:r>
    </w:p>
    <w:p>
      <w:pPr>
        <w:pStyle w:val="615"/>
        <w:shd w:val="clear" w:color="auto" w:fill="FFFFFF"/>
        <w:snapToGrid w:val="0"/>
        <w:spacing w:after="240" w:afterAutospacing="0" w:line="360" w:lineRule="auto"/>
        <w:contextualSpacing/>
        <w:rPr>
          <w:rFonts w:ascii="仿宋" w:hAnsi="仿宋" w:eastAsia="仿宋" w:cs="仿宋"/>
          <w:snapToGrid w:val="0"/>
          <w:kern w:val="2"/>
          <w:szCs w:val="21"/>
        </w:rPr>
      </w:pPr>
      <w:r>
        <w:rPr>
          <w:rFonts w:hint="eastAsia" w:ascii="仿宋" w:hAnsi="仿宋" w:eastAsia="仿宋" w:cs="仿宋"/>
          <w:snapToGrid w:val="0"/>
          <w:kern w:val="2"/>
          <w:szCs w:val="21"/>
        </w:rPr>
        <w:t>　　</w:t>
      </w:r>
      <w:r>
        <w:rPr>
          <w:rFonts w:hint="eastAsia" w:ascii="仿宋" w:hAnsi="仿宋" w:eastAsia="仿宋" w:cs="仿宋"/>
          <w:lang w:val="zh-CN"/>
        </w:rPr>
        <w:t>4.2.3.5</w:t>
      </w:r>
      <w:r>
        <w:rPr>
          <w:rFonts w:hint="eastAsia" w:ascii="仿宋" w:hAnsi="仿宋" w:eastAsia="仿宋" w:cs="仿宋"/>
          <w:snapToGrid w:val="0"/>
          <w:kern w:val="2"/>
          <w:szCs w:val="21"/>
        </w:rPr>
        <w:t>必要的法律依据；</w:t>
      </w:r>
    </w:p>
    <w:p>
      <w:pPr>
        <w:pStyle w:val="615"/>
        <w:shd w:val="clear" w:color="auto" w:fill="FFFFFF"/>
        <w:snapToGrid w:val="0"/>
        <w:spacing w:after="240" w:afterAutospacing="0" w:line="360" w:lineRule="auto"/>
        <w:ind w:firstLine="480"/>
        <w:contextualSpacing/>
        <w:rPr>
          <w:rFonts w:ascii="仿宋" w:hAnsi="仿宋" w:eastAsia="仿宋" w:cs="仿宋"/>
          <w:snapToGrid w:val="0"/>
          <w:kern w:val="2"/>
          <w:szCs w:val="21"/>
        </w:rPr>
      </w:pPr>
      <w:r>
        <w:rPr>
          <w:rFonts w:hint="eastAsia" w:ascii="仿宋" w:hAnsi="仿宋" w:eastAsia="仿宋" w:cs="仿宋"/>
          <w:lang w:val="zh-CN"/>
        </w:rPr>
        <w:t>4.2.3.6</w:t>
      </w:r>
      <w:r>
        <w:rPr>
          <w:rFonts w:hint="eastAsia" w:ascii="仿宋" w:hAnsi="仿宋" w:eastAsia="仿宋" w:cs="仿宋"/>
          <w:snapToGrid w:val="0"/>
          <w:kern w:val="2"/>
          <w:szCs w:val="21"/>
        </w:rPr>
        <w:t>提出质疑的日期。</w:t>
      </w:r>
    </w:p>
    <w:p>
      <w:pPr>
        <w:pStyle w:val="615"/>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615"/>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质疑函范本及制作说明详见附件2。</w:t>
      </w:r>
    </w:p>
    <w:p>
      <w:pPr>
        <w:pStyle w:val="615"/>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615"/>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615"/>
        <w:shd w:val="clear" w:color="auto" w:fill="FFFFFF"/>
        <w:snapToGrid w:val="0"/>
        <w:spacing w:after="240" w:afterAutospacing="0" w:line="360" w:lineRule="auto"/>
        <w:ind w:firstLine="480"/>
        <w:contextualSpacing/>
        <w:rPr>
          <w:rFonts w:ascii="仿宋" w:hAnsi="仿宋" w:eastAsia="仿宋" w:cs="仿宋"/>
          <w:kern w:val="2"/>
        </w:rPr>
      </w:pPr>
      <w:r>
        <w:rPr>
          <w:rFonts w:hint="eastAsia" w:ascii="仿宋" w:hAnsi="仿宋" w:eastAsia="仿宋" w:cs="仿宋"/>
          <w:kern w:val="2"/>
        </w:rPr>
        <w:t>4.2.6质疑接收人：详见前附表</w:t>
      </w:r>
    </w:p>
    <w:p>
      <w:pPr>
        <w:pStyle w:val="615"/>
        <w:shd w:val="clear" w:color="auto" w:fill="FFFFFF"/>
        <w:snapToGrid w:val="0"/>
        <w:spacing w:after="240" w:afterAutospacing="0" w:line="360" w:lineRule="auto"/>
        <w:ind w:firstLine="480"/>
        <w:contextualSpacing/>
        <w:rPr>
          <w:rFonts w:ascii="仿宋" w:hAnsi="仿宋" w:eastAsia="仿宋" w:cs="仿宋"/>
          <w:lang w:val="zh-CN"/>
        </w:rPr>
      </w:pPr>
      <w:r>
        <w:rPr>
          <w:rFonts w:hint="eastAsia" w:ascii="仿宋" w:hAnsi="仿宋" w:eastAsia="仿宋" w:cs="仿宋"/>
          <w:lang w:val="zh-CN"/>
        </w:rPr>
        <w:t>4.3供应商投诉</w:t>
      </w:r>
    </w:p>
    <w:p>
      <w:pPr>
        <w:pStyle w:val="615"/>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615"/>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615"/>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615"/>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615"/>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投诉书范本及制作说明详见附件3。</w:t>
      </w:r>
    </w:p>
    <w:p>
      <w:pPr>
        <w:pStyle w:val="217"/>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bookmarkStart w:id="42" w:name="_Hlt74729768"/>
      <w:bookmarkEnd w:id="42"/>
      <w:bookmarkStart w:id="43" w:name="_Hlt74707468"/>
      <w:bookmarkEnd w:id="43"/>
      <w:bookmarkStart w:id="44" w:name="_Hlt68072990"/>
      <w:bookmarkEnd w:id="44"/>
      <w:bookmarkStart w:id="45" w:name="_Hlt74714665"/>
      <w:bookmarkEnd w:id="45"/>
      <w:bookmarkStart w:id="46" w:name="_Hlt74730295"/>
      <w:bookmarkEnd w:id="46"/>
      <w:bookmarkStart w:id="47" w:name="_Hlt75236290"/>
      <w:bookmarkEnd w:id="47"/>
      <w:bookmarkStart w:id="48" w:name="_Hlt68057669"/>
      <w:bookmarkEnd w:id="48"/>
      <w:bookmarkStart w:id="49" w:name="_Toc91899879"/>
      <w:r>
        <w:rPr>
          <w:rFonts w:hint="eastAsia" w:ascii="仿宋" w:hAnsi="仿宋" w:eastAsia="仿宋" w:cs="仿宋"/>
          <w:b/>
          <w:sz w:val="32"/>
          <w:szCs w:val="20"/>
        </w:rPr>
        <w:t>二、招标文件</w:t>
      </w:r>
      <w:bookmarkEnd w:id="49"/>
      <w:r>
        <w:rPr>
          <w:rFonts w:hint="eastAsia" w:ascii="仿宋" w:hAnsi="仿宋" w:eastAsia="仿宋" w:cs="仿宋"/>
          <w:b/>
          <w:sz w:val="32"/>
          <w:szCs w:val="20"/>
        </w:rPr>
        <w:t>的构成、澄清、修改</w:t>
      </w:r>
    </w:p>
    <w:p>
      <w:pPr>
        <w:pStyle w:val="32"/>
        <w:spacing w:line="360" w:lineRule="auto"/>
        <w:ind w:right="-512" w:firstLine="576"/>
        <w:rPr>
          <w:rFonts w:ascii="仿宋" w:hAnsi="仿宋" w:eastAsia="仿宋" w:cs="仿宋"/>
          <w:b/>
          <w:sz w:val="24"/>
          <w:szCs w:val="24"/>
        </w:rPr>
      </w:pPr>
      <w:bookmarkStart w:id="50" w:name="_Toc91899880"/>
      <w:bookmarkStart w:id="51" w:name="_Hlt74730307"/>
      <w:r>
        <w:rPr>
          <w:rFonts w:hint="eastAsia" w:ascii="仿宋" w:hAnsi="仿宋" w:eastAsia="仿宋" w:cs="仿宋"/>
          <w:b/>
          <w:sz w:val="24"/>
          <w:szCs w:val="24"/>
        </w:rPr>
        <w:t>5．招标文件的构成</w:t>
      </w:r>
      <w:bookmarkEnd w:id="50"/>
    </w:p>
    <w:bookmarkEnd w:id="51"/>
    <w:p>
      <w:pPr>
        <w:pStyle w:val="32"/>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2"/>
        <w:numPr>
          <w:ilvl w:val="0"/>
          <w:numId w:val="4"/>
        </w:numPr>
        <w:spacing w:line="360" w:lineRule="auto"/>
        <w:ind w:left="-359" w:right="-512" w:firstLine="480" w:firstLineChars="200"/>
        <w:rPr>
          <w:rFonts w:ascii="仿宋" w:hAnsi="仿宋" w:eastAsia="仿宋" w:cs="仿宋"/>
          <w:sz w:val="24"/>
          <w:szCs w:val="24"/>
        </w:rPr>
      </w:pPr>
      <w:r>
        <w:rPr>
          <w:rFonts w:hint="eastAsia" w:ascii="仿宋" w:hAnsi="仿宋" w:eastAsia="仿宋" w:cs="仿宋"/>
          <w:sz w:val="24"/>
          <w:szCs w:val="24"/>
        </w:rPr>
        <w:t>第一部分 招标公告</w:t>
      </w:r>
    </w:p>
    <w:p>
      <w:pPr>
        <w:pStyle w:val="32"/>
        <w:numPr>
          <w:ilvl w:val="0"/>
          <w:numId w:val="4"/>
        </w:numPr>
        <w:spacing w:line="360" w:lineRule="auto"/>
        <w:ind w:left="-359" w:right="-512" w:firstLine="480" w:firstLineChars="200"/>
        <w:rPr>
          <w:rFonts w:ascii="仿宋" w:hAnsi="仿宋" w:eastAsia="仿宋" w:cs="仿宋"/>
          <w:sz w:val="24"/>
          <w:szCs w:val="24"/>
        </w:rPr>
      </w:pPr>
      <w:r>
        <w:rPr>
          <w:rFonts w:hint="eastAsia" w:ascii="仿宋" w:hAnsi="仿宋" w:eastAsia="仿宋" w:cs="仿宋"/>
          <w:sz w:val="24"/>
          <w:szCs w:val="24"/>
        </w:rPr>
        <w:t>第二部分 投标人须知</w:t>
      </w:r>
    </w:p>
    <w:p>
      <w:pPr>
        <w:pStyle w:val="32"/>
        <w:numPr>
          <w:ilvl w:val="0"/>
          <w:numId w:val="4"/>
        </w:numPr>
        <w:spacing w:line="360" w:lineRule="auto"/>
        <w:ind w:left="-359" w:right="-512" w:firstLine="480" w:firstLineChars="200"/>
        <w:rPr>
          <w:rFonts w:ascii="仿宋" w:hAnsi="仿宋" w:eastAsia="仿宋" w:cs="仿宋"/>
          <w:sz w:val="24"/>
          <w:szCs w:val="24"/>
        </w:rPr>
      </w:pPr>
      <w:r>
        <w:rPr>
          <w:rFonts w:hint="eastAsia" w:ascii="仿宋" w:hAnsi="仿宋" w:eastAsia="仿宋" w:cs="仿宋"/>
          <w:sz w:val="24"/>
          <w:szCs w:val="24"/>
        </w:rPr>
        <w:t>第三部分 采购需求</w:t>
      </w:r>
    </w:p>
    <w:p>
      <w:pPr>
        <w:pStyle w:val="32"/>
        <w:numPr>
          <w:ilvl w:val="0"/>
          <w:numId w:val="4"/>
        </w:numPr>
        <w:spacing w:line="360" w:lineRule="auto"/>
        <w:ind w:left="-359" w:right="-512" w:firstLine="480" w:firstLineChars="200"/>
        <w:rPr>
          <w:rFonts w:ascii="仿宋" w:hAnsi="仿宋" w:eastAsia="仿宋" w:cs="仿宋"/>
          <w:sz w:val="24"/>
          <w:szCs w:val="24"/>
        </w:rPr>
      </w:pPr>
      <w:r>
        <w:rPr>
          <w:rFonts w:hint="eastAsia" w:ascii="仿宋" w:hAnsi="仿宋" w:eastAsia="仿宋" w:cs="仿宋"/>
          <w:sz w:val="24"/>
          <w:szCs w:val="24"/>
        </w:rPr>
        <w:t>第四部分 评标方法及评分标准</w:t>
      </w:r>
    </w:p>
    <w:p>
      <w:pPr>
        <w:pStyle w:val="32"/>
        <w:numPr>
          <w:ilvl w:val="0"/>
          <w:numId w:val="4"/>
        </w:numPr>
        <w:spacing w:line="360" w:lineRule="auto"/>
        <w:ind w:left="-359" w:right="-512" w:firstLine="480" w:firstLineChars="200"/>
        <w:rPr>
          <w:rFonts w:ascii="仿宋" w:hAnsi="仿宋" w:eastAsia="仿宋" w:cs="仿宋"/>
          <w:sz w:val="24"/>
          <w:szCs w:val="24"/>
        </w:rPr>
      </w:pPr>
      <w:r>
        <w:rPr>
          <w:rFonts w:hint="eastAsia" w:ascii="仿宋" w:hAnsi="仿宋" w:eastAsia="仿宋" w:cs="仿宋"/>
          <w:sz w:val="24"/>
          <w:szCs w:val="24"/>
        </w:rPr>
        <w:t>第五部分 拟签订的合同文本</w:t>
      </w:r>
    </w:p>
    <w:p>
      <w:pPr>
        <w:pStyle w:val="32"/>
        <w:numPr>
          <w:ilvl w:val="0"/>
          <w:numId w:val="4"/>
        </w:numPr>
        <w:spacing w:line="360" w:lineRule="auto"/>
        <w:ind w:left="-359" w:right="-512" w:firstLine="480" w:firstLineChars="200"/>
        <w:rPr>
          <w:rFonts w:ascii="仿宋" w:hAnsi="仿宋" w:eastAsia="仿宋" w:cs="仿宋"/>
          <w:sz w:val="24"/>
          <w:szCs w:val="24"/>
        </w:rPr>
      </w:pPr>
      <w:r>
        <w:rPr>
          <w:rFonts w:hint="eastAsia" w:ascii="仿宋" w:hAnsi="仿宋" w:eastAsia="仿宋" w:cs="仿宋"/>
          <w:sz w:val="24"/>
          <w:szCs w:val="24"/>
        </w:rPr>
        <w:t>第六部分 应提交的有关格式范例</w:t>
      </w:r>
    </w:p>
    <w:p>
      <w:pPr>
        <w:wordWrap w:val="0"/>
        <w:spacing w:line="360" w:lineRule="auto"/>
        <w:ind w:firstLine="480" w:firstLineChars="200"/>
        <w:jc w:val="left"/>
        <w:rPr>
          <w:rFonts w:ascii="仿宋" w:hAnsi="仿宋" w:eastAsia="仿宋" w:cs="仿宋"/>
          <w:bCs/>
          <w:sz w:val="24"/>
        </w:rPr>
      </w:pPr>
      <w:r>
        <w:rPr>
          <w:rFonts w:hint="eastAsia" w:ascii="仿宋" w:hAnsi="仿宋" w:eastAsia="仿宋" w:cs="仿宋"/>
          <w:sz w:val="24"/>
        </w:rPr>
        <w:t>5.2与本项目有关的</w:t>
      </w:r>
      <w:r>
        <w:rPr>
          <w:rFonts w:hint="eastAsia" w:ascii="仿宋" w:hAnsi="仿宋" w:eastAsia="仿宋" w:cs="仿宋"/>
          <w:bCs/>
          <w:sz w:val="24"/>
        </w:rPr>
        <w:t>澄清或者修改等公告、内容亦为招标文件的组成部分，投标人须自行于招标公告所在网站获取相关信息（浙江政府采购网网址http://zfcg.czt.zj.gov.cn/）</w:t>
      </w:r>
      <w:r>
        <w:rPr>
          <w:rFonts w:hint="eastAsia" w:ascii="仿宋" w:hAnsi="仿宋" w:eastAsia="仿宋" w:cs="仿宋"/>
          <w:sz w:val="24"/>
        </w:rPr>
        <w:t>。</w:t>
      </w:r>
    </w:p>
    <w:p>
      <w:pPr>
        <w:pStyle w:val="32"/>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6. 招标文件的澄清、修改</w:t>
      </w:r>
    </w:p>
    <w:p>
      <w:pPr>
        <w:pStyle w:val="217"/>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6.1已获取招标文件的潜在投标人，若有问题需要澄清，应于投标截止时间前，以书面形式向采购机构提出，采购机构与采购人研究后，对认为有必要回答的问题，将以公告形式通知所有招标文件收受人。</w:t>
      </w:r>
    </w:p>
    <w:p>
      <w:pPr>
        <w:pStyle w:val="217"/>
        <w:snapToGrid w:val="0"/>
        <w:spacing w:before="0"/>
        <w:ind w:firstLine="480"/>
        <w:rPr>
          <w:rFonts w:ascii="仿宋" w:hAnsi="仿宋" w:eastAsia="仿宋" w:cs="仿宋"/>
        </w:rPr>
      </w:pPr>
      <w:r>
        <w:rPr>
          <w:rFonts w:hint="eastAsia" w:ascii="仿宋" w:hAnsi="仿宋" w:eastAsia="仿宋" w:cs="仿宋"/>
        </w:rPr>
        <w:t>6.2采购机构如对已发出的招标文件进行必要澄清或者修改的，将在发布招标公告的网站上发布更正、补遗公告，同时视情况延长投标截止时间和开标时间。该公告澄清或者修改的内容为招标文件的组成部分。</w:t>
      </w:r>
    </w:p>
    <w:p>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投标文件未按招标文件更正、补遗公告的澄清、修改的内容编制，又不符合实质性要求的，投标无效。</w:t>
      </w:r>
    </w:p>
    <w:p>
      <w:pPr>
        <w:pStyle w:val="2"/>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bookmarkStart w:id="52" w:name="_Hlt75236011"/>
      <w:bookmarkEnd w:id="52"/>
      <w:bookmarkStart w:id="53" w:name="_Toc91899884"/>
      <w:r>
        <w:rPr>
          <w:rFonts w:hint="eastAsia" w:ascii="仿宋" w:hAnsi="仿宋" w:eastAsia="仿宋" w:cs="仿宋"/>
          <w:b/>
          <w:sz w:val="30"/>
          <w:szCs w:val="20"/>
        </w:rPr>
        <w:t>三、投标</w:t>
      </w:r>
      <w:bookmarkEnd w:id="53"/>
    </w:p>
    <w:p>
      <w:pPr>
        <w:pStyle w:val="32"/>
        <w:spacing w:line="360" w:lineRule="auto"/>
        <w:ind w:right="-512" w:firstLine="576"/>
        <w:rPr>
          <w:rFonts w:ascii="仿宋" w:hAnsi="仿宋" w:eastAsia="仿宋" w:cs="仿宋"/>
          <w:b/>
          <w:sz w:val="24"/>
          <w:szCs w:val="24"/>
        </w:rPr>
      </w:pPr>
      <w:bookmarkStart w:id="54" w:name="_Toc86216991"/>
      <w:bookmarkStart w:id="55" w:name="_Toc91899892"/>
      <w:r>
        <w:rPr>
          <w:rFonts w:hint="eastAsia" w:ascii="仿宋" w:hAnsi="仿宋" w:eastAsia="仿宋" w:cs="仿宋"/>
          <w:b/>
          <w:sz w:val="24"/>
          <w:szCs w:val="24"/>
        </w:rPr>
        <w:t>7.招标文件的获取</w:t>
      </w:r>
    </w:p>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w:t>
      </w:r>
      <w:r>
        <w:rPr>
          <w:rFonts w:hint="eastAsia" w:ascii="仿宋" w:hAnsi="仿宋" w:eastAsia="仿宋" w:cs="仿宋"/>
          <w:b/>
          <w:sz w:val="24"/>
          <w:szCs w:val="21"/>
        </w:rPr>
        <w:t>未按照公告要求完成采购文件获取的，投标无效。</w:t>
      </w:r>
    </w:p>
    <w:p>
      <w:pPr>
        <w:pStyle w:val="32"/>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2"/>
        <w:spacing w:line="360" w:lineRule="auto"/>
        <w:ind w:right="-512" w:firstLine="240" w:firstLineChars="100"/>
        <w:rPr>
          <w:rFonts w:ascii="仿宋" w:hAnsi="仿宋" w:eastAsia="仿宋" w:cs="仿宋"/>
          <w:sz w:val="24"/>
          <w:szCs w:val="24"/>
        </w:rPr>
      </w:pPr>
      <w:r>
        <w:rPr>
          <w:rFonts w:hint="eastAsia" w:ascii="仿宋" w:hAnsi="仿宋" w:eastAsia="仿宋" w:cs="仿宋"/>
          <w:sz w:val="24"/>
          <w:szCs w:val="24"/>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cs="仿宋"/>
          <w:b/>
          <w:sz w:val="24"/>
          <w:szCs w:val="24"/>
        </w:rPr>
        <w:t>采购人不单独或分别组织只有一个供应商参加的现场考察和答疑会。</w:t>
      </w:r>
    </w:p>
    <w:p>
      <w:pPr>
        <w:pStyle w:val="32"/>
        <w:spacing w:line="360" w:lineRule="auto"/>
        <w:ind w:right="-512" w:firstLine="576"/>
        <w:rPr>
          <w:rFonts w:ascii="仿宋" w:hAnsi="仿宋" w:eastAsia="仿宋" w:cs="仿宋"/>
          <w:b/>
          <w:szCs w:val="24"/>
        </w:rPr>
      </w:pPr>
      <w:r>
        <w:rPr>
          <w:rFonts w:hint="eastAsia" w:ascii="仿宋" w:hAnsi="仿宋" w:eastAsia="仿宋" w:cs="仿宋"/>
          <w:b/>
          <w:kern w:val="28"/>
          <w:sz w:val="24"/>
          <w:szCs w:val="24"/>
        </w:rPr>
        <w:t>9.投标保证金</w:t>
      </w:r>
    </w:p>
    <w:p>
      <w:pPr>
        <w:pStyle w:val="217"/>
        <w:snapToGrid w:val="0"/>
        <w:spacing w:before="0"/>
        <w:ind w:firstLine="480"/>
        <w:rPr>
          <w:rFonts w:ascii="仿宋" w:hAnsi="仿宋" w:eastAsia="仿宋" w:cs="仿宋"/>
          <w:lang w:val="zh-CN"/>
        </w:rPr>
      </w:pPr>
      <w:r>
        <w:rPr>
          <w:rFonts w:hint="eastAsia" w:ascii="仿宋" w:hAnsi="仿宋" w:eastAsia="仿宋" w:cs="仿宋"/>
        </w:rPr>
        <w:t>本项目不收取投标保证金。</w:t>
      </w:r>
    </w:p>
    <w:p>
      <w:pPr>
        <w:pStyle w:val="32"/>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2"/>
        <w:spacing w:line="360" w:lineRule="auto"/>
        <w:ind w:right="-512" w:firstLine="576"/>
        <w:rPr>
          <w:rFonts w:ascii="仿宋" w:hAnsi="仿宋" w:eastAsia="仿宋" w:cs="仿宋"/>
          <w:b/>
          <w:sz w:val="24"/>
          <w:szCs w:val="24"/>
        </w:rPr>
      </w:pPr>
      <w:r>
        <w:rPr>
          <w:rFonts w:hint="eastAsia" w:ascii="仿宋" w:hAnsi="仿宋" w:eastAsia="仿宋" w:cs="仿宋"/>
          <w:b/>
          <w:sz w:val="24"/>
          <w:szCs w:val="24"/>
        </w:rPr>
        <w:t>11. 投标文件的组成</w:t>
      </w:r>
    </w:p>
    <w:p>
      <w:pPr>
        <w:pStyle w:val="32"/>
        <w:snapToGrid w:val="0"/>
        <w:spacing w:line="360" w:lineRule="auto"/>
        <w:ind w:right="-512" w:firstLine="480" w:firstLineChars="200"/>
        <w:rPr>
          <w:rFonts w:ascii="仿宋" w:hAnsi="仿宋" w:eastAsia="仿宋" w:cs="仿宋"/>
          <w:sz w:val="24"/>
          <w:szCs w:val="24"/>
        </w:rPr>
      </w:pPr>
      <w:r>
        <w:rPr>
          <w:rFonts w:hint="eastAsia" w:ascii="仿宋" w:hAnsi="仿宋" w:eastAsia="仿宋" w:cs="仿宋"/>
          <w:kern w:val="0"/>
          <w:sz w:val="24"/>
          <w:szCs w:val="24"/>
        </w:rPr>
        <w:t>投标文件应当包括以下主要内容：</w:t>
      </w:r>
      <w:r>
        <w:rPr>
          <w:rFonts w:hint="eastAsia" w:ascii="仿宋" w:hAnsi="仿宋" w:eastAsia="仿宋" w:cs="仿宋"/>
          <w:b/>
          <w:sz w:val="24"/>
          <w:szCs w:val="24"/>
        </w:rPr>
        <w:t>资格文件、报价文件、商务技术文件</w:t>
      </w:r>
      <w:r>
        <w:rPr>
          <w:rFonts w:hint="eastAsia" w:ascii="仿宋" w:hAnsi="仿宋" w:eastAsia="仿宋" w:cs="仿宋"/>
          <w:sz w:val="24"/>
          <w:szCs w:val="24"/>
        </w:rPr>
        <w:t>。投标文件应当对招标文件提出的要求和条件作出明确响应。</w:t>
      </w:r>
    </w:p>
    <w:p>
      <w:pPr>
        <w:snapToGrid w:val="0"/>
        <w:spacing w:line="360" w:lineRule="auto"/>
        <w:ind w:firstLine="480" w:firstLineChars="200"/>
        <w:rPr>
          <w:rFonts w:ascii="仿宋" w:hAnsi="仿宋" w:eastAsia="仿宋" w:cs="仿宋"/>
          <w:b/>
          <w:kern w:val="0"/>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应包括以下内容（均需使用电子签章）：</w:t>
      </w:r>
      <w:r>
        <w:rPr>
          <w:rFonts w:hint="eastAsia" w:ascii="仿宋" w:hAnsi="仿宋" w:eastAsia="仿宋" w:cs="仿宋"/>
          <w:kern w:val="0"/>
          <w:sz w:val="24"/>
        </w:rPr>
        <w:t>证明其符合《中华人民共和国政府采购法》规定的供应商基本条件和采购项目对供应商的特定条件</w:t>
      </w:r>
      <w:r>
        <w:rPr>
          <w:rFonts w:hint="eastAsia" w:ascii="仿宋" w:hAnsi="仿宋" w:eastAsia="仿宋" w:cs="仿宋"/>
          <w:sz w:val="24"/>
        </w:rPr>
        <w:t>（如果项目要求）</w:t>
      </w:r>
      <w:r>
        <w:rPr>
          <w:rFonts w:hint="eastAsia" w:ascii="仿宋" w:hAnsi="仿宋" w:eastAsia="仿宋" w:cs="仿宋"/>
          <w:kern w:val="0"/>
          <w:sz w:val="24"/>
        </w:rPr>
        <w:t>的有关资格证明文件。</w:t>
      </w:r>
      <w:r>
        <w:rPr>
          <w:rFonts w:hint="eastAsia" w:ascii="仿宋" w:hAnsi="仿宋" w:eastAsia="仿宋" w:cs="仿宋"/>
          <w:b/>
          <w:kern w:val="0"/>
          <w:sz w:val="24"/>
        </w:rPr>
        <w:t>（以联合体形式进行政府采购的，参加联合体的供应商均应当提供）</w:t>
      </w:r>
    </w:p>
    <w:p>
      <w:pPr>
        <w:pStyle w:val="32"/>
        <w:spacing w:line="360" w:lineRule="auto"/>
        <w:ind w:right="-512" w:firstLine="480" w:firstLineChars="200"/>
        <w:rPr>
          <w:rFonts w:ascii="仿宋" w:hAnsi="仿宋" w:eastAsia="仿宋" w:cs="仿宋"/>
          <w:sz w:val="24"/>
        </w:rPr>
      </w:pPr>
      <w:bookmarkStart w:id="56" w:name="_Hlt68403820"/>
      <w:bookmarkEnd w:id="56"/>
      <w:bookmarkStart w:id="57" w:name="_Hlt68072998"/>
      <w:bookmarkEnd w:id="57"/>
      <w:bookmarkStart w:id="58" w:name="_Hlt68073093"/>
      <w:bookmarkEnd w:id="58"/>
      <w:r>
        <w:rPr>
          <w:rFonts w:hint="eastAsia" w:ascii="仿宋" w:hAnsi="仿宋" w:eastAsia="仿宋" w:cs="仿宋"/>
          <w:sz w:val="24"/>
        </w:rPr>
        <w:t>11.1.1营业执照(或事业法人登记证或其他工商等登记证明材料)复印件（投标人为自然人的，提供</w:t>
      </w:r>
      <w:r>
        <w:rPr>
          <w:rFonts w:hint="eastAsia" w:ascii="仿宋" w:hAnsi="仿宋" w:eastAsia="仿宋" w:cs="仿宋"/>
          <w:kern w:val="0"/>
          <w:sz w:val="24"/>
        </w:rPr>
        <w:t>自然人的身份证明</w:t>
      </w:r>
      <w:r>
        <w:rPr>
          <w:rFonts w:hint="eastAsia" w:ascii="仿宋" w:hAnsi="仿宋" w:eastAsia="仿宋" w:cs="仿宋"/>
          <w:sz w:val="24"/>
        </w:rPr>
        <w:t>）、税务登记证(</w:t>
      </w:r>
      <w:r>
        <w:rPr>
          <w:rFonts w:hint="eastAsia" w:ascii="仿宋" w:hAnsi="仿宋" w:eastAsia="仿宋" w:cs="仿宋"/>
          <w:kern w:val="0"/>
          <w:sz w:val="24"/>
        </w:rPr>
        <w:t>或其它依法缴纳税收的相关材料</w:t>
      </w:r>
      <w:r>
        <w:rPr>
          <w:rFonts w:hint="eastAsia" w:ascii="仿宋" w:hAnsi="仿宋" w:eastAsia="仿宋" w:cs="仿宋"/>
          <w:sz w:val="24"/>
        </w:rPr>
        <w:t>)复印件、社保登记证（</w:t>
      </w:r>
      <w:r>
        <w:rPr>
          <w:rFonts w:hint="eastAsia" w:ascii="仿宋" w:hAnsi="仿宋" w:eastAsia="仿宋" w:cs="仿宋"/>
          <w:kern w:val="0"/>
          <w:sz w:val="24"/>
        </w:rPr>
        <w:t>或其它依法缴纳社会保障资金的相关材料</w:t>
      </w:r>
      <w:r>
        <w:rPr>
          <w:rFonts w:hint="eastAsia" w:ascii="仿宋" w:hAnsi="仿宋" w:eastAsia="仿宋" w:cs="仿宋"/>
          <w:sz w:val="24"/>
        </w:rPr>
        <w:t>）复印件；实施“多证合一、一照一码”登记制度改革的，只需提供改革后取得的营业执照复印件；</w:t>
      </w:r>
    </w:p>
    <w:p>
      <w:pPr>
        <w:pStyle w:val="32"/>
        <w:spacing w:line="360" w:lineRule="auto"/>
        <w:ind w:right="-512" w:firstLine="480" w:firstLineChars="200"/>
        <w:rPr>
          <w:rFonts w:ascii="仿宋" w:hAnsi="仿宋" w:eastAsia="仿宋" w:cs="仿宋"/>
          <w:sz w:val="24"/>
        </w:rPr>
      </w:pPr>
      <w:r>
        <w:rPr>
          <w:rFonts w:hint="eastAsia" w:ascii="仿宋" w:hAnsi="仿宋" w:eastAsia="仿宋" w:cs="仿宋"/>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11.1.2 最近一年度资产负债表或审计报告等财务报表资料文件 (新成立的公司，必须提供情况说明)；</w:t>
      </w:r>
    </w:p>
    <w:p>
      <w:pPr>
        <w:pStyle w:val="32"/>
        <w:spacing w:line="360" w:lineRule="auto"/>
        <w:ind w:right="-512" w:firstLine="480" w:firstLineChars="200"/>
        <w:rPr>
          <w:rFonts w:ascii="仿宋" w:hAnsi="仿宋" w:eastAsia="仿宋" w:cs="仿宋"/>
          <w:sz w:val="24"/>
        </w:rPr>
      </w:pPr>
      <w:r>
        <w:rPr>
          <w:rFonts w:hint="eastAsia" w:ascii="仿宋" w:hAnsi="仿宋" w:eastAsia="仿宋" w:cs="仿宋"/>
          <w:sz w:val="24"/>
        </w:rPr>
        <w:t>11.1.3具有履行合同所必需的设备和专业技术能力的承诺函；</w:t>
      </w:r>
    </w:p>
    <w:p>
      <w:pPr>
        <w:spacing w:line="360" w:lineRule="auto"/>
        <w:ind w:firstLine="480" w:firstLineChars="200"/>
        <w:rPr>
          <w:rFonts w:ascii="仿宋" w:hAnsi="仿宋" w:eastAsia="仿宋" w:cs="仿宋"/>
          <w:sz w:val="24"/>
        </w:rPr>
      </w:pPr>
      <w:r>
        <w:rPr>
          <w:rFonts w:hint="eastAsia" w:ascii="仿宋" w:hAnsi="仿宋" w:eastAsia="仿宋" w:cs="仿宋"/>
          <w:sz w:val="24"/>
        </w:rPr>
        <w:t>11.1.4参加政府采购活动前三年内，在经营活动中没有重大违法记录的声明；</w:t>
      </w:r>
    </w:p>
    <w:p>
      <w:pPr>
        <w:spacing w:line="360" w:lineRule="auto"/>
        <w:ind w:firstLine="480" w:firstLineChars="200"/>
        <w:rPr>
          <w:rFonts w:ascii="仿宋" w:hAnsi="仿宋" w:eastAsia="仿宋" w:cs="仿宋"/>
          <w:sz w:val="24"/>
          <w:szCs w:val="20"/>
        </w:rPr>
      </w:pPr>
      <w:r>
        <w:rPr>
          <w:rFonts w:hint="eastAsia" w:ascii="仿宋" w:hAnsi="仿宋" w:eastAsia="仿宋" w:cs="仿宋"/>
          <w:sz w:val="24"/>
        </w:rPr>
        <w:t>11.1.5</w:t>
      </w:r>
      <w:r>
        <w:rPr>
          <w:rFonts w:hint="eastAsia" w:ascii="仿宋" w:hAnsi="仿宋" w:eastAsia="仿宋" w:cs="仿宋"/>
          <w:sz w:val="24"/>
          <w:szCs w:val="20"/>
        </w:rPr>
        <w:t xml:space="preserve">具有良好商业信誉的特别声明； </w:t>
      </w:r>
    </w:p>
    <w:p>
      <w:pPr>
        <w:spacing w:line="360" w:lineRule="auto"/>
        <w:ind w:firstLine="480" w:firstLineChars="200"/>
        <w:rPr>
          <w:rFonts w:ascii="仿宋" w:hAnsi="仿宋" w:eastAsia="仿宋" w:cs="仿宋"/>
          <w:sz w:val="24"/>
        </w:rPr>
      </w:pPr>
      <w:r>
        <w:rPr>
          <w:rFonts w:hint="eastAsia" w:ascii="仿宋" w:hAnsi="仿宋" w:eastAsia="仿宋" w:cs="仿宋"/>
          <w:sz w:val="24"/>
        </w:rPr>
        <w:t>11.1.6授权书（如法定代表人直接参加投标并对相应文件签字的，只需提供其身份证复印件正反面；如以联合体形式参加政府采购活动的，按招标文件有关格式范例提供联合体投标授权书）；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11.1.7符合特定资格条件（如果项目要求）的有关证明材料（复印件）；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11.1.8落实政府采购政策需满足的资格要求（如果项目要求供应商应为中小微企业、监狱企业、残疾人福利性单位）的有关证明材料：中小企业声明函。</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 xml:space="preserve">11.2 </w:t>
      </w:r>
      <w:r>
        <w:rPr>
          <w:rFonts w:hint="eastAsia" w:ascii="仿宋" w:hAnsi="仿宋" w:eastAsia="仿宋" w:cs="仿宋"/>
          <w:sz w:val="24"/>
        </w:rPr>
        <w:t>投标人的</w:t>
      </w:r>
      <w:r>
        <w:rPr>
          <w:rFonts w:hint="eastAsia" w:ascii="仿宋" w:hAnsi="仿宋" w:eastAsia="仿宋" w:cs="仿宋"/>
          <w:b/>
          <w:sz w:val="24"/>
        </w:rPr>
        <w:t>报价文件</w:t>
      </w:r>
      <w:r>
        <w:rPr>
          <w:rFonts w:hint="eastAsia" w:ascii="仿宋" w:hAnsi="仿宋" w:eastAsia="仿宋" w:cs="仿宋"/>
          <w:sz w:val="24"/>
        </w:rPr>
        <w:t>应包括以下内容（均需使用电子签章）：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11.2.1</w:t>
      </w:r>
      <w:r>
        <w:rPr>
          <w:rFonts w:hint="eastAsia" w:ascii="仿宋" w:hAnsi="仿宋" w:eastAsia="仿宋" w:cs="仿宋"/>
          <w:kern w:val="0"/>
          <w:sz w:val="24"/>
        </w:rPr>
        <w:t>投标响应函</w:t>
      </w:r>
      <w:r>
        <w:rPr>
          <w:rFonts w:hint="eastAsia" w:ascii="仿宋" w:hAnsi="仿宋" w:eastAsia="仿宋" w:cs="仿宋"/>
          <w:sz w:val="24"/>
        </w:rPr>
        <w:t>；</w:t>
      </w:r>
    </w:p>
    <w:p>
      <w:pPr>
        <w:pStyle w:val="32"/>
        <w:snapToGrid w:val="0"/>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11.2.2投标(开标)一览表；</w:t>
      </w:r>
    </w:p>
    <w:p>
      <w:pPr>
        <w:pStyle w:val="32"/>
        <w:snapToGrid w:val="0"/>
        <w:spacing w:line="360" w:lineRule="auto"/>
        <w:ind w:right="-512" w:firstLine="480" w:firstLineChars="200"/>
        <w:rPr>
          <w:rFonts w:ascii="仿宋" w:hAnsi="仿宋" w:eastAsia="仿宋" w:cs="仿宋"/>
          <w:sz w:val="24"/>
          <w:szCs w:val="24"/>
        </w:rPr>
      </w:pPr>
      <w:r>
        <w:rPr>
          <w:rFonts w:hint="eastAsia" w:ascii="仿宋" w:hAnsi="仿宋" w:eastAsia="仿宋" w:cs="仿宋"/>
          <w:sz w:val="24"/>
          <w:szCs w:val="24"/>
        </w:rPr>
        <w:t>11.2.3中小企业声明函。</w:t>
      </w:r>
    </w:p>
    <w:p>
      <w:pPr>
        <w:pStyle w:val="32"/>
        <w:spacing w:line="360" w:lineRule="auto"/>
        <w:ind w:right="-512" w:firstLine="480" w:firstLineChars="200"/>
        <w:rPr>
          <w:rFonts w:ascii="仿宋" w:hAnsi="仿宋" w:eastAsia="仿宋" w:cs="仿宋"/>
          <w:sz w:val="24"/>
          <w:szCs w:val="24"/>
          <w:lang w:val="zh-CN"/>
        </w:rPr>
      </w:pPr>
      <w:r>
        <w:rPr>
          <w:rFonts w:hint="eastAsia" w:ascii="仿宋" w:hAnsi="仿宋" w:eastAsia="仿宋" w:cs="仿宋"/>
          <w:kern w:val="0"/>
          <w:sz w:val="24"/>
          <w:szCs w:val="24"/>
          <w:lang w:val="zh-CN"/>
        </w:rPr>
        <w:t>11.3  投标人的</w:t>
      </w:r>
      <w:r>
        <w:rPr>
          <w:rFonts w:hint="eastAsia" w:ascii="仿宋" w:hAnsi="仿宋" w:eastAsia="仿宋" w:cs="仿宋"/>
          <w:b/>
          <w:sz w:val="24"/>
          <w:szCs w:val="24"/>
        </w:rPr>
        <w:t>商务技术</w:t>
      </w:r>
      <w:r>
        <w:rPr>
          <w:rFonts w:hint="eastAsia" w:ascii="仿宋" w:hAnsi="仿宋" w:eastAsia="仿宋" w:cs="仿宋"/>
          <w:b/>
          <w:kern w:val="0"/>
          <w:sz w:val="24"/>
          <w:szCs w:val="24"/>
          <w:lang w:val="zh-CN"/>
        </w:rPr>
        <w:t>文件应</w:t>
      </w:r>
      <w:r>
        <w:rPr>
          <w:rFonts w:hint="eastAsia" w:ascii="仿宋" w:hAnsi="仿宋" w:eastAsia="仿宋" w:cs="仿宋"/>
          <w:kern w:val="0"/>
          <w:sz w:val="24"/>
          <w:szCs w:val="24"/>
          <w:lang w:val="zh-CN"/>
        </w:rPr>
        <w:t>包括以下内容</w:t>
      </w:r>
      <w:r>
        <w:rPr>
          <w:rFonts w:hint="eastAsia" w:ascii="仿宋" w:hAnsi="仿宋" w:eastAsia="仿宋" w:cs="仿宋"/>
          <w:sz w:val="24"/>
          <w:szCs w:val="24"/>
        </w:rPr>
        <w:t>（</w:t>
      </w:r>
      <w:r>
        <w:rPr>
          <w:rFonts w:hint="eastAsia" w:ascii="仿宋" w:hAnsi="仿宋" w:eastAsia="仿宋" w:cs="仿宋"/>
          <w:sz w:val="24"/>
        </w:rPr>
        <w:t>均需使用电子签章</w:t>
      </w:r>
      <w:r>
        <w:rPr>
          <w:rFonts w:hint="eastAsia" w:ascii="仿宋" w:hAnsi="仿宋" w:eastAsia="仿宋" w:cs="仿宋"/>
          <w:sz w:val="24"/>
          <w:szCs w:val="24"/>
        </w:rPr>
        <w:t>）</w:t>
      </w:r>
      <w:r>
        <w:rPr>
          <w:rFonts w:hint="eastAsia" w:ascii="仿宋" w:hAnsi="仿宋" w:eastAsia="仿宋" w:cs="仿宋"/>
          <w:kern w:val="0"/>
          <w:sz w:val="24"/>
          <w:szCs w:val="24"/>
          <w:lang w:val="zh-CN"/>
        </w:rPr>
        <w:t>：</w:t>
      </w:r>
      <w:r>
        <w:rPr>
          <w:rFonts w:hint="eastAsia" w:ascii="仿宋" w:hAnsi="仿宋" w:eastAsia="仿宋" w:cs="仿宋"/>
          <w:sz w:val="24"/>
          <w:szCs w:val="24"/>
          <w:lang w:val="zh-CN"/>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11.3.1</w:t>
      </w:r>
      <w:r>
        <w:rPr>
          <w:rFonts w:hint="eastAsia" w:ascii="仿宋" w:hAnsi="仿宋" w:eastAsia="仿宋" w:cs="仿宋"/>
          <w:sz w:val="24"/>
        </w:rPr>
        <w:t>营业执照(或事业法人登记证或其他工商等登记证明材料)复印件（投标人为自然人的，须提供</w:t>
      </w:r>
      <w:r>
        <w:rPr>
          <w:rFonts w:hint="eastAsia" w:ascii="仿宋" w:hAnsi="仿宋" w:eastAsia="仿宋" w:cs="仿宋"/>
          <w:kern w:val="0"/>
          <w:sz w:val="24"/>
        </w:rPr>
        <w:t>自然人的身份证明</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11.3.2</w:t>
      </w:r>
      <w:r>
        <w:rPr>
          <w:rFonts w:hint="eastAsia" w:ascii="仿宋" w:hAnsi="仿宋" w:eastAsia="仿宋" w:cs="仿宋"/>
          <w:sz w:val="24"/>
        </w:rPr>
        <w:t>法定代表人授权书，法定代表人及其授权代表的身份证复印件（正反面复印件）；如法定代表人直接参加投标并对相应文件签字的，只需提供其身份证复印件（正反面复印件）；▲</w:t>
      </w:r>
      <w:r>
        <w:rPr>
          <w:rFonts w:hint="eastAsia" w:ascii="仿宋" w:hAnsi="仿宋" w:eastAsia="仿宋" w:cs="仿宋"/>
          <w:b/>
          <w:sz w:val="24"/>
        </w:rPr>
        <w:t>投标文件中法定代表人授权书所载内容与本项目内容有异的，投标无效。</w:t>
      </w:r>
    </w:p>
    <w:p>
      <w:pPr>
        <w:pStyle w:val="32"/>
        <w:spacing w:line="360" w:lineRule="auto"/>
        <w:ind w:right="-512" w:firstLine="480" w:firstLineChars="200"/>
        <w:rPr>
          <w:rFonts w:ascii="仿宋" w:hAnsi="仿宋" w:eastAsia="仿宋" w:cs="仿宋"/>
          <w:sz w:val="24"/>
        </w:rPr>
      </w:pPr>
      <w:r>
        <w:rPr>
          <w:rFonts w:hint="eastAsia" w:ascii="仿宋" w:hAnsi="仿宋" w:eastAsia="仿宋" w:cs="仿宋"/>
          <w:sz w:val="24"/>
          <w:lang w:val="zh-CN"/>
        </w:rPr>
        <w:t>11.3.3</w:t>
      </w:r>
      <w:r>
        <w:rPr>
          <w:rFonts w:hint="eastAsia" w:ascii="仿宋" w:hAnsi="仿宋" w:eastAsia="仿宋" w:cs="仿宋"/>
          <w:sz w:val="24"/>
        </w:rPr>
        <w:t>如以联合体形式参加政府采购活动的，</w:t>
      </w:r>
      <w:r>
        <w:rPr>
          <w:rFonts w:hint="eastAsia" w:ascii="仿宋" w:hAnsi="仿宋" w:eastAsia="仿宋" w:cs="仿宋"/>
          <w:sz w:val="24"/>
          <w:szCs w:val="24"/>
        </w:rPr>
        <w:t>联合体各方应当指定牵头人，授权其代表所有联合体成员负责投标和合同实施阶段的主办、协调工作，并应当向采购机构提交由所有联合体成员各方法定代表人签署的授权书，同时</w:t>
      </w:r>
      <w:r>
        <w:rPr>
          <w:rFonts w:hint="eastAsia" w:ascii="仿宋" w:hAnsi="仿宋" w:eastAsia="仿宋" w:cs="仿宋"/>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 w:hAnsi="仿宋" w:eastAsia="仿宋" w:cs="仿宋"/>
          <w:b/>
          <w:sz w:val="24"/>
        </w:rPr>
        <w:t>▲如以联合体形式参加政府采购活动的，联合体协议不符合招标文件规定的联合体协议要求的，投标无效。</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11.3.4</w:t>
      </w:r>
      <w:r>
        <w:rPr>
          <w:rFonts w:hint="eastAsia" w:ascii="仿宋" w:hAnsi="仿宋" w:eastAsia="仿宋" w:cs="仿宋"/>
          <w:sz w:val="24"/>
        </w:rPr>
        <w:t>资信文件：</w:t>
      </w:r>
      <w:r>
        <w:rPr>
          <w:rFonts w:hint="eastAsia" w:ascii="仿宋" w:hAnsi="仿宋" w:eastAsia="仿宋" w:cs="仿宋"/>
          <w:kern w:val="0"/>
          <w:sz w:val="24"/>
          <w:szCs w:val="20"/>
        </w:rPr>
        <w:t>见投标须知前附表所述；</w:t>
      </w:r>
    </w:p>
    <w:p>
      <w:pPr>
        <w:pStyle w:val="217"/>
        <w:snapToGrid w:val="0"/>
        <w:spacing w:before="0"/>
        <w:ind w:firstLine="480"/>
        <w:rPr>
          <w:rFonts w:ascii="仿宋" w:hAnsi="仿宋" w:eastAsia="仿宋" w:cs="仿宋"/>
          <w:kern w:val="0"/>
          <w:lang w:val="zh-CN"/>
        </w:rPr>
      </w:pPr>
      <w:r>
        <w:rPr>
          <w:rFonts w:hint="eastAsia" w:ascii="仿宋" w:hAnsi="仿宋" w:eastAsia="仿宋" w:cs="仿宋"/>
          <w:lang w:val="zh-CN"/>
        </w:rPr>
        <w:t>11.3.5</w:t>
      </w:r>
      <w:r>
        <w:rPr>
          <w:rFonts w:hint="eastAsia" w:ascii="仿宋" w:hAnsi="仿宋" w:eastAsia="仿宋" w:cs="仿宋"/>
          <w:kern w:val="0"/>
        </w:rPr>
        <w:t>投标截止时间前三年投标人的主要业绩证明材料即</w:t>
      </w:r>
      <w:r>
        <w:rPr>
          <w:rFonts w:hint="eastAsia" w:ascii="仿宋" w:hAnsi="仿宋" w:eastAsia="仿宋" w:cs="仿宋"/>
          <w:lang w:val="zh-CN"/>
        </w:rPr>
        <w:t>合同</w:t>
      </w:r>
      <w:r>
        <w:rPr>
          <w:rFonts w:hint="eastAsia" w:ascii="仿宋" w:hAnsi="仿宋" w:eastAsia="仿宋" w:cs="仿宋"/>
        </w:rPr>
        <w:t>和用户验收报告</w:t>
      </w:r>
      <w:r>
        <w:rPr>
          <w:rFonts w:hint="eastAsia" w:ascii="仿宋" w:hAnsi="仿宋" w:eastAsia="仿宋" w:cs="仿宋"/>
          <w:szCs w:val="24"/>
        </w:rPr>
        <w:t>（</w:t>
      </w:r>
      <w:r>
        <w:rPr>
          <w:rFonts w:hint="eastAsia" w:ascii="仿宋" w:hAnsi="仿宋" w:eastAsia="仿宋" w:cs="仿宋"/>
        </w:rPr>
        <w:t>联合体投标的，联合体各方</w:t>
      </w:r>
      <w:r>
        <w:rPr>
          <w:rFonts w:hint="eastAsia" w:ascii="仿宋" w:hAnsi="仿宋" w:eastAsia="仿宋" w:cs="仿宋"/>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 w:hAnsi="仿宋" w:eastAsia="仿宋" w:cs="仿宋"/>
          <w:szCs w:val="24"/>
        </w:rPr>
        <w:t>)</w:t>
      </w:r>
      <w:r>
        <w:rPr>
          <w:rFonts w:hint="eastAsia" w:ascii="仿宋" w:hAnsi="仿宋" w:eastAsia="仿宋" w:cs="仿宋"/>
          <w:kern w:val="0"/>
        </w:rPr>
        <w:t>；</w:t>
      </w:r>
    </w:p>
    <w:p>
      <w:pPr>
        <w:snapToGrid w:val="0"/>
        <w:spacing w:line="360" w:lineRule="auto"/>
        <w:ind w:firstLine="540" w:firstLineChars="225"/>
        <w:rPr>
          <w:rFonts w:ascii="仿宋" w:hAnsi="仿宋" w:eastAsia="仿宋" w:cs="仿宋"/>
          <w:sz w:val="24"/>
        </w:rPr>
      </w:pPr>
      <w:r>
        <w:rPr>
          <w:rFonts w:hint="eastAsia" w:ascii="仿宋" w:hAnsi="仿宋" w:eastAsia="仿宋" w:cs="仿宋"/>
          <w:sz w:val="24"/>
          <w:lang w:val="zh-CN"/>
        </w:rPr>
        <w:t>11.3.6</w:t>
      </w:r>
      <w:r>
        <w:rPr>
          <w:rFonts w:hint="eastAsia" w:ascii="仿宋" w:hAnsi="仿宋" w:eastAsia="仿宋" w:cs="仿宋"/>
          <w:kern w:val="0"/>
          <w:sz w:val="24"/>
          <w:lang w:val="zh-CN"/>
        </w:rPr>
        <w:t>投标人认为需要的其他商务文件或说明；</w:t>
      </w:r>
      <w:r>
        <w:rPr>
          <w:rFonts w:hint="eastAsia" w:ascii="仿宋" w:hAnsi="仿宋" w:eastAsia="仿宋" w:cs="仿宋"/>
          <w:sz w:val="24"/>
        </w:rPr>
        <w:t xml:space="preserve"> </w:t>
      </w:r>
    </w:p>
    <w:p>
      <w:pPr>
        <w:pStyle w:val="32"/>
        <w:snapToGrid w:val="0"/>
        <w:spacing w:line="360" w:lineRule="auto"/>
        <w:ind w:right="-512" w:firstLine="480" w:firstLineChars="200"/>
        <w:rPr>
          <w:rFonts w:ascii="仿宋" w:hAnsi="仿宋" w:eastAsia="仿宋" w:cs="仿宋"/>
          <w:sz w:val="24"/>
          <w:lang w:val="zh-CN"/>
        </w:rPr>
      </w:pPr>
      <w:r>
        <w:rPr>
          <w:rFonts w:hint="eastAsia" w:ascii="仿宋" w:hAnsi="仿宋" w:eastAsia="仿宋" w:cs="仿宋"/>
          <w:sz w:val="24"/>
          <w:lang w:val="zh-CN"/>
        </w:rPr>
        <w:t>11.3.7投标人应提供针对项目的完整技术解决方案；</w:t>
      </w:r>
    </w:p>
    <w:p>
      <w:pPr>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sz w:val="24"/>
          <w:lang w:val="zh-CN"/>
        </w:rPr>
        <w:t>针对本项目的完整技术解决方案和实施方案；详细阐述项目方案的实现思路及关键技术；符合本项目对当前和未来发展的要求；以及对功能设计和实施计划的建议；</w:t>
      </w:r>
    </w:p>
    <w:p>
      <w:pPr>
        <w:pStyle w:val="32"/>
        <w:snapToGrid w:val="0"/>
        <w:spacing w:line="360" w:lineRule="auto"/>
        <w:ind w:right="-512" w:firstLine="482" w:firstLineChars="200"/>
        <w:rPr>
          <w:rFonts w:ascii="仿宋" w:hAnsi="仿宋" w:eastAsia="仿宋" w:cs="仿宋"/>
          <w:kern w:val="0"/>
          <w:sz w:val="24"/>
          <w:lang w:val="zh-CN"/>
        </w:rPr>
      </w:pPr>
      <w:r>
        <w:rPr>
          <w:rFonts w:hint="eastAsia" w:ascii="仿宋" w:hAnsi="仿宋" w:eastAsia="仿宋" w:cs="仿宋"/>
          <w:b/>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w:t>
      </w:r>
      <w:r>
        <w:rPr>
          <w:rFonts w:hint="eastAsia" w:ascii="仿宋" w:hAnsi="仿宋" w:eastAsia="仿宋" w:cs="仿宋"/>
          <w:b/>
          <w:kern w:val="0"/>
          <w:sz w:val="24"/>
          <w:lang w:val="zh-CN"/>
        </w:rPr>
        <w:t>任何含糊不清的</w:t>
      </w:r>
      <w:r>
        <w:rPr>
          <w:rFonts w:hint="eastAsia" w:ascii="仿宋" w:hAnsi="仿宋" w:eastAsia="仿宋" w:cs="仿宋"/>
          <w:b/>
          <w:sz w:val="24"/>
        </w:rPr>
        <w:t>表述导致</w:t>
      </w:r>
      <w:r>
        <w:rPr>
          <w:rFonts w:hint="eastAsia" w:ascii="仿宋" w:hAnsi="仿宋" w:eastAsia="仿宋" w:cs="仿宋"/>
          <w:b/>
          <w:kern w:val="0"/>
          <w:sz w:val="24"/>
          <w:lang w:val="zh-CN"/>
        </w:rPr>
        <w:t>评标委员会技术扣分直至认定为投标无效都将是投标人的责任</w:t>
      </w:r>
      <w:r>
        <w:rPr>
          <w:rFonts w:hint="eastAsia" w:ascii="仿宋" w:hAnsi="仿宋" w:eastAsia="仿宋" w:cs="仿宋"/>
          <w:sz w:val="24"/>
        </w:rPr>
        <w:t>。</w:t>
      </w:r>
    </w:p>
    <w:p>
      <w:pPr>
        <w:snapToGrid w:val="0"/>
        <w:spacing w:line="360" w:lineRule="auto"/>
        <w:ind w:firstLine="360" w:firstLineChars="150"/>
        <w:rPr>
          <w:rFonts w:ascii="仿宋" w:hAnsi="仿宋" w:eastAsia="仿宋" w:cs="仿宋"/>
          <w:kern w:val="0"/>
          <w:sz w:val="24"/>
          <w:lang w:val="zh-CN"/>
        </w:rPr>
      </w:pPr>
      <w:r>
        <w:rPr>
          <w:rFonts w:hint="eastAsia" w:ascii="仿宋" w:hAnsi="仿宋" w:eastAsia="仿宋" w:cs="仿宋"/>
          <w:kern w:val="0"/>
          <w:sz w:val="24"/>
        </w:rPr>
        <w:t xml:space="preserve"> </w:t>
      </w:r>
      <w:r>
        <w:rPr>
          <w:rFonts w:hint="eastAsia" w:ascii="仿宋" w:hAnsi="仿宋" w:eastAsia="仿宋" w:cs="仿宋"/>
          <w:sz w:val="24"/>
          <w:lang w:val="zh-CN"/>
        </w:rPr>
        <w:t>11.3.9</w:t>
      </w:r>
      <w:r>
        <w:rPr>
          <w:rFonts w:hint="eastAsia" w:ascii="仿宋" w:hAnsi="仿宋" w:eastAsia="仿宋" w:cs="仿宋"/>
          <w:sz w:val="24"/>
        </w:rPr>
        <w:t>投标人在投标文件技术偏离说明表中，</w:t>
      </w:r>
      <w:r>
        <w:rPr>
          <w:rFonts w:hint="eastAsia" w:ascii="仿宋" w:hAnsi="仿宋" w:eastAsia="仿宋" w:cs="仿宋"/>
          <w:kern w:val="0"/>
          <w:sz w:val="24"/>
          <w:lang w:val="zh-CN"/>
        </w:rPr>
        <w:t>应对</w:t>
      </w:r>
      <w:r>
        <w:rPr>
          <w:rFonts w:hint="eastAsia" w:ascii="仿宋" w:hAnsi="仿宋" w:eastAsia="仿宋" w:cs="仿宋"/>
          <w:sz w:val="24"/>
        </w:rPr>
        <w:t>采购需求</w:t>
      </w:r>
      <w:r>
        <w:rPr>
          <w:rFonts w:hint="eastAsia" w:ascii="仿宋" w:hAnsi="仿宋" w:eastAsia="仿宋" w:cs="仿宋"/>
          <w:kern w:val="0"/>
          <w:sz w:val="24"/>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ascii="仿宋" w:hAnsi="仿宋" w:eastAsia="仿宋" w:cs="仿宋"/>
          <w:kern w:val="0"/>
          <w:sz w:val="24"/>
          <w:lang w:val="zh-CN"/>
        </w:rPr>
      </w:pPr>
      <w:r>
        <w:rPr>
          <w:rFonts w:hint="eastAsia" w:ascii="仿宋" w:hAnsi="仿宋" w:eastAsia="仿宋" w:cs="仿宋"/>
          <w:sz w:val="24"/>
          <w:lang w:val="zh-CN"/>
        </w:rPr>
        <w:t>11.3.10</w:t>
      </w:r>
      <w:r>
        <w:rPr>
          <w:rFonts w:hint="eastAsia" w:ascii="仿宋" w:hAnsi="仿宋" w:eastAsia="仿宋" w:cs="仿宋"/>
          <w:kern w:val="0"/>
          <w:sz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ascii="仿宋" w:hAnsi="仿宋" w:eastAsia="仿宋" w:cs="仿宋"/>
          <w:kern w:val="0"/>
          <w:sz w:val="24"/>
          <w:lang w:val="zh-CN"/>
        </w:rPr>
      </w:pPr>
      <w:r>
        <w:rPr>
          <w:rFonts w:hint="eastAsia" w:ascii="仿宋" w:hAnsi="仿宋" w:eastAsia="仿宋" w:cs="仿宋"/>
          <w:sz w:val="24"/>
          <w:lang w:val="zh-CN"/>
        </w:rPr>
        <w:t>11.3.11</w:t>
      </w:r>
      <w:r>
        <w:rPr>
          <w:rFonts w:hint="eastAsia" w:ascii="仿宋" w:hAnsi="仿宋" w:eastAsia="仿宋" w:cs="仿宋"/>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360" w:firstLineChars="150"/>
        <w:rPr>
          <w:rFonts w:ascii="仿宋" w:hAnsi="仿宋" w:eastAsia="仿宋" w:cs="仿宋"/>
          <w:kern w:val="0"/>
          <w:sz w:val="24"/>
          <w:lang w:val="zh-CN"/>
        </w:rPr>
      </w:pPr>
      <w:r>
        <w:rPr>
          <w:rFonts w:hint="eastAsia" w:ascii="仿宋" w:hAnsi="仿宋" w:eastAsia="仿宋" w:cs="仿宋"/>
          <w:sz w:val="24"/>
          <w:lang w:val="zh-CN"/>
        </w:rPr>
        <w:t>11.3.12</w:t>
      </w:r>
      <w:r>
        <w:rPr>
          <w:rFonts w:hint="eastAsia" w:ascii="仿宋" w:hAnsi="仿宋" w:eastAsia="仿宋" w:cs="仿宋"/>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360" w:lineRule="auto"/>
        <w:ind w:firstLine="360" w:firstLineChars="150"/>
        <w:rPr>
          <w:rFonts w:ascii="仿宋" w:hAnsi="仿宋" w:eastAsia="仿宋" w:cs="仿宋"/>
          <w:kern w:val="0"/>
          <w:sz w:val="24"/>
          <w:lang w:val="zh-CN"/>
        </w:rPr>
      </w:pPr>
      <w:r>
        <w:rPr>
          <w:rFonts w:hint="eastAsia" w:ascii="仿宋" w:hAnsi="仿宋" w:eastAsia="仿宋" w:cs="仿宋"/>
          <w:sz w:val="24"/>
          <w:lang w:val="zh-CN"/>
        </w:rPr>
        <w:t>11.3.13</w:t>
      </w:r>
      <w:r>
        <w:rPr>
          <w:rFonts w:hint="eastAsia" w:ascii="仿宋" w:hAnsi="仿宋" w:eastAsia="仿宋" w:cs="仿宋"/>
          <w:kern w:val="0"/>
          <w:sz w:val="24"/>
          <w:lang w:val="zh-CN"/>
        </w:rPr>
        <w:t>优惠条件及特殊承诺；</w:t>
      </w:r>
    </w:p>
    <w:p>
      <w:pPr>
        <w:tabs>
          <w:tab w:val="left" w:pos="0"/>
          <w:tab w:val="left" w:pos="840"/>
        </w:tabs>
        <w:autoSpaceDE w:val="0"/>
        <w:autoSpaceDN w:val="0"/>
        <w:spacing w:line="360" w:lineRule="auto"/>
        <w:ind w:firstLine="360" w:firstLineChars="150"/>
        <w:rPr>
          <w:rFonts w:ascii="仿宋" w:hAnsi="仿宋" w:eastAsia="仿宋" w:cs="仿宋"/>
          <w:kern w:val="0"/>
          <w:sz w:val="24"/>
          <w:lang w:val="zh-CN"/>
        </w:rPr>
      </w:pPr>
      <w:r>
        <w:rPr>
          <w:rFonts w:hint="eastAsia" w:ascii="仿宋" w:hAnsi="仿宋" w:eastAsia="仿宋" w:cs="仿宋"/>
          <w:sz w:val="24"/>
          <w:lang w:val="zh-CN"/>
        </w:rPr>
        <w:t>11.3.14</w:t>
      </w:r>
      <w:r>
        <w:rPr>
          <w:rFonts w:hint="eastAsia" w:ascii="仿宋" w:hAnsi="仿宋" w:eastAsia="仿宋" w:cs="仿宋"/>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ascii="仿宋" w:hAnsi="仿宋" w:eastAsia="仿宋" w:cs="仿宋"/>
          <w:kern w:val="0"/>
          <w:sz w:val="24"/>
          <w:lang w:val="zh-CN"/>
        </w:rPr>
      </w:pPr>
      <w:r>
        <w:rPr>
          <w:rFonts w:hint="eastAsia" w:ascii="仿宋" w:hAnsi="仿宋" w:eastAsia="仿宋" w:cs="仿宋"/>
          <w:sz w:val="24"/>
          <w:lang w:val="zh-CN"/>
        </w:rPr>
        <w:t>11.3.15</w:t>
      </w:r>
      <w:r>
        <w:rPr>
          <w:rFonts w:hint="eastAsia" w:ascii="仿宋" w:hAnsi="仿宋" w:eastAsia="仿宋" w:cs="仿宋"/>
          <w:kern w:val="0"/>
          <w:sz w:val="24"/>
          <w:lang w:val="zh-CN"/>
        </w:rPr>
        <w:t>培训计划；（如果有）</w:t>
      </w:r>
    </w:p>
    <w:p>
      <w:pPr>
        <w:pStyle w:val="32"/>
        <w:spacing w:line="360" w:lineRule="auto"/>
        <w:ind w:right="-512" w:firstLine="360" w:firstLineChars="150"/>
        <w:rPr>
          <w:rFonts w:ascii="仿宋" w:hAnsi="仿宋" w:eastAsia="仿宋" w:cs="仿宋"/>
          <w:kern w:val="0"/>
          <w:sz w:val="24"/>
          <w:szCs w:val="24"/>
          <w:lang w:val="zh-CN"/>
        </w:rPr>
      </w:pPr>
      <w:r>
        <w:rPr>
          <w:rFonts w:hint="eastAsia" w:ascii="仿宋" w:hAnsi="仿宋" w:eastAsia="仿宋" w:cs="仿宋"/>
          <w:sz w:val="24"/>
          <w:lang w:val="zh-CN"/>
        </w:rPr>
        <w:t>11.3.16</w:t>
      </w:r>
      <w:r>
        <w:rPr>
          <w:rFonts w:hint="eastAsia" w:ascii="仿宋" w:hAnsi="仿宋" w:eastAsia="仿宋" w:cs="仿宋"/>
          <w:kern w:val="0"/>
          <w:sz w:val="24"/>
          <w:szCs w:val="24"/>
          <w:lang w:val="zh-CN"/>
        </w:rPr>
        <w:t>投标人认为需要的其他技术文件或说明；</w:t>
      </w:r>
    </w:p>
    <w:p>
      <w:pPr>
        <w:tabs>
          <w:tab w:val="left" w:pos="0"/>
        </w:tabs>
        <w:autoSpaceDE w:val="0"/>
        <w:autoSpaceDN w:val="0"/>
        <w:spacing w:line="360" w:lineRule="auto"/>
        <w:ind w:firstLine="360" w:firstLineChars="150"/>
        <w:rPr>
          <w:rFonts w:ascii="仿宋" w:hAnsi="仿宋" w:eastAsia="仿宋" w:cs="仿宋"/>
          <w:kern w:val="0"/>
          <w:sz w:val="24"/>
          <w:lang w:val="zh-CN"/>
        </w:rPr>
      </w:pPr>
      <w:r>
        <w:rPr>
          <w:rFonts w:hint="eastAsia" w:ascii="仿宋" w:hAnsi="仿宋" w:eastAsia="仿宋" w:cs="仿宋"/>
          <w:sz w:val="24"/>
          <w:lang w:val="zh-CN"/>
        </w:rPr>
        <w:t>11.3.17</w:t>
      </w:r>
      <w:r>
        <w:rPr>
          <w:rFonts w:hint="eastAsia" w:ascii="仿宋" w:hAnsi="仿宋" w:eastAsia="仿宋" w:cs="仿宋"/>
          <w:kern w:val="0"/>
          <w:sz w:val="24"/>
          <w:lang w:val="zh-CN"/>
        </w:rPr>
        <w:t>关于对招标文件商务、合同中有关条款的拒绝声明。（如果有）</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▲投标文件组成漏项，内容不全或内容字迹模糊辨认不清的，投标无效；</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▲投标人提供虚假材料投标的，投标无效。</w:t>
      </w:r>
    </w:p>
    <w:p>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▲根据法律、法规或招标文件要求，评标委员会认为应当作无效投标的其他情况。</w:t>
      </w:r>
    </w:p>
    <w:p>
      <w:pPr>
        <w:pStyle w:val="217"/>
        <w:snapToGrid w:val="0"/>
        <w:spacing w:before="0"/>
        <w:ind w:firstLine="0" w:firstLineChars="0"/>
        <w:outlineLvl w:val="0"/>
        <w:rPr>
          <w:rFonts w:ascii="仿宋" w:hAnsi="仿宋" w:eastAsia="仿宋" w:cs="仿宋"/>
          <w:b/>
          <w:szCs w:val="24"/>
        </w:rPr>
      </w:pPr>
      <w:bookmarkStart w:id="59" w:name="_Toc91899887"/>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pPr>
        <w:spacing w:line="360" w:lineRule="auto"/>
        <w:ind w:firstLine="482" w:firstLineChars="200"/>
        <w:rPr>
          <w:rFonts w:ascii="仿宋" w:hAnsi="仿宋" w:eastAsia="仿宋" w:cs="仿宋"/>
          <w:b/>
          <w:sz w:val="24"/>
          <w:szCs w:val="21"/>
        </w:rPr>
      </w:pPr>
      <w:r>
        <w:rPr>
          <w:rFonts w:hint="eastAsia" w:ascii="仿宋" w:hAnsi="仿宋" w:eastAsia="仿宋" w:cs="仿宋"/>
          <w:b/>
          <w:sz w:val="24"/>
        </w:rPr>
        <w:t>▲投标文件未按本条规定的格式编制的，投标无效；</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bookmarkEnd w:id="59"/>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pStyle w:val="217"/>
        <w:snapToGrid w:val="0"/>
        <w:spacing w:before="0"/>
        <w:ind w:firstLine="482"/>
        <w:rPr>
          <w:rFonts w:ascii="仿宋" w:hAnsi="仿宋" w:eastAsia="仿宋" w:cs="仿宋"/>
          <w:b/>
          <w:szCs w:val="24"/>
        </w:rPr>
      </w:pPr>
      <w:r>
        <w:rPr>
          <w:rFonts w:hint="eastAsia" w:ascii="仿宋" w:hAnsi="仿宋" w:eastAsia="仿宋" w:cs="仿宋"/>
          <w:b/>
          <w:szCs w:val="24"/>
        </w:rPr>
        <w:t>12.4纸质备份文件（如有）的制作要求：</w:t>
      </w:r>
    </w:p>
    <w:p>
      <w:pPr>
        <w:pStyle w:val="217"/>
        <w:snapToGrid w:val="0"/>
        <w:spacing w:before="0"/>
        <w:ind w:firstLine="480"/>
        <w:rPr>
          <w:rFonts w:ascii="仿宋" w:hAnsi="仿宋" w:eastAsia="仿宋" w:cs="仿宋"/>
          <w:szCs w:val="24"/>
        </w:rPr>
      </w:pPr>
      <w:r>
        <w:rPr>
          <w:rFonts w:hint="eastAsia" w:ascii="仿宋" w:hAnsi="仿宋" w:eastAsia="仿宋" w:cs="仿宋"/>
          <w:szCs w:val="24"/>
        </w:rPr>
        <w:t>12.4.1投标人制作纸质投标文件须在投标文件封面上标明“正本”与“副本”字样、项目名称与标项号，并加盖投标人公章。正本内容与副本不一致时，以正本为准。</w:t>
      </w:r>
    </w:p>
    <w:p>
      <w:pPr>
        <w:pStyle w:val="217"/>
        <w:snapToGrid w:val="0"/>
        <w:spacing w:before="0"/>
        <w:ind w:firstLine="480"/>
        <w:rPr>
          <w:rFonts w:ascii="仿宋" w:hAnsi="仿宋" w:eastAsia="仿宋" w:cs="仿宋"/>
          <w:szCs w:val="24"/>
        </w:rPr>
      </w:pPr>
      <w:r>
        <w:rPr>
          <w:rFonts w:hint="eastAsia" w:ascii="仿宋" w:hAnsi="仿宋" w:eastAsia="仿宋" w:cs="仿宋"/>
          <w:szCs w:val="24"/>
        </w:rPr>
        <w:t>12.4.2投标文件正本应使用不能擦去的墨水打印或书写</w:t>
      </w:r>
      <w:r>
        <w:rPr>
          <w:rFonts w:hint="eastAsia" w:ascii="仿宋" w:hAnsi="仿宋" w:eastAsia="仿宋" w:cs="仿宋"/>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12.4.3全套投标文件应无涂改和行间插字，除非这些删改是根据采购机构要求进行，或者是投标人造成的必须修改的错误。所修改处应由法定代表人或其授权代表签字盖章予以确认。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12.4.4 投标文件建议采用A4幅面，按顺序统一编目编码装订成册。</w:t>
      </w:r>
      <w:r>
        <w:rPr>
          <w:rFonts w:hint="eastAsia" w:ascii="仿宋" w:hAnsi="仿宋" w:eastAsia="仿宋" w:cs="仿宋"/>
          <w:b/>
          <w:sz w:val="24"/>
        </w:rPr>
        <w:t>提倡双面打印</w:t>
      </w:r>
      <w:r>
        <w:rPr>
          <w:rFonts w:hint="eastAsia" w:ascii="仿宋" w:hAnsi="仿宋" w:eastAsia="仿宋" w:cs="仿宋"/>
          <w:sz w:val="24"/>
        </w:rPr>
        <w:t>。</w:t>
      </w:r>
    </w:p>
    <w:p>
      <w:pPr>
        <w:snapToGrid w:val="0"/>
        <w:spacing w:line="360" w:lineRule="auto"/>
        <w:rPr>
          <w:rFonts w:ascii="仿宋" w:hAnsi="仿宋" w:eastAsia="仿宋" w:cs="仿宋"/>
          <w:b/>
          <w:sz w:val="24"/>
        </w:rPr>
      </w:pPr>
      <w:r>
        <w:rPr>
          <w:rFonts w:hint="eastAsia" w:ascii="仿宋" w:hAnsi="仿宋" w:eastAsia="仿宋" w:cs="仿宋"/>
          <w:b/>
          <w:sz w:val="24"/>
        </w:rPr>
        <w:t>13.投标文件的装订、签署、盖章</w:t>
      </w:r>
    </w:p>
    <w:p>
      <w:pPr>
        <w:pStyle w:val="217"/>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217"/>
        <w:snapToGrid w:val="0"/>
        <w:spacing w:before="0"/>
        <w:ind w:firstLine="480"/>
        <w:rPr>
          <w:rFonts w:ascii="仿宋" w:hAnsi="仿宋" w:eastAsia="仿宋" w:cs="仿宋"/>
          <w:szCs w:val="24"/>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13.2为确保网上操作合法、有效和安全，投标人应当在投标截止时间前完成在“政府采购云平台”的身份认证，确保在电子投标过程中能够对相关数据电文进行加密和使用电子签章。</w:t>
      </w:r>
    </w:p>
    <w:p>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纸质备份文件（如有）须将投标文件的资格文件、商务技术文件、报价文件</w:t>
      </w:r>
      <w:r>
        <w:rPr>
          <w:rFonts w:hint="eastAsia" w:ascii="仿宋" w:hAnsi="仿宋" w:eastAsia="仿宋" w:cs="仿宋"/>
          <w:b/>
          <w:sz w:val="24"/>
        </w:rPr>
        <w:t>三</w:t>
      </w:r>
      <w:r>
        <w:rPr>
          <w:rFonts w:hint="eastAsia" w:ascii="仿宋" w:hAnsi="仿宋" w:eastAsia="仿宋" w:cs="仿宋"/>
          <w:sz w:val="24"/>
        </w:rPr>
        <w:t>部分分别装订成册，投标文件的装订必须采用</w:t>
      </w:r>
      <w:r>
        <w:rPr>
          <w:rFonts w:hint="eastAsia" w:ascii="仿宋" w:hAnsi="仿宋" w:eastAsia="仿宋" w:cs="仿宋"/>
          <w:b/>
          <w:sz w:val="24"/>
        </w:rPr>
        <w:t>胶订或线订</w:t>
      </w:r>
      <w:r>
        <w:rPr>
          <w:rFonts w:hint="eastAsia" w:ascii="仿宋" w:hAnsi="仿宋" w:eastAsia="仿宋" w:cs="仿宋"/>
          <w:sz w:val="24"/>
        </w:rPr>
        <w:t>形式，不得采用活页装订方式（胶订或线订以外装订形式视为活页装订）。</w:t>
      </w:r>
      <w:r>
        <w:rPr>
          <w:rFonts w:hint="eastAsia" w:ascii="仿宋" w:hAnsi="仿宋" w:eastAsia="仿宋" w:cs="仿宋"/>
          <w:b/>
          <w:sz w:val="24"/>
        </w:rPr>
        <w:t>▲对不符合装订要求的投标文件，按投标无效处理。</w:t>
      </w:r>
    </w:p>
    <w:p>
      <w:pPr>
        <w:pStyle w:val="217"/>
        <w:spacing w:before="0"/>
        <w:ind w:firstLine="0" w:firstLineChars="0"/>
        <w:rPr>
          <w:rFonts w:ascii="仿宋" w:hAnsi="仿宋" w:eastAsia="仿宋" w:cs="仿宋"/>
          <w:b/>
          <w:szCs w:val="24"/>
        </w:rPr>
      </w:pPr>
      <w:r>
        <w:rPr>
          <w:rFonts w:hint="eastAsia" w:ascii="仿宋" w:hAnsi="仿宋" w:eastAsia="仿宋" w:cs="仿宋"/>
          <w:b/>
        </w:rPr>
        <w:t>14.</w:t>
      </w:r>
      <w:r>
        <w:rPr>
          <w:rFonts w:hint="eastAsia" w:ascii="仿宋" w:hAnsi="仿宋" w:eastAsia="仿宋" w:cs="仿宋"/>
          <w:b/>
          <w:szCs w:val="24"/>
        </w:rPr>
        <w:t>投标文件的提交、补充、修改、撤回</w:t>
      </w:r>
    </w:p>
    <w:p>
      <w:pPr>
        <w:pStyle w:val="217"/>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7"/>
        <w:spacing w:before="0"/>
        <w:ind w:firstLine="600" w:firstLineChars="25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217"/>
        <w:spacing w:before="0"/>
        <w:ind w:firstLine="480"/>
        <w:rPr>
          <w:rFonts w:ascii="仿宋" w:hAnsi="仿宋" w:eastAsia="仿宋" w:cs="仿宋"/>
          <w:szCs w:val="24"/>
        </w:rPr>
      </w:pPr>
      <w:r>
        <w:rPr>
          <w:rFonts w:hint="eastAsia" w:ascii="仿宋" w:hAnsi="仿宋" w:eastAsia="仿宋" w:cs="仿宋"/>
          <w:szCs w:val="24"/>
        </w:rPr>
        <w:t>14.3采购机构可以视情况延长投标文件提交的截止时间。在上述情况下，采购机构与投标人以前在投标截止期方面的全部权利、责任和义务，将适用于延长至新的投标截止期。</w:t>
      </w:r>
    </w:p>
    <w:p>
      <w:pPr>
        <w:pStyle w:val="217"/>
        <w:spacing w:before="0"/>
        <w:ind w:firstLine="480"/>
        <w:rPr>
          <w:rFonts w:ascii="仿宋" w:hAnsi="仿宋" w:eastAsia="仿宋" w:cs="仿宋"/>
          <w:szCs w:val="24"/>
        </w:rPr>
      </w:pPr>
      <w:r>
        <w:rPr>
          <w:rFonts w:hint="eastAsia" w:ascii="仿宋" w:hAnsi="仿宋" w:eastAsia="仿宋" w:cs="仿宋"/>
          <w:szCs w:val="24"/>
        </w:rPr>
        <w:t>14.4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pPr>
        <w:pStyle w:val="217"/>
        <w:spacing w:before="0"/>
        <w:ind w:firstLine="480"/>
        <w:rPr>
          <w:rFonts w:ascii="仿宋" w:hAnsi="仿宋" w:eastAsia="仿宋" w:cs="仿宋"/>
          <w:szCs w:val="24"/>
        </w:rPr>
      </w:pPr>
      <w:r>
        <w:rPr>
          <w:rFonts w:hint="eastAsia" w:ascii="仿宋" w:hAnsi="仿宋" w:eastAsia="仿宋" w:cs="仿宋"/>
          <w:szCs w:val="24"/>
        </w:rPr>
        <w:t>14.4.1 投标人的补充、修改文件，应按本须知规定编制、密封、标志和递交，如果一份投标文件有几份函件时，应注明哪一份有效，否则所作修改视为无效。</w:t>
      </w:r>
    </w:p>
    <w:p>
      <w:pPr>
        <w:pStyle w:val="217"/>
        <w:spacing w:before="0"/>
        <w:ind w:firstLine="480"/>
        <w:rPr>
          <w:rFonts w:ascii="仿宋" w:hAnsi="仿宋" w:eastAsia="仿宋" w:cs="仿宋"/>
          <w:szCs w:val="24"/>
        </w:rPr>
      </w:pPr>
      <w:r>
        <w:rPr>
          <w:rFonts w:hint="eastAsia" w:ascii="仿宋" w:hAnsi="仿宋" w:eastAsia="仿宋" w:cs="仿宋"/>
          <w:szCs w:val="24"/>
        </w:rPr>
        <w:t>14.4.2投标人对投标文件的修改均要加以说明，否则其修改将被视为无效。</w:t>
      </w:r>
    </w:p>
    <w:p>
      <w:pPr>
        <w:pStyle w:val="217"/>
        <w:spacing w:before="0"/>
        <w:ind w:firstLine="480"/>
        <w:rPr>
          <w:rFonts w:ascii="仿宋" w:hAnsi="仿宋" w:eastAsia="仿宋" w:cs="仿宋"/>
          <w:szCs w:val="24"/>
        </w:rPr>
      </w:pPr>
      <w:r>
        <w:rPr>
          <w:rFonts w:hint="eastAsia" w:ascii="仿宋" w:hAnsi="仿宋" w:eastAsia="仿宋" w:cs="仿宋"/>
          <w:szCs w:val="24"/>
        </w:rPr>
        <w:t>14.4.3投标人在投标截止时间前，可以对所提交的投标文件进行补充、修改或者撤回，并书面通知采购人、采购机构。补充、修改的内容作为投标文件的组成部分。补充、修改的内容与投标文件不一致的，以补充、修改的内容为准。</w:t>
      </w:r>
    </w:p>
    <w:p>
      <w:pPr>
        <w:pStyle w:val="217"/>
        <w:spacing w:before="0"/>
        <w:ind w:firstLine="480"/>
        <w:rPr>
          <w:rFonts w:ascii="仿宋" w:hAnsi="仿宋" w:eastAsia="仿宋" w:cs="仿宋"/>
          <w:szCs w:val="24"/>
        </w:rPr>
      </w:pPr>
      <w:r>
        <w:rPr>
          <w:rFonts w:hint="eastAsia" w:ascii="仿宋" w:hAnsi="仿宋" w:eastAsia="仿宋" w:cs="仿宋"/>
          <w:szCs w:val="24"/>
        </w:rPr>
        <w:t>14.4.4</w:t>
      </w:r>
      <w:r>
        <w:rPr>
          <w:rFonts w:hint="eastAsia" w:ascii="仿宋" w:hAnsi="仿宋" w:eastAsia="仿宋" w:cs="仿宋"/>
        </w:rPr>
        <w:t>在开标后规定的投标有效期内</w:t>
      </w:r>
      <w:r>
        <w:rPr>
          <w:rFonts w:hint="eastAsia" w:ascii="仿宋" w:hAnsi="仿宋" w:eastAsia="仿宋" w:cs="仿宋"/>
          <w:szCs w:val="24"/>
        </w:rPr>
        <w:t>，投标人不能撤销投标文件。</w:t>
      </w:r>
    </w:p>
    <w:p>
      <w:pPr>
        <w:snapToGrid w:val="0"/>
        <w:spacing w:line="360" w:lineRule="auto"/>
        <w:rPr>
          <w:rFonts w:ascii="仿宋" w:hAnsi="仿宋" w:eastAsia="仿宋" w:cs="仿宋"/>
          <w:b/>
          <w:sz w:val="24"/>
        </w:rPr>
      </w:pPr>
      <w:r>
        <w:rPr>
          <w:rFonts w:hint="eastAsia" w:ascii="仿宋" w:hAnsi="仿宋" w:eastAsia="仿宋" w:cs="仿宋"/>
          <w:b/>
          <w:sz w:val="24"/>
        </w:rPr>
        <w:t>15.备份投标文件（如有）以及投标文件的递交</w:t>
      </w:r>
    </w:p>
    <w:p>
      <w:pPr>
        <w:pStyle w:val="217"/>
        <w:spacing w:before="0"/>
        <w:ind w:firstLine="480"/>
        <w:rPr>
          <w:rFonts w:ascii="仿宋" w:hAnsi="仿宋" w:eastAsia="仿宋" w:cs="仿宋"/>
          <w:b/>
          <w:szCs w:val="24"/>
        </w:rPr>
      </w:pPr>
      <w:r>
        <w:rPr>
          <w:rFonts w:hint="eastAsia" w:ascii="仿宋" w:hAnsi="仿宋" w:eastAsia="仿宋" w:cs="仿宋"/>
          <w:szCs w:val="24"/>
        </w:rPr>
        <w:t>15.1备份投标文件须</w:t>
      </w:r>
      <w:r>
        <w:rPr>
          <w:rFonts w:hint="eastAsia" w:ascii="仿宋" w:hAnsi="仿宋" w:eastAsia="仿宋" w:cs="仿宋"/>
          <w:b/>
          <w:szCs w:val="24"/>
        </w:rPr>
        <w:t>密封包装</w:t>
      </w:r>
      <w:r>
        <w:rPr>
          <w:rFonts w:hint="eastAsia" w:ascii="仿宋" w:hAnsi="仿宋" w:eastAsia="仿宋" w:cs="仿宋"/>
          <w:szCs w:val="24"/>
        </w:rPr>
        <w:t>，密封包装指：所有投标文件应密封包装，包含资格文件、商务技术文件、报价文件三部分。其中，报价文件必须单独密封，未单独密封的，在开标时发生报价泄露的，由投标人自行承担相关责任</w:t>
      </w:r>
      <w:r>
        <w:rPr>
          <w:rFonts w:hint="eastAsia" w:ascii="仿宋" w:hAnsi="仿宋" w:eastAsia="仿宋" w:cs="仿宋"/>
          <w:b/>
          <w:szCs w:val="24"/>
        </w:rPr>
        <w:t>。没有密封包装的投标文件，将被拒收。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15.2所有备份投标文件包装封面物应写明项目名称、投标人名称(联合体投标的，包装物封面需注明联合体投标，并注明联合体成员各方的名称和联合体协议中约定的牵头人的名称)。</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15.3电子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体协议中约定的牵头人的名称)</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▲不符合上述制作、存储、密封规定的备份投标文件将被视为无效或者被拒绝接收。</w:t>
      </w:r>
    </w:p>
    <w:p>
      <w:pPr>
        <w:snapToGrid w:val="0"/>
        <w:spacing w:line="360" w:lineRule="auto"/>
        <w:ind w:firstLine="482" w:firstLineChars="200"/>
        <w:rPr>
          <w:rFonts w:ascii="仿宋" w:hAnsi="仿宋" w:eastAsia="仿宋" w:cs="仿宋"/>
          <w:sz w:val="24"/>
        </w:rPr>
      </w:pPr>
      <w:r>
        <w:rPr>
          <w:rFonts w:hint="eastAsia" w:ascii="仿宋" w:hAnsi="仿宋" w:eastAsia="仿宋" w:cs="仿宋"/>
          <w:b/>
          <w:sz w:val="24"/>
        </w:rPr>
        <w:t>▲投标人仅提交备份投标文件，没有在电子交易平台传输递交投标文件的，投标无效。</w:t>
      </w:r>
    </w:p>
    <w:p>
      <w:pPr>
        <w:pStyle w:val="217"/>
        <w:ind w:firstLine="480"/>
        <w:rPr>
          <w:rFonts w:ascii="仿宋" w:hAnsi="仿宋" w:eastAsia="仿宋" w:cs="仿宋"/>
          <w:szCs w:val="24"/>
        </w:rPr>
      </w:pPr>
      <w:r>
        <w:rPr>
          <w:rFonts w:hint="eastAsia" w:ascii="仿宋" w:hAnsi="仿宋" w:eastAsia="仿宋" w:cs="仿宋"/>
          <w:szCs w:val="24"/>
        </w:rPr>
        <w:t>15.4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7"/>
        <w:spacing w:before="0"/>
        <w:ind w:firstLine="480"/>
        <w:rPr>
          <w:rFonts w:ascii="仿宋" w:hAnsi="仿宋" w:eastAsia="仿宋" w:cs="仿宋"/>
          <w:szCs w:val="24"/>
        </w:rPr>
      </w:pPr>
      <w:r>
        <w:rPr>
          <w:rFonts w:hint="eastAsia" w:ascii="仿宋" w:hAnsi="仿宋" w:eastAsia="仿宋" w:cs="仿宋"/>
          <w:szCs w:val="24"/>
        </w:rPr>
        <w:t>15.5采购机构可以视情况延长投标文件提交的截止时间。在上述情况下，采购机构与投标人以前在投标截止期方面的全部权利、责任和义务，将适用于延长至新的投标截止期。</w:t>
      </w:r>
    </w:p>
    <w:p>
      <w:pPr>
        <w:pStyle w:val="217"/>
        <w:spacing w:before="0"/>
        <w:ind w:firstLine="480"/>
        <w:rPr>
          <w:rFonts w:ascii="仿宋" w:hAnsi="仿宋" w:eastAsia="仿宋" w:cs="仿宋"/>
          <w:szCs w:val="24"/>
        </w:rPr>
      </w:pPr>
      <w:r>
        <w:rPr>
          <w:rFonts w:hint="eastAsia" w:ascii="仿宋" w:hAnsi="仿宋" w:eastAsia="仿宋" w:cs="仿宋"/>
          <w:szCs w:val="24"/>
        </w:rPr>
        <w:t>15.6如项目须备份投标文件，</w:t>
      </w:r>
      <w:r>
        <w:rPr>
          <w:rFonts w:hint="eastAsia" w:ascii="仿宋" w:hAnsi="仿宋" w:eastAsia="仿宋" w:cs="仿宋"/>
        </w:rPr>
        <w:t>投标人应按“招标公告”及前附表规定的时间、地点完成采购文件获取手续并将投标文件提交给</w:t>
      </w:r>
      <w:r>
        <w:rPr>
          <w:rFonts w:hint="eastAsia" w:ascii="仿宋" w:hAnsi="仿宋" w:eastAsia="仿宋" w:cs="仿宋"/>
          <w:szCs w:val="24"/>
        </w:rPr>
        <w:t>采购机构</w:t>
      </w:r>
      <w:r>
        <w:rPr>
          <w:rFonts w:hint="eastAsia" w:ascii="仿宋" w:hAnsi="仿宋" w:eastAsia="仿宋" w:cs="仿宋"/>
        </w:rPr>
        <w:t>，</w:t>
      </w:r>
      <w:r>
        <w:rPr>
          <w:rFonts w:hint="eastAsia" w:ascii="仿宋" w:hAnsi="仿宋" w:eastAsia="仿宋" w:cs="仿宋"/>
          <w:szCs w:val="24"/>
        </w:rPr>
        <w:t>采购机构</w:t>
      </w:r>
      <w:r>
        <w:rPr>
          <w:rFonts w:hint="eastAsia" w:ascii="仿宋" w:hAnsi="仿宋" w:eastAsia="仿宋" w:cs="仿宋"/>
        </w:rPr>
        <w:t>将拒绝接受逾期送达的投标文件和未按公告要求完成采购文件获取的投标人递交的投标文件。</w:t>
      </w:r>
    </w:p>
    <w:bookmarkEnd w:id="54"/>
    <w:bookmarkEnd w:id="55"/>
    <w:p>
      <w:pPr>
        <w:pStyle w:val="217"/>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4"/>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217"/>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217"/>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217"/>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17.3在原定投标有效期满之前，如果出现特殊情况，采购机构可以以公告形式通知投标人延长投标有效期。投标人同意延长的，不得要求或被允许修改其投标文件，投标人拒绝延长的，其投标无效。</w:t>
      </w:r>
    </w:p>
    <w:p>
      <w:pPr>
        <w:pStyle w:val="217"/>
        <w:spacing w:before="0"/>
        <w:ind w:firstLine="643"/>
        <w:rPr>
          <w:rFonts w:ascii="仿宋" w:hAnsi="仿宋" w:eastAsia="仿宋" w:cs="仿宋"/>
          <w:b/>
          <w:sz w:val="32"/>
        </w:rPr>
      </w:pPr>
      <w:bookmarkStart w:id="60" w:name="_Toc91899897"/>
    </w:p>
    <w:p>
      <w:pPr>
        <w:pStyle w:val="217"/>
        <w:spacing w:before="0"/>
        <w:ind w:firstLine="1928" w:firstLineChars="600"/>
        <w:rPr>
          <w:rFonts w:ascii="仿宋" w:hAnsi="仿宋" w:eastAsia="仿宋" w:cs="仿宋"/>
          <w:b/>
          <w:sz w:val="32"/>
        </w:rPr>
      </w:pPr>
      <w:r>
        <w:rPr>
          <w:rFonts w:hint="eastAsia" w:ascii="仿宋" w:hAnsi="仿宋" w:eastAsia="仿宋" w:cs="仿宋"/>
          <w:b/>
          <w:sz w:val="32"/>
        </w:rPr>
        <w:br w:type="page"/>
      </w:r>
      <w:r>
        <w:rPr>
          <w:rFonts w:hint="eastAsia" w:ascii="仿宋" w:hAnsi="仿宋" w:eastAsia="仿宋" w:cs="仿宋"/>
          <w:b/>
          <w:sz w:val="32"/>
        </w:rPr>
        <w:t>四、开标</w:t>
      </w:r>
      <w:bookmarkEnd w:id="60"/>
      <w:r>
        <w:rPr>
          <w:rFonts w:hint="eastAsia" w:ascii="仿宋" w:hAnsi="仿宋" w:eastAsia="仿宋" w:cs="仿宋"/>
          <w:b/>
          <w:sz w:val="32"/>
        </w:rPr>
        <w:t>、资格审查与信用信息查询</w:t>
      </w:r>
    </w:p>
    <w:p>
      <w:pPr>
        <w:pStyle w:val="498"/>
        <w:spacing w:before="0" w:line="360" w:lineRule="auto"/>
        <w:ind w:left="0" w:firstLine="0"/>
        <w:contextualSpacing/>
        <w:rPr>
          <w:rFonts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49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49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18.2开标时，电子交易平台按开标时间自动提取所有投标文件。采购机构依托电子交易平台发起开始解密指令，投标人按照平台提示和招标文件的规定在半小时内完成在线解密。</w:t>
      </w:r>
    </w:p>
    <w:p>
      <w:pPr>
        <w:pStyle w:val="49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18.3项目允许提供备份文件时，仅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仿宋" w:hAnsi="仿宋" w:eastAsia="仿宋" w:cs="仿宋"/>
          <w:b/>
          <w:sz w:val="24"/>
        </w:rPr>
        <w:t>投标文件已按时解密的，备份投标文件自动失效。</w:t>
      </w:r>
    </w:p>
    <w:p>
      <w:pPr>
        <w:pStyle w:val="49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18.4 备份投标文件的接收在招标文件确定的时间、地点进行。</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19、资格审查</w:t>
      </w:r>
    </w:p>
    <w:p>
      <w:pPr>
        <w:pStyle w:val="217"/>
        <w:spacing w:before="0"/>
        <w:ind w:firstLine="480"/>
        <w:rPr>
          <w:rFonts w:ascii="仿宋" w:hAnsi="仿宋" w:eastAsia="仿宋" w:cs="仿宋"/>
          <w:kern w:val="0"/>
          <w:szCs w:val="24"/>
        </w:rPr>
      </w:pPr>
      <w:r>
        <w:rPr>
          <w:rFonts w:hint="eastAsia" w:ascii="仿宋" w:hAnsi="仿宋" w:eastAsia="仿宋" w:cs="仿宋"/>
          <w:kern w:val="0"/>
          <w:szCs w:val="24"/>
        </w:rPr>
        <w:t>19.1开标后，采购人将依法对投标人的资格进行审查。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217"/>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217"/>
        <w:spacing w:before="0"/>
        <w:ind w:firstLine="480"/>
        <w:rPr>
          <w:rFonts w:ascii="仿宋" w:hAnsi="仿宋" w:eastAsia="仿宋" w:cs="仿宋"/>
        </w:rPr>
      </w:pPr>
      <w:r>
        <w:rPr>
          <w:rFonts w:hint="eastAsia" w:ascii="仿宋" w:hAnsi="仿宋" w:eastAsia="仿宋" w:cs="仿宋"/>
        </w:rPr>
        <w:t>19.4对未通过资格审查的投标人，采购人或采购机构告知其未通过的原因。</w:t>
      </w:r>
    </w:p>
    <w:p>
      <w:pPr>
        <w:pStyle w:val="217"/>
        <w:spacing w:before="0"/>
        <w:ind w:firstLine="480"/>
        <w:rPr>
          <w:rFonts w:ascii="仿宋" w:hAnsi="仿宋" w:eastAsia="仿宋" w:cs="仿宋"/>
        </w:rPr>
      </w:pPr>
      <w:r>
        <w:rPr>
          <w:rFonts w:hint="eastAsia" w:ascii="仿宋" w:hAnsi="仿宋" w:eastAsia="仿宋" w:cs="仿宋"/>
        </w:rPr>
        <w:t>19.5合格投标人不足3家的，不再评标。</w:t>
      </w:r>
    </w:p>
    <w:p>
      <w:pPr>
        <w:pStyle w:val="217"/>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217"/>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20.1信用信息查询渠道及截止时间：采购人或采购机构将通过“信用中国”网站(www.creditchina.gov.cn)、中国政府采购网(www.ccgp.gov.cn)渠道查询投标人投标截止时间前的信用记录。</w:t>
      </w:r>
    </w:p>
    <w:p>
      <w:pPr>
        <w:pStyle w:val="217"/>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217"/>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217"/>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217"/>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bookmarkStart w:id="61" w:name="_Hlt75236101"/>
      <w:bookmarkEnd w:id="61"/>
      <w:bookmarkStart w:id="62" w:name="_Toc91899902"/>
      <w:r>
        <w:rPr>
          <w:rFonts w:hint="eastAsia" w:ascii="仿宋" w:hAnsi="仿宋" w:eastAsia="仿宋" w:cs="仿宋"/>
          <w:b/>
          <w:sz w:val="36"/>
          <w:szCs w:val="36"/>
        </w:rPr>
        <w:t>五、评标</w:t>
      </w:r>
      <w:bookmarkEnd w:id="62"/>
    </w:p>
    <w:p>
      <w:pPr>
        <w:spacing w:line="360" w:lineRule="auto"/>
        <w:rPr>
          <w:rFonts w:ascii="仿宋" w:hAnsi="仿宋" w:eastAsia="仿宋" w:cs="仿宋"/>
          <w:b/>
          <w:sz w:val="24"/>
        </w:rPr>
      </w:pPr>
      <w:r>
        <w:rPr>
          <w:rFonts w:hint="eastAsia" w:ascii="仿宋" w:hAnsi="仿宋" w:eastAsia="仿宋" w:cs="仿宋"/>
          <w:b/>
          <w:sz w:val="24"/>
        </w:rPr>
        <w:t>21.</w:t>
      </w:r>
      <w:r>
        <w:rPr>
          <w:rFonts w:hint="eastAsia" w:ascii="仿宋" w:hAnsi="仿宋" w:eastAsia="仿宋" w:cs="仿宋"/>
          <w:sz w:val="24"/>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24"/>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217"/>
        <w:snapToGrid w:val="0"/>
        <w:spacing w:before="0"/>
        <w:ind w:firstLine="480"/>
        <w:rPr>
          <w:rFonts w:ascii="仿宋" w:hAnsi="仿宋" w:eastAsia="仿宋" w:cs="仿宋"/>
          <w:b/>
          <w:szCs w:val="24"/>
        </w:rPr>
      </w:pPr>
      <w:r>
        <w:rPr>
          <w:rFonts w:hint="eastAsia" w:ascii="仿宋" w:hAnsi="仿宋" w:eastAsia="仿宋" w:cs="仿宋"/>
          <w:szCs w:val="24"/>
        </w:rPr>
        <w:t>采购机构将自评审结束之日起2个工作日内将评审报告送交采购人。采购人将自收到评审报告之日起5个工作日内在评审报告推荐的中标候选人中按顺序确定中标供应商。</w:t>
      </w:r>
    </w:p>
    <w:p>
      <w:pPr>
        <w:pStyle w:val="217"/>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23.1采购机构将在自中标人确定之日起2个工作日内，发布招标公告的网站上公告中标结果，同时发出中标通知书。</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4"/>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4"/>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w:t>
      </w:r>
    </w:p>
    <w:p>
      <w:pPr>
        <w:pStyle w:val="217"/>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217"/>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217"/>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24"/>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0"/>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。履约保证金的数额不得超过政府采购合同金额的5%。</w:t>
      </w:r>
    </w:p>
    <w:p>
      <w:pPr>
        <w:tabs>
          <w:tab w:val="left" w:pos="0"/>
        </w:tabs>
        <w:spacing w:line="360" w:lineRule="auto"/>
        <w:ind w:firstLine="480"/>
        <w:rPr>
          <w:rFonts w:ascii="仿宋" w:hAnsi="仿宋" w:eastAsia="仿宋" w:cs="仿宋"/>
          <w:sz w:val="24"/>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217"/>
        <w:snapToGrid w:val="0"/>
        <w:spacing w:before="0"/>
        <w:ind w:firstLine="0" w:firstLineChars="0"/>
        <w:rPr>
          <w:rFonts w:ascii="仿宋" w:hAnsi="仿宋" w:eastAsia="仿宋" w:cs="仿宋"/>
        </w:rPr>
      </w:pPr>
      <w:r>
        <w:rPr>
          <w:rFonts w:hint="eastAsia" w:ascii="仿宋" w:hAnsi="仿宋" w:eastAsia="仿宋" w:cs="仿宋"/>
          <w:b/>
        </w:rPr>
        <w:t>27</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217"/>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217"/>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217"/>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217"/>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217"/>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217"/>
        <w:snapToGrid w:val="0"/>
        <w:spacing w:before="0"/>
        <w:ind w:firstLine="480"/>
        <w:rPr>
          <w:rFonts w:ascii="仿宋" w:hAnsi="仿宋" w:eastAsia="仿宋" w:cs="仿宋"/>
        </w:rPr>
      </w:pP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360" w:firstLineChars="150"/>
        <w:jc w:val="center"/>
        <w:rPr>
          <w:rFonts w:ascii="仿宋" w:hAnsi="仿宋" w:eastAsia="仿宋" w:cs="仿宋"/>
          <w:sz w:val="24"/>
        </w:rPr>
      </w:pPr>
      <w:r>
        <w:rPr>
          <w:rFonts w:hint="eastAsia" w:ascii="仿宋" w:hAnsi="仿宋" w:eastAsia="仿宋" w:cs="仿宋"/>
          <w:sz w:val="24"/>
        </w:rPr>
        <w:t xml:space="preserve"> </w:t>
      </w:r>
    </w:p>
    <w:p>
      <w:pPr>
        <w:snapToGrid w:val="0"/>
        <w:spacing w:line="360" w:lineRule="auto"/>
        <w:jc w:val="center"/>
        <w:rPr>
          <w:rFonts w:ascii="仿宋" w:hAnsi="仿宋" w:eastAsia="仿宋" w:cs="仿宋"/>
          <w:b/>
          <w:sz w:val="32"/>
        </w:rPr>
      </w:pPr>
      <w:r>
        <w:rPr>
          <w:rFonts w:hint="eastAsia" w:ascii="仿宋" w:hAnsi="仿宋" w:eastAsia="仿宋" w:cs="仿宋"/>
          <w:b/>
          <w:sz w:val="32"/>
        </w:rPr>
        <w:t>九、验收</w:t>
      </w:r>
    </w:p>
    <w:p>
      <w:pPr>
        <w:pStyle w:val="24"/>
        <w:spacing w:line="360" w:lineRule="auto"/>
        <w:ind w:firstLine="0" w:firstLineChars="0"/>
        <w:rPr>
          <w:rFonts w:ascii="仿宋" w:hAnsi="仿宋" w:eastAsia="仿宋" w:cs="仿宋"/>
          <w:b/>
        </w:rPr>
      </w:pPr>
      <w:r>
        <w:rPr>
          <w:rFonts w:hint="eastAsia" w:ascii="仿宋" w:hAnsi="仿宋" w:eastAsia="仿宋" w:cs="仿宋"/>
          <w:b/>
        </w:rPr>
        <w:t>28.验收</w:t>
      </w:r>
    </w:p>
    <w:p>
      <w:pPr>
        <w:tabs>
          <w:tab w:val="left" w:pos="0"/>
        </w:tabs>
        <w:spacing w:line="360" w:lineRule="auto"/>
        <w:ind w:firstLine="480"/>
        <w:jc w:val="left"/>
        <w:rPr>
          <w:rFonts w:ascii="仿宋" w:hAnsi="仿宋" w:eastAsia="仿宋" w:cs="仿宋"/>
          <w:kern w:val="0"/>
          <w:sz w:val="24"/>
        </w:rPr>
      </w:pPr>
      <w:r>
        <w:rPr>
          <w:rFonts w:hint="eastAsia" w:ascii="仿宋" w:hAnsi="仿宋" w:eastAsia="仿宋" w:cs="仿宋"/>
          <w:kern w:val="0"/>
          <w:sz w:val="24"/>
        </w:rPr>
        <w:t>28.1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联系电话: 0571-83587785/0571-82816012  联系地址: 萧山区通惠北路2-1号302室</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28.2除28.1规定情形外，采购人可以自行验收或邀请参加本项目的其他投标人或者第三方机构参与验收。</w:t>
      </w:r>
    </w:p>
    <w:p>
      <w:pPr>
        <w:adjustRightInd/>
        <w:spacing w:line="360" w:lineRule="auto"/>
        <w:ind w:firstLine="3845" w:firstLineChars="1197"/>
        <w:outlineLvl w:val="0"/>
        <w:rPr>
          <w:rFonts w:ascii="仿宋" w:hAnsi="仿宋" w:eastAsia="仿宋" w:cs="仿宋"/>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pPr>
        <w:pStyle w:val="4"/>
        <w:rPr>
          <w:rFonts w:cs="仿宋"/>
          <w:color w:val="auto"/>
        </w:rPr>
      </w:pPr>
      <w:bookmarkStart w:id="63" w:name="第四部分"/>
      <w:r>
        <w:rPr>
          <w:rFonts w:hint="eastAsia" w:cs="仿宋"/>
          <w:color w:val="auto"/>
        </w:rPr>
        <w:t>第三部分   采购需求</w:t>
      </w:r>
    </w:p>
    <w:p>
      <w:pPr>
        <w:snapToGrid w:val="0"/>
        <w:spacing w:line="360" w:lineRule="auto"/>
        <w:jc w:val="center"/>
        <w:rPr>
          <w:rFonts w:ascii="仿宋" w:hAnsi="仿宋" w:eastAsia="仿宋" w:cs="仿宋"/>
          <w:sz w:val="24"/>
        </w:rPr>
      </w:pPr>
      <w:r>
        <w:rPr>
          <w:rFonts w:hint="eastAsia" w:ascii="仿宋" w:hAnsi="仿宋" w:eastAsia="仿宋" w:cs="仿宋"/>
          <w:sz w:val="24"/>
        </w:rPr>
        <w:t>属于实质性要求条款的，请用符号“▲”标明，否则属于非实质性要求。</w:t>
      </w:r>
    </w:p>
    <w:p>
      <w:pPr>
        <w:widowControl/>
        <w:spacing w:before="100" w:beforeAutospacing="1" w:after="240" w:line="360" w:lineRule="auto"/>
        <w:jc w:val="center"/>
        <w:rPr>
          <w:rFonts w:ascii="仿宋" w:hAnsi="仿宋" w:eastAsia="仿宋" w:cs="仿宋"/>
          <w:b/>
          <w:sz w:val="32"/>
        </w:rPr>
      </w:pPr>
      <w:r>
        <w:rPr>
          <w:rFonts w:hint="eastAsia" w:ascii="仿宋" w:hAnsi="仿宋" w:eastAsia="仿宋" w:cs="仿宋"/>
          <w:b/>
          <w:sz w:val="32"/>
        </w:rPr>
        <w:t>一、招标一览表</w:t>
      </w:r>
    </w:p>
    <w:p>
      <w:pPr>
        <w:tabs>
          <w:tab w:val="left" w:pos="0"/>
        </w:tabs>
        <w:spacing w:line="360" w:lineRule="auto"/>
        <w:jc w:val="left"/>
        <w:rPr>
          <w:rFonts w:ascii="仿宋" w:hAnsi="仿宋" w:eastAsia="仿宋" w:cs="仿宋"/>
          <w:kern w:val="0"/>
          <w:sz w:val="24"/>
        </w:rPr>
      </w:pPr>
      <w:r>
        <w:rPr>
          <w:rFonts w:hint="eastAsia" w:ascii="仿宋" w:hAnsi="仿宋" w:eastAsia="仿宋" w:cs="仿宋"/>
          <w:kern w:val="0"/>
          <w:sz w:val="24"/>
        </w:rPr>
        <w:t>标项：</w:t>
      </w:r>
    </w:p>
    <w:tbl>
      <w:tblPr>
        <w:tblStyle w:val="61"/>
        <w:tblW w:w="9438" w:type="dxa"/>
        <w:jc w:val="center"/>
        <w:tblLayout w:type="fixed"/>
        <w:tblCellMar>
          <w:top w:w="0" w:type="dxa"/>
          <w:left w:w="0" w:type="dxa"/>
          <w:bottom w:w="0" w:type="dxa"/>
          <w:right w:w="0" w:type="dxa"/>
        </w:tblCellMar>
      </w:tblPr>
      <w:tblGrid>
        <w:gridCol w:w="714"/>
        <w:gridCol w:w="2253"/>
        <w:gridCol w:w="2025"/>
        <w:gridCol w:w="720"/>
        <w:gridCol w:w="720"/>
        <w:gridCol w:w="2070"/>
        <w:gridCol w:w="936"/>
      </w:tblGrid>
      <w:tr>
        <w:tblPrEx>
          <w:tblCellMar>
            <w:top w:w="0" w:type="dxa"/>
            <w:left w:w="0" w:type="dxa"/>
            <w:bottom w:w="0" w:type="dxa"/>
            <w:right w:w="0" w:type="dxa"/>
          </w:tblCellMar>
        </w:tblPrEx>
        <w:trPr>
          <w:cantSplit/>
          <w:trHeight w:val="851" w:hRule="atLeast"/>
          <w:jc w:val="center"/>
        </w:trPr>
        <w:tc>
          <w:tcPr>
            <w:tcW w:w="71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标项</w:t>
            </w:r>
          </w:p>
        </w:tc>
        <w:tc>
          <w:tcPr>
            <w:tcW w:w="225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名称</w:t>
            </w:r>
          </w:p>
        </w:tc>
        <w:tc>
          <w:tcPr>
            <w:tcW w:w="202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规格型号与参数</w:t>
            </w:r>
          </w:p>
        </w:tc>
        <w:tc>
          <w:tcPr>
            <w:tcW w:w="7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单位</w:t>
            </w:r>
          </w:p>
        </w:tc>
        <w:tc>
          <w:tcPr>
            <w:tcW w:w="72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数量</w:t>
            </w:r>
          </w:p>
        </w:tc>
        <w:tc>
          <w:tcPr>
            <w:tcW w:w="2070" w:type="dxa"/>
            <w:tcBorders>
              <w:top w:val="single" w:color="auto" w:sz="4" w:space="0"/>
              <w:left w:val="nil"/>
              <w:bottom w:val="single" w:color="auto" w:sz="4" w:space="0"/>
              <w:right w:val="single" w:color="auto" w:sz="4" w:space="0"/>
            </w:tcBorders>
            <w:noWrap/>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是否为核心产品</w:t>
            </w:r>
          </w:p>
        </w:tc>
        <w:tc>
          <w:tcPr>
            <w:tcW w:w="936" w:type="dxa"/>
            <w:tcBorders>
              <w:top w:val="single" w:color="auto" w:sz="4" w:space="0"/>
              <w:left w:val="single" w:color="auto" w:sz="4" w:space="0"/>
              <w:bottom w:val="single" w:color="auto" w:sz="4" w:space="0"/>
              <w:right w:val="single" w:color="auto" w:sz="4" w:space="0"/>
            </w:tcBorders>
            <w:noWrap/>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备注</w:t>
            </w:r>
          </w:p>
        </w:tc>
      </w:tr>
      <w:tr>
        <w:tblPrEx>
          <w:tblCellMar>
            <w:top w:w="0" w:type="dxa"/>
            <w:left w:w="0" w:type="dxa"/>
            <w:bottom w:w="0" w:type="dxa"/>
            <w:right w:w="0" w:type="dxa"/>
          </w:tblCellMar>
        </w:tblPrEx>
        <w:trPr>
          <w:cantSplit/>
          <w:trHeight w:val="798" w:hRule="atLeast"/>
          <w:jc w:val="center"/>
        </w:trPr>
        <w:tc>
          <w:tcPr>
            <w:tcW w:w="71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w:t>
            </w:r>
          </w:p>
        </w:tc>
        <w:tc>
          <w:tcPr>
            <w:tcW w:w="225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信息等保2.0</w:t>
            </w:r>
          </w:p>
        </w:tc>
        <w:tc>
          <w:tcPr>
            <w:tcW w:w="202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lang w:val="zh-CN"/>
              </w:rPr>
              <w:t>详见招标需求</w:t>
            </w:r>
          </w:p>
        </w:tc>
        <w:tc>
          <w:tcPr>
            <w:tcW w:w="7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批</w:t>
            </w:r>
          </w:p>
        </w:tc>
        <w:tc>
          <w:tcPr>
            <w:tcW w:w="72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1</w:t>
            </w:r>
          </w:p>
        </w:tc>
        <w:tc>
          <w:tcPr>
            <w:tcW w:w="2070" w:type="dxa"/>
            <w:tcBorders>
              <w:top w:val="single" w:color="auto" w:sz="4" w:space="0"/>
              <w:left w:val="single" w:color="auto" w:sz="4" w:space="0"/>
              <w:bottom w:val="single" w:color="auto" w:sz="4" w:space="0"/>
              <w:right w:val="single" w:color="auto" w:sz="4" w:space="0"/>
            </w:tcBorders>
            <w:noWrap/>
            <w:vAlign w:val="center"/>
          </w:tcPr>
          <w:p>
            <w:pPr>
              <w:tabs>
                <w:tab w:val="left" w:pos="0"/>
              </w:tabs>
              <w:jc w:val="center"/>
              <w:rPr>
                <w:rFonts w:ascii="仿宋" w:hAnsi="仿宋" w:eastAsia="仿宋" w:cs="仿宋"/>
                <w:kern w:val="0"/>
                <w:sz w:val="24"/>
              </w:rPr>
            </w:pPr>
            <w:r>
              <w:rPr>
                <w:rFonts w:hint="eastAsia" w:ascii="仿宋" w:hAnsi="仿宋" w:eastAsia="仿宋" w:cs="仿宋"/>
                <w:kern w:val="0"/>
                <w:sz w:val="24"/>
              </w:rPr>
              <w:t>详见招标需求</w:t>
            </w:r>
          </w:p>
        </w:tc>
        <w:tc>
          <w:tcPr>
            <w:tcW w:w="936" w:type="dxa"/>
            <w:tcBorders>
              <w:top w:val="single" w:color="auto" w:sz="4" w:space="0"/>
              <w:left w:val="single" w:color="auto" w:sz="4" w:space="0"/>
              <w:bottom w:val="single" w:color="auto" w:sz="4" w:space="0"/>
              <w:right w:val="single" w:color="auto" w:sz="4" w:space="0"/>
            </w:tcBorders>
            <w:noWrap/>
            <w:vAlign w:val="center"/>
          </w:tcPr>
          <w:p>
            <w:pPr>
              <w:tabs>
                <w:tab w:val="left" w:pos="0"/>
              </w:tabs>
              <w:jc w:val="center"/>
              <w:rPr>
                <w:rFonts w:ascii="仿宋" w:hAnsi="仿宋" w:eastAsia="仿宋" w:cs="仿宋"/>
                <w:kern w:val="0"/>
                <w:sz w:val="24"/>
              </w:rPr>
            </w:pPr>
          </w:p>
        </w:tc>
      </w:tr>
    </w:tbl>
    <w:p>
      <w:pPr>
        <w:rPr>
          <w:rFonts w:ascii="仿宋" w:hAnsi="仿宋" w:eastAsia="仿宋" w:cs="仿宋"/>
          <w:b/>
          <w:sz w:val="24"/>
        </w:rPr>
      </w:pPr>
    </w:p>
    <w:p>
      <w:pPr>
        <w:widowControl/>
        <w:spacing w:before="100" w:beforeAutospacing="1" w:after="240" w:line="360" w:lineRule="auto"/>
        <w:jc w:val="center"/>
        <w:rPr>
          <w:rFonts w:ascii="仿宋" w:hAnsi="仿宋" w:eastAsia="仿宋" w:cs="仿宋"/>
          <w:b/>
          <w:sz w:val="32"/>
        </w:rPr>
      </w:pPr>
      <w:r>
        <w:rPr>
          <w:rFonts w:hint="eastAsia" w:ascii="仿宋" w:hAnsi="仿宋" w:eastAsia="仿宋" w:cs="仿宋"/>
          <w:b/>
          <w:sz w:val="32"/>
        </w:rPr>
        <w:t>二、招标需求</w:t>
      </w:r>
    </w:p>
    <w:p>
      <w:pPr>
        <w:snapToGrid w:val="0"/>
        <w:spacing w:line="360" w:lineRule="auto"/>
        <w:rPr>
          <w:rFonts w:ascii="仿宋" w:hAnsi="仿宋" w:eastAsia="仿宋" w:cs="仿宋"/>
          <w:b/>
          <w:bCs/>
          <w:sz w:val="24"/>
        </w:rPr>
      </w:pPr>
      <w:r>
        <w:rPr>
          <w:rFonts w:hint="eastAsia" w:ascii="仿宋" w:hAnsi="仿宋" w:eastAsia="仿宋" w:cs="仿宋"/>
          <w:b/>
          <w:bCs/>
          <w:sz w:val="24"/>
        </w:rPr>
        <w:t>一、技术要求</w:t>
      </w:r>
    </w:p>
    <w:p>
      <w:pPr>
        <w:snapToGrid w:val="0"/>
        <w:spacing w:line="360" w:lineRule="auto"/>
        <w:rPr>
          <w:rFonts w:ascii="仿宋" w:hAnsi="仿宋" w:eastAsia="仿宋" w:cs="仿宋"/>
          <w:b/>
          <w:bCs/>
          <w:sz w:val="24"/>
        </w:rPr>
      </w:pPr>
      <w:r>
        <w:rPr>
          <w:rFonts w:hint="eastAsia" w:ascii="仿宋" w:hAnsi="仿宋" w:eastAsia="仿宋" w:cs="仿宋"/>
          <w:b/>
          <w:bCs/>
          <w:sz w:val="24"/>
        </w:rPr>
        <w:t>1、内网中心防火墙</w:t>
      </w:r>
      <w:r>
        <w:rPr>
          <w:rFonts w:hint="eastAsia" w:ascii="仿宋" w:hAnsi="仿宋" w:eastAsia="仿宋" w:cs="仿宋"/>
          <w:b/>
          <w:bCs/>
          <w:sz w:val="24"/>
          <w:lang w:eastAsia="zh-CN"/>
        </w:rPr>
        <w:t>（</w:t>
      </w:r>
      <w:r>
        <w:rPr>
          <w:rFonts w:hint="eastAsia" w:ascii="仿宋" w:hAnsi="仿宋" w:eastAsia="仿宋" w:cs="仿宋"/>
          <w:b/>
          <w:bCs/>
          <w:sz w:val="24"/>
          <w:lang w:val="en-US" w:eastAsia="zh-CN"/>
        </w:rPr>
        <w:t>核心产品</w:t>
      </w:r>
      <w:r>
        <w:rPr>
          <w:rFonts w:hint="eastAsia" w:ascii="仿宋" w:hAnsi="仿宋" w:eastAsia="仿宋" w:cs="仿宋"/>
          <w:b/>
          <w:bCs/>
          <w:sz w:val="24"/>
          <w:lang w:eastAsia="zh-CN"/>
        </w:rPr>
        <w:t>）</w:t>
      </w:r>
      <w:r>
        <w:rPr>
          <w:rFonts w:hint="eastAsia" w:ascii="仿宋" w:hAnsi="仿宋" w:eastAsia="仿宋" w:cs="仿宋"/>
          <w:b/>
          <w:bCs/>
          <w:sz w:val="24"/>
        </w:rPr>
        <w:t>：一台</w:t>
      </w:r>
    </w:p>
    <w:tbl>
      <w:tblPr>
        <w:tblStyle w:val="62"/>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8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240" w:type="dxa"/>
            <w:vAlign w:val="center"/>
          </w:tcPr>
          <w:p>
            <w:pPr>
              <w:jc w:val="center"/>
              <w:rPr>
                <w:rFonts w:ascii="仿宋" w:hAnsi="仿宋" w:eastAsia="仿宋" w:cs="仿宋"/>
                <w:sz w:val="24"/>
              </w:rPr>
            </w:pPr>
            <w:r>
              <w:rPr>
                <w:rFonts w:hint="eastAsia" w:ascii="仿宋" w:hAnsi="仿宋" w:eastAsia="仿宋" w:cs="仿宋"/>
                <w:sz w:val="24"/>
              </w:rPr>
              <w:t>技术指标</w:t>
            </w:r>
          </w:p>
        </w:tc>
        <w:tc>
          <w:tcPr>
            <w:tcW w:w="8519" w:type="dxa"/>
            <w:vAlign w:val="center"/>
          </w:tcPr>
          <w:p>
            <w:pPr>
              <w:jc w:val="center"/>
              <w:rPr>
                <w:rFonts w:ascii="仿宋" w:hAnsi="仿宋" w:eastAsia="仿宋" w:cs="仿宋"/>
                <w:sz w:val="24"/>
              </w:rPr>
            </w:pPr>
            <w:r>
              <w:rPr>
                <w:rFonts w:hint="eastAsia" w:ascii="仿宋" w:hAnsi="仿宋" w:eastAsia="仿宋" w:cs="仿宋"/>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240" w:type="dxa"/>
            <w:vAlign w:val="center"/>
          </w:tcPr>
          <w:p>
            <w:pPr>
              <w:jc w:val="center"/>
              <w:rPr>
                <w:rFonts w:ascii="仿宋" w:hAnsi="仿宋" w:eastAsia="仿宋" w:cs="仿宋"/>
                <w:sz w:val="24"/>
              </w:rPr>
            </w:pPr>
            <w:r>
              <w:rPr>
                <w:rFonts w:hint="eastAsia" w:ascii="仿宋" w:hAnsi="仿宋" w:eastAsia="仿宋" w:cs="仿宋"/>
                <w:sz w:val="24"/>
              </w:rPr>
              <w:t>性能要求</w:t>
            </w:r>
          </w:p>
        </w:tc>
        <w:tc>
          <w:tcPr>
            <w:tcW w:w="8519" w:type="dxa"/>
            <w:vAlign w:val="center"/>
          </w:tcPr>
          <w:p>
            <w:pPr>
              <w:rPr>
                <w:rFonts w:ascii="仿宋" w:hAnsi="仿宋" w:eastAsia="仿宋" w:cs="仿宋"/>
                <w:sz w:val="24"/>
              </w:rPr>
            </w:pPr>
            <w:r>
              <w:rPr>
                <w:rFonts w:hint="eastAsia" w:ascii="仿宋" w:hAnsi="仿宋" w:eastAsia="仿宋" w:cs="仿宋"/>
                <w:sz w:val="24"/>
              </w:rPr>
              <w:t>防火墙吞吐≥10Gbps，每秒新建连接数≥25万，并发连接数≥300万。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0" w:type="dxa"/>
            <w:vAlign w:val="center"/>
          </w:tcPr>
          <w:p>
            <w:pPr>
              <w:jc w:val="center"/>
              <w:rPr>
                <w:rFonts w:ascii="仿宋" w:hAnsi="仿宋" w:eastAsia="仿宋" w:cs="仿宋"/>
                <w:sz w:val="24"/>
              </w:rPr>
            </w:pPr>
            <w:r>
              <w:rPr>
                <w:rFonts w:hint="eastAsia" w:ascii="仿宋" w:hAnsi="仿宋" w:eastAsia="仿宋" w:cs="仿宋"/>
                <w:sz w:val="24"/>
              </w:rPr>
              <w:t>物理要求</w:t>
            </w:r>
          </w:p>
        </w:tc>
        <w:tc>
          <w:tcPr>
            <w:tcW w:w="8519" w:type="dxa"/>
            <w:vAlign w:val="center"/>
          </w:tcPr>
          <w:p>
            <w:pPr>
              <w:rPr>
                <w:rFonts w:ascii="仿宋" w:hAnsi="仿宋" w:eastAsia="仿宋" w:cs="仿宋"/>
                <w:sz w:val="24"/>
              </w:rPr>
            </w:pPr>
            <w:r>
              <w:rPr>
                <w:rFonts w:hint="eastAsia" w:ascii="仿宋" w:hAnsi="仿宋" w:eastAsia="仿宋" w:cs="仿宋"/>
                <w:sz w:val="24"/>
              </w:rPr>
              <w:t>机箱高度2U，默认配置不少于6个千兆电口，2个千兆光口，不少于1个接口板卡扩展插槽，1个Console口，支持液晶屏，配置冗余电源。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0" w:type="dxa"/>
            <w:vMerge w:val="restart"/>
            <w:vAlign w:val="center"/>
          </w:tcPr>
          <w:p>
            <w:pPr>
              <w:jc w:val="center"/>
              <w:rPr>
                <w:rFonts w:ascii="仿宋" w:hAnsi="仿宋" w:eastAsia="仿宋" w:cs="仿宋"/>
                <w:sz w:val="24"/>
              </w:rPr>
            </w:pPr>
            <w:r>
              <w:rPr>
                <w:rFonts w:hint="eastAsia" w:ascii="仿宋" w:hAnsi="仿宋" w:eastAsia="仿宋" w:cs="仿宋"/>
                <w:sz w:val="24"/>
              </w:rPr>
              <w:t>功能要求</w:t>
            </w:r>
          </w:p>
        </w:tc>
        <w:tc>
          <w:tcPr>
            <w:tcW w:w="8519" w:type="dxa"/>
            <w:vAlign w:val="center"/>
          </w:tcPr>
          <w:p>
            <w:pPr>
              <w:rPr>
                <w:rFonts w:ascii="仿宋" w:hAnsi="仿宋" w:eastAsia="仿宋" w:cs="仿宋"/>
                <w:sz w:val="24"/>
              </w:rPr>
            </w:pPr>
            <w:r>
              <w:rPr>
                <w:rFonts w:hint="eastAsia" w:ascii="仿宋" w:hAnsi="仿宋" w:eastAsia="仿宋" w:cs="仿宋"/>
                <w:sz w:val="24"/>
              </w:rPr>
              <w:t>■所投产品支持MPLS流量透传，并支持检测、防护MPLS流量中的安全威胁。（须提供相应截图）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所投产品必须支持手工指定、802.3ad协议等方式将多个物理口绑定为一个逻辑接口，实现接口级的冗余，并可根据：源目的MAC组合、MAC和IP组合或TCP/UDP端口组合等方式实现负载和备份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所投产品必须支持MTU≥9012byte的巨型帧通过设备传输时不分段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所投产品必须支持基于IP、应用、服务的策略路由进行智能选路，支持源地址目的地址哈希、源地址哈希、时延负载、最优链路带宽负载、最优链路带宽备份、跳数等不少于12种路由负载均衡方式。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所投产品必须支持支持静态路由、策略路由及动态路由。策略路由支持用户自定义其优先级，动态路由应至少支持RIP v1/v2/Ng， OSPFv2/v3，BGP4/4+协议；必须支持静态和动态多播路由，动态多播路由必须支持PIM-SM（稀疏模式）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所投产品必须支持不少于8条链路的ISP路由负载均衡，支持自定义链路负载权重，支持基于优先级的ISP路由链路备份；支持不少于4种的链路状态探测机制，实现失效链路快速切换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■所投产品支持SNAT、DNAT。支持在源地址转换过程中，对SNAT（源地址转换）使用的地址或地址池利用率进行监控，并在地址池利用率超过阈值时，通过SNMP Trap、邮件、声音、短信等方式告警。（须提供相应截图）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支持DDNS功能，支持Oray向日葵、PubyuN公云、Noip、ChaNgeip提供的DDNS服务，将动态获取的IP地址映射为固定的域名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所投产品必须支持基于源安全域、目的安全域、源用户、源地址、源地区、目的地址、目的地区、服务、应用、隧道、时间、VLAN等多种方式进行访问控制，并支持地理区域对象的导入以及重复策略的检查。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产品必须支持基于IP、用户、应用、时间的带宽管理规则，为精细化、细颗粒带宽管理提供至少5级带宽管理规则嵌套；支持设置每IP最大、最小带宽及带宽配额管理，可通过优先级实现多应用的差分服务，并支持对剩余带宽进行基于优先级的动态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■所投产品必须支持基于不同安全区域防御DNS Flood、HTTP Flood攻击，并支持警告、阻断、首包丢弃、TC反弹技术、NS重定向、自动重定向、手工确认等多种防护措施（投标文件必须提供能够体现上述功能及配置选项的截图）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所投产品应具备本地、云端双擎查杀能力，必须能够对HTTP/FTP/POP3/SMTP/IMAP/SMB六种协议进行病毒查杀，以及对至少6级压缩文件进行解压查杀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所投产品必须支持针对FTP、HTTP、IMAP、OTHER_APP、POP3、SMB、SMTP等应用协议的漏洞攻击防护功能，至少可防御缓冲区溢出、跨站脚本、拒绝服务、恶意扫描、SQL注入、WEB攻击等类型的攻击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产品应内置高质量漏洞攻击特征，应能够防御“永恒之蓝”、“震网三代”、“暗云3”、“Struts”、“Struts2”、“Xshell后门代码”等高危流行漏洞；漏洞特征应具备丰富的描述信息，至少包括对应的攻击的名称、CVEID、CNNVDID、严重性、影响的平台、类型、描述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产品必须默认配置4个虚系统，支持在虚系统内独立配置病毒防护、漏洞利用防护、间谍软件防护、URL过滤、文件过滤、内容过滤、邮件过滤、行为管控等安全功能。并可支持对本虚系统内产生的日志进行独立审计；（提供能够体现上述功能及配置选项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产品必须支持威胁情报联动，可基于主机或威胁情报维度统计网络中确认被入侵的主机数量，同时可记录主机被入侵、攻破的时间、威胁类别、情报来源、威胁简介、被入侵、攻破的主机IP、用户名、资产等信息；并对威胁情报发现的恶意主机执行自动阻断；并可在产品本地显示威胁情报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产品支持将特定用户、应用、URL分类标记为重点关注。支持单独呈现重点关注对象的流量、访问次数等统计信息。并可基于用户/IP地址、应用、URL分类执行筛选、关联式分析，快速挖掘异常用户及异常网络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所投设备必须提供关联分析面板，可将Top应用、Top威胁、Top URL分类、Top源地址、Top目的地址等信息在同一页面关联呈现，并支持以任意元素为过滤条件且不少于35个维度进行数据筛选、查询。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所投产品必须提供关联的威胁事件日志，系统可自动将产生威胁事件的连接经过防病毒、防漏洞、防间谍软件、URL过滤、文件过滤等安全模块检查的日志集中显示，并支持对全部类型的日志模糊或精确检索。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为快速、及时切断内网失陷主机与C&amp;C服务器的受控连接，所投产品必须支持一键阻断失陷主机通信，并可选择阻断处置的时间周期。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产品必须支持接收针对突发重大安全事件的“应急响应消息”，针对该消息可以选择“自动”或“手动”处理。至少在界面显示安全事件的名称、类型、当前防护状态、处置状态以及相应的操作等信息；并自动检测、呈现针对该事件的处置结果，提示导致处置未生效的错误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所投产品必须提供可明文或加密方式调用的Restful API，并可指定Restful API使用的本地端口；为确保设备管理的安全性，所投产品必须支持限制特定主机调用Restful API支持定义第三方设备、平台通过调用Restful API ，至少可配置所投设备的访问控制策略、源NAT策略、目的NAT策略、静态路由、高可用以及区域、地址、服务、时间、用户对象等功能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所投产品必须支持与云端联动，至少实现病毒云查杀、URL云识别、应用云识别、云沙箱、威胁情报云检测等功能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40" w:type="dxa"/>
            <w:vMerge w:val="continue"/>
            <w:vAlign w:val="center"/>
          </w:tcPr>
          <w:p>
            <w:pPr>
              <w:jc w:val="center"/>
              <w:rPr>
                <w:rFonts w:ascii="仿宋" w:hAnsi="仿宋" w:eastAsia="仿宋" w:cs="仿宋"/>
                <w:sz w:val="24"/>
              </w:rPr>
            </w:pPr>
          </w:p>
        </w:tc>
        <w:tc>
          <w:tcPr>
            <w:tcW w:w="8519" w:type="dxa"/>
            <w:vAlign w:val="center"/>
          </w:tcPr>
          <w:p>
            <w:pPr>
              <w:rPr>
                <w:rFonts w:ascii="仿宋" w:hAnsi="仿宋" w:eastAsia="仿宋" w:cs="仿宋"/>
                <w:sz w:val="24"/>
              </w:rPr>
            </w:pPr>
            <w:r>
              <w:rPr>
                <w:rFonts w:hint="eastAsia" w:ascii="仿宋" w:hAnsi="仿宋" w:eastAsia="仿宋" w:cs="仿宋"/>
                <w:sz w:val="24"/>
              </w:rPr>
              <w:t>所投产品必须支持与本方案中配置的桌面杀毒或终端管理软件联动，实现基于终端健康状态的访问控制；并支持阻断终端网络活动的同时，提示被阻断原因及重定向至自定义网址。；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40" w:type="dxa"/>
            <w:vAlign w:val="center"/>
          </w:tcPr>
          <w:p>
            <w:pPr>
              <w:jc w:val="center"/>
              <w:rPr>
                <w:rFonts w:ascii="仿宋" w:hAnsi="仿宋" w:eastAsia="仿宋" w:cs="仿宋"/>
                <w:sz w:val="24"/>
              </w:rPr>
            </w:pPr>
            <w:r>
              <w:rPr>
                <w:rFonts w:hint="eastAsia" w:ascii="仿宋" w:hAnsi="仿宋" w:eastAsia="仿宋" w:cs="仿宋"/>
                <w:sz w:val="24"/>
              </w:rPr>
              <w:t>服务及资质要求</w:t>
            </w:r>
          </w:p>
        </w:tc>
        <w:tc>
          <w:tcPr>
            <w:tcW w:w="8519" w:type="dxa"/>
            <w:vAlign w:val="center"/>
          </w:tcPr>
          <w:p>
            <w:pPr>
              <w:rPr>
                <w:rFonts w:ascii="仿宋" w:hAnsi="仿宋" w:eastAsia="仿宋" w:cs="仿宋"/>
                <w:sz w:val="24"/>
              </w:rPr>
            </w:pPr>
            <w:r>
              <w:rPr>
                <w:rFonts w:hint="eastAsia" w:ascii="仿宋" w:hAnsi="仿宋" w:eastAsia="仿宋" w:cs="仿宋"/>
                <w:sz w:val="24"/>
              </w:rPr>
              <w:t>所投产品应包含3病毒防护特征库、IPS规则库、流量监测模块</w:t>
            </w:r>
          </w:p>
          <w:p>
            <w:pPr>
              <w:rPr>
                <w:rFonts w:ascii="仿宋" w:hAnsi="仿宋" w:eastAsia="仿宋" w:cs="仿宋"/>
                <w:sz w:val="24"/>
              </w:rPr>
            </w:pPr>
            <w:r>
              <w:rPr>
                <w:rFonts w:hint="eastAsia" w:ascii="仿宋" w:hAnsi="仿宋" w:eastAsia="仿宋" w:cs="仿宋"/>
                <w:sz w:val="24"/>
              </w:rPr>
              <w:t>url，含三年硬件维保服务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40" w:type="dxa"/>
            <w:vAlign w:val="center"/>
          </w:tcPr>
          <w:p>
            <w:pPr>
              <w:jc w:val="center"/>
              <w:rPr>
                <w:rFonts w:ascii="仿宋" w:hAnsi="仿宋" w:eastAsia="仿宋" w:cs="仿宋"/>
                <w:sz w:val="24"/>
              </w:rPr>
            </w:pPr>
            <w:r>
              <w:rPr>
                <w:rFonts w:hint="eastAsia" w:ascii="仿宋" w:hAnsi="仿宋" w:eastAsia="仿宋" w:cs="仿宋"/>
                <w:sz w:val="24"/>
              </w:rPr>
              <w:t>服务</w:t>
            </w:r>
          </w:p>
        </w:tc>
        <w:tc>
          <w:tcPr>
            <w:tcW w:w="8519" w:type="dxa"/>
            <w:vAlign w:val="center"/>
          </w:tcPr>
          <w:p>
            <w:pPr>
              <w:rPr>
                <w:rFonts w:ascii="仿宋" w:hAnsi="仿宋" w:eastAsia="仿宋" w:cs="仿宋"/>
                <w:sz w:val="24"/>
              </w:rPr>
            </w:pPr>
            <w:r>
              <w:rPr>
                <w:rFonts w:hint="eastAsia" w:ascii="仿宋" w:hAnsi="仿宋" w:eastAsia="仿宋" w:cs="仿宋"/>
                <w:sz w:val="24"/>
              </w:rPr>
              <w:t>签订合同时提供原厂商质保服务承诺函及授权书。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40" w:type="dxa"/>
            <w:vAlign w:val="center"/>
          </w:tcPr>
          <w:p>
            <w:pPr>
              <w:jc w:val="center"/>
              <w:rPr>
                <w:rFonts w:ascii="仿宋" w:hAnsi="仿宋" w:eastAsia="仿宋" w:cs="仿宋"/>
                <w:sz w:val="24"/>
              </w:rPr>
            </w:pPr>
            <w:r>
              <w:rPr>
                <w:rFonts w:hint="eastAsia" w:ascii="仿宋" w:hAnsi="仿宋" w:eastAsia="仿宋" w:cs="仿宋"/>
                <w:sz w:val="24"/>
                <w:lang w:val="it-IT"/>
              </w:rPr>
              <w:t>产品测试</w:t>
            </w:r>
          </w:p>
        </w:tc>
        <w:tc>
          <w:tcPr>
            <w:tcW w:w="8519" w:type="dxa"/>
            <w:vAlign w:val="center"/>
          </w:tcPr>
          <w:p>
            <w:pPr>
              <w:rPr>
                <w:rFonts w:ascii="仿宋" w:hAnsi="仿宋" w:eastAsia="仿宋" w:cs="仿宋"/>
                <w:sz w:val="24"/>
              </w:rPr>
            </w:pPr>
            <w:r>
              <w:rPr>
                <w:rFonts w:hint="eastAsia" w:ascii="仿宋" w:hAnsi="仿宋" w:eastAsia="仿宋" w:cs="仿宋"/>
                <w:sz w:val="24"/>
                <w:lang w:val="it-IT"/>
              </w:rPr>
              <w:t>为防止投标方虚假应答技术指标，从而造成用户在实际使用设备过程中无法实现所需的功能，中标公示期间需要进行上述功能要求的逐一演示验证，全部通过后执行合同流程，在期间发现虚假应标的行为，则中标结果无效，并保留对预中标单位追究相关责任的权利。</w:t>
            </w:r>
          </w:p>
        </w:tc>
      </w:tr>
    </w:tbl>
    <w:p>
      <w:pPr>
        <w:pStyle w:val="3"/>
        <w:ind w:firstLine="0"/>
        <w:jc w:val="center"/>
        <w:rPr>
          <w:lang w:val="en-US"/>
        </w:rPr>
      </w:pPr>
    </w:p>
    <w:p>
      <w:pPr>
        <w:snapToGrid w:val="0"/>
        <w:spacing w:line="360" w:lineRule="auto"/>
        <w:rPr>
          <w:rFonts w:ascii="仿宋" w:hAnsi="仿宋" w:eastAsia="仿宋" w:cs="仿宋"/>
          <w:b/>
          <w:bCs/>
          <w:sz w:val="24"/>
        </w:rPr>
      </w:pPr>
      <w:r>
        <w:rPr>
          <w:rFonts w:hint="eastAsia" w:ascii="仿宋" w:hAnsi="仿宋" w:eastAsia="仿宋" w:cs="仿宋"/>
          <w:b/>
          <w:bCs/>
          <w:sz w:val="24"/>
        </w:rPr>
        <w:t>2、边界防火墙</w:t>
      </w:r>
      <w:r>
        <w:rPr>
          <w:rFonts w:hint="eastAsia" w:ascii="仿宋" w:hAnsi="仿宋" w:eastAsia="仿宋" w:cs="仿宋"/>
          <w:b/>
          <w:bCs/>
          <w:sz w:val="24"/>
          <w:lang w:eastAsia="zh-CN"/>
        </w:rPr>
        <w:t>（</w:t>
      </w:r>
      <w:r>
        <w:rPr>
          <w:rFonts w:hint="eastAsia" w:ascii="仿宋" w:hAnsi="仿宋" w:eastAsia="仿宋" w:cs="仿宋"/>
          <w:b/>
          <w:bCs/>
          <w:sz w:val="24"/>
          <w:lang w:val="en-US" w:eastAsia="zh-CN"/>
        </w:rPr>
        <w:t>核心产品</w:t>
      </w:r>
      <w:r>
        <w:rPr>
          <w:rFonts w:hint="eastAsia" w:ascii="仿宋" w:hAnsi="仿宋" w:eastAsia="仿宋" w:cs="仿宋"/>
          <w:b/>
          <w:bCs/>
          <w:sz w:val="24"/>
          <w:lang w:eastAsia="zh-CN"/>
        </w:rPr>
        <w:t>）</w:t>
      </w:r>
      <w:r>
        <w:rPr>
          <w:rFonts w:hint="eastAsia" w:ascii="仿宋" w:hAnsi="仿宋" w:eastAsia="仿宋" w:cs="仿宋"/>
          <w:b/>
          <w:bCs/>
          <w:sz w:val="24"/>
        </w:rPr>
        <w:t>：一台</w:t>
      </w:r>
    </w:p>
    <w:tbl>
      <w:tblPr>
        <w:tblStyle w:val="62"/>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251" w:type="dxa"/>
            <w:vAlign w:val="center"/>
          </w:tcPr>
          <w:p>
            <w:pPr>
              <w:jc w:val="center"/>
              <w:rPr>
                <w:rFonts w:ascii="仿宋" w:hAnsi="仿宋" w:eastAsia="仿宋" w:cs="仿宋"/>
                <w:sz w:val="24"/>
                <w:lang w:val="it-IT"/>
              </w:rPr>
            </w:pPr>
            <w:r>
              <w:rPr>
                <w:rFonts w:hint="eastAsia" w:ascii="仿宋" w:hAnsi="仿宋" w:eastAsia="仿宋" w:cs="仿宋"/>
                <w:sz w:val="24"/>
                <w:lang w:val="it-IT"/>
              </w:rPr>
              <w:t>技术指标</w:t>
            </w:r>
          </w:p>
        </w:tc>
        <w:tc>
          <w:tcPr>
            <w:tcW w:w="8528" w:type="dxa"/>
            <w:vAlign w:val="center"/>
          </w:tcPr>
          <w:p>
            <w:pPr>
              <w:jc w:val="center"/>
              <w:rPr>
                <w:rFonts w:ascii="仿宋" w:hAnsi="仿宋" w:eastAsia="仿宋" w:cs="仿宋"/>
                <w:sz w:val="24"/>
                <w:lang w:val="it-IT"/>
              </w:rPr>
            </w:pPr>
            <w:r>
              <w:rPr>
                <w:rFonts w:hint="eastAsia" w:ascii="仿宋" w:hAnsi="仿宋" w:eastAsia="仿宋" w:cs="仿宋"/>
                <w:sz w:val="24"/>
                <w:lang w:val="it-IT"/>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251" w:type="dxa"/>
            <w:vAlign w:val="center"/>
          </w:tcPr>
          <w:p>
            <w:pPr>
              <w:jc w:val="center"/>
              <w:rPr>
                <w:rFonts w:ascii="仿宋" w:hAnsi="仿宋" w:eastAsia="仿宋" w:cs="仿宋"/>
                <w:sz w:val="24"/>
                <w:lang w:val="it-IT"/>
              </w:rPr>
            </w:pPr>
            <w:r>
              <w:rPr>
                <w:rFonts w:hint="eastAsia" w:ascii="仿宋" w:hAnsi="仿宋" w:eastAsia="仿宋" w:cs="仿宋"/>
                <w:sz w:val="24"/>
                <w:lang w:val="it-IT"/>
              </w:rPr>
              <w:t>性能要求</w:t>
            </w:r>
          </w:p>
        </w:tc>
        <w:tc>
          <w:tcPr>
            <w:tcW w:w="8528" w:type="dxa"/>
          </w:tcPr>
          <w:p>
            <w:pPr>
              <w:rPr>
                <w:rFonts w:ascii="仿宋" w:hAnsi="仿宋" w:eastAsia="仿宋" w:cs="仿宋"/>
                <w:sz w:val="24"/>
                <w:lang w:val="it-IT"/>
              </w:rPr>
            </w:pPr>
            <w:r>
              <w:rPr>
                <w:rFonts w:hint="eastAsia" w:ascii="仿宋" w:hAnsi="仿宋" w:eastAsia="仿宋" w:cs="仿宋"/>
                <w:sz w:val="24"/>
                <w:lang w:val="it-IT"/>
              </w:rPr>
              <w:t>防火墙吞吐≥8Gbps，每秒新建连接数≥22万，并发连接数≥200万。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51" w:type="dxa"/>
            <w:vAlign w:val="center"/>
          </w:tcPr>
          <w:p>
            <w:pPr>
              <w:jc w:val="center"/>
              <w:rPr>
                <w:rFonts w:ascii="仿宋" w:hAnsi="仿宋" w:eastAsia="仿宋" w:cs="仿宋"/>
                <w:sz w:val="24"/>
                <w:lang w:val="it-IT"/>
              </w:rPr>
            </w:pPr>
            <w:r>
              <w:rPr>
                <w:rFonts w:hint="eastAsia" w:ascii="仿宋" w:hAnsi="仿宋" w:eastAsia="仿宋" w:cs="仿宋"/>
                <w:sz w:val="24"/>
                <w:lang w:val="it-IT"/>
              </w:rPr>
              <w:t>物理要求</w:t>
            </w:r>
          </w:p>
        </w:tc>
        <w:tc>
          <w:tcPr>
            <w:tcW w:w="8528" w:type="dxa"/>
          </w:tcPr>
          <w:p>
            <w:pPr>
              <w:rPr>
                <w:rFonts w:ascii="仿宋" w:hAnsi="仿宋" w:eastAsia="仿宋" w:cs="仿宋"/>
                <w:sz w:val="24"/>
                <w:lang w:val="it-IT"/>
              </w:rPr>
            </w:pPr>
            <w:r>
              <w:rPr>
                <w:rFonts w:hint="eastAsia" w:ascii="仿宋" w:hAnsi="仿宋" w:eastAsia="仿宋" w:cs="仿宋"/>
                <w:sz w:val="24"/>
                <w:lang w:val="it-IT"/>
              </w:rPr>
              <w:t>机箱高度2U，默认配置不少于6个千兆电口和6个千兆光口，1个Console口，支持液晶屏，配置冗余电源。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51"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功能要求</w:t>
            </w: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所投产品支持MPLS流量透传，并支持检测、防护MPLS流量中的安全威胁。（提供相应截图）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所投产品必须支持手工指定、802.3ad协议等方式将多个物理口绑定为一个逻辑接口，实现接口级的冗余，并可根据：源目的MAC组合、MAC和IP组合或TCP/UDP端口组合等方式实现负载和备份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所投产品必须支持MTU≥9012byte的巨型帧通过设备传输时不分段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所投产品必须支持基于IP、应用、服务的策略路由进行智能选路，支持源地址目的地址哈希、源地址哈希、时延负载、最优链路带宽负载、最优链路带宽备份、跳数等不少于12种路由负载均衡方式。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所投产品必须支持支持静态路由、策略路由及动态路由。策略路由支持用户自定义其优先级，动态路由应至少支持RIP v1/v2/Ng， OSPFv2/v3，BGP4/4+协议；必须支持静态和动态多播路由，动态多播路由必须支持PIM-SM（稀疏模式）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所投产品必须支持不少于8条链路的ISP路由负载均衡，支持自定义链路负载权重，支持基于优先级的ISP路由链路备份；支持不少于4种的链路状态探测机制，实现失效链路快速切换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■所投产品支持SNAT、DNAT。支持在源地址转换过程中，对SNAT（源地址转换）使用的地址或地址池利用率进行监控，并在地址池利用率超过阈值时，通过SNMP Trap、邮件、声音、短信等方式告警。（须提供相应截图）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支持DDNS功能，支持Oray向日葵、PubyuN公云、Noip、ChaNgeip提供的DDNS服务，将动态获取的IP地址映射为固定的域名（须提供相应截图）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所投产品必须支持基于源安全域、目的安全域、源用户、源地址、源地区、目的地址、目的地区、服务、应用、隧道、时间、VLAN等多种方式进行访问控制，并支持地理区域对象的导入以及重复策略的检查。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必须支持基于IP、用户、应用、时间的带宽管理规则，为精细化、细颗粒带宽管理提供至少5级带宽管理规则嵌套；支持设置每IP最大、最小带宽及带宽配额管理，可通过优先级实现多应用的差分服务，并支持对剩余带宽进行基于优先级的动态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■所投产品必须支持基于不同安全区域防御DNS Flood、HTTP Flood攻击，并支持警告、阻断、首包丢弃、TC反弹技术、NS重定向、自动重定向、手工确认等多种防护措施（投标文件需要提供能够体现上述功能及配置选项的截图）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■所投产品应具备本地、云端双擎查杀能力，必须能够对HTTP/FTP/POP3/SMTP/IMAP/SMB六种协议进行病毒查杀，以及对至少6级压缩文件进行解压查杀（投标文件需要提供能够体现上述功能及配置选项的截图）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所投产品必须支持针对FTP、HTTP、IMAP、OTHER_APP、POP3、SMB、SMTP等应用协议的漏洞攻击防护功能，至少可防御缓冲区溢出、跨站脚本、拒绝服务、恶意扫描、SQL注入、WEB攻击等类型的攻击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应内置高质量漏洞攻击特征，应能够防御“永恒之蓝”、“震网三代”、“暗云3”、“Struts”、“Struts2”、“Xshell后门代码”等高危流行漏洞；漏洞特征应具备丰富的描述信息，至少包括对应的攻击的名称、CVEID、CNNVDID、严重性、影响的平台、类型、描述等详细信息（需要提供设备包含上述所有高危漏洞攻击的特征及对应详细信息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必须默认配置4个虚系统，支持在虚系统内独立配置病毒防护、漏洞利用防护、间谍软件防护、URL过滤、文件过滤、内容过滤、邮件过滤、行为管控等安全功能。并可支持对本虚系统内产生的日志进行独立审计；（投标文件需要提供能够体现上述功能及配置选项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必须支持威胁情报联动，可基于主机或威胁情报维度统计网络中确认被入侵的主机数量，同时可记录主机被入侵、攻破的时间、威胁类别、情报来源、威胁简介、被入侵、攻破的主机IP、用户名、资产等信息；并对威胁情报发现的恶意主机执行自动阻断；并可在产品本地显示威胁情报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支持将特定用户、应用、URL分类标记为重点关注。支持单独呈现重点关注对象的流量、访问次数等统计信息。并可基于用户/IP地址、应用、URL分类执行筛选、关联式分析，快速挖掘异常用户及异常网络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所投设备必须提供关联分析面板，可将Top应用、Top威胁、Top URL分类、Top源地址、Top目的地址等信息在同一页面关联呈现，并支持以任意元素为过滤条件且不少于35个维度进行数据筛选、查询。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所投产品必须提供关联的威胁事件日志，系统可自动将产生威胁事件的连接经过防病毒、防漏洞、防间谍软件、URL过滤、文件过滤等安全模块检查的日志集中显示，并支持对全部类型的日志模糊或精确检索。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为快速、及时切断内网失陷主机与C&amp;C服务器的受控连接，所投产品必须支持一键阻断失陷主机通信，并可选择阻断处置的时间周期。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必须支持接收针对突发重大安全事件的“应急响应消息”，针对该消息可以选择“自动”或“手动”处理。至少在界面显示安全事件的名称、类型、当前防护状态、处置状态以及相应的操作等信息；并自动检测、呈现针对该事件的处置结果，提示导致处置未生效的错误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所投产品必须提供可明文或加密方式调用的Restful API，并可指定Restful API使用的本地端口；为确保设备管理的安全性，所投产品必须支持限制特定主机调用Restful API支持定义第三方设备、平台通过调用Restful API ，至少可配置所投设备的访问控制策略、源NAT策略、目的NAT策略、静态路由、高可用以及区域、地址、服务、时间、用户对象等功能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所投产品必须支持与云端联动，至少实现病毒云查杀、URL云识别、应用云识别、云沙箱、威胁情报云检测等功能（投标文件需提供能够体现上述功能及配置选项截图）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1" w:type="dxa"/>
            <w:vMerge w:val="continue"/>
            <w:vAlign w:val="center"/>
          </w:tcPr>
          <w:p>
            <w:pPr>
              <w:jc w:val="center"/>
              <w:rPr>
                <w:rFonts w:ascii="仿宋" w:hAnsi="仿宋" w:eastAsia="仿宋" w:cs="仿宋"/>
                <w:sz w:val="24"/>
                <w:lang w:val="it-IT"/>
              </w:rPr>
            </w:pP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所投产品必须支持与本方案中配置的桌面杀毒或终端管理软件联动，实现基于终端健康状态的访问控制；并支持阻断终端网络活动的同时，提示被阻断原因及重定向至自定义网址。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251" w:type="dxa"/>
            <w:vAlign w:val="center"/>
          </w:tcPr>
          <w:p>
            <w:pPr>
              <w:jc w:val="center"/>
              <w:rPr>
                <w:rFonts w:ascii="仿宋" w:hAnsi="仿宋" w:eastAsia="仿宋" w:cs="仿宋"/>
                <w:sz w:val="24"/>
                <w:lang w:val="it-IT"/>
              </w:rPr>
            </w:pPr>
            <w:r>
              <w:rPr>
                <w:rFonts w:hint="eastAsia" w:ascii="仿宋" w:hAnsi="仿宋" w:eastAsia="仿宋" w:cs="仿宋"/>
                <w:sz w:val="24"/>
                <w:lang w:val="it-IT"/>
              </w:rPr>
              <w:t>服务及资质要求</w:t>
            </w:r>
          </w:p>
        </w:tc>
        <w:tc>
          <w:tcPr>
            <w:tcW w:w="8528" w:type="dxa"/>
          </w:tcPr>
          <w:p>
            <w:pPr>
              <w:rPr>
                <w:rFonts w:ascii="仿宋" w:hAnsi="仿宋" w:eastAsia="仿宋" w:cs="仿宋"/>
                <w:sz w:val="24"/>
                <w:lang w:val="it-IT"/>
              </w:rPr>
            </w:pPr>
            <w:r>
              <w:rPr>
                <w:rFonts w:hint="eastAsia" w:ascii="仿宋" w:hAnsi="仿宋" w:eastAsia="仿宋" w:cs="仿宋"/>
                <w:sz w:val="24"/>
                <w:lang w:val="it-IT"/>
              </w:rPr>
              <w:t>所投产品应包含3病毒防护特征库，含三年硬件维保服务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251" w:type="dxa"/>
            <w:vAlign w:val="center"/>
          </w:tcPr>
          <w:p>
            <w:pPr>
              <w:jc w:val="center"/>
              <w:rPr>
                <w:rFonts w:ascii="仿宋" w:hAnsi="仿宋" w:eastAsia="仿宋" w:cs="仿宋"/>
                <w:sz w:val="24"/>
                <w:lang w:val="it-IT"/>
              </w:rPr>
            </w:pPr>
            <w:r>
              <w:rPr>
                <w:rFonts w:hint="eastAsia" w:ascii="仿宋" w:hAnsi="仿宋" w:eastAsia="仿宋" w:cs="仿宋"/>
                <w:sz w:val="24"/>
                <w:lang w:val="it-IT"/>
              </w:rPr>
              <w:t>服务</w:t>
            </w:r>
          </w:p>
        </w:tc>
        <w:tc>
          <w:tcPr>
            <w:tcW w:w="8528" w:type="dxa"/>
          </w:tcPr>
          <w:p>
            <w:pPr>
              <w:rPr>
                <w:rFonts w:ascii="仿宋" w:hAnsi="仿宋" w:eastAsia="仿宋" w:cs="仿宋"/>
                <w:sz w:val="24"/>
                <w:lang w:val="it-IT"/>
              </w:rPr>
            </w:pPr>
            <w:r>
              <w:rPr>
                <w:rFonts w:hint="eastAsia" w:ascii="仿宋" w:hAnsi="仿宋" w:eastAsia="仿宋" w:cs="仿宋"/>
                <w:sz w:val="24"/>
                <w:lang w:val="it-IT"/>
              </w:rPr>
              <w:t>签订合同时提供原厂商质保服务承诺函及授权书。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51" w:type="dxa"/>
            <w:vAlign w:val="center"/>
          </w:tcPr>
          <w:p>
            <w:pPr>
              <w:jc w:val="center"/>
              <w:rPr>
                <w:rFonts w:ascii="仿宋" w:hAnsi="仿宋" w:eastAsia="仿宋" w:cs="仿宋"/>
                <w:sz w:val="24"/>
                <w:lang w:val="it-IT"/>
              </w:rPr>
            </w:pPr>
            <w:r>
              <w:rPr>
                <w:rFonts w:hint="eastAsia" w:ascii="仿宋" w:hAnsi="仿宋" w:eastAsia="仿宋" w:cs="仿宋"/>
                <w:sz w:val="24"/>
                <w:lang w:val="it-IT"/>
              </w:rPr>
              <w:t>产品测试</w:t>
            </w:r>
          </w:p>
        </w:tc>
        <w:tc>
          <w:tcPr>
            <w:tcW w:w="8528" w:type="dxa"/>
          </w:tcPr>
          <w:p>
            <w:pPr>
              <w:rPr>
                <w:rFonts w:ascii="仿宋" w:hAnsi="仿宋" w:eastAsia="仿宋" w:cs="仿宋"/>
                <w:sz w:val="24"/>
                <w:lang w:val="it-IT"/>
              </w:rPr>
            </w:pPr>
            <w:r>
              <w:rPr>
                <w:rFonts w:hint="eastAsia" w:ascii="仿宋" w:hAnsi="仿宋" w:eastAsia="仿宋" w:cs="仿宋"/>
                <w:sz w:val="24"/>
                <w:lang w:val="it-IT"/>
              </w:rPr>
              <w:t>为防止投标方虚假应答技术指标，从而造成用户在实际使用设备过程中无法实现所需的功能，中标公示期间需要进行上述功能要求的逐一演示验证，全部通过后执行合同流程，在期间发现虚假应标的行为，则中标结果无效，并保留对预中标单位追究相关责任的权利。</w:t>
            </w:r>
          </w:p>
        </w:tc>
      </w:tr>
    </w:tbl>
    <w:p>
      <w:pPr>
        <w:pStyle w:val="3"/>
        <w:ind w:firstLine="0"/>
        <w:jc w:val="center"/>
        <w:rPr>
          <w:lang w:val="en-US"/>
        </w:rPr>
      </w:pPr>
    </w:p>
    <w:p>
      <w:pPr>
        <w:snapToGrid w:val="0"/>
        <w:spacing w:line="360" w:lineRule="auto"/>
        <w:rPr>
          <w:rFonts w:ascii="仿宋" w:hAnsi="仿宋" w:eastAsia="仿宋" w:cs="仿宋"/>
          <w:b/>
          <w:bCs/>
          <w:sz w:val="24"/>
        </w:rPr>
      </w:pPr>
      <w:r>
        <w:rPr>
          <w:rFonts w:hint="eastAsia" w:ascii="仿宋" w:hAnsi="仿宋" w:eastAsia="仿宋" w:cs="仿宋"/>
          <w:b/>
          <w:bCs/>
          <w:sz w:val="24"/>
        </w:rPr>
        <w:t>3、内外网数据互通网闸：一台</w:t>
      </w:r>
    </w:p>
    <w:tbl>
      <w:tblPr>
        <w:tblStyle w:val="629"/>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305"/>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54" w:type="dxa"/>
            <w:vAlign w:val="center"/>
          </w:tcPr>
          <w:p>
            <w:pPr>
              <w:jc w:val="center"/>
              <w:rPr>
                <w:rFonts w:ascii="仿宋" w:hAnsi="仿宋" w:eastAsia="仿宋" w:cs="仿宋"/>
                <w:sz w:val="24"/>
                <w:lang w:val="it-IT"/>
              </w:rPr>
            </w:pPr>
            <w:r>
              <w:rPr>
                <w:rFonts w:hint="eastAsia" w:ascii="仿宋" w:hAnsi="仿宋" w:eastAsia="仿宋" w:cs="仿宋"/>
                <w:sz w:val="24"/>
                <w:lang w:val="it-IT"/>
              </w:rPr>
              <w:t>性能指标</w:t>
            </w: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性能</w:t>
            </w:r>
          </w:p>
        </w:tc>
        <w:tc>
          <w:tcPr>
            <w:tcW w:w="7232" w:type="dxa"/>
          </w:tcPr>
          <w:p>
            <w:pPr>
              <w:rPr>
                <w:rFonts w:ascii="仿宋" w:hAnsi="仿宋" w:eastAsia="仿宋" w:cs="仿宋"/>
                <w:sz w:val="24"/>
                <w:lang w:val="it-IT"/>
              </w:rPr>
            </w:pPr>
            <w:r>
              <w:rPr>
                <w:rFonts w:hint="eastAsia" w:ascii="仿宋" w:hAnsi="仿宋" w:eastAsia="仿宋" w:cs="仿宋"/>
                <w:sz w:val="24"/>
                <w:lang w:val="it-IT"/>
              </w:rPr>
              <w:t>应用层系统吞吐≥500Mbps，传输延时≤2ms;稳定性运行时间(MTBF)≥50000小时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硬件规格</w:t>
            </w: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接口要求</w:t>
            </w:r>
          </w:p>
        </w:tc>
        <w:tc>
          <w:tcPr>
            <w:tcW w:w="7232" w:type="dxa"/>
          </w:tcPr>
          <w:p>
            <w:pPr>
              <w:rPr>
                <w:rFonts w:ascii="仿宋" w:hAnsi="仿宋" w:eastAsia="仿宋" w:cs="仿宋"/>
                <w:sz w:val="24"/>
                <w:lang w:val="it-IT"/>
              </w:rPr>
            </w:pPr>
            <w:r>
              <w:rPr>
                <w:rFonts w:hint="eastAsia" w:ascii="仿宋" w:hAnsi="仿宋" w:eastAsia="仿宋" w:cs="仿宋"/>
                <w:sz w:val="24"/>
                <w:lang w:val="it-IT"/>
              </w:rPr>
              <w:t>2U机箱，冗余电源</w:t>
            </w:r>
          </w:p>
          <w:p>
            <w:pPr>
              <w:rPr>
                <w:rFonts w:ascii="仿宋" w:hAnsi="仿宋" w:eastAsia="仿宋" w:cs="仿宋"/>
                <w:sz w:val="24"/>
                <w:lang w:val="it-IT"/>
              </w:rPr>
            </w:pPr>
            <w:r>
              <w:rPr>
                <w:rFonts w:hint="eastAsia" w:ascii="仿宋" w:hAnsi="仿宋" w:eastAsia="仿宋" w:cs="仿宋"/>
                <w:sz w:val="24"/>
                <w:lang w:val="it-IT"/>
              </w:rPr>
              <w:t xml:space="preserve">内网≥4个10/100/1000Base-T端口，≥1个Console口，≥2个USB口； </w:t>
            </w:r>
          </w:p>
          <w:p>
            <w:pPr>
              <w:rPr>
                <w:rFonts w:ascii="仿宋" w:hAnsi="仿宋" w:eastAsia="仿宋" w:cs="仿宋"/>
                <w:sz w:val="24"/>
                <w:lang w:val="it-IT"/>
              </w:rPr>
            </w:pPr>
            <w:r>
              <w:rPr>
                <w:rFonts w:hint="eastAsia" w:ascii="仿宋" w:hAnsi="仿宋" w:eastAsia="仿宋" w:cs="仿宋"/>
                <w:sz w:val="24"/>
                <w:lang w:val="it-IT"/>
              </w:rPr>
              <w:t>外网≥4个10/100/1000Base-T端口，≥1个Console口，≥2个USB口；2个管理口；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液晶屏</w:t>
            </w:r>
          </w:p>
        </w:tc>
        <w:tc>
          <w:tcPr>
            <w:tcW w:w="7232" w:type="dxa"/>
          </w:tcPr>
          <w:p>
            <w:pPr>
              <w:rPr>
                <w:rFonts w:ascii="仿宋" w:hAnsi="仿宋" w:eastAsia="仿宋" w:cs="仿宋"/>
                <w:sz w:val="24"/>
                <w:lang w:val="it-IT"/>
              </w:rPr>
            </w:pPr>
            <w:r>
              <w:rPr>
                <w:rFonts w:hint="eastAsia" w:ascii="仿宋" w:hAnsi="仿宋" w:eastAsia="仿宋" w:cs="仿宋"/>
                <w:sz w:val="24"/>
                <w:lang w:val="it-IT"/>
              </w:rPr>
              <w:t>■内、外网主机分别具有独立液晶屏，能够显示产品品牌、型号、CPU/内存占用率、网络接口状态等信息（提供证明截图）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4"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产品架构</w:t>
            </w:r>
          </w:p>
        </w:tc>
        <w:tc>
          <w:tcPr>
            <w:tcW w:w="1305"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硬件架构</w:t>
            </w:r>
          </w:p>
        </w:tc>
        <w:tc>
          <w:tcPr>
            <w:tcW w:w="7232" w:type="dxa"/>
          </w:tcPr>
          <w:p>
            <w:pPr>
              <w:rPr>
                <w:rFonts w:ascii="仿宋" w:hAnsi="仿宋" w:eastAsia="仿宋" w:cs="仿宋"/>
                <w:sz w:val="24"/>
                <w:lang w:val="it-IT"/>
              </w:rPr>
            </w:pPr>
            <w:r>
              <w:rPr>
                <w:rFonts w:hint="eastAsia" w:ascii="仿宋" w:hAnsi="仿宋" w:eastAsia="仿宋" w:cs="仿宋"/>
                <w:sz w:val="24"/>
                <w:lang w:val="it-IT"/>
              </w:rPr>
              <w:t>采用“2+1”模块结构设计，即包括外网主机模块、内网主机模块和隔离交换模块，内外端机为网络协议终点，彻底阻断各种网络协议；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■支持双系统冗余架构，可通过WEB页面进行主备系统切换，当主系统发生故障或需要升级时可切换至备系统进行工作（提供产品功能截图）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54"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功能模块</w:t>
            </w:r>
          </w:p>
        </w:tc>
        <w:tc>
          <w:tcPr>
            <w:tcW w:w="1305"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安全管理</w:t>
            </w:r>
          </w:p>
        </w:tc>
        <w:tc>
          <w:tcPr>
            <w:tcW w:w="7232" w:type="dxa"/>
          </w:tcPr>
          <w:p>
            <w:pPr>
              <w:rPr>
                <w:rFonts w:ascii="仿宋" w:hAnsi="仿宋" w:eastAsia="仿宋" w:cs="仿宋"/>
                <w:sz w:val="24"/>
                <w:lang w:val="it-IT"/>
              </w:rPr>
            </w:pPr>
            <w:r>
              <w:rPr>
                <w:rFonts w:hint="eastAsia" w:ascii="仿宋" w:hAnsi="仿宋" w:eastAsia="仿宋" w:cs="仿宋"/>
                <w:sz w:val="24"/>
                <w:lang w:val="it-IT"/>
              </w:rPr>
              <w:t>支持IPV4/IPV6双栈接入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系统管理员具备多种认证方式：支持用户名/口令、Radius、LDAP、浏览器证书、U-KEY等多种认证管理方式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便捷运维</w:t>
            </w:r>
          </w:p>
        </w:tc>
        <w:tc>
          <w:tcPr>
            <w:tcW w:w="7232" w:type="dxa"/>
          </w:tcPr>
          <w:p>
            <w:pPr>
              <w:rPr>
                <w:rFonts w:ascii="仿宋" w:hAnsi="仿宋" w:eastAsia="仿宋" w:cs="仿宋"/>
                <w:sz w:val="24"/>
                <w:lang w:val="it-IT"/>
              </w:rPr>
            </w:pPr>
            <w:r>
              <w:rPr>
                <w:rFonts w:hint="eastAsia" w:ascii="仿宋" w:hAnsi="仿宋" w:eastAsia="仿宋" w:cs="仿宋"/>
                <w:sz w:val="24"/>
                <w:lang w:val="it-IT"/>
              </w:rPr>
              <w:t>■具备配置智能备份功能，可灵活设置备份周期，备份个数，为节省磁盘空间占用，当配置无变化时，不进行重复备份（提供产品功能截图）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 xml:space="preserve">系统内置调试工具，包括但不限于：trace、connect、tcpdump、ping、arp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在首页可直观展现出当前系统实时CPU使用情况、硬盘使用情况、TCP连接数、UDP连接数，同时可直观呈现当前应用CPU、内存 top5排名（提供产品截图）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文件交换</w:t>
            </w:r>
          </w:p>
        </w:tc>
        <w:tc>
          <w:tcPr>
            <w:tcW w:w="7232" w:type="dxa"/>
          </w:tcPr>
          <w:p>
            <w:pPr>
              <w:rPr>
                <w:rFonts w:ascii="仿宋" w:hAnsi="仿宋" w:eastAsia="仿宋" w:cs="仿宋"/>
                <w:sz w:val="24"/>
                <w:lang w:val="it-IT"/>
              </w:rPr>
            </w:pPr>
            <w:r>
              <w:rPr>
                <w:rFonts w:hint="eastAsia" w:ascii="仿宋" w:hAnsi="仿宋" w:eastAsia="仿宋" w:cs="仿宋"/>
                <w:sz w:val="24"/>
                <w:lang w:val="it-IT"/>
              </w:rPr>
              <w:t>文件同步支持FTP、SFTP、SMB、NFS等协议，同时可设置服务器加密方式，服务器编码方式等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■文件交换可灵活设置文件传输方向，同时工作模式支持源端移动、源端删除、增量更新、完全复制、延迟删除等多种模式。(提供证明截图)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重名策略，接收端端支持对重名文件的控制策略，提供“重试”、“跳过”、“重命名”“覆盖”等策略，可指定重命名前缀、后缀、暂存等；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具备文件断点续传，同时支持文件并发数量设置，大幅度提升文件传输性能，充分利用硬件资源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文件传输具备文件名过滤、文件类型过滤、文件内容过滤、文档重建、病毒过滤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支持文件重构技术，可自动剔除文件中夹带的危险程序，可执行代码等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文件交换支持传送优先级，可根据文件大小、新旧、文件名、后缀、缓时传输等多种方式进行优先级排序传输(提供证明截图)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支持文件制定文件前缀、后缀、文件名暂缓传输，同时具备文件未传输完成时，增加文件指定前缀、后缀，传输完成以后自动删除该前后缀，以此来判断文件文件完整性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支持实时监控文件同步进度、当前同步文件大小、已传输大小、花费时长、同步速率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支持文件同步记录统计，可以按照任务号分别统计源端文件数量、源端文件大小、发送文件数量、发送文件大小、接收文件数量、累计接收大小，可按照图表或者饼图进行呈现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用户也可自行上传文件生成特征过滤，过滤文件特征类型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数据库同步</w:t>
            </w:r>
          </w:p>
        </w:tc>
        <w:tc>
          <w:tcPr>
            <w:tcW w:w="7232" w:type="dxa"/>
          </w:tcPr>
          <w:p>
            <w:pPr>
              <w:rPr>
                <w:rFonts w:ascii="仿宋" w:hAnsi="仿宋" w:eastAsia="仿宋" w:cs="仿宋"/>
                <w:sz w:val="24"/>
                <w:lang w:val="it-IT"/>
              </w:rPr>
            </w:pPr>
            <w:r>
              <w:rPr>
                <w:rFonts w:hint="eastAsia" w:ascii="仿宋" w:hAnsi="仿宋" w:eastAsia="仿宋" w:cs="仿宋"/>
                <w:sz w:val="24"/>
                <w:lang w:val="it-IT"/>
              </w:rPr>
              <w:t>■数据库同步支持无客户端方式同步，无客户端方式同步由网闸主动发起并完成，不需要第三方软件支持（无需在数据库安全任何第三方软件，可以在网闸系统上完成数据库同步配置）(提供证明截图)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数据库同步可指定资源使用情况，按照任务优先级进行资源分配，可灵活设置一个或者一组任务所使用最小内存、最大内容等资源情况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支持MySQL、ORACLE、ORACLE_RAC、SQLServer、DB2、SYBASE、POSTGRESQL等常见数据库，支持神通、达梦、人大金仓、南大通用等国产数据库同步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 xml:space="preserve">支持数据库同步线程数配置，提升数据库同步性能；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支持数据库中表字段过滤，可在策略中心进行策略设置，然后在表字段直接进行引用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支持一对一、一对多、多对一数据库同步；支持异构数据库同步，实现不同表结构和不同数据库类型之间的转化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支持同步冲突策略，可自定义覆盖、丢弃冲突策略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邮件访问</w:t>
            </w:r>
          </w:p>
        </w:tc>
        <w:tc>
          <w:tcPr>
            <w:tcW w:w="7232" w:type="dxa"/>
          </w:tcPr>
          <w:p>
            <w:pPr>
              <w:rPr>
                <w:rFonts w:ascii="仿宋" w:hAnsi="仿宋" w:eastAsia="仿宋" w:cs="仿宋"/>
                <w:sz w:val="24"/>
                <w:lang w:val="it-IT"/>
              </w:rPr>
            </w:pPr>
            <w:r>
              <w:rPr>
                <w:rFonts w:hint="eastAsia" w:ascii="仿宋" w:hAnsi="仿宋" w:eastAsia="仿宋" w:cs="仿宋"/>
                <w:sz w:val="24"/>
                <w:lang w:val="it-IT"/>
              </w:rPr>
              <w:t>支持SMTP、POP3、IMAP通用协议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支持对附件及其附件类型进行过滤控制，邮件内容过滤、文档重建、病毒过滤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数据库访问</w:t>
            </w:r>
          </w:p>
        </w:tc>
        <w:tc>
          <w:tcPr>
            <w:tcW w:w="7232" w:type="dxa"/>
          </w:tcPr>
          <w:p>
            <w:pPr>
              <w:rPr>
                <w:rFonts w:ascii="仿宋" w:hAnsi="仿宋" w:eastAsia="仿宋" w:cs="仿宋"/>
                <w:sz w:val="24"/>
                <w:lang w:val="it-IT"/>
              </w:rPr>
            </w:pPr>
            <w:r>
              <w:rPr>
                <w:rFonts w:hint="eastAsia" w:ascii="仿宋" w:hAnsi="仿宋" w:eastAsia="仿宋" w:cs="仿宋"/>
                <w:sz w:val="24"/>
                <w:lang w:val="it-IT"/>
              </w:rPr>
              <w:t>支持MySQL、ORACLE、SQLServer、DB2、SYBASE、POSTGRESQL、达梦、神通、人大金仓等数据库的访问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支持数据库访问用户名过滤、数据库名、表控制等策略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数据库库名控制、数据库表控制，可以根据用户与数据库表对应关系，进行相应数据库操作过滤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安全FTP</w:t>
            </w:r>
          </w:p>
        </w:tc>
        <w:tc>
          <w:tcPr>
            <w:tcW w:w="7232" w:type="dxa"/>
          </w:tcPr>
          <w:p>
            <w:pPr>
              <w:rPr>
                <w:rFonts w:ascii="仿宋" w:hAnsi="仿宋" w:eastAsia="仿宋" w:cs="仿宋"/>
                <w:sz w:val="24"/>
                <w:lang w:val="it-IT"/>
              </w:rPr>
            </w:pPr>
            <w:r>
              <w:rPr>
                <w:rFonts w:hint="eastAsia" w:ascii="仿宋" w:hAnsi="仿宋" w:eastAsia="仿宋" w:cs="仿宋"/>
                <w:sz w:val="24"/>
                <w:lang w:val="it-IT"/>
              </w:rPr>
              <w:t>■安全FTP支持最大并发连接数、单个IP最大并发数设置，灵活限制数据通道是否在1024以下端口使用（提供证明截图）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安全FTP模块支持病毒扫描文件大小限制、文件类型大小限制、关键字过滤文件大小限制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支持FTP用户在线情况查看，包含但不限于用户地址、登陆日期、登陆时间等信息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54"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安全浏览</w:t>
            </w:r>
          </w:p>
        </w:tc>
        <w:tc>
          <w:tcPr>
            <w:tcW w:w="7232" w:type="dxa"/>
            <w:noWrap/>
          </w:tcPr>
          <w:p>
            <w:pPr>
              <w:rPr>
                <w:rFonts w:ascii="仿宋" w:hAnsi="仿宋" w:eastAsia="仿宋" w:cs="仿宋"/>
                <w:sz w:val="24"/>
                <w:lang w:val="it-IT"/>
              </w:rPr>
            </w:pPr>
            <w:r>
              <w:rPr>
                <w:rFonts w:hint="eastAsia" w:ascii="仿宋" w:hAnsi="仿宋" w:eastAsia="仿宋" w:cs="仿宋"/>
                <w:sz w:val="24"/>
                <w:lang w:val="it-IT"/>
              </w:rPr>
              <w:t>安全浏览支持域名控制、源端控制、URL过滤、命令过滤、文件大小限制、用户认证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TCP/UDP访问</w:t>
            </w:r>
          </w:p>
        </w:tc>
        <w:tc>
          <w:tcPr>
            <w:tcW w:w="7232" w:type="dxa"/>
          </w:tcPr>
          <w:p>
            <w:pPr>
              <w:rPr>
                <w:rFonts w:ascii="仿宋" w:hAnsi="仿宋" w:eastAsia="仿宋" w:cs="仿宋"/>
                <w:sz w:val="24"/>
                <w:lang w:val="it-IT"/>
              </w:rPr>
            </w:pPr>
            <w:r>
              <w:rPr>
                <w:rFonts w:hint="eastAsia" w:ascii="仿宋" w:hAnsi="仿宋" w:eastAsia="仿宋" w:cs="仿宋"/>
                <w:sz w:val="24"/>
                <w:lang w:val="it-IT"/>
              </w:rPr>
              <w:t>支持TCP、UDP定制服务；支持源地址绑定、网络接口地址绑定功能</w:t>
            </w:r>
            <w:r>
              <w:rPr>
                <w:rFonts w:hint="eastAsia" w:ascii="仿宋" w:hAnsi="仿宋" w:eastAsia="仿宋" w:cs="仿宋"/>
                <w:sz w:val="24"/>
                <w:lang w:val="it-IT"/>
              </w:rPr>
              <w:br w:type="textWrapping"/>
            </w:r>
            <w:r>
              <w:rPr>
                <w:rFonts w:hint="eastAsia" w:ascii="仿宋" w:hAnsi="仿宋" w:eastAsia="仿宋" w:cs="仿宋"/>
                <w:sz w:val="24"/>
                <w:lang w:val="it-IT"/>
              </w:rPr>
              <w:t>支持源地址、源端口、目的地址、目的端口过滤功能、任务运行时间控制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支持TCP、UDP业务数据统计，可按照秒、分钟展示发送速率、接受速率、连接数，并且可按照图表进行展示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54"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工控模块</w:t>
            </w:r>
          </w:p>
        </w:tc>
        <w:tc>
          <w:tcPr>
            <w:tcW w:w="7232" w:type="dxa"/>
          </w:tcPr>
          <w:p>
            <w:pPr>
              <w:rPr>
                <w:rFonts w:ascii="仿宋" w:hAnsi="仿宋" w:eastAsia="仿宋" w:cs="仿宋"/>
                <w:sz w:val="24"/>
                <w:lang w:val="it-IT"/>
              </w:rPr>
            </w:pPr>
            <w:r>
              <w:rPr>
                <w:rFonts w:hint="eastAsia" w:ascii="仿宋" w:hAnsi="仿宋" w:eastAsia="仿宋" w:cs="仿宋"/>
                <w:sz w:val="24"/>
                <w:lang w:val="it-IT"/>
              </w:rPr>
              <w:t>支持工业SCADA网络OPC协议、MODBUS协议、IEC104协议等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54"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视频模块</w:t>
            </w:r>
          </w:p>
        </w:tc>
        <w:tc>
          <w:tcPr>
            <w:tcW w:w="7232" w:type="dxa"/>
          </w:tcPr>
          <w:p>
            <w:pPr>
              <w:rPr>
                <w:rFonts w:ascii="仿宋" w:hAnsi="仿宋" w:eastAsia="仿宋" w:cs="仿宋"/>
                <w:sz w:val="24"/>
                <w:lang w:val="it-IT"/>
              </w:rPr>
            </w:pPr>
            <w:r>
              <w:rPr>
                <w:rFonts w:hint="eastAsia" w:ascii="仿宋" w:hAnsi="仿宋" w:eastAsia="仿宋" w:cs="仿宋"/>
                <w:sz w:val="24"/>
                <w:lang w:val="it-IT"/>
              </w:rPr>
              <w:t>支持28181、DB33标准、具备终端模式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SSL通道</w:t>
            </w:r>
          </w:p>
        </w:tc>
        <w:tc>
          <w:tcPr>
            <w:tcW w:w="7232" w:type="dxa"/>
          </w:tcPr>
          <w:p>
            <w:pPr>
              <w:rPr>
                <w:rFonts w:ascii="仿宋" w:hAnsi="仿宋" w:eastAsia="仿宋" w:cs="仿宋"/>
                <w:sz w:val="24"/>
                <w:lang w:val="it-IT"/>
              </w:rPr>
            </w:pPr>
            <w:r>
              <w:rPr>
                <w:rFonts w:hint="eastAsia" w:ascii="仿宋" w:hAnsi="仿宋" w:eastAsia="仿宋" w:cs="仿宋"/>
                <w:sz w:val="24"/>
                <w:lang w:val="it-IT"/>
              </w:rPr>
              <w:t>支持SSL隧道访问模式，通过网闸实现访问客户端认证、授权及访问链路加密，保证客户端访问合法性及访问链路的安全性。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54"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安全审计</w:t>
            </w:r>
          </w:p>
        </w:tc>
        <w:tc>
          <w:tcPr>
            <w:tcW w:w="1305"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日志审计</w:t>
            </w:r>
          </w:p>
        </w:tc>
        <w:tc>
          <w:tcPr>
            <w:tcW w:w="7232" w:type="dxa"/>
          </w:tcPr>
          <w:p>
            <w:pPr>
              <w:rPr>
                <w:rFonts w:ascii="仿宋" w:hAnsi="仿宋" w:eastAsia="仿宋" w:cs="仿宋"/>
                <w:sz w:val="24"/>
                <w:lang w:val="it-IT"/>
              </w:rPr>
            </w:pPr>
            <w:r>
              <w:rPr>
                <w:rFonts w:hint="eastAsia" w:ascii="仿宋" w:hAnsi="仿宋" w:eastAsia="仿宋" w:cs="仿宋"/>
                <w:sz w:val="24"/>
                <w:lang w:val="it-IT"/>
              </w:rPr>
              <w:t>具有auditor账号组，该组内用户登录以后，只可以查看日志相关内容，日志具备外发功能，可通过SYSLOG外发、NAS存储等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54"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32" w:type="dxa"/>
          </w:tcPr>
          <w:p>
            <w:pPr>
              <w:rPr>
                <w:rFonts w:ascii="仿宋" w:hAnsi="仿宋" w:eastAsia="仿宋" w:cs="仿宋"/>
                <w:sz w:val="24"/>
                <w:lang w:val="it-IT"/>
              </w:rPr>
            </w:pPr>
            <w:r>
              <w:rPr>
                <w:rFonts w:hint="eastAsia" w:ascii="仿宋" w:hAnsi="仿宋" w:eastAsia="仿宋" w:cs="仿宋"/>
                <w:sz w:val="24"/>
                <w:lang w:val="it-IT"/>
              </w:rPr>
              <w:t>支持安全审计能力，可通过自定义时间、任务名称 、文件名称、文件类型、文件大小类型、源目的文件路径、源目IP等详细字段追溯业务数据流向，可自定义配置查询条件，查询条件策略可以自定义设置；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54"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告警中心</w:t>
            </w:r>
          </w:p>
        </w:tc>
        <w:tc>
          <w:tcPr>
            <w:tcW w:w="7232" w:type="dxa"/>
          </w:tcPr>
          <w:p>
            <w:pPr>
              <w:rPr>
                <w:rFonts w:ascii="仿宋" w:hAnsi="仿宋" w:eastAsia="仿宋" w:cs="仿宋"/>
                <w:sz w:val="24"/>
                <w:lang w:val="it-IT"/>
              </w:rPr>
            </w:pPr>
            <w:r>
              <w:rPr>
                <w:rFonts w:hint="eastAsia" w:ascii="仿宋" w:hAnsi="仿宋" w:eastAsia="仿宋" w:cs="仿宋"/>
                <w:sz w:val="24"/>
                <w:lang w:val="it-IT"/>
              </w:rPr>
              <w:t>支持按照功能模块，灵活开启告警功能，支持邮件告警、日志告警、SNMP等告警方式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gridSpan w:val="2"/>
            <w:vAlign w:val="center"/>
          </w:tcPr>
          <w:p>
            <w:pPr>
              <w:jc w:val="center"/>
              <w:rPr>
                <w:rFonts w:ascii="仿宋" w:hAnsi="仿宋" w:eastAsia="仿宋" w:cs="仿宋"/>
                <w:sz w:val="24"/>
                <w:lang w:val="it-IT"/>
              </w:rPr>
            </w:pPr>
            <w:r>
              <w:rPr>
                <w:rFonts w:hint="eastAsia" w:ascii="仿宋" w:hAnsi="仿宋" w:eastAsia="仿宋" w:cs="仿宋"/>
                <w:sz w:val="24"/>
                <w:lang w:val="it-IT"/>
              </w:rPr>
              <w:t>服务</w:t>
            </w:r>
          </w:p>
        </w:tc>
        <w:tc>
          <w:tcPr>
            <w:tcW w:w="7232" w:type="dxa"/>
          </w:tcPr>
          <w:p>
            <w:pPr>
              <w:rPr>
                <w:rFonts w:ascii="仿宋" w:hAnsi="仿宋" w:eastAsia="仿宋" w:cs="仿宋"/>
                <w:sz w:val="24"/>
                <w:lang w:val="it-IT"/>
              </w:rPr>
            </w:pPr>
            <w:r>
              <w:rPr>
                <w:rFonts w:hint="eastAsia" w:ascii="仿宋" w:hAnsi="仿宋" w:eastAsia="仿宋" w:cs="仿宋"/>
                <w:sz w:val="24"/>
                <w:lang w:val="it-IT"/>
              </w:rPr>
              <w:t>签订合同时提供原厂商质保服务承诺函及授权书。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59" w:type="dxa"/>
            <w:gridSpan w:val="2"/>
            <w:vAlign w:val="center"/>
          </w:tcPr>
          <w:p>
            <w:pPr>
              <w:jc w:val="center"/>
              <w:rPr>
                <w:rFonts w:ascii="仿宋" w:hAnsi="仿宋" w:eastAsia="仿宋" w:cs="仿宋"/>
                <w:sz w:val="24"/>
                <w:lang w:val="it-IT"/>
              </w:rPr>
            </w:pPr>
            <w:r>
              <w:rPr>
                <w:rFonts w:hint="eastAsia" w:ascii="仿宋" w:hAnsi="仿宋" w:eastAsia="仿宋" w:cs="仿宋"/>
                <w:sz w:val="24"/>
                <w:lang w:val="it-IT"/>
              </w:rPr>
              <w:t>产品测试</w:t>
            </w:r>
          </w:p>
        </w:tc>
        <w:tc>
          <w:tcPr>
            <w:tcW w:w="7232" w:type="dxa"/>
          </w:tcPr>
          <w:p>
            <w:pPr>
              <w:rPr>
                <w:rFonts w:ascii="仿宋" w:hAnsi="仿宋" w:eastAsia="仿宋" w:cs="仿宋"/>
                <w:sz w:val="24"/>
                <w:lang w:val="it-IT"/>
              </w:rPr>
            </w:pPr>
            <w:r>
              <w:rPr>
                <w:rFonts w:hint="eastAsia" w:ascii="仿宋" w:hAnsi="仿宋" w:eastAsia="仿宋" w:cs="仿宋"/>
                <w:sz w:val="24"/>
                <w:lang w:val="it-IT"/>
              </w:rPr>
              <w:t>为防止投标方虚假应答技术指标，从而造成用户在实际使用设备过程中无法实现所需的功能，中标公示期间需要进行上述功能要求的逐一演示验证，全部通过后执行合同流程，在期间发现虚假应标的行为，则中标结果无效，并保留对预中标单位追究相关责任的权利。</w:t>
            </w:r>
          </w:p>
        </w:tc>
      </w:tr>
    </w:tbl>
    <w:p>
      <w:pPr>
        <w:pStyle w:val="3"/>
        <w:ind w:firstLine="0"/>
        <w:jc w:val="center"/>
        <w:rPr>
          <w:lang w:val="en-US"/>
        </w:rPr>
      </w:pPr>
    </w:p>
    <w:p>
      <w:pPr>
        <w:snapToGrid w:val="0"/>
        <w:spacing w:line="360" w:lineRule="auto"/>
        <w:rPr>
          <w:rFonts w:ascii="仿宋" w:hAnsi="仿宋" w:eastAsia="仿宋" w:cs="仿宋"/>
          <w:b/>
          <w:bCs/>
          <w:sz w:val="24"/>
        </w:rPr>
      </w:pPr>
      <w:r>
        <w:rPr>
          <w:rFonts w:hint="eastAsia" w:ascii="仿宋" w:hAnsi="仿宋" w:eastAsia="仿宋" w:cs="仿宋"/>
          <w:b/>
          <w:bCs/>
          <w:sz w:val="24"/>
        </w:rPr>
        <w:t>4、杀毒软件：一套</w:t>
      </w:r>
    </w:p>
    <w:tbl>
      <w:tblPr>
        <w:tblStyle w:val="62"/>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305"/>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66" w:type="dxa"/>
            <w:gridSpan w:val="2"/>
            <w:vAlign w:val="center"/>
          </w:tcPr>
          <w:p>
            <w:pPr>
              <w:jc w:val="center"/>
              <w:rPr>
                <w:rFonts w:ascii="仿宋" w:hAnsi="仿宋" w:eastAsia="仿宋" w:cs="仿宋"/>
                <w:sz w:val="24"/>
                <w:lang w:val="it-IT"/>
              </w:rPr>
            </w:pPr>
            <w:r>
              <w:rPr>
                <w:rFonts w:hint="eastAsia" w:ascii="仿宋" w:hAnsi="仿宋" w:eastAsia="仿宋" w:cs="仿宋"/>
                <w:sz w:val="24"/>
                <w:lang w:val="it-IT"/>
              </w:rPr>
              <w:t>技术指标</w:t>
            </w:r>
          </w:p>
        </w:tc>
        <w:tc>
          <w:tcPr>
            <w:tcW w:w="7251" w:type="dxa"/>
            <w:vAlign w:val="center"/>
          </w:tcPr>
          <w:p>
            <w:pPr>
              <w:jc w:val="center"/>
              <w:rPr>
                <w:rFonts w:ascii="仿宋" w:hAnsi="仿宋" w:eastAsia="仿宋" w:cs="仿宋"/>
                <w:sz w:val="24"/>
                <w:lang w:val="it-IT"/>
              </w:rPr>
            </w:pPr>
            <w:r>
              <w:rPr>
                <w:rFonts w:hint="eastAsia" w:ascii="仿宋" w:hAnsi="仿宋" w:eastAsia="仿宋" w:cs="仿宋"/>
                <w:sz w:val="24"/>
                <w:lang w:val="it-IT"/>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61"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环境要求</w:t>
            </w:r>
          </w:p>
        </w:tc>
        <w:tc>
          <w:tcPr>
            <w:tcW w:w="1305"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控制中心安装环境要求</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操作系统支持Windows Server 2008 R2/2012/2012 R2/2016的64位版本（简体中文版）；</w:t>
            </w:r>
            <w:r>
              <w:rPr>
                <w:rFonts w:hint="eastAsia" w:ascii="仿宋" w:hAnsi="仿宋" w:eastAsia="仿宋" w:cs="仿宋"/>
                <w:sz w:val="24"/>
                <w:lang w:val="it-IT"/>
              </w:rPr>
              <w:br w:type="textWrapping"/>
            </w:r>
            <w:r>
              <w:rPr>
                <w:rFonts w:hint="eastAsia" w:ascii="仿宋" w:hAnsi="仿宋" w:eastAsia="仿宋" w:cs="仿宋"/>
                <w:sz w:val="24"/>
                <w:lang w:val="it-IT"/>
              </w:rPr>
              <w:t>支持CentOS 7、Redhat 7等Linux系统（要求Docker版本务必大于1.8.2）；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61"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支持在虚拟机上安装控制中心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Windows客户端安装环境要求</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操作系统：Windows XP_SP3及以上/Windows Vista/Windows 7/Windows 8/Windows 10，此次配置100个点授权，包含杀毒、补丁、运维管理、移动存储管控功能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服务器客户端安装环境要求</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操作系统:Windows Server 2003_SP2/Windows Server 2008/Windows Server 2012/Windows Server 2016</w:t>
            </w:r>
            <w:r>
              <w:rPr>
                <w:rFonts w:hint="eastAsia" w:ascii="仿宋" w:hAnsi="仿宋" w:eastAsia="仿宋" w:cs="仿宋"/>
                <w:sz w:val="24"/>
                <w:lang w:val="it-IT"/>
              </w:rPr>
              <w:br w:type="textWrapping"/>
            </w:r>
            <w:r>
              <w:rPr>
                <w:rFonts w:hint="eastAsia" w:ascii="仿宋" w:hAnsi="仿宋" w:eastAsia="仿宋" w:cs="仿宋"/>
                <w:sz w:val="24"/>
                <w:lang w:val="it-IT"/>
              </w:rPr>
              <w:t>SUSE Linux/Red Hat Linux/CentOS/Ubuntu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566" w:type="dxa"/>
            <w:gridSpan w:val="2"/>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系统管理</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控制中心：采用B/S架构管理端，具备设备分组管理、策略制定下发、全网健康状况监测、统一杀毒、统一漏洞修复、统一管控、统一终端准入合规、终端软件管理、硬件资产管理以及各种报表和查询等功能；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客户端提供控制中心管理所需的相关数据信息，通讯可选择非明文方式；客户端执行最终的木马病毒查杀、漏洞修复等安全操作；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产品支持终端保护密码，设置密码后，终端退出或卸载杀毒、或安装控制中心，都需要输入正确的密码方可执行；要求客户端程序具备自保功能，避免被恶意篡改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支持网页访问部署、离线安装包部署、域推送等部署方式，可自定义部署通知邮件及部署通知公告；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支持自定义默认分组的终端默认功能模块,包括产品功能模块及实用工具等；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支持加密的控制中心远程访问，支持管理账户并发、密码有效期、鉴别失败锁定等设置；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支持设置日志上报的带宽限制；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支持根据分组、计算机名称、IP地址、操作系统、在线状态等条件的组合筛选出符合条件的终端进行管理；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支持控制中心迁移、数据备份、数据恢复；支持多升级服务器；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资产管理</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按终端维度展示终端的硬件、软件、操作系统、网络、进程等信息；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支持硬盘序列号收集、支持SN号收集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支持温度检测以折线图形式实时展示CPU、主板、显卡、硬盘的温度变化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支持统计指定分组或全网的终端扫描数、终端管理软件安装数、未安装终端数及安装率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资产自助登记：新增资产登记类别、设置字段是否必填、设置字段是否显示、设置终端输入类型、可设置设备类型、设备用途、使用人、电话、邮箱等信息要求终端登记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资产自助分组：终端人员自主选择分组，支持终端每隔一个周期重新上报资产信息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■支持插件清理，按插件显示展示全网存在的插件和涉及的终端，可清理指定或全部插件、加入信任；按终端显示展示全网每个终端存在的插件，可清理插件（须提供相应截图）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支持正版软件的正版序列号的读取功能，确保软件正版化。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■支持ldap联动，终端实名认证后自动同步资产信息（须提供相应截图）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NAC联动：NAC认证成功后，自动填写资产中的使用人信息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日志报表</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展示全网终端健康状态、报警信息；可方便的查看不健康、亚健康终端列表；</w:t>
            </w:r>
            <w:r>
              <w:rPr>
                <w:rFonts w:hint="eastAsia" w:ascii="仿宋" w:hAnsi="仿宋" w:eastAsia="仿宋" w:cs="仿宋"/>
                <w:sz w:val="24"/>
                <w:lang w:val="it-IT"/>
              </w:rPr>
              <w:br w:type="textWrapping"/>
            </w:r>
            <w:r>
              <w:rPr>
                <w:rFonts w:hint="eastAsia" w:ascii="仿宋" w:hAnsi="仿宋" w:eastAsia="仿宋" w:cs="仿宋"/>
                <w:sz w:val="24"/>
                <w:lang w:val="it-IT"/>
              </w:rPr>
              <w:t>展示全网终端病毒库日期比例，可方便的查看全网终端病毒库的情况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展示指定时间段内指定终端修复漏洞，病毒查杀，木马查杀的情况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要求支持邮件报警，可以设定多种触发条件，满足条件后自动发送邮件到相关人。邮件触发条件至少包括：一定时间内的病毒数量阈值、一定时间内的未知文件数量阈值、重点关注的终端发现病毒等；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提供系统升级、热备、管理员操作、管理员远程等系统日志；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Align w:val="center"/>
          </w:tcPr>
          <w:p>
            <w:pPr>
              <w:jc w:val="center"/>
              <w:rPr>
                <w:rFonts w:ascii="仿宋" w:hAnsi="仿宋" w:eastAsia="仿宋" w:cs="仿宋"/>
                <w:sz w:val="24"/>
                <w:lang w:val="it-IT"/>
              </w:rPr>
            </w:pPr>
            <w:r>
              <w:rPr>
                <w:rFonts w:hint="eastAsia" w:ascii="仿宋" w:hAnsi="仿宋" w:eastAsia="仿宋" w:cs="仿宋"/>
                <w:sz w:val="24"/>
                <w:lang w:val="it-IT"/>
              </w:rPr>
              <w:t>设备联动</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■支持与防火墙、上网行为管理，达到网关边界联动防御效果（须提供相应截图）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1"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病毒、恶意代码、木马防护</w:t>
            </w: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防病毒任务</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支持病毒木马威胁的快速扫描、全盘扫描、强力扫描、文件专杀、隔离区恢复、系统修复、插件管理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立体防护中心</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立体防护系统，包含浏览器防护，系统防护，入口防护和隔离防护4大类，其中浏览器防护包含网页防护，看片防护，网购防护，搜索防护，首页锁定，默认浏览器防护，邮件安全防护。系统防护包含摄像头防护，键盘记录防护，文件系统防护，驱动防护，进程防护，注册表防护。入口防护包含下载安全防护，U盘防护，黑客入侵防护，漏洞入侵防护，DNS防护，局域网防护。隔离防护包含可疑程序隔离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实时防护</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文件系统实时防护，支持开机延迟加载，实时监控级别设置高中低三种配置，监控文件类型包含所有文件或者程序及文档。选择级别高监控所有文件对系统有一定影响，需要根据设备配置启用配置。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实时防护其他防护</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能够监控间谍文件，拦截局域网病毒，宏病毒免疫，DLL劫持免疫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自我保护</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防止程序自身被其他文件破坏或篡改。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病毒扫描资源占用比例配置</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不限制将不限制扫描时CPU资源的占用，程序进行动态自行调整。低资源表明最多占用不超过20%的CPU资源。平衡型表明最多占用不超过40%的CPU资源。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防感染模式</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扫描到感染型病毒时，自动进入防感染模式，重新开始全盘扫描并阻止恶意样本反复感染文件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扫描设置项目</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设置扫描的文件类型，所有文件、仅程序和文档两种模式；发现病毒时处理方式分为程序自动处理、用户选择处理、仅上报不处理三种模式。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浏览器防护</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支持浏览器防护，对篡改浏览器设置的恶意行为进行有效防御，并可以锁定默认浏览器设置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聊天安全防护</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检测QQ、MSN、阿里旺旺等常用聊天软件传输文件的安全性，确保传输文件不中毒；</w:t>
            </w:r>
            <w:r>
              <w:rPr>
                <w:rFonts w:hint="eastAsia" w:ascii="仿宋" w:hAnsi="仿宋" w:eastAsia="仿宋" w:cs="仿宋"/>
                <w:sz w:val="24"/>
                <w:lang w:val="it-IT"/>
              </w:rPr>
              <w:br w:type="textWrapping"/>
            </w:r>
            <w:r>
              <w:rPr>
                <w:rFonts w:hint="eastAsia" w:ascii="仿宋" w:hAnsi="仿宋" w:eastAsia="仿宋" w:cs="仿宋"/>
                <w:sz w:val="24"/>
                <w:lang w:val="it-IT"/>
              </w:rPr>
              <w:t>检测QQ、YY、飞信等聊天软件中对方发来网址的安全性</w:t>
            </w:r>
            <w:r>
              <w:rPr>
                <w:rFonts w:hint="eastAsia" w:ascii="仿宋" w:hAnsi="仿宋" w:eastAsia="仿宋" w:cs="仿宋"/>
                <w:sz w:val="24"/>
                <w:lang w:val="it-IT"/>
              </w:rPr>
              <w:br w:type="textWrapping"/>
            </w:r>
            <w:r>
              <w:rPr>
                <w:rFonts w:hint="eastAsia" w:ascii="仿宋" w:hAnsi="仿宋" w:eastAsia="仿宋" w:cs="仿宋"/>
                <w:sz w:val="24"/>
                <w:lang w:val="it-IT"/>
              </w:rPr>
              <w:t>聊天软件传输某些文件会添加“.重命名”，如果文件安全，将自动去除“.重命名”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输入法防护</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要求可以拦截伪装成输入法程序的木马；要求拦截利用输入法启动的木马程序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文件传输防护</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支持U盘等移动磁盘设备和电脑硬盘间文件传输检测；</w:t>
            </w:r>
            <w:r>
              <w:rPr>
                <w:rFonts w:hint="eastAsia" w:ascii="仿宋" w:hAnsi="仿宋" w:eastAsia="仿宋" w:cs="仿宋"/>
                <w:sz w:val="24"/>
                <w:lang w:val="it-IT"/>
              </w:rPr>
              <w:br w:type="textWrapping"/>
            </w:r>
            <w:r>
              <w:rPr>
                <w:rFonts w:hint="eastAsia" w:ascii="仿宋" w:hAnsi="仿宋" w:eastAsia="仿宋" w:cs="仿宋"/>
                <w:sz w:val="24"/>
                <w:lang w:val="it-IT"/>
              </w:rPr>
              <w:t>支持局域网共享文件传输检测；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攻击防护</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能够实时检测和拦截攻击行为，包括改写系统关键文件、修改注册表关键键值、感染移动存储介质、创建系统账号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云修复</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支持扫描发现文件遭破坏或被感染时触发修复流程，修复通过公有云下载正常文件替换遭破坏的文件；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定时查杀</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要求能够自定义时间、自定义扫描频率，自定义扫描类型，对终端进行定时查毒，并且可以自定义查杀病毒后的处理方式自定义；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黑白名单例外</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支持文件、目录和数字签名自定义黑白名单的方式来管理全网终端的文件；</w:t>
            </w:r>
          </w:p>
          <w:p>
            <w:pPr>
              <w:rPr>
                <w:rFonts w:ascii="仿宋" w:hAnsi="仿宋" w:eastAsia="仿宋" w:cs="仿宋"/>
                <w:sz w:val="24"/>
                <w:lang w:val="it-IT"/>
              </w:rPr>
            </w:pPr>
            <w:r>
              <w:rPr>
                <w:rFonts w:hint="eastAsia" w:ascii="仿宋" w:hAnsi="仿宋" w:eastAsia="仿宋" w:cs="仿宋"/>
                <w:sz w:val="24"/>
                <w:lang w:val="it-IT"/>
              </w:rPr>
              <w:t>■支持手工导入MD5+SHA1的黑白名单方式，支持txt批量导入方式；（提供产品界面截图）</w:t>
            </w:r>
          </w:p>
          <w:p>
            <w:pPr>
              <w:rPr>
                <w:rFonts w:ascii="仿宋" w:hAnsi="仿宋" w:eastAsia="仿宋" w:cs="仿宋"/>
                <w:sz w:val="24"/>
                <w:lang w:val="it-IT"/>
              </w:rPr>
            </w:pPr>
            <w:r>
              <w:rPr>
                <w:rFonts w:hint="eastAsia" w:ascii="仿宋" w:hAnsi="仿宋" w:eastAsia="仿宋" w:cs="仿宋"/>
                <w:sz w:val="24"/>
                <w:lang w:val="it-IT"/>
              </w:rPr>
              <w:t xml:space="preserve">支持下发忽略白名单的病毒扫描； </w:t>
            </w:r>
          </w:p>
          <w:p>
            <w:pPr>
              <w:rPr>
                <w:rFonts w:ascii="仿宋" w:hAnsi="仿宋" w:eastAsia="仿宋" w:cs="仿宋"/>
                <w:sz w:val="24"/>
                <w:lang w:val="it-IT"/>
              </w:rPr>
            </w:pPr>
            <w:r>
              <w:rPr>
                <w:rFonts w:hint="eastAsia" w:ascii="仿宋" w:hAnsi="仿宋" w:eastAsia="仿宋" w:cs="仿宋"/>
                <w:sz w:val="24"/>
                <w:lang w:val="it-IT"/>
              </w:rPr>
              <w:t xml:space="preserve">支持对windows/Linux操作系统终端的文件黑白名单和信任区在服务端统一管理;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1" w:type="dxa"/>
            <w:vMerge w:val="continue"/>
            <w:vAlign w:val="center"/>
          </w:tcPr>
          <w:p>
            <w:pPr>
              <w:jc w:val="center"/>
              <w:rPr>
                <w:rFonts w:ascii="仿宋" w:hAnsi="仿宋" w:eastAsia="仿宋" w:cs="仿宋"/>
                <w:sz w:val="24"/>
                <w:lang w:val="it-IT"/>
              </w:rPr>
            </w:pPr>
          </w:p>
        </w:tc>
        <w:tc>
          <w:tcPr>
            <w:tcW w:w="1305"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病毒查杀统计</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 xml:space="preserve">要求支持通过数字签名或者文件名的方式分别显示文件，方便管理员管理全网终端上报的文件；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61"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支持按病毒、木马、终端等维度统计全网病毒感染状况；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1"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要求支持对网内未知文件云查询的控制，可以选择直接连接互联网云查询中心查询，也可以选择采用私有云查杀引擎完成未知文件查询；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1"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要求上报文件至少包括:文件名称、发现时间、鉴定结果、文件大小、数字签名和文件所属源计算机等信息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漏洞利用防御</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要求能够支持XP系统的漏洞利用防御，尤其对通过文件漏洞的攻击行为进行有效检测与防御；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压缩包杀毒</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要求支持文件解压缩病毒查杀，支持对zip、rar、7z等多种格式的压缩文件查杀能力；</w:t>
            </w:r>
          </w:p>
          <w:p>
            <w:pPr>
              <w:rPr>
                <w:rFonts w:ascii="仿宋" w:hAnsi="仿宋" w:eastAsia="仿宋" w:cs="仿宋"/>
                <w:sz w:val="24"/>
                <w:lang w:val="it-IT"/>
              </w:rPr>
            </w:pPr>
            <w:r>
              <w:rPr>
                <w:rFonts w:hint="eastAsia" w:ascii="仿宋" w:hAnsi="仿宋" w:eastAsia="仿宋" w:cs="仿宋"/>
                <w:sz w:val="24"/>
                <w:lang w:val="it-IT"/>
              </w:rPr>
              <w:t>设置压缩包的扫描层数，压缩包的格式类型，最大扫描压缩包的大小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备份区隔离区管理</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可对备份区、隔离区的文件进行有效管理。能够对单个、指定的文件和全部文件，进行文件的删除、恢复等多项管理措施。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敲诈者病毒防御</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对敲诈者病毒提供专有的防护功能；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多杀毒引擎</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支持云查杀引擎、启发式引擎、脚本查杀引擎、人工智能引擎、BD本地引擎、下一代杀毒引擎、漏洞攻击防护引擎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61" w:type="dxa"/>
            <w:vMerge w:val="continue"/>
            <w:vAlign w:val="center"/>
          </w:tcPr>
          <w:p>
            <w:pPr>
              <w:jc w:val="center"/>
              <w:rPr>
                <w:rFonts w:ascii="仿宋" w:hAnsi="仿宋" w:eastAsia="仿宋" w:cs="仿宋"/>
                <w:sz w:val="24"/>
                <w:lang w:val="it-IT"/>
              </w:rPr>
            </w:pPr>
          </w:p>
        </w:tc>
        <w:tc>
          <w:tcPr>
            <w:tcW w:w="1305" w:type="dxa"/>
            <w:vAlign w:val="center"/>
          </w:tcPr>
          <w:p>
            <w:pPr>
              <w:jc w:val="center"/>
              <w:rPr>
                <w:rFonts w:ascii="仿宋" w:hAnsi="仿宋" w:eastAsia="仿宋" w:cs="仿宋"/>
                <w:sz w:val="24"/>
                <w:lang w:val="it-IT"/>
              </w:rPr>
            </w:pPr>
            <w:r>
              <w:rPr>
                <w:rFonts w:hint="eastAsia" w:ascii="仿宋" w:hAnsi="仿宋" w:eastAsia="仿宋" w:cs="仿宋"/>
                <w:sz w:val="24"/>
                <w:lang w:val="it-IT"/>
              </w:rPr>
              <w:t>云查询配置</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根据用户部署模式可配置云查询引擎的鉴定模式，共4种，分别为终端直接连接到公有云查询，终端通过控制中心连接到公有云查询，终端连接到鉴定中心查询，终端通过代理服务器连接到公有云端查询。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61" w:type="dxa"/>
            <w:vMerge w:val="continue"/>
            <w:vAlign w:val="center"/>
          </w:tcPr>
          <w:p>
            <w:pPr>
              <w:jc w:val="center"/>
              <w:rPr>
                <w:rFonts w:ascii="仿宋" w:hAnsi="仿宋" w:eastAsia="仿宋" w:cs="仿宋"/>
                <w:sz w:val="24"/>
                <w:lang w:val="it-IT"/>
              </w:rPr>
            </w:pPr>
          </w:p>
        </w:tc>
        <w:tc>
          <w:tcPr>
            <w:tcW w:w="1305"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私有云引擎</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要求产品具备公有云与本地私有云检测能力；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61"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支持部署私有云查杀引擎，增强本地隔离网查杀效果；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1" w:type="dxa"/>
            <w:vMerge w:val="continue"/>
            <w:vAlign w:val="center"/>
          </w:tcPr>
          <w:p>
            <w:pPr>
              <w:jc w:val="center"/>
              <w:rPr>
                <w:rFonts w:ascii="仿宋" w:hAnsi="仿宋" w:eastAsia="仿宋" w:cs="仿宋"/>
                <w:sz w:val="24"/>
                <w:lang w:val="it-IT"/>
              </w:rPr>
            </w:pPr>
          </w:p>
        </w:tc>
        <w:tc>
          <w:tcPr>
            <w:tcW w:w="1305"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样本库数量</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要求产品具备公有云检测能力，并且公有云特征储备超过145亿；（提供承诺证明）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1"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支持私有云查杀，预置至少8亿黑名单及2亿白名单，终端威胁统一到控制中心查询黑白并进行查杀。（提供承诺证明）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61" w:type="dxa"/>
            <w:vMerge w:val="continue"/>
            <w:vAlign w:val="center"/>
          </w:tcPr>
          <w:p>
            <w:pPr>
              <w:jc w:val="center"/>
              <w:rPr>
                <w:rFonts w:ascii="仿宋" w:hAnsi="仿宋" w:eastAsia="仿宋" w:cs="仿宋"/>
                <w:sz w:val="24"/>
                <w:lang w:val="it-IT"/>
              </w:rPr>
            </w:pPr>
          </w:p>
        </w:tc>
        <w:tc>
          <w:tcPr>
            <w:tcW w:w="1305" w:type="dxa"/>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病毒库升级管理</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要求支持服务器端病毒库的定时更新和手动更新两种升级模式。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61" w:type="dxa"/>
            <w:vMerge w:val="continue"/>
            <w:vAlign w:val="center"/>
          </w:tcPr>
          <w:p>
            <w:pPr>
              <w:jc w:val="center"/>
              <w:rPr>
                <w:rFonts w:ascii="仿宋" w:hAnsi="仿宋" w:eastAsia="仿宋" w:cs="仿宋"/>
                <w:sz w:val="24"/>
                <w:lang w:val="it-IT"/>
              </w:rPr>
            </w:pPr>
          </w:p>
        </w:tc>
        <w:tc>
          <w:tcPr>
            <w:tcW w:w="1305" w:type="dxa"/>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要求支持客户端升级时对网络带宽的保护，可以设定服务器端最大升级带宽。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补丁分发与漏洞修复</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要求产品具有定时修复漏洞功能，同时可以设置筛选高危漏洞、功能性补丁等修复类型；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支持按CVE编号查询漏洞，支持按KB号查询漏洞，管理员可快速关注高危漏洞，查看漏洞修复情况，如果还有未修复的终端则可立即下发修复任务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支持漏洞修复影响文档编辑时提醒功能；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“停服系统”管理功能：统计出即将要停服和已经停服的系统的终端数量等信息，管理员可以给这些终端升级任务，升级到微软仍在维护的版本，升级后就可以正常安装补丁修复漏洞。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支持补丁下载安装顺序设置，可以有效节省漏洞修复时间与减少CPU占用；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支持自定义补丁排除名单，防止终端打补丁后造成系统或业务进程崩溃；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■简化补丁运维工作，支持补丁灰度发布，支持设置对特定分组优先进行补丁分发，自定义测试一段时间后再全网升级，实现补丁自动化运维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■支持Windows 10补丁预热,提高终端下载补丁成功率（须提供相应截图）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Win10、Server2016补丁的全新差量更新，只下载所需更新文件的二进制差量，可节省90%左右的流量，通过定期从微软抓取WSUS更新源的更新数据，按微软的索引信息发布微软碎片数据，并在终端打补丁时采用微软的计算方式计算所需的碎片文件，从服务器下载对应数据，再到终端上组装成需要更新的补丁安装包来实现补丁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终端支持智能屏蔽过期补丁、与操作系统不兼容的补丁，可以查看或搜索系统已安装的全部补丁；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产品具备漏洞集中修复、自动修复；具备蓝屏修复功能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产品具备漏洞集中修复过程中的流量控制和保证带宽,补丁分发支持服务端带宽限流与客户端P2P补丁分发加速，有效节省外网带宽资源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■补丁通告解读：发布补丁库时会同步发布一篇补丁通告，详述每次发布的补丁的详细情况，通常包含：</w:t>
            </w:r>
          </w:p>
          <w:p>
            <w:pPr>
              <w:rPr>
                <w:rFonts w:ascii="仿宋" w:hAnsi="仿宋" w:eastAsia="仿宋" w:cs="仿宋"/>
                <w:sz w:val="24"/>
                <w:lang w:val="it-IT"/>
              </w:rPr>
            </w:pPr>
            <w:r>
              <w:rPr>
                <w:rFonts w:hint="eastAsia" w:ascii="仿宋" w:hAnsi="仿宋" w:eastAsia="仿宋" w:cs="仿宋"/>
                <w:sz w:val="24"/>
                <w:lang w:val="it-IT"/>
              </w:rPr>
              <w:t xml:space="preserve"> 1) 修复了多少漏洞、影响哪些软件、是否有已暴露或在野攻击的漏洞（重点关注补丁）。</w:t>
            </w:r>
          </w:p>
          <w:p>
            <w:pPr>
              <w:rPr>
                <w:rFonts w:ascii="仿宋" w:hAnsi="仿宋" w:eastAsia="仿宋" w:cs="仿宋"/>
                <w:sz w:val="24"/>
                <w:lang w:val="it-IT"/>
              </w:rPr>
            </w:pPr>
            <w:r>
              <w:rPr>
                <w:rFonts w:hint="eastAsia" w:ascii="仿宋" w:hAnsi="仿宋" w:eastAsia="仿宋" w:cs="仿宋"/>
                <w:sz w:val="24"/>
                <w:lang w:val="it-IT"/>
              </w:rPr>
              <w:t>2) 已被公开披露或已存在在野利用攻击的漏洞，推荐需重点关注的补丁。</w:t>
            </w:r>
          </w:p>
          <w:p>
            <w:pPr>
              <w:rPr>
                <w:rFonts w:ascii="仿宋" w:hAnsi="仿宋" w:eastAsia="仿宋" w:cs="仿宋"/>
                <w:sz w:val="24"/>
                <w:lang w:val="it-IT"/>
              </w:rPr>
            </w:pPr>
            <w:r>
              <w:rPr>
                <w:rFonts w:hint="eastAsia" w:ascii="仿宋" w:hAnsi="仿宋" w:eastAsia="仿宋" w:cs="仿宋"/>
                <w:sz w:val="24"/>
                <w:lang w:val="it-IT"/>
              </w:rPr>
              <w:t>3) 补丁存在的已知兼容性和系统性能影响的问题。</w:t>
            </w:r>
          </w:p>
          <w:p>
            <w:pPr>
              <w:rPr>
                <w:rFonts w:ascii="仿宋" w:hAnsi="仿宋" w:eastAsia="仿宋" w:cs="仿宋"/>
                <w:sz w:val="24"/>
                <w:lang w:val="it-IT"/>
              </w:rPr>
            </w:pPr>
            <w:r>
              <w:rPr>
                <w:rFonts w:hint="eastAsia" w:ascii="仿宋" w:hAnsi="仿宋" w:eastAsia="仿宋" w:cs="仿宋"/>
                <w:sz w:val="24"/>
                <w:lang w:val="it-IT"/>
              </w:rPr>
              <w:t xml:space="preserve">4) 补丁号、补丁的级别、对应产品、漏洞影响、CVE-ID、是否被公开披露、是否已受攻击、漏洞被利用的概率等。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566" w:type="dxa"/>
            <w:gridSpan w:val="2"/>
            <w:vAlign w:val="center"/>
          </w:tcPr>
          <w:p>
            <w:pPr>
              <w:jc w:val="center"/>
              <w:rPr>
                <w:rFonts w:ascii="仿宋" w:hAnsi="仿宋" w:eastAsia="仿宋" w:cs="仿宋"/>
                <w:sz w:val="24"/>
                <w:lang w:val="it-IT"/>
              </w:rPr>
            </w:pPr>
            <w:r>
              <w:rPr>
                <w:rFonts w:hint="eastAsia" w:ascii="仿宋" w:hAnsi="仿宋" w:eastAsia="仿宋" w:cs="仿宋"/>
                <w:sz w:val="24"/>
                <w:lang w:val="it-IT"/>
              </w:rPr>
              <w:t>服务器端支持操作系统</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至少支持Windows Server 2003、2008、2012、2016版本操作系统平台的杀毒防护与漏洞管理，并可对Windows xp 和Windows Server 2003提供后续漏洞防护；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Align w:val="center"/>
          </w:tcPr>
          <w:p>
            <w:pPr>
              <w:jc w:val="center"/>
              <w:rPr>
                <w:rFonts w:ascii="仿宋" w:hAnsi="仿宋" w:eastAsia="仿宋" w:cs="仿宋"/>
                <w:sz w:val="24"/>
                <w:lang w:val="it-IT"/>
              </w:rPr>
            </w:pPr>
            <w:r>
              <w:rPr>
                <w:rFonts w:hint="eastAsia" w:ascii="仿宋" w:hAnsi="仿宋" w:eastAsia="仿宋" w:cs="仿宋"/>
                <w:sz w:val="24"/>
                <w:lang w:val="it-IT"/>
              </w:rPr>
              <w:t>远程登录防护</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针对服务器系统，开启远程登录保护功能，加强对黑客远程弱口令扫描防护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566" w:type="dxa"/>
            <w:gridSpan w:val="2"/>
            <w:vAlign w:val="center"/>
          </w:tcPr>
          <w:p>
            <w:pPr>
              <w:jc w:val="center"/>
              <w:rPr>
                <w:rFonts w:ascii="仿宋" w:hAnsi="仿宋" w:eastAsia="仿宋" w:cs="仿宋"/>
                <w:sz w:val="24"/>
                <w:lang w:val="it-IT"/>
              </w:rPr>
            </w:pPr>
            <w:r>
              <w:rPr>
                <w:rFonts w:hint="eastAsia" w:ascii="仿宋" w:hAnsi="仿宋" w:eastAsia="仿宋" w:cs="仿宋"/>
                <w:sz w:val="24"/>
                <w:lang w:val="it-IT"/>
              </w:rPr>
              <w:t>服务器严格防护模式</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■为阻止入侵者关闭或者破坏客户端防护、以及放行勒索病毒，将阻止服务器客户端退出和卸载，终端无法添加信任和开发者信任，客户端无法关闭自我保护，禁止应用程序加载驱动。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适配要求</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至少支持3个以上Linux服务器版本并且可以和Windows统一管理；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支持苹果MAC OS X系统的病毒防护功能；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restart"/>
            <w:vAlign w:val="center"/>
          </w:tcPr>
          <w:p>
            <w:pPr>
              <w:jc w:val="center"/>
              <w:rPr>
                <w:rFonts w:ascii="仿宋" w:hAnsi="仿宋" w:eastAsia="仿宋" w:cs="仿宋"/>
                <w:sz w:val="24"/>
                <w:lang w:val="it-IT"/>
              </w:rPr>
            </w:pPr>
            <w:r>
              <w:rPr>
                <w:rFonts w:hint="eastAsia" w:ascii="仿宋" w:hAnsi="仿宋" w:eastAsia="仿宋" w:cs="仿宋"/>
                <w:sz w:val="24"/>
                <w:lang w:val="it-IT"/>
              </w:rPr>
              <w:t>运维管控</w:t>
            </w: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支持终端在互联网NAT环境下的远程控制；</w:t>
            </w:r>
            <w:r>
              <w:rPr>
                <w:rFonts w:hint="eastAsia" w:ascii="仿宋" w:hAnsi="仿宋" w:eastAsia="仿宋" w:cs="仿宋"/>
                <w:sz w:val="24"/>
                <w:lang w:val="it-IT"/>
              </w:rPr>
              <w:br w:type="textWrapping"/>
            </w:r>
            <w:r>
              <w:rPr>
                <w:rFonts w:hint="eastAsia" w:ascii="仿宋" w:hAnsi="仿宋" w:eastAsia="仿宋" w:cs="仿宋"/>
                <w:sz w:val="24"/>
                <w:lang w:val="it-IT"/>
              </w:rPr>
              <w:t>支持远程操作时锁定屏幕、截取屏幕，远程锁定屏幕后需要输入解锁密码才可再次使用；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可监控指定终端网络、应用程序的上传，下载速度与流量；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支持冗余有线网卡、无线网卡、3G网卡、MODEM、ADSL、ISDN等设备的外联控制；</w:t>
            </w:r>
            <w:r>
              <w:rPr>
                <w:rFonts w:hint="eastAsia" w:ascii="仿宋" w:hAnsi="仿宋" w:eastAsia="仿宋" w:cs="仿宋"/>
                <w:sz w:val="24"/>
                <w:lang w:val="it-IT"/>
              </w:rPr>
              <w:br w:type="textWrapping"/>
            </w:r>
            <w:r>
              <w:rPr>
                <w:rFonts w:hint="eastAsia" w:ascii="仿宋" w:hAnsi="仿宋" w:eastAsia="仿宋" w:cs="仿宋"/>
                <w:sz w:val="24"/>
                <w:lang w:val="it-IT"/>
              </w:rPr>
              <w:t>违规外联发生时可针对内外网连接状态分别设置违规处理措施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支持tcp、ping、域名解析三种外联探测方式，支持自定义探测地址，探测频率，支持外联告警断网，支持终端互联网出口IP探测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支持禁止终端创建热点，支持设置可信ssid白名单，支持设置可信ssid与mac地址校验功能。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支持能耗管理，支持定时关机策略，规定时间提示倒计时关机；支持终端工作时间外的开机告警；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支持性能监控管理，当CPU、内存在指定时间内使用率超过自定义百分比，产生报警日志，并可设置每天上报日志条数，支持对终端系统盘空间容量小于设定值产生报警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支持禁用安全模式或者设置安全模式登录密码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支持终端进程红名单、黑名单、白名单功能，可设置核心进程必须运行，也可保护核心进程不被结束。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支持对系统服务的黑名单、白名单，触发违规服务产生告警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支持网址白名单，通过信任网址白名单可以管理企业网络内信任的网址，加入信任后终端不再将此网址视为威胁</w:t>
            </w:r>
            <w:r>
              <w:rPr>
                <w:rFonts w:hint="eastAsia" w:ascii="仿宋" w:hAnsi="仿宋" w:eastAsia="仿宋" w:cs="仿宋"/>
                <w:sz w:val="24"/>
                <w:lang w:val="it-IT"/>
              </w:rPr>
              <w:br w:type="textWrapping"/>
            </w:r>
            <w:r>
              <w:rPr>
                <w:rFonts w:hint="eastAsia" w:ascii="仿宋" w:hAnsi="仿宋" w:eastAsia="仿宋" w:cs="仿宋"/>
                <w:sz w:val="24"/>
                <w:lang w:val="it-IT"/>
              </w:rPr>
              <w:t>支持网址黑名单，可设置终端不能访问的网址URL，终端访问这些URL时会被拦截，并展示拦截记录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支持对终端各种外设（USB存储、硬盘、存储卡、光驱、打印机、扫描仪、摄像头、手机、平板等）、接口（USB口、串口、并口、1394、PCMIA）设置使用权限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支持自定义外设黑白名单，且支持分组执行、支持以设备名称或者PID/VID例外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支持对终端桌面系统的账号密码、本地安全策略、控制面板、屏保与壁纸、浏览器安全、杀毒软件检查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自定义墙纸(支持将终端资产信息ip，mac等信息在桌面背景中展示，且不修改终端原有壁纸)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566" w:type="dxa"/>
            <w:gridSpan w:val="2"/>
            <w:vMerge w:val="continue"/>
            <w:vAlign w:val="center"/>
          </w:tcPr>
          <w:p>
            <w:pPr>
              <w:jc w:val="center"/>
              <w:rPr>
                <w:rFonts w:ascii="仿宋" w:hAnsi="仿宋" w:eastAsia="仿宋" w:cs="仿宋"/>
                <w:sz w:val="24"/>
                <w:lang w:val="it-IT"/>
              </w:rPr>
            </w:pPr>
          </w:p>
        </w:tc>
        <w:tc>
          <w:tcPr>
            <w:tcW w:w="7251" w:type="dxa"/>
            <w:vAlign w:val="center"/>
          </w:tcPr>
          <w:p>
            <w:pPr>
              <w:rPr>
                <w:rFonts w:ascii="仿宋" w:hAnsi="仿宋" w:eastAsia="仿宋" w:cs="仿宋"/>
                <w:sz w:val="24"/>
                <w:lang w:val="it-IT"/>
              </w:rPr>
            </w:pPr>
            <w:r>
              <w:rPr>
                <w:rFonts w:hint="eastAsia" w:ascii="仿宋" w:hAnsi="仿宋" w:eastAsia="仿宋" w:cs="仿宋"/>
                <w:sz w:val="24"/>
                <w:lang w:val="it-IT"/>
              </w:rPr>
              <w:t xml:space="preserve">支持LDAP账号的终端用户策略模式；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66" w:type="dxa"/>
            <w:gridSpan w:val="2"/>
            <w:vAlign w:val="center"/>
          </w:tcPr>
          <w:p>
            <w:pPr>
              <w:jc w:val="center"/>
              <w:rPr>
                <w:rFonts w:ascii="仿宋" w:hAnsi="仿宋" w:eastAsia="仿宋" w:cs="仿宋"/>
                <w:sz w:val="24"/>
                <w:lang w:val="it-IT"/>
              </w:rPr>
            </w:pPr>
            <w:r>
              <w:rPr>
                <w:rFonts w:hint="eastAsia" w:ascii="仿宋" w:hAnsi="仿宋" w:eastAsia="仿宋" w:cs="仿宋"/>
                <w:sz w:val="24"/>
                <w:lang w:val="it-IT"/>
              </w:rPr>
              <w:t>服务</w:t>
            </w:r>
          </w:p>
        </w:tc>
        <w:tc>
          <w:tcPr>
            <w:tcW w:w="7251" w:type="dxa"/>
          </w:tcPr>
          <w:p>
            <w:pPr>
              <w:rPr>
                <w:rFonts w:ascii="仿宋" w:hAnsi="仿宋" w:eastAsia="仿宋" w:cs="仿宋"/>
                <w:sz w:val="24"/>
                <w:lang w:val="it-IT"/>
              </w:rPr>
            </w:pPr>
            <w:r>
              <w:rPr>
                <w:rFonts w:hint="eastAsia" w:ascii="仿宋" w:hAnsi="仿宋" w:eastAsia="仿宋" w:cs="仿宋"/>
                <w:sz w:val="24"/>
                <w:lang w:val="it-IT"/>
              </w:rPr>
              <w:t>签订合同时提供原厂商质保服务承诺函及授权书。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66" w:type="dxa"/>
            <w:gridSpan w:val="2"/>
            <w:vAlign w:val="center"/>
          </w:tcPr>
          <w:p>
            <w:pPr>
              <w:jc w:val="center"/>
              <w:rPr>
                <w:rFonts w:ascii="仿宋" w:hAnsi="仿宋" w:eastAsia="仿宋" w:cs="仿宋"/>
                <w:sz w:val="24"/>
                <w:lang w:val="it-IT"/>
              </w:rPr>
            </w:pPr>
            <w:r>
              <w:rPr>
                <w:rFonts w:hint="eastAsia" w:ascii="仿宋" w:hAnsi="仿宋" w:eastAsia="仿宋" w:cs="仿宋"/>
                <w:sz w:val="24"/>
                <w:lang w:val="it-IT"/>
              </w:rPr>
              <w:t>产品测试</w:t>
            </w:r>
          </w:p>
        </w:tc>
        <w:tc>
          <w:tcPr>
            <w:tcW w:w="7251" w:type="dxa"/>
          </w:tcPr>
          <w:p>
            <w:pPr>
              <w:rPr>
                <w:rFonts w:ascii="仿宋" w:hAnsi="仿宋" w:eastAsia="仿宋" w:cs="仿宋"/>
                <w:sz w:val="24"/>
                <w:lang w:val="it-IT"/>
              </w:rPr>
            </w:pPr>
            <w:r>
              <w:rPr>
                <w:rFonts w:hint="eastAsia" w:ascii="仿宋" w:hAnsi="仿宋" w:eastAsia="仿宋" w:cs="仿宋"/>
                <w:sz w:val="24"/>
                <w:lang w:val="it-IT"/>
              </w:rPr>
              <w:t>为防止投标方虚假应答技术指标，从而造成用户在实际使用设备过程中无法实现所需的功能，中标公示期间需要进行上述功能要求的逐一演示验证，全部通过后执行合同流程，在期间发现虚假应标的行为，则中标结果无效，并保留对预中标单位追究相关责任的权利。</w:t>
            </w:r>
          </w:p>
        </w:tc>
      </w:tr>
    </w:tbl>
    <w:p>
      <w:pPr>
        <w:pStyle w:val="3"/>
        <w:ind w:firstLine="0"/>
        <w:jc w:val="center"/>
        <w:rPr>
          <w:lang w:val="en-US"/>
        </w:rPr>
      </w:pPr>
    </w:p>
    <w:p>
      <w:pPr>
        <w:snapToGrid w:val="0"/>
        <w:spacing w:line="360" w:lineRule="auto"/>
        <w:rPr>
          <w:rFonts w:ascii="仿宋" w:hAnsi="仿宋" w:eastAsia="仿宋" w:cs="仿宋"/>
          <w:b/>
          <w:bCs/>
          <w:sz w:val="24"/>
        </w:rPr>
      </w:pPr>
      <w:r>
        <w:rPr>
          <w:rFonts w:hint="eastAsia" w:ascii="仿宋" w:hAnsi="仿宋" w:eastAsia="仿宋" w:cs="仿宋"/>
          <w:b/>
          <w:bCs/>
          <w:sz w:val="24"/>
        </w:rPr>
        <w:t>5、上网行为管理：一台</w:t>
      </w:r>
    </w:p>
    <w:tbl>
      <w:tblPr>
        <w:tblStyle w:val="61"/>
        <w:tblW w:w="52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技术指标</w:t>
            </w:r>
          </w:p>
        </w:tc>
        <w:tc>
          <w:tcPr>
            <w:tcW w:w="4357"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设备规格</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■最大新建连接数为32000个/秒；2U机架式，标配6个千兆电接口（其中含1个管理接口1个HA接口），不少于2个扩展插槽，不少于1T硬盘;冗余交流电源。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管理口</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设备必须具备独立的（具备标识的）网络管理接口。所有接业务接口均被用满后，仍然可以存在独立的管理口可以访问设备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内置光Bypass接口</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支持内置光Bypass接口，可通过系统开关或设备面板按扭实现光口Bypass，无需增加外置Bypass产品。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界面Bypass</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支持远程登录在界面实现Bypass，并可进行切换。(提供截图证明)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网关模式</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设备可部署在网络中提供路由转发和NAT功能，可连接ADSL线路和专线。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镜像模式</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设备可连接一条或多条镜像线路，获取网络信息，进行行为分析和审计。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网桥模式</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设备可直路串联在一条或多条原有网络线路上，进行行为分析、审计和控制。不改变网络拓扑，路由表项。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Portal模式</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■支持设备模式选择，可以设置为Portal模式实现Portal服务器功能；（必须提供配置界面截图）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高可用性</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支持多台设备主主模式部署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IPv6支持</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能够支持IPv6环境下的网址访问审计、生成分析报表等功能；能够在IPv6环境下，正确审计显示用户的IPv6地址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首页行为风险面板</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可集中呈现上网行为风险等级和状态。</w:t>
            </w:r>
          </w:p>
          <w:p>
            <w:pPr>
              <w:rPr>
                <w:rFonts w:ascii="仿宋" w:hAnsi="仿宋" w:eastAsia="仿宋" w:cs="仿宋"/>
                <w:sz w:val="24"/>
                <w:lang w:val="it-IT"/>
              </w:rPr>
            </w:pPr>
            <w:r>
              <w:rPr>
                <w:rFonts w:hint="eastAsia" w:ascii="仿宋" w:hAnsi="仿宋" w:eastAsia="仿宋" w:cs="仿宋"/>
                <w:sz w:val="24"/>
                <w:lang w:val="it-IT"/>
              </w:rPr>
              <w:t>行为风险等级包括安全等级、效率等级、合规等级和管控等级。</w:t>
            </w:r>
            <w:r>
              <w:rPr>
                <w:rFonts w:hint="eastAsia" w:ascii="仿宋" w:hAnsi="仿宋" w:eastAsia="仿宋" w:cs="仿宋"/>
                <w:sz w:val="24"/>
                <w:lang w:val="it-IT"/>
              </w:rPr>
              <w:br w:type="textWrapping"/>
            </w:r>
            <w:r>
              <w:rPr>
                <w:rFonts w:hint="eastAsia" w:ascii="仿宋" w:hAnsi="仿宋" w:eastAsia="仿宋" w:cs="仿宋"/>
                <w:sz w:val="24"/>
                <w:lang w:val="it-IT"/>
              </w:rPr>
              <w:t>行为状态包括管控效果、运行状态、安全状态、泄密风险状态、合规状态和应用使用状态。</w:t>
            </w:r>
          </w:p>
          <w:p>
            <w:pPr>
              <w:rPr>
                <w:rFonts w:ascii="仿宋" w:hAnsi="仿宋" w:eastAsia="仿宋" w:cs="仿宋"/>
                <w:sz w:val="24"/>
                <w:lang w:val="it-IT"/>
              </w:rPr>
            </w:pPr>
            <w:r>
              <w:rPr>
                <w:rFonts w:hint="eastAsia" w:ascii="仿宋" w:hAnsi="仿宋" w:eastAsia="仿宋" w:cs="仿宋"/>
                <w:sz w:val="24"/>
                <w:lang w:val="it-IT"/>
              </w:rPr>
              <w:t>点击页面数值可直接跳转查询详情。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支持对病毒的云查杀</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支持配置病毒查杀策略，检查网络中传输的文件是否是病毒，支持记录日志、病毒过滤</w:t>
            </w:r>
          </w:p>
          <w:p>
            <w:pPr>
              <w:rPr>
                <w:rFonts w:ascii="仿宋" w:hAnsi="仿宋" w:eastAsia="仿宋" w:cs="仿宋"/>
                <w:sz w:val="24"/>
                <w:lang w:val="it-IT"/>
              </w:rPr>
            </w:pPr>
            <w:r>
              <w:rPr>
                <w:rFonts w:hint="eastAsia" w:ascii="仿宋" w:hAnsi="仿宋" w:eastAsia="仿宋" w:cs="仿宋"/>
                <w:sz w:val="24"/>
                <w:lang w:val="it-IT"/>
              </w:rPr>
              <w:t>支持与云端杀毒平台联动，对网络中传输的文件进行特征比对，以便减少对本地计算资源的消耗。</w:t>
            </w:r>
          </w:p>
          <w:p>
            <w:pPr>
              <w:rPr>
                <w:rFonts w:ascii="仿宋" w:hAnsi="仿宋" w:eastAsia="仿宋" w:cs="仿宋"/>
                <w:sz w:val="24"/>
                <w:lang w:val="it-IT"/>
              </w:rPr>
            </w:pPr>
            <w:r>
              <w:rPr>
                <w:rFonts w:hint="eastAsia" w:ascii="仿宋" w:hAnsi="仿宋" w:eastAsia="仿宋" w:cs="仿宋"/>
                <w:sz w:val="24"/>
                <w:lang w:val="it-IT"/>
              </w:rPr>
              <w:t>至少应支持对以下几类网络应用传输的文件进行病毒云查杀：HTTP/FTP/IMAP/SMTP/POP3"</w:t>
            </w:r>
          </w:p>
          <w:p>
            <w:pPr>
              <w:rPr>
                <w:rFonts w:ascii="仿宋" w:hAnsi="仿宋" w:eastAsia="仿宋" w:cs="仿宋"/>
                <w:sz w:val="24"/>
                <w:lang w:val="it-IT"/>
              </w:rPr>
            </w:pPr>
            <w:r>
              <w:rPr>
                <w:rFonts w:hint="eastAsia" w:ascii="仿宋" w:hAnsi="仿宋" w:eastAsia="仿宋" w:cs="仿宋"/>
                <w:sz w:val="24"/>
                <w:lang w:val="it-IT"/>
              </w:rPr>
              <w:t>■支持病毒查杀日志查询，日志应包含时间/用户/终端类型/内外网IP地址和端口号/MAC/传输病毒的网络应用类型/病毒名/文件名/访问控制类型。</w:t>
            </w:r>
          </w:p>
          <w:p>
            <w:pPr>
              <w:rPr>
                <w:rFonts w:ascii="仿宋" w:hAnsi="仿宋" w:eastAsia="仿宋" w:cs="仿宋"/>
                <w:sz w:val="24"/>
                <w:lang w:val="it-IT"/>
              </w:rPr>
            </w:pPr>
            <w:r>
              <w:rPr>
                <w:rFonts w:hint="eastAsia" w:ascii="仿宋" w:hAnsi="仿宋" w:eastAsia="仿宋" w:cs="仿宋"/>
                <w:sz w:val="24"/>
                <w:lang w:val="it-IT"/>
              </w:rPr>
              <w:t>(提供上述功能截图证明)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支持对恶意URL的云查杀</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支持基于云端大数据安全平台，对恶意URL访问进行封堵和记录日志。</w:t>
            </w:r>
            <w:r>
              <w:rPr>
                <w:rFonts w:hint="eastAsia" w:ascii="仿宋" w:hAnsi="仿宋" w:eastAsia="仿宋" w:cs="仿宋"/>
                <w:sz w:val="24"/>
                <w:lang w:val="it-IT"/>
              </w:rPr>
              <w:br w:type="textWrapping"/>
            </w:r>
            <w:r>
              <w:rPr>
                <w:rFonts w:hint="eastAsia" w:ascii="仿宋" w:hAnsi="仿宋" w:eastAsia="仿宋" w:cs="仿宋"/>
                <w:sz w:val="24"/>
                <w:lang w:val="it-IT"/>
              </w:rPr>
              <w:t>支持恶意URL访问日志查询，日志应包含时间/用户/终端类型/内外网IP地址和端口号/MAC/网址/网站类型/访问控制类型。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2" w:type="pct"/>
            <w:vMerge w:val="restar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支持失陷主机检测</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支持与威胁情报大数据平台对接，能够快速识别、封堵失陷主机、记录日志。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2" w:type="pct"/>
            <w:vMerge w:val="continue"/>
            <w:shd w:val="clear" w:color="auto" w:fill="auto"/>
            <w:vAlign w:val="center"/>
          </w:tcPr>
          <w:p>
            <w:pPr>
              <w:jc w:val="center"/>
              <w:rPr>
                <w:rFonts w:ascii="仿宋" w:hAnsi="仿宋" w:eastAsia="仿宋" w:cs="仿宋"/>
                <w:sz w:val="24"/>
                <w:lang w:val="it-IT"/>
              </w:rPr>
            </w:pP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支持通过恶意软件特征检测方式识别失陷主机并记录日志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2" w:type="pct"/>
            <w:vMerge w:val="continue"/>
            <w:shd w:val="clear" w:color="auto" w:fill="auto"/>
            <w:vAlign w:val="center"/>
          </w:tcPr>
          <w:p>
            <w:pPr>
              <w:jc w:val="center"/>
              <w:rPr>
                <w:rFonts w:ascii="仿宋" w:hAnsi="仿宋" w:eastAsia="仿宋" w:cs="仿宋"/>
                <w:sz w:val="24"/>
                <w:lang w:val="it-IT"/>
              </w:rPr>
            </w:pP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至少支持拦截对外部威胁IP的访问请求和阻塞失陷主机IP两种控制策略。阻塞后支持向用户推送威胁情报阻塞提示页面。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2" w:type="pct"/>
            <w:vMerge w:val="continue"/>
            <w:shd w:val="clear" w:color="auto" w:fill="auto"/>
            <w:vAlign w:val="center"/>
          </w:tcPr>
          <w:p>
            <w:pPr>
              <w:jc w:val="center"/>
              <w:rPr>
                <w:rFonts w:ascii="仿宋" w:hAnsi="仿宋" w:eastAsia="仿宋" w:cs="仿宋"/>
                <w:sz w:val="24"/>
                <w:lang w:val="it-IT"/>
              </w:rPr>
            </w:pP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支持失陷主机检测日志查询，日志应包含时间/用户/终端类型/内外网IP地址和端口号/MAC/类别/威胁情报/失陷威胁简介/访问控制类型。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应用审计及控制</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应用协议库包含的应用数量不低于6000种，应用规则总数不低于10000种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应用分类</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可以对下载工具、视频播放、网络游戏、金融理财、即时消息、移动应用有独立的分类进行识别控制。</w:t>
            </w:r>
          </w:p>
          <w:p>
            <w:pPr>
              <w:rPr>
                <w:rFonts w:ascii="仿宋" w:hAnsi="仿宋" w:eastAsia="仿宋" w:cs="仿宋"/>
                <w:sz w:val="24"/>
                <w:lang w:val="it-IT"/>
              </w:rPr>
            </w:pPr>
            <w:r>
              <w:rPr>
                <w:rFonts w:hint="eastAsia" w:ascii="仿宋" w:hAnsi="仿宋" w:eastAsia="仿宋" w:cs="仿宋"/>
                <w:sz w:val="24"/>
                <w:lang w:val="it-IT"/>
              </w:rPr>
              <w:t>为覆盖工作无关应用，移动应用不少于1000种，即时消息应不低于150种，网络游戏不低于270种，在线购物不低于50种，虚拟货币交易平台不低于40种；</w:t>
            </w:r>
          </w:p>
          <w:p>
            <w:pPr>
              <w:rPr>
                <w:rFonts w:ascii="仿宋" w:hAnsi="仿宋" w:eastAsia="仿宋" w:cs="仿宋"/>
                <w:sz w:val="24"/>
                <w:lang w:val="it-IT"/>
              </w:rPr>
            </w:pPr>
            <w:r>
              <w:rPr>
                <w:rFonts w:hint="eastAsia" w:ascii="仿宋" w:hAnsi="仿宋" w:eastAsia="仿宋" w:cs="仿宋"/>
                <w:sz w:val="24"/>
                <w:lang w:val="it-IT"/>
              </w:rPr>
              <w:t>为规避外发类风险，论坛发帖应不低于3000种，网络存储不低于100种，代理隧道不低于100种。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URL分类反馈</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■当用户的网页访问被网页浏览策略封堵时，用户如果发现分类错误能够在页面中向管理员进行反馈；管理员可查看用户反馈的分类错误，并可以选择向服务器反馈；（必须提供配置界面截图）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阻塞提示</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■不同网页被阻塞后会跳转不同的阻塞页面，支持用户完全自定义；（提供功能截图）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百度网盘PC客户端文件审计</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支持对Windows百度网盘客户端的文件标题和内容审计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PC客户端文件外发关键字过滤</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支持对QQ、微信和百度网盘的PC客户端外发文件进行关键字过滤和封堵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QQ审计与管理</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可针对QQ账号制定策略，对聊天、登录及登出的行为进行记录与控制(提供功能截图证明)；能够对QQ文件传输行为进行审计，并且能够对传输的文件进行备份留存；支持对QQ聊天内容进行审计。可制定多条QQ审计控制策略，实现针对不同的用户匹配不同审计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Windows版客户端微信审计</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支持对微信windows版客户端进行聊天内容审计</w:t>
            </w:r>
            <w:r>
              <w:rPr>
                <w:rFonts w:hint="eastAsia" w:ascii="仿宋" w:hAnsi="仿宋" w:eastAsia="仿宋" w:cs="仿宋"/>
                <w:sz w:val="24"/>
                <w:lang w:val="it-IT"/>
              </w:rPr>
              <w:br w:type="textWrapping"/>
            </w:r>
            <w:r>
              <w:rPr>
                <w:rFonts w:hint="eastAsia" w:ascii="仿宋" w:hAnsi="仿宋" w:eastAsia="仿宋" w:cs="仿宋"/>
                <w:sz w:val="24"/>
                <w:lang w:val="it-IT"/>
              </w:rPr>
              <w:t>支持对微信Windows版客户端的外发文件进行文件内容审计</w:t>
            </w:r>
            <w:r>
              <w:rPr>
                <w:rFonts w:hint="eastAsia" w:ascii="仿宋" w:hAnsi="仿宋" w:eastAsia="仿宋" w:cs="仿宋"/>
                <w:sz w:val="24"/>
                <w:lang w:val="it-IT"/>
              </w:rPr>
              <w:br w:type="textWrapping"/>
            </w:r>
            <w:r>
              <w:rPr>
                <w:rFonts w:hint="eastAsia" w:ascii="仿宋" w:hAnsi="仿宋" w:eastAsia="仿宋" w:cs="仿宋"/>
                <w:sz w:val="24"/>
                <w:lang w:val="it-IT"/>
              </w:rPr>
              <w:t>支持记录发送/接受信息的微信账号</w:t>
            </w:r>
            <w:r>
              <w:rPr>
                <w:rFonts w:hint="eastAsia" w:ascii="仿宋" w:hAnsi="仿宋" w:eastAsia="仿宋" w:cs="仿宋"/>
                <w:sz w:val="24"/>
                <w:lang w:val="it-IT"/>
              </w:rPr>
              <w:br w:type="textWrapping"/>
            </w:r>
            <w:r>
              <w:rPr>
                <w:rFonts w:hint="eastAsia" w:ascii="仿宋" w:hAnsi="仿宋" w:eastAsia="仿宋" w:cs="仿宋"/>
                <w:sz w:val="24"/>
                <w:lang w:val="it-IT"/>
              </w:rPr>
              <w:t>支持记录与单人/群聊/公众号的发送/接收内容</w:t>
            </w:r>
            <w:r>
              <w:rPr>
                <w:rFonts w:hint="eastAsia" w:ascii="仿宋" w:hAnsi="仿宋" w:eastAsia="仿宋" w:cs="仿宋"/>
                <w:sz w:val="24"/>
                <w:lang w:val="it-IT"/>
              </w:rPr>
              <w:br w:type="textWrapping"/>
            </w:r>
            <w:r>
              <w:rPr>
                <w:rFonts w:hint="eastAsia" w:ascii="仿宋" w:hAnsi="仿宋" w:eastAsia="仿宋" w:cs="仿宋"/>
                <w:sz w:val="24"/>
                <w:lang w:val="it-IT"/>
              </w:rPr>
              <w:t>支持记录发送/接收文件的路径/名称/大小</w:t>
            </w:r>
            <w:r>
              <w:rPr>
                <w:rFonts w:hint="eastAsia" w:ascii="仿宋" w:hAnsi="仿宋" w:eastAsia="仿宋" w:cs="仿宋"/>
                <w:sz w:val="24"/>
                <w:lang w:val="it-IT"/>
              </w:rPr>
              <w:br w:type="textWrapping"/>
            </w:r>
            <w:r>
              <w:rPr>
                <w:rFonts w:hint="eastAsia" w:ascii="仿宋" w:hAnsi="仿宋" w:eastAsia="仿宋" w:cs="仿宋"/>
                <w:sz w:val="24"/>
                <w:lang w:val="it-IT"/>
              </w:rPr>
              <w:t>支持基于用户/位置/账号等元素对审计日志进行统计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终端管理软件联动</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支持在安装终端管理软件时，不再需要安装客户端即可审计IM聊天内容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数据库审计控制</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■可审计、控制Oracle, MySql, SqlServer, PostgreSQL等数据库的访问与操作，包括添加、删除、修改、查询等。(提供上述功能截图证明)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DNS审计</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通过DNS审计策略对DNS通信内容进行审计和控制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多级虚拟通道</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支持多级虚拟通道，可以将物理带宽分成至少7级虚拟通道，合理分配物理带宽资源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流控策略</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支持基于用户、时间、应用、源IP、目的IP和服务创建流量控制策略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连接限制</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支持基于连接数进行流量管理，可以每个人的并发/新建连接数量进行控制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每用户带宽限制</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可以指定每个人的最大上传、下载带宽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共享接入多策略</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可基于源IP、用户、位置、终端台数、PC台数、移动台数、阻塞时间和动作，配置多条共享接入策略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共享接入部署</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支持串接和旁路部署方式进行共享接入管控，旁路部署下也可封堵私接用户的访问页面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控制热点开启</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支持配置禁用PC热点开启功能。禁用时PC仍可以使用网络，但是无法通过随身wifi或笔记本自带功能创建热点。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终端管理软件联动</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■能够与终端管理软件联动，设备检测到未安装终端管理软件的PC，可将其Web访问自动重定向到特定页面并提示下载；(提供上述功能截图证明)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终端准入控制</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设备能够根据终端管理软件检测到的信息配置准入控制策略，准入规则应包括：</w:t>
            </w:r>
            <w:r>
              <w:rPr>
                <w:rFonts w:hint="eastAsia" w:ascii="仿宋" w:hAnsi="仿宋" w:eastAsia="仿宋" w:cs="仿宋"/>
                <w:sz w:val="24"/>
                <w:lang w:val="it-IT"/>
              </w:rPr>
              <w:br w:type="textWrapping"/>
            </w:r>
            <w:r>
              <w:rPr>
                <w:rFonts w:hint="eastAsia" w:ascii="仿宋" w:hAnsi="仿宋" w:eastAsia="仿宋" w:cs="仿宋"/>
                <w:sz w:val="24"/>
                <w:lang w:val="it-IT"/>
              </w:rPr>
              <w:t>1、系统是否存在某个特定进程</w:t>
            </w:r>
            <w:r>
              <w:rPr>
                <w:rFonts w:hint="eastAsia" w:ascii="仿宋" w:hAnsi="仿宋" w:eastAsia="仿宋" w:cs="仿宋"/>
                <w:sz w:val="24"/>
                <w:lang w:val="it-IT"/>
              </w:rPr>
              <w:br w:type="textWrapping"/>
            </w:r>
            <w:r>
              <w:rPr>
                <w:rFonts w:hint="eastAsia" w:ascii="仿宋" w:hAnsi="仿宋" w:eastAsia="仿宋" w:cs="仿宋"/>
                <w:sz w:val="24"/>
                <w:lang w:val="it-IT"/>
              </w:rPr>
              <w:t>2、注册表中是否含有特定内容</w:t>
            </w:r>
            <w:r>
              <w:rPr>
                <w:rFonts w:hint="eastAsia" w:ascii="仿宋" w:hAnsi="仿宋" w:eastAsia="仿宋" w:cs="仿宋"/>
                <w:sz w:val="24"/>
                <w:lang w:val="it-IT"/>
              </w:rPr>
              <w:br w:type="textWrapping"/>
            </w:r>
            <w:r>
              <w:rPr>
                <w:rFonts w:hint="eastAsia" w:ascii="仿宋" w:hAnsi="仿宋" w:eastAsia="仿宋" w:cs="仿宋"/>
                <w:sz w:val="24"/>
                <w:lang w:val="it-IT"/>
              </w:rPr>
              <w:t>3、制定位置是否存在特定文件</w:t>
            </w:r>
            <w:r>
              <w:rPr>
                <w:rFonts w:hint="eastAsia" w:ascii="仿宋" w:hAnsi="仿宋" w:eastAsia="仿宋" w:cs="仿宋"/>
                <w:sz w:val="24"/>
                <w:lang w:val="it-IT"/>
              </w:rPr>
              <w:br w:type="textWrapping"/>
            </w:r>
            <w:r>
              <w:rPr>
                <w:rFonts w:hint="eastAsia" w:ascii="仿宋" w:hAnsi="仿宋" w:eastAsia="仿宋" w:cs="仿宋"/>
                <w:sz w:val="24"/>
                <w:lang w:val="it-IT"/>
              </w:rPr>
              <w:t>4、操作系统类型和版本等</w:t>
            </w:r>
            <w:r>
              <w:rPr>
                <w:rFonts w:hint="eastAsia" w:ascii="仿宋" w:hAnsi="仿宋" w:eastAsia="仿宋" w:cs="仿宋"/>
                <w:sz w:val="24"/>
                <w:lang w:val="it-IT"/>
              </w:rPr>
              <w:br w:type="textWrapping"/>
            </w:r>
            <w:r>
              <w:rPr>
                <w:rFonts w:hint="eastAsia" w:ascii="仿宋" w:hAnsi="仿宋" w:eastAsia="仿宋" w:cs="仿宋"/>
                <w:sz w:val="24"/>
                <w:lang w:val="it-IT"/>
              </w:rPr>
              <w:t>5、系统是否安装了特定的杀毒软件和特定版本</w:t>
            </w:r>
            <w:r>
              <w:rPr>
                <w:rFonts w:hint="eastAsia" w:ascii="仿宋" w:hAnsi="仿宋" w:eastAsia="仿宋" w:cs="仿宋"/>
                <w:sz w:val="24"/>
                <w:lang w:val="it-IT"/>
              </w:rPr>
              <w:br w:type="textWrapping"/>
            </w:r>
            <w:r>
              <w:rPr>
                <w:rFonts w:hint="eastAsia" w:ascii="仿宋" w:hAnsi="仿宋" w:eastAsia="仿宋" w:cs="仿宋"/>
                <w:sz w:val="24"/>
                <w:lang w:val="it-IT"/>
              </w:rPr>
              <w:t>6、系统是否安装了特定的漏洞补丁</w:t>
            </w:r>
            <w:r>
              <w:rPr>
                <w:rFonts w:hint="eastAsia" w:ascii="仿宋" w:hAnsi="仿宋" w:eastAsia="仿宋" w:cs="仿宋"/>
                <w:sz w:val="24"/>
                <w:lang w:val="it-IT"/>
              </w:rPr>
              <w:br w:type="textWrapping"/>
            </w:r>
            <w:r>
              <w:rPr>
                <w:rFonts w:hint="eastAsia" w:ascii="仿宋" w:hAnsi="仿宋" w:eastAsia="仿宋" w:cs="仿宋"/>
                <w:sz w:val="24"/>
                <w:lang w:val="it-IT"/>
              </w:rPr>
              <w:t>7、系统是否开启了文件实施防护功能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2" w:type="pct"/>
            <w:vMerge w:val="restar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微信认证</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支持通过微信“扫一扫”二维码方式，快速连接Wi-Fi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2" w:type="pct"/>
            <w:vMerge w:val="continue"/>
            <w:shd w:val="clear" w:color="auto" w:fill="auto"/>
            <w:vAlign w:val="center"/>
          </w:tcPr>
          <w:p>
            <w:pPr>
              <w:jc w:val="center"/>
              <w:rPr>
                <w:rFonts w:ascii="仿宋" w:hAnsi="仿宋" w:eastAsia="仿宋" w:cs="仿宋"/>
                <w:sz w:val="24"/>
                <w:lang w:val="it-IT"/>
              </w:rPr>
            </w:pP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 xml:space="preserve">支持利用微信公众号进行网络接入的身份准入认证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二维码认证</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支持接待人员扫描访客二维码方式授权访客使用网络</w:t>
            </w:r>
            <w:r>
              <w:rPr>
                <w:rFonts w:hint="eastAsia" w:ascii="仿宋" w:hAnsi="仿宋" w:eastAsia="仿宋" w:cs="仿宋"/>
                <w:sz w:val="24"/>
                <w:lang w:val="it-IT"/>
              </w:rPr>
              <w:br w:type="textWrapping"/>
            </w:r>
            <w:r>
              <w:rPr>
                <w:rFonts w:hint="eastAsia" w:ascii="仿宋" w:hAnsi="仿宋" w:eastAsia="仿宋" w:cs="仿宋"/>
                <w:sz w:val="24"/>
                <w:lang w:val="it-IT"/>
              </w:rPr>
              <w:t>支持配置接待用户列表避免越权授权。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认证策略</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可以基于IP、MAC等多因素进行用户认证、识别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用户识别</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支持对802.1X、华为controller、Kerberos、AD、POP3、Radius、数据库识别、PPPOE、华三iMC、城市热点、深澜计费等系统的单点登录。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日志FTP导出</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支持通过FTP和SFTP方式将日志导出到指定服务器，日志支持SSL加密和ZIP压缩，支持自定义导出数据的时间段和数据定时上传的频率。支持定义导出日志数据的范围、用户、位置和工具。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日志USB导出</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支持将日志数据通过设备USB接口导出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支持三权制衡管理机制</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策略管理、日志审计、权限分配相互独立的三权制衡管理机制，避免超级管理员权限过大的弊端。系统管理员和审计员的账号创建，权限变更需要审核员审批才能生效。管理员和审计员的操作会形成日志受审核员监督。（提供审核员审批操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2" w:type="pct"/>
            <w:vMerge w:val="restar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审计日志集中存储</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支持将多台设备日志集中存储于一台日志中心服务器，便于数据的集中查询与统计。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2" w:type="pct"/>
            <w:vMerge w:val="continue"/>
            <w:shd w:val="clear" w:color="auto" w:fill="auto"/>
            <w:vAlign w:val="center"/>
          </w:tcPr>
          <w:p>
            <w:pPr>
              <w:jc w:val="center"/>
              <w:rPr>
                <w:rFonts w:ascii="仿宋" w:hAnsi="仿宋" w:eastAsia="仿宋" w:cs="仿宋"/>
                <w:sz w:val="24"/>
                <w:lang w:val="it-IT"/>
              </w:rPr>
            </w:pP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日志中心支持选择Oracle数据库，访问日志中心数据必须采用https加密方式访问，避免传输过程被窃取。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42" w:type="pct"/>
            <w:vMerge w:val="continue"/>
            <w:shd w:val="clear" w:color="auto" w:fill="auto"/>
            <w:vAlign w:val="center"/>
          </w:tcPr>
          <w:p>
            <w:pPr>
              <w:jc w:val="center"/>
              <w:rPr>
                <w:rFonts w:ascii="仿宋" w:hAnsi="仿宋" w:eastAsia="仿宋" w:cs="仿宋"/>
                <w:sz w:val="24"/>
                <w:lang w:val="it-IT"/>
              </w:rPr>
            </w:pP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日志中心能够对多台设备的日志进行聚合式搜索，用户执行一次关键字搜索即可在多台设备中搜索出所有具有此关键字的审计日志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服务</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签订合同时提供原厂商质保服务承诺函及授权书。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2"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产品测试</w:t>
            </w:r>
          </w:p>
        </w:tc>
        <w:tc>
          <w:tcPr>
            <w:tcW w:w="4357"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为防止投标方虚假应答技术指标，从而造成用户在实际使用设备过程中无法实现所需的功能，中标公示期间需要进行上述功能要求的逐一演示验证，全部通过后执行合同流程，在期间发现虚假应标的行为，则中标结果无效，并保留对预中标单位追究相关责任的权利。</w:t>
            </w:r>
          </w:p>
        </w:tc>
      </w:tr>
    </w:tbl>
    <w:p>
      <w:pPr>
        <w:pStyle w:val="3"/>
        <w:ind w:firstLine="0"/>
        <w:rPr>
          <w:lang w:val="en-US"/>
        </w:rPr>
      </w:pPr>
    </w:p>
    <w:p>
      <w:pPr>
        <w:snapToGrid w:val="0"/>
        <w:spacing w:line="360" w:lineRule="auto"/>
        <w:rPr>
          <w:rFonts w:ascii="仿宋" w:hAnsi="仿宋" w:eastAsia="仿宋" w:cs="仿宋"/>
          <w:b/>
          <w:bCs/>
          <w:sz w:val="24"/>
        </w:rPr>
      </w:pPr>
      <w:r>
        <w:rPr>
          <w:rFonts w:hint="eastAsia" w:ascii="仿宋" w:hAnsi="仿宋" w:eastAsia="仿宋" w:cs="仿宋"/>
          <w:b/>
          <w:bCs/>
          <w:sz w:val="24"/>
        </w:rPr>
        <w:t>6、日志审计：一台</w:t>
      </w:r>
    </w:p>
    <w:tbl>
      <w:tblPr>
        <w:tblStyle w:val="62"/>
        <w:tblW w:w="52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技术指标</w:t>
            </w:r>
          </w:p>
        </w:tc>
        <w:tc>
          <w:tcPr>
            <w:tcW w:w="4356"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643" w:type="pc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性能及规格</w:t>
            </w:r>
          </w:p>
        </w:tc>
        <w:tc>
          <w:tcPr>
            <w:tcW w:w="4356" w:type="pct"/>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标准1U机箱，6个千兆电口，2个扩展插槽，1个Console接口，单电源，不少于2T硬盘。默认支持不少于25个授权节点。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pPr>
              <w:jc w:val="center"/>
              <w:rPr>
                <w:rFonts w:ascii="仿宋" w:hAnsi="仿宋" w:eastAsia="仿宋" w:cs="仿宋"/>
                <w:sz w:val="24"/>
                <w:lang w:val="it-IT"/>
              </w:rPr>
            </w:pPr>
            <w:r>
              <w:rPr>
                <w:rFonts w:hint="eastAsia" w:ascii="仿宋" w:hAnsi="仿宋" w:eastAsia="仿宋" w:cs="仿宋"/>
                <w:sz w:val="24"/>
                <w:lang w:val="it-IT"/>
              </w:rPr>
              <w:t>管理范围</w:t>
            </w:r>
          </w:p>
        </w:tc>
        <w:tc>
          <w:tcPr>
            <w:tcW w:w="4356" w:type="pct"/>
            <w:vAlign w:val="center"/>
          </w:tcPr>
          <w:p>
            <w:pPr>
              <w:rPr>
                <w:rFonts w:ascii="仿宋" w:hAnsi="仿宋" w:eastAsia="仿宋" w:cs="仿宋"/>
                <w:sz w:val="24"/>
                <w:lang w:val="it-IT"/>
              </w:rPr>
            </w:pPr>
            <w:r>
              <w:rPr>
                <w:rFonts w:hint="eastAsia" w:ascii="仿宋" w:hAnsi="仿宋" w:eastAsia="仿宋" w:cs="仿宋"/>
                <w:sz w:val="24"/>
                <w:lang w:val="it-IT"/>
              </w:rPr>
              <w:t>能够对企业和组织的IT资源中构成业务信息系统的各种网络设备、安全设备、安全系统、主机操作系统、虚拟化、云计算、数据库、中间件以及各种应用系统的日志、事件、告警等安全信息进行全面的审计。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pPr>
              <w:jc w:val="center"/>
              <w:rPr>
                <w:rFonts w:ascii="仿宋" w:hAnsi="仿宋" w:eastAsia="仿宋" w:cs="仿宋"/>
                <w:sz w:val="24"/>
                <w:lang w:val="it-IT"/>
              </w:rPr>
            </w:pPr>
            <w:r>
              <w:rPr>
                <w:rFonts w:hint="eastAsia" w:ascii="仿宋" w:hAnsi="仿宋" w:eastAsia="仿宋" w:cs="仿宋"/>
                <w:sz w:val="24"/>
                <w:lang w:val="it-IT"/>
              </w:rPr>
              <w:t>审计对象</w:t>
            </w:r>
          </w:p>
        </w:tc>
        <w:tc>
          <w:tcPr>
            <w:tcW w:w="4356" w:type="pct"/>
            <w:vAlign w:val="center"/>
          </w:tcPr>
          <w:p>
            <w:pPr>
              <w:rPr>
                <w:rFonts w:ascii="仿宋" w:hAnsi="仿宋" w:eastAsia="仿宋" w:cs="仿宋"/>
                <w:sz w:val="24"/>
                <w:lang w:val="it-IT"/>
              </w:rPr>
            </w:pPr>
            <w:r>
              <w:rPr>
                <w:rFonts w:hint="eastAsia" w:ascii="仿宋" w:hAnsi="仿宋" w:eastAsia="仿宋" w:cs="仿宋"/>
                <w:sz w:val="24"/>
                <w:lang w:val="it-IT"/>
              </w:rPr>
              <w:t>支持审计各种网络设备（路由器、交换机等）配置日志、运行日志、告警日志等；</w:t>
            </w:r>
          </w:p>
          <w:p>
            <w:pPr>
              <w:rPr>
                <w:rFonts w:ascii="仿宋" w:hAnsi="仿宋" w:eastAsia="仿宋" w:cs="仿宋"/>
                <w:sz w:val="24"/>
                <w:lang w:val="it-IT"/>
              </w:rPr>
            </w:pPr>
            <w:r>
              <w:rPr>
                <w:rFonts w:hint="eastAsia" w:ascii="仿宋" w:hAnsi="仿宋" w:eastAsia="仿宋" w:cs="仿宋"/>
                <w:sz w:val="24"/>
                <w:lang w:val="it-IT"/>
              </w:rPr>
              <w:t>支持审计各种安全设备（防火墙、IDS、IPS、VPN、防病毒网关，网闸，防DDOS攻击，Web应用防火墙、等）配置日志、运行日志、告警日志等；</w:t>
            </w:r>
          </w:p>
          <w:p>
            <w:pPr>
              <w:rPr>
                <w:rFonts w:ascii="仿宋" w:hAnsi="仿宋" w:eastAsia="仿宋" w:cs="仿宋"/>
                <w:sz w:val="24"/>
                <w:lang w:val="it-IT"/>
              </w:rPr>
            </w:pPr>
            <w:r>
              <w:rPr>
                <w:rFonts w:hint="eastAsia" w:ascii="仿宋" w:hAnsi="仿宋" w:eastAsia="仿宋" w:cs="仿宋"/>
                <w:sz w:val="24"/>
                <w:lang w:val="it-IT"/>
              </w:rPr>
              <w:t>支持审计各种主机操作系统（包括Windows,Solaris, Linux, AIX, HP-UX,UNIX,AS400）配置日志、运行日志、告警日志等；</w:t>
            </w:r>
          </w:p>
          <w:p>
            <w:pPr>
              <w:rPr>
                <w:rFonts w:ascii="仿宋" w:hAnsi="仿宋" w:eastAsia="仿宋" w:cs="仿宋"/>
                <w:sz w:val="24"/>
                <w:lang w:val="it-IT"/>
              </w:rPr>
            </w:pPr>
            <w:r>
              <w:rPr>
                <w:rFonts w:hint="eastAsia" w:ascii="仿宋" w:hAnsi="仿宋" w:eastAsia="仿宋" w:cs="仿宋"/>
                <w:sz w:val="24"/>
                <w:lang w:val="it-IT"/>
              </w:rPr>
              <w:t>支持审计各种数据库（Oracle、Sqlserver、Mysql、DB2、Sybase、Informix）配置日志、运行日志、告警日志等；</w:t>
            </w:r>
          </w:p>
          <w:p>
            <w:pPr>
              <w:rPr>
                <w:rFonts w:ascii="仿宋" w:hAnsi="仿宋" w:eastAsia="仿宋" w:cs="仿宋"/>
                <w:sz w:val="24"/>
                <w:lang w:val="it-IT"/>
              </w:rPr>
            </w:pPr>
            <w:r>
              <w:rPr>
                <w:rFonts w:hint="eastAsia" w:ascii="仿宋" w:hAnsi="仿宋" w:eastAsia="仿宋" w:cs="仿宋"/>
                <w:sz w:val="24"/>
                <w:lang w:val="it-IT"/>
              </w:rPr>
              <w:t>支持审计各种中间件（tomcat、apache、webshpere、 weblogic等）配置日志、运行日志、告警日志等；</w:t>
            </w:r>
          </w:p>
          <w:p>
            <w:pPr>
              <w:rPr>
                <w:rFonts w:ascii="仿宋" w:hAnsi="仿宋" w:eastAsia="仿宋" w:cs="仿宋"/>
                <w:sz w:val="24"/>
                <w:lang w:val="it-IT"/>
              </w:rPr>
            </w:pPr>
            <w:r>
              <w:rPr>
                <w:rFonts w:hint="eastAsia" w:ascii="仿宋" w:hAnsi="仿宋" w:eastAsia="仿宋" w:cs="仿宋"/>
                <w:sz w:val="24"/>
                <w:lang w:val="it-IT"/>
              </w:rPr>
              <w:t>支持各种应用各种应用系统（邮件，Web，FTP，Telnet、等）配置日志、运行日志、告警日志等；</w:t>
            </w:r>
          </w:p>
          <w:p>
            <w:pPr>
              <w:rPr>
                <w:rFonts w:ascii="仿宋" w:hAnsi="仿宋" w:eastAsia="仿宋" w:cs="仿宋"/>
                <w:sz w:val="24"/>
                <w:lang w:val="it-IT"/>
              </w:rPr>
            </w:pPr>
            <w:r>
              <w:rPr>
                <w:rFonts w:hint="eastAsia" w:ascii="仿宋" w:hAnsi="仿宋" w:eastAsia="仿宋" w:cs="仿宋"/>
                <w:sz w:val="24"/>
                <w:lang w:val="it-IT"/>
              </w:rPr>
              <w:t>以及用户自己的业务系统的日志、事件、告警等安全信息进行全面的审计。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pPr>
              <w:jc w:val="center"/>
              <w:rPr>
                <w:rFonts w:ascii="仿宋" w:hAnsi="仿宋" w:eastAsia="仿宋" w:cs="仿宋"/>
                <w:sz w:val="24"/>
                <w:lang w:val="it-IT"/>
              </w:rPr>
            </w:pPr>
            <w:r>
              <w:rPr>
                <w:rFonts w:hint="eastAsia" w:ascii="仿宋" w:hAnsi="仿宋" w:eastAsia="仿宋" w:cs="仿宋"/>
                <w:sz w:val="24"/>
                <w:lang w:val="it-IT"/>
              </w:rPr>
              <w:t>采集方式</w:t>
            </w:r>
          </w:p>
        </w:tc>
        <w:tc>
          <w:tcPr>
            <w:tcW w:w="4356" w:type="pct"/>
            <w:vAlign w:val="center"/>
          </w:tcPr>
          <w:p>
            <w:pPr>
              <w:rPr>
                <w:rFonts w:ascii="仿宋" w:hAnsi="仿宋" w:eastAsia="仿宋" w:cs="仿宋"/>
                <w:sz w:val="24"/>
                <w:lang w:val="it-IT"/>
              </w:rPr>
            </w:pPr>
            <w:r>
              <w:rPr>
                <w:rFonts w:hint="eastAsia" w:ascii="仿宋" w:hAnsi="仿宋" w:eastAsia="仿宋" w:cs="仿宋"/>
                <w:sz w:val="24"/>
                <w:lang w:val="it-IT"/>
              </w:rPr>
              <w:t>支持通过syslog、SNMP Trap、JDBC、Agent代理、WMI、(S)FTP、NetBIOS、文件\文件夹读取、Kafka等多种方式完成各种日志的收集功能；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pPr>
              <w:jc w:val="center"/>
              <w:rPr>
                <w:rFonts w:ascii="仿宋" w:hAnsi="仿宋" w:eastAsia="仿宋" w:cs="仿宋"/>
                <w:sz w:val="24"/>
                <w:lang w:val="it-IT"/>
              </w:rPr>
            </w:pPr>
            <w:r>
              <w:rPr>
                <w:rFonts w:hint="eastAsia" w:ascii="仿宋" w:hAnsi="仿宋" w:eastAsia="仿宋" w:cs="仿宋"/>
                <w:sz w:val="24"/>
                <w:lang w:val="it-IT"/>
              </w:rPr>
              <w:t>资产管理</w:t>
            </w:r>
          </w:p>
        </w:tc>
        <w:tc>
          <w:tcPr>
            <w:tcW w:w="4356" w:type="pct"/>
            <w:vAlign w:val="center"/>
          </w:tcPr>
          <w:p>
            <w:pPr>
              <w:rPr>
                <w:rFonts w:ascii="仿宋" w:hAnsi="仿宋" w:eastAsia="仿宋" w:cs="仿宋"/>
                <w:sz w:val="24"/>
                <w:lang w:val="it-IT"/>
              </w:rPr>
            </w:pPr>
            <w:r>
              <w:rPr>
                <w:rFonts w:hint="eastAsia" w:ascii="仿宋" w:hAnsi="仿宋" w:eastAsia="仿宋" w:cs="仿宋"/>
                <w:sz w:val="24"/>
                <w:lang w:val="it-IT"/>
              </w:rPr>
              <w:t>能够将资产按照多种维度进行分组、分域管理，如地理位置、组织结构、业务系统等，提供便捷的添加、修改、删除、查询与统计功能；</w:t>
            </w:r>
          </w:p>
          <w:p>
            <w:pPr>
              <w:rPr>
                <w:rFonts w:ascii="仿宋" w:hAnsi="仿宋" w:eastAsia="仿宋" w:cs="仿宋"/>
                <w:sz w:val="24"/>
                <w:lang w:val="it-IT"/>
              </w:rPr>
            </w:pPr>
            <w:r>
              <w:rPr>
                <w:rFonts w:hint="eastAsia" w:ascii="仿宋" w:hAnsi="仿宋" w:eastAsia="仿宋" w:cs="仿宋"/>
                <w:sz w:val="24"/>
                <w:lang w:val="it-IT"/>
              </w:rPr>
              <w:t>支持资产信息的批量导入和导出，便于安全管理和系统管理人员能方便地查找所需设备资产的信息，并对资产进行CIA赋值，自动计算资产价值，设置等保等级；在资产管理界面可查看每个资产的属性信息，情境信息，本身产生的事件信息、关联告警信息；</w:t>
            </w:r>
          </w:p>
          <w:p>
            <w:pPr>
              <w:rPr>
                <w:rFonts w:ascii="仿宋" w:hAnsi="仿宋" w:eastAsia="仿宋" w:cs="仿宋"/>
                <w:sz w:val="24"/>
                <w:lang w:val="it-IT"/>
              </w:rPr>
            </w:pPr>
            <w:r>
              <w:rPr>
                <w:rFonts w:hint="eastAsia" w:ascii="仿宋" w:hAnsi="仿宋" w:eastAsia="仿宋" w:cs="仿宋"/>
                <w:sz w:val="24"/>
                <w:lang w:val="it-IT"/>
              </w:rPr>
              <w:t>支持对资产IP地址的地理信息进行管理，支持单个IP、IP段设置行政区及经纬度，支持地图显示支持自定义资产类型及资产属性；支持对资产自定义标签，支持对标签内容进行查询和管理</w:t>
            </w:r>
          </w:p>
          <w:p>
            <w:pPr>
              <w:rPr>
                <w:rFonts w:ascii="仿宋" w:hAnsi="仿宋" w:eastAsia="仿宋" w:cs="仿宋"/>
                <w:sz w:val="24"/>
                <w:lang w:val="it-IT"/>
              </w:rPr>
            </w:pPr>
            <w:r>
              <w:rPr>
                <w:rFonts w:hint="eastAsia" w:ascii="仿宋" w:hAnsi="仿宋" w:eastAsia="仿宋" w:cs="仿宋"/>
                <w:sz w:val="24"/>
                <w:lang w:val="it-IT"/>
              </w:rPr>
              <w:t>支持对资产日志进行过滤，设置允许接收和拒绝接收日志，并可以对资产设置一定时间范围内未收到事件后进行主动告警。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vAlign w:val="center"/>
          </w:tcPr>
          <w:p>
            <w:pPr>
              <w:jc w:val="center"/>
              <w:rPr>
                <w:rFonts w:ascii="仿宋" w:hAnsi="仿宋" w:eastAsia="仿宋" w:cs="仿宋"/>
                <w:sz w:val="24"/>
                <w:lang w:val="it-IT"/>
              </w:rPr>
            </w:pPr>
            <w:r>
              <w:rPr>
                <w:rFonts w:hint="eastAsia" w:ascii="仿宋" w:hAnsi="仿宋" w:eastAsia="仿宋" w:cs="仿宋"/>
                <w:sz w:val="24"/>
                <w:lang w:val="it-IT"/>
              </w:rPr>
              <w:t>日志归一化</w:t>
            </w:r>
          </w:p>
        </w:tc>
        <w:tc>
          <w:tcPr>
            <w:tcW w:w="4356" w:type="pct"/>
            <w:vAlign w:val="center"/>
          </w:tcPr>
          <w:p>
            <w:pPr>
              <w:rPr>
                <w:rFonts w:ascii="仿宋" w:hAnsi="仿宋" w:eastAsia="仿宋" w:cs="仿宋"/>
                <w:sz w:val="24"/>
                <w:lang w:val="it-IT"/>
              </w:rPr>
            </w:pPr>
            <w:r>
              <w:rPr>
                <w:rFonts w:hint="eastAsia" w:ascii="仿宋" w:hAnsi="仿宋" w:eastAsia="仿宋" w:cs="仿宋"/>
                <w:sz w:val="24"/>
                <w:lang w:val="it-IT"/>
              </w:rPr>
              <w:t>支持对日志进行归一化处理并保留原始日志，方便用户对关键日志快速定位和事后取证；</w:t>
            </w:r>
          </w:p>
          <w:p>
            <w:pPr>
              <w:rPr>
                <w:rFonts w:ascii="仿宋" w:hAnsi="仿宋" w:eastAsia="仿宋" w:cs="仿宋"/>
                <w:sz w:val="24"/>
                <w:lang w:val="it-IT"/>
              </w:rPr>
            </w:pPr>
            <w:r>
              <w:rPr>
                <w:rFonts w:hint="eastAsia" w:ascii="仿宋" w:hAnsi="仿宋" w:eastAsia="仿宋" w:cs="仿宋"/>
                <w:sz w:val="24"/>
                <w:lang w:val="it-IT"/>
              </w:rPr>
              <w:t>系统提供页面可视化编辑归一化策略，对页面查看的日志编辑归一化策略，所见即所得，也支持通过归一化文件的导入来支持归一化,不需修改系统程序；</w:t>
            </w:r>
          </w:p>
          <w:p>
            <w:pPr>
              <w:rPr>
                <w:rFonts w:ascii="仿宋" w:hAnsi="仿宋" w:eastAsia="仿宋" w:cs="仿宋"/>
                <w:sz w:val="24"/>
                <w:lang w:val="it-IT"/>
              </w:rPr>
            </w:pPr>
            <w:r>
              <w:rPr>
                <w:rFonts w:hint="eastAsia" w:ascii="仿宋" w:hAnsi="仿宋" w:eastAsia="仿宋" w:cs="仿宋"/>
                <w:sz w:val="24"/>
                <w:lang w:val="it-IT"/>
              </w:rPr>
              <w:t>日志收集后进行字段和安全等级的归一化处理，系统归一化字段不少于95个字段,并支持动态扩展，扩展数量不限，扩展字段与原始字段具有相同功能，可参与统计分析、关联分析、报表生成等</w:t>
            </w:r>
            <w:r>
              <w:rPr>
                <w:rFonts w:hint="eastAsia" w:ascii="仿宋" w:hAnsi="仿宋" w:eastAsia="仿宋" w:cs="仿宋"/>
                <w:sz w:val="24"/>
                <w:lang w:val="it-IT"/>
              </w:rPr>
              <w:br w:type="textWrapping"/>
            </w:r>
            <w:r>
              <w:rPr>
                <w:rFonts w:hint="eastAsia" w:ascii="仿宋" w:hAnsi="仿宋" w:eastAsia="仿宋" w:cs="仿宋"/>
                <w:sz w:val="24"/>
                <w:lang w:val="it-IT"/>
              </w:rPr>
              <w:t xml:space="preserve">  支持标准Syslog日志审计方式，支持Syslog端口自定义（支持内外端机主机名更改，强化日志审计及集中管理功能，能够对功能访问模块拒绝访问进行日志记录，支持对日志的高性能处理和存储，提供高性能Syslog日志处理和存储证书；</w:t>
            </w:r>
          </w:p>
          <w:p>
            <w:pPr>
              <w:rPr>
                <w:rFonts w:ascii="仿宋" w:hAnsi="仿宋" w:eastAsia="仿宋" w:cs="仿宋"/>
                <w:sz w:val="24"/>
                <w:lang w:val="it-IT"/>
              </w:rPr>
            </w:pPr>
            <w:r>
              <w:rPr>
                <w:rFonts w:hint="eastAsia" w:ascii="仿宋" w:hAnsi="仿宋" w:eastAsia="仿宋" w:cs="仿宋"/>
                <w:sz w:val="24"/>
                <w:lang w:val="it-IT"/>
              </w:rPr>
              <w:t>系统可自动识别收集的日志并自动选择范化策略，也可由人工设置设备的范化策略。针对匹配的多条范化策略，系统支持用户手工设置策略匹配优先级，保证最佳范化策略匹配。</w:t>
            </w:r>
          </w:p>
          <w:p>
            <w:pPr>
              <w:rPr>
                <w:rFonts w:ascii="仿宋" w:hAnsi="仿宋" w:eastAsia="仿宋" w:cs="仿宋"/>
                <w:sz w:val="24"/>
                <w:lang w:val="it-IT"/>
              </w:rPr>
            </w:pPr>
            <w:r>
              <w:rPr>
                <w:rFonts w:hint="eastAsia" w:ascii="仿宋" w:hAnsi="仿宋" w:eastAsia="仿宋" w:cs="仿宋"/>
                <w:sz w:val="24"/>
                <w:lang w:val="it-IT"/>
              </w:rPr>
              <w:t>■对于枚举类型的范化字段，其字典表可根据需要自定义扩展（须提供新增字典表及其字典数据的界面截图）；</w:t>
            </w:r>
          </w:p>
          <w:p>
            <w:pPr>
              <w:rPr>
                <w:rFonts w:ascii="仿宋" w:hAnsi="仿宋" w:eastAsia="仿宋" w:cs="仿宋"/>
                <w:sz w:val="24"/>
                <w:lang w:val="it-IT"/>
              </w:rPr>
            </w:pPr>
            <w:r>
              <w:rPr>
                <w:rFonts w:hint="eastAsia" w:ascii="仿宋" w:hAnsi="仿宋" w:eastAsia="仿宋" w:cs="仿宋"/>
                <w:sz w:val="24"/>
                <w:lang w:val="it-IT"/>
              </w:rPr>
              <w:t>■对于原始日志的枚举字段，能够将原始的枚举值映射为系统统一的枚举值（须提供枚举值映射的可视化编辑界面截图）；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43" w:type="pct"/>
            <w:vAlign w:val="center"/>
          </w:tcPr>
          <w:p>
            <w:pPr>
              <w:jc w:val="center"/>
              <w:rPr>
                <w:rFonts w:ascii="仿宋" w:hAnsi="仿宋" w:eastAsia="仿宋" w:cs="仿宋"/>
                <w:sz w:val="24"/>
                <w:lang w:val="it-IT"/>
              </w:rPr>
            </w:pPr>
            <w:r>
              <w:rPr>
                <w:rFonts w:hint="eastAsia" w:ascii="仿宋" w:hAnsi="仿宋" w:eastAsia="仿宋" w:cs="仿宋"/>
                <w:sz w:val="24"/>
                <w:lang w:val="it-IT"/>
              </w:rPr>
              <w:t>日志交互式分析</w:t>
            </w:r>
          </w:p>
        </w:tc>
        <w:tc>
          <w:tcPr>
            <w:tcW w:w="4356" w:type="pct"/>
            <w:vAlign w:val="center"/>
          </w:tcPr>
          <w:p>
            <w:pPr>
              <w:rPr>
                <w:rFonts w:ascii="仿宋" w:hAnsi="仿宋" w:eastAsia="仿宋" w:cs="仿宋"/>
                <w:sz w:val="24"/>
                <w:lang w:val="it-IT"/>
              </w:rPr>
            </w:pPr>
            <w:r>
              <w:rPr>
                <w:rFonts w:hint="eastAsia" w:ascii="仿宋" w:hAnsi="仿宋" w:eastAsia="仿宋" w:cs="仿宋"/>
                <w:sz w:val="24"/>
                <w:lang w:val="it-IT"/>
              </w:rPr>
              <w:t>1）</w:t>
            </w:r>
            <w:r>
              <w:rPr>
                <w:rFonts w:hint="eastAsia" w:ascii="仿宋" w:hAnsi="仿宋" w:eastAsia="仿宋" w:cs="仿宋"/>
                <w:sz w:val="24"/>
                <w:lang w:val="it-IT"/>
              </w:rPr>
              <w:tab/>
            </w:r>
            <w:r>
              <w:rPr>
                <w:rFonts w:hint="eastAsia" w:ascii="仿宋" w:hAnsi="仿宋" w:eastAsia="仿宋" w:cs="仿宋"/>
                <w:sz w:val="24"/>
                <w:lang w:val="it-IT"/>
              </w:rPr>
              <w:t>系统具备全文检索的大数据处理能力，能够对事件进行非格式化的文本式处理，可将原始信息进行自动索引，快速搜索分析各类安全事件。系统提供即席查询功能，支持归一化字段及关键字搜索，从海量事件原始信息中获取与关键字匹配或部分匹配的所有事件。系统支持基于正则表达式的检索功能，用户可在搜索栏内输入正则表达式，系统可搜索出原始信息中与正则表达式相匹配的所有事件；</w:t>
            </w:r>
          </w:p>
          <w:p>
            <w:pPr>
              <w:rPr>
                <w:rFonts w:ascii="仿宋" w:hAnsi="仿宋" w:eastAsia="仿宋" w:cs="仿宋"/>
                <w:sz w:val="24"/>
                <w:lang w:val="it-IT"/>
              </w:rPr>
            </w:pPr>
            <w:r>
              <w:rPr>
                <w:rFonts w:hint="eastAsia" w:ascii="仿宋" w:hAnsi="仿宋" w:eastAsia="仿宋" w:cs="仿宋"/>
                <w:sz w:val="24"/>
                <w:lang w:val="it-IT"/>
              </w:rPr>
              <w:t>2）</w:t>
            </w:r>
            <w:r>
              <w:rPr>
                <w:rFonts w:hint="eastAsia" w:ascii="仿宋" w:hAnsi="仿宋" w:eastAsia="仿宋" w:cs="仿宋"/>
                <w:sz w:val="24"/>
                <w:lang w:val="it-IT"/>
              </w:rPr>
              <w:tab/>
            </w:r>
            <w:r>
              <w:rPr>
                <w:rFonts w:hint="eastAsia" w:ascii="仿宋" w:hAnsi="仿宋" w:eastAsia="仿宋" w:cs="仿宋"/>
                <w:sz w:val="24"/>
                <w:lang w:val="it-IT"/>
              </w:rPr>
              <w:t>用户可自定义事件搜索查询条件，并可保存为策略，以树形结构进行组织，形成一个搜索分析策略树；每个查询场景都可以查询策略的形式进行存储。</w:t>
            </w:r>
          </w:p>
          <w:p>
            <w:pPr>
              <w:rPr>
                <w:rFonts w:ascii="仿宋" w:hAnsi="仿宋" w:eastAsia="仿宋" w:cs="仿宋"/>
                <w:sz w:val="24"/>
                <w:lang w:val="it-IT"/>
              </w:rPr>
            </w:pPr>
            <w:r>
              <w:rPr>
                <w:rFonts w:hint="eastAsia" w:ascii="仿宋" w:hAnsi="仿宋" w:eastAsia="仿宋" w:cs="仿宋"/>
                <w:sz w:val="24"/>
                <w:lang w:val="it-IT"/>
              </w:rPr>
              <w:t>3）</w:t>
            </w:r>
            <w:r>
              <w:rPr>
                <w:rFonts w:hint="eastAsia" w:ascii="仿宋" w:hAnsi="仿宋" w:eastAsia="仿宋" w:cs="仿宋"/>
                <w:sz w:val="24"/>
                <w:lang w:val="it-IT"/>
              </w:rPr>
              <w:tab/>
            </w:r>
            <w:r>
              <w:rPr>
                <w:rFonts w:hint="eastAsia" w:ascii="仿宋" w:hAnsi="仿宋" w:eastAsia="仿宋" w:cs="仿宋"/>
                <w:sz w:val="24"/>
                <w:lang w:val="it-IT"/>
              </w:rPr>
              <w:t>可以显示一段时间的动态事件移动图，能够在图上显示每个时间切片的事件数量，点击该时间切片，可以查看该切片内的所有事件；</w:t>
            </w:r>
          </w:p>
          <w:p>
            <w:pPr>
              <w:rPr>
                <w:rFonts w:ascii="仿宋" w:hAnsi="仿宋" w:eastAsia="仿宋" w:cs="仿宋"/>
                <w:sz w:val="24"/>
                <w:lang w:val="it-IT"/>
              </w:rPr>
            </w:pPr>
            <w:r>
              <w:rPr>
                <w:rFonts w:hint="eastAsia" w:ascii="仿宋" w:hAnsi="仿宋" w:eastAsia="仿宋" w:cs="仿宋"/>
                <w:sz w:val="24"/>
                <w:lang w:val="it-IT"/>
              </w:rPr>
              <w:t>4）</w:t>
            </w:r>
            <w:r>
              <w:rPr>
                <w:rFonts w:hint="eastAsia" w:ascii="仿宋" w:hAnsi="仿宋" w:eastAsia="仿宋" w:cs="仿宋"/>
                <w:sz w:val="24"/>
                <w:lang w:val="it-IT"/>
              </w:rPr>
              <w:tab/>
            </w:r>
            <w:r>
              <w:rPr>
                <w:rFonts w:hint="eastAsia" w:ascii="仿宋" w:hAnsi="仿宋" w:eastAsia="仿宋" w:cs="仿宋"/>
                <w:sz w:val="24"/>
                <w:lang w:val="it-IT"/>
              </w:rPr>
              <w:t>动态事件移动图可设置动态刷新频率，根据刷新时间显示实时事件；</w:t>
            </w:r>
          </w:p>
          <w:p>
            <w:pPr>
              <w:rPr>
                <w:rFonts w:ascii="仿宋" w:hAnsi="仿宋" w:eastAsia="仿宋" w:cs="仿宋"/>
                <w:sz w:val="24"/>
                <w:lang w:val="it-IT"/>
              </w:rPr>
            </w:pPr>
            <w:r>
              <w:rPr>
                <w:rFonts w:hint="eastAsia" w:ascii="仿宋" w:hAnsi="仿宋" w:eastAsia="仿宋" w:cs="仿宋"/>
                <w:sz w:val="24"/>
                <w:lang w:val="it-IT"/>
              </w:rPr>
              <w:t>5）</w:t>
            </w:r>
            <w:r>
              <w:rPr>
                <w:rFonts w:hint="eastAsia" w:ascii="仿宋" w:hAnsi="仿宋" w:eastAsia="仿宋" w:cs="仿宋"/>
                <w:sz w:val="24"/>
                <w:lang w:val="it-IT"/>
              </w:rPr>
              <w:tab/>
            </w:r>
            <w:r>
              <w:rPr>
                <w:rFonts w:hint="eastAsia" w:ascii="仿宋" w:hAnsi="仿宋" w:eastAsia="仿宋" w:cs="仿宋"/>
                <w:sz w:val="24"/>
                <w:lang w:val="it-IT"/>
              </w:rPr>
              <w:t>系统支持即席在线查询，支持嵌套查询，可针对查询结果任意回退，收敛事件范围；查询结果可支持加密导出。</w:t>
            </w:r>
          </w:p>
          <w:p>
            <w:pPr>
              <w:rPr>
                <w:rFonts w:ascii="仿宋" w:hAnsi="仿宋" w:eastAsia="仿宋" w:cs="仿宋"/>
                <w:sz w:val="24"/>
                <w:lang w:val="it-IT"/>
              </w:rPr>
            </w:pPr>
            <w:r>
              <w:rPr>
                <w:rFonts w:hint="eastAsia" w:ascii="仿宋" w:hAnsi="仿宋" w:eastAsia="仿宋" w:cs="仿宋"/>
                <w:sz w:val="24"/>
                <w:lang w:val="it-IT"/>
              </w:rPr>
              <w:t>6）</w:t>
            </w:r>
            <w:r>
              <w:rPr>
                <w:rFonts w:hint="eastAsia" w:ascii="仿宋" w:hAnsi="仿宋" w:eastAsia="仿宋" w:cs="仿宋"/>
                <w:sz w:val="24"/>
                <w:lang w:val="it-IT"/>
              </w:rPr>
              <w:tab/>
            </w:r>
            <w:r>
              <w:rPr>
                <w:rFonts w:hint="eastAsia" w:ascii="仿宋" w:hAnsi="仿宋" w:eastAsia="仿宋" w:cs="仿宋"/>
                <w:sz w:val="24"/>
                <w:lang w:val="it-IT"/>
              </w:rPr>
              <w:t>用户点击事件任意属性字段，可以该字段为条件对事件进行统计分析，并展示Top 20排序，排序支持正序和倒序，并可对统计内容进行点击下钻；</w:t>
            </w:r>
          </w:p>
          <w:p>
            <w:pPr>
              <w:rPr>
                <w:rFonts w:ascii="仿宋" w:hAnsi="仿宋" w:eastAsia="仿宋" w:cs="仿宋"/>
                <w:sz w:val="24"/>
                <w:lang w:val="it-IT"/>
              </w:rPr>
            </w:pPr>
            <w:r>
              <w:rPr>
                <w:rFonts w:hint="eastAsia" w:ascii="仿宋" w:hAnsi="仿宋" w:eastAsia="仿宋" w:cs="仿宋"/>
                <w:sz w:val="24"/>
                <w:lang w:val="it-IT"/>
              </w:rPr>
              <w:t>7）</w:t>
            </w:r>
            <w:r>
              <w:rPr>
                <w:rFonts w:hint="eastAsia" w:ascii="仿宋" w:hAnsi="仿宋" w:eastAsia="仿宋" w:cs="仿宋"/>
                <w:sz w:val="24"/>
                <w:lang w:val="it-IT"/>
              </w:rPr>
              <w:tab/>
            </w:r>
            <w:r>
              <w:rPr>
                <w:rFonts w:hint="eastAsia" w:ascii="仿宋" w:hAnsi="仿宋" w:eastAsia="仿宋" w:cs="仿宋"/>
                <w:sz w:val="24"/>
                <w:lang w:val="it-IT"/>
              </w:rPr>
              <w:t>用户点击单条事件，可对该事件进行展开，显示事件详细信息和原始信息</w:t>
            </w:r>
          </w:p>
          <w:p>
            <w:pPr>
              <w:rPr>
                <w:rFonts w:ascii="仿宋" w:hAnsi="仿宋" w:eastAsia="仿宋" w:cs="仿宋"/>
                <w:sz w:val="24"/>
                <w:lang w:val="it-IT"/>
              </w:rPr>
            </w:pPr>
            <w:r>
              <w:rPr>
                <w:rFonts w:hint="eastAsia" w:ascii="仿宋" w:hAnsi="仿宋" w:eastAsia="仿宋" w:cs="仿宋"/>
                <w:sz w:val="24"/>
                <w:lang w:val="it-IT"/>
              </w:rPr>
              <w:t>8）</w:t>
            </w:r>
            <w:r>
              <w:rPr>
                <w:rFonts w:hint="eastAsia" w:ascii="仿宋" w:hAnsi="仿宋" w:eastAsia="仿宋" w:cs="仿宋"/>
                <w:sz w:val="24"/>
                <w:lang w:val="it-IT"/>
              </w:rPr>
              <w:tab/>
            </w:r>
            <w:r>
              <w:rPr>
                <w:rFonts w:hint="eastAsia" w:ascii="仿宋" w:hAnsi="仿宋" w:eastAsia="仿宋" w:cs="仿宋"/>
                <w:sz w:val="24"/>
                <w:lang w:val="it-IT"/>
              </w:rPr>
              <w:t>可以对事件依据其源目的IP和端口等各类字段信息进行深入的事件追踪调查，支持无限次数的追踪调查；</w:t>
            </w:r>
          </w:p>
          <w:p>
            <w:pPr>
              <w:rPr>
                <w:rFonts w:ascii="仿宋" w:hAnsi="仿宋" w:eastAsia="仿宋" w:cs="仿宋"/>
                <w:sz w:val="24"/>
                <w:lang w:val="it-IT"/>
              </w:rPr>
            </w:pPr>
            <w:r>
              <w:rPr>
                <w:rFonts w:hint="eastAsia" w:ascii="仿宋" w:hAnsi="仿宋" w:eastAsia="仿宋" w:cs="仿宋"/>
                <w:sz w:val="24"/>
                <w:lang w:val="it-IT"/>
              </w:rPr>
              <w:t>9）</w:t>
            </w:r>
            <w:r>
              <w:rPr>
                <w:rFonts w:hint="eastAsia" w:ascii="仿宋" w:hAnsi="仿宋" w:eastAsia="仿宋" w:cs="仿宋"/>
                <w:sz w:val="24"/>
                <w:lang w:val="it-IT"/>
              </w:rPr>
              <w:tab/>
            </w:r>
            <w:r>
              <w:rPr>
                <w:rFonts w:hint="eastAsia" w:ascii="仿宋" w:hAnsi="仿宋" w:eastAsia="仿宋" w:cs="仿宋"/>
                <w:sz w:val="24"/>
                <w:lang w:val="it-IT"/>
              </w:rPr>
              <w:t>系统具备丰富的事件可视化展示能力，具备多种展现手段，至少包括数值、动态事件移动图、事件统计图、饼状图、柱状图、堆积图、折线图、面积图、列表、地图等；</w:t>
            </w:r>
          </w:p>
          <w:p>
            <w:pPr>
              <w:rPr>
                <w:rFonts w:ascii="仿宋" w:hAnsi="仿宋" w:eastAsia="仿宋" w:cs="仿宋"/>
                <w:sz w:val="24"/>
                <w:lang w:val="it-IT"/>
              </w:rPr>
            </w:pPr>
            <w:r>
              <w:rPr>
                <w:rFonts w:hint="eastAsia" w:ascii="仿宋" w:hAnsi="仿宋" w:eastAsia="仿宋" w:cs="仿宋"/>
                <w:sz w:val="24"/>
                <w:lang w:val="it-IT"/>
              </w:rPr>
              <w:t>10）可以以图形化的方式形象的展示一段时间内的日志中IP节点之间的访问行为和关系。</w:t>
            </w:r>
          </w:p>
          <w:p>
            <w:pPr>
              <w:rPr>
                <w:rFonts w:ascii="仿宋" w:hAnsi="仿宋" w:eastAsia="仿宋" w:cs="仿宋"/>
                <w:sz w:val="24"/>
                <w:lang w:val="it-IT"/>
              </w:rPr>
            </w:pPr>
            <w:r>
              <w:rPr>
                <w:rFonts w:hint="eastAsia" w:ascii="仿宋" w:hAnsi="仿宋" w:eastAsia="仿宋" w:cs="仿宋"/>
                <w:sz w:val="24"/>
                <w:lang w:val="it-IT"/>
              </w:rPr>
              <w:t>11）能够在世界地图上实时定位事件源/目的IP地址的地理位置；（截图证明）</w:t>
            </w:r>
          </w:p>
          <w:p>
            <w:pPr>
              <w:rPr>
                <w:rFonts w:ascii="仿宋" w:hAnsi="仿宋" w:eastAsia="仿宋" w:cs="仿宋"/>
                <w:sz w:val="24"/>
                <w:lang w:val="it-IT"/>
              </w:rPr>
            </w:pPr>
            <w:r>
              <w:rPr>
                <w:rFonts w:hint="eastAsia" w:ascii="仿宋" w:hAnsi="仿宋" w:eastAsia="仿宋" w:cs="仿宋"/>
                <w:sz w:val="24"/>
                <w:lang w:val="it-IT"/>
              </w:rPr>
              <w:t>■12）采用机器学习对原始日志进行聚类分析，能够对原始日志结构模式进行自动识别(无须范化)，使审计人员清晰了解采集的日志构成（提供截图）。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43" w:type="pct"/>
            <w:vAlign w:val="center"/>
          </w:tcPr>
          <w:p>
            <w:pPr>
              <w:jc w:val="center"/>
              <w:rPr>
                <w:rFonts w:ascii="仿宋" w:hAnsi="仿宋" w:eastAsia="仿宋" w:cs="仿宋"/>
                <w:sz w:val="24"/>
                <w:lang w:val="it-IT"/>
              </w:rPr>
            </w:pPr>
            <w:r>
              <w:rPr>
                <w:rFonts w:hint="eastAsia" w:ascii="仿宋" w:hAnsi="仿宋" w:eastAsia="仿宋" w:cs="仿宋"/>
                <w:sz w:val="24"/>
                <w:lang w:val="it-IT"/>
              </w:rPr>
              <w:t>日志统计分析</w:t>
            </w:r>
          </w:p>
        </w:tc>
        <w:tc>
          <w:tcPr>
            <w:tcW w:w="4356" w:type="pct"/>
            <w:vAlign w:val="center"/>
          </w:tcPr>
          <w:p>
            <w:pPr>
              <w:rPr>
                <w:rFonts w:ascii="仿宋" w:hAnsi="仿宋" w:eastAsia="仿宋" w:cs="仿宋"/>
                <w:sz w:val="24"/>
                <w:lang w:val="it-IT"/>
              </w:rPr>
            </w:pPr>
            <w:r>
              <w:rPr>
                <w:rFonts w:hint="eastAsia" w:ascii="仿宋" w:hAnsi="仿宋" w:eastAsia="仿宋" w:cs="仿宋"/>
                <w:sz w:val="24"/>
                <w:lang w:val="it-IT"/>
              </w:rPr>
              <w:t>1）</w:t>
            </w:r>
            <w:r>
              <w:rPr>
                <w:rFonts w:hint="eastAsia" w:ascii="仿宋" w:hAnsi="仿宋" w:eastAsia="仿宋" w:cs="仿宋"/>
                <w:sz w:val="24"/>
                <w:lang w:val="it-IT"/>
              </w:rPr>
              <w:tab/>
            </w:r>
            <w:r>
              <w:rPr>
                <w:rFonts w:hint="eastAsia" w:ascii="仿宋" w:hAnsi="仿宋" w:eastAsia="仿宋" w:cs="仿宋"/>
                <w:sz w:val="24"/>
                <w:lang w:val="it-IT"/>
              </w:rPr>
              <w:t>可自定义统计场景，统计的字段条件和时间段以及过滤器等可自由设定；</w:t>
            </w:r>
          </w:p>
          <w:p>
            <w:pPr>
              <w:rPr>
                <w:rFonts w:ascii="仿宋" w:hAnsi="仿宋" w:eastAsia="仿宋" w:cs="仿宋"/>
                <w:sz w:val="24"/>
                <w:lang w:val="it-IT"/>
              </w:rPr>
            </w:pPr>
            <w:r>
              <w:rPr>
                <w:rFonts w:hint="eastAsia" w:ascii="仿宋" w:hAnsi="仿宋" w:eastAsia="仿宋" w:cs="仿宋"/>
                <w:sz w:val="24"/>
                <w:lang w:val="it-IT"/>
              </w:rPr>
              <w:t>2）</w:t>
            </w:r>
            <w:r>
              <w:rPr>
                <w:rFonts w:hint="eastAsia" w:ascii="仿宋" w:hAnsi="仿宋" w:eastAsia="仿宋" w:cs="仿宋"/>
                <w:sz w:val="24"/>
                <w:lang w:val="it-IT"/>
              </w:rPr>
              <w:tab/>
            </w:r>
            <w:r>
              <w:rPr>
                <w:rFonts w:hint="eastAsia" w:ascii="仿宋" w:hAnsi="仿宋" w:eastAsia="仿宋" w:cs="仿宋"/>
                <w:sz w:val="24"/>
                <w:lang w:val="it-IT"/>
              </w:rPr>
              <w:t>支持柱状图、饼图、折线图、面积图、堆积图、环状图、数值图、地图等形式的统计信息可视化展示，并可将统计结果保存为仪表板和报表等。图表数据支持数据下钻。</w:t>
            </w:r>
          </w:p>
          <w:p>
            <w:pPr>
              <w:rPr>
                <w:rFonts w:ascii="仿宋" w:hAnsi="仿宋" w:eastAsia="仿宋" w:cs="仿宋"/>
                <w:sz w:val="24"/>
                <w:lang w:val="it-IT"/>
              </w:rPr>
            </w:pPr>
            <w:r>
              <w:rPr>
                <w:rFonts w:hint="eastAsia" w:ascii="仿宋" w:hAnsi="仿宋" w:eastAsia="仿宋" w:cs="仿宋"/>
                <w:sz w:val="24"/>
                <w:lang w:val="it-IT"/>
              </w:rPr>
              <w:t>■3）</w:t>
            </w:r>
            <w:r>
              <w:rPr>
                <w:rFonts w:hint="eastAsia" w:ascii="仿宋" w:hAnsi="仿宋" w:eastAsia="仿宋" w:cs="仿宋"/>
                <w:sz w:val="24"/>
                <w:lang w:val="it-IT"/>
              </w:rPr>
              <w:tab/>
            </w:r>
            <w:r>
              <w:rPr>
                <w:rFonts w:hint="eastAsia" w:ascii="仿宋" w:hAnsi="仿宋" w:eastAsia="仿宋" w:cs="仿宋"/>
                <w:sz w:val="24"/>
                <w:lang w:val="it-IT"/>
              </w:rPr>
              <w:t>支持将统计结果保存为仪表板、报表和策略（须提供截图）。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43" w:type="pct"/>
            <w:vAlign w:val="center"/>
          </w:tcPr>
          <w:p>
            <w:pPr>
              <w:jc w:val="center"/>
              <w:rPr>
                <w:rFonts w:ascii="仿宋" w:hAnsi="仿宋" w:eastAsia="仿宋" w:cs="仿宋"/>
                <w:sz w:val="24"/>
                <w:lang w:val="it-IT"/>
              </w:rPr>
            </w:pPr>
            <w:r>
              <w:rPr>
                <w:rFonts w:hint="eastAsia" w:ascii="仿宋" w:hAnsi="仿宋" w:eastAsia="仿宋" w:cs="仿宋"/>
                <w:sz w:val="24"/>
                <w:lang w:val="it-IT"/>
              </w:rPr>
              <w:t>日志综合展现</w:t>
            </w:r>
          </w:p>
        </w:tc>
        <w:tc>
          <w:tcPr>
            <w:tcW w:w="4356" w:type="pct"/>
            <w:vAlign w:val="center"/>
          </w:tcPr>
          <w:p>
            <w:pPr>
              <w:rPr>
                <w:rFonts w:ascii="仿宋" w:hAnsi="仿宋" w:eastAsia="仿宋" w:cs="仿宋"/>
                <w:sz w:val="24"/>
                <w:lang w:val="it-IT"/>
              </w:rPr>
            </w:pPr>
            <w:r>
              <w:rPr>
                <w:rFonts w:hint="eastAsia" w:ascii="仿宋" w:hAnsi="仿宋" w:eastAsia="仿宋" w:cs="仿宋"/>
                <w:sz w:val="24"/>
                <w:lang w:val="it-IT"/>
              </w:rPr>
              <w:t>1）</w:t>
            </w:r>
            <w:r>
              <w:rPr>
                <w:rFonts w:hint="eastAsia" w:ascii="仿宋" w:hAnsi="仿宋" w:eastAsia="仿宋" w:cs="仿宋"/>
                <w:sz w:val="24"/>
                <w:lang w:val="it-IT"/>
              </w:rPr>
              <w:tab/>
            </w:r>
            <w:r>
              <w:rPr>
                <w:rFonts w:hint="eastAsia" w:ascii="仿宋" w:hAnsi="仿宋" w:eastAsia="仿宋" w:cs="仿宋"/>
                <w:sz w:val="24"/>
                <w:lang w:val="it-IT"/>
              </w:rPr>
              <w:t>系统提供可编辑的灵活强大的自定义仪表板；</w:t>
            </w:r>
          </w:p>
          <w:p>
            <w:pPr>
              <w:rPr>
                <w:rFonts w:ascii="仿宋" w:hAnsi="仿宋" w:eastAsia="仿宋" w:cs="仿宋"/>
                <w:sz w:val="24"/>
                <w:lang w:val="it-IT"/>
              </w:rPr>
            </w:pPr>
            <w:r>
              <w:rPr>
                <w:rFonts w:hint="eastAsia" w:ascii="仿宋" w:hAnsi="仿宋" w:eastAsia="仿宋" w:cs="仿宋"/>
                <w:sz w:val="24"/>
                <w:lang w:val="it-IT"/>
              </w:rPr>
              <w:t>2）</w:t>
            </w:r>
            <w:r>
              <w:rPr>
                <w:rFonts w:hint="eastAsia" w:ascii="仿宋" w:hAnsi="仿宋" w:eastAsia="仿宋" w:cs="仿宋"/>
                <w:sz w:val="24"/>
                <w:lang w:val="it-IT"/>
              </w:rPr>
              <w:tab/>
            </w:r>
            <w:r>
              <w:rPr>
                <w:rFonts w:hint="eastAsia" w:ascii="仿宋" w:hAnsi="仿宋" w:eastAsia="仿宋" w:cs="仿宋"/>
                <w:sz w:val="24"/>
                <w:lang w:val="it-IT"/>
              </w:rPr>
              <w:t>系统内置仪表板至少包括日志源事件分析仪表板，Windows事件分析仪表板，网络设备分析仪表板，防火墙事件总览分析仪表板，WEB事件总览分析仪表板，FTP服务器日志分析等；</w:t>
            </w:r>
          </w:p>
          <w:p>
            <w:pPr>
              <w:rPr>
                <w:rFonts w:ascii="仿宋" w:hAnsi="仿宋" w:eastAsia="仿宋" w:cs="仿宋"/>
                <w:sz w:val="24"/>
                <w:lang w:val="it-IT"/>
              </w:rPr>
            </w:pPr>
            <w:r>
              <w:rPr>
                <w:rFonts w:hint="eastAsia" w:ascii="仿宋" w:hAnsi="仿宋" w:eastAsia="仿宋" w:cs="仿宋"/>
                <w:sz w:val="24"/>
                <w:lang w:val="it-IT"/>
              </w:rPr>
              <w:t>■3）</w:t>
            </w:r>
            <w:r>
              <w:rPr>
                <w:rFonts w:hint="eastAsia" w:ascii="仿宋" w:hAnsi="仿宋" w:eastAsia="仿宋" w:cs="仿宋"/>
                <w:sz w:val="24"/>
                <w:lang w:val="it-IT"/>
              </w:rPr>
              <w:tab/>
            </w:r>
            <w:r>
              <w:rPr>
                <w:rFonts w:hint="eastAsia" w:ascii="仿宋" w:hAnsi="仿宋" w:eastAsia="仿宋" w:cs="仿宋"/>
                <w:sz w:val="24"/>
                <w:lang w:val="it-IT"/>
              </w:rPr>
              <w:t>仪表板支持自定义创建框架，用户根据需要在框架内添加不同的仪表板组件（数值、折线、面积、柱图、饼图、环状图、地图、组件、URL、文本、图片、列表等），支持组件位置自由摆放，组件大小自由拖曳等。（须提供截图证明）</w:t>
            </w:r>
          </w:p>
          <w:p>
            <w:pPr>
              <w:rPr>
                <w:rFonts w:ascii="仿宋" w:hAnsi="仿宋" w:eastAsia="仿宋" w:cs="仿宋"/>
                <w:sz w:val="24"/>
                <w:lang w:val="it-IT"/>
              </w:rPr>
            </w:pPr>
            <w:r>
              <w:rPr>
                <w:rFonts w:hint="eastAsia" w:ascii="仿宋" w:hAnsi="仿宋" w:eastAsia="仿宋" w:cs="仿宋"/>
                <w:sz w:val="24"/>
                <w:lang w:val="it-IT"/>
              </w:rPr>
              <w:t>4） 用户可根据需要随时调整已创建的仪表板，编辑仪表板展示条件，调整大小和位置、新增组件等；可针对仪表板的任一元素进行下钻，查看原始日志。</w:t>
            </w:r>
            <w:r>
              <w:rPr>
                <w:rFonts w:hint="eastAsia" w:ascii="仿宋" w:hAnsi="仿宋" w:eastAsia="仿宋" w:cs="仿宋"/>
                <w:sz w:val="24"/>
                <w:lang w:val="it-IT"/>
              </w:rPr>
              <w:br w:type="textWrapping"/>
            </w:r>
            <w:r>
              <w:rPr>
                <w:rFonts w:hint="eastAsia" w:ascii="仿宋" w:hAnsi="仿宋" w:eastAsia="仿宋" w:cs="仿宋"/>
                <w:sz w:val="24"/>
                <w:lang w:val="it-IT"/>
              </w:rPr>
              <w:t xml:space="preserve">    5） 支持仪表板导入导出，支持仪表板共享，可将仪表板共享给其他用户。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43" w:type="pct"/>
            <w:vAlign w:val="center"/>
          </w:tcPr>
          <w:p>
            <w:pPr>
              <w:jc w:val="center"/>
              <w:rPr>
                <w:rFonts w:ascii="仿宋" w:hAnsi="仿宋" w:eastAsia="仿宋" w:cs="仿宋"/>
                <w:sz w:val="24"/>
                <w:lang w:val="it-IT"/>
              </w:rPr>
            </w:pPr>
            <w:r>
              <w:rPr>
                <w:rFonts w:hint="eastAsia" w:ascii="仿宋" w:hAnsi="仿宋" w:eastAsia="仿宋" w:cs="仿宋"/>
                <w:sz w:val="24"/>
                <w:lang w:val="it-IT"/>
              </w:rPr>
              <w:t>关联分析</w:t>
            </w:r>
          </w:p>
        </w:tc>
        <w:tc>
          <w:tcPr>
            <w:tcW w:w="4356" w:type="pct"/>
            <w:vAlign w:val="center"/>
          </w:tcPr>
          <w:p>
            <w:pPr>
              <w:rPr>
                <w:rFonts w:ascii="仿宋" w:hAnsi="仿宋" w:eastAsia="仿宋" w:cs="仿宋"/>
                <w:sz w:val="24"/>
                <w:lang w:val="it-IT"/>
              </w:rPr>
            </w:pPr>
            <w:r>
              <w:rPr>
                <w:rFonts w:hint="eastAsia" w:ascii="仿宋" w:hAnsi="仿宋" w:eastAsia="仿宋" w:cs="仿宋"/>
                <w:sz w:val="24"/>
                <w:lang w:val="it-IT"/>
              </w:rPr>
              <w:t>1）</w:t>
            </w:r>
            <w:r>
              <w:rPr>
                <w:rFonts w:hint="eastAsia" w:ascii="仿宋" w:hAnsi="仿宋" w:eastAsia="仿宋" w:cs="仿宋"/>
                <w:sz w:val="24"/>
                <w:lang w:val="it-IT"/>
              </w:rPr>
              <w:tab/>
            </w:r>
            <w:r>
              <w:rPr>
                <w:rFonts w:hint="eastAsia" w:ascii="仿宋" w:hAnsi="仿宋" w:eastAsia="仿宋" w:cs="仿宋"/>
                <w:sz w:val="24"/>
                <w:lang w:val="it-IT"/>
              </w:rPr>
              <w:t xml:space="preserve">具备完善的基于规则的关联分析引擎，能够提供逻辑关联、统计关联和递归关联三种关联分析能力。其中，逻辑关联支持与、或、非逻辑，支持丰富的逻辑表达式（包括并不限于大于、大于等于、小于、小于等于、不等于、包含、在……之间、属于、开始于、结束于、是否为空、通配符匹配、正则匹配等），支持逻辑嵌套； </w:t>
            </w:r>
          </w:p>
          <w:p>
            <w:pPr>
              <w:rPr>
                <w:rFonts w:ascii="仿宋" w:hAnsi="仿宋" w:eastAsia="仿宋" w:cs="仿宋"/>
                <w:sz w:val="24"/>
                <w:lang w:val="it-IT"/>
              </w:rPr>
            </w:pPr>
            <w:r>
              <w:rPr>
                <w:rFonts w:hint="eastAsia" w:ascii="仿宋" w:hAnsi="仿宋" w:eastAsia="仿宋" w:cs="仿宋"/>
                <w:sz w:val="24"/>
                <w:lang w:val="it-IT"/>
              </w:rPr>
              <w:t>2）</w:t>
            </w:r>
            <w:r>
              <w:rPr>
                <w:rFonts w:hint="eastAsia" w:ascii="仿宋" w:hAnsi="仿宋" w:eastAsia="仿宋" w:cs="仿宋"/>
                <w:sz w:val="24"/>
                <w:lang w:val="it-IT"/>
              </w:rPr>
              <w:tab/>
            </w:r>
            <w:r>
              <w:rPr>
                <w:rFonts w:hint="eastAsia" w:ascii="仿宋" w:hAnsi="仿宋" w:eastAsia="仿宋" w:cs="仿宋"/>
                <w:sz w:val="24"/>
                <w:lang w:val="it-IT"/>
              </w:rPr>
              <w:t>关联规则支持规则嵌套和引用，通过多规则联合，可精确识别复杂安全事件和场景；</w:t>
            </w:r>
          </w:p>
          <w:p>
            <w:pPr>
              <w:rPr>
                <w:rFonts w:ascii="仿宋" w:hAnsi="仿宋" w:eastAsia="仿宋" w:cs="仿宋"/>
                <w:sz w:val="24"/>
                <w:lang w:val="it-IT"/>
              </w:rPr>
            </w:pPr>
            <w:r>
              <w:rPr>
                <w:rFonts w:hint="eastAsia" w:ascii="仿宋" w:hAnsi="仿宋" w:eastAsia="仿宋" w:cs="仿宋"/>
                <w:sz w:val="24"/>
                <w:lang w:val="it-IT"/>
              </w:rPr>
              <w:t>3）</w:t>
            </w:r>
            <w:r>
              <w:rPr>
                <w:rFonts w:hint="eastAsia" w:ascii="仿宋" w:hAnsi="仿宋" w:eastAsia="仿宋" w:cs="仿宋"/>
                <w:sz w:val="24"/>
                <w:lang w:val="it-IT"/>
              </w:rPr>
              <w:tab/>
            </w:r>
            <w:r>
              <w:rPr>
                <w:rFonts w:hint="eastAsia" w:ascii="仿宋" w:hAnsi="仿宋" w:eastAsia="仿宋" w:cs="仿宋"/>
                <w:sz w:val="24"/>
                <w:lang w:val="it-IT"/>
              </w:rPr>
              <w:t>必须具备单事件关联和多事件关联，能够针对多个不同类型不同来源的安全事件进行综合关联分析；</w:t>
            </w:r>
          </w:p>
          <w:p>
            <w:pPr>
              <w:rPr>
                <w:rFonts w:ascii="仿宋" w:hAnsi="仿宋" w:eastAsia="仿宋" w:cs="仿宋"/>
                <w:sz w:val="24"/>
                <w:lang w:val="it-IT"/>
              </w:rPr>
            </w:pPr>
            <w:r>
              <w:rPr>
                <w:rFonts w:hint="eastAsia" w:ascii="仿宋" w:hAnsi="仿宋" w:eastAsia="仿宋" w:cs="仿宋"/>
                <w:sz w:val="24"/>
                <w:lang w:val="it-IT"/>
              </w:rPr>
              <w:t>4）</w:t>
            </w:r>
            <w:r>
              <w:rPr>
                <w:rFonts w:hint="eastAsia" w:ascii="仿宋" w:hAnsi="仿宋" w:eastAsia="仿宋" w:cs="仿宋"/>
                <w:sz w:val="24"/>
                <w:lang w:val="it-IT"/>
              </w:rPr>
              <w:tab/>
            </w:r>
            <w:r>
              <w:rPr>
                <w:rFonts w:hint="eastAsia" w:ascii="仿宋" w:hAnsi="仿宋" w:eastAsia="仿宋" w:cs="仿宋"/>
                <w:sz w:val="24"/>
                <w:lang w:val="it-IT"/>
              </w:rPr>
              <w:t>关联规则支持导入导出；支持关联规则复制；</w:t>
            </w:r>
          </w:p>
          <w:p>
            <w:pPr>
              <w:rPr>
                <w:rFonts w:ascii="仿宋" w:hAnsi="仿宋" w:eastAsia="仿宋" w:cs="仿宋"/>
                <w:sz w:val="24"/>
                <w:lang w:val="it-IT"/>
              </w:rPr>
            </w:pPr>
            <w:r>
              <w:rPr>
                <w:rFonts w:hint="eastAsia" w:ascii="仿宋" w:hAnsi="仿宋" w:eastAsia="仿宋" w:cs="仿宋"/>
                <w:sz w:val="24"/>
                <w:lang w:val="it-IT"/>
              </w:rPr>
              <w:t>5） 支持对关联规则进行监控，了解该规则命中历史情况；</w:t>
            </w:r>
          </w:p>
          <w:p>
            <w:pPr>
              <w:rPr>
                <w:rFonts w:ascii="仿宋" w:hAnsi="仿宋" w:eastAsia="仿宋" w:cs="仿宋"/>
                <w:sz w:val="24"/>
                <w:lang w:val="it-IT"/>
              </w:rPr>
            </w:pPr>
            <w:r>
              <w:rPr>
                <w:rFonts w:hint="eastAsia" w:ascii="仿宋" w:hAnsi="仿宋" w:eastAsia="仿宋" w:cs="仿宋"/>
                <w:sz w:val="24"/>
                <w:lang w:val="it-IT"/>
              </w:rPr>
              <w:t>6）</w:t>
            </w:r>
            <w:r>
              <w:rPr>
                <w:rFonts w:hint="eastAsia" w:ascii="仿宋" w:hAnsi="仿宋" w:eastAsia="仿宋" w:cs="仿宋"/>
                <w:sz w:val="24"/>
                <w:lang w:val="it-IT"/>
              </w:rPr>
              <w:tab/>
            </w:r>
            <w:r>
              <w:rPr>
                <w:rFonts w:hint="eastAsia" w:ascii="仿宋" w:hAnsi="仿宋" w:eastAsia="仿宋" w:cs="仿宋"/>
                <w:sz w:val="24"/>
                <w:lang w:val="it-IT"/>
              </w:rPr>
              <w:t xml:space="preserve">支持分布式关联分析引擎，可以弹性扩展分析能力；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43" w:type="pct"/>
            <w:vAlign w:val="center"/>
          </w:tcPr>
          <w:p>
            <w:pPr>
              <w:jc w:val="center"/>
              <w:rPr>
                <w:rFonts w:ascii="仿宋" w:hAnsi="仿宋" w:eastAsia="仿宋" w:cs="仿宋"/>
                <w:sz w:val="24"/>
                <w:lang w:val="it-IT"/>
              </w:rPr>
            </w:pPr>
            <w:r>
              <w:rPr>
                <w:rFonts w:hint="eastAsia" w:ascii="仿宋" w:hAnsi="仿宋" w:eastAsia="仿宋" w:cs="仿宋"/>
                <w:sz w:val="24"/>
                <w:lang w:val="it-IT"/>
              </w:rPr>
              <w:t>告警管理</w:t>
            </w:r>
          </w:p>
        </w:tc>
        <w:tc>
          <w:tcPr>
            <w:tcW w:w="4356" w:type="pct"/>
            <w:vAlign w:val="center"/>
          </w:tcPr>
          <w:p>
            <w:pPr>
              <w:rPr>
                <w:rFonts w:ascii="仿宋" w:hAnsi="仿宋" w:eastAsia="仿宋" w:cs="仿宋"/>
                <w:sz w:val="24"/>
                <w:lang w:val="it-IT"/>
              </w:rPr>
            </w:pPr>
            <w:r>
              <w:rPr>
                <w:rFonts w:hint="eastAsia" w:ascii="仿宋" w:hAnsi="仿宋" w:eastAsia="仿宋" w:cs="仿宋"/>
                <w:sz w:val="24"/>
                <w:lang w:val="it-IT"/>
              </w:rPr>
              <w:t>1）</w:t>
            </w:r>
            <w:r>
              <w:rPr>
                <w:rFonts w:hint="eastAsia" w:ascii="仿宋" w:hAnsi="仿宋" w:eastAsia="仿宋" w:cs="仿宋"/>
                <w:sz w:val="24"/>
                <w:lang w:val="it-IT"/>
              </w:rPr>
              <w:tab/>
            </w:r>
            <w:r>
              <w:rPr>
                <w:rFonts w:hint="eastAsia" w:ascii="仿宋" w:hAnsi="仿宋" w:eastAsia="仿宋" w:cs="仿宋"/>
                <w:sz w:val="24"/>
                <w:lang w:val="it-IT"/>
              </w:rPr>
              <w:t>告警规则可以自定义，告警可查询，支持列表和统计展示；</w:t>
            </w:r>
          </w:p>
          <w:p>
            <w:pPr>
              <w:rPr>
                <w:rFonts w:ascii="仿宋" w:hAnsi="仿宋" w:eastAsia="仿宋" w:cs="仿宋"/>
                <w:sz w:val="24"/>
                <w:lang w:val="it-IT"/>
              </w:rPr>
            </w:pPr>
            <w:r>
              <w:rPr>
                <w:rFonts w:hint="eastAsia" w:ascii="仿宋" w:hAnsi="仿宋" w:eastAsia="仿宋" w:cs="仿宋"/>
                <w:sz w:val="24"/>
                <w:lang w:val="it-IT"/>
              </w:rPr>
              <w:t>2）</w:t>
            </w:r>
            <w:r>
              <w:rPr>
                <w:rFonts w:hint="eastAsia" w:ascii="仿宋" w:hAnsi="仿宋" w:eastAsia="仿宋" w:cs="仿宋"/>
                <w:sz w:val="24"/>
                <w:lang w:val="it-IT"/>
              </w:rPr>
              <w:tab/>
            </w:r>
            <w:r>
              <w:rPr>
                <w:rFonts w:hint="eastAsia" w:ascii="仿宋" w:hAnsi="仿宋" w:eastAsia="仿宋" w:cs="仿宋"/>
                <w:sz w:val="24"/>
                <w:lang w:val="it-IT"/>
              </w:rPr>
              <w:t>支持告警归并，有效抑制重复告警，归并规则可自定义；</w:t>
            </w:r>
          </w:p>
          <w:p>
            <w:pPr>
              <w:rPr>
                <w:rFonts w:ascii="仿宋" w:hAnsi="仿宋" w:eastAsia="仿宋" w:cs="仿宋"/>
                <w:sz w:val="24"/>
                <w:lang w:val="it-IT"/>
              </w:rPr>
            </w:pPr>
            <w:r>
              <w:rPr>
                <w:rFonts w:hint="eastAsia" w:ascii="仿宋" w:hAnsi="仿宋" w:eastAsia="仿宋" w:cs="仿宋"/>
                <w:sz w:val="24"/>
                <w:lang w:val="it-IT"/>
              </w:rPr>
              <w:t>3） 系统自带4中告警分类场景：外部威胁、外连威胁、横向攻击、自身告警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43" w:type="pct"/>
            <w:vAlign w:val="center"/>
          </w:tcPr>
          <w:p>
            <w:pPr>
              <w:jc w:val="center"/>
              <w:rPr>
                <w:rFonts w:ascii="仿宋" w:hAnsi="仿宋" w:eastAsia="仿宋" w:cs="仿宋"/>
                <w:sz w:val="24"/>
                <w:lang w:val="it-IT"/>
              </w:rPr>
            </w:pPr>
            <w:r>
              <w:rPr>
                <w:rFonts w:hint="eastAsia" w:ascii="仿宋" w:hAnsi="仿宋" w:eastAsia="仿宋" w:cs="仿宋"/>
                <w:sz w:val="24"/>
                <w:lang w:val="it-IT"/>
              </w:rPr>
              <w:t>报表管理</w:t>
            </w:r>
          </w:p>
        </w:tc>
        <w:tc>
          <w:tcPr>
            <w:tcW w:w="4356" w:type="pct"/>
            <w:vAlign w:val="center"/>
          </w:tcPr>
          <w:p>
            <w:pPr>
              <w:rPr>
                <w:rFonts w:ascii="仿宋" w:hAnsi="仿宋" w:eastAsia="仿宋" w:cs="仿宋"/>
                <w:sz w:val="24"/>
                <w:lang w:val="it-IT"/>
              </w:rPr>
            </w:pPr>
            <w:r>
              <w:rPr>
                <w:rFonts w:hint="eastAsia" w:ascii="仿宋" w:hAnsi="仿宋" w:eastAsia="仿宋" w:cs="仿宋"/>
                <w:sz w:val="24"/>
                <w:lang w:val="it-IT"/>
              </w:rPr>
              <w:t>提供丰富的报表管理功能，预定义了针对各类服务器、网络设备、防火墙、入侵检测系统、防病毒系统、终端安全管理系统、数据库、策略变更、流量，设备事件趋势以及总体报表，满足等保等其他合规性要求；根据时间、数据类型等生成报表，提供打印、导出以及邮件送达等服务；直观地为管理员提供决策和分析的数据基础，帮助管理员掌握网络及业务系统的状况。报表可以保存为html，excel，pdf等多种格式。</w:t>
            </w:r>
          </w:p>
          <w:p>
            <w:pPr>
              <w:rPr>
                <w:rFonts w:ascii="仿宋" w:hAnsi="仿宋" w:eastAsia="仿宋" w:cs="仿宋"/>
                <w:sz w:val="24"/>
                <w:lang w:val="it-IT"/>
              </w:rPr>
            </w:pPr>
            <w:r>
              <w:rPr>
                <w:rFonts w:hint="eastAsia" w:ascii="仿宋" w:hAnsi="仿宋" w:eastAsia="仿宋" w:cs="仿宋"/>
                <w:sz w:val="24"/>
                <w:lang w:val="it-IT"/>
              </w:rPr>
              <w:t>系统支持提供安全运维报告，帮助运维人员快速生成日常日志分析和运维报告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43" w:type="pct"/>
            <w:vAlign w:val="center"/>
          </w:tcPr>
          <w:p>
            <w:pPr>
              <w:jc w:val="center"/>
              <w:rPr>
                <w:rFonts w:ascii="仿宋" w:hAnsi="仿宋" w:eastAsia="仿宋" w:cs="仿宋"/>
                <w:sz w:val="24"/>
                <w:lang w:val="it-IT"/>
              </w:rPr>
            </w:pPr>
            <w:r>
              <w:rPr>
                <w:rFonts w:hint="eastAsia" w:ascii="仿宋" w:hAnsi="仿宋" w:eastAsia="仿宋" w:cs="仿宋"/>
                <w:sz w:val="24"/>
                <w:lang w:val="it-IT"/>
              </w:rPr>
              <w:t>备份归档</w:t>
            </w:r>
          </w:p>
        </w:tc>
        <w:tc>
          <w:tcPr>
            <w:tcW w:w="4356" w:type="pct"/>
            <w:vAlign w:val="center"/>
          </w:tcPr>
          <w:p>
            <w:pPr>
              <w:rPr>
                <w:rFonts w:ascii="仿宋" w:hAnsi="仿宋" w:eastAsia="仿宋" w:cs="仿宋"/>
                <w:sz w:val="24"/>
                <w:lang w:val="it-IT"/>
              </w:rPr>
            </w:pPr>
            <w:r>
              <w:rPr>
                <w:rFonts w:hint="eastAsia" w:ascii="仿宋" w:hAnsi="仿宋" w:eastAsia="仿宋" w:cs="仿宋"/>
                <w:sz w:val="24"/>
                <w:lang w:val="it-IT"/>
              </w:rPr>
              <w:t xml:space="preserve">支持按周期的方式选择备份，支持原始日志与分析后日志分离，支持历史日志恢复导入； </w:t>
            </w:r>
          </w:p>
          <w:p>
            <w:pPr>
              <w:rPr>
                <w:rFonts w:ascii="仿宋" w:hAnsi="仿宋" w:eastAsia="仿宋" w:cs="仿宋"/>
                <w:sz w:val="24"/>
                <w:lang w:val="it-IT"/>
              </w:rPr>
            </w:pPr>
            <w:r>
              <w:rPr>
                <w:rFonts w:hint="eastAsia" w:ascii="仿宋" w:hAnsi="仿宋" w:eastAsia="仿宋" w:cs="仿宋"/>
                <w:sz w:val="24"/>
                <w:lang w:val="it-IT"/>
              </w:rPr>
              <w:t xml:space="preserve">当磁盘空间日志存储量达到一定百分比时可设定为删除磁盘中的历史日志或接收的日志不再入库，并进行告警； </w:t>
            </w:r>
          </w:p>
          <w:p>
            <w:pPr>
              <w:rPr>
                <w:rFonts w:ascii="仿宋" w:hAnsi="仿宋" w:eastAsia="仿宋" w:cs="仿宋"/>
                <w:sz w:val="24"/>
                <w:lang w:val="it-IT"/>
              </w:rPr>
            </w:pPr>
            <w:r>
              <w:rPr>
                <w:rFonts w:hint="eastAsia" w:ascii="仿宋" w:hAnsi="仿宋" w:eastAsia="仿宋" w:cs="仿宋"/>
                <w:sz w:val="24"/>
                <w:lang w:val="it-IT"/>
              </w:rPr>
              <w:t>支持以FTP/SFTP方式将日志数据备份至外部存储空间，支持数据恢复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43" w:type="pct"/>
            <w:vAlign w:val="center"/>
          </w:tcPr>
          <w:p>
            <w:pPr>
              <w:jc w:val="center"/>
              <w:rPr>
                <w:rFonts w:ascii="仿宋" w:hAnsi="仿宋" w:eastAsia="仿宋" w:cs="仿宋"/>
                <w:sz w:val="24"/>
                <w:lang w:val="it-IT"/>
              </w:rPr>
            </w:pPr>
            <w:r>
              <w:rPr>
                <w:rFonts w:hint="eastAsia" w:ascii="仿宋" w:hAnsi="仿宋" w:eastAsia="仿宋" w:cs="仿宋"/>
                <w:sz w:val="24"/>
                <w:lang w:val="it-IT"/>
              </w:rPr>
              <w:t>系统管理</w:t>
            </w:r>
          </w:p>
        </w:tc>
        <w:tc>
          <w:tcPr>
            <w:tcW w:w="4356" w:type="pct"/>
            <w:vAlign w:val="center"/>
          </w:tcPr>
          <w:p>
            <w:pPr>
              <w:rPr>
                <w:rFonts w:ascii="仿宋" w:hAnsi="仿宋" w:eastAsia="仿宋" w:cs="仿宋"/>
                <w:sz w:val="24"/>
                <w:lang w:val="it-IT"/>
              </w:rPr>
            </w:pPr>
            <w:r>
              <w:rPr>
                <w:rFonts w:hint="eastAsia" w:ascii="仿宋" w:hAnsi="仿宋" w:eastAsia="仿宋" w:cs="仿宋"/>
                <w:sz w:val="24"/>
                <w:lang w:val="it-IT"/>
              </w:rPr>
              <w:t>采用基于角色的权限管理机制，通过角色定义支持多用户访问；</w:t>
            </w:r>
          </w:p>
          <w:p>
            <w:pPr>
              <w:rPr>
                <w:rFonts w:ascii="仿宋" w:hAnsi="仿宋" w:eastAsia="仿宋" w:cs="仿宋"/>
                <w:sz w:val="24"/>
                <w:lang w:val="it-IT"/>
              </w:rPr>
            </w:pPr>
            <w:r>
              <w:rPr>
                <w:rFonts w:hint="eastAsia" w:ascii="仿宋" w:hAnsi="仿宋" w:eastAsia="仿宋" w:cs="仿宋"/>
                <w:sz w:val="24"/>
                <w:lang w:val="it-IT"/>
              </w:rPr>
              <w:t>支持三权分立；内置管理员组与用户组。管理员组包括：系统管理员、安全管理员、审计管理员；用户组默认用户包括：管理员。</w:t>
            </w:r>
          </w:p>
          <w:p>
            <w:pPr>
              <w:rPr>
                <w:rFonts w:ascii="仿宋" w:hAnsi="仿宋" w:eastAsia="仿宋" w:cs="仿宋"/>
                <w:sz w:val="24"/>
                <w:lang w:val="it-IT"/>
              </w:rPr>
            </w:pPr>
            <w:r>
              <w:rPr>
                <w:rFonts w:hint="eastAsia" w:ascii="仿宋" w:hAnsi="仿宋" w:eastAsia="仿宋" w:cs="仿宋"/>
                <w:sz w:val="24"/>
                <w:lang w:val="it-IT"/>
              </w:rPr>
              <w:t>系统自身的健康状况监控，包括CPU、内存、磁盘的利用率；</w:t>
            </w:r>
          </w:p>
          <w:p>
            <w:pPr>
              <w:rPr>
                <w:rFonts w:ascii="仿宋" w:hAnsi="仿宋" w:eastAsia="仿宋" w:cs="仿宋"/>
                <w:sz w:val="24"/>
                <w:lang w:val="it-IT"/>
              </w:rPr>
            </w:pPr>
            <w:r>
              <w:rPr>
                <w:rFonts w:hint="eastAsia" w:ascii="仿宋" w:hAnsi="仿宋" w:eastAsia="仿宋" w:cs="仿宋"/>
                <w:sz w:val="24"/>
                <w:lang w:val="it-IT"/>
              </w:rPr>
              <w:t>系统口令错误次数可设置，超过错误次数锁定，锁定时间可设置。</w:t>
            </w:r>
          </w:p>
          <w:p>
            <w:pPr>
              <w:rPr>
                <w:rFonts w:ascii="仿宋" w:hAnsi="仿宋" w:eastAsia="仿宋" w:cs="仿宋"/>
                <w:sz w:val="24"/>
                <w:lang w:val="it-IT"/>
              </w:rPr>
            </w:pPr>
            <w:r>
              <w:rPr>
                <w:rFonts w:hint="eastAsia" w:ascii="仿宋" w:hAnsi="仿宋" w:eastAsia="仿宋" w:cs="仿宋"/>
                <w:sz w:val="24"/>
                <w:lang w:val="it-IT"/>
              </w:rPr>
              <w:t>支持页面系统升级；</w:t>
            </w:r>
          </w:p>
          <w:p>
            <w:pPr>
              <w:rPr>
                <w:rFonts w:ascii="仿宋" w:hAnsi="仿宋" w:eastAsia="仿宋" w:cs="仿宋"/>
                <w:sz w:val="24"/>
                <w:lang w:val="it-IT"/>
              </w:rPr>
            </w:pPr>
            <w:r>
              <w:rPr>
                <w:rFonts w:hint="eastAsia" w:ascii="仿宋" w:hAnsi="仿宋" w:eastAsia="仿宋" w:cs="仿宋"/>
                <w:sz w:val="24"/>
                <w:lang w:val="it-IT"/>
              </w:rPr>
              <w:t>支持页面设置网络接口IP、网关等信息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43" w:type="pct"/>
            <w:vAlign w:val="center"/>
          </w:tcPr>
          <w:p>
            <w:pPr>
              <w:jc w:val="center"/>
              <w:rPr>
                <w:rFonts w:ascii="仿宋" w:hAnsi="仿宋" w:eastAsia="仿宋" w:cs="仿宋"/>
                <w:sz w:val="24"/>
                <w:lang w:val="it-IT"/>
              </w:rPr>
            </w:pPr>
            <w:r>
              <w:rPr>
                <w:rFonts w:hint="eastAsia" w:ascii="仿宋" w:hAnsi="仿宋" w:eastAsia="仿宋" w:cs="仿宋"/>
                <w:sz w:val="24"/>
                <w:lang w:val="it-IT"/>
              </w:rPr>
              <w:t>服务</w:t>
            </w:r>
          </w:p>
        </w:tc>
        <w:tc>
          <w:tcPr>
            <w:tcW w:w="4356" w:type="pct"/>
            <w:vAlign w:val="center"/>
          </w:tcPr>
          <w:p>
            <w:pPr>
              <w:rPr>
                <w:rFonts w:ascii="仿宋" w:hAnsi="仿宋" w:eastAsia="仿宋" w:cs="仿宋"/>
                <w:sz w:val="24"/>
                <w:lang w:val="it-IT"/>
              </w:rPr>
            </w:pPr>
            <w:r>
              <w:rPr>
                <w:rFonts w:hint="eastAsia" w:ascii="仿宋" w:hAnsi="仿宋" w:eastAsia="仿宋" w:cs="仿宋"/>
                <w:sz w:val="24"/>
                <w:lang w:val="it-IT"/>
              </w:rPr>
              <w:t>签订合同时提供原厂商质保服务承诺函及授权书。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43" w:type="pct"/>
            <w:vAlign w:val="center"/>
          </w:tcPr>
          <w:p>
            <w:pPr>
              <w:jc w:val="center"/>
              <w:rPr>
                <w:rFonts w:ascii="仿宋" w:hAnsi="仿宋" w:eastAsia="仿宋" w:cs="仿宋"/>
                <w:sz w:val="24"/>
                <w:lang w:val="it-IT"/>
              </w:rPr>
            </w:pPr>
            <w:r>
              <w:rPr>
                <w:rFonts w:hint="eastAsia" w:ascii="仿宋" w:hAnsi="仿宋" w:eastAsia="仿宋" w:cs="仿宋"/>
                <w:sz w:val="24"/>
                <w:lang w:val="it-IT"/>
              </w:rPr>
              <w:t>产品测试</w:t>
            </w:r>
          </w:p>
        </w:tc>
        <w:tc>
          <w:tcPr>
            <w:tcW w:w="4356" w:type="pct"/>
            <w:vAlign w:val="center"/>
          </w:tcPr>
          <w:p>
            <w:pPr>
              <w:rPr>
                <w:rFonts w:ascii="仿宋" w:hAnsi="仿宋" w:eastAsia="仿宋" w:cs="仿宋"/>
                <w:sz w:val="24"/>
                <w:lang w:val="it-IT"/>
              </w:rPr>
            </w:pPr>
            <w:r>
              <w:rPr>
                <w:rFonts w:hint="eastAsia" w:ascii="仿宋" w:hAnsi="仿宋" w:eastAsia="仿宋" w:cs="仿宋"/>
                <w:sz w:val="24"/>
                <w:lang w:val="it-IT"/>
              </w:rPr>
              <w:t>为防止投标方虚假应答技术指标，从而造成用户在实际使用设备过程中无法实现所需的功能，中标公示期间需要进行上述功能要求的逐一演示验证，全部通过后执行合同流程，在期间发现虚假应标的行为，则中标结果无效，并保留对预中标单位追究相关责任的权利。</w:t>
            </w:r>
          </w:p>
        </w:tc>
      </w:tr>
    </w:tbl>
    <w:p>
      <w:pPr>
        <w:pStyle w:val="3"/>
        <w:ind w:firstLine="0"/>
        <w:rPr>
          <w:lang w:val="en-US"/>
        </w:rPr>
      </w:pPr>
    </w:p>
    <w:p>
      <w:pPr>
        <w:snapToGrid w:val="0"/>
        <w:spacing w:line="360" w:lineRule="auto"/>
        <w:rPr>
          <w:rFonts w:ascii="仿宋" w:hAnsi="仿宋" w:eastAsia="仿宋" w:cs="仿宋"/>
          <w:b/>
          <w:bCs/>
          <w:sz w:val="24"/>
        </w:rPr>
      </w:pPr>
      <w:r>
        <w:rPr>
          <w:rFonts w:hint="eastAsia" w:ascii="仿宋" w:hAnsi="仿宋" w:eastAsia="仿宋" w:cs="仿宋"/>
          <w:b/>
          <w:bCs/>
          <w:sz w:val="24"/>
        </w:rPr>
        <w:t>7、核心交换机</w:t>
      </w:r>
      <w:r>
        <w:rPr>
          <w:rFonts w:hint="eastAsia" w:ascii="仿宋" w:hAnsi="仿宋" w:eastAsia="仿宋" w:cs="仿宋"/>
          <w:b/>
          <w:bCs/>
          <w:sz w:val="24"/>
          <w:lang w:eastAsia="zh-CN"/>
        </w:rPr>
        <w:t>（</w:t>
      </w:r>
      <w:r>
        <w:rPr>
          <w:rFonts w:hint="eastAsia" w:ascii="仿宋" w:hAnsi="仿宋" w:eastAsia="仿宋" w:cs="仿宋"/>
          <w:b/>
          <w:bCs/>
          <w:sz w:val="24"/>
          <w:lang w:val="en-US" w:eastAsia="zh-CN"/>
        </w:rPr>
        <w:t>核心产品</w:t>
      </w:r>
      <w:r>
        <w:rPr>
          <w:rFonts w:hint="eastAsia" w:ascii="仿宋" w:hAnsi="仿宋" w:eastAsia="仿宋" w:cs="仿宋"/>
          <w:b/>
          <w:bCs/>
          <w:sz w:val="24"/>
          <w:lang w:eastAsia="zh-CN"/>
        </w:rPr>
        <w:t>）</w:t>
      </w:r>
      <w:r>
        <w:rPr>
          <w:rFonts w:hint="eastAsia" w:ascii="仿宋" w:hAnsi="仿宋" w:eastAsia="仿宋" w:cs="仿宋"/>
          <w:b/>
          <w:bCs/>
          <w:sz w:val="24"/>
        </w:rPr>
        <w:t>：一台</w:t>
      </w:r>
    </w:p>
    <w:tbl>
      <w:tblPr>
        <w:tblStyle w:val="61"/>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8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83" w:type="dxa"/>
            <w:shd w:val="clear" w:color="auto" w:fill="auto"/>
            <w:noWrap/>
            <w:vAlign w:val="center"/>
          </w:tcPr>
          <w:p>
            <w:pPr>
              <w:jc w:val="center"/>
              <w:rPr>
                <w:rFonts w:ascii="仿宋" w:hAnsi="仿宋" w:eastAsia="仿宋" w:cs="仿宋"/>
                <w:sz w:val="24"/>
                <w:lang w:val="it-IT"/>
              </w:rPr>
            </w:pPr>
            <w:r>
              <w:rPr>
                <w:rFonts w:hint="eastAsia" w:ascii="仿宋" w:hAnsi="仿宋" w:eastAsia="仿宋" w:cs="仿宋"/>
                <w:sz w:val="24"/>
                <w:lang w:val="it-IT"/>
              </w:rPr>
              <w:t>指标项</w:t>
            </w:r>
          </w:p>
        </w:tc>
        <w:tc>
          <w:tcPr>
            <w:tcW w:w="8537" w:type="dxa"/>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shd w:val="clear" w:color="auto" w:fill="auto"/>
            <w:noWrap/>
            <w:vAlign w:val="center"/>
          </w:tcPr>
          <w:p>
            <w:pPr>
              <w:jc w:val="center"/>
              <w:rPr>
                <w:rFonts w:ascii="仿宋" w:hAnsi="仿宋" w:eastAsia="仿宋" w:cs="仿宋"/>
                <w:sz w:val="24"/>
                <w:lang w:val="it-IT"/>
              </w:rPr>
            </w:pPr>
            <w:r>
              <w:rPr>
                <w:rFonts w:hint="eastAsia" w:ascii="仿宋" w:hAnsi="仿宋" w:eastAsia="仿宋" w:cs="仿宋"/>
                <w:sz w:val="24"/>
                <w:lang w:val="it-IT"/>
              </w:rPr>
              <w:t>设备性能</w:t>
            </w:r>
          </w:p>
        </w:tc>
        <w:tc>
          <w:tcPr>
            <w:tcW w:w="8537" w:type="dxa"/>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 xml:space="preserve">整机交换容量≥19Tbps，包转发率≥1400Mpps；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83" w:type="dxa"/>
            <w:shd w:val="clear" w:color="auto" w:fill="auto"/>
            <w:noWrap/>
            <w:vAlign w:val="center"/>
          </w:tcPr>
          <w:p>
            <w:pPr>
              <w:jc w:val="center"/>
              <w:rPr>
                <w:rFonts w:ascii="仿宋" w:hAnsi="仿宋" w:eastAsia="仿宋" w:cs="仿宋"/>
                <w:sz w:val="24"/>
                <w:lang w:val="it-IT"/>
              </w:rPr>
            </w:pPr>
            <w:r>
              <w:rPr>
                <w:rFonts w:hint="eastAsia" w:ascii="仿宋" w:hAnsi="仿宋" w:eastAsia="仿宋" w:cs="仿宋"/>
                <w:sz w:val="24"/>
                <w:lang w:val="it-IT"/>
              </w:rPr>
              <w:t>配置要求</w:t>
            </w:r>
          </w:p>
        </w:tc>
        <w:tc>
          <w:tcPr>
            <w:tcW w:w="8537" w:type="dxa"/>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与现有核心交换机进行联动对接，须支持堆叠功能。</w:t>
            </w:r>
          </w:p>
          <w:p>
            <w:pPr>
              <w:rPr>
                <w:rFonts w:ascii="仿宋" w:hAnsi="仿宋" w:eastAsia="仿宋" w:cs="仿宋"/>
                <w:sz w:val="24"/>
                <w:lang w:val="it-IT"/>
              </w:rPr>
            </w:pPr>
            <w:r>
              <w:rPr>
                <w:rFonts w:hint="eastAsia" w:ascii="仿宋" w:hAnsi="仿宋" w:eastAsia="仿宋" w:cs="仿宋"/>
                <w:sz w:val="24"/>
                <w:lang w:val="it-IT"/>
              </w:rPr>
              <w:t>千兆以太网光端口≥24个，千兆以太网电端口≥24个，所有接口同时可用并且与主控引擎和交换网板分离，并支持分布式线速转发；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83" w:type="dxa"/>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MAC</w:t>
            </w: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支持整机MAC地址≥256K；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3" w:type="dxa"/>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VLAN</w:t>
            </w: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支持4K VLAN，支持1：1，N：1 VLAN mapping，支持端口VLAN，协议VLAN，IP子网VLAN，支持Super VLAN，支持Voice 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3" w:type="dxa"/>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二层功能</w:t>
            </w: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支持IEEE 802.1d(STP)、 802.w(RSTP)、 802.1s(MSTP)，支持VLAN内端口隔离，支持端口聚合，支持MC-LAG，支持1:1, N:1端口镜像，支持流镜像，支持远程端口镜像（RSPAN），支持ERSPAN，通过GRE隧道实现跨域远程镜像，支持VCT，端口环路检测，支持DHCP Client, DHCP Server，DHCP Relay，支持Option 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3" w:type="dxa"/>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路由表项</w:t>
            </w: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IPv4路由转发表项≥512K ，IPv6路由转发表项≥256K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3" w:type="dxa"/>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单播路由协议</w:t>
            </w: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支持静态路由；支持RIP V1、V2, OSPF, IS-IS，BGP；支持IP FRR，支持路由协议多实例，支持GR for OSPF/IS-IS/BGP，支持策略路由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3" w:type="dxa"/>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组播协议</w:t>
            </w: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支持IGMP Snooping V1,V2,V3；支持PIM-SM/DM/SSM；支持MLD V1，V2；支持IGMP Proxy；支持组播频道预览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83" w:type="dxa"/>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IPV6</w:t>
            </w: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支持IPV6，并提供IPV6 Phase II认证,要求提供IPV6 Ready网站的链接。支持IPv6路由协议 RIPng ISISv6 OSPFv3 BGPv4+，支持IPv6过渡技术，IPv4/IPv6双栈、6over4隧道、4 over6隧道，支持IPv6 DHCP SERVER, IPv6 DHCP Relay, DHCP Snooping，支持IPv6 Souce Guard，IPv6 ACL规格≥64K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3" w:type="dxa"/>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MPLS</w:t>
            </w: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支持MPLS，支持MPLS TE，支持MPLS OAM，支持RSVP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3" w:type="dxa"/>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VPN</w:t>
            </w: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支持MCE，支持L3VPN，支持L2VPN 包括VLL VPLS，支持GRE隧道，支持MPLS 隧道入出方向的Qos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3" w:type="dxa"/>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访问控制</w:t>
            </w:r>
          </w:p>
        </w:tc>
        <w:tc>
          <w:tcPr>
            <w:tcW w:w="8537" w:type="dxa"/>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支持基于第二层、第三层和第四层的ACL，支持双向ACL，支持VLAN ACL和IPv6 ACL，支持IP/Port/MAC的绑定功能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83" w:type="dxa"/>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QoS协议</w:t>
            </w: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 xml:space="preserve">支持SP, WRR,DWRR,SP+WRR, SP+DWRR调度方式，支持双向CAR，提供广播风暴抑制功能，风暴控制支持shutdown端口或拒绝转发的安全策略下发，支持WRED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83" w:type="dxa"/>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安全性</w:t>
            </w:r>
          </w:p>
        </w:tc>
        <w:tc>
          <w:tcPr>
            <w:tcW w:w="8537" w:type="dxa"/>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支持DHCP Snooping trust， 防止私设DHCP服务器，支持DHCP snooping binding table (DAI, IP source guard)，防止ARP攻击、DDOS攻击、中间人攻击；支持BPDU guard， Root guard，支持802.1X，MAC地址认证，支持硬件防火墙插卡，支持硬件IPsec VPN插卡，支持自动隔离攻击源技术。</w:t>
            </w:r>
          </w:p>
          <w:p>
            <w:pPr>
              <w:rPr>
                <w:rFonts w:ascii="仿宋" w:hAnsi="仿宋" w:eastAsia="仿宋" w:cs="仿宋"/>
                <w:sz w:val="24"/>
                <w:lang w:val="it-IT"/>
              </w:rPr>
            </w:pPr>
            <w:r>
              <w:rPr>
                <w:rFonts w:hint="eastAsia" w:ascii="仿宋" w:hAnsi="仿宋" w:eastAsia="仿宋" w:cs="仿宋"/>
                <w:sz w:val="24"/>
                <w:lang w:val="it-IT"/>
              </w:rPr>
              <w:t>支持CPU保护技术，提供权威第三方机构测试报告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83" w:type="dxa"/>
            <w:vMerge w:val="restar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可靠性</w:t>
            </w:r>
          </w:p>
        </w:tc>
        <w:tc>
          <w:tcPr>
            <w:tcW w:w="8537" w:type="dxa"/>
            <w:shd w:val="clear" w:color="auto" w:fill="auto"/>
            <w:vAlign w:val="center"/>
          </w:tcPr>
          <w:p>
            <w:pPr>
              <w:rPr>
                <w:rFonts w:ascii="仿宋" w:hAnsi="仿宋" w:eastAsia="仿宋" w:cs="仿宋"/>
                <w:sz w:val="24"/>
                <w:lang w:val="it-IT"/>
              </w:rPr>
            </w:pPr>
            <w:r>
              <w:rPr>
                <w:rFonts w:hint="eastAsia" w:ascii="仿宋" w:hAnsi="仿宋" w:eastAsia="仿宋" w:cs="仿宋"/>
                <w:sz w:val="24"/>
                <w:lang w:val="it-IT"/>
              </w:rPr>
              <w:t>支持G.8032以太环保护协议或SEP智能保护协议,可与其他厂商设备混合组网，要求倒换时间≤50ms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83" w:type="dxa"/>
            <w:vMerge w:val="continue"/>
            <w:vAlign w:val="center"/>
          </w:tcPr>
          <w:p>
            <w:pPr>
              <w:jc w:val="center"/>
              <w:rPr>
                <w:rFonts w:ascii="仿宋" w:hAnsi="仿宋" w:eastAsia="仿宋" w:cs="仿宋"/>
                <w:sz w:val="24"/>
                <w:lang w:val="it-IT"/>
              </w:rPr>
            </w:pP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支持BFD/OAM，遵循协议标准，支持3.3ms稳定均匀发包检测，50ms内完成故障倒换,保证设备高可靠性，提供第三方测试报告。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83" w:type="dxa"/>
            <w:vMerge w:val="continue"/>
            <w:vAlign w:val="center"/>
          </w:tcPr>
          <w:p>
            <w:pPr>
              <w:jc w:val="center"/>
              <w:rPr>
                <w:rFonts w:ascii="仿宋" w:hAnsi="仿宋" w:eastAsia="仿宋" w:cs="仿宋"/>
                <w:sz w:val="24"/>
                <w:lang w:val="it-IT"/>
              </w:rPr>
            </w:pP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支持Y.1731端到端时延的检测和监控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83" w:type="dxa"/>
            <w:vAlign w:val="center"/>
          </w:tcPr>
          <w:p>
            <w:pPr>
              <w:jc w:val="center"/>
              <w:rPr>
                <w:rFonts w:ascii="仿宋" w:hAnsi="仿宋" w:eastAsia="仿宋" w:cs="仿宋"/>
                <w:sz w:val="24"/>
                <w:lang w:val="it-IT"/>
              </w:rPr>
            </w:pPr>
            <w:r>
              <w:rPr>
                <w:rFonts w:hint="eastAsia" w:ascii="仿宋" w:hAnsi="仿宋" w:eastAsia="仿宋" w:cs="仿宋"/>
                <w:sz w:val="24"/>
                <w:lang w:val="it-IT"/>
              </w:rPr>
              <w:t>数据中心特性</w:t>
            </w: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支持TRILL，FCoE（DCB），EVN，nCenter，EVB，SPB，VxLAN等数据中心特性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83" w:type="dxa"/>
            <w:vMerge w:val="restar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管理特性</w:t>
            </w: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支持SNMP V1/V2/V3、Telnet、RMON、SSHV2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83" w:type="dxa"/>
            <w:vMerge w:val="continue"/>
            <w:vAlign w:val="center"/>
          </w:tcPr>
          <w:p>
            <w:pPr>
              <w:jc w:val="center"/>
              <w:rPr>
                <w:rFonts w:ascii="仿宋" w:hAnsi="仿宋" w:eastAsia="仿宋" w:cs="仿宋"/>
                <w:sz w:val="24"/>
                <w:lang w:val="it-IT"/>
              </w:rPr>
            </w:pP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支持通过命令行、中文图形化配置软件等方式进行配置和管理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83" w:type="dxa"/>
            <w:vMerge w:val="continue"/>
            <w:vAlign w:val="center"/>
          </w:tcPr>
          <w:p>
            <w:pPr>
              <w:jc w:val="center"/>
              <w:rPr>
                <w:rFonts w:ascii="仿宋" w:hAnsi="仿宋" w:eastAsia="仿宋" w:cs="仿宋"/>
                <w:sz w:val="24"/>
                <w:lang w:val="it-IT"/>
              </w:rPr>
            </w:pP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支持基于Ipv6的管理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83" w:type="dxa"/>
            <w:vMerge w:val="continue"/>
            <w:vAlign w:val="center"/>
          </w:tcPr>
          <w:p>
            <w:pPr>
              <w:jc w:val="center"/>
              <w:rPr>
                <w:rFonts w:ascii="仿宋" w:hAnsi="仿宋" w:eastAsia="仿宋" w:cs="仿宋"/>
                <w:sz w:val="24"/>
                <w:lang w:val="it-IT"/>
              </w:rPr>
            </w:pP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支持集群管理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83" w:type="dxa"/>
            <w:vMerge w:val="continue"/>
            <w:vAlign w:val="center"/>
          </w:tcPr>
          <w:p>
            <w:pPr>
              <w:jc w:val="center"/>
              <w:rPr>
                <w:rFonts w:ascii="仿宋" w:hAnsi="仿宋" w:eastAsia="仿宋" w:cs="仿宋"/>
                <w:sz w:val="24"/>
                <w:lang w:val="it-IT"/>
              </w:rPr>
            </w:pP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 xml:space="preserve">支持热补丁 ISSU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83" w:type="dxa"/>
            <w:vMerge w:val="continue"/>
            <w:vAlign w:val="center"/>
          </w:tcPr>
          <w:p>
            <w:pPr>
              <w:jc w:val="center"/>
              <w:rPr>
                <w:rFonts w:ascii="仿宋" w:hAnsi="仿宋" w:eastAsia="仿宋" w:cs="仿宋"/>
                <w:sz w:val="24"/>
                <w:lang w:val="it-IT"/>
              </w:rPr>
            </w:pP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支持自动配置，智能升级，并详细描述维护过程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83" w:type="dxa"/>
            <w:vMerge w:val="continue"/>
            <w:vAlign w:val="center"/>
          </w:tcPr>
          <w:p>
            <w:pPr>
              <w:jc w:val="center"/>
              <w:rPr>
                <w:rFonts w:ascii="仿宋" w:hAnsi="仿宋" w:eastAsia="仿宋" w:cs="仿宋"/>
                <w:sz w:val="24"/>
                <w:lang w:val="it-IT"/>
              </w:rPr>
            </w:pP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支持WEB网管，提供原厂WEB管理技术手册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83" w:type="dxa"/>
            <w:vMerge w:val="continue"/>
            <w:vAlign w:val="center"/>
          </w:tcPr>
          <w:p>
            <w:pPr>
              <w:jc w:val="center"/>
              <w:rPr>
                <w:rFonts w:ascii="仿宋" w:hAnsi="仿宋" w:eastAsia="仿宋" w:cs="仿宋"/>
                <w:sz w:val="24"/>
                <w:lang w:val="it-IT"/>
              </w:rPr>
            </w:pP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支持在线设备批量补丁，配置文件，启动文件等自动按需下发升级；支持坏件零配置更换升级。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3" w:type="dxa"/>
            <w:vMerge w:val="restart"/>
            <w:shd w:val="clear" w:color="auto" w:fill="auto"/>
            <w:vAlign w:val="center"/>
          </w:tcPr>
          <w:p>
            <w:pPr>
              <w:jc w:val="center"/>
              <w:rPr>
                <w:rFonts w:ascii="仿宋" w:hAnsi="仿宋" w:eastAsia="仿宋" w:cs="仿宋"/>
                <w:sz w:val="24"/>
                <w:lang w:val="it-IT"/>
              </w:rPr>
            </w:pPr>
            <w:r>
              <w:rPr>
                <w:rFonts w:hint="eastAsia" w:ascii="仿宋" w:hAnsi="仿宋" w:eastAsia="仿宋" w:cs="仿宋"/>
                <w:sz w:val="24"/>
                <w:lang w:val="it-IT"/>
              </w:rPr>
              <w:t>流量分析</w:t>
            </w: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支持Sflow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83" w:type="dxa"/>
            <w:vMerge w:val="continue"/>
            <w:vAlign w:val="center"/>
          </w:tcPr>
          <w:p>
            <w:pPr>
              <w:jc w:val="center"/>
              <w:rPr>
                <w:rFonts w:ascii="仿宋" w:hAnsi="仿宋" w:eastAsia="仿宋" w:cs="仿宋"/>
                <w:sz w:val="24"/>
                <w:lang w:val="it-IT"/>
              </w:rPr>
            </w:pPr>
          </w:p>
        </w:tc>
        <w:tc>
          <w:tcPr>
            <w:tcW w:w="8537" w:type="dxa"/>
            <w:shd w:val="clear" w:color="auto" w:fill="auto"/>
          </w:tcPr>
          <w:p>
            <w:pPr>
              <w:rPr>
                <w:rFonts w:ascii="仿宋" w:hAnsi="仿宋" w:eastAsia="仿宋" w:cs="仿宋"/>
                <w:sz w:val="24"/>
                <w:lang w:val="it-IT"/>
              </w:rPr>
            </w:pPr>
            <w:r>
              <w:rPr>
                <w:rFonts w:hint="eastAsia" w:ascii="仿宋" w:hAnsi="仿宋" w:eastAsia="仿宋" w:cs="仿宋"/>
                <w:sz w:val="24"/>
                <w:lang w:val="it-IT"/>
              </w:rPr>
              <w:t>支持NetStream</w:t>
            </w:r>
          </w:p>
        </w:tc>
      </w:tr>
    </w:tbl>
    <w:p>
      <w:pPr>
        <w:snapToGrid w:val="0"/>
        <w:spacing w:line="360" w:lineRule="auto"/>
        <w:rPr>
          <w:rFonts w:ascii="仿宋" w:hAnsi="仿宋" w:eastAsia="仿宋" w:cs="仿宋"/>
          <w:b/>
          <w:bCs/>
          <w:sz w:val="24"/>
        </w:rPr>
      </w:pPr>
      <w:r>
        <w:rPr>
          <w:rFonts w:hint="eastAsia" w:ascii="仿宋" w:hAnsi="仿宋" w:eastAsia="仿宋" w:cs="仿宋"/>
          <w:b/>
          <w:bCs/>
          <w:sz w:val="24"/>
        </w:rPr>
        <w:t>8、24口接入交换机</w:t>
      </w:r>
      <w:r>
        <w:rPr>
          <w:rFonts w:hint="eastAsia" w:ascii="仿宋" w:hAnsi="仿宋" w:eastAsia="仿宋" w:cs="仿宋"/>
          <w:b/>
          <w:bCs/>
          <w:sz w:val="24"/>
          <w:lang w:eastAsia="zh-CN"/>
        </w:rPr>
        <w:t>（</w:t>
      </w:r>
      <w:r>
        <w:rPr>
          <w:rFonts w:hint="eastAsia" w:ascii="仿宋" w:hAnsi="仿宋" w:eastAsia="仿宋" w:cs="仿宋"/>
          <w:b/>
          <w:bCs/>
          <w:sz w:val="24"/>
          <w:lang w:val="en-US" w:eastAsia="zh-CN"/>
        </w:rPr>
        <w:t>核心产品</w:t>
      </w:r>
      <w:r>
        <w:rPr>
          <w:rFonts w:hint="eastAsia" w:ascii="仿宋" w:hAnsi="仿宋" w:eastAsia="仿宋" w:cs="仿宋"/>
          <w:b/>
          <w:bCs/>
          <w:sz w:val="24"/>
          <w:lang w:eastAsia="zh-CN"/>
        </w:rPr>
        <w:t>）</w:t>
      </w:r>
      <w:bookmarkStart w:id="447" w:name="_GoBack"/>
      <w:bookmarkEnd w:id="447"/>
      <w:r>
        <w:rPr>
          <w:rFonts w:hint="eastAsia" w:ascii="仿宋" w:hAnsi="仿宋" w:eastAsia="仿宋" w:cs="仿宋"/>
          <w:b/>
          <w:bCs/>
          <w:sz w:val="24"/>
        </w:rPr>
        <w:t>：四台</w:t>
      </w:r>
    </w:p>
    <w:tbl>
      <w:tblPr>
        <w:tblStyle w:val="61"/>
        <w:tblW w:w="9857" w:type="dxa"/>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302"/>
        <w:gridCol w:w="8555"/>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FFFFFF" w:themeFill="background1"/>
        </w:tblPrEx>
        <w:trPr>
          <w:trHeight w:val="20" w:hRule="atLeast"/>
          <w:jc w:val="center"/>
        </w:trPr>
        <w:tc>
          <w:tcPr>
            <w:tcW w:w="1302" w:type="dxa"/>
            <w:shd w:val="clear" w:color="auto" w:fill="FFFFFF" w:themeFill="background1"/>
            <w:noWrap/>
            <w:vAlign w:val="center"/>
          </w:tcPr>
          <w:p>
            <w:pPr>
              <w:jc w:val="center"/>
              <w:rPr>
                <w:rFonts w:ascii="仿宋" w:hAnsi="仿宋" w:eastAsia="仿宋" w:cs="仿宋"/>
                <w:sz w:val="24"/>
                <w:lang w:val="it-IT"/>
              </w:rPr>
            </w:pPr>
            <w:r>
              <w:rPr>
                <w:rFonts w:hint="eastAsia" w:ascii="仿宋" w:hAnsi="仿宋" w:eastAsia="仿宋" w:cs="仿宋"/>
                <w:sz w:val="24"/>
                <w:lang w:val="it-IT"/>
              </w:rPr>
              <w:t>指标项</w:t>
            </w:r>
          </w:p>
        </w:tc>
        <w:tc>
          <w:tcPr>
            <w:tcW w:w="8555" w:type="dxa"/>
            <w:shd w:val="clear" w:color="auto" w:fill="FFFFFF" w:themeFill="background1"/>
            <w:noWrap/>
            <w:vAlign w:val="center"/>
          </w:tcPr>
          <w:p>
            <w:pPr>
              <w:jc w:val="center"/>
              <w:rPr>
                <w:rFonts w:ascii="仿宋" w:hAnsi="仿宋" w:eastAsia="仿宋" w:cs="仿宋"/>
                <w:sz w:val="24"/>
                <w:lang w:val="it-IT"/>
              </w:rPr>
            </w:pPr>
            <w:r>
              <w:rPr>
                <w:rFonts w:hint="eastAsia" w:ascii="仿宋" w:hAnsi="仿宋" w:eastAsia="仿宋" w:cs="仿宋"/>
                <w:sz w:val="24"/>
                <w:lang w:val="it-IT"/>
              </w:rPr>
              <w:t>技术规格要求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2" w:type="dxa"/>
            <w:shd w:val="clear" w:color="auto" w:fill="FFFFFF" w:themeFill="background1"/>
            <w:noWrap/>
            <w:vAlign w:val="center"/>
          </w:tcPr>
          <w:p>
            <w:pPr>
              <w:jc w:val="center"/>
              <w:rPr>
                <w:rFonts w:ascii="仿宋" w:hAnsi="仿宋" w:eastAsia="仿宋" w:cs="仿宋"/>
                <w:sz w:val="24"/>
                <w:lang w:val="it-IT"/>
              </w:rPr>
            </w:pPr>
            <w:r>
              <w:rPr>
                <w:rFonts w:hint="eastAsia" w:ascii="仿宋" w:hAnsi="仿宋" w:eastAsia="仿宋" w:cs="仿宋"/>
                <w:sz w:val="24"/>
                <w:lang w:val="it-IT"/>
              </w:rPr>
              <w:t>整机交换容量</w:t>
            </w:r>
          </w:p>
        </w:tc>
        <w:tc>
          <w:tcPr>
            <w:tcW w:w="8555" w:type="dxa"/>
            <w:shd w:val="clear" w:color="auto" w:fill="FFFFFF" w:themeFill="background1"/>
            <w:noWrap/>
            <w:vAlign w:val="center"/>
          </w:tcPr>
          <w:p>
            <w:pPr>
              <w:rPr>
                <w:rFonts w:ascii="仿宋" w:hAnsi="仿宋" w:eastAsia="仿宋" w:cs="仿宋"/>
                <w:sz w:val="24"/>
                <w:lang w:val="it-IT"/>
              </w:rPr>
            </w:pPr>
            <w:r>
              <w:rPr>
                <w:rFonts w:hint="eastAsia" w:ascii="仿宋" w:hAnsi="仿宋" w:eastAsia="仿宋" w:cs="仿宋"/>
                <w:sz w:val="24"/>
                <w:lang w:val="it-IT"/>
              </w:rPr>
              <w:t>与核心交换机进行联动；</w:t>
            </w:r>
          </w:p>
          <w:p>
            <w:pPr>
              <w:rPr>
                <w:rFonts w:ascii="仿宋" w:hAnsi="仿宋" w:eastAsia="仿宋" w:cs="仿宋"/>
                <w:sz w:val="24"/>
                <w:lang w:val="it-IT"/>
              </w:rPr>
            </w:pPr>
            <w:r>
              <w:rPr>
                <w:rFonts w:hint="eastAsia" w:ascii="仿宋" w:hAnsi="仿宋" w:eastAsia="仿宋" w:cs="仿宋"/>
                <w:sz w:val="24"/>
                <w:lang w:val="it-IT"/>
              </w:rPr>
              <w:t>交换容量≥335Gbps，转发性能≥100Mpps，交换容量及转发性能均以官网宣称为准，若存在双指标或区间性指标，以官网低指标为准</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 w:hRule="atLeast"/>
          <w:jc w:val="center"/>
        </w:trPr>
        <w:tc>
          <w:tcPr>
            <w:tcW w:w="1302" w:type="dxa"/>
            <w:shd w:val="clear" w:color="auto" w:fill="FFFFFF" w:themeFill="background1"/>
            <w:noWrap/>
            <w:vAlign w:val="center"/>
          </w:tcPr>
          <w:p>
            <w:pPr>
              <w:jc w:val="center"/>
              <w:rPr>
                <w:rFonts w:ascii="仿宋" w:hAnsi="仿宋" w:eastAsia="仿宋" w:cs="仿宋"/>
                <w:sz w:val="24"/>
                <w:lang w:val="it-IT"/>
              </w:rPr>
            </w:pPr>
            <w:r>
              <w:rPr>
                <w:rFonts w:hint="eastAsia" w:ascii="仿宋" w:hAnsi="仿宋" w:eastAsia="仿宋" w:cs="仿宋"/>
                <w:sz w:val="24"/>
                <w:lang w:val="it-IT"/>
              </w:rPr>
              <w:t>接口配置要求</w:t>
            </w:r>
          </w:p>
        </w:tc>
        <w:tc>
          <w:tcPr>
            <w:tcW w:w="8555" w:type="dxa"/>
            <w:shd w:val="clear" w:color="auto" w:fill="FFFFFF" w:themeFill="background1"/>
            <w:noWrap/>
            <w:vAlign w:val="center"/>
          </w:tcPr>
          <w:p>
            <w:pPr>
              <w:rPr>
                <w:rFonts w:ascii="仿宋" w:hAnsi="仿宋" w:eastAsia="仿宋" w:cs="仿宋"/>
                <w:sz w:val="24"/>
                <w:lang w:val="it-IT"/>
              </w:rPr>
            </w:pPr>
            <w:r>
              <w:rPr>
                <w:rFonts w:hint="eastAsia" w:ascii="仿宋" w:hAnsi="仿宋" w:eastAsia="仿宋" w:cs="仿宋"/>
                <w:sz w:val="24"/>
                <w:lang w:val="it-IT"/>
              </w:rPr>
              <w:t xml:space="preserve">支持 10/100/1000BASE-T端口≥24个，万兆非复用SFP+端口≥4个； </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 w:hRule="atLeast"/>
          <w:jc w:val="center"/>
        </w:trPr>
        <w:tc>
          <w:tcPr>
            <w:tcW w:w="1302" w:type="dxa"/>
            <w:vMerge w:val="restart"/>
            <w:shd w:val="clear" w:color="auto" w:fill="FFFFFF" w:themeFill="background1"/>
            <w:noWrap/>
            <w:vAlign w:val="center"/>
          </w:tcPr>
          <w:p>
            <w:pPr>
              <w:jc w:val="center"/>
              <w:rPr>
                <w:rFonts w:ascii="仿宋" w:hAnsi="仿宋" w:eastAsia="仿宋" w:cs="仿宋"/>
                <w:sz w:val="24"/>
                <w:lang w:val="it-IT"/>
              </w:rPr>
            </w:pPr>
            <w:r>
              <w:rPr>
                <w:rFonts w:hint="eastAsia" w:ascii="仿宋" w:hAnsi="仿宋" w:eastAsia="仿宋" w:cs="仿宋"/>
                <w:sz w:val="24"/>
                <w:lang w:val="it-IT"/>
              </w:rPr>
              <w:t>基本功能</w:t>
            </w:r>
          </w:p>
        </w:tc>
        <w:tc>
          <w:tcPr>
            <w:tcW w:w="8555" w:type="dxa"/>
            <w:shd w:val="clear" w:color="auto" w:fill="FFFFFF" w:themeFill="background1"/>
            <w:vAlign w:val="center"/>
          </w:tcPr>
          <w:p>
            <w:pPr>
              <w:rPr>
                <w:rFonts w:ascii="仿宋" w:hAnsi="仿宋" w:eastAsia="仿宋" w:cs="仿宋"/>
                <w:sz w:val="24"/>
                <w:lang w:val="it-IT"/>
              </w:rPr>
            </w:pPr>
            <w:r>
              <w:rPr>
                <w:rFonts w:hint="eastAsia" w:ascii="仿宋" w:hAnsi="仿宋" w:eastAsia="仿宋" w:cs="仿宋"/>
                <w:sz w:val="24"/>
                <w:lang w:val="it-IT"/>
              </w:rPr>
              <w:t>支持端口聚合，每个聚合组至少8个端口；支持跨设备链路聚合。</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2" w:type="dxa"/>
            <w:vMerge w:val="continue"/>
            <w:shd w:val="clear" w:color="auto" w:fill="FFFFFF" w:themeFill="background1"/>
            <w:noWrap/>
            <w:vAlign w:val="center"/>
          </w:tcPr>
          <w:p>
            <w:pPr>
              <w:jc w:val="center"/>
              <w:rPr>
                <w:rFonts w:ascii="仿宋" w:hAnsi="仿宋" w:eastAsia="仿宋" w:cs="仿宋"/>
                <w:sz w:val="24"/>
                <w:lang w:val="it-IT"/>
              </w:rPr>
            </w:pPr>
          </w:p>
        </w:tc>
        <w:tc>
          <w:tcPr>
            <w:tcW w:w="8555" w:type="dxa"/>
            <w:shd w:val="clear" w:color="auto" w:fill="FFFFFF" w:themeFill="background1"/>
            <w:vAlign w:val="center"/>
          </w:tcPr>
          <w:p>
            <w:pPr>
              <w:rPr>
                <w:rFonts w:ascii="仿宋" w:hAnsi="仿宋" w:eastAsia="仿宋" w:cs="仿宋"/>
                <w:sz w:val="24"/>
                <w:lang w:val="it-IT"/>
              </w:rPr>
            </w:pPr>
            <w:r>
              <w:rPr>
                <w:rFonts w:hint="eastAsia" w:ascii="仿宋" w:hAnsi="仿宋" w:eastAsia="仿宋" w:cs="仿宋"/>
                <w:sz w:val="24"/>
                <w:lang w:val="it-IT"/>
              </w:rPr>
              <w:t>MAC地址≥8K；支持静态、动态、黑洞MAC表项</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 w:hRule="atLeast"/>
          <w:jc w:val="center"/>
        </w:trPr>
        <w:tc>
          <w:tcPr>
            <w:tcW w:w="1302" w:type="dxa"/>
            <w:vMerge w:val="continue"/>
            <w:shd w:val="clear" w:color="auto" w:fill="FFFFFF" w:themeFill="background1"/>
            <w:noWrap/>
            <w:vAlign w:val="center"/>
          </w:tcPr>
          <w:p>
            <w:pPr>
              <w:jc w:val="center"/>
              <w:rPr>
                <w:rFonts w:ascii="仿宋" w:hAnsi="仿宋" w:eastAsia="仿宋" w:cs="仿宋"/>
                <w:sz w:val="24"/>
                <w:lang w:val="it-IT"/>
              </w:rPr>
            </w:pPr>
          </w:p>
        </w:tc>
        <w:tc>
          <w:tcPr>
            <w:tcW w:w="8555" w:type="dxa"/>
            <w:shd w:val="clear" w:color="auto" w:fill="FFFFFF" w:themeFill="background1"/>
            <w:vAlign w:val="center"/>
          </w:tcPr>
          <w:p>
            <w:pPr>
              <w:rPr>
                <w:rFonts w:ascii="仿宋" w:hAnsi="仿宋" w:eastAsia="仿宋" w:cs="仿宋"/>
                <w:sz w:val="24"/>
                <w:lang w:val="it-IT"/>
              </w:rPr>
            </w:pPr>
            <w:r>
              <w:rPr>
                <w:rFonts w:hint="eastAsia" w:ascii="仿宋" w:hAnsi="仿宋" w:eastAsia="仿宋" w:cs="仿宋"/>
                <w:sz w:val="24"/>
                <w:lang w:val="it-IT"/>
              </w:rPr>
              <w:t>支持4K VLAN；支持QinQ，灵活QinQ；支持1：1，N：1 VLAN mapping</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2" w:type="dxa"/>
            <w:vMerge w:val="continue"/>
            <w:shd w:val="clear" w:color="auto" w:fill="FFFFFF" w:themeFill="background1"/>
            <w:noWrap/>
            <w:vAlign w:val="center"/>
          </w:tcPr>
          <w:p>
            <w:pPr>
              <w:jc w:val="center"/>
              <w:rPr>
                <w:rFonts w:ascii="仿宋" w:hAnsi="仿宋" w:eastAsia="仿宋" w:cs="仿宋"/>
                <w:sz w:val="24"/>
                <w:lang w:val="it-IT"/>
              </w:rPr>
            </w:pPr>
          </w:p>
        </w:tc>
        <w:tc>
          <w:tcPr>
            <w:tcW w:w="8555" w:type="dxa"/>
            <w:shd w:val="clear" w:color="auto" w:fill="FFFFFF" w:themeFill="background1"/>
            <w:vAlign w:val="center"/>
          </w:tcPr>
          <w:p>
            <w:pPr>
              <w:rPr>
                <w:rFonts w:ascii="仿宋" w:hAnsi="仿宋" w:eastAsia="仿宋" w:cs="仿宋"/>
                <w:sz w:val="24"/>
                <w:lang w:val="it-IT"/>
              </w:rPr>
            </w:pPr>
            <w:r>
              <w:rPr>
                <w:rFonts w:hint="eastAsia" w:ascii="仿宋" w:hAnsi="仿宋" w:eastAsia="仿宋" w:cs="仿宋"/>
                <w:sz w:val="24"/>
                <w:lang w:val="it-IT"/>
              </w:rPr>
              <w:t>支持VCT，端口环路检测</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2" w:type="dxa"/>
            <w:vMerge w:val="continue"/>
            <w:shd w:val="clear" w:color="auto" w:fill="FFFFFF" w:themeFill="background1"/>
            <w:noWrap/>
            <w:vAlign w:val="center"/>
          </w:tcPr>
          <w:p>
            <w:pPr>
              <w:jc w:val="center"/>
              <w:rPr>
                <w:rFonts w:ascii="仿宋" w:hAnsi="仿宋" w:eastAsia="仿宋" w:cs="仿宋"/>
                <w:sz w:val="24"/>
                <w:lang w:val="it-IT"/>
              </w:rPr>
            </w:pPr>
          </w:p>
        </w:tc>
        <w:tc>
          <w:tcPr>
            <w:tcW w:w="8555" w:type="dxa"/>
            <w:shd w:val="clear" w:color="auto" w:fill="FFFFFF" w:themeFill="background1"/>
            <w:vAlign w:val="center"/>
          </w:tcPr>
          <w:p>
            <w:pPr>
              <w:rPr>
                <w:rFonts w:ascii="仿宋" w:hAnsi="仿宋" w:eastAsia="仿宋" w:cs="仿宋"/>
                <w:sz w:val="24"/>
                <w:lang w:val="it-IT"/>
              </w:rPr>
            </w:pPr>
            <w:r>
              <w:rPr>
                <w:rFonts w:hint="eastAsia" w:ascii="仿宋" w:hAnsi="仿宋" w:eastAsia="仿宋" w:cs="仿宋"/>
                <w:sz w:val="24"/>
                <w:lang w:val="it-IT"/>
              </w:rPr>
              <w:t xml:space="preserve">支持策略VLAN </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 w:hRule="atLeast"/>
          <w:jc w:val="center"/>
        </w:trPr>
        <w:tc>
          <w:tcPr>
            <w:tcW w:w="1302" w:type="dxa"/>
            <w:vMerge w:val="continue"/>
            <w:shd w:val="clear" w:color="auto" w:fill="FFFFFF" w:themeFill="background1"/>
            <w:noWrap/>
            <w:vAlign w:val="center"/>
          </w:tcPr>
          <w:p>
            <w:pPr>
              <w:jc w:val="center"/>
              <w:rPr>
                <w:rFonts w:ascii="仿宋" w:hAnsi="仿宋" w:eastAsia="仿宋" w:cs="仿宋"/>
                <w:sz w:val="24"/>
                <w:lang w:val="it-IT"/>
              </w:rPr>
            </w:pPr>
          </w:p>
        </w:tc>
        <w:tc>
          <w:tcPr>
            <w:tcW w:w="8555" w:type="dxa"/>
            <w:shd w:val="clear" w:color="auto" w:fill="FFFFFF" w:themeFill="background1"/>
            <w:vAlign w:val="center"/>
          </w:tcPr>
          <w:p>
            <w:pPr>
              <w:rPr>
                <w:rFonts w:ascii="仿宋" w:hAnsi="仿宋" w:eastAsia="仿宋" w:cs="仿宋"/>
                <w:sz w:val="24"/>
                <w:lang w:val="it-IT"/>
              </w:rPr>
            </w:pPr>
            <w:r>
              <w:rPr>
                <w:rFonts w:hint="eastAsia" w:ascii="仿宋" w:hAnsi="仿宋" w:eastAsia="仿宋" w:cs="仿宋"/>
                <w:sz w:val="24"/>
                <w:lang w:val="it-IT"/>
              </w:rPr>
              <w:t>支持PVLAN/MUX VLAN</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2" w:type="dxa"/>
            <w:vMerge w:val="continue"/>
            <w:shd w:val="clear" w:color="auto" w:fill="FFFFFF" w:themeFill="background1"/>
            <w:noWrap/>
            <w:vAlign w:val="center"/>
          </w:tcPr>
          <w:p>
            <w:pPr>
              <w:jc w:val="center"/>
              <w:rPr>
                <w:rFonts w:ascii="仿宋" w:hAnsi="仿宋" w:eastAsia="仿宋" w:cs="仿宋"/>
                <w:sz w:val="24"/>
                <w:lang w:val="it-IT"/>
              </w:rPr>
            </w:pPr>
          </w:p>
        </w:tc>
        <w:tc>
          <w:tcPr>
            <w:tcW w:w="8555" w:type="dxa"/>
            <w:shd w:val="clear" w:color="auto" w:fill="FFFFFF" w:themeFill="background1"/>
            <w:vAlign w:val="center"/>
          </w:tcPr>
          <w:p>
            <w:pPr>
              <w:rPr>
                <w:rFonts w:ascii="仿宋" w:hAnsi="仿宋" w:eastAsia="仿宋" w:cs="仿宋"/>
                <w:sz w:val="24"/>
                <w:lang w:val="it-IT"/>
              </w:rPr>
            </w:pPr>
            <w:r>
              <w:rPr>
                <w:rFonts w:hint="eastAsia" w:ascii="仿宋" w:hAnsi="仿宋" w:eastAsia="仿宋" w:cs="仿宋"/>
                <w:sz w:val="24"/>
                <w:lang w:val="it-IT"/>
              </w:rPr>
              <w:t>支持IGMP v1/v2/v3 Snooping和快速离开机制；支持VLAN内组播转发和组播多VLAN复制；支持捆绑端口的组播负载分担；基于端口的组播流量统计。</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 w:hRule="atLeast"/>
          <w:jc w:val="center"/>
        </w:trPr>
        <w:tc>
          <w:tcPr>
            <w:tcW w:w="1302" w:type="dxa"/>
            <w:vMerge w:val="continue"/>
            <w:shd w:val="clear" w:color="auto" w:fill="FFFFFF" w:themeFill="background1"/>
            <w:noWrap/>
            <w:vAlign w:val="center"/>
          </w:tcPr>
          <w:p>
            <w:pPr>
              <w:jc w:val="center"/>
              <w:rPr>
                <w:rFonts w:ascii="仿宋" w:hAnsi="仿宋" w:eastAsia="仿宋" w:cs="仿宋"/>
                <w:sz w:val="24"/>
                <w:lang w:val="it-IT"/>
              </w:rPr>
            </w:pPr>
          </w:p>
        </w:tc>
        <w:tc>
          <w:tcPr>
            <w:tcW w:w="8555" w:type="dxa"/>
            <w:shd w:val="clear" w:color="auto" w:fill="FFFFFF" w:themeFill="background1"/>
            <w:vAlign w:val="center"/>
          </w:tcPr>
          <w:p>
            <w:pPr>
              <w:rPr>
                <w:rFonts w:ascii="仿宋" w:hAnsi="仿宋" w:eastAsia="仿宋" w:cs="仿宋"/>
                <w:sz w:val="24"/>
                <w:lang w:val="it-IT"/>
              </w:rPr>
            </w:pPr>
            <w:r>
              <w:rPr>
                <w:rFonts w:hint="eastAsia" w:ascii="仿宋" w:hAnsi="仿宋" w:eastAsia="仿宋" w:cs="仿宋"/>
                <w:sz w:val="24"/>
                <w:lang w:val="it-IT"/>
              </w:rPr>
              <w:t>支持多个物理端口的流量镜像到一个端口；支持流镜像；支持远程端口镜像（RSPAN）。</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 w:hRule="atLeast"/>
          <w:jc w:val="center"/>
        </w:trPr>
        <w:tc>
          <w:tcPr>
            <w:tcW w:w="1302" w:type="dxa"/>
            <w:vMerge w:val="continue"/>
            <w:shd w:val="clear" w:color="auto" w:fill="FFFFFF" w:themeFill="background1"/>
            <w:noWrap/>
            <w:vAlign w:val="center"/>
          </w:tcPr>
          <w:p>
            <w:pPr>
              <w:jc w:val="center"/>
              <w:rPr>
                <w:rFonts w:ascii="仿宋" w:hAnsi="仿宋" w:eastAsia="仿宋" w:cs="仿宋"/>
                <w:sz w:val="24"/>
                <w:lang w:val="it-IT"/>
              </w:rPr>
            </w:pPr>
          </w:p>
        </w:tc>
        <w:tc>
          <w:tcPr>
            <w:tcW w:w="8555" w:type="dxa"/>
            <w:shd w:val="clear" w:color="auto" w:fill="FFFFFF" w:themeFill="background1"/>
            <w:vAlign w:val="center"/>
          </w:tcPr>
          <w:p>
            <w:pPr>
              <w:rPr>
                <w:rFonts w:ascii="仿宋" w:hAnsi="仿宋" w:eastAsia="仿宋" w:cs="仿宋"/>
                <w:sz w:val="24"/>
                <w:lang w:val="it-IT"/>
              </w:rPr>
            </w:pPr>
            <w:r>
              <w:rPr>
                <w:rFonts w:hint="eastAsia" w:ascii="仿宋" w:hAnsi="仿宋" w:eastAsia="仿宋" w:cs="仿宋"/>
                <w:sz w:val="24"/>
                <w:lang w:val="it-IT"/>
              </w:rPr>
              <w:t>支持基于第二层、第三层和第四层的ACL；支持双向ACL；支持VLAN ACL和IPv6 ACL</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2" w:type="dxa"/>
            <w:vMerge w:val="continue"/>
            <w:shd w:val="clear" w:color="auto" w:fill="FFFFFF" w:themeFill="background1"/>
            <w:noWrap/>
            <w:vAlign w:val="center"/>
          </w:tcPr>
          <w:p>
            <w:pPr>
              <w:jc w:val="center"/>
              <w:rPr>
                <w:rFonts w:ascii="仿宋" w:hAnsi="仿宋" w:eastAsia="仿宋" w:cs="仿宋"/>
                <w:sz w:val="24"/>
                <w:lang w:val="it-IT"/>
              </w:rPr>
            </w:pPr>
          </w:p>
        </w:tc>
        <w:tc>
          <w:tcPr>
            <w:tcW w:w="8555" w:type="dxa"/>
            <w:shd w:val="clear" w:color="auto" w:fill="FFFFFF" w:themeFill="background1"/>
            <w:vAlign w:val="center"/>
          </w:tcPr>
          <w:p>
            <w:pPr>
              <w:rPr>
                <w:rFonts w:ascii="仿宋" w:hAnsi="仿宋" w:eastAsia="仿宋" w:cs="仿宋"/>
                <w:sz w:val="24"/>
                <w:lang w:val="it-IT"/>
              </w:rPr>
            </w:pPr>
            <w:r>
              <w:rPr>
                <w:rFonts w:hint="eastAsia" w:ascii="仿宋" w:hAnsi="仿宋" w:eastAsia="仿宋" w:cs="仿宋"/>
                <w:sz w:val="24"/>
                <w:lang w:val="it-IT"/>
              </w:rPr>
              <w:t>至少具备8个队列；支持SP, DWRR，SP+DWRR调度方式；支持双向端口限速，限速粒度64K；提供广播风暴抑制功能；支持双向流限速。</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2" w:type="dxa"/>
            <w:vMerge w:val="continue"/>
            <w:shd w:val="clear" w:color="auto" w:fill="FFFFFF" w:themeFill="background1"/>
            <w:noWrap/>
            <w:vAlign w:val="center"/>
          </w:tcPr>
          <w:p>
            <w:pPr>
              <w:jc w:val="center"/>
              <w:rPr>
                <w:rFonts w:ascii="仿宋" w:hAnsi="仿宋" w:eastAsia="仿宋" w:cs="仿宋"/>
                <w:sz w:val="24"/>
                <w:lang w:val="it-IT"/>
              </w:rPr>
            </w:pPr>
          </w:p>
        </w:tc>
        <w:tc>
          <w:tcPr>
            <w:tcW w:w="8555" w:type="dxa"/>
            <w:shd w:val="clear" w:color="auto" w:fill="FFFFFF" w:themeFill="background1"/>
            <w:vAlign w:val="center"/>
          </w:tcPr>
          <w:p>
            <w:pPr>
              <w:rPr>
                <w:rFonts w:ascii="仿宋" w:hAnsi="仿宋" w:eastAsia="仿宋" w:cs="仿宋"/>
                <w:sz w:val="24"/>
                <w:lang w:val="it-IT"/>
              </w:rPr>
            </w:pPr>
            <w:r>
              <w:rPr>
                <w:rFonts w:hint="eastAsia" w:ascii="仿宋" w:hAnsi="仿宋" w:eastAsia="仿宋" w:cs="仿宋"/>
                <w:sz w:val="24"/>
                <w:lang w:val="it-IT"/>
              </w:rPr>
              <w:t>支持MEF9、MEF14，</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2" w:type="dxa"/>
            <w:shd w:val="clear" w:color="auto" w:fill="FFFFFF" w:themeFill="background1"/>
            <w:noWrap/>
            <w:vAlign w:val="center"/>
          </w:tcPr>
          <w:p>
            <w:pPr>
              <w:jc w:val="center"/>
              <w:rPr>
                <w:rFonts w:ascii="仿宋" w:hAnsi="仿宋" w:eastAsia="仿宋" w:cs="仿宋"/>
                <w:sz w:val="24"/>
                <w:lang w:val="it-IT"/>
              </w:rPr>
            </w:pPr>
            <w:r>
              <w:rPr>
                <w:rFonts w:hint="eastAsia" w:ascii="仿宋" w:hAnsi="仿宋" w:eastAsia="仿宋" w:cs="仿宋"/>
                <w:sz w:val="24"/>
                <w:lang w:val="it-IT"/>
              </w:rPr>
              <w:t>路由</w:t>
            </w:r>
          </w:p>
        </w:tc>
        <w:tc>
          <w:tcPr>
            <w:tcW w:w="8555" w:type="dxa"/>
            <w:shd w:val="clear" w:color="auto" w:fill="FFFFFF" w:themeFill="background1"/>
            <w:vAlign w:val="center"/>
          </w:tcPr>
          <w:p>
            <w:pPr>
              <w:rPr>
                <w:rFonts w:ascii="仿宋" w:hAnsi="仿宋" w:eastAsia="仿宋" w:cs="仿宋"/>
                <w:sz w:val="24"/>
                <w:lang w:val="it-IT"/>
              </w:rPr>
            </w:pPr>
            <w:r>
              <w:rPr>
                <w:rFonts w:hint="eastAsia" w:ascii="仿宋" w:hAnsi="仿宋" w:eastAsia="仿宋" w:cs="仿宋"/>
                <w:sz w:val="24"/>
                <w:lang w:val="it-IT"/>
              </w:rPr>
              <w:t>支持静态路由，支持RIP、RIPng、OSPF协议</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2" w:type="dxa"/>
            <w:vMerge w:val="restart"/>
            <w:shd w:val="clear" w:color="auto" w:fill="FFFFFF" w:themeFill="background1"/>
            <w:noWrap/>
            <w:vAlign w:val="center"/>
          </w:tcPr>
          <w:p>
            <w:pPr>
              <w:jc w:val="center"/>
              <w:rPr>
                <w:rFonts w:ascii="仿宋" w:hAnsi="仿宋" w:eastAsia="仿宋" w:cs="仿宋"/>
                <w:sz w:val="24"/>
                <w:lang w:val="it-IT"/>
              </w:rPr>
            </w:pPr>
            <w:r>
              <w:rPr>
                <w:rFonts w:hint="eastAsia" w:ascii="仿宋" w:hAnsi="仿宋" w:eastAsia="仿宋" w:cs="仿宋"/>
                <w:sz w:val="24"/>
                <w:lang w:val="it-IT"/>
              </w:rPr>
              <w:t>安全功能</w:t>
            </w:r>
          </w:p>
        </w:tc>
        <w:tc>
          <w:tcPr>
            <w:tcW w:w="8555" w:type="dxa"/>
            <w:shd w:val="clear" w:color="auto" w:fill="FFFFFF" w:themeFill="background1"/>
            <w:vAlign w:val="center"/>
          </w:tcPr>
          <w:p>
            <w:pPr>
              <w:rPr>
                <w:rFonts w:ascii="仿宋" w:hAnsi="仿宋" w:eastAsia="仿宋" w:cs="仿宋"/>
                <w:sz w:val="24"/>
                <w:lang w:val="it-IT"/>
              </w:rPr>
            </w:pPr>
            <w:r>
              <w:rPr>
                <w:rFonts w:hint="eastAsia" w:ascii="仿宋" w:hAnsi="仿宋" w:eastAsia="仿宋" w:cs="仿宋"/>
                <w:sz w:val="24"/>
                <w:lang w:val="it-IT"/>
              </w:rPr>
              <w:t>支持DHCP Relay、 DHCP Server、DHCP Snooping、DHCP Security, 防止ARP攻击、DDOS攻击、中间人攻击</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2" w:type="dxa"/>
            <w:vMerge w:val="continue"/>
            <w:shd w:val="clear" w:color="auto" w:fill="FFFFFF" w:themeFill="background1"/>
            <w:noWrap/>
            <w:vAlign w:val="center"/>
          </w:tcPr>
          <w:p>
            <w:pPr>
              <w:jc w:val="center"/>
              <w:rPr>
                <w:rFonts w:ascii="仿宋" w:hAnsi="仿宋" w:eastAsia="仿宋" w:cs="仿宋"/>
                <w:sz w:val="24"/>
                <w:lang w:val="it-IT"/>
              </w:rPr>
            </w:pPr>
          </w:p>
        </w:tc>
        <w:tc>
          <w:tcPr>
            <w:tcW w:w="8555" w:type="dxa"/>
            <w:shd w:val="clear" w:color="auto" w:fill="FFFFFF" w:themeFill="background1"/>
            <w:vAlign w:val="center"/>
          </w:tcPr>
          <w:p>
            <w:pPr>
              <w:rPr>
                <w:rFonts w:ascii="仿宋" w:hAnsi="仿宋" w:eastAsia="仿宋" w:cs="仿宋"/>
                <w:sz w:val="24"/>
                <w:lang w:val="it-IT"/>
              </w:rPr>
            </w:pPr>
            <w:r>
              <w:rPr>
                <w:rFonts w:hint="eastAsia" w:ascii="仿宋" w:hAnsi="仿宋" w:eastAsia="仿宋" w:cs="仿宋"/>
                <w:sz w:val="24"/>
                <w:lang w:val="it-IT"/>
              </w:rPr>
              <w:t>支持BPDU guard， Root guard</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 w:hRule="atLeast"/>
          <w:jc w:val="center"/>
        </w:trPr>
        <w:tc>
          <w:tcPr>
            <w:tcW w:w="1302" w:type="dxa"/>
            <w:vMerge w:val="continue"/>
            <w:shd w:val="clear" w:color="auto" w:fill="FFFFFF" w:themeFill="background1"/>
            <w:noWrap/>
            <w:vAlign w:val="center"/>
          </w:tcPr>
          <w:p>
            <w:pPr>
              <w:jc w:val="center"/>
              <w:rPr>
                <w:rFonts w:ascii="仿宋" w:hAnsi="仿宋" w:eastAsia="仿宋" w:cs="仿宋"/>
                <w:sz w:val="24"/>
                <w:lang w:val="it-IT"/>
              </w:rPr>
            </w:pPr>
          </w:p>
        </w:tc>
        <w:tc>
          <w:tcPr>
            <w:tcW w:w="8555" w:type="dxa"/>
            <w:shd w:val="clear" w:color="auto" w:fill="FFFFFF" w:themeFill="background1"/>
            <w:vAlign w:val="center"/>
          </w:tcPr>
          <w:p>
            <w:pPr>
              <w:rPr>
                <w:rFonts w:ascii="仿宋" w:hAnsi="仿宋" w:eastAsia="仿宋" w:cs="仿宋"/>
                <w:sz w:val="24"/>
                <w:lang w:val="it-IT"/>
              </w:rPr>
            </w:pPr>
            <w:r>
              <w:rPr>
                <w:rFonts w:hint="eastAsia" w:ascii="仿宋" w:hAnsi="仿宋" w:eastAsia="仿宋" w:cs="仿宋"/>
                <w:sz w:val="24"/>
                <w:lang w:val="it-IT"/>
              </w:rPr>
              <w:t>支持802.1X</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2" w:type="dxa"/>
            <w:vMerge w:val="continue"/>
            <w:shd w:val="clear" w:color="auto" w:fill="FFFFFF" w:themeFill="background1"/>
            <w:noWrap/>
            <w:vAlign w:val="center"/>
          </w:tcPr>
          <w:p>
            <w:pPr>
              <w:jc w:val="center"/>
              <w:rPr>
                <w:rFonts w:ascii="仿宋" w:hAnsi="仿宋" w:eastAsia="仿宋" w:cs="仿宋"/>
                <w:sz w:val="24"/>
                <w:lang w:val="it-IT"/>
              </w:rPr>
            </w:pPr>
          </w:p>
        </w:tc>
        <w:tc>
          <w:tcPr>
            <w:tcW w:w="8555" w:type="dxa"/>
            <w:shd w:val="clear" w:color="auto" w:fill="FFFFFF" w:themeFill="background1"/>
            <w:vAlign w:val="center"/>
          </w:tcPr>
          <w:p>
            <w:pPr>
              <w:rPr>
                <w:rFonts w:ascii="仿宋" w:hAnsi="仿宋" w:eastAsia="仿宋" w:cs="仿宋"/>
                <w:sz w:val="24"/>
                <w:lang w:val="it-IT"/>
              </w:rPr>
            </w:pPr>
            <w:r>
              <w:rPr>
                <w:rFonts w:hint="eastAsia" w:ascii="仿宋" w:hAnsi="仿宋" w:eastAsia="仿宋" w:cs="仿宋"/>
                <w:sz w:val="24"/>
                <w:lang w:val="it-IT"/>
              </w:rPr>
              <w:t>支持CPU攻击防范：支持CPCAR，支持CPU队列限速，支持CPU黑白名单，支持攻击溯源</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2" w:type="dxa"/>
            <w:shd w:val="clear" w:color="auto" w:fill="FFFFFF" w:themeFill="background1"/>
            <w:noWrap/>
            <w:vAlign w:val="center"/>
          </w:tcPr>
          <w:p>
            <w:pPr>
              <w:jc w:val="center"/>
              <w:rPr>
                <w:rFonts w:ascii="仿宋" w:hAnsi="仿宋" w:eastAsia="仿宋" w:cs="仿宋"/>
                <w:sz w:val="24"/>
                <w:lang w:val="it-IT"/>
              </w:rPr>
            </w:pPr>
            <w:r>
              <w:rPr>
                <w:rFonts w:hint="eastAsia" w:ascii="仿宋" w:hAnsi="仿宋" w:eastAsia="仿宋" w:cs="仿宋"/>
                <w:sz w:val="24"/>
                <w:lang w:val="it-IT"/>
              </w:rPr>
              <w:t>虚拟交换网(SVF)</w:t>
            </w:r>
          </w:p>
        </w:tc>
        <w:tc>
          <w:tcPr>
            <w:tcW w:w="8555" w:type="dxa"/>
            <w:shd w:val="clear" w:color="auto" w:fill="FFFFFF" w:themeFill="background1"/>
            <w:vAlign w:val="center"/>
          </w:tcPr>
          <w:p>
            <w:pPr>
              <w:rPr>
                <w:rFonts w:ascii="仿宋" w:hAnsi="仿宋" w:eastAsia="仿宋" w:cs="仿宋"/>
                <w:sz w:val="24"/>
                <w:lang w:val="it-IT"/>
              </w:rPr>
            </w:pPr>
            <w:r>
              <w:rPr>
                <w:rFonts w:hint="eastAsia" w:ascii="仿宋" w:hAnsi="仿宋" w:eastAsia="仿宋" w:cs="仿宋"/>
                <w:sz w:val="24"/>
                <w:lang w:val="it-IT"/>
              </w:rPr>
              <w:t>支持作为SVF client零配置即插即用 ，支持自动加载client的大包和补丁 ，支持业务一键式自动下发，client支持独立运行</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02" w:type="dxa"/>
            <w:shd w:val="clear" w:color="auto" w:fill="FFFFFF" w:themeFill="background1"/>
            <w:noWrap/>
            <w:vAlign w:val="center"/>
          </w:tcPr>
          <w:p>
            <w:pPr>
              <w:jc w:val="center"/>
              <w:rPr>
                <w:rFonts w:ascii="仿宋" w:hAnsi="仿宋" w:eastAsia="仿宋" w:cs="仿宋"/>
                <w:sz w:val="24"/>
                <w:lang w:val="it-IT"/>
              </w:rPr>
            </w:pPr>
            <w:r>
              <w:rPr>
                <w:rFonts w:hint="eastAsia" w:ascii="仿宋" w:hAnsi="仿宋" w:eastAsia="仿宋" w:cs="仿宋"/>
                <w:sz w:val="24"/>
                <w:lang w:val="it-IT"/>
              </w:rPr>
              <w:t>防雷能力</w:t>
            </w:r>
          </w:p>
        </w:tc>
        <w:tc>
          <w:tcPr>
            <w:tcW w:w="8555" w:type="dxa"/>
            <w:shd w:val="clear" w:color="auto" w:fill="FFFFFF" w:themeFill="background1"/>
            <w:vAlign w:val="center"/>
          </w:tcPr>
          <w:p>
            <w:pPr>
              <w:rPr>
                <w:rFonts w:ascii="仿宋" w:hAnsi="仿宋" w:eastAsia="仿宋" w:cs="仿宋"/>
                <w:sz w:val="24"/>
                <w:lang w:val="it-IT"/>
              </w:rPr>
            </w:pPr>
            <w:r>
              <w:rPr>
                <w:rFonts w:hint="eastAsia" w:ascii="仿宋" w:hAnsi="仿宋" w:eastAsia="仿宋" w:cs="仿宋"/>
                <w:sz w:val="24"/>
                <w:lang w:val="it-IT"/>
              </w:rPr>
              <w:t>业务端口防雷能力≥10KV；</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 w:hRule="atLeast"/>
          <w:jc w:val="center"/>
        </w:trPr>
        <w:tc>
          <w:tcPr>
            <w:tcW w:w="1302" w:type="dxa"/>
            <w:shd w:val="clear" w:color="auto" w:fill="FFFFFF" w:themeFill="background1"/>
            <w:vAlign w:val="center"/>
          </w:tcPr>
          <w:p>
            <w:pPr>
              <w:jc w:val="center"/>
              <w:rPr>
                <w:rFonts w:ascii="仿宋" w:hAnsi="仿宋" w:eastAsia="仿宋" w:cs="仿宋"/>
                <w:sz w:val="24"/>
                <w:lang w:val="it-IT"/>
              </w:rPr>
            </w:pPr>
            <w:r>
              <w:rPr>
                <w:rFonts w:hint="eastAsia" w:ascii="仿宋" w:hAnsi="仿宋" w:eastAsia="仿宋" w:cs="仿宋"/>
                <w:sz w:val="24"/>
                <w:lang w:val="it-IT"/>
              </w:rPr>
              <w:t>管理维护</w:t>
            </w:r>
          </w:p>
        </w:tc>
        <w:tc>
          <w:tcPr>
            <w:tcW w:w="8555" w:type="dxa"/>
            <w:shd w:val="clear" w:color="auto" w:fill="FFFFFF" w:themeFill="background1"/>
            <w:noWrap/>
            <w:vAlign w:val="center"/>
          </w:tcPr>
          <w:p>
            <w:pPr>
              <w:rPr>
                <w:rFonts w:ascii="仿宋" w:hAnsi="仿宋" w:eastAsia="仿宋" w:cs="仿宋"/>
                <w:sz w:val="24"/>
                <w:lang w:val="it-IT"/>
              </w:rPr>
            </w:pPr>
            <w:r>
              <w:rPr>
                <w:rFonts w:hint="eastAsia" w:ascii="仿宋" w:hAnsi="仿宋" w:eastAsia="仿宋" w:cs="仿宋"/>
                <w:sz w:val="24"/>
                <w:lang w:val="it-IT"/>
              </w:rPr>
              <w:t>支持SNMP v1/v2/v3、Telnet、RMON、SSHv2；支持通过命令行、Web、中文图形化配置软件等方式进行配置和管理；支持设备断电告警功能，支持批量升级</w:t>
            </w:r>
          </w:p>
        </w:tc>
      </w:tr>
    </w:tbl>
    <w:p>
      <w:pPr>
        <w:pStyle w:val="3"/>
        <w:ind w:firstLine="0"/>
        <w:rPr>
          <w:lang w:val="en-US"/>
        </w:rPr>
      </w:pPr>
    </w:p>
    <w:p>
      <w:pPr>
        <w:rPr>
          <w:rFonts w:ascii="仿宋" w:hAnsi="仿宋" w:eastAsia="仿宋" w:cs="仿宋"/>
          <w:b/>
          <w:kern w:val="0"/>
          <w:sz w:val="24"/>
        </w:rPr>
      </w:pPr>
      <w:r>
        <w:rPr>
          <w:rFonts w:hint="eastAsia" w:ascii="仿宋" w:hAnsi="仿宋" w:eastAsia="仿宋" w:cs="仿宋"/>
          <w:b/>
          <w:kern w:val="0"/>
          <w:sz w:val="24"/>
        </w:rPr>
        <w:br w:type="page"/>
      </w:r>
    </w:p>
    <w:p>
      <w:pPr>
        <w:snapToGrid w:val="0"/>
        <w:spacing w:line="360" w:lineRule="auto"/>
        <w:jc w:val="left"/>
        <w:rPr>
          <w:rFonts w:ascii="仿宋" w:hAnsi="仿宋" w:eastAsia="仿宋" w:cs="仿宋"/>
          <w:b/>
          <w:kern w:val="0"/>
          <w:sz w:val="24"/>
        </w:rPr>
      </w:pPr>
      <w:r>
        <w:rPr>
          <w:rFonts w:hint="eastAsia" w:ascii="仿宋" w:hAnsi="仿宋" w:eastAsia="仿宋" w:cs="仿宋"/>
          <w:b/>
          <w:kern w:val="0"/>
          <w:sz w:val="24"/>
        </w:rPr>
        <w:t>二、商务需求</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2.1交货时间及地点</w:t>
      </w:r>
    </w:p>
    <w:p>
      <w:pPr>
        <w:adjustRightInd/>
        <w:spacing w:line="360" w:lineRule="auto"/>
        <w:ind w:firstLine="482" w:firstLineChars="200"/>
        <w:rPr>
          <w:rFonts w:ascii="仿宋" w:hAnsi="仿宋" w:eastAsia="仿宋" w:cs="仿宋"/>
          <w:b/>
          <w:bCs/>
          <w:sz w:val="24"/>
        </w:rPr>
      </w:pPr>
      <w:r>
        <w:rPr>
          <w:rFonts w:hint="eastAsia" w:ascii="仿宋" w:hAnsi="仿宋" w:eastAsia="仿宋" w:cs="仿宋"/>
          <w:b/>
          <w:bCs/>
          <w:sz w:val="24"/>
        </w:rPr>
        <w:t>▲(1)中标人应在合同签订后30日历天内供货、安装、调试完成。</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(2)交货地点：采购人指定地点。</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(3)中标人提供的中标物品，必须符合本采购文件要求、原包装送达采购单位；如有不符，采购人可以无条件退货，所造成的损失由中标人承担。更换后的零部件质保期按更换日起顺延。</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2.2质保期及售后技术服务要求</w:t>
      </w:r>
    </w:p>
    <w:p>
      <w:pPr>
        <w:adjustRightInd/>
        <w:spacing w:line="360" w:lineRule="auto"/>
        <w:ind w:firstLine="482" w:firstLineChars="200"/>
        <w:rPr>
          <w:rFonts w:ascii="仿宋" w:hAnsi="仿宋" w:eastAsia="仿宋" w:cs="仿宋"/>
          <w:b/>
          <w:bCs/>
          <w:sz w:val="24"/>
        </w:rPr>
      </w:pPr>
      <w:r>
        <w:rPr>
          <w:rFonts w:hint="eastAsia" w:ascii="仿宋" w:hAnsi="仿宋" w:eastAsia="仿宋" w:cs="仿宋"/>
          <w:b/>
          <w:bCs/>
          <w:sz w:val="24"/>
        </w:rPr>
        <w:t>▲(1)质保期：3年。</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(2)质量保证期内提供免费上门维护、升级服务，如设备出现故障，供货单位在接到电话后，2小时内响应，12小时以内到现场处理，24小时内修复，现场不能修复的，必须采取无偿提供采购物品的备用件或整机等措施，保证用户单位的正常使用。</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(3)投标人应提供技术支持方案，内容由投标人根据实际选择以下要点：服务机构（维保点）的地址、人员状况、维修能力、联系方式、营业执照、公司资质材料、相关案例等。</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(4)完整准确地表述原厂家的标准售后服务承诺（范围、标准及期限等）、投标人可能增加的服务承诺等。</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(5)明示服务承诺可能涉及的前提设定和费用，否则将被认为是无条件和免费的。</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3.项目实施计划</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项目实施的组织工作方案：工作时间进度表、工作程序或步骤、管理和协调方法、送货方案等。</w:t>
      </w:r>
    </w:p>
    <w:p>
      <w:pPr>
        <w:adjustRightInd/>
        <w:spacing w:line="360" w:lineRule="auto"/>
        <w:ind w:firstLine="482" w:firstLineChars="200"/>
        <w:rPr>
          <w:rFonts w:ascii="仿宋" w:hAnsi="仿宋" w:eastAsia="仿宋" w:cs="仿宋"/>
          <w:b/>
          <w:bCs/>
          <w:sz w:val="24"/>
        </w:rPr>
      </w:pPr>
      <w:r>
        <w:rPr>
          <w:rFonts w:hint="eastAsia" w:ascii="仿宋" w:hAnsi="仿宋" w:eastAsia="仿宋" w:cs="仿宋"/>
          <w:b/>
          <w:bCs/>
          <w:sz w:val="24"/>
        </w:rPr>
        <w:t>▲4.付款方式</w:t>
      </w:r>
    </w:p>
    <w:p>
      <w:pPr>
        <w:spacing w:line="360" w:lineRule="auto"/>
        <w:ind w:firstLine="482" w:firstLineChars="200"/>
      </w:pPr>
      <w:r>
        <w:rPr>
          <w:rFonts w:hint="eastAsia" w:ascii="仿宋" w:hAnsi="仿宋" w:eastAsia="仿宋" w:cs="仿宋"/>
          <w:b/>
          <w:bCs/>
          <w:sz w:val="24"/>
        </w:rPr>
        <w:t>项目完成且经验收合格后支付100%合同款。</w:t>
      </w:r>
    </w:p>
    <w:p>
      <w:pPr>
        <w:snapToGrid w:val="0"/>
        <w:spacing w:line="360" w:lineRule="auto"/>
        <w:jc w:val="left"/>
        <w:rPr>
          <w:rFonts w:ascii="仿宋" w:hAnsi="仿宋" w:eastAsia="仿宋" w:cs="仿宋"/>
          <w:b/>
          <w:kern w:val="0"/>
          <w:sz w:val="24"/>
        </w:rPr>
      </w:pPr>
    </w:p>
    <w:p>
      <w:pPr>
        <w:snapToGrid w:val="0"/>
        <w:spacing w:line="360" w:lineRule="auto"/>
        <w:jc w:val="left"/>
        <w:rPr>
          <w:rFonts w:ascii="仿宋" w:hAnsi="仿宋" w:eastAsia="仿宋" w:cs="仿宋"/>
          <w:b/>
          <w:kern w:val="0"/>
          <w:sz w:val="24"/>
        </w:rPr>
      </w:pPr>
      <w:r>
        <w:rPr>
          <w:rFonts w:hint="eastAsia" w:ascii="仿宋" w:hAnsi="仿宋" w:eastAsia="仿宋" w:cs="仿宋"/>
          <w:b/>
          <w:kern w:val="0"/>
          <w:sz w:val="24"/>
        </w:rPr>
        <w:t>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1、除采购文件标注的参考品牌外，欢迎其它能满足本项目技术需求且性能与所注品牌相当的产品参与。</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2、如有附图，仅作参考。</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3、招标文件中打▲内容为实质性要求，不允许有负偏离，否则将以涉及重大偏离扣分或无效投标条款作无效投标。</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4、中标供应商所提供的货物、服务须与投标承诺一致，不得以次充好、偷工减料，若在项目验收中发现有上述情况，将向有关部门举报，根据相关规定进行处理。</w:t>
      </w:r>
    </w:p>
    <w:p>
      <w:pPr>
        <w:rPr>
          <w:rFonts w:ascii="仿宋" w:hAnsi="仿宋" w:eastAsia="仿宋" w:cs="仿宋"/>
          <w:b/>
          <w:bCs/>
          <w:sz w:val="24"/>
        </w:rPr>
      </w:pPr>
      <w:r>
        <w:rPr>
          <w:rFonts w:hint="eastAsia" w:ascii="仿宋" w:hAnsi="仿宋" w:eastAsia="仿宋" w:cs="仿宋"/>
          <w:b/>
          <w:bCs/>
          <w:sz w:val="24"/>
        </w:rPr>
        <w:br w:type="page"/>
      </w:r>
    </w:p>
    <w:p>
      <w:pPr>
        <w:pStyle w:val="4"/>
        <w:rPr>
          <w:rFonts w:cs="仿宋"/>
          <w:color w:val="auto"/>
        </w:rPr>
      </w:pPr>
      <w:r>
        <w:rPr>
          <w:rFonts w:hint="eastAsia" w:cs="仿宋"/>
          <w:color w:val="auto"/>
        </w:rPr>
        <w:t xml:space="preserve">第四部分   </w:t>
      </w:r>
      <w:bookmarkStart w:id="64" w:name="_Toc184308090"/>
      <w:bookmarkEnd w:id="64"/>
      <w:bookmarkStart w:id="65" w:name="_Toc184312134"/>
      <w:bookmarkEnd w:id="65"/>
      <w:bookmarkStart w:id="66" w:name="_Toc184308099"/>
      <w:bookmarkEnd w:id="66"/>
      <w:bookmarkStart w:id="67" w:name="_Toc184313308"/>
      <w:bookmarkEnd w:id="67"/>
      <w:bookmarkStart w:id="68" w:name="_Toc184314457"/>
      <w:bookmarkEnd w:id="68"/>
      <w:bookmarkStart w:id="69" w:name="_Toc184308093"/>
      <w:bookmarkEnd w:id="69"/>
      <w:bookmarkStart w:id="70" w:name="_Toc184313301"/>
      <w:bookmarkEnd w:id="70"/>
      <w:bookmarkStart w:id="71" w:name="_Toc184313298"/>
      <w:bookmarkEnd w:id="71"/>
      <w:bookmarkStart w:id="72" w:name="_Toc184314477"/>
      <w:bookmarkEnd w:id="72"/>
      <w:bookmarkStart w:id="73" w:name="_Toc184310325"/>
      <w:bookmarkEnd w:id="73"/>
      <w:bookmarkStart w:id="74" w:name="_Toc184310324"/>
      <w:bookmarkEnd w:id="74"/>
      <w:bookmarkStart w:id="75" w:name="_Toc184313289"/>
      <w:bookmarkEnd w:id="75"/>
      <w:bookmarkStart w:id="76" w:name="_Toc184308046"/>
      <w:bookmarkEnd w:id="76"/>
      <w:bookmarkStart w:id="77" w:name="_Toc184312128"/>
      <w:bookmarkEnd w:id="77"/>
      <w:bookmarkStart w:id="78" w:name="_Toc184310329"/>
      <w:bookmarkEnd w:id="78"/>
      <w:bookmarkStart w:id="79" w:name="_Toc184308070"/>
      <w:bookmarkEnd w:id="79"/>
      <w:bookmarkStart w:id="80" w:name="_Toc184310340"/>
      <w:bookmarkEnd w:id="80"/>
      <w:bookmarkStart w:id="81" w:name="_Toc184314472"/>
      <w:bookmarkEnd w:id="81"/>
      <w:bookmarkStart w:id="82" w:name="_Toc184310334"/>
      <w:bookmarkEnd w:id="82"/>
      <w:bookmarkStart w:id="83" w:name="_Toc184313276"/>
      <w:bookmarkEnd w:id="83"/>
      <w:bookmarkStart w:id="84" w:name="_Toc184313296"/>
      <w:bookmarkEnd w:id="84"/>
      <w:bookmarkStart w:id="85" w:name="_Toc184312111"/>
      <w:bookmarkEnd w:id="85"/>
      <w:bookmarkStart w:id="86" w:name="_Toc184310316"/>
      <w:bookmarkEnd w:id="86"/>
      <w:bookmarkStart w:id="87" w:name="_Toc184308076"/>
      <w:bookmarkEnd w:id="87"/>
      <w:bookmarkStart w:id="88" w:name="_Toc184313290"/>
      <w:bookmarkEnd w:id="88"/>
      <w:bookmarkStart w:id="89" w:name="_Toc184308103"/>
      <w:bookmarkEnd w:id="89"/>
      <w:bookmarkStart w:id="90" w:name="_Toc184313294"/>
      <w:bookmarkEnd w:id="90"/>
      <w:bookmarkStart w:id="91" w:name="_Toc184312132"/>
      <w:bookmarkEnd w:id="91"/>
      <w:bookmarkStart w:id="92" w:name="_Toc184312123"/>
      <w:bookmarkEnd w:id="92"/>
      <w:bookmarkStart w:id="93" w:name="_Toc184314435"/>
      <w:bookmarkEnd w:id="93"/>
      <w:bookmarkStart w:id="94" w:name="_Toc184308096"/>
      <w:bookmarkEnd w:id="94"/>
      <w:bookmarkStart w:id="95" w:name="_Toc184310338"/>
      <w:bookmarkEnd w:id="95"/>
      <w:bookmarkStart w:id="96" w:name="_Toc184313305"/>
      <w:bookmarkEnd w:id="96"/>
      <w:bookmarkStart w:id="97" w:name="_Toc184312137"/>
      <w:bookmarkEnd w:id="97"/>
      <w:bookmarkStart w:id="98" w:name="_Toc184313300"/>
      <w:bookmarkEnd w:id="98"/>
      <w:bookmarkStart w:id="99" w:name="_Toc184314470"/>
      <w:bookmarkEnd w:id="99"/>
      <w:bookmarkStart w:id="100" w:name="_Toc184308051"/>
      <w:bookmarkEnd w:id="100"/>
      <w:bookmarkStart w:id="101" w:name="_Toc184310344"/>
      <w:bookmarkEnd w:id="101"/>
      <w:bookmarkStart w:id="102" w:name="_Toc184308045"/>
      <w:bookmarkEnd w:id="102"/>
      <w:bookmarkStart w:id="103" w:name="_Toc184312131"/>
      <w:bookmarkEnd w:id="103"/>
      <w:bookmarkStart w:id="104" w:name="_Toc184312102"/>
      <w:bookmarkEnd w:id="104"/>
      <w:bookmarkStart w:id="105" w:name="_Toc184310343"/>
      <w:bookmarkEnd w:id="105"/>
      <w:bookmarkStart w:id="106" w:name="_Toc184313291"/>
      <w:bookmarkEnd w:id="106"/>
      <w:bookmarkStart w:id="107" w:name="_Toc184314476"/>
      <w:bookmarkEnd w:id="107"/>
      <w:bookmarkStart w:id="108" w:name="_Toc184308095"/>
      <w:bookmarkEnd w:id="108"/>
      <w:bookmarkStart w:id="109" w:name="_Toc184312122"/>
      <w:bookmarkEnd w:id="109"/>
      <w:bookmarkStart w:id="110" w:name="_Toc184313295"/>
      <w:bookmarkEnd w:id="110"/>
      <w:bookmarkStart w:id="111" w:name="_Toc184312129"/>
      <w:bookmarkEnd w:id="111"/>
      <w:bookmarkStart w:id="112" w:name="_Toc184308079"/>
      <w:bookmarkEnd w:id="112"/>
      <w:bookmarkStart w:id="113" w:name="_Toc184312080"/>
      <w:bookmarkEnd w:id="113"/>
      <w:bookmarkStart w:id="114" w:name="_Toc184313282"/>
      <w:bookmarkEnd w:id="114"/>
      <w:bookmarkStart w:id="115" w:name="_Toc184308086"/>
      <w:bookmarkEnd w:id="115"/>
      <w:bookmarkStart w:id="116" w:name="_Toc184310312"/>
      <w:bookmarkEnd w:id="116"/>
      <w:bookmarkStart w:id="117" w:name="_Toc184308066"/>
      <w:bookmarkEnd w:id="117"/>
      <w:bookmarkStart w:id="118" w:name="_Toc184314461"/>
      <w:bookmarkEnd w:id="118"/>
      <w:bookmarkStart w:id="119" w:name="_Toc184314465"/>
      <w:bookmarkEnd w:id="119"/>
      <w:bookmarkStart w:id="120" w:name="_Toc184310332"/>
      <w:bookmarkEnd w:id="120"/>
      <w:bookmarkStart w:id="121" w:name="_Toc184313309"/>
      <w:bookmarkEnd w:id="121"/>
      <w:bookmarkStart w:id="122" w:name="_Toc184312076"/>
      <w:bookmarkEnd w:id="122"/>
      <w:bookmarkStart w:id="123" w:name="_Toc184313239"/>
      <w:bookmarkEnd w:id="123"/>
      <w:bookmarkStart w:id="124" w:name="_Toc184314425"/>
      <w:bookmarkEnd w:id="124"/>
      <w:bookmarkStart w:id="125" w:name="_Toc184312105"/>
      <w:bookmarkEnd w:id="125"/>
      <w:bookmarkStart w:id="126" w:name="_Toc184308092"/>
      <w:bookmarkEnd w:id="126"/>
      <w:bookmarkStart w:id="127" w:name="_Toc184312121"/>
      <w:bookmarkEnd w:id="127"/>
      <w:bookmarkStart w:id="128" w:name="_Toc184314471"/>
      <w:bookmarkEnd w:id="128"/>
      <w:bookmarkStart w:id="129" w:name="_Toc184308082"/>
      <w:bookmarkEnd w:id="129"/>
      <w:bookmarkStart w:id="130" w:name="_Toc184313265"/>
      <w:bookmarkEnd w:id="130"/>
      <w:bookmarkStart w:id="131" w:name="_Toc184313299"/>
      <w:bookmarkEnd w:id="131"/>
      <w:bookmarkStart w:id="132" w:name="_Toc184308104"/>
      <w:bookmarkEnd w:id="132"/>
      <w:bookmarkStart w:id="133" w:name="_Toc184313285"/>
      <w:bookmarkEnd w:id="133"/>
      <w:bookmarkStart w:id="134" w:name="_Toc184308098"/>
      <w:bookmarkEnd w:id="134"/>
      <w:bookmarkStart w:id="135" w:name="_Toc184314467"/>
      <w:bookmarkEnd w:id="135"/>
      <w:bookmarkStart w:id="136" w:name="_Toc184314474"/>
      <w:bookmarkEnd w:id="136"/>
      <w:bookmarkStart w:id="137" w:name="_Toc184308078"/>
      <w:bookmarkEnd w:id="137"/>
      <w:bookmarkStart w:id="138" w:name="_Toc184312091"/>
      <w:bookmarkEnd w:id="138"/>
      <w:bookmarkStart w:id="139" w:name="_Toc184310308"/>
      <w:bookmarkEnd w:id="139"/>
      <w:bookmarkStart w:id="140" w:name="_Toc184312110"/>
      <w:bookmarkEnd w:id="140"/>
      <w:bookmarkStart w:id="141" w:name="_Toc184310311"/>
      <w:bookmarkEnd w:id="141"/>
      <w:bookmarkStart w:id="142" w:name="_Toc184312071"/>
      <w:bookmarkEnd w:id="142"/>
      <w:bookmarkStart w:id="143" w:name="_Toc184310323"/>
      <w:bookmarkEnd w:id="143"/>
      <w:bookmarkStart w:id="144" w:name="_Toc184310335"/>
      <w:bookmarkEnd w:id="144"/>
      <w:bookmarkStart w:id="145" w:name="_Toc184313297"/>
      <w:bookmarkEnd w:id="145"/>
      <w:bookmarkStart w:id="146" w:name="_Toc184310319"/>
      <w:bookmarkEnd w:id="146"/>
      <w:bookmarkStart w:id="147" w:name="_Toc184313263"/>
      <w:bookmarkEnd w:id="147"/>
      <w:bookmarkStart w:id="148" w:name="_Toc184314452"/>
      <w:bookmarkEnd w:id="148"/>
      <w:bookmarkStart w:id="149" w:name="_Toc184308085"/>
      <w:bookmarkEnd w:id="149"/>
      <w:bookmarkStart w:id="150" w:name="_Toc184310272"/>
      <w:bookmarkEnd w:id="150"/>
      <w:bookmarkStart w:id="151" w:name="_Toc184312124"/>
      <w:bookmarkEnd w:id="151"/>
      <w:bookmarkStart w:id="152" w:name="_Toc184310286"/>
      <w:bookmarkEnd w:id="152"/>
      <w:bookmarkStart w:id="153" w:name="_Toc184310330"/>
      <w:bookmarkEnd w:id="153"/>
      <w:bookmarkStart w:id="154" w:name="_Toc184310278"/>
      <w:bookmarkEnd w:id="154"/>
      <w:bookmarkStart w:id="155" w:name="_Toc184310287"/>
      <w:bookmarkEnd w:id="155"/>
      <w:bookmarkStart w:id="156" w:name="_Toc184310299"/>
      <w:bookmarkEnd w:id="156"/>
      <w:bookmarkStart w:id="157" w:name="_Toc184310313"/>
      <w:bookmarkEnd w:id="157"/>
      <w:bookmarkStart w:id="158" w:name="_Toc184313270"/>
      <w:bookmarkEnd w:id="158"/>
      <w:bookmarkStart w:id="159" w:name="_Toc184310327"/>
      <w:bookmarkEnd w:id="159"/>
      <w:bookmarkStart w:id="160" w:name="_Toc184312126"/>
      <w:bookmarkEnd w:id="160"/>
      <w:bookmarkStart w:id="161" w:name="_Toc184314440"/>
      <w:bookmarkEnd w:id="161"/>
      <w:bookmarkStart w:id="162" w:name="_Toc184313304"/>
      <w:bookmarkEnd w:id="162"/>
      <w:bookmarkStart w:id="163" w:name="_Toc184312133"/>
      <w:bookmarkEnd w:id="163"/>
      <w:bookmarkStart w:id="164" w:name="_Toc184313247"/>
      <w:bookmarkEnd w:id="164"/>
      <w:bookmarkStart w:id="165" w:name="_Toc184314429"/>
      <w:bookmarkEnd w:id="165"/>
      <w:bookmarkStart w:id="166" w:name="_Toc184310333"/>
      <w:bookmarkEnd w:id="166"/>
      <w:bookmarkStart w:id="167" w:name="_Toc184312084"/>
      <w:bookmarkEnd w:id="167"/>
      <w:bookmarkStart w:id="168" w:name="_Toc184310293"/>
      <w:bookmarkEnd w:id="168"/>
      <w:bookmarkStart w:id="169" w:name="_Toc184310274"/>
      <w:bookmarkEnd w:id="169"/>
      <w:bookmarkStart w:id="170" w:name="_Toc184308100"/>
      <w:bookmarkEnd w:id="170"/>
      <w:bookmarkStart w:id="171" w:name="_Toc184312090"/>
      <w:bookmarkEnd w:id="171"/>
      <w:bookmarkStart w:id="172" w:name="_Toc184314416"/>
      <w:bookmarkEnd w:id="172"/>
      <w:bookmarkStart w:id="173" w:name="_Toc184308105"/>
      <w:bookmarkEnd w:id="173"/>
      <w:bookmarkStart w:id="174" w:name="_Toc184312073"/>
      <w:bookmarkEnd w:id="174"/>
      <w:bookmarkStart w:id="175" w:name="_Toc184314436"/>
      <w:bookmarkEnd w:id="175"/>
      <w:bookmarkStart w:id="176" w:name="_Toc184310300"/>
      <w:bookmarkEnd w:id="176"/>
      <w:bookmarkStart w:id="177" w:name="_Toc184313244"/>
      <w:bookmarkEnd w:id="177"/>
      <w:bookmarkStart w:id="178" w:name="_Toc184310279"/>
      <w:bookmarkEnd w:id="178"/>
      <w:bookmarkStart w:id="179" w:name="_Toc184310337"/>
      <w:bookmarkEnd w:id="179"/>
      <w:bookmarkStart w:id="180" w:name="_Toc184308054"/>
      <w:bookmarkEnd w:id="180"/>
      <w:bookmarkStart w:id="181" w:name="_Toc184310303"/>
      <w:bookmarkEnd w:id="181"/>
      <w:bookmarkStart w:id="182" w:name="_Toc184313243"/>
      <w:bookmarkEnd w:id="182"/>
      <w:bookmarkStart w:id="183" w:name="_Toc184312087"/>
      <w:bookmarkEnd w:id="183"/>
      <w:bookmarkStart w:id="184" w:name="_Toc184308073"/>
      <w:bookmarkEnd w:id="184"/>
      <w:bookmarkStart w:id="185" w:name="_Toc184314418"/>
      <w:bookmarkEnd w:id="185"/>
      <w:bookmarkStart w:id="186" w:name="_Toc184308043"/>
      <w:bookmarkEnd w:id="186"/>
      <w:bookmarkStart w:id="187" w:name="_Toc184308063"/>
      <w:bookmarkEnd w:id="187"/>
      <w:bookmarkStart w:id="188" w:name="_Toc184314466"/>
      <w:bookmarkEnd w:id="188"/>
      <w:bookmarkStart w:id="189" w:name="_Toc184308106"/>
      <w:bookmarkEnd w:id="189"/>
      <w:bookmarkStart w:id="190" w:name="_Toc184310342"/>
      <w:bookmarkEnd w:id="190"/>
      <w:bookmarkStart w:id="191" w:name="_Toc184314417"/>
      <w:bookmarkEnd w:id="191"/>
      <w:bookmarkStart w:id="192" w:name="_Toc184312092"/>
      <w:bookmarkEnd w:id="192"/>
      <w:bookmarkStart w:id="193" w:name="_Toc184310302"/>
      <w:bookmarkEnd w:id="193"/>
      <w:bookmarkStart w:id="194" w:name="_Toc184308042"/>
      <w:bookmarkEnd w:id="194"/>
      <w:bookmarkStart w:id="195" w:name="_Toc184313260"/>
      <w:bookmarkEnd w:id="195"/>
      <w:bookmarkStart w:id="196" w:name="_Toc184312116"/>
      <w:bookmarkEnd w:id="196"/>
      <w:bookmarkStart w:id="197" w:name="_Toc184314469"/>
      <w:bookmarkEnd w:id="197"/>
      <w:bookmarkStart w:id="198" w:name="_Toc184314448"/>
      <w:bookmarkEnd w:id="198"/>
      <w:bookmarkStart w:id="199" w:name="_Toc184310292"/>
      <w:bookmarkEnd w:id="199"/>
      <w:bookmarkStart w:id="200" w:name="_Toc184313253"/>
      <w:bookmarkEnd w:id="200"/>
      <w:bookmarkStart w:id="201" w:name="_Toc184312099"/>
      <w:bookmarkEnd w:id="201"/>
      <w:bookmarkStart w:id="202" w:name="_Toc184310290"/>
      <w:bookmarkEnd w:id="202"/>
      <w:bookmarkStart w:id="203" w:name="_Toc184313248"/>
      <w:bookmarkEnd w:id="203"/>
      <w:bookmarkStart w:id="204" w:name="_Toc184308089"/>
      <w:bookmarkEnd w:id="204"/>
      <w:bookmarkStart w:id="205" w:name="_Toc184308055"/>
      <w:bookmarkEnd w:id="205"/>
      <w:bookmarkStart w:id="206" w:name="_Toc184314411"/>
      <w:bookmarkEnd w:id="206"/>
      <w:bookmarkStart w:id="207" w:name="_Toc184310314"/>
      <w:bookmarkEnd w:id="207"/>
      <w:bookmarkStart w:id="208" w:name="_Toc184308058"/>
      <w:bookmarkEnd w:id="208"/>
      <w:bookmarkStart w:id="209" w:name="_Toc184310320"/>
      <w:bookmarkEnd w:id="209"/>
      <w:bookmarkStart w:id="210" w:name="_Toc184314413"/>
      <w:bookmarkEnd w:id="210"/>
      <w:bookmarkStart w:id="211" w:name="_Toc184308059"/>
      <w:bookmarkEnd w:id="211"/>
      <w:bookmarkStart w:id="212" w:name="_Toc184308068"/>
      <w:bookmarkEnd w:id="212"/>
      <w:bookmarkStart w:id="213" w:name="_Toc184308083"/>
      <w:bookmarkEnd w:id="213"/>
      <w:bookmarkStart w:id="214" w:name="_Toc184313251"/>
      <w:bookmarkEnd w:id="214"/>
      <w:bookmarkStart w:id="215" w:name="_Toc184314473"/>
      <w:bookmarkEnd w:id="215"/>
      <w:bookmarkStart w:id="216" w:name="_Toc184312086"/>
      <w:bookmarkEnd w:id="216"/>
      <w:bookmarkStart w:id="217" w:name="_Toc184313271"/>
      <w:bookmarkEnd w:id="217"/>
      <w:bookmarkStart w:id="218" w:name="_Toc184313262"/>
      <w:bookmarkEnd w:id="218"/>
      <w:bookmarkStart w:id="219" w:name="_Toc184313281"/>
      <w:bookmarkEnd w:id="219"/>
      <w:bookmarkStart w:id="220" w:name="_Toc184313288"/>
      <w:bookmarkEnd w:id="220"/>
      <w:bookmarkStart w:id="221" w:name="_Toc184308041"/>
      <w:bookmarkEnd w:id="221"/>
      <w:bookmarkStart w:id="222" w:name="_Toc184310282"/>
      <w:bookmarkEnd w:id="222"/>
      <w:bookmarkStart w:id="223" w:name="_Toc184312072"/>
      <w:bookmarkEnd w:id="223"/>
      <w:bookmarkStart w:id="224" w:name="_Toc184313256"/>
      <w:bookmarkEnd w:id="224"/>
      <w:bookmarkStart w:id="225" w:name="_Toc184308036"/>
      <w:bookmarkEnd w:id="225"/>
      <w:bookmarkStart w:id="226" w:name="_Toc184312069"/>
      <w:bookmarkEnd w:id="226"/>
      <w:bookmarkStart w:id="227" w:name="_Toc184308049"/>
      <w:bookmarkEnd w:id="227"/>
      <w:bookmarkStart w:id="228" w:name="_Toc184314428"/>
      <w:bookmarkEnd w:id="228"/>
      <w:bookmarkStart w:id="229" w:name="_Toc184314458"/>
      <w:bookmarkEnd w:id="229"/>
      <w:bookmarkStart w:id="230" w:name="_Toc184314462"/>
      <w:bookmarkEnd w:id="230"/>
      <w:bookmarkStart w:id="231" w:name="_Toc184313280"/>
      <w:bookmarkEnd w:id="231"/>
      <w:bookmarkStart w:id="232" w:name="_Toc184312115"/>
      <w:bookmarkEnd w:id="232"/>
      <w:bookmarkStart w:id="233" w:name="_Toc184312135"/>
      <w:bookmarkEnd w:id="233"/>
      <w:bookmarkStart w:id="234" w:name="_Toc184308037"/>
      <w:bookmarkEnd w:id="234"/>
      <w:bookmarkStart w:id="235" w:name="_Toc184310288"/>
      <w:bookmarkEnd w:id="235"/>
      <w:bookmarkStart w:id="236" w:name="_Toc184314456"/>
      <w:bookmarkEnd w:id="236"/>
      <w:bookmarkStart w:id="237" w:name="_Toc184310336"/>
      <w:bookmarkEnd w:id="237"/>
      <w:bookmarkStart w:id="238" w:name="_Toc184308053"/>
      <w:bookmarkEnd w:id="238"/>
      <w:bookmarkStart w:id="239" w:name="_Toc184308064"/>
      <w:bookmarkEnd w:id="239"/>
      <w:bookmarkStart w:id="240" w:name="_Toc184313264"/>
      <w:bookmarkEnd w:id="240"/>
      <w:bookmarkStart w:id="241" w:name="_Toc184314432"/>
      <w:bookmarkEnd w:id="241"/>
      <w:bookmarkStart w:id="242" w:name="_Toc184310273"/>
      <w:bookmarkEnd w:id="242"/>
      <w:bookmarkStart w:id="243" w:name="_Toc184308080"/>
      <w:bookmarkEnd w:id="243"/>
      <w:bookmarkStart w:id="244" w:name="_Toc184314414"/>
      <w:bookmarkEnd w:id="244"/>
      <w:bookmarkStart w:id="245" w:name="_Toc184310315"/>
      <w:bookmarkEnd w:id="245"/>
      <w:bookmarkStart w:id="246" w:name="_Toc184308072"/>
      <w:bookmarkEnd w:id="246"/>
      <w:bookmarkStart w:id="247" w:name="_Toc184312075"/>
      <w:bookmarkEnd w:id="247"/>
      <w:bookmarkStart w:id="248" w:name="_Toc184310309"/>
      <w:bookmarkEnd w:id="248"/>
      <w:bookmarkStart w:id="249" w:name="_Toc184312089"/>
      <w:bookmarkEnd w:id="249"/>
      <w:bookmarkStart w:id="250" w:name="_Toc184313261"/>
      <w:bookmarkEnd w:id="250"/>
      <w:bookmarkStart w:id="251" w:name="_Toc184308050"/>
      <w:bookmarkEnd w:id="251"/>
      <w:bookmarkStart w:id="252" w:name="_Toc184310298"/>
      <w:bookmarkEnd w:id="252"/>
      <w:bookmarkStart w:id="253" w:name="_Toc184314437"/>
      <w:bookmarkEnd w:id="253"/>
      <w:bookmarkStart w:id="254" w:name="_Toc184312113"/>
      <w:bookmarkEnd w:id="254"/>
      <w:bookmarkStart w:id="255" w:name="_Toc184308060"/>
      <w:bookmarkEnd w:id="255"/>
      <w:bookmarkStart w:id="256" w:name="_Toc184312085"/>
      <w:bookmarkEnd w:id="256"/>
      <w:bookmarkStart w:id="257" w:name="_Toc184314451"/>
      <w:bookmarkEnd w:id="257"/>
      <w:bookmarkStart w:id="258" w:name="_Toc184310275"/>
      <w:bookmarkEnd w:id="258"/>
      <w:bookmarkStart w:id="259" w:name="_Toc184314450"/>
      <w:bookmarkEnd w:id="259"/>
      <w:bookmarkStart w:id="260" w:name="_Toc184308039"/>
      <w:bookmarkEnd w:id="260"/>
      <w:bookmarkStart w:id="261" w:name="_Toc184310318"/>
      <w:bookmarkEnd w:id="261"/>
      <w:bookmarkStart w:id="262" w:name="_Toc184314478"/>
      <w:bookmarkEnd w:id="262"/>
      <w:bookmarkStart w:id="263" w:name="_Toc184314475"/>
      <w:bookmarkEnd w:id="263"/>
      <w:bookmarkStart w:id="264" w:name="_Toc184313286"/>
      <w:bookmarkEnd w:id="264"/>
      <w:bookmarkStart w:id="265" w:name="_Toc184313258"/>
      <w:bookmarkEnd w:id="265"/>
      <w:bookmarkStart w:id="266" w:name="_Toc184310304"/>
      <w:bookmarkEnd w:id="266"/>
      <w:bookmarkStart w:id="267" w:name="_Toc184314459"/>
      <w:bookmarkEnd w:id="267"/>
      <w:bookmarkStart w:id="268" w:name="_Toc184313259"/>
      <w:bookmarkEnd w:id="268"/>
      <w:bookmarkStart w:id="269" w:name="_Toc184308069"/>
      <w:bookmarkEnd w:id="269"/>
      <w:bookmarkStart w:id="270" w:name="_Toc184310301"/>
      <w:bookmarkEnd w:id="270"/>
      <w:bookmarkStart w:id="271" w:name="_Toc184312074"/>
      <w:bookmarkEnd w:id="271"/>
      <w:bookmarkStart w:id="272" w:name="_Toc184310289"/>
      <w:bookmarkEnd w:id="272"/>
      <w:bookmarkStart w:id="273" w:name="_Toc184314410"/>
      <w:bookmarkEnd w:id="273"/>
      <w:bookmarkStart w:id="274" w:name="_Toc184314449"/>
      <w:bookmarkEnd w:id="274"/>
      <w:bookmarkStart w:id="275" w:name="_Toc184310277"/>
      <w:bookmarkEnd w:id="275"/>
      <w:bookmarkStart w:id="276" w:name="_Toc184313307"/>
      <w:bookmarkEnd w:id="276"/>
      <w:bookmarkStart w:id="277" w:name="_Toc184314445"/>
      <w:bookmarkEnd w:id="277"/>
      <w:bookmarkStart w:id="278" w:name="_Toc184310294"/>
      <w:bookmarkEnd w:id="278"/>
      <w:bookmarkStart w:id="279" w:name="_Toc184308062"/>
      <w:bookmarkEnd w:id="279"/>
      <w:bookmarkStart w:id="280" w:name="_Toc184308044"/>
      <w:bookmarkEnd w:id="280"/>
      <w:bookmarkStart w:id="281" w:name="_Toc184308071"/>
      <w:bookmarkEnd w:id="281"/>
      <w:bookmarkStart w:id="282" w:name="_Toc184312083"/>
      <w:bookmarkEnd w:id="282"/>
      <w:bookmarkStart w:id="283" w:name="_Toc184308038"/>
      <w:bookmarkEnd w:id="283"/>
      <w:bookmarkStart w:id="284" w:name="_Toc184308081"/>
      <w:bookmarkEnd w:id="284"/>
      <w:bookmarkStart w:id="285" w:name="_Toc184308061"/>
      <w:bookmarkEnd w:id="285"/>
      <w:bookmarkStart w:id="286" w:name="_Toc184313306"/>
      <w:bookmarkEnd w:id="286"/>
      <w:bookmarkStart w:id="287" w:name="_Toc184312108"/>
      <w:bookmarkEnd w:id="287"/>
      <w:bookmarkStart w:id="288" w:name="_Toc184314419"/>
      <w:bookmarkEnd w:id="288"/>
      <w:bookmarkStart w:id="289" w:name="_Toc184314434"/>
      <w:bookmarkEnd w:id="289"/>
      <w:bookmarkStart w:id="290" w:name="_Toc184313273"/>
      <w:bookmarkEnd w:id="290"/>
      <w:bookmarkStart w:id="291" w:name="_Toc184313284"/>
      <w:bookmarkEnd w:id="291"/>
      <w:bookmarkStart w:id="292" w:name="_Toc184314468"/>
      <w:bookmarkEnd w:id="292"/>
      <w:bookmarkStart w:id="293" w:name="_Toc184313292"/>
      <w:bookmarkEnd w:id="293"/>
      <w:bookmarkStart w:id="294" w:name="_Toc184312094"/>
      <w:bookmarkEnd w:id="294"/>
      <w:bookmarkStart w:id="295" w:name="_Toc184313283"/>
      <w:bookmarkEnd w:id="295"/>
      <w:bookmarkStart w:id="296" w:name="_Toc184313241"/>
      <w:bookmarkEnd w:id="296"/>
      <w:bookmarkStart w:id="297" w:name="_Toc184314415"/>
      <w:bookmarkEnd w:id="297"/>
      <w:bookmarkStart w:id="298" w:name="_Toc184312127"/>
      <w:bookmarkEnd w:id="298"/>
      <w:bookmarkStart w:id="299" w:name="_Toc184312098"/>
      <w:bookmarkEnd w:id="299"/>
      <w:bookmarkStart w:id="300" w:name="_Toc184314479"/>
      <w:bookmarkEnd w:id="300"/>
      <w:bookmarkStart w:id="301" w:name="_Toc184312095"/>
      <w:bookmarkEnd w:id="301"/>
      <w:bookmarkStart w:id="302" w:name="_Toc184314455"/>
      <w:bookmarkEnd w:id="302"/>
      <w:bookmarkStart w:id="303" w:name="_Toc184310307"/>
      <w:bookmarkEnd w:id="303"/>
      <w:bookmarkStart w:id="304" w:name="_Toc184314447"/>
      <w:bookmarkEnd w:id="304"/>
      <w:bookmarkStart w:id="305" w:name="_Toc184310306"/>
      <w:bookmarkEnd w:id="305"/>
      <w:bookmarkStart w:id="306" w:name="_Toc184310317"/>
      <w:bookmarkEnd w:id="306"/>
      <w:bookmarkStart w:id="307" w:name="_Toc184312117"/>
      <w:bookmarkEnd w:id="307"/>
      <w:bookmarkStart w:id="308" w:name="_Toc184308057"/>
      <w:bookmarkEnd w:id="308"/>
      <w:bookmarkStart w:id="309" w:name="_Toc184310295"/>
      <w:bookmarkEnd w:id="309"/>
      <w:bookmarkStart w:id="310" w:name="_Toc184308094"/>
      <w:bookmarkEnd w:id="310"/>
      <w:bookmarkStart w:id="311" w:name="_Toc184314421"/>
      <w:bookmarkEnd w:id="311"/>
      <w:bookmarkStart w:id="312" w:name="_Toc184314412"/>
      <w:bookmarkEnd w:id="312"/>
      <w:bookmarkStart w:id="313" w:name="_Toc184314433"/>
      <w:bookmarkEnd w:id="313"/>
      <w:bookmarkStart w:id="314" w:name="_Toc184308074"/>
      <w:bookmarkEnd w:id="314"/>
      <w:bookmarkStart w:id="315" w:name="_Toc184312070"/>
      <w:bookmarkEnd w:id="315"/>
      <w:bookmarkStart w:id="316" w:name="_Toc184314423"/>
      <w:bookmarkEnd w:id="316"/>
      <w:bookmarkStart w:id="317" w:name="_Toc184313278"/>
      <w:bookmarkEnd w:id="317"/>
      <w:bookmarkStart w:id="318" w:name="_Toc184313275"/>
      <w:bookmarkEnd w:id="318"/>
      <w:bookmarkStart w:id="319" w:name="_Toc184310281"/>
      <w:bookmarkEnd w:id="319"/>
      <w:bookmarkStart w:id="320" w:name="_Toc184314460"/>
      <w:bookmarkEnd w:id="320"/>
      <w:bookmarkStart w:id="321" w:name="_Toc184310284"/>
      <w:bookmarkEnd w:id="321"/>
      <w:bookmarkStart w:id="322" w:name="_Toc184313245"/>
      <w:bookmarkEnd w:id="322"/>
      <w:bookmarkStart w:id="323" w:name="_Toc184312109"/>
      <w:bookmarkEnd w:id="323"/>
      <w:bookmarkStart w:id="324" w:name="_Toc184312107"/>
      <w:bookmarkEnd w:id="324"/>
      <w:bookmarkStart w:id="325" w:name="_Toc184308091"/>
      <w:bookmarkEnd w:id="325"/>
      <w:bookmarkStart w:id="326" w:name="_Toc184308097"/>
      <w:bookmarkEnd w:id="326"/>
      <w:bookmarkStart w:id="327" w:name="_Toc184310321"/>
      <w:bookmarkEnd w:id="327"/>
      <w:bookmarkStart w:id="328" w:name="_Toc184313274"/>
      <w:bookmarkEnd w:id="328"/>
      <w:bookmarkStart w:id="329" w:name="_Toc184313303"/>
      <w:bookmarkEnd w:id="329"/>
      <w:bookmarkStart w:id="330" w:name="_Toc184310296"/>
      <w:bookmarkEnd w:id="330"/>
      <w:bookmarkStart w:id="331" w:name="_Toc184314427"/>
      <w:bookmarkEnd w:id="331"/>
      <w:bookmarkStart w:id="332" w:name="_Toc184314441"/>
      <w:bookmarkEnd w:id="332"/>
      <w:bookmarkStart w:id="333" w:name="_Toc184310331"/>
      <w:bookmarkEnd w:id="333"/>
      <w:bookmarkStart w:id="334" w:name="_Toc184313252"/>
      <w:bookmarkEnd w:id="334"/>
      <w:bookmarkStart w:id="335" w:name="_Toc184312096"/>
      <w:bookmarkEnd w:id="335"/>
      <w:bookmarkStart w:id="336" w:name="_Toc184312118"/>
      <w:bookmarkEnd w:id="336"/>
      <w:bookmarkStart w:id="337" w:name="_Toc184313272"/>
      <w:bookmarkEnd w:id="337"/>
      <w:bookmarkStart w:id="338" w:name="_Toc184314424"/>
      <w:bookmarkEnd w:id="338"/>
      <w:bookmarkStart w:id="339" w:name="_Toc184312078"/>
      <w:bookmarkEnd w:id="339"/>
      <w:bookmarkStart w:id="340" w:name="_Toc184314438"/>
      <w:bookmarkEnd w:id="340"/>
      <w:bookmarkStart w:id="341" w:name="_Toc184312067"/>
      <w:bookmarkEnd w:id="341"/>
      <w:bookmarkStart w:id="342" w:name="_Toc184308075"/>
      <w:bookmarkEnd w:id="342"/>
      <w:bookmarkStart w:id="343" w:name="_Toc184312114"/>
      <w:bookmarkEnd w:id="343"/>
      <w:bookmarkStart w:id="344" w:name="_Toc184308048"/>
      <w:bookmarkEnd w:id="344"/>
      <w:bookmarkStart w:id="345" w:name="_Toc184312138"/>
      <w:bookmarkEnd w:id="345"/>
      <w:bookmarkStart w:id="346" w:name="_Toc184312104"/>
      <w:bookmarkEnd w:id="346"/>
      <w:bookmarkStart w:id="347" w:name="_Toc184313246"/>
      <w:bookmarkEnd w:id="347"/>
      <w:bookmarkStart w:id="348" w:name="_Toc184314446"/>
      <w:bookmarkEnd w:id="348"/>
      <w:bookmarkStart w:id="349" w:name="_Toc184313257"/>
      <w:bookmarkEnd w:id="349"/>
      <w:bookmarkStart w:id="350" w:name="_Toc184310341"/>
      <w:bookmarkEnd w:id="350"/>
      <w:bookmarkStart w:id="351" w:name="_Toc184312136"/>
      <w:bookmarkEnd w:id="351"/>
      <w:bookmarkStart w:id="352" w:name="_Toc184314431"/>
      <w:bookmarkEnd w:id="352"/>
      <w:bookmarkStart w:id="353" w:name="_Toc184312068"/>
      <w:bookmarkEnd w:id="353"/>
      <w:bookmarkStart w:id="354" w:name="_Toc184312120"/>
      <w:bookmarkEnd w:id="354"/>
      <w:bookmarkStart w:id="355" w:name="_Toc184313287"/>
      <w:bookmarkEnd w:id="355"/>
      <w:bookmarkStart w:id="356" w:name="_Toc184310297"/>
      <w:bookmarkEnd w:id="356"/>
      <w:bookmarkStart w:id="357" w:name="_Toc184310291"/>
      <w:bookmarkEnd w:id="357"/>
      <w:bookmarkStart w:id="358" w:name="_Toc184313269"/>
      <w:bookmarkEnd w:id="358"/>
      <w:bookmarkStart w:id="359" w:name="_Toc184314454"/>
      <w:bookmarkEnd w:id="359"/>
      <w:bookmarkStart w:id="360" w:name="_Toc184310322"/>
      <w:bookmarkEnd w:id="360"/>
      <w:bookmarkStart w:id="361" w:name="_Toc184313255"/>
      <w:bookmarkEnd w:id="361"/>
      <w:bookmarkStart w:id="362" w:name="_Toc184313268"/>
      <w:bookmarkEnd w:id="362"/>
      <w:bookmarkStart w:id="363" w:name="_Toc184308040"/>
      <w:bookmarkEnd w:id="363"/>
      <w:bookmarkStart w:id="364" w:name="_Toc184310280"/>
      <w:bookmarkEnd w:id="364"/>
      <w:bookmarkStart w:id="365" w:name="_Toc184313254"/>
      <w:bookmarkEnd w:id="365"/>
      <w:bookmarkStart w:id="366" w:name="_Toc184313310"/>
      <w:bookmarkEnd w:id="366"/>
      <w:bookmarkStart w:id="367" w:name="_Toc184310339"/>
      <w:bookmarkEnd w:id="367"/>
      <w:bookmarkStart w:id="368" w:name="_Toc184310326"/>
      <w:bookmarkEnd w:id="368"/>
      <w:bookmarkStart w:id="369" w:name="_Toc184308101"/>
      <w:bookmarkEnd w:id="369"/>
      <w:bookmarkStart w:id="370" w:name="_Toc184314443"/>
      <w:bookmarkEnd w:id="370"/>
      <w:bookmarkStart w:id="371" w:name="_Toc184308087"/>
      <w:bookmarkEnd w:id="371"/>
      <w:bookmarkStart w:id="372" w:name="_Toc184312112"/>
      <w:bookmarkEnd w:id="372"/>
      <w:bookmarkStart w:id="373" w:name="_Toc184308065"/>
      <w:bookmarkEnd w:id="373"/>
      <w:bookmarkStart w:id="374" w:name="_Toc184312139"/>
      <w:bookmarkEnd w:id="374"/>
      <w:bookmarkStart w:id="375" w:name="_Toc184313277"/>
      <w:bookmarkEnd w:id="375"/>
      <w:bookmarkStart w:id="376" w:name="_Toc184314480"/>
      <w:bookmarkEnd w:id="376"/>
      <w:bookmarkStart w:id="377" w:name="_Toc184310276"/>
      <w:bookmarkEnd w:id="377"/>
      <w:bookmarkStart w:id="378" w:name="_Toc184312093"/>
      <w:bookmarkEnd w:id="378"/>
      <w:bookmarkStart w:id="379" w:name="_Toc184312088"/>
      <w:bookmarkEnd w:id="379"/>
      <w:bookmarkStart w:id="380" w:name="_Toc184310310"/>
      <w:bookmarkEnd w:id="380"/>
      <w:bookmarkStart w:id="381" w:name="_Toc184313249"/>
      <w:bookmarkEnd w:id="381"/>
      <w:bookmarkStart w:id="382" w:name="_Toc184312130"/>
      <w:bookmarkEnd w:id="382"/>
      <w:bookmarkStart w:id="383" w:name="_Toc184308067"/>
      <w:bookmarkEnd w:id="383"/>
      <w:bookmarkStart w:id="384" w:name="_Toc184308088"/>
      <w:bookmarkEnd w:id="384"/>
      <w:bookmarkStart w:id="385" w:name="_Toc184313240"/>
      <w:bookmarkEnd w:id="385"/>
      <w:bookmarkStart w:id="386" w:name="_Toc184314482"/>
      <w:bookmarkEnd w:id="386"/>
      <w:bookmarkStart w:id="387" w:name="_Toc184310305"/>
      <w:bookmarkEnd w:id="387"/>
      <w:bookmarkStart w:id="388" w:name="_Toc184308102"/>
      <w:bookmarkEnd w:id="388"/>
      <w:bookmarkStart w:id="389" w:name="_Toc184308052"/>
      <w:bookmarkEnd w:id="389"/>
      <w:bookmarkStart w:id="390" w:name="_Toc184313267"/>
      <w:bookmarkEnd w:id="390"/>
      <w:bookmarkStart w:id="391" w:name="_Toc184312079"/>
      <w:bookmarkEnd w:id="391"/>
      <w:bookmarkStart w:id="392" w:name="_Toc184308108"/>
      <w:bookmarkEnd w:id="392"/>
      <w:bookmarkStart w:id="393" w:name="_Toc184308084"/>
      <w:bookmarkEnd w:id="393"/>
      <w:bookmarkStart w:id="394" w:name="_Toc184313293"/>
      <w:bookmarkEnd w:id="394"/>
      <w:bookmarkStart w:id="395" w:name="_Toc184314430"/>
      <w:bookmarkEnd w:id="395"/>
      <w:bookmarkStart w:id="396" w:name="_Toc184314426"/>
      <w:bookmarkEnd w:id="396"/>
      <w:bookmarkStart w:id="397" w:name="_Toc184313302"/>
      <w:bookmarkEnd w:id="397"/>
      <w:bookmarkStart w:id="398" w:name="_Toc184313250"/>
      <w:bookmarkEnd w:id="398"/>
      <w:bookmarkStart w:id="399" w:name="_Toc184313242"/>
      <w:bookmarkEnd w:id="399"/>
      <w:bookmarkStart w:id="400" w:name="_Toc184310283"/>
      <w:bookmarkEnd w:id="400"/>
      <w:bookmarkStart w:id="401" w:name="_Toc184313266"/>
      <w:bookmarkEnd w:id="401"/>
      <w:bookmarkStart w:id="402" w:name="_Toc184312100"/>
      <w:bookmarkEnd w:id="402"/>
      <w:bookmarkStart w:id="403" w:name="_Toc184310285"/>
      <w:bookmarkEnd w:id="403"/>
      <w:bookmarkStart w:id="404" w:name="_Toc184314444"/>
      <w:bookmarkEnd w:id="404"/>
      <w:bookmarkStart w:id="405" w:name="_Toc184314481"/>
      <w:bookmarkEnd w:id="405"/>
      <w:bookmarkStart w:id="406" w:name="_Toc184313279"/>
      <w:bookmarkEnd w:id="406"/>
      <w:bookmarkStart w:id="407" w:name="_Toc184312101"/>
      <w:bookmarkEnd w:id="407"/>
      <w:bookmarkStart w:id="408" w:name="_Toc184312103"/>
      <w:bookmarkEnd w:id="408"/>
      <w:bookmarkStart w:id="409" w:name="_Toc184308077"/>
      <w:bookmarkEnd w:id="409"/>
      <w:bookmarkStart w:id="410" w:name="_Toc184314422"/>
      <w:bookmarkEnd w:id="410"/>
      <w:bookmarkStart w:id="411" w:name="_Toc184314439"/>
      <w:bookmarkEnd w:id="411"/>
      <w:bookmarkStart w:id="412" w:name="_Toc184314442"/>
      <w:bookmarkEnd w:id="412"/>
      <w:bookmarkStart w:id="413" w:name="_Toc184314420"/>
      <w:bookmarkEnd w:id="413"/>
      <w:bookmarkStart w:id="414" w:name="_Toc184308107"/>
      <w:bookmarkEnd w:id="414"/>
      <w:bookmarkStart w:id="415" w:name="_Toc184314464"/>
      <w:bookmarkEnd w:id="415"/>
      <w:bookmarkStart w:id="416" w:name="_Toc184314453"/>
      <w:bookmarkEnd w:id="416"/>
      <w:bookmarkStart w:id="417" w:name="_Toc184312119"/>
      <w:bookmarkEnd w:id="417"/>
      <w:bookmarkStart w:id="418" w:name="_Toc184314463"/>
      <w:bookmarkEnd w:id="418"/>
      <w:bookmarkStart w:id="419" w:name="_Toc184312106"/>
      <w:bookmarkEnd w:id="419"/>
      <w:bookmarkStart w:id="420" w:name="_Toc184308047"/>
      <w:bookmarkEnd w:id="420"/>
      <w:bookmarkStart w:id="421" w:name="_Toc184312081"/>
      <w:bookmarkEnd w:id="421"/>
      <w:bookmarkStart w:id="422" w:name="_Toc184310328"/>
      <w:bookmarkEnd w:id="422"/>
      <w:bookmarkStart w:id="423" w:name="_Toc184312082"/>
      <w:bookmarkEnd w:id="423"/>
      <w:bookmarkStart w:id="424" w:name="_Toc184312077"/>
      <w:bookmarkEnd w:id="424"/>
      <w:bookmarkStart w:id="425" w:name="_Toc184312125"/>
      <w:bookmarkEnd w:id="425"/>
      <w:bookmarkStart w:id="426" w:name="_Toc184313238"/>
      <w:bookmarkEnd w:id="426"/>
      <w:bookmarkStart w:id="427" w:name="_Toc184308056"/>
      <w:bookmarkEnd w:id="427"/>
      <w:bookmarkStart w:id="428" w:name="_Toc184312097"/>
      <w:bookmarkEnd w:id="428"/>
      <w:r>
        <w:rPr>
          <w:rFonts w:hint="eastAsia" w:cs="仿宋"/>
          <w:color w:val="auto"/>
        </w:rPr>
        <w:t>评标方法及评分标准</w:t>
      </w:r>
    </w:p>
    <w:p>
      <w:pPr>
        <w:snapToGrid w:val="0"/>
        <w:spacing w:line="360" w:lineRule="auto"/>
        <w:ind w:firstLine="3052" w:firstLineChars="950"/>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rPr>
          <w:rFonts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p>
    <w:p>
      <w:pPr>
        <w:snapToGrid w:val="0"/>
        <w:spacing w:line="360" w:lineRule="auto"/>
        <w:ind w:left="120" w:leftChars="57" w:firstLine="422" w:firstLineChars="150"/>
        <w:jc w:val="center"/>
        <w:rPr>
          <w:rFonts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二、评标委员会的组成</w:t>
      </w:r>
    </w:p>
    <w:p>
      <w:pPr>
        <w:snapToGrid w:val="0"/>
        <w:spacing w:line="360" w:lineRule="auto"/>
        <w:rPr>
          <w:rFonts w:ascii="仿宋" w:hAnsi="仿宋" w:eastAsia="仿宋" w:cs="仿宋"/>
          <w:kern w:val="0"/>
          <w:sz w:val="24"/>
        </w:rPr>
      </w:pPr>
      <w:r>
        <w:rPr>
          <w:rFonts w:hint="eastAsia" w:ascii="仿宋" w:hAnsi="仿宋" w:eastAsia="仿宋" w:cs="仿宋"/>
          <w:b/>
          <w:kern w:val="0"/>
          <w:sz w:val="24"/>
        </w:rPr>
        <w:t>2.评标委员会的组成。</w:t>
      </w:r>
      <w:r>
        <w:rPr>
          <w:rFonts w:hint="eastAsia" w:ascii="仿宋" w:hAnsi="仿宋" w:eastAsia="仿宋" w:cs="仿宋"/>
          <w:kern w:val="0"/>
          <w:sz w:val="24"/>
        </w:rPr>
        <w:t>评标委员会由采购人代表和评审专家组成，成员人数为5人以上单数，其中评审专家不少于成员总数的三分之二。</w:t>
      </w:r>
    </w:p>
    <w:p>
      <w:pPr>
        <w:pStyle w:val="217"/>
        <w:spacing w:before="0"/>
        <w:ind w:firstLine="0" w:firstLineChars="0"/>
        <w:rPr>
          <w:rFonts w:ascii="仿宋" w:hAnsi="仿宋" w:eastAsia="仿宋" w:cs="仿宋"/>
          <w:kern w:val="0"/>
        </w:rPr>
      </w:pPr>
      <w:r>
        <w:rPr>
          <w:rFonts w:hint="eastAsia" w:ascii="仿宋" w:hAnsi="仿宋" w:eastAsia="仿宋" w:cs="仿宋"/>
          <w:b/>
          <w:kern w:val="0"/>
        </w:rPr>
        <w:t>3.评</w:t>
      </w:r>
      <w:r>
        <w:rPr>
          <w:rFonts w:hint="eastAsia" w:ascii="仿宋" w:hAnsi="仿宋" w:eastAsia="仿宋" w:cs="仿宋"/>
          <w:b/>
          <w:kern w:val="0"/>
          <w:szCs w:val="24"/>
        </w:rPr>
        <w:t>标委员会的组成人员的回避。</w:t>
      </w:r>
      <w:r>
        <w:rPr>
          <w:rFonts w:hint="eastAsia" w:ascii="仿宋" w:hAnsi="仿宋" w:eastAsia="仿宋" w:cs="仿宋"/>
          <w:kern w:val="0"/>
        </w:rPr>
        <w:t>在政府采购活动中，评标委员会的组成人员与供应商有下列利害关系之一的，应当回避：</w:t>
      </w:r>
    </w:p>
    <w:p>
      <w:pPr>
        <w:pStyle w:val="217"/>
        <w:spacing w:before="0"/>
        <w:ind w:firstLine="0" w:firstLineChars="0"/>
        <w:rPr>
          <w:rFonts w:ascii="仿宋" w:hAnsi="仿宋" w:eastAsia="仿宋" w:cs="仿宋"/>
          <w:kern w:val="0"/>
        </w:rPr>
      </w:pPr>
      <w:r>
        <w:rPr>
          <w:rFonts w:hint="eastAsia" w:ascii="仿宋" w:hAnsi="仿宋" w:eastAsia="仿宋" w:cs="仿宋"/>
          <w:kern w:val="0"/>
        </w:rPr>
        <w:t>　　3.1参加采购活动前3年内与供应商存在劳动关系；</w:t>
      </w:r>
    </w:p>
    <w:p>
      <w:pPr>
        <w:pStyle w:val="217"/>
        <w:spacing w:before="0"/>
        <w:ind w:firstLine="0" w:firstLineChars="0"/>
        <w:rPr>
          <w:rFonts w:ascii="仿宋" w:hAnsi="仿宋" w:eastAsia="仿宋" w:cs="仿宋"/>
          <w:kern w:val="0"/>
        </w:rPr>
      </w:pPr>
      <w:r>
        <w:rPr>
          <w:rFonts w:hint="eastAsia" w:ascii="仿宋" w:hAnsi="仿宋" w:eastAsia="仿宋" w:cs="仿宋"/>
          <w:kern w:val="0"/>
        </w:rPr>
        <w:t>　　3.2参加采购活动前3年内担任供应商的董事、监事；</w:t>
      </w:r>
    </w:p>
    <w:p>
      <w:pPr>
        <w:pStyle w:val="217"/>
        <w:spacing w:before="0"/>
        <w:ind w:firstLine="0" w:firstLineChars="0"/>
        <w:rPr>
          <w:rFonts w:ascii="仿宋" w:hAnsi="仿宋" w:eastAsia="仿宋" w:cs="仿宋"/>
          <w:kern w:val="0"/>
        </w:rPr>
      </w:pPr>
      <w:r>
        <w:rPr>
          <w:rFonts w:hint="eastAsia" w:ascii="仿宋" w:hAnsi="仿宋" w:eastAsia="仿宋" w:cs="仿宋"/>
          <w:kern w:val="0"/>
        </w:rPr>
        <w:t>　　3.3参加采购活动前3年内是供应商的控股股东或者实际控制人；</w:t>
      </w:r>
    </w:p>
    <w:p>
      <w:pPr>
        <w:pStyle w:val="217"/>
        <w:spacing w:before="0"/>
        <w:ind w:firstLine="0" w:firstLineChars="0"/>
        <w:rPr>
          <w:rFonts w:ascii="仿宋" w:hAnsi="仿宋" w:eastAsia="仿宋" w:cs="仿宋"/>
          <w:kern w:val="0"/>
        </w:rPr>
      </w:pPr>
      <w:r>
        <w:rPr>
          <w:rFonts w:hint="eastAsia" w:ascii="仿宋" w:hAnsi="仿宋" w:eastAsia="仿宋" w:cs="仿宋"/>
          <w:kern w:val="0"/>
        </w:rPr>
        <w:t>　　3.4与供应商的法定代表人或者负责人有夫妻、直系血亲、三代以内旁系血亲或者近姻亲关系；</w:t>
      </w:r>
    </w:p>
    <w:p>
      <w:pPr>
        <w:pStyle w:val="217"/>
        <w:spacing w:before="0"/>
        <w:ind w:firstLine="0" w:firstLineChars="0"/>
        <w:rPr>
          <w:rFonts w:ascii="仿宋" w:hAnsi="仿宋" w:eastAsia="仿宋" w:cs="仿宋"/>
          <w:kern w:val="0"/>
        </w:rPr>
      </w:pPr>
      <w:r>
        <w:rPr>
          <w:rFonts w:hint="eastAsia" w:ascii="仿宋" w:hAnsi="仿宋" w:eastAsia="仿宋" w:cs="仿宋"/>
          <w:kern w:val="0"/>
        </w:rPr>
        <w:t>　 3.5与供应商有其他可能影响政府采购活动公平、公正进行的关系。</w:t>
      </w:r>
    </w:p>
    <w:p>
      <w:pPr>
        <w:snapToGrid w:val="0"/>
        <w:spacing w:line="360" w:lineRule="auto"/>
        <w:ind w:left="120" w:leftChars="57" w:firstLine="482" w:firstLineChars="150"/>
        <w:jc w:val="center"/>
        <w:rPr>
          <w:rFonts w:ascii="仿宋" w:hAnsi="仿宋" w:eastAsia="仿宋" w:cs="仿宋"/>
          <w:b/>
          <w:sz w:val="32"/>
          <w:szCs w:val="32"/>
        </w:rPr>
      </w:pPr>
    </w:p>
    <w:p>
      <w:pPr>
        <w:snapToGrid w:val="0"/>
        <w:spacing w:line="360" w:lineRule="auto"/>
        <w:ind w:left="120" w:leftChars="57" w:firstLine="482" w:firstLineChars="150"/>
        <w:jc w:val="center"/>
        <w:rPr>
          <w:rFonts w:ascii="仿宋" w:hAnsi="仿宋" w:eastAsia="仿宋" w:cs="仿宋"/>
          <w:b/>
          <w:sz w:val="32"/>
          <w:szCs w:val="32"/>
        </w:rPr>
      </w:pPr>
      <w:r>
        <w:rPr>
          <w:rFonts w:hint="eastAsia" w:ascii="仿宋" w:hAnsi="仿宋" w:eastAsia="仿宋" w:cs="仿宋"/>
          <w:b/>
          <w:sz w:val="32"/>
          <w:szCs w:val="32"/>
        </w:rPr>
        <w:t>　</w:t>
      </w:r>
      <w:r>
        <w:rPr>
          <w:rFonts w:hint="eastAsia" w:ascii="仿宋" w:hAnsi="仿宋" w:eastAsia="仿宋" w:cs="仿宋"/>
          <w:b/>
          <w:sz w:val="32"/>
        </w:rPr>
        <w:t>　三、评标委员会的职责</w:t>
      </w:r>
    </w:p>
    <w:p>
      <w:pPr>
        <w:pStyle w:val="217"/>
        <w:spacing w:before="0"/>
        <w:ind w:firstLine="0" w:firstLineChars="0"/>
        <w:rPr>
          <w:rFonts w:ascii="仿宋" w:hAnsi="仿宋" w:eastAsia="仿宋" w:cs="仿宋"/>
          <w:b/>
          <w:kern w:val="0"/>
          <w:szCs w:val="24"/>
        </w:rPr>
      </w:pPr>
      <w:r>
        <w:rPr>
          <w:rFonts w:hint="eastAsia" w:ascii="仿宋" w:hAnsi="仿宋" w:eastAsia="仿宋" w:cs="仿宋"/>
          <w:b/>
          <w:kern w:val="0"/>
          <w:szCs w:val="24"/>
        </w:rPr>
        <w:t>4.评标委员会负责具体评标事务，并独立履行下列职责：</w:t>
      </w:r>
    </w:p>
    <w:p>
      <w:pPr>
        <w:pStyle w:val="217"/>
        <w:spacing w:before="0"/>
        <w:ind w:firstLine="0" w:firstLineChars="0"/>
        <w:rPr>
          <w:rFonts w:ascii="仿宋" w:hAnsi="仿宋" w:eastAsia="仿宋" w:cs="仿宋"/>
          <w:kern w:val="0"/>
        </w:rPr>
      </w:pPr>
      <w:r>
        <w:rPr>
          <w:rFonts w:hint="eastAsia" w:ascii="仿宋" w:hAnsi="仿宋" w:eastAsia="仿宋" w:cs="仿宋"/>
          <w:kern w:val="0"/>
        </w:rPr>
        <w:t>4.1审查、评价投标文件是否符合招标文件的商务、技术等实质性要求；</w:t>
      </w:r>
    </w:p>
    <w:p>
      <w:pPr>
        <w:pStyle w:val="217"/>
        <w:spacing w:before="0"/>
        <w:ind w:firstLine="0" w:firstLineChars="0"/>
        <w:rPr>
          <w:rFonts w:ascii="仿宋" w:hAnsi="仿宋" w:eastAsia="仿宋" w:cs="仿宋"/>
          <w:kern w:val="0"/>
        </w:rPr>
      </w:pPr>
      <w:r>
        <w:rPr>
          <w:rFonts w:hint="eastAsia" w:ascii="仿宋" w:hAnsi="仿宋" w:eastAsia="仿宋" w:cs="仿宋"/>
          <w:kern w:val="0"/>
        </w:rPr>
        <w:t>4.2要求投标人对投标文件有关事项作出澄清或者说明；</w:t>
      </w:r>
    </w:p>
    <w:p>
      <w:pPr>
        <w:pStyle w:val="217"/>
        <w:spacing w:before="0"/>
        <w:ind w:firstLine="0" w:firstLineChars="0"/>
        <w:rPr>
          <w:rFonts w:ascii="仿宋" w:hAnsi="仿宋" w:eastAsia="仿宋" w:cs="仿宋"/>
          <w:kern w:val="0"/>
        </w:rPr>
      </w:pPr>
      <w:r>
        <w:rPr>
          <w:rFonts w:hint="eastAsia" w:ascii="仿宋" w:hAnsi="仿宋" w:eastAsia="仿宋" w:cs="仿宋"/>
          <w:kern w:val="0"/>
        </w:rPr>
        <w:t>4.3对投标文件进行比较和评价；</w:t>
      </w:r>
    </w:p>
    <w:p>
      <w:pPr>
        <w:pStyle w:val="217"/>
        <w:spacing w:before="0"/>
        <w:ind w:firstLine="0" w:firstLineChars="0"/>
        <w:rPr>
          <w:rFonts w:ascii="仿宋" w:hAnsi="仿宋" w:eastAsia="仿宋" w:cs="仿宋"/>
          <w:kern w:val="0"/>
        </w:rPr>
      </w:pPr>
      <w:r>
        <w:rPr>
          <w:rFonts w:hint="eastAsia" w:ascii="仿宋" w:hAnsi="仿宋" w:eastAsia="仿宋" w:cs="仿宋"/>
          <w:kern w:val="0"/>
        </w:rPr>
        <w:t>4.4确定中标候选人名单，以及根据采购人委托直接确定中标人；</w:t>
      </w:r>
    </w:p>
    <w:p>
      <w:pPr>
        <w:pStyle w:val="217"/>
        <w:spacing w:before="0"/>
        <w:ind w:firstLine="0" w:firstLineChars="0"/>
        <w:rPr>
          <w:rFonts w:ascii="仿宋" w:hAnsi="仿宋" w:eastAsia="仿宋" w:cs="仿宋"/>
          <w:kern w:val="0"/>
        </w:rPr>
      </w:pPr>
      <w:r>
        <w:rPr>
          <w:rFonts w:hint="eastAsia" w:ascii="仿宋" w:hAnsi="仿宋" w:eastAsia="仿宋" w:cs="仿宋"/>
          <w:kern w:val="0"/>
        </w:rPr>
        <w:t>4.5向采购人、采购机构或者有关部门报告评标中发现的违法行为；</w:t>
      </w:r>
    </w:p>
    <w:p>
      <w:pPr>
        <w:pStyle w:val="217"/>
        <w:spacing w:before="0"/>
        <w:ind w:firstLine="0" w:firstLineChars="0"/>
        <w:rPr>
          <w:rFonts w:ascii="仿宋" w:hAnsi="仿宋" w:eastAsia="仿宋" w:cs="仿宋"/>
          <w:kern w:val="0"/>
        </w:rPr>
      </w:pPr>
      <w:r>
        <w:rPr>
          <w:rFonts w:hint="eastAsia" w:ascii="仿宋" w:hAnsi="仿宋" w:eastAsia="仿宋" w:cs="仿宋"/>
          <w:kern w:val="0"/>
        </w:rPr>
        <w:t>4.6法律、法规、规章、招标文件等规定的其它事项。</w:t>
      </w:r>
    </w:p>
    <w:p>
      <w:pPr>
        <w:pStyle w:val="217"/>
        <w:spacing w:before="0"/>
        <w:ind w:firstLine="0" w:firstLineChars="0"/>
        <w:rPr>
          <w:rFonts w:ascii="仿宋" w:hAnsi="仿宋" w:eastAsia="仿宋" w:cs="仿宋"/>
          <w:b/>
          <w:kern w:val="0"/>
          <w:szCs w:val="24"/>
        </w:rPr>
      </w:pPr>
      <w:r>
        <w:rPr>
          <w:rFonts w:hint="eastAsia" w:ascii="仿宋" w:hAnsi="仿宋" w:eastAsia="仿宋" w:cs="仿宋"/>
          <w:b/>
          <w:kern w:val="0"/>
          <w:szCs w:val="24"/>
        </w:rPr>
        <w:t>5.评标委员会及其成员不得有下列行为：</w:t>
      </w:r>
    </w:p>
    <w:p>
      <w:pPr>
        <w:pStyle w:val="217"/>
        <w:spacing w:before="0"/>
        <w:ind w:firstLine="0" w:firstLineChars="0"/>
        <w:rPr>
          <w:rFonts w:ascii="仿宋" w:hAnsi="仿宋" w:eastAsia="仿宋" w:cs="仿宋"/>
          <w:kern w:val="0"/>
        </w:rPr>
      </w:pPr>
      <w:r>
        <w:rPr>
          <w:rFonts w:hint="eastAsia" w:ascii="仿宋" w:hAnsi="仿宋" w:eastAsia="仿宋" w:cs="仿宋"/>
          <w:kern w:val="0"/>
        </w:rPr>
        <w:t>　5.1确定参与评标至评标结束前私自接触投标人；</w:t>
      </w:r>
    </w:p>
    <w:p>
      <w:pPr>
        <w:pStyle w:val="217"/>
        <w:spacing w:before="0"/>
        <w:ind w:firstLine="0" w:firstLineChars="0"/>
        <w:rPr>
          <w:rFonts w:ascii="仿宋" w:hAnsi="仿宋" w:eastAsia="仿宋" w:cs="仿宋"/>
          <w:kern w:val="0"/>
        </w:rPr>
      </w:pPr>
      <w:r>
        <w:rPr>
          <w:rFonts w:hint="eastAsia" w:ascii="仿宋" w:hAnsi="仿宋" w:eastAsia="仿宋" w:cs="仿宋"/>
          <w:kern w:val="0"/>
        </w:rPr>
        <w:t>　5.2接受投标人提出的与投标文件不一致的澄清或者说明（财政部87号《政府采购货物和服务招投标管理办法令第五十一条规定的情形除外）；</w:t>
      </w:r>
    </w:p>
    <w:p>
      <w:pPr>
        <w:pStyle w:val="217"/>
        <w:spacing w:before="0"/>
        <w:ind w:firstLine="0" w:firstLineChars="0"/>
        <w:rPr>
          <w:rFonts w:ascii="仿宋" w:hAnsi="仿宋" w:eastAsia="仿宋" w:cs="仿宋"/>
          <w:kern w:val="0"/>
        </w:rPr>
      </w:pPr>
      <w:r>
        <w:rPr>
          <w:rFonts w:hint="eastAsia" w:ascii="仿宋" w:hAnsi="仿宋" w:eastAsia="仿宋" w:cs="仿宋"/>
          <w:kern w:val="0"/>
        </w:rPr>
        <w:t>　5.3违反评标纪律发表倾向性意见或者征询采购人的倾向性意见；</w:t>
      </w:r>
    </w:p>
    <w:p>
      <w:pPr>
        <w:pStyle w:val="217"/>
        <w:spacing w:before="0"/>
        <w:ind w:firstLine="0" w:firstLineChars="0"/>
        <w:rPr>
          <w:rFonts w:ascii="仿宋" w:hAnsi="仿宋" w:eastAsia="仿宋" w:cs="仿宋"/>
          <w:kern w:val="0"/>
        </w:rPr>
      </w:pPr>
      <w:r>
        <w:rPr>
          <w:rFonts w:hint="eastAsia" w:ascii="仿宋" w:hAnsi="仿宋" w:eastAsia="仿宋" w:cs="仿宋"/>
          <w:kern w:val="0"/>
        </w:rPr>
        <w:t>　5.4对需要专业判断的主观评审因素协商评分；</w:t>
      </w:r>
    </w:p>
    <w:p>
      <w:pPr>
        <w:pStyle w:val="217"/>
        <w:spacing w:before="0"/>
        <w:ind w:firstLine="0" w:firstLineChars="0"/>
        <w:rPr>
          <w:rFonts w:ascii="仿宋" w:hAnsi="仿宋" w:eastAsia="仿宋" w:cs="仿宋"/>
          <w:kern w:val="0"/>
        </w:rPr>
      </w:pPr>
      <w:r>
        <w:rPr>
          <w:rFonts w:hint="eastAsia" w:ascii="仿宋" w:hAnsi="仿宋" w:eastAsia="仿宋" w:cs="仿宋"/>
          <w:kern w:val="0"/>
        </w:rPr>
        <w:t>　5.5在评标过程中擅离职守，影响评标程序正常进行的；</w:t>
      </w:r>
    </w:p>
    <w:p>
      <w:pPr>
        <w:pStyle w:val="217"/>
        <w:spacing w:before="0"/>
        <w:ind w:firstLine="240" w:firstLineChars="100"/>
        <w:rPr>
          <w:rFonts w:ascii="仿宋" w:hAnsi="仿宋" w:eastAsia="仿宋" w:cs="仿宋"/>
          <w:kern w:val="0"/>
        </w:rPr>
      </w:pPr>
      <w:r>
        <w:rPr>
          <w:rFonts w:hint="eastAsia" w:ascii="仿宋" w:hAnsi="仿宋" w:eastAsia="仿宋" w:cs="仿宋"/>
          <w:kern w:val="0"/>
        </w:rPr>
        <w:t>5.6记录、复制或者带走任何评标资料；</w:t>
      </w:r>
    </w:p>
    <w:p>
      <w:pPr>
        <w:pStyle w:val="217"/>
        <w:spacing w:before="0"/>
        <w:ind w:firstLine="0" w:firstLineChars="0"/>
        <w:rPr>
          <w:rFonts w:ascii="仿宋" w:hAnsi="仿宋" w:eastAsia="仿宋" w:cs="仿宋"/>
          <w:kern w:val="0"/>
        </w:rPr>
      </w:pPr>
      <w:r>
        <w:rPr>
          <w:rFonts w:hint="eastAsia" w:ascii="仿宋" w:hAnsi="仿宋" w:eastAsia="仿宋" w:cs="仿宋"/>
          <w:kern w:val="0"/>
        </w:rPr>
        <w:t>　5.7其他不遵守评标纪律的行为。</w:t>
      </w:r>
    </w:p>
    <w:p>
      <w:pPr>
        <w:pStyle w:val="217"/>
        <w:spacing w:before="0"/>
        <w:ind w:firstLine="0" w:firstLineChars="0"/>
        <w:rPr>
          <w:rFonts w:ascii="仿宋" w:hAnsi="仿宋" w:eastAsia="仿宋" w:cs="仿宋"/>
          <w:kern w:val="0"/>
        </w:rPr>
      </w:pPr>
      <w:r>
        <w:rPr>
          <w:rFonts w:hint="eastAsia" w:ascii="仿宋" w:hAnsi="仿宋" w:eastAsia="仿宋" w:cs="仿宋"/>
          <w:kern w:val="0"/>
        </w:rPr>
        <w:t>　　评标委员会成员有5.1-5.5行为之一的，其评审意见无效，并不得获取评审劳务报酬和报销异地评审差旅费。</w:t>
      </w:r>
    </w:p>
    <w:p>
      <w:pPr>
        <w:pStyle w:val="217"/>
        <w:spacing w:before="0"/>
        <w:ind w:firstLine="0" w:firstLineChars="0"/>
        <w:rPr>
          <w:rFonts w:ascii="仿宋" w:hAnsi="仿宋" w:eastAsia="仿宋" w:cs="仿宋"/>
          <w:kern w:val="0"/>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四、评审程序</w:t>
      </w:r>
    </w:p>
    <w:p>
      <w:pPr>
        <w:pStyle w:val="217"/>
        <w:spacing w:before="0"/>
        <w:ind w:firstLine="0" w:firstLineChars="0"/>
        <w:rPr>
          <w:rFonts w:ascii="仿宋" w:hAnsi="仿宋" w:eastAsia="仿宋" w:cs="仿宋"/>
          <w:kern w:val="0"/>
          <w:szCs w:val="24"/>
        </w:rPr>
      </w:pPr>
      <w:r>
        <w:rPr>
          <w:rFonts w:hint="eastAsia" w:ascii="仿宋" w:hAnsi="仿宋" w:eastAsia="仿宋" w:cs="仿宋"/>
          <w:b/>
          <w:kern w:val="0"/>
          <w:szCs w:val="24"/>
        </w:rPr>
        <w:t xml:space="preserve">6.符合性审查。 </w:t>
      </w:r>
      <w:r>
        <w:rPr>
          <w:rFonts w:hint="eastAsia" w:ascii="仿宋" w:hAnsi="仿宋" w:eastAsia="仿宋" w:cs="仿宋"/>
          <w:kern w:val="0"/>
          <w:szCs w:val="24"/>
        </w:rPr>
        <w:t>评标委员会应当对符合资格的投标人的投标文件进行符合性审查，以确定其是否满足招标文件的实质性要求。符合投标无效情形的，投标无效。</w:t>
      </w:r>
    </w:p>
    <w:p>
      <w:pPr>
        <w:pStyle w:val="217"/>
        <w:spacing w:before="0"/>
        <w:ind w:firstLine="0" w:firstLineChars="0"/>
        <w:rPr>
          <w:rFonts w:ascii="仿宋" w:hAnsi="仿宋" w:eastAsia="仿宋" w:cs="仿宋"/>
          <w:kern w:val="0"/>
          <w:szCs w:val="24"/>
        </w:rPr>
      </w:pPr>
      <w:r>
        <w:rPr>
          <w:rFonts w:hint="eastAsia" w:ascii="仿宋" w:hAnsi="仿宋" w:eastAsia="仿宋" w:cs="仿宋"/>
          <w:b/>
          <w:kern w:val="0"/>
          <w:szCs w:val="24"/>
        </w:rPr>
        <w:t>7.投标人澄清、说明或者补正。</w:t>
      </w:r>
      <w:r>
        <w:rPr>
          <w:rFonts w:hint="eastAsia" w:ascii="仿宋" w:hAnsi="仿宋" w:eastAsia="仿宋" w:cs="仿宋"/>
          <w:kern w:val="0"/>
          <w:szCs w:val="24"/>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pPr>
        <w:pStyle w:val="217"/>
        <w:spacing w:before="0"/>
        <w:ind w:firstLine="0" w:firstLineChars="0"/>
        <w:rPr>
          <w:rFonts w:ascii="仿宋" w:hAnsi="仿宋" w:eastAsia="仿宋" w:cs="仿宋"/>
          <w:kern w:val="0"/>
          <w:szCs w:val="24"/>
        </w:rPr>
      </w:pPr>
      <w:r>
        <w:rPr>
          <w:rFonts w:hint="eastAsia" w:ascii="仿宋" w:hAnsi="仿宋" w:eastAsia="仿宋" w:cs="仿宋"/>
          <w:b/>
          <w:kern w:val="0"/>
          <w:szCs w:val="24"/>
        </w:rPr>
        <w:t>8. 比较与评价。</w:t>
      </w:r>
      <w:r>
        <w:rPr>
          <w:rFonts w:hint="eastAsia" w:ascii="仿宋" w:hAnsi="仿宋" w:eastAsia="仿宋" w:cs="仿宋"/>
          <w:kern w:val="0"/>
          <w:szCs w:val="24"/>
        </w:rPr>
        <w:t>标委员会应当按照评标标准，对符合性审查合格的投标文件进行商务和技术评估，综合比较与评价。</w:t>
      </w:r>
    </w:p>
    <w:p>
      <w:pPr>
        <w:pStyle w:val="217"/>
        <w:spacing w:before="0"/>
        <w:ind w:firstLine="0" w:firstLineChars="0"/>
        <w:rPr>
          <w:rFonts w:ascii="仿宋" w:hAnsi="仿宋" w:eastAsia="仿宋" w:cs="仿宋"/>
          <w:kern w:val="0"/>
          <w:szCs w:val="24"/>
        </w:rPr>
      </w:pPr>
      <w:r>
        <w:rPr>
          <w:rFonts w:hint="eastAsia" w:ascii="仿宋" w:hAnsi="仿宋" w:eastAsia="仿宋" w:cs="仿宋"/>
          <w:b/>
          <w:kern w:val="0"/>
          <w:szCs w:val="24"/>
        </w:rPr>
        <w:t>9. 汇总（商务技术得分情况）。</w:t>
      </w:r>
      <w:r>
        <w:rPr>
          <w:rFonts w:hint="eastAsia" w:ascii="仿宋" w:hAnsi="仿宋" w:eastAsia="仿宋" w:cs="仿宋"/>
          <w:kern w:val="0"/>
          <w:szCs w:val="24"/>
        </w:rPr>
        <w:t>评标委员会各成员应当独立对每个投标人的商务和技术文件进行评价，并汇总商务技术得分情况。</w:t>
      </w:r>
    </w:p>
    <w:p>
      <w:pPr>
        <w:pStyle w:val="217"/>
        <w:spacing w:before="0"/>
        <w:ind w:firstLine="0" w:firstLineChars="0"/>
        <w:rPr>
          <w:rFonts w:ascii="仿宋" w:hAnsi="仿宋" w:eastAsia="仿宋" w:cs="仿宋"/>
          <w:kern w:val="0"/>
          <w:szCs w:val="24"/>
        </w:rPr>
      </w:pPr>
      <w:r>
        <w:rPr>
          <w:rFonts w:hint="eastAsia" w:ascii="仿宋" w:hAnsi="仿宋" w:eastAsia="仿宋" w:cs="仿宋"/>
          <w:b/>
          <w:kern w:val="0"/>
          <w:szCs w:val="24"/>
        </w:rPr>
        <w:t>10. 报价审核。</w:t>
      </w:r>
      <w:r>
        <w:rPr>
          <w:rFonts w:hint="eastAsia" w:ascii="仿宋" w:hAnsi="仿宋" w:eastAsia="仿宋" w:cs="仿宋"/>
          <w:kern w:val="0"/>
          <w:szCs w:val="24"/>
        </w:rPr>
        <w:t>对经商务和技术评审符合采购需求的投标人的报价的合理性、准确性等进行审查核实。</w:t>
      </w:r>
    </w:p>
    <w:p>
      <w:pPr>
        <w:pStyle w:val="217"/>
        <w:spacing w:before="0"/>
        <w:ind w:firstLine="0" w:firstLineChars="0"/>
        <w:rPr>
          <w:rFonts w:ascii="仿宋" w:hAnsi="仿宋" w:eastAsia="仿宋" w:cs="仿宋"/>
          <w:kern w:val="0"/>
          <w:szCs w:val="24"/>
        </w:rPr>
      </w:pPr>
      <w:r>
        <w:rPr>
          <w:rFonts w:hint="eastAsia" w:ascii="仿宋" w:hAnsi="仿宋" w:eastAsia="仿宋" w:cs="仿宋"/>
          <w:kern w:val="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217"/>
        <w:spacing w:before="0"/>
        <w:ind w:firstLine="0" w:firstLineChars="0"/>
        <w:rPr>
          <w:rFonts w:ascii="仿宋" w:hAnsi="仿宋" w:eastAsia="仿宋" w:cs="仿宋"/>
          <w:kern w:val="0"/>
          <w:szCs w:val="24"/>
        </w:rPr>
      </w:pPr>
      <w:r>
        <w:rPr>
          <w:rFonts w:hint="eastAsia" w:ascii="仿宋" w:hAnsi="仿宋" w:eastAsia="仿宋" w:cs="仿宋"/>
          <w:kern w:val="0"/>
          <w:szCs w:val="24"/>
        </w:rPr>
        <w:t>10.2根据财政部发布的《政府采购促进中小企业发展暂行办法》规定，对于非专门面向中小企业的项目，对小型和微型企业产品的价格给予一定的扣除，用扣除后的价格参与评审。</w:t>
      </w:r>
    </w:p>
    <w:p>
      <w:pPr>
        <w:pStyle w:val="217"/>
        <w:spacing w:before="0"/>
        <w:ind w:firstLine="0" w:firstLineChars="0"/>
        <w:rPr>
          <w:rFonts w:ascii="仿宋" w:hAnsi="仿宋" w:eastAsia="仿宋" w:cs="仿宋"/>
          <w:kern w:val="0"/>
          <w:szCs w:val="24"/>
        </w:rPr>
      </w:pPr>
      <w:r>
        <w:rPr>
          <w:rFonts w:hint="eastAsia" w:ascii="仿宋" w:hAnsi="仿宋" w:eastAsia="仿宋" w:cs="仿宋"/>
          <w:kern w:val="0"/>
          <w:szCs w:val="24"/>
        </w:rPr>
        <w:t>10.3投标价格的修正原则。投标文件报价出现前后不一致的，按照下列规定修正：</w:t>
      </w:r>
    </w:p>
    <w:p>
      <w:pPr>
        <w:pStyle w:val="217"/>
        <w:spacing w:before="0"/>
        <w:ind w:firstLine="0" w:firstLineChars="0"/>
        <w:rPr>
          <w:rFonts w:ascii="仿宋" w:hAnsi="仿宋" w:eastAsia="仿宋" w:cs="仿宋"/>
          <w:kern w:val="0"/>
          <w:szCs w:val="24"/>
        </w:rPr>
      </w:pPr>
      <w:r>
        <w:rPr>
          <w:rFonts w:hint="eastAsia" w:ascii="仿宋" w:hAnsi="仿宋" w:eastAsia="仿宋" w:cs="仿宋"/>
          <w:kern w:val="0"/>
          <w:szCs w:val="24"/>
        </w:rPr>
        <w:t>10.3.1投标文件中开标一览表(报价表)内容与投标文件中相应内容不一致的，以开标一览表(报价表)为准;</w:t>
      </w:r>
    </w:p>
    <w:p>
      <w:pPr>
        <w:pStyle w:val="217"/>
        <w:spacing w:before="0"/>
        <w:ind w:firstLine="0" w:firstLineChars="0"/>
        <w:rPr>
          <w:rFonts w:ascii="仿宋" w:hAnsi="仿宋" w:eastAsia="仿宋" w:cs="仿宋"/>
          <w:kern w:val="0"/>
          <w:szCs w:val="24"/>
        </w:rPr>
      </w:pPr>
      <w:r>
        <w:rPr>
          <w:rFonts w:hint="eastAsia" w:ascii="仿宋" w:hAnsi="仿宋" w:eastAsia="仿宋" w:cs="仿宋"/>
          <w:kern w:val="0"/>
          <w:szCs w:val="24"/>
        </w:rPr>
        <w:t>10.3.2大写金额和小写金额不一致的，以大写金额为准;</w:t>
      </w:r>
    </w:p>
    <w:p>
      <w:pPr>
        <w:pStyle w:val="217"/>
        <w:spacing w:before="0"/>
        <w:ind w:firstLine="0" w:firstLineChars="0"/>
        <w:rPr>
          <w:rFonts w:ascii="仿宋" w:hAnsi="仿宋" w:eastAsia="仿宋" w:cs="仿宋"/>
          <w:kern w:val="0"/>
          <w:szCs w:val="24"/>
        </w:rPr>
      </w:pPr>
      <w:r>
        <w:rPr>
          <w:rFonts w:hint="eastAsia" w:ascii="仿宋" w:hAnsi="仿宋" w:eastAsia="仿宋" w:cs="仿宋"/>
          <w:kern w:val="0"/>
          <w:szCs w:val="24"/>
        </w:rPr>
        <w:t>10.3.3单价金额小数点或者百分比有明显错位的，以开标一览表的总价为准，并修改单价;</w:t>
      </w:r>
    </w:p>
    <w:p>
      <w:pPr>
        <w:pStyle w:val="217"/>
        <w:spacing w:before="0"/>
        <w:ind w:firstLine="0" w:firstLineChars="0"/>
        <w:rPr>
          <w:rFonts w:ascii="仿宋" w:hAnsi="仿宋" w:eastAsia="仿宋" w:cs="仿宋"/>
          <w:kern w:val="0"/>
          <w:szCs w:val="24"/>
        </w:rPr>
      </w:pPr>
      <w:r>
        <w:rPr>
          <w:rFonts w:hint="eastAsia" w:ascii="仿宋" w:hAnsi="仿宋" w:eastAsia="仿宋" w:cs="仿宋"/>
          <w:kern w:val="0"/>
          <w:szCs w:val="24"/>
        </w:rPr>
        <w:t>10.3.4总价金额与按单价汇总金额不一致的，以单价金额计算结果为准。</w:t>
      </w:r>
    </w:p>
    <w:p>
      <w:pPr>
        <w:pStyle w:val="217"/>
        <w:spacing w:before="0"/>
        <w:ind w:firstLine="0" w:firstLineChars="0"/>
        <w:rPr>
          <w:rFonts w:ascii="仿宋" w:hAnsi="仿宋" w:eastAsia="仿宋" w:cs="仿宋"/>
          <w:kern w:val="0"/>
          <w:szCs w:val="24"/>
        </w:rPr>
      </w:pPr>
      <w:r>
        <w:rPr>
          <w:rFonts w:hint="eastAsia" w:ascii="仿宋" w:hAnsi="仿宋" w:eastAsia="仿宋" w:cs="仿宋"/>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投标人对根据修正原则修正后的报价不确认的，投标无效。</w:t>
      </w:r>
    </w:p>
    <w:p>
      <w:pPr>
        <w:spacing w:line="360" w:lineRule="auto"/>
        <w:rPr>
          <w:rFonts w:ascii="仿宋" w:hAnsi="仿宋" w:eastAsia="仿宋" w:cs="仿宋"/>
          <w:kern w:val="0"/>
          <w:sz w:val="24"/>
        </w:rPr>
      </w:pPr>
      <w:r>
        <w:rPr>
          <w:rFonts w:hint="eastAsia" w:ascii="仿宋" w:hAnsi="仿宋" w:eastAsia="仿宋" w:cs="仿宋"/>
          <w:b/>
          <w:kern w:val="0"/>
          <w:sz w:val="24"/>
        </w:rPr>
        <w:t>11.汇总得分。</w:t>
      </w:r>
      <w:r>
        <w:rPr>
          <w:rFonts w:hint="eastAsia" w:ascii="仿宋" w:hAnsi="仿宋" w:eastAsia="仿宋" w:cs="仿宋"/>
          <w:kern w:val="0"/>
          <w:sz w:val="24"/>
        </w:rPr>
        <w:t>评标委员会各成员应当独立对每个投标人的投标文件进行评价，并汇总每个投标人的得分。</w:t>
      </w:r>
    </w:p>
    <w:p>
      <w:pPr>
        <w:spacing w:line="360" w:lineRule="auto"/>
        <w:rPr>
          <w:rFonts w:ascii="仿宋" w:hAnsi="仿宋" w:eastAsia="仿宋" w:cs="仿宋"/>
          <w:b/>
          <w:kern w:val="0"/>
          <w:sz w:val="24"/>
        </w:rPr>
      </w:pPr>
      <w:r>
        <w:rPr>
          <w:rFonts w:hint="eastAsia" w:ascii="仿宋" w:hAnsi="仿宋" w:eastAsia="仿宋" w:cs="仿宋"/>
          <w:b/>
          <w:kern w:val="0"/>
          <w:sz w:val="24"/>
        </w:rPr>
        <w:t>12.顺序排列与中标候选推荐。</w:t>
      </w:r>
    </w:p>
    <w:p>
      <w:pPr>
        <w:spacing w:line="360" w:lineRule="auto"/>
        <w:rPr>
          <w:rFonts w:ascii="仿宋" w:hAnsi="仿宋" w:eastAsia="仿宋" w:cs="仿宋"/>
          <w:sz w:val="24"/>
        </w:rPr>
      </w:pPr>
      <w:r>
        <w:rPr>
          <w:rFonts w:hint="eastAsia" w:ascii="仿宋" w:hAnsi="仿宋" w:eastAsia="仿宋" w:cs="仿宋"/>
          <w:sz w:val="24"/>
        </w:rPr>
        <w:t>12.1评标结果按评审后得分由高到低顺序排列。得分相同的，按投标报价由低到高顺序排列。得分且投标报价相同的并列。得分最高的投标人为排名第一的中标候选人。</w:t>
      </w:r>
    </w:p>
    <w:p>
      <w:pPr>
        <w:spacing w:line="360" w:lineRule="auto"/>
        <w:rPr>
          <w:rFonts w:ascii="仿宋" w:hAnsi="仿宋" w:eastAsia="仿宋" w:cs="仿宋"/>
          <w:sz w:val="24"/>
        </w:rPr>
      </w:pPr>
      <w:r>
        <w:rPr>
          <w:rFonts w:hint="eastAsia" w:ascii="仿宋" w:hAnsi="仿宋" w:eastAsia="仿宋" w:cs="仿宋"/>
          <w:sz w:val="24"/>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4"/>
        <w:spacing w:line="360" w:lineRule="auto"/>
        <w:ind w:left="559" w:hanging="559" w:hangingChars="199"/>
        <w:rPr>
          <w:rFonts w:ascii="仿宋" w:hAnsi="仿宋" w:eastAsia="仿宋" w:cs="仿宋"/>
        </w:rPr>
      </w:pPr>
      <w:r>
        <w:rPr>
          <w:rFonts w:hint="eastAsia" w:ascii="仿宋" w:hAnsi="仿宋" w:eastAsia="仿宋" w:cs="仿宋"/>
          <w:b/>
          <w:spacing w:val="20"/>
        </w:rPr>
        <w:t>13.投标无效。</w:t>
      </w:r>
      <w:r>
        <w:rPr>
          <w:rFonts w:hint="eastAsia" w:ascii="仿宋" w:hAnsi="仿宋" w:eastAsia="仿宋" w:cs="仿宋"/>
        </w:rPr>
        <w:t>有下列情况之一的，投标无效：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13.1单位负责人为同一人或者存在直接控股、管理关系的不同供应商参加同一合同项下的政府采购活动的（均无效）；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13.2为采购项目提供整体设计、规范编制或者项目管理、监理、检测等服务的供应商再参加该采购项目的其他采购活动的； </w:t>
      </w:r>
    </w:p>
    <w:p>
      <w:pPr>
        <w:spacing w:line="360" w:lineRule="auto"/>
        <w:ind w:firstLine="480" w:firstLineChars="200"/>
        <w:rPr>
          <w:rFonts w:ascii="仿宋" w:hAnsi="仿宋" w:eastAsia="仿宋" w:cs="仿宋"/>
          <w:sz w:val="24"/>
        </w:rPr>
      </w:pPr>
      <w:r>
        <w:rPr>
          <w:rFonts w:hint="eastAsia" w:ascii="仿宋" w:hAnsi="仿宋" w:eastAsia="仿宋" w:cs="仿宋"/>
          <w:sz w:val="24"/>
        </w:rPr>
        <w:t>13.3投标人不具备招标文件中规定的资格要求的（投标人未提供有效的资格证明文件的，视为投标人不具备招标文件中规定的资格要求）；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13.4如以联合体形式参加政府采购活动的，联合体协议不符合招标文件规定的联合体协议要求的；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13.5投标文件未按规定的格式编制的；</w:t>
      </w:r>
    </w:p>
    <w:p>
      <w:pPr>
        <w:spacing w:line="360" w:lineRule="auto"/>
        <w:ind w:firstLine="480" w:firstLineChars="200"/>
        <w:rPr>
          <w:rFonts w:ascii="仿宋" w:hAnsi="仿宋" w:eastAsia="仿宋" w:cs="仿宋"/>
          <w:sz w:val="24"/>
        </w:rPr>
      </w:pPr>
      <w:r>
        <w:rPr>
          <w:rFonts w:hint="eastAsia" w:ascii="仿宋" w:hAnsi="仿宋" w:eastAsia="仿宋" w:cs="仿宋"/>
          <w:sz w:val="24"/>
        </w:rPr>
        <w:t>13.6投标文件未按招标文件的澄清、修改的内容编制，又不符合实质性要求的；</w:t>
      </w:r>
    </w:p>
    <w:p>
      <w:pPr>
        <w:spacing w:line="360" w:lineRule="auto"/>
        <w:ind w:firstLine="480" w:firstLineChars="200"/>
        <w:rPr>
          <w:rFonts w:ascii="仿宋" w:hAnsi="仿宋" w:eastAsia="仿宋" w:cs="仿宋"/>
          <w:sz w:val="24"/>
        </w:rPr>
      </w:pPr>
      <w:r>
        <w:rPr>
          <w:rFonts w:hint="eastAsia" w:ascii="仿宋" w:hAnsi="仿宋" w:eastAsia="仿宋" w:cs="仿宋"/>
          <w:sz w:val="24"/>
        </w:rPr>
        <w:t>13.7投标文件组成漏项，内容不全或内容字迹模糊辨认不清的；</w:t>
      </w:r>
    </w:p>
    <w:p>
      <w:pPr>
        <w:spacing w:line="360" w:lineRule="auto"/>
        <w:ind w:firstLine="480" w:firstLineChars="200"/>
        <w:rPr>
          <w:rFonts w:ascii="仿宋" w:hAnsi="仿宋" w:eastAsia="仿宋" w:cs="仿宋"/>
          <w:sz w:val="24"/>
        </w:rPr>
      </w:pPr>
      <w:r>
        <w:rPr>
          <w:rFonts w:hint="eastAsia" w:ascii="仿宋" w:hAnsi="仿宋" w:eastAsia="仿宋" w:cs="仿宋"/>
          <w:sz w:val="24"/>
        </w:rPr>
        <w:t>13.8投标文件中法定代表人授权书所载内容与本项目内容有异的；</w:t>
      </w:r>
    </w:p>
    <w:p>
      <w:pPr>
        <w:spacing w:line="360" w:lineRule="auto"/>
        <w:ind w:firstLine="480" w:firstLineChars="200"/>
        <w:rPr>
          <w:rFonts w:ascii="仿宋" w:hAnsi="仿宋" w:eastAsia="仿宋" w:cs="仿宋"/>
          <w:sz w:val="24"/>
        </w:rPr>
      </w:pPr>
      <w:r>
        <w:rPr>
          <w:rFonts w:hint="eastAsia" w:ascii="仿宋" w:hAnsi="仿宋" w:eastAsia="仿宋" w:cs="仿宋"/>
          <w:sz w:val="24"/>
        </w:rPr>
        <w:t>13.9投标文件未按照招标文件要求签署、盖章的；</w:t>
      </w:r>
    </w:p>
    <w:p>
      <w:pPr>
        <w:spacing w:line="360" w:lineRule="auto"/>
        <w:ind w:firstLine="480" w:firstLineChars="200"/>
        <w:rPr>
          <w:rFonts w:ascii="仿宋" w:hAnsi="仿宋" w:eastAsia="仿宋" w:cs="仿宋"/>
          <w:b/>
          <w:sz w:val="24"/>
        </w:rPr>
      </w:pPr>
      <w:r>
        <w:rPr>
          <w:rFonts w:hint="eastAsia" w:ascii="仿宋" w:hAnsi="仿宋" w:eastAsia="仿宋" w:cs="仿宋"/>
          <w:sz w:val="24"/>
        </w:rPr>
        <w:t>13.10</w:t>
      </w:r>
      <w:r>
        <w:rPr>
          <w:rFonts w:hint="eastAsia" w:ascii="仿宋" w:hAnsi="仿宋" w:eastAsia="仿宋" w:cs="仿宋"/>
          <w:b/>
          <w:sz w:val="24"/>
        </w:rPr>
        <w:t>未传输递交电子投标文件的或者未按规定提供相应的备份投标文件，造成项目开评标活动无法进行下去的；</w:t>
      </w:r>
    </w:p>
    <w:p>
      <w:pPr>
        <w:spacing w:line="360" w:lineRule="auto"/>
        <w:ind w:firstLine="480" w:firstLineChars="200"/>
        <w:rPr>
          <w:rFonts w:ascii="仿宋" w:hAnsi="仿宋" w:eastAsia="仿宋" w:cs="仿宋"/>
          <w:sz w:val="24"/>
        </w:rPr>
      </w:pPr>
      <w:r>
        <w:rPr>
          <w:rFonts w:hint="eastAsia" w:ascii="仿宋" w:hAnsi="仿宋" w:eastAsia="仿宋" w:cs="仿宋"/>
          <w:sz w:val="24"/>
        </w:rPr>
        <w:t>13.11投标文件中未提供应当提供的政府强制采购节能品目内的节能产品或未提供有效的节能产品认证证书的（如果本项目采购涉及节能品目清单中的政府强制采购的节能产品的）；</w:t>
      </w:r>
    </w:p>
    <w:p>
      <w:pPr>
        <w:spacing w:line="360" w:lineRule="auto"/>
        <w:ind w:firstLine="480" w:firstLineChars="200"/>
        <w:rPr>
          <w:rFonts w:ascii="仿宋" w:hAnsi="仿宋" w:eastAsia="仿宋" w:cs="仿宋"/>
          <w:sz w:val="24"/>
        </w:rPr>
      </w:pPr>
      <w:r>
        <w:rPr>
          <w:rFonts w:hint="eastAsia" w:ascii="仿宋" w:hAnsi="仿宋" w:eastAsia="仿宋" w:cs="仿宋"/>
          <w:sz w:val="24"/>
        </w:rPr>
        <w:t>13.12投标文件含有采购人不能接受的附加条件的；</w:t>
      </w:r>
    </w:p>
    <w:p>
      <w:pPr>
        <w:spacing w:line="360" w:lineRule="auto"/>
        <w:ind w:firstLine="480" w:firstLineChars="200"/>
        <w:rPr>
          <w:rFonts w:ascii="仿宋" w:hAnsi="仿宋" w:eastAsia="仿宋" w:cs="仿宋"/>
          <w:sz w:val="24"/>
        </w:rPr>
      </w:pPr>
      <w:r>
        <w:rPr>
          <w:rFonts w:hint="eastAsia" w:ascii="仿宋" w:hAnsi="仿宋" w:eastAsia="仿宋" w:cs="仿宋"/>
          <w:sz w:val="24"/>
        </w:rPr>
        <w:t>13.13投标文件中承诺的投标有效期少于招标文件中载明的投标有效期的；</w:t>
      </w:r>
    </w:p>
    <w:p>
      <w:pPr>
        <w:spacing w:line="360" w:lineRule="auto"/>
        <w:ind w:firstLine="480" w:firstLineChars="200"/>
        <w:rPr>
          <w:rFonts w:ascii="仿宋" w:hAnsi="仿宋" w:eastAsia="仿宋" w:cs="仿宋"/>
          <w:sz w:val="24"/>
        </w:rPr>
      </w:pPr>
      <w:r>
        <w:rPr>
          <w:rFonts w:hint="eastAsia" w:ascii="仿宋" w:hAnsi="仿宋" w:eastAsia="仿宋" w:cs="仿宋"/>
          <w:sz w:val="24"/>
        </w:rPr>
        <w:t>13.14投标人所投内容不符合采购需求中实质性要求的；</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13.15投标文件出现不是唯一的、有选择性投标报价的;</w:t>
      </w:r>
    </w:p>
    <w:p>
      <w:pPr>
        <w:spacing w:line="360" w:lineRule="auto"/>
        <w:ind w:firstLine="480" w:firstLineChars="200"/>
        <w:rPr>
          <w:rFonts w:ascii="仿宋" w:hAnsi="仿宋" w:eastAsia="仿宋" w:cs="仿宋"/>
          <w:sz w:val="24"/>
        </w:rPr>
      </w:pPr>
      <w:r>
        <w:rPr>
          <w:rFonts w:hint="eastAsia" w:ascii="仿宋" w:hAnsi="仿宋" w:eastAsia="仿宋" w:cs="仿宋"/>
          <w:sz w:val="24"/>
        </w:rPr>
        <w:t>13.16投标报价高于本项目采购预算或者最高限价的;</w:t>
      </w:r>
    </w:p>
    <w:p>
      <w:pPr>
        <w:spacing w:line="360" w:lineRule="auto"/>
        <w:ind w:firstLine="480" w:firstLineChars="200"/>
        <w:rPr>
          <w:rFonts w:ascii="仿宋" w:hAnsi="仿宋" w:eastAsia="仿宋" w:cs="仿宋"/>
          <w:sz w:val="24"/>
        </w:rPr>
      </w:pPr>
      <w:r>
        <w:rPr>
          <w:rFonts w:hint="eastAsia" w:ascii="仿宋" w:hAnsi="仿宋" w:eastAsia="仿宋" w:cs="仿宋"/>
          <w:sz w:val="24"/>
        </w:rPr>
        <w:t>13.17报价明显低于其他通过符合性审查投标人的报价，有可能影响产品质量或者不能诚信履约的，未能按要求提供书面说明或者提交相关证明材料，不能证明其报价合理性的;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sz w:val="24"/>
        </w:rPr>
      </w:pPr>
      <w:r>
        <w:rPr>
          <w:rFonts w:hint="eastAsia" w:ascii="仿宋" w:hAnsi="仿宋" w:eastAsia="仿宋" w:cs="仿宋"/>
          <w:sz w:val="24"/>
        </w:rPr>
        <w:t>13.18《投标（开标）一览表》填写不完整或字迹不能辨认或有漏项的；</w:t>
      </w:r>
    </w:p>
    <w:p>
      <w:pPr>
        <w:spacing w:line="360" w:lineRule="auto"/>
        <w:ind w:firstLine="480" w:firstLineChars="200"/>
        <w:rPr>
          <w:rFonts w:ascii="仿宋" w:hAnsi="仿宋" w:eastAsia="仿宋" w:cs="仿宋"/>
          <w:sz w:val="24"/>
        </w:rPr>
      </w:pPr>
      <w:r>
        <w:rPr>
          <w:rFonts w:hint="eastAsia" w:ascii="仿宋" w:hAnsi="仿宋" w:eastAsia="仿宋" w:cs="仿宋"/>
          <w:sz w:val="24"/>
        </w:rPr>
        <w:t>13.19投标人对根据修正原则修正后的报价不确认的；</w:t>
      </w:r>
    </w:p>
    <w:p>
      <w:pPr>
        <w:spacing w:line="360" w:lineRule="auto"/>
        <w:ind w:firstLine="480" w:firstLineChars="200"/>
        <w:rPr>
          <w:rFonts w:ascii="仿宋" w:hAnsi="仿宋" w:eastAsia="仿宋" w:cs="仿宋"/>
          <w:sz w:val="24"/>
        </w:rPr>
      </w:pPr>
      <w:r>
        <w:rPr>
          <w:rFonts w:hint="eastAsia" w:ascii="仿宋" w:hAnsi="仿宋" w:eastAsia="仿宋" w:cs="仿宋"/>
          <w:sz w:val="24"/>
        </w:rPr>
        <w:t>13.20投标人提供虚假材料投标的（包括但不限于以下情节）；</w:t>
      </w:r>
    </w:p>
    <w:p>
      <w:pPr>
        <w:spacing w:line="360" w:lineRule="auto"/>
        <w:ind w:firstLine="720" w:firstLineChars="300"/>
        <w:rPr>
          <w:rFonts w:ascii="仿宋" w:hAnsi="仿宋" w:eastAsia="仿宋" w:cs="仿宋"/>
          <w:sz w:val="24"/>
        </w:rPr>
      </w:pPr>
      <w:r>
        <w:rPr>
          <w:rFonts w:hint="eastAsia" w:ascii="仿宋" w:hAnsi="仿宋" w:eastAsia="仿宋" w:cs="仿宋"/>
          <w:sz w:val="24"/>
        </w:rPr>
        <w:t>13.20.1使用伪造、变造的许可证件；</w:t>
      </w:r>
      <w:r>
        <w:rPr>
          <w:rFonts w:hint="eastAsia" w:ascii="仿宋" w:hAnsi="仿宋" w:eastAsia="仿宋" w:cs="仿宋"/>
          <w:sz w:val="24"/>
        </w:rPr>
        <w:br w:type="textWrapping"/>
      </w:r>
      <w:r>
        <w:rPr>
          <w:rFonts w:hint="eastAsia" w:ascii="仿宋" w:hAnsi="仿宋" w:eastAsia="仿宋" w:cs="仿宋"/>
          <w:sz w:val="24"/>
        </w:rPr>
        <w:t>    13.20.2提供虚假的财务状况或者业绩；</w:t>
      </w:r>
      <w:r>
        <w:rPr>
          <w:rFonts w:hint="eastAsia" w:ascii="仿宋" w:hAnsi="仿宋" w:eastAsia="仿宋" w:cs="仿宋"/>
          <w:sz w:val="24"/>
        </w:rPr>
        <w:br w:type="textWrapping"/>
      </w:r>
      <w:r>
        <w:rPr>
          <w:rFonts w:hint="eastAsia" w:ascii="仿宋" w:hAnsi="仿宋" w:eastAsia="仿宋" w:cs="仿宋"/>
          <w:sz w:val="24"/>
        </w:rPr>
        <w:t>    13.20.3提供虚假的项目负责人或者主要技术人员简历、劳动关系证明；</w:t>
      </w:r>
      <w:r>
        <w:rPr>
          <w:rFonts w:hint="eastAsia" w:ascii="仿宋" w:hAnsi="仿宋" w:eastAsia="仿宋" w:cs="仿宋"/>
          <w:sz w:val="24"/>
        </w:rPr>
        <w:br w:type="textWrapping"/>
      </w:r>
      <w:r>
        <w:rPr>
          <w:rFonts w:hint="eastAsia" w:ascii="仿宋" w:hAnsi="仿宋" w:eastAsia="仿宋" w:cs="仿宋"/>
          <w:sz w:val="24"/>
        </w:rPr>
        <w:t>    13.20.4提供虚假的信用状况；</w:t>
      </w:r>
      <w:r>
        <w:rPr>
          <w:rFonts w:hint="eastAsia" w:ascii="仿宋" w:hAnsi="仿宋" w:eastAsia="仿宋" w:cs="仿宋"/>
          <w:sz w:val="24"/>
        </w:rPr>
        <w:br w:type="textWrapping"/>
      </w:r>
      <w:r>
        <w:rPr>
          <w:rFonts w:hint="eastAsia" w:ascii="仿宋" w:hAnsi="仿宋" w:eastAsia="仿宋" w:cs="仿宋"/>
          <w:sz w:val="24"/>
        </w:rPr>
        <w:t>     13.20.5其他弄虚作假的行为。</w:t>
      </w:r>
      <w:r>
        <w:rPr>
          <w:rFonts w:hint="eastAsia" w:ascii="仿宋" w:hAnsi="仿宋" w:eastAsia="仿宋" w:cs="仿宋"/>
          <w:sz w:val="24"/>
        </w:rPr>
        <w:br w:type="textWrapping"/>
      </w:r>
      <w:r>
        <w:rPr>
          <w:rFonts w:hint="eastAsia" w:ascii="仿宋" w:hAnsi="仿宋" w:eastAsia="仿宋" w:cs="仿宋"/>
          <w:sz w:val="24"/>
        </w:rPr>
        <w:t xml:space="preserve">   13.21投标人有恶意串通、妨碍其他投标人的竞争行为、损害采购人或者其他投标人的合法权益情形的；有下列情形之一的，属于或视为恶意串通，其投标无效：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13.21.1供应商直接或者间接从采购人或者采购机构处获得其他供应商的相关情况并修改其投标文件或者响应文件；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13.21.2供应商按照采购人或者采购机构的授意撤换、修改投标文件或者响应文件；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13.21.3供应商之间协商报价、技术方案等投标文件或者响应文件的实质性内容；</w:t>
      </w:r>
    </w:p>
    <w:p>
      <w:pPr>
        <w:spacing w:line="360" w:lineRule="auto"/>
        <w:ind w:firstLine="480" w:firstLineChars="200"/>
        <w:rPr>
          <w:rFonts w:ascii="仿宋" w:hAnsi="仿宋" w:eastAsia="仿宋" w:cs="仿宋"/>
          <w:sz w:val="24"/>
        </w:rPr>
      </w:pPr>
      <w:r>
        <w:rPr>
          <w:rFonts w:hint="eastAsia" w:ascii="仿宋" w:hAnsi="仿宋" w:eastAsia="仿宋" w:cs="仿宋"/>
          <w:sz w:val="24"/>
        </w:rPr>
        <w:t>13.21.4属于同一集团、协会、商会等组织成员的供应商按照该组织要求协同参加政府采购活动；</w:t>
      </w:r>
    </w:p>
    <w:p>
      <w:pPr>
        <w:spacing w:line="360" w:lineRule="auto"/>
        <w:ind w:firstLine="480" w:firstLineChars="200"/>
        <w:rPr>
          <w:rFonts w:ascii="仿宋" w:hAnsi="仿宋" w:eastAsia="仿宋" w:cs="仿宋"/>
          <w:sz w:val="24"/>
        </w:rPr>
      </w:pPr>
      <w:r>
        <w:rPr>
          <w:rFonts w:hint="eastAsia" w:ascii="仿宋" w:hAnsi="仿宋" w:eastAsia="仿宋" w:cs="仿宋"/>
          <w:sz w:val="24"/>
        </w:rPr>
        <w:t>13.21.5供应商之间事先约定由某一特定供应商中标、成交；</w:t>
      </w:r>
    </w:p>
    <w:p>
      <w:pPr>
        <w:spacing w:line="360" w:lineRule="auto"/>
        <w:ind w:firstLine="480" w:firstLineChars="200"/>
        <w:rPr>
          <w:rFonts w:ascii="仿宋" w:hAnsi="仿宋" w:eastAsia="仿宋" w:cs="仿宋"/>
          <w:sz w:val="24"/>
        </w:rPr>
      </w:pPr>
      <w:r>
        <w:rPr>
          <w:rFonts w:hint="eastAsia" w:ascii="仿宋" w:hAnsi="仿宋" w:eastAsia="仿宋" w:cs="仿宋"/>
          <w:sz w:val="24"/>
        </w:rPr>
        <w:t>13.21.6供应商之间商定部分供应商放弃参加政府采购活动或者放弃中标、成交；</w:t>
      </w:r>
    </w:p>
    <w:p>
      <w:pPr>
        <w:spacing w:line="360" w:lineRule="auto"/>
        <w:ind w:firstLine="480" w:firstLineChars="200"/>
        <w:rPr>
          <w:rFonts w:ascii="仿宋" w:hAnsi="仿宋" w:eastAsia="仿宋" w:cs="仿宋"/>
          <w:sz w:val="24"/>
        </w:rPr>
      </w:pPr>
      <w:r>
        <w:rPr>
          <w:rFonts w:hint="eastAsia" w:ascii="仿宋" w:hAnsi="仿宋" w:eastAsia="仿宋" w:cs="仿宋"/>
          <w:sz w:val="24"/>
        </w:rPr>
        <w:t>13.21.7供应商与采购人或者采购机构之间、供应商相互之间，为谋求特定供应商中标、成交或者排斥其他供应商的其他串通行为。</w:t>
      </w:r>
    </w:p>
    <w:p>
      <w:pPr>
        <w:spacing w:line="360" w:lineRule="auto"/>
        <w:ind w:firstLine="480" w:firstLineChars="200"/>
        <w:rPr>
          <w:rFonts w:ascii="仿宋" w:hAnsi="仿宋" w:eastAsia="仿宋" w:cs="仿宋"/>
          <w:sz w:val="24"/>
        </w:rPr>
      </w:pPr>
      <w:r>
        <w:rPr>
          <w:rFonts w:hint="eastAsia" w:ascii="仿宋" w:hAnsi="仿宋" w:eastAsia="仿宋" w:cs="仿宋"/>
          <w:sz w:val="24"/>
        </w:rPr>
        <w:t>13.21.8不同投标人的投标文件由同一单位或者个人编制；</w:t>
      </w:r>
    </w:p>
    <w:p>
      <w:pPr>
        <w:spacing w:line="360" w:lineRule="auto"/>
        <w:ind w:firstLine="480" w:firstLineChars="200"/>
        <w:rPr>
          <w:rFonts w:ascii="仿宋" w:hAnsi="仿宋" w:eastAsia="仿宋" w:cs="仿宋"/>
          <w:sz w:val="24"/>
        </w:rPr>
      </w:pPr>
      <w:r>
        <w:rPr>
          <w:rFonts w:hint="eastAsia" w:ascii="仿宋" w:hAnsi="仿宋" w:eastAsia="仿宋" w:cs="仿宋"/>
          <w:sz w:val="24"/>
        </w:rPr>
        <w:t>13.21.9不同投标人委托同一单位或者个人办理投标事宜；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13.21.10不同投标人的投标文件载明的项目管理成员或者联系人员为同一人；</w:t>
      </w:r>
    </w:p>
    <w:p>
      <w:pPr>
        <w:spacing w:line="360" w:lineRule="auto"/>
        <w:ind w:firstLine="480" w:firstLineChars="200"/>
        <w:rPr>
          <w:rFonts w:ascii="仿宋" w:hAnsi="仿宋" w:eastAsia="仿宋" w:cs="仿宋"/>
          <w:sz w:val="24"/>
        </w:rPr>
      </w:pPr>
      <w:r>
        <w:rPr>
          <w:rFonts w:hint="eastAsia" w:ascii="仿宋" w:hAnsi="仿宋" w:eastAsia="仿宋" w:cs="仿宋"/>
          <w:sz w:val="24"/>
        </w:rPr>
        <w:t>13.21.11不同投标人的投标文件异常一致或者投标报价呈规律性差异；</w:t>
      </w:r>
    </w:p>
    <w:p>
      <w:pPr>
        <w:spacing w:line="360" w:lineRule="auto"/>
        <w:ind w:firstLine="480" w:firstLineChars="200"/>
        <w:rPr>
          <w:rFonts w:ascii="仿宋" w:hAnsi="仿宋" w:eastAsia="仿宋" w:cs="仿宋"/>
          <w:sz w:val="24"/>
        </w:rPr>
      </w:pPr>
      <w:r>
        <w:rPr>
          <w:rFonts w:hint="eastAsia" w:ascii="仿宋" w:hAnsi="仿宋" w:eastAsia="仿宋" w:cs="仿宋"/>
          <w:sz w:val="24"/>
        </w:rPr>
        <w:t>13.21.12不同投标人的投标文件相互混装；</w:t>
      </w:r>
    </w:p>
    <w:p>
      <w:pPr>
        <w:spacing w:line="360" w:lineRule="auto"/>
        <w:ind w:firstLine="480" w:firstLineChars="200"/>
        <w:rPr>
          <w:rFonts w:ascii="仿宋" w:hAnsi="仿宋" w:eastAsia="仿宋" w:cs="仿宋"/>
          <w:sz w:val="24"/>
        </w:rPr>
      </w:pPr>
      <w:r>
        <w:rPr>
          <w:rFonts w:hint="eastAsia" w:ascii="仿宋" w:hAnsi="仿宋" w:eastAsia="仿宋" w:cs="仿宋"/>
          <w:sz w:val="24"/>
        </w:rPr>
        <w:t>13.22法律、法规、规章（适用本市的）及省级以上规范性文件（适用本市的）规定的其他无效情形。</w:t>
      </w:r>
    </w:p>
    <w:p>
      <w:pPr>
        <w:spacing w:line="360" w:lineRule="auto"/>
        <w:ind w:firstLine="480" w:firstLineChars="200"/>
        <w:rPr>
          <w:rFonts w:ascii="仿宋" w:hAnsi="仿宋" w:eastAsia="仿宋" w:cs="仿宋"/>
          <w:sz w:val="24"/>
        </w:rPr>
      </w:pPr>
      <w:r>
        <w:rPr>
          <w:rFonts w:hint="eastAsia" w:ascii="仿宋" w:hAnsi="仿宋" w:eastAsia="仿宋" w:cs="仿宋"/>
          <w:sz w:val="24"/>
        </w:rPr>
        <w:t>13.23根据法律、法规或招标文件要求，评标委员会认为应当作无效投标的其他情况。</w:t>
      </w:r>
    </w:p>
    <w:p>
      <w:pPr>
        <w:spacing w:line="360" w:lineRule="auto"/>
        <w:ind w:firstLine="240" w:firstLineChars="100"/>
        <w:rPr>
          <w:rFonts w:ascii="仿宋" w:hAnsi="仿宋" w:eastAsia="仿宋" w:cs="仿宋"/>
          <w:sz w:val="24"/>
          <w:szCs w:val="21"/>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 xml:space="preserve">五、评标报告 </w:t>
      </w:r>
    </w:p>
    <w:p>
      <w:pPr>
        <w:pStyle w:val="217"/>
        <w:spacing w:before="0"/>
        <w:ind w:firstLine="0" w:firstLineChars="0"/>
        <w:rPr>
          <w:rFonts w:ascii="仿宋" w:hAnsi="仿宋" w:eastAsia="仿宋" w:cs="仿宋"/>
          <w:szCs w:val="24"/>
        </w:rPr>
      </w:pPr>
      <w:r>
        <w:rPr>
          <w:rFonts w:hint="eastAsia" w:ascii="仿宋" w:hAnsi="仿宋" w:eastAsia="仿宋" w:cs="仿宋"/>
          <w:b/>
          <w:szCs w:val="24"/>
        </w:rPr>
        <w:t>14. 评标报告与推荐中标候选人。</w:t>
      </w:r>
      <w:r>
        <w:rPr>
          <w:rFonts w:hint="eastAsia" w:ascii="仿宋" w:hAnsi="仿宋" w:eastAsia="仿宋" w:cs="仿宋"/>
          <w:szCs w:val="24"/>
        </w:rPr>
        <w:t>评标委员会根据全体评标成员签字的原始评标记录和评标结果编写评标报告，并推荐中标候选人，评审报告由评标委员会成员签字确认提交。</w:t>
      </w:r>
    </w:p>
    <w:p>
      <w:pPr>
        <w:widowControl/>
        <w:adjustRightInd/>
        <w:spacing w:before="100" w:beforeAutospacing="1" w:after="100" w:afterAutospacing="1" w:line="360" w:lineRule="auto"/>
        <w:jc w:val="left"/>
        <w:rPr>
          <w:rFonts w:ascii="仿宋" w:hAnsi="仿宋" w:eastAsia="仿宋" w:cs="仿宋"/>
          <w:kern w:val="0"/>
          <w:sz w:val="24"/>
        </w:rPr>
      </w:pPr>
      <w:r>
        <w:rPr>
          <w:rFonts w:hint="eastAsia" w:ascii="仿宋" w:hAnsi="仿宋" w:eastAsia="仿宋" w:cs="仿宋"/>
          <w:b/>
          <w:sz w:val="24"/>
        </w:rPr>
        <w:t>15. 评标争议事项处理。</w:t>
      </w:r>
      <w:r>
        <w:rPr>
          <w:rFonts w:hint="eastAsia" w:ascii="仿宋" w:hAnsi="仿宋" w:eastAsia="仿宋" w:cs="仿宋"/>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center"/>
        <w:rPr>
          <w:rFonts w:ascii="仿宋" w:hAnsi="仿宋" w:eastAsia="仿宋" w:cs="仿宋"/>
          <w:b/>
          <w:sz w:val="32"/>
        </w:rPr>
      </w:pPr>
      <w:r>
        <w:rPr>
          <w:rFonts w:hint="eastAsia" w:ascii="仿宋" w:hAnsi="仿宋" w:eastAsia="仿宋" w:cs="仿宋"/>
          <w:b/>
          <w:sz w:val="32"/>
        </w:rPr>
        <w:t>六、 废标</w:t>
      </w:r>
    </w:p>
    <w:p>
      <w:pPr>
        <w:pStyle w:val="24"/>
        <w:snapToGrid w:val="0"/>
        <w:spacing w:line="360" w:lineRule="auto"/>
        <w:ind w:firstLine="0" w:firstLineChars="0"/>
        <w:rPr>
          <w:rFonts w:ascii="仿宋" w:hAnsi="仿宋" w:eastAsia="仿宋" w:cs="仿宋"/>
        </w:rPr>
      </w:pPr>
      <w:r>
        <w:rPr>
          <w:rFonts w:hint="eastAsia" w:ascii="仿宋" w:hAnsi="仿宋" w:eastAsia="仿宋" w:cs="仿宋"/>
          <w:b/>
        </w:rPr>
        <w:t>16.废标。</w:t>
      </w:r>
      <w:r>
        <w:rPr>
          <w:rFonts w:hint="eastAsia" w:ascii="仿宋" w:hAnsi="仿宋" w:eastAsia="仿宋" w:cs="仿宋"/>
        </w:rPr>
        <w:t>根据《中华人民共和国政府采购法》第三十六条之规定，在采购中，出现下列情形之一的，应予废标：</w:t>
      </w:r>
    </w:p>
    <w:p>
      <w:pPr>
        <w:pStyle w:val="24"/>
        <w:snapToGrid w:val="0"/>
        <w:spacing w:line="360" w:lineRule="auto"/>
        <w:rPr>
          <w:rFonts w:ascii="仿宋" w:hAnsi="仿宋" w:eastAsia="仿宋" w:cs="仿宋"/>
        </w:rPr>
      </w:pPr>
      <w:r>
        <w:rPr>
          <w:rFonts w:hint="eastAsia" w:ascii="仿宋" w:hAnsi="仿宋" w:eastAsia="仿宋" w:cs="仿宋"/>
        </w:rPr>
        <w:t>16.1符合专业条件的供应商或者对招标文件作实质响应的供应商不足3家的；</w:t>
      </w:r>
    </w:p>
    <w:p>
      <w:pPr>
        <w:pStyle w:val="24"/>
        <w:snapToGrid w:val="0"/>
        <w:spacing w:line="360" w:lineRule="auto"/>
        <w:rPr>
          <w:rFonts w:ascii="仿宋" w:hAnsi="仿宋" w:eastAsia="仿宋" w:cs="仿宋"/>
        </w:rPr>
      </w:pPr>
      <w:r>
        <w:rPr>
          <w:rFonts w:hint="eastAsia" w:ascii="仿宋" w:hAnsi="仿宋" w:eastAsia="仿宋" w:cs="仿宋"/>
        </w:rPr>
        <w:t>16.2出现影响采购公正的违法、违规行为的；</w:t>
      </w:r>
    </w:p>
    <w:p>
      <w:pPr>
        <w:pStyle w:val="24"/>
        <w:snapToGrid w:val="0"/>
        <w:spacing w:line="360" w:lineRule="auto"/>
        <w:rPr>
          <w:rFonts w:ascii="仿宋" w:hAnsi="仿宋" w:eastAsia="仿宋" w:cs="仿宋"/>
        </w:rPr>
      </w:pPr>
      <w:r>
        <w:rPr>
          <w:rFonts w:hint="eastAsia" w:ascii="仿宋" w:hAnsi="仿宋" w:eastAsia="仿宋" w:cs="仿宋"/>
        </w:rPr>
        <w:t>16.3投标人的报价均超过了采购预算，采购人不能支付的；</w:t>
      </w:r>
    </w:p>
    <w:p>
      <w:pPr>
        <w:pStyle w:val="24"/>
        <w:snapToGrid w:val="0"/>
        <w:spacing w:line="360" w:lineRule="auto"/>
        <w:rPr>
          <w:rFonts w:ascii="仿宋" w:hAnsi="仿宋" w:eastAsia="仿宋" w:cs="仿宋"/>
        </w:rPr>
      </w:pPr>
      <w:r>
        <w:rPr>
          <w:rFonts w:hint="eastAsia" w:ascii="仿宋" w:hAnsi="仿宋" w:eastAsia="仿宋" w:cs="仿宋"/>
        </w:rPr>
        <w:t>16.4因重大变故，采购任务取消的。</w:t>
      </w:r>
    </w:p>
    <w:p>
      <w:pPr>
        <w:pStyle w:val="24"/>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 重新组织采购</w:t>
      </w:r>
    </w:p>
    <w:p>
      <w:pPr>
        <w:pStyle w:val="24"/>
        <w:snapToGrid w:val="0"/>
        <w:spacing w:line="360" w:lineRule="auto"/>
        <w:ind w:firstLine="482"/>
        <w:rPr>
          <w:rFonts w:ascii="仿宋" w:hAnsi="仿宋" w:eastAsia="仿宋" w:cs="仿宋"/>
        </w:rPr>
      </w:pPr>
      <w:r>
        <w:rPr>
          <w:rFonts w:hint="eastAsia" w:ascii="仿宋" w:hAnsi="仿宋" w:eastAsia="仿宋" w:cs="仿宋"/>
          <w:b/>
        </w:rPr>
        <w:t>17.修改招标文件，重新组织采购活动。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ascii="仿宋" w:hAnsi="仿宋" w:eastAsia="仿宋" w:cs="仿宋"/>
        </w:rPr>
      </w:pPr>
      <w:r>
        <w:rPr>
          <w:rFonts w:hint="eastAsia" w:ascii="仿宋" w:hAnsi="仿宋" w:eastAsia="仿宋" w:cs="仿宋"/>
          <w:b/>
          <w:kern w:val="0"/>
        </w:rPr>
        <w:t>18.重新开展采购。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4"/>
        <w:snapToGrid w:val="0"/>
        <w:spacing w:line="360" w:lineRule="auto"/>
        <w:rPr>
          <w:rFonts w:ascii="仿宋" w:hAnsi="仿宋" w:eastAsia="仿宋" w:cs="仿宋"/>
        </w:rPr>
      </w:pPr>
      <w:r>
        <w:rPr>
          <w:rFonts w:hint="eastAsia" w:ascii="仿宋" w:hAnsi="仿宋" w:eastAsia="仿宋" w:cs="仿宋"/>
        </w:rPr>
        <w:t>18.1未确定中标或者成交供应商的，终止本次政府采购活动，重新开展政府采购活动。</w:t>
      </w:r>
    </w:p>
    <w:p>
      <w:pPr>
        <w:pStyle w:val="24"/>
        <w:snapToGrid w:val="0"/>
        <w:spacing w:line="360" w:lineRule="auto"/>
        <w:rPr>
          <w:rFonts w:ascii="仿宋" w:hAnsi="仿宋" w:eastAsia="仿宋" w:cs="仿宋"/>
        </w:rPr>
      </w:pPr>
      <w:r>
        <w:rPr>
          <w:rFonts w:hint="eastAsia" w:ascii="仿宋" w:hAnsi="仿宋" w:eastAsia="仿宋" w:cs="仿宋"/>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24"/>
        <w:snapToGrid w:val="0"/>
        <w:spacing w:line="360" w:lineRule="auto"/>
        <w:rPr>
          <w:rFonts w:ascii="仿宋" w:hAnsi="仿宋" w:eastAsia="仿宋" w:cs="仿宋"/>
        </w:rPr>
      </w:pPr>
      <w:r>
        <w:rPr>
          <w:rFonts w:hint="eastAsia" w:ascii="仿宋" w:hAnsi="仿宋" w:eastAsia="仿宋" w:cs="仿宋"/>
        </w:rPr>
        <w:t>18.3政府采购合同已签订但尚未履行的，撤销合同，从合格的中标或者成交候选人中另行确定中标或者成交供应商；没有合格的中标或者成交候选人的，重新开展政府采购活动。</w:t>
      </w:r>
    </w:p>
    <w:p>
      <w:pPr>
        <w:pStyle w:val="24"/>
        <w:snapToGrid w:val="0"/>
        <w:spacing w:line="360" w:lineRule="auto"/>
        <w:rPr>
          <w:rFonts w:ascii="仿宋" w:hAnsi="仿宋" w:eastAsia="仿宋" w:cs="仿宋"/>
        </w:rPr>
      </w:pPr>
      <w:r>
        <w:rPr>
          <w:rFonts w:hint="eastAsia" w:ascii="仿宋" w:hAnsi="仿宋" w:eastAsia="仿宋" w:cs="仿宋"/>
        </w:rPr>
        <w:t>18.4政府采购合同已经履行，给采购人、供应商造成损失的，由责任人承担赔偿责任。</w:t>
      </w:r>
    </w:p>
    <w:p>
      <w:pPr>
        <w:pStyle w:val="24"/>
        <w:snapToGrid w:val="0"/>
        <w:spacing w:line="360" w:lineRule="auto"/>
        <w:rPr>
          <w:rFonts w:ascii="仿宋" w:hAnsi="仿宋" w:eastAsia="仿宋" w:cs="仿宋"/>
        </w:rPr>
      </w:pPr>
      <w:r>
        <w:rPr>
          <w:rFonts w:hint="eastAsia" w:ascii="仿宋" w:hAnsi="仿宋" w:eastAsia="仿宋" w:cs="仿宋"/>
        </w:rPr>
        <w:t>18.5政府采购当事人有其他违反政府采购法或者本条例规定的行为，经改正后仍然影响或者可能影响中标、成交结果或者依法被认定为中标、成交无效的，依照18.1-18.4规定处理。</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八、评审过程的保密与录像</w:t>
      </w:r>
    </w:p>
    <w:p>
      <w:pPr>
        <w:widowControl/>
        <w:spacing w:line="360" w:lineRule="auto"/>
        <w:ind w:firstLine="482" w:firstLineChars="200"/>
        <w:rPr>
          <w:rFonts w:ascii="仿宋" w:hAnsi="仿宋" w:eastAsia="仿宋" w:cs="仿宋"/>
          <w:sz w:val="24"/>
        </w:rPr>
      </w:pPr>
      <w:r>
        <w:rPr>
          <w:rFonts w:hint="eastAsia" w:ascii="仿宋" w:hAnsi="仿宋" w:eastAsia="仿宋" w:cs="仿宋"/>
          <w:b/>
          <w:sz w:val="24"/>
        </w:rPr>
        <w:t>19.保密。</w:t>
      </w:r>
      <w:r>
        <w:rPr>
          <w:rFonts w:hint="eastAsia" w:ascii="仿宋" w:hAnsi="仿宋" w:eastAsia="仿宋" w:cs="仿宋"/>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ascii="仿宋" w:hAnsi="仿宋" w:eastAsia="仿宋" w:cs="仿宋"/>
          <w:sz w:val="24"/>
        </w:rPr>
      </w:pPr>
      <w:r>
        <w:rPr>
          <w:rFonts w:hint="eastAsia" w:ascii="仿宋" w:hAnsi="仿宋" w:eastAsia="仿宋" w:cs="仿宋"/>
          <w:b/>
          <w:sz w:val="24"/>
        </w:rPr>
        <w:t>20.录音录像。</w:t>
      </w:r>
      <w:r>
        <w:rPr>
          <w:rFonts w:hint="eastAsia" w:ascii="仿宋" w:hAnsi="仿宋" w:eastAsia="仿宋" w:cs="仿宋"/>
          <w:sz w:val="24"/>
        </w:rPr>
        <w:t>采购机构对评审工作现场进行全过程录音录像，录音录像资料作为采购项目文件随其他文件一并存档。</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br w:type="page"/>
      </w:r>
      <w:r>
        <w:rPr>
          <w:rFonts w:hint="eastAsia" w:ascii="仿宋" w:hAnsi="仿宋" w:eastAsia="仿宋" w:cs="仿宋"/>
          <w:b/>
          <w:sz w:val="32"/>
        </w:rPr>
        <w:t>九、具体评标标准</w:t>
      </w:r>
    </w:p>
    <w:p>
      <w:pPr>
        <w:widowControl/>
        <w:spacing w:line="360" w:lineRule="auto"/>
        <w:ind w:firstLine="480" w:firstLineChars="200"/>
        <w:rPr>
          <w:rFonts w:ascii="仿宋" w:hAnsi="仿宋" w:eastAsia="仿宋" w:cs="仿宋"/>
          <w:sz w:val="24"/>
        </w:rPr>
      </w:pPr>
      <w:bookmarkStart w:id="429" w:name="gxebd_pack_1_EvalFactorAccordEnd"/>
      <w:bookmarkEnd w:id="429"/>
      <w:r>
        <w:rPr>
          <w:rFonts w:hint="eastAsia" w:ascii="仿宋" w:hAnsi="仿宋" w:eastAsia="仿宋" w:cs="仿宋"/>
          <w:sz w:val="24"/>
        </w:rPr>
        <w:t>21.商务技术部分（70分）</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1、商务资信（20分）</w:t>
      </w:r>
    </w:p>
    <w:tbl>
      <w:tblPr>
        <w:tblStyle w:val="61"/>
        <w:tblW w:w="9063" w:type="dxa"/>
        <w:jc w:val="center"/>
        <w:tblLayout w:type="autofit"/>
        <w:tblCellMar>
          <w:top w:w="0" w:type="dxa"/>
          <w:left w:w="108" w:type="dxa"/>
          <w:bottom w:w="0" w:type="dxa"/>
          <w:right w:w="108" w:type="dxa"/>
        </w:tblCellMar>
      </w:tblPr>
      <w:tblGrid>
        <w:gridCol w:w="753"/>
        <w:gridCol w:w="483"/>
        <w:gridCol w:w="6050"/>
        <w:gridCol w:w="750"/>
        <w:gridCol w:w="1027"/>
      </w:tblGrid>
      <w:tr>
        <w:tblPrEx>
          <w:tblCellMar>
            <w:top w:w="0" w:type="dxa"/>
            <w:left w:w="108" w:type="dxa"/>
            <w:bottom w:w="0" w:type="dxa"/>
            <w:right w:w="108" w:type="dxa"/>
          </w:tblCellMar>
        </w:tblPrEx>
        <w:trPr>
          <w:trHeight w:val="90" w:hRule="atLeast"/>
          <w:jc w:val="center"/>
        </w:trPr>
        <w:tc>
          <w:tcPr>
            <w:tcW w:w="753"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序号</w:t>
            </w:r>
          </w:p>
        </w:tc>
        <w:tc>
          <w:tcPr>
            <w:tcW w:w="6533"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评分内容和标准</w:t>
            </w:r>
          </w:p>
        </w:tc>
        <w:tc>
          <w:tcPr>
            <w:tcW w:w="75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分值区间</w:t>
            </w:r>
          </w:p>
        </w:tc>
        <w:tc>
          <w:tcPr>
            <w:tcW w:w="1027" w:type="dxa"/>
            <w:tcBorders>
              <w:top w:val="single" w:color="auto" w:sz="8" w:space="0"/>
              <w:left w:val="nil"/>
              <w:bottom w:val="single" w:color="auto" w:sz="4" w:space="0"/>
              <w:right w:val="single" w:color="auto" w:sz="4" w:space="0"/>
            </w:tcBorders>
            <w:vAlign w:val="center"/>
          </w:tcPr>
          <w:p>
            <w:pPr>
              <w:widowControl/>
              <w:jc w:val="center"/>
              <w:rPr>
                <w:rFonts w:ascii="仿宋" w:hAnsi="仿宋" w:eastAsia="仿宋" w:cs="仿宋_GB2312"/>
                <w:sz w:val="24"/>
              </w:rPr>
            </w:pPr>
            <w:r>
              <w:rPr>
                <w:rFonts w:hint="eastAsia" w:ascii="仿宋" w:hAnsi="仿宋" w:eastAsia="仿宋" w:cs="仿宋_GB2312"/>
                <w:sz w:val="24"/>
              </w:rPr>
              <w:t>主观/客观分</w:t>
            </w:r>
          </w:p>
        </w:tc>
      </w:tr>
      <w:tr>
        <w:tblPrEx>
          <w:tblCellMar>
            <w:top w:w="0" w:type="dxa"/>
            <w:left w:w="108" w:type="dxa"/>
            <w:bottom w:w="0" w:type="dxa"/>
            <w:right w:w="108" w:type="dxa"/>
          </w:tblCellMar>
        </w:tblPrEx>
        <w:trPr>
          <w:trHeight w:val="90" w:hRule="atLeast"/>
          <w:jc w:val="center"/>
        </w:trPr>
        <w:tc>
          <w:tcPr>
            <w:tcW w:w="753" w:type="dxa"/>
            <w:vMerge w:val="restart"/>
            <w:tcBorders>
              <w:top w:val="nil"/>
              <w:left w:val="single" w:color="auto" w:sz="4" w:space="0"/>
              <w:right w:val="single" w:color="auto" w:sz="4" w:space="0"/>
            </w:tcBorders>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商务资信分（20分）</w:t>
            </w:r>
          </w:p>
        </w:tc>
        <w:tc>
          <w:tcPr>
            <w:tcW w:w="4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1</w:t>
            </w:r>
          </w:p>
        </w:tc>
        <w:tc>
          <w:tcPr>
            <w:tcW w:w="605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根据投标人综合实力、履约能力等情况综合评定</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1-5</w:t>
            </w:r>
          </w:p>
        </w:tc>
        <w:tc>
          <w:tcPr>
            <w:tcW w:w="102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主观分</w:t>
            </w:r>
          </w:p>
        </w:tc>
      </w:tr>
      <w:tr>
        <w:tblPrEx>
          <w:tblCellMar>
            <w:top w:w="0" w:type="dxa"/>
            <w:left w:w="108" w:type="dxa"/>
            <w:bottom w:w="0" w:type="dxa"/>
            <w:right w:w="108" w:type="dxa"/>
          </w:tblCellMar>
        </w:tblPrEx>
        <w:trPr>
          <w:trHeight w:val="90" w:hRule="atLeast"/>
          <w:jc w:val="center"/>
        </w:trPr>
        <w:tc>
          <w:tcPr>
            <w:tcW w:w="753" w:type="dxa"/>
            <w:vMerge w:val="continue"/>
            <w:tcBorders>
              <w:left w:val="single" w:color="auto" w:sz="4" w:space="0"/>
              <w:right w:val="single" w:color="auto" w:sz="4" w:space="0"/>
            </w:tcBorders>
            <w:vAlign w:val="center"/>
          </w:tcPr>
          <w:p>
            <w:pPr>
              <w:widowControl/>
              <w:rPr>
                <w:rFonts w:ascii="仿宋" w:hAnsi="仿宋" w:eastAsia="仿宋" w:cs="仿宋_GB2312"/>
                <w:sz w:val="24"/>
              </w:rPr>
            </w:pPr>
          </w:p>
        </w:tc>
        <w:tc>
          <w:tcPr>
            <w:tcW w:w="4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2</w:t>
            </w:r>
          </w:p>
        </w:tc>
        <w:tc>
          <w:tcPr>
            <w:tcW w:w="605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投标人经营状况</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1-4</w:t>
            </w:r>
          </w:p>
        </w:tc>
        <w:tc>
          <w:tcPr>
            <w:tcW w:w="102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主观分</w:t>
            </w:r>
          </w:p>
        </w:tc>
      </w:tr>
      <w:tr>
        <w:tblPrEx>
          <w:tblCellMar>
            <w:top w:w="0" w:type="dxa"/>
            <w:left w:w="108" w:type="dxa"/>
            <w:bottom w:w="0" w:type="dxa"/>
            <w:right w:w="108" w:type="dxa"/>
          </w:tblCellMar>
        </w:tblPrEx>
        <w:trPr>
          <w:trHeight w:val="277" w:hRule="atLeast"/>
          <w:jc w:val="center"/>
        </w:trPr>
        <w:tc>
          <w:tcPr>
            <w:tcW w:w="753" w:type="dxa"/>
            <w:vMerge w:val="continue"/>
            <w:tcBorders>
              <w:left w:val="single" w:color="auto" w:sz="4" w:space="0"/>
              <w:right w:val="single" w:color="auto" w:sz="4" w:space="0"/>
            </w:tcBorders>
            <w:vAlign w:val="center"/>
          </w:tcPr>
          <w:p>
            <w:pPr>
              <w:widowControl/>
              <w:rPr>
                <w:rFonts w:ascii="仿宋" w:hAnsi="仿宋" w:eastAsia="仿宋" w:cs="仿宋_GB2312"/>
                <w:sz w:val="24"/>
              </w:rPr>
            </w:pPr>
          </w:p>
        </w:tc>
        <w:tc>
          <w:tcPr>
            <w:tcW w:w="4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3</w:t>
            </w:r>
          </w:p>
        </w:tc>
        <w:tc>
          <w:tcPr>
            <w:tcW w:w="605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投标货物优势</w:t>
            </w:r>
          </w:p>
          <w:p>
            <w:pPr>
              <w:widowControl/>
              <w:rPr>
                <w:rFonts w:ascii="仿宋" w:hAnsi="仿宋" w:eastAsia="仿宋" w:cs="仿宋_GB2312"/>
                <w:sz w:val="24"/>
              </w:rPr>
            </w:pPr>
            <w:r>
              <w:rPr>
                <w:rFonts w:hint="eastAsia" w:ascii="仿宋" w:hAnsi="仿宋" w:eastAsia="仿宋" w:cs="仿宋_GB2312"/>
                <w:sz w:val="24"/>
              </w:rPr>
              <w:t>主要产品列入财政部公布的《关于印发节能产品政府采购品目清单的通知》的优先采购品目的（非★强制采购类目），得1分。</w:t>
            </w:r>
          </w:p>
          <w:p>
            <w:pPr>
              <w:widowControl/>
              <w:rPr>
                <w:rFonts w:ascii="仿宋" w:hAnsi="仿宋" w:eastAsia="仿宋" w:cs="仿宋_GB2312"/>
                <w:sz w:val="24"/>
              </w:rPr>
            </w:pPr>
            <w:r>
              <w:rPr>
                <w:rFonts w:hint="eastAsia" w:ascii="仿宋" w:hAnsi="仿宋" w:eastAsia="仿宋" w:cs="仿宋_GB2312"/>
                <w:sz w:val="24"/>
              </w:rPr>
              <w:t>（提供上述文件清单及国家确定的认证机构出具的、处于有效期之内的节能产品认证证书，每个主要产品得1分，没有证书不得分）</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0-1</w:t>
            </w:r>
          </w:p>
        </w:tc>
        <w:tc>
          <w:tcPr>
            <w:tcW w:w="102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客观分</w:t>
            </w:r>
          </w:p>
        </w:tc>
      </w:tr>
      <w:tr>
        <w:tblPrEx>
          <w:tblCellMar>
            <w:top w:w="0" w:type="dxa"/>
            <w:left w:w="108" w:type="dxa"/>
            <w:bottom w:w="0" w:type="dxa"/>
            <w:right w:w="108" w:type="dxa"/>
          </w:tblCellMar>
        </w:tblPrEx>
        <w:trPr>
          <w:trHeight w:val="90" w:hRule="atLeast"/>
          <w:jc w:val="center"/>
        </w:trPr>
        <w:tc>
          <w:tcPr>
            <w:tcW w:w="753" w:type="dxa"/>
            <w:vMerge w:val="continue"/>
            <w:tcBorders>
              <w:left w:val="single" w:color="auto" w:sz="4" w:space="0"/>
              <w:right w:val="single" w:color="auto" w:sz="4" w:space="0"/>
            </w:tcBorders>
            <w:vAlign w:val="center"/>
          </w:tcPr>
          <w:p>
            <w:pPr>
              <w:widowControl/>
              <w:rPr>
                <w:rFonts w:ascii="仿宋" w:hAnsi="仿宋" w:eastAsia="仿宋" w:cs="仿宋_GB2312"/>
                <w:sz w:val="24"/>
              </w:rPr>
            </w:pPr>
          </w:p>
        </w:tc>
        <w:tc>
          <w:tcPr>
            <w:tcW w:w="483"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4</w:t>
            </w:r>
          </w:p>
        </w:tc>
        <w:tc>
          <w:tcPr>
            <w:tcW w:w="605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投标货物优势</w:t>
            </w:r>
          </w:p>
          <w:p>
            <w:pPr>
              <w:widowControl/>
              <w:rPr>
                <w:rFonts w:ascii="仿宋" w:hAnsi="仿宋" w:eastAsia="仿宋" w:cs="仿宋_GB2312"/>
                <w:sz w:val="24"/>
              </w:rPr>
            </w:pPr>
            <w:r>
              <w:rPr>
                <w:rFonts w:hint="eastAsia" w:ascii="仿宋" w:hAnsi="仿宋" w:eastAsia="仿宋" w:cs="仿宋_GB2312"/>
                <w:sz w:val="24"/>
              </w:rPr>
              <w:t>主要产品列入财政部公布的《关于印发环境标志产品政府采购品目清单的通知》的，得1分。</w:t>
            </w:r>
            <w:r>
              <w:rPr>
                <w:rFonts w:hint="eastAsia" w:ascii="仿宋" w:hAnsi="仿宋" w:eastAsia="仿宋" w:cs="仿宋_GB2312"/>
                <w:sz w:val="24"/>
              </w:rPr>
              <w:br w:type="textWrapping"/>
            </w:r>
            <w:r>
              <w:rPr>
                <w:rFonts w:hint="eastAsia" w:ascii="仿宋" w:hAnsi="仿宋" w:eastAsia="仿宋" w:cs="仿宋_GB2312"/>
                <w:sz w:val="24"/>
              </w:rPr>
              <w:t>（提供上述文件清单及国家确定的认证机构出具的、处于有效期之内的环境标准产品认证证书，每个主要产品得1分，没有证书不得分）</w:t>
            </w:r>
          </w:p>
        </w:tc>
        <w:tc>
          <w:tcPr>
            <w:tcW w:w="7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0-1</w:t>
            </w:r>
          </w:p>
        </w:tc>
        <w:tc>
          <w:tcPr>
            <w:tcW w:w="102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客观分</w:t>
            </w:r>
          </w:p>
        </w:tc>
      </w:tr>
      <w:tr>
        <w:tblPrEx>
          <w:tblCellMar>
            <w:top w:w="0" w:type="dxa"/>
            <w:left w:w="108" w:type="dxa"/>
            <w:bottom w:w="0" w:type="dxa"/>
            <w:right w:w="108" w:type="dxa"/>
          </w:tblCellMar>
        </w:tblPrEx>
        <w:trPr>
          <w:trHeight w:val="924" w:hRule="atLeast"/>
          <w:jc w:val="center"/>
        </w:trPr>
        <w:tc>
          <w:tcPr>
            <w:tcW w:w="753" w:type="dxa"/>
            <w:vMerge w:val="continue"/>
            <w:tcBorders>
              <w:left w:val="single" w:color="auto" w:sz="4" w:space="0"/>
              <w:bottom w:val="single" w:color="000000" w:sz="8" w:space="0"/>
              <w:right w:val="single" w:color="auto" w:sz="4" w:space="0"/>
            </w:tcBorders>
            <w:vAlign w:val="center"/>
          </w:tcPr>
          <w:p>
            <w:pPr>
              <w:widowControl/>
              <w:rPr>
                <w:rFonts w:ascii="仿宋" w:hAnsi="仿宋" w:eastAsia="仿宋" w:cs="仿宋_GB2312"/>
                <w:sz w:val="24"/>
              </w:rPr>
            </w:pPr>
          </w:p>
        </w:tc>
        <w:tc>
          <w:tcPr>
            <w:tcW w:w="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5</w:t>
            </w:r>
          </w:p>
        </w:tc>
        <w:tc>
          <w:tcPr>
            <w:tcW w:w="6050" w:type="dxa"/>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杀毒软件：具有近两年国内市场份额排名前三的第三方权威机构证明的得1分。</w:t>
            </w:r>
          </w:p>
          <w:p>
            <w:pPr>
              <w:widowControl/>
              <w:rPr>
                <w:rFonts w:ascii="仿宋" w:hAnsi="仿宋" w:eastAsia="仿宋" w:cs="仿宋_GB2312"/>
                <w:sz w:val="24"/>
              </w:rPr>
            </w:pPr>
            <w:r>
              <w:rPr>
                <w:rFonts w:hint="eastAsia" w:ascii="仿宋" w:hAnsi="仿宋" w:eastAsia="仿宋" w:cs="仿宋_GB2312"/>
                <w:sz w:val="24"/>
              </w:rPr>
              <w:t>日志审计、上网行为：具有信息技术产品安全测评证书（EAL3+）的各得1分。</w:t>
            </w:r>
            <w:r>
              <w:rPr>
                <w:rFonts w:hint="eastAsia" w:ascii="仿宋" w:hAnsi="仿宋" w:eastAsia="仿宋" w:cs="仿宋_GB2312"/>
                <w:sz w:val="24"/>
              </w:rPr>
              <w:br w:type="textWrapping"/>
            </w:r>
            <w:r>
              <w:rPr>
                <w:rFonts w:hint="eastAsia" w:ascii="仿宋" w:hAnsi="仿宋" w:eastAsia="仿宋" w:cs="仿宋_GB2312"/>
                <w:sz w:val="24"/>
              </w:rPr>
              <w:t>防火墙、网闸：具有信息技术产品安全测评证书（EAL4+）的各得2分。</w:t>
            </w:r>
          </w:p>
          <w:p>
            <w:pPr>
              <w:widowControl/>
              <w:rPr>
                <w:rFonts w:ascii="仿宋" w:hAnsi="仿宋" w:eastAsia="仿宋" w:cs="仿宋_GB2312"/>
                <w:sz w:val="24"/>
              </w:rPr>
            </w:pPr>
            <w:r>
              <w:rPr>
                <w:rFonts w:hint="eastAsia" w:ascii="仿宋" w:hAnsi="仿宋" w:eastAsia="仿宋" w:cs="仿宋_GB2312"/>
                <w:sz w:val="24"/>
              </w:rPr>
              <w:t>杀毒软件、网闸：具备全球IPv6测试中颁布的《IPv6 Ready证书》的各得1分。</w:t>
            </w:r>
          </w:p>
        </w:tc>
        <w:tc>
          <w:tcPr>
            <w:tcW w:w="750" w:type="dxa"/>
            <w:tcBorders>
              <w:top w:val="nil"/>
              <w:left w:val="nil"/>
              <w:bottom w:val="single" w:color="auto" w:sz="8" w:space="0"/>
              <w:right w:val="single" w:color="auto" w:sz="4" w:space="0"/>
            </w:tcBorders>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0-9</w:t>
            </w:r>
          </w:p>
        </w:tc>
        <w:tc>
          <w:tcPr>
            <w:tcW w:w="1027" w:type="dxa"/>
            <w:tcBorders>
              <w:top w:val="nil"/>
              <w:left w:val="nil"/>
              <w:bottom w:val="single" w:color="auto" w:sz="8" w:space="0"/>
              <w:right w:val="single" w:color="auto" w:sz="4" w:space="0"/>
            </w:tcBorders>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客观分</w:t>
            </w:r>
          </w:p>
        </w:tc>
      </w:tr>
    </w:tbl>
    <w:p>
      <w:pPr>
        <w:widowControl/>
        <w:spacing w:line="360" w:lineRule="auto"/>
        <w:ind w:firstLine="480" w:firstLineChars="200"/>
        <w:rPr>
          <w:rFonts w:ascii="仿宋" w:hAnsi="仿宋" w:eastAsia="仿宋" w:cs="仿宋"/>
          <w:sz w:val="24"/>
        </w:rPr>
      </w:pP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2、技术部分（50分）</w:t>
      </w:r>
    </w:p>
    <w:tbl>
      <w:tblPr>
        <w:tblStyle w:val="61"/>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83"/>
        <w:gridCol w:w="2278"/>
        <w:gridCol w:w="3772"/>
        <w:gridCol w:w="750"/>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序号</w:t>
            </w:r>
          </w:p>
        </w:tc>
        <w:tc>
          <w:tcPr>
            <w:tcW w:w="2761" w:type="dxa"/>
            <w:gridSpan w:val="2"/>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评分内容和标准</w:t>
            </w:r>
          </w:p>
        </w:tc>
        <w:tc>
          <w:tcPr>
            <w:tcW w:w="3772"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具体描述</w:t>
            </w:r>
          </w:p>
        </w:tc>
        <w:tc>
          <w:tcPr>
            <w:tcW w:w="750"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分值区间</w:t>
            </w:r>
          </w:p>
        </w:tc>
        <w:tc>
          <w:tcPr>
            <w:tcW w:w="1040"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65" w:type="dxa"/>
            <w:vMerge w:val="restart"/>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技术分（50分）</w:t>
            </w:r>
          </w:p>
        </w:tc>
        <w:tc>
          <w:tcPr>
            <w:tcW w:w="483"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1</w:t>
            </w:r>
          </w:p>
        </w:tc>
        <w:tc>
          <w:tcPr>
            <w:tcW w:w="2278" w:type="dxa"/>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投标方案的合理性、科学性、全面性（根据对投标项目的理解程度、总体设计、组织实施、独到优势等情况综合评定）</w:t>
            </w:r>
          </w:p>
        </w:tc>
        <w:tc>
          <w:tcPr>
            <w:tcW w:w="3772" w:type="dxa"/>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项目组织和实施能力的整体评价：项目组织和实施能力的整体方案和措施是否合理、完善，是否满足服务进度要求等情况综合评定</w:t>
            </w:r>
          </w:p>
        </w:tc>
        <w:tc>
          <w:tcPr>
            <w:tcW w:w="750"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0-5</w:t>
            </w:r>
          </w:p>
        </w:tc>
        <w:tc>
          <w:tcPr>
            <w:tcW w:w="1040"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5" w:type="dxa"/>
            <w:vMerge w:val="continue"/>
            <w:vAlign w:val="center"/>
          </w:tcPr>
          <w:p>
            <w:pPr>
              <w:widowControl/>
              <w:rPr>
                <w:rFonts w:ascii="仿宋" w:hAnsi="仿宋" w:eastAsia="仿宋" w:cs="仿宋_GB2312"/>
                <w:sz w:val="24"/>
              </w:rPr>
            </w:pPr>
          </w:p>
        </w:tc>
        <w:tc>
          <w:tcPr>
            <w:tcW w:w="483"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2</w:t>
            </w:r>
          </w:p>
        </w:tc>
        <w:tc>
          <w:tcPr>
            <w:tcW w:w="2278" w:type="dxa"/>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投标方案中提供或使用主要设备的优劣（综合评定）</w:t>
            </w:r>
          </w:p>
        </w:tc>
        <w:tc>
          <w:tcPr>
            <w:tcW w:w="3772" w:type="dxa"/>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技术需求全部满足招标文件要求的得35分。</w:t>
            </w:r>
          </w:p>
          <w:p>
            <w:pPr>
              <w:widowControl/>
              <w:rPr>
                <w:rFonts w:ascii="仿宋" w:hAnsi="仿宋" w:eastAsia="仿宋" w:cs="仿宋_GB2312"/>
                <w:sz w:val="24"/>
              </w:rPr>
            </w:pPr>
            <w:r>
              <w:rPr>
                <w:rFonts w:hint="eastAsia" w:ascii="仿宋" w:hAnsi="仿宋" w:eastAsia="仿宋" w:cs="仿宋_GB2312"/>
                <w:sz w:val="24"/>
              </w:rPr>
              <w:t>打“</w:t>
            </w:r>
            <w:r>
              <w:rPr>
                <w:rFonts w:hint="eastAsia" w:ascii="仿宋" w:hAnsi="仿宋" w:eastAsia="仿宋" w:cs="仿宋_GB2312"/>
                <w:sz w:val="24"/>
                <w:lang w:val="it-IT"/>
              </w:rPr>
              <w:t>■</w:t>
            </w:r>
            <w:r>
              <w:rPr>
                <w:rFonts w:hint="eastAsia" w:ascii="仿宋" w:hAnsi="仿宋" w:eastAsia="仿宋" w:cs="仿宋_GB2312"/>
                <w:sz w:val="24"/>
              </w:rPr>
              <w:t>”的技术需求不满足招标文件要求的，每一项扣减1分,扣完为止。本项最高得35，最低得0分。</w:t>
            </w:r>
          </w:p>
        </w:tc>
        <w:tc>
          <w:tcPr>
            <w:tcW w:w="750"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0-35　</w:t>
            </w:r>
          </w:p>
        </w:tc>
        <w:tc>
          <w:tcPr>
            <w:tcW w:w="1040"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5" w:type="dxa"/>
            <w:vMerge w:val="continue"/>
            <w:vAlign w:val="center"/>
          </w:tcPr>
          <w:p>
            <w:pPr>
              <w:widowControl/>
              <w:rPr>
                <w:rFonts w:ascii="仿宋" w:hAnsi="仿宋" w:eastAsia="仿宋" w:cs="仿宋_GB2312"/>
                <w:sz w:val="24"/>
              </w:rPr>
            </w:pPr>
          </w:p>
        </w:tc>
        <w:tc>
          <w:tcPr>
            <w:tcW w:w="483"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3</w:t>
            </w:r>
          </w:p>
        </w:tc>
        <w:tc>
          <w:tcPr>
            <w:tcW w:w="2278" w:type="dxa"/>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保证进度和项目完成的方案和措施等综合评定</w:t>
            </w:r>
          </w:p>
        </w:tc>
        <w:tc>
          <w:tcPr>
            <w:tcW w:w="3772" w:type="dxa"/>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产品的兼容性、可靠性：响应产品的兼容性、可靠性，结合响应产品的销售量、市场占有率、使用现况和用户反馈情况，功能是否达到采购人的实际需求</w:t>
            </w:r>
          </w:p>
        </w:tc>
        <w:tc>
          <w:tcPr>
            <w:tcW w:w="750"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0-2</w:t>
            </w:r>
          </w:p>
        </w:tc>
        <w:tc>
          <w:tcPr>
            <w:tcW w:w="1040"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Merge w:val="continue"/>
            <w:vAlign w:val="center"/>
          </w:tcPr>
          <w:p>
            <w:pPr>
              <w:widowControl/>
              <w:rPr>
                <w:rFonts w:ascii="仿宋" w:hAnsi="仿宋" w:eastAsia="仿宋" w:cs="仿宋_GB2312"/>
                <w:sz w:val="24"/>
              </w:rPr>
            </w:pPr>
          </w:p>
        </w:tc>
        <w:tc>
          <w:tcPr>
            <w:tcW w:w="483"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4</w:t>
            </w:r>
          </w:p>
        </w:tc>
        <w:tc>
          <w:tcPr>
            <w:tcW w:w="2278" w:type="dxa"/>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项目负责人及技术力量安排等</w:t>
            </w:r>
            <w:r>
              <w:rPr>
                <w:rFonts w:hint="eastAsia" w:ascii="仿宋" w:hAnsi="仿宋" w:eastAsia="仿宋" w:cs="仿宋_GB2312"/>
                <w:sz w:val="24"/>
              </w:rPr>
              <w:br w:type="textWrapping"/>
            </w:r>
            <w:r>
              <w:rPr>
                <w:rFonts w:hint="eastAsia" w:ascii="仿宋" w:hAnsi="仿宋" w:eastAsia="仿宋" w:cs="仿宋_GB2312"/>
                <w:sz w:val="24"/>
              </w:rPr>
              <w:t>（综合评定）</w:t>
            </w:r>
          </w:p>
        </w:tc>
        <w:tc>
          <w:tcPr>
            <w:tcW w:w="3772" w:type="dxa"/>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　</w:t>
            </w:r>
          </w:p>
        </w:tc>
        <w:tc>
          <w:tcPr>
            <w:tcW w:w="750"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0-2　</w:t>
            </w:r>
          </w:p>
        </w:tc>
        <w:tc>
          <w:tcPr>
            <w:tcW w:w="1040"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Merge w:val="continue"/>
            <w:vAlign w:val="center"/>
          </w:tcPr>
          <w:p>
            <w:pPr>
              <w:widowControl/>
              <w:rPr>
                <w:rFonts w:ascii="仿宋" w:hAnsi="仿宋" w:eastAsia="仿宋" w:cs="仿宋_GB2312"/>
                <w:sz w:val="24"/>
              </w:rPr>
            </w:pPr>
          </w:p>
        </w:tc>
        <w:tc>
          <w:tcPr>
            <w:tcW w:w="483"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5</w:t>
            </w:r>
          </w:p>
        </w:tc>
        <w:tc>
          <w:tcPr>
            <w:tcW w:w="2278" w:type="dxa"/>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对本项目的合理化建议（综合评定）</w:t>
            </w:r>
          </w:p>
        </w:tc>
        <w:tc>
          <w:tcPr>
            <w:tcW w:w="3772" w:type="dxa"/>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合理化建议、特殊承诺：提供针对本项目的连续数据保护及高可用的技术方案是否详细、合理、完善</w:t>
            </w:r>
          </w:p>
        </w:tc>
        <w:tc>
          <w:tcPr>
            <w:tcW w:w="750"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0-2</w:t>
            </w:r>
          </w:p>
        </w:tc>
        <w:tc>
          <w:tcPr>
            <w:tcW w:w="1040"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5" w:type="dxa"/>
            <w:vMerge w:val="continue"/>
            <w:vAlign w:val="center"/>
          </w:tcPr>
          <w:p>
            <w:pPr>
              <w:widowControl/>
              <w:rPr>
                <w:rFonts w:ascii="仿宋" w:hAnsi="仿宋" w:eastAsia="仿宋" w:cs="仿宋_GB2312"/>
                <w:sz w:val="24"/>
              </w:rPr>
            </w:pPr>
          </w:p>
        </w:tc>
        <w:tc>
          <w:tcPr>
            <w:tcW w:w="483"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6</w:t>
            </w:r>
          </w:p>
        </w:tc>
        <w:tc>
          <w:tcPr>
            <w:tcW w:w="2278" w:type="dxa"/>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服务质量保证情况（根据质保期限、可实现程度、提供优惠等情况综合评定）</w:t>
            </w:r>
          </w:p>
        </w:tc>
        <w:tc>
          <w:tcPr>
            <w:tcW w:w="3772" w:type="dxa"/>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　</w:t>
            </w:r>
          </w:p>
        </w:tc>
        <w:tc>
          <w:tcPr>
            <w:tcW w:w="750"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0-2　</w:t>
            </w:r>
          </w:p>
        </w:tc>
        <w:tc>
          <w:tcPr>
            <w:tcW w:w="1040"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65" w:type="dxa"/>
            <w:vMerge w:val="continue"/>
            <w:vAlign w:val="center"/>
          </w:tcPr>
          <w:p>
            <w:pPr>
              <w:widowControl/>
              <w:rPr>
                <w:rFonts w:ascii="仿宋" w:hAnsi="仿宋" w:eastAsia="仿宋" w:cs="仿宋_GB2312"/>
                <w:sz w:val="24"/>
              </w:rPr>
            </w:pPr>
          </w:p>
        </w:tc>
        <w:tc>
          <w:tcPr>
            <w:tcW w:w="483"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7</w:t>
            </w:r>
          </w:p>
        </w:tc>
        <w:tc>
          <w:tcPr>
            <w:tcW w:w="2278" w:type="dxa"/>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服务承诺（根据本地化服务能力、售后服务方案、措施、响应等情况综合评定）</w:t>
            </w:r>
          </w:p>
        </w:tc>
        <w:tc>
          <w:tcPr>
            <w:tcW w:w="3772" w:type="dxa"/>
            <w:shd w:val="clear" w:color="auto" w:fill="auto"/>
            <w:vAlign w:val="center"/>
          </w:tcPr>
          <w:p>
            <w:pPr>
              <w:widowControl/>
              <w:rPr>
                <w:rFonts w:ascii="仿宋" w:hAnsi="仿宋" w:eastAsia="仿宋" w:cs="仿宋_GB2312"/>
                <w:sz w:val="24"/>
              </w:rPr>
            </w:pPr>
            <w:r>
              <w:rPr>
                <w:rFonts w:hint="eastAsia" w:ascii="仿宋" w:hAnsi="仿宋" w:eastAsia="仿宋" w:cs="仿宋_GB2312"/>
                <w:sz w:val="24"/>
              </w:rPr>
              <w:t>售后服务响应情况：根据投标文件提供的售后服务响应情况，根据售后服务能力、售后服务内容、售后服务便捷程度等内容评审打分。</w:t>
            </w:r>
          </w:p>
        </w:tc>
        <w:tc>
          <w:tcPr>
            <w:tcW w:w="750"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0-2</w:t>
            </w:r>
          </w:p>
        </w:tc>
        <w:tc>
          <w:tcPr>
            <w:tcW w:w="1040" w:type="dxa"/>
            <w:shd w:val="clear" w:color="auto" w:fill="auto"/>
            <w:vAlign w:val="center"/>
          </w:tcPr>
          <w:p>
            <w:pPr>
              <w:widowControl/>
              <w:jc w:val="center"/>
              <w:rPr>
                <w:rFonts w:ascii="仿宋" w:hAnsi="仿宋" w:eastAsia="仿宋" w:cs="仿宋_GB2312"/>
                <w:sz w:val="24"/>
              </w:rPr>
            </w:pPr>
            <w:r>
              <w:rPr>
                <w:rFonts w:hint="eastAsia" w:ascii="仿宋" w:hAnsi="仿宋" w:eastAsia="仿宋" w:cs="仿宋_GB2312"/>
                <w:sz w:val="24"/>
              </w:rPr>
              <w:t>主观分</w:t>
            </w:r>
          </w:p>
        </w:tc>
      </w:tr>
    </w:tbl>
    <w:p>
      <w:pPr>
        <w:widowControl/>
        <w:spacing w:line="360" w:lineRule="auto"/>
        <w:ind w:firstLine="480" w:firstLineChars="200"/>
        <w:rPr>
          <w:rFonts w:ascii="仿宋" w:hAnsi="仿宋" w:eastAsia="仿宋" w:cs="仿宋"/>
          <w:sz w:val="24"/>
        </w:rPr>
      </w:pPr>
      <w:r>
        <w:rPr>
          <w:rFonts w:hint="eastAsia" w:ascii="仿宋" w:hAnsi="仿宋" w:eastAsia="仿宋" w:cs="仿宋"/>
          <w:sz w:val="24"/>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22.价格分（30分）</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sz w:val="24"/>
              </w:rPr>
            </w:pPr>
            <w:r>
              <w:rPr>
                <w:rFonts w:hint="eastAsia" w:ascii="仿宋" w:hAnsi="仿宋" w:eastAsia="仿宋" w:cs="仿宋"/>
                <w:sz w:val="24"/>
              </w:rPr>
              <w:t>价格权值=0.30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sz w:val="24"/>
              </w:rPr>
            </w:pPr>
            <w:r>
              <w:rPr>
                <w:rFonts w:hint="eastAsia" w:ascii="仿宋" w:hAnsi="仿宋" w:eastAsia="仿宋" w:cs="仿宋"/>
                <w:sz w:val="24"/>
              </w:rPr>
              <w:t>最低有效投标价格为评标基准价</w:t>
            </w:r>
          </w:p>
          <w:p>
            <w:pPr>
              <w:widowControl/>
              <w:rPr>
                <w:rFonts w:ascii="仿宋" w:hAnsi="仿宋" w:eastAsia="仿宋" w:cs="仿宋"/>
                <w:sz w:val="24"/>
              </w:rPr>
            </w:pPr>
            <w:r>
              <w:rPr>
                <w:rFonts w:hint="eastAsia" w:ascii="仿宋" w:hAnsi="仿宋" w:eastAsia="仿宋" w:cs="仿宋"/>
                <w:sz w:val="24"/>
              </w:rPr>
              <w:t xml:space="preserve">投标报价得分=(评标基准价／投标报价)×价格权值×100 </w:t>
            </w:r>
          </w:p>
          <w:p>
            <w:pPr>
              <w:widowControl/>
              <w:rPr>
                <w:rFonts w:ascii="仿宋" w:hAnsi="仿宋" w:eastAsia="仿宋" w:cs="仿宋"/>
                <w:sz w:val="24"/>
              </w:rPr>
            </w:pPr>
            <w:r>
              <w:rPr>
                <w:rFonts w:hint="eastAsia" w:ascii="仿宋" w:hAnsi="仿宋" w:eastAsia="仿宋" w:cs="仿宋"/>
                <w:sz w:val="24"/>
              </w:rPr>
              <w:t>（计算得分保留小数点后2位）</w:t>
            </w:r>
          </w:p>
        </w:tc>
      </w:tr>
    </w:tbl>
    <w:p>
      <w:pPr>
        <w:widowControl/>
        <w:spacing w:line="360" w:lineRule="auto"/>
        <w:ind w:firstLine="480" w:firstLineChars="200"/>
        <w:rPr>
          <w:rFonts w:ascii="仿宋" w:hAnsi="仿宋" w:eastAsia="仿宋" w:cs="仿宋"/>
          <w:sz w:val="24"/>
        </w:rPr>
      </w:pP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23.其他需说明事项</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无。</w:t>
      </w:r>
    </w:p>
    <w:p>
      <w:pPr>
        <w:rPr>
          <w:rFonts w:ascii="仿宋" w:hAnsi="仿宋" w:eastAsia="仿宋" w:cs="仿宋"/>
        </w:rPr>
      </w:pPr>
      <w:r>
        <w:rPr>
          <w:rFonts w:hint="eastAsia" w:ascii="仿宋" w:hAnsi="仿宋" w:eastAsia="仿宋" w:cs="仿宋"/>
        </w:rPr>
        <w:br w:type="page"/>
      </w:r>
    </w:p>
    <w:p>
      <w:pPr>
        <w:pStyle w:val="4"/>
        <w:rPr>
          <w:rFonts w:cs="仿宋"/>
          <w:color w:val="auto"/>
        </w:rPr>
      </w:pPr>
      <w:r>
        <w:rPr>
          <w:rFonts w:hint="eastAsia" w:cs="仿宋"/>
          <w:color w:val="auto"/>
        </w:rPr>
        <w:t>第五部分</w:t>
      </w:r>
      <w:bookmarkEnd w:id="63"/>
      <w:r>
        <w:rPr>
          <w:rFonts w:hint="eastAsia" w:cs="仿宋"/>
          <w:color w:val="auto"/>
        </w:rPr>
        <w:t xml:space="preserve"> 拟签订的合同文本</w:t>
      </w:r>
    </w:p>
    <w:p>
      <w:pPr>
        <w:pStyle w:val="24"/>
        <w:snapToGrid w:val="0"/>
        <w:spacing w:line="360" w:lineRule="auto"/>
        <w:jc w:val="center"/>
        <w:rPr>
          <w:rFonts w:ascii="仿宋" w:hAnsi="仿宋" w:eastAsia="仿宋" w:cs="仿宋"/>
        </w:rPr>
      </w:pPr>
      <w:bookmarkStart w:id="430" w:name="第五部分"/>
      <w:bookmarkStart w:id="431" w:name="_Toc86217003"/>
      <w:r>
        <w:rPr>
          <w:rFonts w:hint="eastAsia" w:ascii="仿宋" w:hAnsi="仿宋" w:eastAsia="仿宋" w:cs="仿宋"/>
        </w:rPr>
        <w:t>（货物类参考样本）</w:t>
      </w:r>
    </w:p>
    <w:p>
      <w:pPr>
        <w:pStyle w:val="24"/>
        <w:snapToGrid w:val="0"/>
        <w:spacing w:line="360" w:lineRule="auto"/>
        <w:rPr>
          <w:rFonts w:ascii="仿宋" w:hAnsi="仿宋" w:eastAsia="仿宋" w:cs="仿宋"/>
        </w:rPr>
      </w:pPr>
      <w:r>
        <w:rPr>
          <w:rFonts w:hint="eastAsia" w:ascii="仿宋" w:hAnsi="仿宋" w:eastAsia="仿宋" w:cs="仿宋"/>
        </w:rPr>
        <w:t>合同编号：</w:t>
      </w:r>
    </w:p>
    <w:p>
      <w:pPr>
        <w:pStyle w:val="24"/>
        <w:snapToGrid w:val="0"/>
        <w:spacing w:line="360" w:lineRule="auto"/>
        <w:rPr>
          <w:rFonts w:ascii="仿宋" w:hAnsi="仿宋" w:eastAsia="仿宋" w:cs="仿宋"/>
        </w:rPr>
      </w:pPr>
      <w:r>
        <w:rPr>
          <w:rFonts w:hint="eastAsia" w:ascii="仿宋" w:hAnsi="仿宋" w:eastAsia="仿宋" w:cs="仿宋"/>
        </w:rPr>
        <w:t>签订地点：                                  签订时间：20* 年  月  日</w:t>
      </w:r>
    </w:p>
    <w:p>
      <w:pPr>
        <w:pStyle w:val="24"/>
        <w:snapToGrid w:val="0"/>
        <w:spacing w:line="360" w:lineRule="auto"/>
        <w:rPr>
          <w:rFonts w:ascii="仿宋" w:hAnsi="仿宋" w:eastAsia="仿宋" w:cs="仿宋"/>
        </w:rPr>
      </w:pPr>
      <w:r>
        <w:rPr>
          <w:rFonts w:hint="eastAsia" w:ascii="仿宋" w:hAnsi="仿宋" w:eastAsia="仿宋" w:cs="仿宋"/>
        </w:rPr>
        <w:t>项目名称：</w:t>
      </w:r>
    </w:p>
    <w:p>
      <w:pPr>
        <w:pStyle w:val="24"/>
        <w:snapToGrid w:val="0"/>
        <w:spacing w:line="360" w:lineRule="auto"/>
        <w:rPr>
          <w:rFonts w:ascii="仿宋" w:hAnsi="仿宋" w:eastAsia="仿宋" w:cs="仿宋"/>
        </w:rPr>
      </w:pPr>
      <w:r>
        <w:rPr>
          <w:rFonts w:hint="eastAsia" w:ascii="仿宋" w:hAnsi="仿宋" w:eastAsia="仿宋" w:cs="仿宋"/>
        </w:rPr>
        <w:t xml:space="preserve">甲方（需方）：                                     </w:t>
      </w:r>
    </w:p>
    <w:p>
      <w:pPr>
        <w:pStyle w:val="24"/>
        <w:snapToGrid w:val="0"/>
        <w:spacing w:line="360" w:lineRule="auto"/>
        <w:rPr>
          <w:rFonts w:ascii="仿宋" w:hAnsi="仿宋" w:eastAsia="仿宋" w:cs="仿宋"/>
        </w:rPr>
      </w:pPr>
      <w:r>
        <w:rPr>
          <w:rFonts w:hint="eastAsia" w:ascii="仿宋" w:hAnsi="仿宋" w:eastAsia="仿宋" w:cs="仿宋"/>
        </w:rPr>
        <w:t xml:space="preserve">乙方（供方）：                                     </w:t>
      </w:r>
    </w:p>
    <w:p>
      <w:pPr>
        <w:pStyle w:val="24"/>
        <w:snapToGrid w:val="0"/>
        <w:spacing w:line="360" w:lineRule="auto"/>
        <w:rPr>
          <w:rFonts w:ascii="仿宋" w:hAnsi="仿宋" w:eastAsia="仿宋" w:cs="仿宋"/>
        </w:rPr>
      </w:pPr>
      <w:r>
        <w:rPr>
          <w:rFonts w:hint="eastAsia" w:ascii="仿宋" w:hAnsi="仿宋" w:eastAsia="仿宋" w:cs="仿宋"/>
        </w:rPr>
        <w:t>供、需双方根据杭州市萧山区                             项目（招标编号</w:t>
      </w:r>
    </w:p>
    <w:p>
      <w:pPr>
        <w:pStyle w:val="24"/>
        <w:snapToGrid w:val="0"/>
        <w:spacing w:line="360" w:lineRule="auto"/>
        <w:rPr>
          <w:rFonts w:ascii="仿宋" w:hAnsi="仿宋" w:eastAsia="仿宋" w:cs="仿宋"/>
        </w:rPr>
      </w:pPr>
      <w:r>
        <w:rPr>
          <w:rFonts w:hint="eastAsia" w:ascii="仿宋" w:hAnsi="仿宋" w:eastAsia="仿宋" w:cs="仿宋"/>
        </w:rPr>
        <w:t xml:space="preserve">  -  -   ）招标结果和招标文件的要求，并经双方协调一致，订立本采购合同。</w:t>
      </w:r>
    </w:p>
    <w:p>
      <w:pPr>
        <w:pStyle w:val="24"/>
        <w:snapToGrid w:val="0"/>
        <w:spacing w:line="360" w:lineRule="auto"/>
        <w:rPr>
          <w:rFonts w:ascii="仿宋" w:hAnsi="仿宋" w:eastAsia="仿宋" w:cs="仿宋"/>
        </w:rPr>
      </w:pPr>
      <w:r>
        <w:rPr>
          <w:rFonts w:hint="eastAsia" w:ascii="仿宋" w:hAnsi="仿宋" w:eastAsia="仿宋" w:cs="仿宋"/>
        </w:rPr>
        <w:t>一、合同文件：</w:t>
      </w:r>
    </w:p>
    <w:p>
      <w:pPr>
        <w:pStyle w:val="24"/>
        <w:snapToGrid w:val="0"/>
        <w:spacing w:line="360" w:lineRule="auto"/>
        <w:rPr>
          <w:rFonts w:ascii="仿宋" w:hAnsi="仿宋" w:eastAsia="仿宋" w:cs="仿宋"/>
        </w:rPr>
      </w:pPr>
      <w:r>
        <w:rPr>
          <w:rFonts w:hint="eastAsia" w:ascii="仿宋" w:hAnsi="仿宋" w:eastAsia="仿宋" w:cs="仿宋"/>
        </w:rPr>
        <w:t>1、合同条款。</w:t>
      </w:r>
    </w:p>
    <w:p>
      <w:pPr>
        <w:pStyle w:val="24"/>
        <w:snapToGrid w:val="0"/>
        <w:spacing w:line="360" w:lineRule="auto"/>
        <w:rPr>
          <w:rFonts w:ascii="仿宋" w:hAnsi="仿宋" w:eastAsia="仿宋" w:cs="仿宋"/>
        </w:rPr>
      </w:pPr>
      <w:r>
        <w:rPr>
          <w:rFonts w:hint="eastAsia" w:ascii="仿宋" w:hAnsi="仿宋" w:eastAsia="仿宋" w:cs="仿宋"/>
        </w:rPr>
        <w:t>2、中标通知书。</w:t>
      </w:r>
    </w:p>
    <w:p>
      <w:pPr>
        <w:pStyle w:val="24"/>
        <w:snapToGrid w:val="0"/>
        <w:spacing w:line="360" w:lineRule="auto"/>
        <w:rPr>
          <w:rFonts w:ascii="仿宋" w:hAnsi="仿宋" w:eastAsia="仿宋" w:cs="仿宋"/>
        </w:rPr>
      </w:pPr>
      <w:r>
        <w:rPr>
          <w:rFonts w:hint="eastAsia" w:ascii="仿宋" w:hAnsi="仿宋" w:eastAsia="仿宋" w:cs="仿宋"/>
        </w:rPr>
        <w:t>3、招标文件。</w:t>
      </w:r>
    </w:p>
    <w:p>
      <w:pPr>
        <w:pStyle w:val="24"/>
        <w:snapToGrid w:val="0"/>
        <w:spacing w:line="360" w:lineRule="auto"/>
        <w:rPr>
          <w:rFonts w:ascii="仿宋" w:hAnsi="仿宋" w:eastAsia="仿宋" w:cs="仿宋"/>
        </w:rPr>
      </w:pPr>
      <w:r>
        <w:rPr>
          <w:rFonts w:hint="eastAsia" w:ascii="仿宋" w:hAnsi="仿宋" w:eastAsia="仿宋" w:cs="仿宋"/>
        </w:rPr>
        <w:t>4、更正公告。</w:t>
      </w:r>
    </w:p>
    <w:p>
      <w:pPr>
        <w:pStyle w:val="24"/>
        <w:snapToGrid w:val="0"/>
        <w:spacing w:line="360" w:lineRule="auto"/>
        <w:rPr>
          <w:rFonts w:ascii="仿宋" w:hAnsi="仿宋" w:eastAsia="仿宋" w:cs="仿宋"/>
        </w:rPr>
      </w:pPr>
      <w:r>
        <w:rPr>
          <w:rFonts w:hint="eastAsia" w:ascii="仿宋" w:hAnsi="仿宋" w:eastAsia="仿宋" w:cs="仿宋"/>
        </w:rPr>
        <w:t>5、中标单位投标文件。</w:t>
      </w:r>
    </w:p>
    <w:p>
      <w:pPr>
        <w:pStyle w:val="24"/>
        <w:snapToGrid w:val="0"/>
        <w:spacing w:line="360" w:lineRule="auto"/>
        <w:rPr>
          <w:rFonts w:ascii="仿宋" w:hAnsi="仿宋" w:eastAsia="仿宋" w:cs="仿宋"/>
        </w:rPr>
      </w:pPr>
      <w:r>
        <w:rPr>
          <w:rFonts w:hint="eastAsia" w:ascii="仿宋" w:hAnsi="仿宋" w:eastAsia="仿宋" w:cs="仿宋"/>
        </w:rPr>
        <w:t>6、其他。</w:t>
      </w:r>
    </w:p>
    <w:p>
      <w:pPr>
        <w:pStyle w:val="24"/>
        <w:snapToGrid w:val="0"/>
        <w:spacing w:line="360" w:lineRule="auto"/>
        <w:rPr>
          <w:rFonts w:ascii="仿宋" w:hAnsi="仿宋" w:eastAsia="仿宋" w:cs="仿宋"/>
        </w:rPr>
      </w:pPr>
      <w:r>
        <w:rPr>
          <w:rFonts w:hint="eastAsia" w:ascii="仿宋" w:hAnsi="仿宋" w:eastAsia="仿宋" w:cs="仿宋"/>
        </w:rPr>
        <w:t>二、合同金额:合同金额为(大写)_________________元（￥　　　　元）人民币。</w:t>
      </w:r>
    </w:p>
    <w:p>
      <w:pPr>
        <w:pStyle w:val="24"/>
        <w:snapToGrid w:val="0"/>
        <w:spacing w:line="360" w:lineRule="auto"/>
        <w:rPr>
          <w:rFonts w:ascii="仿宋" w:hAnsi="仿宋" w:eastAsia="仿宋" w:cs="仿宋"/>
        </w:rPr>
      </w:pPr>
      <w:r>
        <w:rPr>
          <w:rFonts w:hint="eastAsia" w:ascii="仿宋" w:hAnsi="仿宋" w:eastAsia="仿宋" w:cs="仿宋"/>
        </w:rPr>
        <w:t xml:space="preserve">附《采购项目清单内容》   </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r>
              <w:rPr>
                <w:rFonts w:hint="eastAsia" w:ascii="仿宋" w:hAnsi="仿宋" w:eastAsia="仿宋" w:cs="仿宋"/>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r>
              <w:rPr>
                <w:rFonts w:hint="eastAsia" w:ascii="仿宋" w:hAnsi="仿宋" w:eastAsia="仿宋" w:cs="仿宋"/>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r>
              <w:rPr>
                <w:rFonts w:hint="eastAsia" w:ascii="仿宋" w:hAnsi="仿宋" w:eastAsia="仿宋" w:cs="仿宋"/>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r>
              <w:rPr>
                <w:rFonts w:hint="eastAsia" w:ascii="仿宋" w:hAnsi="仿宋" w:eastAsia="仿宋" w:cs="仿宋"/>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r>
              <w:rPr>
                <w:rFonts w:hint="eastAsia" w:ascii="仿宋" w:hAnsi="仿宋" w:eastAsia="仿宋" w:cs="仿宋"/>
              </w:rPr>
              <w:t>数量</w:t>
            </w:r>
          </w:p>
        </w:tc>
        <w:tc>
          <w:tcPr>
            <w:tcW w:w="153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r>
              <w:rPr>
                <w:rFonts w:hint="eastAsia" w:ascii="仿宋" w:hAnsi="仿宋" w:eastAsia="仿宋" w:cs="仿宋"/>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r>
              <w:rPr>
                <w:rFonts w:hint="eastAsia" w:ascii="仿宋" w:hAnsi="仿宋" w:eastAsia="仿宋" w:cs="仿宋"/>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p>
        </w:tc>
        <w:tc>
          <w:tcPr>
            <w:tcW w:w="1532" w:type="dxa"/>
            <w:tcBorders>
              <w:top w:val="single" w:color="auto" w:sz="4" w:space="0"/>
              <w:left w:val="single" w:color="auto" w:sz="4" w:space="0"/>
              <w:bottom w:val="single" w:color="auto" w:sz="4" w:space="0"/>
              <w:right w:val="single" w:color="auto" w:sz="4" w:space="0"/>
            </w:tcBorders>
          </w:tcPr>
          <w:p>
            <w:pPr>
              <w:pStyle w:val="24"/>
              <w:snapToGrid w:val="0"/>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r>
              <w:rPr>
                <w:rFonts w:hint="eastAsia" w:ascii="仿宋" w:hAnsi="仿宋" w:eastAsia="仿宋" w:cs="仿宋"/>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p>
        </w:tc>
        <w:tc>
          <w:tcPr>
            <w:tcW w:w="1758" w:type="dxa"/>
            <w:tcBorders>
              <w:top w:val="single" w:color="auto" w:sz="4" w:space="0"/>
              <w:left w:val="single" w:color="auto" w:sz="4" w:space="0"/>
              <w:bottom w:val="single" w:color="auto" w:sz="4" w:space="0"/>
              <w:right w:val="single" w:color="auto" w:sz="4" w:space="0"/>
            </w:tcBorders>
          </w:tcPr>
          <w:p>
            <w:pPr>
              <w:pStyle w:val="24"/>
              <w:snapToGrid w:val="0"/>
              <w:spacing w:line="360" w:lineRule="auto"/>
              <w:rPr>
                <w:rFonts w:ascii="仿宋" w:hAnsi="仿宋" w:eastAsia="仿宋" w:cs="仿宋"/>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p>
        </w:tc>
        <w:tc>
          <w:tcPr>
            <w:tcW w:w="1532" w:type="dxa"/>
            <w:tcBorders>
              <w:top w:val="single" w:color="auto" w:sz="4" w:space="0"/>
              <w:left w:val="single" w:color="auto" w:sz="4" w:space="0"/>
              <w:bottom w:val="single" w:color="auto" w:sz="4" w:space="0"/>
              <w:right w:val="single" w:color="auto" w:sz="4" w:space="0"/>
            </w:tcBorders>
          </w:tcPr>
          <w:p>
            <w:pPr>
              <w:pStyle w:val="24"/>
              <w:snapToGrid w:val="0"/>
              <w:spacing w:line="360" w:lineRule="auto"/>
              <w:rPr>
                <w:rFonts w:ascii="仿宋" w:hAnsi="仿宋" w:eastAsia="仿宋" w:cs="仿宋"/>
              </w:rPr>
            </w:pPr>
          </w:p>
        </w:tc>
      </w:tr>
    </w:tbl>
    <w:p>
      <w:pPr>
        <w:pStyle w:val="24"/>
        <w:snapToGrid w:val="0"/>
        <w:spacing w:line="360" w:lineRule="auto"/>
        <w:rPr>
          <w:rFonts w:ascii="仿宋" w:hAnsi="仿宋" w:eastAsia="仿宋" w:cs="仿宋"/>
        </w:rPr>
      </w:pPr>
      <w:r>
        <w:rPr>
          <w:rFonts w:hint="eastAsia" w:ascii="仿宋" w:hAnsi="仿宋" w:eastAsia="仿宋" w:cs="仿宋"/>
        </w:rPr>
        <w:t>三、质量要求及供方对质量负责条件和期限：</w:t>
      </w:r>
    </w:p>
    <w:p>
      <w:pPr>
        <w:pStyle w:val="24"/>
        <w:snapToGrid w:val="0"/>
        <w:spacing w:line="360" w:lineRule="auto"/>
        <w:rPr>
          <w:rFonts w:ascii="仿宋" w:hAnsi="仿宋" w:eastAsia="仿宋" w:cs="仿宋"/>
        </w:rPr>
      </w:pPr>
      <w:r>
        <w:rPr>
          <w:rFonts w:hint="eastAsia" w:ascii="仿宋" w:hAnsi="仿宋" w:eastAsia="仿宋" w:cs="仿宋"/>
        </w:rPr>
        <w:t>1、供方提供的货物必须是现货、全新，符合招标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pPr>
        <w:pStyle w:val="24"/>
        <w:snapToGrid w:val="0"/>
        <w:spacing w:line="360" w:lineRule="auto"/>
        <w:rPr>
          <w:rFonts w:ascii="仿宋" w:hAnsi="仿宋" w:eastAsia="仿宋" w:cs="仿宋"/>
        </w:rPr>
      </w:pPr>
      <w:r>
        <w:rPr>
          <w:rFonts w:hint="eastAsia" w:ascii="仿宋" w:hAnsi="仿宋" w:eastAsia="仿宋" w:cs="仿宋"/>
        </w:rPr>
        <w:t>2、供方在维保期内接到用户单位的电话后，在**小时内响应，**小时以内到现场，**小时以内解决问题，不能修复的，必须采取无偿提供备品、备件或备机等措施，以保证用户单位的正常使用。</w:t>
      </w:r>
    </w:p>
    <w:p>
      <w:pPr>
        <w:pStyle w:val="24"/>
        <w:snapToGrid w:val="0"/>
        <w:spacing w:line="360" w:lineRule="auto"/>
        <w:rPr>
          <w:rFonts w:ascii="仿宋" w:hAnsi="仿宋" w:eastAsia="仿宋" w:cs="仿宋"/>
        </w:rPr>
      </w:pPr>
      <w:r>
        <w:rPr>
          <w:rFonts w:hint="eastAsia" w:ascii="仿宋" w:hAnsi="仿宋" w:eastAsia="仿宋" w:cs="仿宋"/>
        </w:rPr>
        <w:t>四、工期时间__________________________</w:t>
      </w:r>
    </w:p>
    <w:p>
      <w:pPr>
        <w:pStyle w:val="24"/>
        <w:snapToGrid w:val="0"/>
        <w:spacing w:line="360" w:lineRule="auto"/>
        <w:rPr>
          <w:rFonts w:ascii="仿宋" w:hAnsi="仿宋" w:eastAsia="仿宋" w:cs="仿宋"/>
        </w:rPr>
      </w:pPr>
      <w:r>
        <w:rPr>
          <w:rFonts w:hint="eastAsia" w:ascii="仿宋" w:hAnsi="仿宋" w:eastAsia="仿宋" w:cs="仿宋"/>
        </w:rPr>
        <w:t xml:space="preserve">交货地点：                                                               </w:t>
      </w:r>
    </w:p>
    <w:p>
      <w:pPr>
        <w:pStyle w:val="24"/>
        <w:snapToGrid w:val="0"/>
        <w:spacing w:line="360" w:lineRule="auto"/>
        <w:rPr>
          <w:rFonts w:ascii="仿宋" w:hAnsi="仿宋" w:eastAsia="仿宋" w:cs="仿宋"/>
        </w:rPr>
      </w:pPr>
      <w:r>
        <w:rPr>
          <w:rFonts w:hint="eastAsia" w:ascii="仿宋" w:hAnsi="仿宋" w:eastAsia="仿宋" w:cs="仿宋"/>
        </w:rPr>
        <w:t>五、货款支付</w:t>
      </w:r>
    </w:p>
    <w:p>
      <w:pPr>
        <w:pStyle w:val="24"/>
        <w:snapToGrid w:val="0"/>
        <w:spacing w:line="360" w:lineRule="auto"/>
        <w:rPr>
          <w:rFonts w:ascii="仿宋" w:hAnsi="仿宋" w:eastAsia="仿宋" w:cs="仿宋"/>
        </w:rPr>
      </w:pPr>
      <w:r>
        <w:rPr>
          <w:rFonts w:hint="eastAsia" w:ascii="仿宋" w:hAnsi="仿宋" w:eastAsia="仿宋" w:cs="仿宋"/>
        </w:rPr>
        <w:t>1、付款方式：</w:t>
      </w:r>
    </w:p>
    <w:p>
      <w:pPr>
        <w:pStyle w:val="24"/>
        <w:snapToGrid w:val="0"/>
        <w:spacing w:line="360" w:lineRule="auto"/>
        <w:rPr>
          <w:rFonts w:ascii="仿宋" w:hAnsi="仿宋" w:eastAsia="仿宋" w:cs="仿宋"/>
        </w:rPr>
      </w:pPr>
      <w:r>
        <w:rPr>
          <w:rFonts w:hint="eastAsia" w:ascii="仿宋" w:hAnsi="仿宋" w:eastAsia="仿宋" w:cs="仿宋"/>
        </w:rPr>
        <w:t>2、合同履行完毕，需方根据合同进行验收，验收合格后供应商按财政结算要求办理货款结算手续。</w:t>
      </w:r>
    </w:p>
    <w:p>
      <w:pPr>
        <w:pStyle w:val="24"/>
        <w:snapToGrid w:val="0"/>
        <w:spacing w:line="360" w:lineRule="auto"/>
        <w:rPr>
          <w:rFonts w:ascii="仿宋" w:hAnsi="仿宋" w:eastAsia="仿宋" w:cs="仿宋"/>
        </w:rPr>
      </w:pPr>
      <w:r>
        <w:rPr>
          <w:rFonts w:hint="eastAsia" w:ascii="仿宋" w:hAnsi="仿宋" w:eastAsia="仿宋" w:cs="仿宋"/>
        </w:rPr>
        <w:t>六、履约保证金</w:t>
      </w:r>
    </w:p>
    <w:p>
      <w:pPr>
        <w:pStyle w:val="24"/>
        <w:snapToGrid w:val="0"/>
        <w:spacing w:line="360" w:lineRule="auto"/>
        <w:rPr>
          <w:rFonts w:ascii="仿宋" w:hAnsi="仿宋" w:eastAsia="仿宋" w:cs="仿宋"/>
        </w:rPr>
      </w:pPr>
      <w:r>
        <w:rPr>
          <w:rFonts w:hint="eastAsia" w:ascii="仿宋" w:hAnsi="仿宋" w:eastAsia="仿宋" w:cs="仿宋"/>
        </w:rPr>
        <w:t>1、履约保证金：为保证政府采购项目合同的顺利执行，供方在本合同签订之前，其中标价的    %作为履约保证金，供应商应按照招标文件约定的形式提交。待项目验收合格后，由采购人将履约保证金无息退还供方。</w:t>
      </w:r>
    </w:p>
    <w:p>
      <w:pPr>
        <w:pStyle w:val="24"/>
        <w:snapToGrid w:val="0"/>
        <w:spacing w:line="360" w:lineRule="auto"/>
        <w:rPr>
          <w:rFonts w:ascii="仿宋" w:hAnsi="仿宋" w:eastAsia="仿宋" w:cs="仿宋"/>
        </w:rPr>
      </w:pPr>
      <w:r>
        <w:rPr>
          <w:rFonts w:hint="eastAsia" w:ascii="仿宋" w:hAnsi="仿宋" w:eastAsia="仿宋" w:cs="仿宋"/>
        </w:rPr>
        <w:t>七、违约责任</w:t>
      </w:r>
    </w:p>
    <w:p>
      <w:pPr>
        <w:pStyle w:val="24"/>
        <w:snapToGrid w:val="0"/>
        <w:spacing w:line="360" w:lineRule="auto"/>
        <w:rPr>
          <w:rFonts w:ascii="仿宋" w:hAnsi="仿宋" w:eastAsia="仿宋" w:cs="仿宋"/>
        </w:rPr>
      </w:pPr>
      <w:r>
        <w:rPr>
          <w:rFonts w:hint="eastAsia" w:ascii="仿宋" w:hAnsi="仿宋" w:eastAsia="仿宋" w:cs="仿宋"/>
        </w:rPr>
        <w:t>1、甲方无正当理由拒收货物的，甲方向乙方偿付拒收货款总值的百分之 五 违约金。</w:t>
      </w:r>
    </w:p>
    <w:p>
      <w:pPr>
        <w:pStyle w:val="24"/>
        <w:snapToGrid w:val="0"/>
        <w:spacing w:line="360" w:lineRule="auto"/>
        <w:rPr>
          <w:rFonts w:ascii="仿宋" w:hAnsi="仿宋" w:eastAsia="仿宋" w:cs="仿宋"/>
        </w:rPr>
      </w:pPr>
      <w:r>
        <w:rPr>
          <w:rFonts w:hint="eastAsia" w:ascii="仿宋" w:hAnsi="仿宋" w:eastAsia="仿宋" w:cs="仿宋"/>
        </w:rPr>
        <w:t>2、乙方逾期交付货物的，乙方应按逾期交付货款总额每日千分之 六  向甲方支付违约金，由甲方从待付货款中扣除。逾期超过约定日期 10 个工作日不能交货的，甲方可解除本合同，履约保证金不予退还，如造成甲方损失超过履约保证金的，超出部分由乙方继续承担赔偿责任。</w:t>
      </w:r>
    </w:p>
    <w:p>
      <w:pPr>
        <w:pStyle w:val="24"/>
        <w:snapToGrid w:val="0"/>
        <w:spacing w:line="360" w:lineRule="auto"/>
        <w:rPr>
          <w:rFonts w:ascii="仿宋" w:hAnsi="仿宋" w:eastAsia="仿宋" w:cs="仿宋"/>
        </w:rPr>
      </w:pPr>
      <w:r>
        <w:rPr>
          <w:rFonts w:hint="eastAsia" w:ascii="仿宋" w:hAnsi="仿宋" w:eastAsia="仿宋" w:cs="仿宋"/>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pPr>
        <w:pStyle w:val="24"/>
        <w:snapToGrid w:val="0"/>
        <w:spacing w:line="360" w:lineRule="auto"/>
        <w:rPr>
          <w:rFonts w:ascii="仿宋" w:hAnsi="仿宋" w:eastAsia="仿宋" w:cs="仿宋"/>
        </w:rPr>
      </w:pPr>
      <w:r>
        <w:rPr>
          <w:rFonts w:hint="eastAsia" w:ascii="仿宋" w:hAnsi="仿宋" w:eastAsia="仿宋" w:cs="仿宋"/>
        </w:rPr>
        <w:t>4、因需方原因逾期支付合同款，自逾期之日起，向供方每日偿付合同总价千分之 二的滞纳金；需方无正当理由拒付货款的，应向供方偿付合同总价百分之五的违约金。</w:t>
      </w:r>
    </w:p>
    <w:p>
      <w:pPr>
        <w:pStyle w:val="24"/>
        <w:snapToGrid w:val="0"/>
        <w:spacing w:line="360" w:lineRule="auto"/>
        <w:rPr>
          <w:rFonts w:ascii="仿宋" w:hAnsi="仿宋" w:eastAsia="仿宋" w:cs="仿宋"/>
        </w:rPr>
      </w:pPr>
      <w:r>
        <w:rPr>
          <w:rFonts w:hint="eastAsia" w:ascii="仿宋" w:hAnsi="仿宋" w:eastAsia="仿宋" w:cs="仿宋"/>
        </w:rPr>
        <w:t>5、如发现乙方违反招投标文件和合同的有关规定，甲方有权根据约定和《杭州市政府采购供应商合同履行和售后服务考核暂行办法》，对乙方进行处罚，并有权提前终止合同。</w:t>
      </w:r>
    </w:p>
    <w:p>
      <w:pPr>
        <w:pStyle w:val="24"/>
        <w:snapToGrid w:val="0"/>
        <w:spacing w:line="360" w:lineRule="auto"/>
        <w:rPr>
          <w:rFonts w:ascii="仿宋" w:hAnsi="仿宋" w:eastAsia="仿宋" w:cs="仿宋"/>
        </w:rPr>
      </w:pPr>
      <w:r>
        <w:rPr>
          <w:rFonts w:hint="eastAsia" w:ascii="仿宋" w:hAnsi="仿宋" w:eastAsia="仿宋" w:cs="仿宋"/>
        </w:rPr>
        <w:t>八、调试和验收</w:t>
      </w:r>
    </w:p>
    <w:p>
      <w:pPr>
        <w:pStyle w:val="24"/>
        <w:snapToGrid w:val="0"/>
        <w:spacing w:line="360" w:lineRule="auto"/>
        <w:rPr>
          <w:rFonts w:ascii="仿宋" w:hAnsi="仿宋" w:eastAsia="仿宋" w:cs="仿宋"/>
        </w:rPr>
      </w:pPr>
      <w:r>
        <w:rPr>
          <w:rFonts w:hint="eastAsia" w:ascii="仿宋" w:hAnsi="仿宋" w:eastAsia="仿宋" w:cs="仿宋"/>
        </w:rPr>
        <w:t>九、争议的解决</w:t>
      </w:r>
    </w:p>
    <w:p>
      <w:pPr>
        <w:pStyle w:val="24"/>
        <w:snapToGrid w:val="0"/>
        <w:spacing w:line="360" w:lineRule="auto"/>
        <w:rPr>
          <w:rFonts w:ascii="仿宋" w:hAnsi="仿宋" w:eastAsia="仿宋" w:cs="仿宋"/>
        </w:rPr>
      </w:pPr>
      <w:r>
        <w:rPr>
          <w:rFonts w:hint="eastAsia" w:ascii="仿宋" w:hAnsi="仿宋" w:eastAsia="仿宋" w:cs="仿宋"/>
        </w:rPr>
        <w:t>因本合同引起的或与本合同有关的任何争议，合同双方应首先通过协商解决，达成书面协议，如协商不成，可选择下列第      种方式解决。</w:t>
      </w:r>
    </w:p>
    <w:p>
      <w:pPr>
        <w:pStyle w:val="24"/>
        <w:snapToGrid w:val="0"/>
        <w:spacing w:line="360" w:lineRule="auto"/>
        <w:rPr>
          <w:rFonts w:ascii="仿宋" w:hAnsi="仿宋" w:eastAsia="仿宋" w:cs="仿宋"/>
        </w:rPr>
      </w:pPr>
      <w:r>
        <w:rPr>
          <w:rFonts w:hint="eastAsia" w:ascii="仿宋" w:hAnsi="仿宋" w:eastAsia="仿宋" w:cs="仿宋"/>
        </w:rPr>
        <w:t>（1）提请杭州仲裁委员会按照该会仲裁规则进行仲裁，仲裁裁决是终局的，对合同双方均有约束力。</w:t>
      </w:r>
    </w:p>
    <w:p>
      <w:pPr>
        <w:pStyle w:val="24"/>
        <w:snapToGrid w:val="0"/>
        <w:spacing w:line="360" w:lineRule="auto"/>
        <w:rPr>
          <w:rFonts w:ascii="仿宋" w:hAnsi="仿宋" w:eastAsia="仿宋" w:cs="仿宋"/>
        </w:rPr>
      </w:pPr>
      <w:r>
        <w:rPr>
          <w:rFonts w:hint="eastAsia" w:ascii="仿宋" w:hAnsi="仿宋" w:eastAsia="仿宋" w:cs="仿宋"/>
        </w:rPr>
        <w:t>（2）向有管辖权的人民法院提起诉讼。</w:t>
      </w:r>
    </w:p>
    <w:p>
      <w:pPr>
        <w:pStyle w:val="24"/>
        <w:snapToGrid w:val="0"/>
        <w:spacing w:line="360" w:lineRule="auto"/>
        <w:rPr>
          <w:rFonts w:ascii="仿宋" w:hAnsi="仿宋" w:eastAsia="仿宋" w:cs="仿宋"/>
        </w:rPr>
      </w:pPr>
      <w:r>
        <w:rPr>
          <w:rFonts w:hint="eastAsia" w:ascii="仿宋" w:hAnsi="仿宋" w:eastAsia="仿宋" w:cs="仿宋"/>
        </w:rPr>
        <w:t>十、合同生效</w:t>
      </w:r>
    </w:p>
    <w:p>
      <w:pPr>
        <w:pStyle w:val="24"/>
        <w:snapToGrid w:val="0"/>
        <w:spacing w:line="360" w:lineRule="auto"/>
        <w:rPr>
          <w:rFonts w:ascii="仿宋" w:hAnsi="仿宋" w:eastAsia="仿宋" w:cs="仿宋"/>
        </w:rPr>
      </w:pPr>
      <w:r>
        <w:rPr>
          <w:rFonts w:hint="eastAsia" w:ascii="仿宋" w:hAnsi="仿宋" w:eastAsia="仿宋" w:cs="仿宋"/>
        </w:rPr>
        <w:t>1、中标方持中标通知书作为与需方签订合同的凭证。</w:t>
      </w:r>
    </w:p>
    <w:p>
      <w:pPr>
        <w:pStyle w:val="24"/>
        <w:snapToGrid w:val="0"/>
        <w:spacing w:line="360" w:lineRule="auto"/>
        <w:rPr>
          <w:rFonts w:ascii="仿宋" w:hAnsi="仿宋" w:eastAsia="仿宋" w:cs="仿宋"/>
        </w:rPr>
      </w:pPr>
      <w:r>
        <w:rPr>
          <w:rFonts w:hint="eastAsia" w:ascii="仿宋" w:hAnsi="仿宋" w:eastAsia="仿宋" w:cs="仿宋"/>
        </w:rPr>
        <w:t>2、本合同经需、供双方法定代表人（符合浙财采监【2013】24号第六条规定的为负责人）或其授权委托人签名并加盖单位公章后生效。</w:t>
      </w:r>
    </w:p>
    <w:p>
      <w:pPr>
        <w:pStyle w:val="24"/>
        <w:snapToGrid w:val="0"/>
        <w:spacing w:line="360" w:lineRule="auto"/>
        <w:rPr>
          <w:rFonts w:ascii="仿宋" w:hAnsi="仿宋" w:eastAsia="仿宋" w:cs="仿宋"/>
        </w:rPr>
      </w:pPr>
      <w:r>
        <w:rPr>
          <w:rFonts w:hint="eastAsia" w:ascii="仿宋" w:hAnsi="仿宋" w:eastAsia="仿宋" w:cs="仿宋"/>
        </w:rPr>
        <w:t>需方（加盖公章）：                  供方（加盖公章）：</w:t>
      </w:r>
    </w:p>
    <w:p>
      <w:pPr>
        <w:pStyle w:val="24"/>
        <w:snapToGrid w:val="0"/>
        <w:spacing w:line="360" w:lineRule="auto"/>
        <w:rPr>
          <w:rFonts w:ascii="仿宋" w:hAnsi="仿宋" w:eastAsia="仿宋" w:cs="仿宋"/>
        </w:rPr>
      </w:pPr>
      <w:r>
        <w:rPr>
          <w:rFonts w:hint="eastAsia" w:ascii="仿宋" w:hAnsi="仿宋" w:eastAsia="仿宋" w:cs="仿宋"/>
        </w:rPr>
        <w:t>地址：                             地址：</w:t>
      </w:r>
    </w:p>
    <w:p>
      <w:pPr>
        <w:pStyle w:val="24"/>
        <w:snapToGrid w:val="0"/>
        <w:spacing w:line="360" w:lineRule="auto"/>
        <w:rPr>
          <w:rFonts w:ascii="仿宋" w:hAnsi="仿宋" w:eastAsia="仿宋" w:cs="仿宋"/>
        </w:rPr>
      </w:pPr>
      <w:r>
        <w:rPr>
          <w:rFonts w:hint="eastAsia" w:ascii="仿宋" w:hAnsi="仿宋" w:eastAsia="仿宋" w:cs="仿宋"/>
        </w:rPr>
        <w:t>法定代表人（或委托代理人）签名：   法定代表人（或委托代理人）签名：</w:t>
      </w:r>
    </w:p>
    <w:p>
      <w:pPr>
        <w:pStyle w:val="24"/>
        <w:snapToGrid w:val="0"/>
        <w:spacing w:line="360" w:lineRule="auto"/>
        <w:rPr>
          <w:rFonts w:ascii="仿宋" w:hAnsi="仿宋" w:eastAsia="仿宋" w:cs="仿宋"/>
        </w:rPr>
      </w:pPr>
      <w:r>
        <w:rPr>
          <w:rFonts w:hint="eastAsia" w:ascii="仿宋" w:hAnsi="仿宋" w:eastAsia="仿宋" w:cs="仿宋"/>
        </w:rPr>
        <w:t xml:space="preserve">                     </w:t>
      </w:r>
    </w:p>
    <w:p>
      <w:pPr>
        <w:pStyle w:val="24"/>
        <w:snapToGrid w:val="0"/>
        <w:spacing w:line="360" w:lineRule="auto"/>
        <w:rPr>
          <w:rFonts w:ascii="仿宋" w:hAnsi="仿宋" w:eastAsia="仿宋" w:cs="仿宋"/>
        </w:rPr>
      </w:pPr>
      <w:r>
        <w:rPr>
          <w:rFonts w:hint="eastAsia" w:ascii="仿宋" w:hAnsi="仿宋" w:eastAsia="仿宋" w:cs="仿宋"/>
        </w:rPr>
        <w:t>联系电话：                         联系电话：</w:t>
      </w:r>
    </w:p>
    <w:p>
      <w:pPr>
        <w:pStyle w:val="24"/>
        <w:snapToGrid w:val="0"/>
        <w:spacing w:line="360" w:lineRule="auto"/>
        <w:rPr>
          <w:rFonts w:ascii="仿宋" w:hAnsi="仿宋" w:eastAsia="仿宋" w:cs="仿宋"/>
        </w:rPr>
      </w:pPr>
      <w:r>
        <w:rPr>
          <w:rFonts w:hint="eastAsia" w:ascii="仿宋" w:hAnsi="仿宋" w:eastAsia="仿宋" w:cs="仿宋"/>
        </w:rPr>
        <w:t>邮政编码：                         邮政编码：</w:t>
      </w:r>
    </w:p>
    <w:p>
      <w:pPr>
        <w:pStyle w:val="24"/>
        <w:snapToGrid w:val="0"/>
        <w:spacing w:line="360" w:lineRule="auto"/>
        <w:rPr>
          <w:rFonts w:ascii="仿宋" w:hAnsi="仿宋" w:eastAsia="仿宋" w:cs="仿宋"/>
        </w:rPr>
      </w:pPr>
      <w:r>
        <w:rPr>
          <w:rFonts w:hint="eastAsia" w:ascii="仿宋" w:hAnsi="仿宋" w:eastAsia="仿宋" w:cs="仿宋"/>
        </w:rPr>
        <w:t xml:space="preserve">开户银行：                         开户银行：    </w:t>
      </w:r>
    </w:p>
    <w:p>
      <w:pPr>
        <w:pStyle w:val="24"/>
        <w:snapToGrid w:val="0"/>
        <w:spacing w:line="360" w:lineRule="auto"/>
        <w:rPr>
          <w:rFonts w:ascii="仿宋" w:hAnsi="仿宋" w:eastAsia="仿宋" w:cs="仿宋"/>
        </w:rPr>
      </w:pPr>
      <w:r>
        <w:rPr>
          <w:rFonts w:hint="eastAsia" w:ascii="仿宋" w:hAnsi="仿宋" w:eastAsia="仿宋" w:cs="仿宋"/>
        </w:rPr>
        <w:t>帐号：                             帐号：</w:t>
      </w:r>
    </w:p>
    <w:p>
      <w:pPr>
        <w:pStyle w:val="24"/>
        <w:snapToGrid w:val="0"/>
        <w:spacing w:line="360" w:lineRule="auto"/>
        <w:rPr>
          <w:rFonts w:ascii="仿宋" w:hAnsi="仿宋" w:eastAsia="仿宋" w:cs="仿宋"/>
        </w:rPr>
      </w:pPr>
    </w:p>
    <w:p>
      <w:pPr>
        <w:pStyle w:val="24"/>
        <w:snapToGrid w:val="0"/>
        <w:spacing w:line="360" w:lineRule="auto"/>
        <w:jc w:val="center"/>
        <w:rPr>
          <w:rFonts w:ascii="仿宋" w:hAnsi="仿宋" w:eastAsia="仿宋" w:cs="仿宋"/>
        </w:rPr>
      </w:pPr>
      <w:r>
        <w:rPr>
          <w:rFonts w:hint="eastAsia" w:ascii="仿宋" w:hAnsi="仿宋" w:eastAsia="仿宋" w:cs="仿宋"/>
        </w:rPr>
        <w:br w:type="page"/>
      </w:r>
      <w:r>
        <w:rPr>
          <w:rFonts w:hint="eastAsia" w:ascii="仿宋" w:hAnsi="仿宋" w:eastAsia="仿宋" w:cs="仿宋"/>
        </w:rPr>
        <w:t>（服务类参考样本）</w:t>
      </w:r>
    </w:p>
    <w:p>
      <w:pPr>
        <w:pStyle w:val="24"/>
        <w:snapToGrid w:val="0"/>
        <w:spacing w:line="360" w:lineRule="auto"/>
        <w:rPr>
          <w:rFonts w:ascii="仿宋" w:hAnsi="仿宋" w:eastAsia="仿宋" w:cs="仿宋"/>
        </w:rPr>
      </w:pPr>
      <w:r>
        <w:rPr>
          <w:rFonts w:hint="eastAsia" w:ascii="仿宋" w:hAnsi="仿宋" w:eastAsia="仿宋" w:cs="仿宋"/>
        </w:rPr>
        <w:t>合同编号：</w:t>
      </w:r>
    </w:p>
    <w:p>
      <w:pPr>
        <w:pStyle w:val="24"/>
        <w:snapToGrid w:val="0"/>
        <w:spacing w:line="360" w:lineRule="auto"/>
        <w:rPr>
          <w:rFonts w:ascii="仿宋" w:hAnsi="仿宋" w:eastAsia="仿宋" w:cs="仿宋"/>
        </w:rPr>
      </w:pPr>
      <w:r>
        <w:rPr>
          <w:rFonts w:hint="eastAsia" w:ascii="仿宋" w:hAnsi="仿宋" w:eastAsia="仿宋" w:cs="仿宋"/>
        </w:rPr>
        <w:t>签订地点：                                 签订时间：20* 年  月  日</w:t>
      </w:r>
    </w:p>
    <w:p>
      <w:pPr>
        <w:pStyle w:val="24"/>
        <w:snapToGrid w:val="0"/>
        <w:spacing w:line="360" w:lineRule="auto"/>
        <w:rPr>
          <w:rFonts w:ascii="仿宋" w:hAnsi="仿宋" w:eastAsia="仿宋" w:cs="仿宋"/>
        </w:rPr>
      </w:pPr>
      <w:r>
        <w:rPr>
          <w:rFonts w:hint="eastAsia" w:ascii="仿宋" w:hAnsi="仿宋" w:eastAsia="仿宋" w:cs="仿宋"/>
        </w:rPr>
        <w:t>项目名称：</w:t>
      </w:r>
    </w:p>
    <w:p>
      <w:pPr>
        <w:pStyle w:val="24"/>
        <w:snapToGrid w:val="0"/>
        <w:spacing w:line="360" w:lineRule="auto"/>
        <w:rPr>
          <w:rFonts w:ascii="仿宋" w:hAnsi="仿宋" w:eastAsia="仿宋" w:cs="仿宋"/>
        </w:rPr>
      </w:pPr>
      <w:r>
        <w:rPr>
          <w:rFonts w:hint="eastAsia" w:ascii="仿宋" w:hAnsi="仿宋" w:eastAsia="仿宋" w:cs="仿宋"/>
        </w:rPr>
        <w:t xml:space="preserve">甲方（需方）：                                     </w:t>
      </w:r>
    </w:p>
    <w:p>
      <w:pPr>
        <w:pStyle w:val="24"/>
        <w:snapToGrid w:val="0"/>
        <w:spacing w:line="360" w:lineRule="auto"/>
        <w:rPr>
          <w:rFonts w:ascii="仿宋" w:hAnsi="仿宋" w:eastAsia="仿宋" w:cs="仿宋"/>
        </w:rPr>
      </w:pPr>
      <w:r>
        <w:rPr>
          <w:rFonts w:hint="eastAsia" w:ascii="仿宋" w:hAnsi="仿宋" w:eastAsia="仿宋" w:cs="仿宋"/>
        </w:rPr>
        <w:t xml:space="preserve">乙方（供方）：                                     </w:t>
      </w:r>
    </w:p>
    <w:p>
      <w:pPr>
        <w:pStyle w:val="24"/>
        <w:snapToGrid w:val="0"/>
        <w:spacing w:line="360" w:lineRule="auto"/>
        <w:rPr>
          <w:rFonts w:ascii="仿宋" w:hAnsi="仿宋" w:eastAsia="仿宋" w:cs="仿宋"/>
        </w:rPr>
      </w:pPr>
      <w:r>
        <w:rPr>
          <w:rFonts w:hint="eastAsia" w:ascii="仿宋" w:hAnsi="仿宋" w:eastAsia="仿宋" w:cs="仿宋"/>
        </w:rPr>
        <w:t>供、需双方根据杭州市萧山区                             项目（招标编号 -  -   ）招标结果和招标文件的要求，并经双方协调一致，订立本采购合同。</w:t>
      </w:r>
    </w:p>
    <w:p>
      <w:pPr>
        <w:pStyle w:val="24"/>
        <w:snapToGrid w:val="0"/>
        <w:spacing w:line="360" w:lineRule="auto"/>
        <w:rPr>
          <w:rFonts w:ascii="仿宋" w:hAnsi="仿宋" w:eastAsia="仿宋" w:cs="仿宋"/>
        </w:rPr>
      </w:pPr>
      <w:r>
        <w:rPr>
          <w:rFonts w:hint="eastAsia" w:ascii="仿宋" w:hAnsi="仿宋" w:eastAsia="仿宋" w:cs="仿宋"/>
        </w:rPr>
        <w:t>一、合同文件：</w:t>
      </w:r>
    </w:p>
    <w:p>
      <w:pPr>
        <w:pStyle w:val="24"/>
        <w:snapToGrid w:val="0"/>
        <w:spacing w:line="360" w:lineRule="auto"/>
        <w:rPr>
          <w:rFonts w:ascii="仿宋" w:hAnsi="仿宋" w:eastAsia="仿宋" w:cs="仿宋"/>
        </w:rPr>
      </w:pPr>
      <w:r>
        <w:rPr>
          <w:rFonts w:hint="eastAsia" w:ascii="仿宋" w:hAnsi="仿宋" w:eastAsia="仿宋" w:cs="仿宋"/>
        </w:rPr>
        <w:t>1、合同条款。</w:t>
      </w:r>
    </w:p>
    <w:p>
      <w:pPr>
        <w:pStyle w:val="24"/>
        <w:snapToGrid w:val="0"/>
        <w:spacing w:line="360" w:lineRule="auto"/>
        <w:rPr>
          <w:rFonts w:ascii="仿宋" w:hAnsi="仿宋" w:eastAsia="仿宋" w:cs="仿宋"/>
        </w:rPr>
      </w:pPr>
      <w:r>
        <w:rPr>
          <w:rFonts w:hint="eastAsia" w:ascii="仿宋" w:hAnsi="仿宋" w:eastAsia="仿宋" w:cs="仿宋"/>
        </w:rPr>
        <w:t>2、中标通知书。</w:t>
      </w:r>
    </w:p>
    <w:p>
      <w:pPr>
        <w:pStyle w:val="24"/>
        <w:snapToGrid w:val="0"/>
        <w:spacing w:line="360" w:lineRule="auto"/>
        <w:rPr>
          <w:rFonts w:ascii="仿宋" w:hAnsi="仿宋" w:eastAsia="仿宋" w:cs="仿宋"/>
        </w:rPr>
      </w:pPr>
      <w:r>
        <w:rPr>
          <w:rFonts w:hint="eastAsia" w:ascii="仿宋" w:hAnsi="仿宋" w:eastAsia="仿宋" w:cs="仿宋"/>
        </w:rPr>
        <w:t>3、招标文件。</w:t>
      </w:r>
    </w:p>
    <w:p>
      <w:pPr>
        <w:pStyle w:val="24"/>
        <w:snapToGrid w:val="0"/>
        <w:spacing w:line="360" w:lineRule="auto"/>
        <w:rPr>
          <w:rFonts w:ascii="仿宋" w:hAnsi="仿宋" w:eastAsia="仿宋" w:cs="仿宋"/>
        </w:rPr>
      </w:pPr>
      <w:r>
        <w:rPr>
          <w:rFonts w:hint="eastAsia" w:ascii="仿宋" w:hAnsi="仿宋" w:eastAsia="仿宋" w:cs="仿宋"/>
        </w:rPr>
        <w:t>4、更正公告。</w:t>
      </w:r>
    </w:p>
    <w:p>
      <w:pPr>
        <w:pStyle w:val="24"/>
        <w:snapToGrid w:val="0"/>
        <w:spacing w:line="360" w:lineRule="auto"/>
        <w:rPr>
          <w:rFonts w:ascii="仿宋" w:hAnsi="仿宋" w:eastAsia="仿宋" w:cs="仿宋"/>
        </w:rPr>
      </w:pPr>
      <w:r>
        <w:rPr>
          <w:rFonts w:hint="eastAsia" w:ascii="仿宋" w:hAnsi="仿宋" w:eastAsia="仿宋" w:cs="仿宋"/>
        </w:rPr>
        <w:t>5、中标单位投标文件。</w:t>
      </w:r>
    </w:p>
    <w:p>
      <w:pPr>
        <w:pStyle w:val="24"/>
        <w:snapToGrid w:val="0"/>
        <w:spacing w:line="360" w:lineRule="auto"/>
        <w:rPr>
          <w:rFonts w:ascii="仿宋" w:hAnsi="仿宋" w:eastAsia="仿宋" w:cs="仿宋"/>
        </w:rPr>
      </w:pPr>
      <w:r>
        <w:rPr>
          <w:rFonts w:hint="eastAsia" w:ascii="仿宋" w:hAnsi="仿宋" w:eastAsia="仿宋" w:cs="仿宋"/>
        </w:rPr>
        <w:t>6、其他。</w:t>
      </w:r>
    </w:p>
    <w:p>
      <w:pPr>
        <w:pStyle w:val="24"/>
        <w:snapToGrid w:val="0"/>
        <w:spacing w:line="360" w:lineRule="auto"/>
        <w:rPr>
          <w:rFonts w:ascii="仿宋" w:hAnsi="仿宋" w:eastAsia="仿宋" w:cs="仿宋"/>
        </w:rPr>
      </w:pPr>
      <w:r>
        <w:rPr>
          <w:rFonts w:hint="eastAsia" w:ascii="仿宋" w:hAnsi="仿宋" w:eastAsia="仿宋" w:cs="仿宋"/>
        </w:rPr>
        <w:t>二、合同金额: 本合同金额为(大写)_________________元（￥　　　　元）人民币附：</w:t>
      </w:r>
    </w:p>
    <w:p>
      <w:pPr>
        <w:pStyle w:val="24"/>
        <w:snapToGrid w:val="0"/>
        <w:spacing w:line="360" w:lineRule="auto"/>
        <w:rPr>
          <w:rFonts w:ascii="仿宋" w:hAnsi="仿宋" w:eastAsia="仿宋" w:cs="仿宋"/>
        </w:rPr>
      </w:pPr>
      <w:r>
        <w:rPr>
          <w:rFonts w:hint="eastAsia" w:ascii="仿宋" w:hAnsi="仿宋" w:eastAsia="仿宋" w:cs="仿宋"/>
        </w:rPr>
        <w:t>《采购项目清单内容》</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r>
              <w:rPr>
                <w:rFonts w:hint="eastAsia" w:ascii="仿宋" w:hAnsi="仿宋" w:eastAsia="仿宋" w:cs="仿宋"/>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r>
              <w:rPr>
                <w:rFonts w:hint="eastAsia" w:ascii="仿宋" w:hAnsi="仿宋" w:eastAsia="仿宋" w:cs="仿宋"/>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r>
              <w:rPr>
                <w:rFonts w:hint="eastAsia" w:ascii="仿宋" w:hAnsi="仿宋" w:eastAsia="仿宋" w:cs="仿宋"/>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r>
              <w:rPr>
                <w:rFonts w:hint="eastAsia" w:ascii="仿宋" w:hAnsi="仿宋" w:eastAsia="仿宋" w:cs="仿宋"/>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r>
              <w:rPr>
                <w:rFonts w:hint="eastAsia" w:ascii="仿宋" w:hAnsi="仿宋" w:eastAsia="仿宋" w:cs="仿宋"/>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r>
              <w:rPr>
                <w:rFonts w:hint="eastAsia" w:ascii="仿宋" w:hAnsi="仿宋" w:eastAsia="仿宋" w:cs="仿宋"/>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r>
              <w:rPr>
                <w:rFonts w:hint="eastAsia" w:ascii="仿宋" w:hAnsi="仿宋" w:eastAsia="仿宋" w:cs="仿宋"/>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r>
              <w:rPr>
                <w:rFonts w:hint="eastAsia" w:ascii="仿宋" w:hAnsi="仿宋" w:eastAsia="仿宋" w:cs="仿宋"/>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
              </w:rPr>
            </w:pPr>
          </w:p>
        </w:tc>
      </w:tr>
    </w:tbl>
    <w:p>
      <w:pPr>
        <w:pStyle w:val="24"/>
        <w:snapToGrid w:val="0"/>
        <w:spacing w:line="360" w:lineRule="auto"/>
        <w:rPr>
          <w:rFonts w:ascii="仿宋" w:hAnsi="仿宋" w:eastAsia="仿宋" w:cs="仿宋"/>
        </w:rPr>
      </w:pPr>
      <w:r>
        <w:rPr>
          <w:rFonts w:hint="eastAsia" w:ascii="仿宋" w:hAnsi="仿宋" w:eastAsia="仿宋" w:cs="仿宋"/>
        </w:rPr>
        <w:t>三、技术资料</w:t>
      </w:r>
    </w:p>
    <w:p>
      <w:pPr>
        <w:pStyle w:val="24"/>
        <w:snapToGrid w:val="0"/>
        <w:spacing w:line="360" w:lineRule="auto"/>
        <w:rPr>
          <w:rFonts w:ascii="仿宋" w:hAnsi="仿宋" w:eastAsia="仿宋" w:cs="仿宋"/>
        </w:rPr>
      </w:pPr>
      <w:r>
        <w:rPr>
          <w:rFonts w:hint="eastAsia" w:ascii="仿宋" w:hAnsi="仿宋" w:eastAsia="仿宋" w:cs="仿宋"/>
        </w:rPr>
        <w:t>1.乙方应按招标文件规定的时间向甲方提供有关技术资料。</w:t>
      </w:r>
    </w:p>
    <w:p>
      <w:pPr>
        <w:pStyle w:val="24"/>
        <w:snapToGrid w:val="0"/>
        <w:spacing w:line="360" w:lineRule="auto"/>
        <w:rPr>
          <w:rFonts w:ascii="仿宋" w:hAnsi="仿宋" w:eastAsia="仿宋" w:cs="仿宋"/>
        </w:rPr>
      </w:pPr>
      <w:r>
        <w:rPr>
          <w:rFonts w:hint="eastAsia" w:ascii="仿宋" w:hAnsi="仿宋" w:eastAsia="仿宋" w:cs="仿宋"/>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snapToGrid w:val="0"/>
        <w:spacing w:line="360" w:lineRule="auto"/>
        <w:rPr>
          <w:rFonts w:ascii="仿宋" w:hAnsi="仿宋" w:eastAsia="仿宋" w:cs="仿宋"/>
        </w:rPr>
      </w:pPr>
      <w:r>
        <w:rPr>
          <w:rFonts w:hint="eastAsia" w:ascii="仿宋" w:hAnsi="仿宋" w:eastAsia="仿宋" w:cs="仿宋"/>
        </w:rPr>
        <w:t>四、知识产权</w:t>
      </w:r>
    </w:p>
    <w:p>
      <w:pPr>
        <w:pStyle w:val="24"/>
        <w:snapToGrid w:val="0"/>
        <w:spacing w:line="360" w:lineRule="auto"/>
        <w:rPr>
          <w:rFonts w:ascii="仿宋" w:hAnsi="仿宋" w:eastAsia="仿宋" w:cs="仿宋"/>
        </w:rPr>
      </w:pPr>
      <w:r>
        <w:rPr>
          <w:rFonts w:hint="eastAsia" w:ascii="仿宋" w:hAnsi="仿宋" w:eastAsia="仿宋" w:cs="仿宋"/>
        </w:rPr>
        <w:t>乙方应保证提供服务过程中不会侵犯任何第三方的知识产权。</w:t>
      </w:r>
    </w:p>
    <w:p>
      <w:pPr>
        <w:pStyle w:val="24"/>
        <w:snapToGrid w:val="0"/>
        <w:spacing w:line="360" w:lineRule="auto"/>
        <w:rPr>
          <w:rFonts w:ascii="仿宋" w:hAnsi="仿宋" w:eastAsia="仿宋" w:cs="仿宋"/>
        </w:rPr>
      </w:pPr>
      <w:r>
        <w:rPr>
          <w:rFonts w:hint="eastAsia" w:ascii="仿宋" w:hAnsi="仿宋" w:eastAsia="仿宋" w:cs="仿宋"/>
        </w:rPr>
        <w:t>五、履约保证金</w:t>
      </w:r>
    </w:p>
    <w:p>
      <w:pPr>
        <w:pStyle w:val="24"/>
        <w:snapToGrid w:val="0"/>
        <w:spacing w:line="360" w:lineRule="auto"/>
        <w:rPr>
          <w:rFonts w:ascii="仿宋" w:hAnsi="仿宋" w:eastAsia="仿宋" w:cs="仿宋"/>
        </w:rPr>
      </w:pPr>
      <w:r>
        <w:rPr>
          <w:rFonts w:hint="eastAsia" w:ascii="仿宋" w:hAnsi="仿宋" w:eastAsia="仿宋" w:cs="仿宋"/>
        </w:rPr>
        <w:t>本合同履约保证金    元。（乙方应当以支票、汇票、本票或者金融机构、担保机构出具的保函等非现金形式提交。）</w:t>
      </w:r>
    </w:p>
    <w:p>
      <w:pPr>
        <w:pStyle w:val="24"/>
        <w:snapToGrid w:val="0"/>
        <w:spacing w:line="360" w:lineRule="auto"/>
        <w:rPr>
          <w:rFonts w:ascii="仿宋" w:hAnsi="仿宋" w:eastAsia="仿宋" w:cs="仿宋"/>
        </w:rPr>
      </w:pPr>
      <w:r>
        <w:rPr>
          <w:rFonts w:hint="eastAsia" w:ascii="仿宋" w:hAnsi="仿宋" w:eastAsia="仿宋" w:cs="仿宋"/>
        </w:rPr>
        <w:t>六、转包或分包</w:t>
      </w:r>
    </w:p>
    <w:p>
      <w:pPr>
        <w:pStyle w:val="24"/>
        <w:snapToGrid w:val="0"/>
        <w:spacing w:line="360" w:lineRule="auto"/>
        <w:rPr>
          <w:rFonts w:ascii="仿宋" w:hAnsi="仿宋" w:eastAsia="仿宋" w:cs="仿宋"/>
        </w:rPr>
      </w:pPr>
      <w:r>
        <w:rPr>
          <w:rFonts w:hint="eastAsia" w:ascii="仿宋" w:hAnsi="仿宋" w:eastAsia="仿宋" w:cs="仿宋"/>
        </w:rPr>
        <w:t>1.本合同范围的服务，应由乙方直接供应，不得转让他人供应；</w:t>
      </w:r>
    </w:p>
    <w:p>
      <w:pPr>
        <w:pStyle w:val="24"/>
        <w:snapToGrid w:val="0"/>
        <w:spacing w:line="360" w:lineRule="auto"/>
        <w:rPr>
          <w:rFonts w:ascii="仿宋" w:hAnsi="仿宋" w:eastAsia="仿宋" w:cs="仿宋"/>
        </w:rPr>
      </w:pPr>
      <w:r>
        <w:rPr>
          <w:rFonts w:hint="eastAsia" w:ascii="仿宋" w:hAnsi="仿宋" w:eastAsia="仿宋" w:cs="仿宋"/>
        </w:rPr>
        <w:t>2.除非得到甲方的书面同意，乙方不得将本合同范围的服务全部或部分分包给他人供应；</w:t>
      </w:r>
    </w:p>
    <w:p>
      <w:pPr>
        <w:pStyle w:val="24"/>
        <w:snapToGrid w:val="0"/>
        <w:spacing w:line="360" w:lineRule="auto"/>
        <w:rPr>
          <w:rFonts w:ascii="仿宋" w:hAnsi="仿宋" w:eastAsia="仿宋" w:cs="仿宋"/>
        </w:rPr>
      </w:pPr>
      <w:r>
        <w:rPr>
          <w:rFonts w:hint="eastAsia" w:ascii="仿宋" w:hAnsi="仿宋" w:eastAsia="仿宋" w:cs="仿宋"/>
        </w:rPr>
        <w:t>3.如有转让和未经甲方同意的分包行为，甲方有权解除合同，没收履约保证金并追究乙方的违约责任。</w:t>
      </w:r>
    </w:p>
    <w:p>
      <w:pPr>
        <w:pStyle w:val="24"/>
        <w:snapToGrid w:val="0"/>
        <w:spacing w:line="360" w:lineRule="auto"/>
        <w:rPr>
          <w:rFonts w:ascii="仿宋" w:hAnsi="仿宋" w:eastAsia="仿宋" w:cs="仿宋"/>
        </w:rPr>
      </w:pPr>
      <w:r>
        <w:rPr>
          <w:rFonts w:hint="eastAsia" w:ascii="仿宋" w:hAnsi="仿宋" w:eastAsia="仿宋" w:cs="仿宋"/>
        </w:rPr>
        <w:t>七、服务质量保证期</w:t>
      </w:r>
    </w:p>
    <w:p>
      <w:pPr>
        <w:pStyle w:val="24"/>
        <w:snapToGrid w:val="0"/>
        <w:spacing w:line="360" w:lineRule="auto"/>
        <w:rPr>
          <w:rFonts w:ascii="仿宋" w:hAnsi="仿宋" w:eastAsia="仿宋" w:cs="仿宋"/>
        </w:rPr>
      </w:pPr>
      <w:r>
        <w:rPr>
          <w:rFonts w:hint="eastAsia" w:ascii="仿宋" w:hAnsi="仿宋" w:eastAsia="仿宋" w:cs="仿宋"/>
        </w:rPr>
        <w:t>1. 服务质量保证期      年。（自验收合格之日起计）</w:t>
      </w:r>
    </w:p>
    <w:p>
      <w:pPr>
        <w:pStyle w:val="24"/>
        <w:snapToGrid w:val="0"/>
        <w:spacing w:line="360" w:lineRule="auto"/>
        <w:rPr>
          <w:rFonts w:ascii="仿宋" w:hAnsi="仿宋" w:eastAsia="仿宋" w:cs="仿宋"/>
        </w:rPr>
      </w:pPr>
      <w:r>
        <w:rPr>
          <w:rFonts w:hint="eastAsia" w:ascii="仿宋" w:hAnsi="仿宋" w:eastAsia="仿宋" w:cs="仿宋"/>
        </w:rPr>
        <w:t>八、合同履行时间、履行方式及履行地点</w:t>
      </w:r>
    </w:p>
    <w:p>
      <w:pPr>
        <w:pStyle w:val="24"/>
        <w:snapToGrid w:val="0"/>
        <w:spacing w:line="360" w:lineRule="auto"/>
        <w:rPr>
          <w:rFonts w:ascii="仿宋" w:hAnsi="仿宋" w:eastAsia="仿宋" w:cs="仿宋"/>
        </w:rPr>
      </w:pPr>
      <w:r>
        <w:rPr>
          <w:rFonts w:hint="eastAsia" w:ascii="仿宋" w:hAnsi="仿宋" w:eastAsia="仿宋" w:cs="仿宋"/>
        </w:rPr>
        <w:t>1. 履行时间：</w:t>
      </w:r>
    </w:p>
    <w:p>
      <w:pPr>
        <w:pStyle w:val="24"/>
        <w:snapToGrid w:val="0"/>
        <w:spacing w:line="360" w:lineRule="auto"/>
        <w:rPr>
          <w:rFonts w:ascii="仿宋" w:hAnsi="仿宋" w:eastAsia="仿宋" w:cs="仿宋"/>
        </w:rPr>
      </w:pPr>
      <w:r>
        <w:rPr>
          <w:rFonts w:hint="eastAsia" w:ascii="仿宋" w:hAnsi="仿宋" w:eastAsia="仿宋" w:cs="仿宋"/>
        </w:rPr>
        <w:t>2. 履行方式：</w:t>
      </w:r>
    </w:p>
    <w:p>
      <w:pPr>
        <w:pStyle w:val="24"/>
        <w:snapToGrid w:val="0"/>
        <w:spacing w:line="360" w:lineRule="auto"/>
        <w:rPr>
          <w:rFonts w:ascii="仿宋" w:hAnsi="仿宋" w:eastAsia="仿宋" w:cs="仿宋"/>
        </w:rPr>
      </w:pPr>
      <w:r>
        <w:rPr>
          <w:rFonts w:hint="eastAsia" w:ascii="仿宋" w:hAnsi="仿宋" w:eastAsia="仿宋" w:cs="仿宋"/>
        </w:rPr>
        <w:t>3. 履行地点：</w:t>
      </w:r>
    </w:p>
    <w:p>
      <w:pPr>
        <w:pStyle w:val="24"/>
        <w:snapToGrid w:val="0"/>
        <w:spacing w:line="360" w:lineRule="auto"/>
        <w:rPr>
          <w:rFonts w:ascii="仿宋" w:hAnsi="仿宋" w:eastAsia="仿宋" w:cs="仿宋"/>
        </w:rPr>
      </w:pPr>
      <w:r>
        <w:rPr>
          <w:rFonts w:hint="eastAsia" w:ascii="仿宋" w:hAnsi="仿宋" w:eastAsia="仿宋" w:cs="仿宋"/>
        </w:rPr>
        <w:t>九、款项支付</w:t>
      </w:r>
    </w:p>
    <w:p>
      <w:pPr>
        <w:pStyle w:val="24"/>
        <w:snapToGrid w:val="0"/>
        <w:spacing w:line="360" w:lineRule="auto"/>
        <w:rPr>
          <w:rFonts w:ascii="仿宋" w:hAnsi="仿宋" w:eastAsia="仿宋" w:cs="仿宋"/>
        </w:rPr>
      </w:pPr>
      <w:r>
        <w:rPr>
          <w:rFonts w:hint="eastAsia" w:ascii="仿宋" w:hAnsi="仿宋" w:eastAsia="仿宋" w:cs="仿宋"/>
        </w:rPr>
        <w:t>1.付款方式：</w:t>
      </w:r>
    </w:p>
    <w:p>
      <w:pPr>
        <w:pStyle w:val="24"/>
        <w:snapToGrid w:val="0"/>
        <w:spacing w:line="360" w:lineRule="auto"/>
        <w:rPr>
          <w:rFonts w:ascii="仿宋" w:hAnsi="仿宋" w:eastAsia="仿宋" w:cs="仿宋"/>
        </w:rPr>
      </w:pPr>
      <w:r>
        <w:rPr>
          <w:rFonts w:hint="eastAsia" w:ascii="仿宋" w:hAnsi="仿宋" w:eastAsia="仿宋" w:cs="仿宋"/>
        </w:rPr>
        <w:t>2.合同履行完毕，需方根据合同进行验收，验收合格后供应商按财政结算要求办理货款结算手续。</w:t>
      </w:r>
    </w:p>
    <w:p>
      <w:pPr>
        <w:pStyle w:val="24"/>
        <w:snapToGrid w:val="0"/>
        <w:spacing w:line="360" w:lineRule="auto"/>
        <w:rPr>
          <w:rFonts w:ascii="仿宋" w:hAnsi="仿宋" w:eastAsia="仿宋" w:cs="仿宋"/>
        </w:rPr>
      </w:pPr>
      <w:r>
        <w:rPr>
          <w:rFonts w:hint="eastAsia" w:ascii="仿宋" w:hAnsi="仿宋" w:eastAsia="仿宋" w:cs="仿宋"/>
        </w:rPr>
        <w:t>十、税费</w:t>
      </w:r>
    </w:p>
    <w:p>
      <w:pPr>
        <w:pStyle w:val="24"/>
        <w:snapToGrid w:val="0"/>
        <w:spacing w:line="360" w:lineRule="auto"/>
        <w:rPr>
          <w:rFonts w:ascii="仿宋" w:hAnsi="仿宋" w:eastAsia="仿宋" w:cs="仿宋"/>
        </w:rPr>
      </w:pPr>
      <w:r>
        <w:rPr>
          <w:rFonts w:hint="eastAsia" w:ascii="仿宋" w:hAnsi="仿宋" w:eastAsia="仿宋" w:cs="仿宋"/>
        </w:rPr>
        <w:t>本合同执行中相关的一切税费均由乙方负担。</w:t>
      </w:r>
    </w:p>
    <w:p>
      <w:pPr>
        <w:pStyle w:val="24"/>
        <w:snapToGrid w:val="0"/>
        <w:spacing w:line="360" w:lineRule="auto"/>
        <w:rPr>
          <w:rFonts w:ascii="仿宋" w:hAnsi="仿宋" w:eastAsia="仿宋" w:cs="仿宋"/>
        </w:rPr>
      </w:pPr>
      <w:r>
        <w:rPr>
          <w:rFonts w:hint="eastAsia" w:ascii="仿宋" w:hAnsi="仿宋" w:eastAsia="仿宋" w:cs="仿宋"/>
        </w:rPr>
        <w:t>十一、质量保证及后续服务</w:t>
      </w:r>
    </w:p>
    <w:p>
      <w:pPr>
        <w:pStyle w:val="24"/>
        <w:snapToGrid w:val="0"/>
        <w:spacing w:line="360" w:lineRule="auto"/>
        <w:rPr>
          <w:rFonts w:ascii="仿宋" w:hAnsi="仿宋" w:eastAsia="仿宋" w:cs="仿宋"/>
        </w:rPr>
      </w:pPr>
      <w:r>
        <w:rPr>
          <w:rFonts w:hint="eastAsia" w:ascii="仿宋" w:hAnsi="仿宋" w:eastAsia="仿宋" w:cs="仿宋"/>
        </w:rPr>
        <w:t>1. 乙方应按招标文件规定向甲方提供服务。</w:t>
      </w:r>
    </w:p>
    <w:p>
      <w:pPr>
        <w:pStyle w:val="24"/>
        <w:snapToGrid w:val="0"/>
        <w:spacing w:line="360" w:lineRule="auto"/>
        <w:rPr>
          <w:rFonts w:ascii="仿宋" w:hAnsi="仿宋" w:eastAsia="仿宋" w:cs="仿宋"/>
        </w:rPr>
      </w:pPr>
      <w:r>
        <w:rPr>
          <w:rFonts w:hint="eastAsia" w:ascii="仿宋" w:hAnsi="仿宋" w:eastAsia="仿宋" w:cs="仿宋"/>
        </w:rPr>
        <w:t>2. 乙方提供的服务成果在服务质量保证期内发生故障，乙方应负责免费提供后续服务。对达不到要求者，根据实际情况，经双方协商，可按以下办法处理：</w:t>
      </w:r>
    </w:p>
    <w:p>
      <w:pPr>
        <w:pStyle w:val="24"/>
        <w:snapToGrid w:val="0"/>
        <w:spacing w:line="360" w:lineRule="auto"/>
        <w:rPr>
          <w:rFonts w:ascii="仿宋" w:hAnsi="仿宋" w:eastAsia="仿宋" w:cs="仿宋"/>
        </w:rPr>
      </w:pPr>
      <w:r>
        <w:rPr>
          <w:rFonts w:hint="eastAsia" w:ascii="仿宋" w:hAnsi="仿宋" w:eastAsia="仿宋" w:cs="仿宋"/>
        </w:rPr>
        <w:t>⑴重做：由乙方承担所发生的全部费用。</w:t>
      </w:r>
    </w:p>
    <w:p>
      <w:pPr>
        <w:pStyle w:val="24"/>
        <w:snapToGrid w:val="0"/>
        <w:spacing w:line="360" w:lineRule="auto"/>
        <w:rPr>
          <w:rFonts w:ascii="仿宋" w:hAnsi="仿宋" w:eastAsia="仿宋" w:cs="仿宋"/>
        </w:rPr>
      </w:pPr>
      <w:r>
        <w:rPr>
          <w:rFonts w:hint="eastAsia" w:ascii="仿宋" w:hAnsi="仿宋" w:eastAsia="仿宋" w:cs="仿宋"/>
        </w:rPr>
        <w:t>⑵贬值处理：由甲乙双方合议定价。</w:t>
      </w:r>
    </w:p>
    <w:p>
      <w:pPr>
        <w:pStyle w:val="24"/>
        <w:snapToGrid w:val="0"/>
        <w:spacing w:line="360" w:lineRule="auto"/>
        <w:rPr>
          <w:rFonts w:ascii="仿宋" w:hAnsi="仿宋" w:eastAsia="仿宋" w:cs="仿宋"/>
        </w:rPr>
      </w:pPr>
      <w:r>
        <w:rPr>
          <w:rFonts w:hint="eastAsia" w:ascii="仿宋" w:hAnsi="仿宋" w:eastAsia="仿宋" w:cs="仿宋"/>
        </w:rPr>
        <w:t>⑶解除合同。</w:t>
      </w:r>
    </w:p>
    <w:p>
      <w:pPr>
        <w:pStyle w:val="24"/>
        <w:snapToGrid w:val="0"/>
        <w:spacing w:line="360" w:lineRule="auto"/>
        <w:rPr>
          <w:rFonts w:ascii="仿宋" w:hAnsi="仿宋" w:eastAsia="仿宋" w:cs="仿宋"/>
        </w:rPr>
      </w:pPr>
      <w:r>
        <w:rPr>
          <w:rFonts w:hint="eastAsia" w:ascii="仿宋" w:hAnsi="仿宋" w:eastAsia="仿宋" w:cs="仿宋"/>
        </w:rPr>
        <w:t>3. 如在使用过程中发生问题，乙方在接到甲方通知后在   小时内到达甲方现场。</w:t>
      </w:r>
    </w:p>
    <w:p>
      <w:pPr>
        <w:pStyle w:val="24"/>
        <w:snapToGrid w:val="0"/>
        <w:spacing w:line="360" w:lineRule="auto"/>
        <w:rPr>
          <w:rFonts w:ascii="仿宋" w:hAnsi="仿宋" w:eastAsia="仿宋" w:cs="仿宋"/>
        </w:rPr>
      </w:pPr>
      <w:r>
        <w:rPr>
          <w:rFonts w:hint="eastAsia" w:ascii="仿宋" w:hAnsi="仿宋" w:eastAsia="仿宋" w:cs="仿宋"/>
        </w:rPr>
        <w:t>4.在服务质量保证期内，乙方应对出现的质量及安全问题负责处理解决并承担一切费用。</w:t>
      </w:r>
    </w:p>
    <w:p>
      <w:pPr>
        <w:pStyle w:val="24"/>
        <w:snapToGrid w:val="0"/>
        <w:spacing w:line="360" w:lineRule="auto"/>
        <w:rPr>
          <w:rFonts w:ascii="仿宋" w:hAnsi="仿宋" w:eastAsia="仿宋" w:cs="仿宋"/>
        </w:rPr>
      </w:pPr>
      <w:r>
        <w:rPr>
          <w:rFonts w:hint="eastAsia" w:ascii="仿宋" w:hAnsi="仿宋" w:eastAsia="仿宋" w:cs="仿宋"/>
        </w:rPr>
        <w:t>十二、违约责任</w:t>
      </w:r>
    </w:p>
    <w:p>
      <w:pPr>
        <w:pStyle w:val="24"/>
        <w:snapToGrid w:val="0"/>
        <w:spacing w:line="360" w:lineRule="auto"/>
        <w:rPr>
          <w:rFonts w:ascii="仿宋" w:hAnsi="仿宋" w:eastAsia="仿宋" w:cs="仿宋"/>
        </w:rPr>
      </w:pPr>
      <w:r>
        <w:rPr>
          <w:rFonts w:hint="eastAsia" w:ascii="仿宋" w:hAnsi="仿宋" w:eastAsia="仿宋" w:cs="仿宋"/>
        </w:rPr>
        <w:t>1.甲方无正当理由拒绝接收服务的，甲方向乙方偿付合同款项百分之 五 作为违约金。</w:t>
      </w:r>
    </w:p>
    <w:p>
      <w:pPr>
        <w:pStyle w:val="24"/>
        <w:snapToGrid w:val="0"/>
        <w:spacing w:line="360" w:lineRule="auto"/>
        <w:rPr>
          <w:rFonts w:ascii="仿宋" w:hAnsi="仿宋" w:eastAsia="仿宋" w:cs="仿宋"/>
        </w:rPr>
      </w:pPr>
      <w:r>
        <w:rPr>
          <w:rFonts w:hint="eastAsia" w:ascii="仿宋" w:hAnsi="仿宋" w:eastAsia="仿宋" w:cs="仿宋"/>
        </w:rPr>
        <w:t>2.甲方无故逾期验收和办理款项支付手续的，甲方应按逾期付款总额每日万分之 五向乙方支付违约金。</w:t>
      </w:r>
    </w:p>
    <w:p>
      <w:pPr>
        <w:pStyle w:val="24"/>
        <w:snapToGrid w:val="0"/>
        <w:spacing w:line="360" w:lineRule="auto"/>
        <w:rPr>
          <w:rFonts w:ascii="仿宋" w:hAnsi="仿宋" w:eastAsia="仿宋" w:cs="仿宋"/>
        </w:rPr>
      </w:pPr>
      <w:r>
        <w:rPr>
          <w:rFonts w:hint="eastAsia" w:ascii="仿宋" w:hAnsi="仿宋" w:eastAsia="仿宋" w:cs="仿宋"/>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24"/>
        <w:snapToGrid w:val="0"/>
        <w:spacing w:line="360" w:lineRule="auto"/>
        <w:rPr>
          <w:rFonts w:ascii="仿宋" w:hAnsi="仿宋" w:eastAsia="仿宋" w:cs="仿宋"/>
        </w:rPr>
      </w:pPr>
      <w:r>
        <w:rPr>
          <w:rFonts w:hint="eastAsia" w:ascii="仿宋" w:hAnsi="仿宋" w:eastAsia="仿宋" w:cs="仿宋"/>
        </w:rPr>
        <w:t>4.供方在服务项目验收合格之日起保修期内违反本合同有关承诺保证的，损失由乙方承担赔偿。</w:t>
      </w:r>
    </w:p>
    <w:p>
      <w:pPr>
        <w:pStyle w:val="24"/>
        <w:snapToGrid w:val="0"/>
        <w:spacing w:line="360" w:lineRule="auto"/>
        <w:rPr>
          <w:rFonts w:ascii="仿宋" w:hAnsi="仿宋" w:eastAsia="仿宋" w:cs="仿宋"/>
        </w:rPr>
      </w:pPr>
      <w:r>
        <w:rPr>
          <w:rFonts w:hint="eastAsia" w:ascii="仿宋" w:hAnsi="仿宋" w:eastAsia="仿宋" w:cs="仿宋"/>
        </w:rPr>
        <w:t>5.如发现乙方违反招投标文件和合同的有关规定，甲方有权根据约定和《杭州市政府采购供应商合同履行和售后服务考核暂行办法》，对乙方进行处罚，并有权提前终止合同。</w:t>
      </w:r>
    </w:p>
    <w:p>
      <w:pPr>
        <w:pStyle w:val="24"/>
        <w:snapToGrid w:val="0"/>
        <w:spacing w:line="360" w:lineRule="auto"/>
        <w:rPr>
          <w:rFonts w:ascii="仿宋" w:hAnsi="仿宋" w:eastAsia="仿宋" w:cs="仿宋"/>
        </w:rPr>
      </w:pPr>
      <w:r>
        <w:rPr>
          <w:rFonts w:hint="eastAsia" w:ascii="仿宋" w:hAnsi="仿宋" w:eastAsia="仿宋" w:cs="仿宋"/>
        </w:rPr>
        <w:t>十三、争议的解决</w:t>
      </w:r>
    </w:p>
    <w:p>
      <w:pPr>
        <w:pStyle w:val="24"/>
        <w:snapToGrid w:val="0"/>
        <w:spacing w:line="360" w:lineRule="auto"/>
        <w:rPr>
          <w:rFonts w:ascii="仿宋" w:hAnsi="仿宋" w:eastAsia="仿宋" w:cs="仿宋"/>
        </w:rPr>
      </w:pPr>
      <w:r>
        <w:rPr>
          <w:rFonts w:hint="eastAsia" w:ascii="仿宋" w:hAnsi="仿宋" w:eastAsia="仿宋" w:cs="仿宋"/>
        </w:rPr>
        <w:t>因本合同引起的或与本合同有关的任何争议，合同双方应首先通过协商解决，达成书面协议，如协商不成，可选择下列第      种方式解决。</w:t>
      </w:r>
    </w:p>
    <w:p>
      <w:pPr>
        <w:pStyle w:val="24"/>
        <w:snapToGrid w:val="0"/>
        <w:spacing w:line="360" w:lineRule="auto"/>
        <w:rPr>
          <w:rFonts w:ascii="仿宋" w:hAnsi="仿宋" w:eastAsia="仿宋" w:cs="仿宋"/>
        </w:rPr>
      </w:pPr>
      <w:r>
        <w:rPr>
          <w:rFonts w:hint="eastAsia" w:ascii="仿宋" w:hAnsi="仿宋" w:eastAsia="仿宋" w:cs="仿宋"/>
        </w:rPr>
        <w:t>（1）提请杭州仲裁委员会按照该会仲裁规则进行仲裁，仲裁裁决是终局的，对合同双方均有约束力。</w:t>
      </w:r>
    </w:p>
    <w:p>
      <w:pPr>
        <w:pStyle w:val="24"/>
        <w:snapToGrid w:val="0"/>
        <w:spacing w:line="360" w:lineRule="auto"/>
        <w:rPr>
          <w:rFonts w:ascii="仿宋" w:hAnsi="仿宋" w:eastAsia="仿宋" w:cs="仿宋"/>
        </w:rPr>
      </w:pPr>
      <w:r>
        <w:rPr>
          <w:rFonts w:hint="eastAsia" w:ascii="仿宋" w:hAnsi="仿宋" w:eastAsia="仿宋" w:cs="仿宋"/>
        </w:rPr>
        <w:t>（2）向有管辖权的人民法院提起诉讼。</w:t>
      </w:r>
    </w:p>
    <w:p>
      <w:pPr>
        <w:pStyle w:val="24"/>
        <w:snapToGrid w:val="0"/>
        <w:spacing w:line="360" w:lineRule="auto"/>
        <w:rPr>
          <w:rFonts w:ascii="仿宋" w:hAnsi="仿宋" w:eastAsia="仿宋" w:cs="仿宋"/>
        </w:rPr>
      </w:pPr>
      <w:r>
        <w:rPr>
          <w:rFonts w:hint="eastAsia" w:ascii="仿宋" w:hAnsi="仿宋" w:eastAsia="仿宋" w:cs="仿宋"/>
        </w:rPr>
        <w:t>十四、合同生效</w:t>
      </w:r>
    </w:p>
    <w:p>
      <w:pPr>
        <w:pStyle w:val="24"/>
        <w:snapToGrid w:val="0"/>
        <w:spacing w:line="360" w:lineRule="auto"/>
        <w:rPr>
          <w:rFonts w:ascii="仿宋" w:hAnsi="仿宋" w:eastAsia="仿宋" w:cs="仿宋"/>
        </w:rPr>
      </w:pPr>
      <w:r>
        <w:rPr>
          <w:rFonts w:hint="eastAsia" w:ascii="仿宋" w:hAnsi="仿宋" w:eastAsia="仿宋" w:cs="仿宋"/>
        </w:rPr>
        <w:t>1.中标方持中标通知书作为与需方签订合同的凭证。</w:t>
      </w:r>
    </w:p>
    <w:p>
      <w:pPr>
        <w:pStyle w:val="24"/>
        <w:snapToGrid w:val="0"/>
        <w:spacing w:line="360" w:lineRule="auto"/>
        <w:rPr>
          <w:rFonts w:ascii="仿宋" w:hAnsi="仿宋" w:eastAsia="仿宋" w:cs="仿宋"/>
        </w:rPr>
      </w:pPr>
      <w:r>
        <w:rPr>
          <w:rFonts w:hint="eastAsia" w:ascii="仿宋" w:hAnsi="仿宋" w:eastAsia="仿宋" w:cs="仿宋"/>
        </w:rPr>
        <w:t>2.本合同经需、供双方法定代表人（符合浙财采监【2013】24号第六条规定的为负责人）或其授权委托人签字并加盖单位公章后生效。</w:t>
      </w:r>
    </w:p>
    <w:p>
      <w:pPr>
        <w:pStyle w:val="24"/>
        <w:snapToGrid w:val="0"/>
        <w:spacing w:line="360" w:lineRule="auto"/>
        <w:rPr>
          <w:rFonts w:ascii="仿宋" w:hAnsi="仿宋" w:eastAsia="仿宋" w:cs="仿宋"/>
        </w:rPr>
      </w:pPr>
      <w:r>
        <w:rPr>
          <w:rFonts w:hint="eastAsia" w:ascii="仿宋" w:hAnsi="仿宋" w:eastAsia="仿宋" w:cs="仿宋"/>
        </w:rPr>
        <w:t>需方（盖章）：                      供方（盖章）：</w:t>
      </w:r>
    </w:p>
    <w:p>
      <w:pPr>
        <w:pStyle w:val="24"/>
        <w:snapToGrid w:val="0"/>
        <w:spacing w:line="360" w:lineRule="auto"/>
        <w:rPr>
          <w:rFonts w:ascii="仿宋" w:hAnsi="仿宋" w:eastAsia="仿宋" w:cs="仿宋"/>
        </w:rPr>
      </w:pPr>
    </w:p>
    <w:p>
      <w:pPr>
        <w:pStyle w:val="24"/>
        <w:snapToGrid w:val="0"/>
        <w:spacing w:line="360" w:lineRule="auto"/>
        <w:rPr>
          <w:rFonts w:ascii="仿宋" w:hAnsi="仿宋" w:eastAsia="仿宋" w:cs="仿宋"/>
        </w:rPr>
      </w:pPr>
      <w:r>
        <w:rPr>
          <w:rFonts w:hint="eastAsia" w:ascii="仿宋" w:hAnsi="仿宋" w:eastAsia="仿宋" w:cs="仿宋"/>
        </w:rPr>
        <w:t>地址：                             地址：</w:t>
      </w:r>
    </w:p>
    <w:p>
      <w:pPr>
        <w:pStyle w:val="24"/>
        <w:snapToGrid w:val="0"/>
        <w:spacing w:line="360" w:lineRule="auto"/>
        <w:rPr>
          <w:rFonts w:ascii="仿宋" w:hAnsi="仿宋" w:eastAsia="仿宋" w:cs="仿宋"/>
        </w:rPr>
      </w:pPr>
      <w:r>
        <w:rPr>
          <w:rFonts w:hint="eastAsia" w:ascii="仿宋" w:hAnsi="仿宋" w:eastAsia="仿宋" w:cs="仿宋"/>
        </w:rPr>
        <w:t>法定代表人（或委托代理人）签名：   法定代表人（或委托代理人）签名：</w:t>
      </w:r>
    </w:p>
    <w:p>
      <w:pPr>
        <w:pStyle w:val="24"/>
        <w:snapToGrid w:val="0"/>
        <w:spacing w:line="360" w:lineRule="auto"/>
        <w:rPr>
          <w:rFonts w:ascii="仿宋" w:hAnsi="仿宋" w:eastAsia="仿宋" w:cs="仿宋"/>
        </w:rPr>
      </w:pPr>
      <w:r>
        <w:rPr>
          <w:rFonts w:hint="eastAsia" w:ascii="仿宋" w:hAnsi="仿宋" w:eastAsia="仿宋" w:cs="仿宋"/>
        </w:rPr>
        <w:t xml:space="preserve">                    </w:t>
      </w:r>
    </w:p>
    <w:p>
      <w:pPr>
        <w:pStyle w:val="24"/>
        <w:snapToGrid w:val="0"/>
        <w:spacing w:line="360" w:lineRule="auto"/>
        <w:rPr>
          <w:rFonts w:ascii="仿宋" w:hAnsi="仿宋" w:eastAsia="仿宋" w:cs="仿宋"/>
        </w:rPr>
      </w:pPr>
      <w:r>
        <w:rPr>
          <w:rFonts w:hint="eastAsia" w:ascii="仿宋" w:hAnsi="仿宋" w:eastAsia="仿宋" w:cs="仿宋"/>
        </w:rPr>
        <w:t>联系电话：                         联系电话：</w:t>
      </w:r>
    </w:p>
    <w:p>
      <w:pPr>
        <w:pStyle w:val="24"/>
        <w:snapToGrid w:val="0"/>
        <w:spacing w:line="360" w:lineRule="auto"/>
        <w:rPr>
          <w:rFonts w:ascii="仿宋" w:hAnsi="仿宋" w:eastAsia="仿宋" w:cs="仿宋"/>
        </w:rPr>
      </w:pPr>
      <w:r>
        <w:rPr>
          <w:rFonts w:hint="eastAsia" w:ascii="仿宋" w:hAnsi="仿宋" w:eastAsia="仿宋" w:cs="仿宋"/>
        </w:rPr>
        <w:t>邮政编码：                         邮政编码：</w:t>
      </w:r>
    </w:p>
    <w:p>
      <w:pPr>
        <w:pStyle w:val="24"/>
        <w:snapToGrid w:val="0"/>
        <w:spacing w:line="360" w:lineRule="auto"/>
        <w:rPr>
          <w:rFonts w:ascii="仿宋" w:hAnsi="仿宋" w:eastAsia="仿宋" w:cs="仿宋"/>
        </w:rPr>
      </w:pPr>
      <w:r>
        <w:rPr>
          <w:rFonts w:hint="eastAsia" w:ascii="仿宋" w:hAnsi="仿宋" w:eastAsia="仿宋" w:cs="仿宋"/>
        </w:rPr>
        <w:t xml:space="preserve">开户银行：                         开户银行：      </w:t>
      </w:r>
    </w:p>
    <w:p>
      <w:pPr>
        <w:pStyle w:val="24"/>
        <w:snapToGrid w:val="0"/>
        <w:spacing w:line="360" w:lineRule="auto"/>
        <w:rPr>
          <w:rFonts w:ascii="仿宋" w:hAnsi="仿宋" w:eastAsia="仿宋" w:cs="仿宋"/>
        </w:rPr>
      </w:pPr>
      <w:r>
        <w:rPr>
          <w:rFonts w:hint="eastAsia" w:ascii="仿宋" w:hAnsi="仿宋" w:eastAsia="仿宋" w:cs="仿宋"/>
        </w:rPr>
        <w:t>帐号：                             帐号：</w:t>
      </w:r>
    </w:p>
    <w:p>
      <w:pPr>
        <w:pStyle w:val="4"/>
        <w:rPr>
          <w:rFonts w:cs="仿宋"/>
          <w:color w:val="auto"/>
        </w:rPr>
      </w:pPr>
      <w:r>
        <w:rPr>
          <w:rFonts w:hint="eastAsia" w:cs="仿宋"/>
          <w:color w:val="auto"/>
        </w:rPr>
        <w:br w:type="page"/>
      </w:r>
      <w:r>
        <w:rPr>
          <w:rFonts w:hint="eastAsia" w:cs="仿宋"/>
          <w:color w:val="auto"/>
        </w:rPr>
        <w:t>第六部分</w:t>
      </w:r>
      <w:bookmarkEnd w:id="430"/>
      <w:r>
        <w:rPr>
          <w:rFonts w:hint="eastAsia" w:cs="仿宋"/>
          <w:color w:val="auto"/>
        </w:rPr>
        <w:t xml:space="preserve"> </w:t>
      </w:r>
      <w:bookmarkEnd w:id="431"/>
      <w:r>
        <w:rPr>
          <w:rFonts w:hint="eastAsia" w:cs="仿宋"/>
          <w:color w:val="auto"/>
        </w:rPr>
        <w:t>应提交的有关格式范例</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投标人按照以下格式编制投标文件，并将资格文件、报价文件、商务技术文件分别装订成册。</w:t>
      </w:r>
    </w:p>
    <w:p>
      <w:pPr>
        <w:spacing w:line="360" w:lineRule="auto"/>
        <w:jc w:val="center"/>
        <w:outlineLvl w:val="0"/>
        <w:rPr>
          <w:rFonts w:ascii="仿宋" w:hAnsi="仿宋" w:eastAsia="仿宋" w:cs="仿宋"/>
          <w:sz w:val="36"/>
          <w:szCs w:val="36"/>
          <w:lang w:val="zh-CN"/>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sz w:val="36"/>
          <w:szCs w:val="36"/>
          <w:lang w:val="zh-CN"/>
        </w:rPr>
        <w:t>▲</w:t>
      </w: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napToGrid w:val="0"/>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rPr>
        <w:t>营业执照(或事业法人登记证或其他工商等登记证明材料)复印件（投标人为自然人的，须提供</w:t>
      </w:r>
      <w:r>
        <w:rPr>
          <w:rFonts w:hint="eastAsia" w:ascii="仿宋" w:hAnsi="仿宋" w:eastAsia="仿宋" w:cs="仿宋"/>
          <w:kern w:val="0"/>
          <w:sz w:val="24"/>
        </w:rPr>
        <w:t>自然人的身份证明</w:t>
      </w:r>
      <w:r>
        <w:rPr>
          <w:rFonts w:hint="eastAsia" w:ascii="仿宋" w:hAnsi="仿宋" w:eastAsia="仿宋" w:cs="仿宋"/>
          <w:sz w:val="24"/>
        </w:rPr>
        <w:t>）、税务登记证(或其它缴纳证明材料)复印件、社保登记证（或其它缴纳证明材料）复印件</w:t>
      </w:r>
      <w:r>
        <w:rPr>
          <w:rFonts w:hint="eastAsia" w:ascii="仿宋" w:hAnsi="仿宋" w:eastAsia="仿宋" w:cs="仿宋"/>
          <w:kern w:val="0"/>
          <w:sz w:val="24"/>
        </w:rPr>
        <w:t>………………………………………………………………………………………（页码）</w:t>
      </w:r>
    </w:p>
    <w:p>
      <w:pPr>
        <w:snapToGrid w:val="0"/>
        <w:spacing w:line="360" w:lineRule="auto"/>
        <w:rPr>
          <w:rFonts w:ascii="仿宋" w:hAnsi="仿宋" w:eastAsia="仿宋" w:cs="仿宋"/>
          <w:sz w:val="24"/>
        </w:rPr>
      </w:pPr>
      <w:r>
        <w:rPr>
          <w:rFonts w:hint="eastAsia" w:ascii="仿宋" w:hAnsi="仿宋" w:eastAsia="仿宋" w:cs="仿宋"/>
          <w:sz w:val="24"/>
        </w:rPr>
        <w:t>（2）法人授权书 ……………………………………………………………………（页码）</w:t>
      </w:r>
    </w:p>
    <w:p>
      <w:pPr>
        <w:snapToGrid w:val="0"/>
        <w:spacing w:line="360" w:lineRule="auto"/>
        <w:rPr>
          <w:rFonts w:ascii="仿宋" w:hAnsi="仿宋" w:eastAsia="仿宋" w:cs="仿宋"/>
          <w:sz w:val="24"/>
        </w:rPr>
      </w:pPr>
      <w:r>
        <w:rPr>
          <w:rFonts w:hint="eastAsia" w:ascii="仿宋" w:hAnsi="仿宋" w:eastAsia="仿宋" w:cs="仿宋"/>
          <w:sz w:val="24"/>
        </w:rPr>
        <w:t>（3）授权代表的身份证（复印件）………………………………………………（页码）</w:t>
      </w:r>
    </w:p>
    <w:p>
      <w:pPr>
        <w:snapToGrid w:val="0"/>
        <w:spacing w:line="360" w:lineRule="auto"/>
        <w:rPr>
          <w:rFonts w:ascii="仿宋" w:hAnsi="仿宋" w:eastAsia="仿宋" w:cs="仿宋"/>
          <w:kern w:val="0"/>
          <w:sz w:val="24"/>
        </w:rPr>
      </w:pPr>
      <w:r>
        <w:rPr>
          <w:rFonts w:hint="eastAsia" w:ascii="仿宋" w:hAnsi="仿宋" w:eastAsia="仿宋" w:cs="仿宋"/>
          <w:kern w:val="0"/>
          <w:sz w:val="24"/>
        </w:rPr>
        <w:t>（4）最近一年年度资产负债表等财务报表资料文件(新成立的公司，提供情况说明)（页码）</w:t>
      </w:r>
    </w:p>
    <w:p>
      <w:pPr>
        <w:snapToGrid w:val="0"/>
        <w:spacing w:line="360" w:lineRule="auto"/>
        <w:rPr>
          <w:rFonts w:ascii="仿宋" w:hAnsi="仿宋" w:eastAsia="仿宋" w:cs="仿宋"/>
          <w:kern w:val="0"/>
          <w:sz w:val="24"/>
        </w:rPr>
      </w:pPr>
      <w:r>
        <w:rPr>
          <w:rFonts w:hint="eastAsia" w:ascii="仿宋" w:hAnsi="仿宋" w:eastAsia="仿宋" w:cs="仿宋"/>
          <w:kern w:val="0"/>
          <w:sz w:val="24"/>
        </w:rPr>
        <w:t>（5）具有履行合同所必需的设备和专业技术能力的承诺函………………………（页码）</w:t>
      </w:r>
    </w:p>
    <w:p>
      <w:pPr>
        <w:snapToGrid w:val="0"/>
        <w:spacing w:line="360" w:lineRule="auto"/>
        <w:rPr>
          <w:rFonts w:ascii="仿宋" w:hAnsi="仿宋" w:eastAsia="仿宋" w:cs="仿宋"/>
          <w:kern w:val="0"/>
          <w:sz w:val="24"/>
        </w:rPr>
      </w:pPr>
      <w:r>
        <w:rPr>
          <w:rFonts w:hint="eastAsia" w:ascii="仿宋" w:hAnsi="仿宋" w:eastAsia="仿宋" w:cs="仿宋"/>
          <w:sz w:val="24"/>
        </w:rPr>
        <w:t>（6）参加政府采购活动前三年内，在经营活动中没有重大违法记录的声明</w:t>
      </w:r>
      <w:r>
        <w:rPr>
          <w:rFonts w:hint="eastAsia" w:ascii="仿宋" w:hAnsi="仿宋" w:eastAsia="仿宋" w:cs="仿宋"/>
          <w:kern w:val="0"/>
          <w:sz w:val="24"/>
        </w:rPr>
        <w:t xml:space="preserve"> …（页码）</w:t>
      </w:r>
    </w:p>
    <w:p>
      <w:pPr>
        <w:snapToGrid w:val="0"/>
        <w:spacing w:line="360" w:lineRule="auto"/>
        <w:rPr>
          <w:rFonts w:ascii="仿宋" w:hAnsi="仿宋" w:eastAsia="仿宋" w:cs="仿宋"/>
          <w:kern w:val="0"/>
          <w:sz w:val="24"/>
        </w:rPr>
      </w:pPr>
      <w:r>
        <w:rPr>
          <w:rFonts w:hint="eastAsia" w:ascii="仿宋" w:hAnsi="仿宋" w:eastAsia="仿宋" w:cs="仿宋"/>
          <w:sz w:val="24"/>
        </w:rPr>
        <w:t>（7）具有良好商业信誉特别声明</w:t>
      </w:r>
      <w:r>
        <w:rPr>
          <w:rFonts w:hint="eastAsia" w:ascii="仿宋" w:hAnsi="仿宋" w:eastAsia="仿宋" w:cs="仿宋"/>
          <w:kern w:val="0"/>
          <w:sz w:val="24"/>
        </w:rPr>
        <w:t>……………………………………………………（页码）</w:t>
      </w:r>
    </w:p>
    <w:p>
      <w:pPr>
        <w:snapToGrid w:val="0"/>
        <w:spacing w:line="360" w:lineRule="auto"/>
        <w:rPr>
          <w:rFonts w:ascii="仿宋" w:hAnsi="仿宋" w:eastAsia="仿宋" w:cs="仿宋"/>
          <w:kern w:val="0"/>
          <w:sz w:val="24"/>
        </w:rPr>
      </w:pPr>
      <w:r>
        <w:rPr>
          <w:rFonts w:hint="eastAsia" w:ascii="仿宋" w:hAnsi="仿宋" w:eastAsia="仿宋" w:cs="仿宋"/>
          <w:kern w:val="0"/>
          <w:sz w:val="24"/>
        </w:rPr>
        <w:t>（8）符合特定资格条件（如果项目要求）的有关证明材料（复印件）…………（页码）</w:t>
      </w:r>
    </w:p>
    <w:p>
      <w:pPr>
        <w:snapToGrid w:val="0"/>
        <w:spacing w:line="360" w:lineRule="auto"/>
        <w:rPr>
          <w:rFonts w:ascii="仿宋" w:hAnsi="仿宋" w:eastAsia="仿宋" w:cs="仿宋"/>
          <w:sz w:val="24"/>
        </w:rPr>
      </w:pPr>
      <w:r>
        <w:rPr>
          <w:rFonts w:hint="eastAsia" w:ascii="仿宋" w:hAnsi="仿宋" w:eastAsia="仿宋" w:cs="仿宋"/>
          <w:sz w:val="24"/>
        </w:rPr>
        <w:t>（9）落实政府采购政策需满足的资格要求（如果项目要求供应商应为中小微企业、监狱企业、残疾人福利性单位）的有关证明材料：中小企业声明函…………………（页码）</w:t>
      </w:r>
    </w:p>
    <w:p>
      <w:pPr>
        <w:snapToGrid w:val="0"/>
        <w:spacing w:line="360" w:lineRule="auto"/>
        <w:rPr>
          <w:rFonts w:ascii="仿宋" w:hAnsi="仿宋" w:eastAsia="仿宋" w:cs="仿宋"/>
          <w:kern w:val="0"/>
          <w:sz w:val="24"/>
        </w:rPr>
      </w:pPr>
      <w:r>
        <w:rPr>
          <w:rFonts w:hint="eastAsia" w:ascii="仿宋" w:hAnsi="仿宋" w:eastAsia="仿宋" w:cs="仿宋"/>
          <w:kern w:val="0"/>
          <w:sz w:val="24"/>
        </w:rPr>
        <w:t>（10）以联合体形式投标的，提供联合体协议；本项目不接受联合体投标或者投标人不以联合体形式投标的，则不需要提供…………………………………………………（页码）</w:t>
      </w:r>
    </w:p>
    <w:p>
      <w:pPr>
        <w:snapToGrid w:val="0"/>
        <w:spacing w:line="360" w:lineRule="auto"/>
        <w:rPr>
          <w:rFonts w:ascii="仿宋" w:hAnsi="仿宋" w:eastAsia="仿宋" w:cs="仿宋"/>
          <w:sz w:val="24"/>
        </w:rPr>
      </w:pPr>
    </w:p>
    <w:p>
      <w:pPr>
        <w:snapToGrid w:val="0"/>
        <w:spacing w:line="360" w:lineRule="auto"/>
        <w:ind w:firstLine="3240" w:firstLineChars="900"/>
        <w:rPr>
          <w:rFonts w:ascii="仿宋" w:hAnsi="仿宋" w:eastAsia="仿宋" w:cs="仿宋"/>
          <w:sz w:val="36"/>
          <w:szCs w:val="36"/>
        </w:rPr>
      </w:pPr>
    </w:p>
    <w:p>
      <w:pPr>
        <w:snapToGrid w:val="0"/>
        <w:spacing w:line="360" w:lineRule="auto"/>
        <w:rPr>
          <w:rFonts w:ascii="仿宋" w:hAnsi="仿宋" w:eastAsia="仿宋" w:cs="仿宋"/>
          <w:sz w:val="36"/>
          <w:szCs w:val="36"/>
        </w:rPr>
      </w:pPr>
    </w:p>
    <w:p>
      <w:pPr>
        <w:spacing w:line="360" w:lineRule="auto"/>
        <w:jc w:val="center"/>
        <w:rPr>
          <w:rFonts w:ascii="仿宋" w:hAnsi="仿宋" w:eastAsia="仿宋" w:cs="仿宋"/>
          <w:b/>
          <w:sz w:val="30"/>
          <w:szCs w:val="30"/>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lang w:val="zh-CN"/>
        </w:rPr>
        <w:t>一、</w:t>
      </w:r>
      <w:r>
        <w:rPr>
          <w:rFonts w:hint="eastAsia" w:ascii="仿宋" w:hAnsi="仿宋" w:eastAsia="仿宋" w:cs="仿宋"/>
          <w:b/>
          <w:sz w:val="30"/>
          <w:szCs w:val="30"/>
        </w:rPr>
        <w:t>营业执照或事业法人登记证证明材料（复印件）、税务缴纳证明文件（复印件）、社保缴纳证明文件（复印件）</w:t>
      </w:r>
    </w:p>
    <w:p>
      <w:pPr>
        <w:snapToGrid w:val="0"/>
        <w:spacing w:line="360" w:lineRule="auto"/>
        <w:ind w:firstLine="576"/>
        <w:jc w:val="right"/>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投标人名称(电子签章)：                              </w:t>
      </w:r>
    </w:p>
    <w:p>
      <w:pPr>
        <w:wordWrap w:val="0"/>
        <w:spacing w:line="360" w:lineRule="auto"/>
        <w:jc w:val="right"/>
        <w:rPr>
          <w:rFonts w:ascii="仿宋" w:hAnsi="仿宋" w:eastAsia="仿宋" w:cs="仿宋"/>
          <w:b/>
          <w:sz w:val="30"/>
          <w:szCs w:val="30"/>
        </w:rPr>
      </w:pPr>
      <w:r>
        <w:rPr>
          <w:rFonts w:hint="eastAsia" w:ascii="仿宋" w:hAnsi="仿宋" w:eastAsia="仿宋" w:cs="仿宋"/>
          <w:kern w:val="0"/>
          <w:sz w:val="24"/>
          <w:lang w:val="zh-CN"/>
        </w:rPr>
        <w:t xml:space="preserve">                   日期：  年  月    日</w:t>
      </w: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二、法人授权书</w:t>
      </w:r>
    </w:p>
    <w:p>
      <w:pPr>
        <w:snapToGrid w:val="0"/>
        <w:spacing w:line="360" w:lineRule="auto"/>
        <w:rPr>
          <w:rFonts w:ascii="仿宋" w:hAnsi="仿宋" w:eastAsia="仿宋" w:cs="仿宋"/>
          <w:kern w:val="0"/>
          <w:sz w:val="24"/>
        </w:rPr>
      </w:pPr>
      <w:r>
        <w:rPr>
          <w:rFonts w:hint="eastAsia" w:ascii="仿宋" w:hAnsi="仿宋" w:eastAsia="仿宋" w:cs="仿宋"/>
          <w:sz w:val="24"/>
        </w:rPr>
        <w:t>XXX（采购单位名称或采购机构）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sz w:val="24"/>
        </w:rPr>
        <w:t>XXXXXXXX项目</w:t>
      </w:r>
      <w:r>
        <w:rPr>
          <w:rFonts w:hint="eastAsia" w:ascii="仿宋" w:hAnsi="仿宋" w:eastAsia="仿宋" w:cs="仿宋"/>
          <w:kern w:val="0"/>
          <w:sz w:val="24"/>
          <w:lang w:val="zh-CN"/>
        </w:rPr>
        <w:t>【招标编号：XXXXX】政府采购投标的一切事项，若中标则全权代表本公司签订相关合同，并负责处理合同履行等事宜。</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pacing w:line="360" w:lineRule="auto"/>
        <w:rPr>
          <w:rFonts w:ascii="仿宋" w:hAnsi="仿宋" w:eastAsia="仿宋" w:cs="仿宋"/>
          <w:b/>
          <w:sz w:val="30"/>
          <w:szCs w:val="30"/>
        </w:rPr>
      </w:pPr>
    </w:p>
    <w:p>
      <w:pPr>
        <w:snapToGrid w:val="0"/>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lang w:val="zh-CN"/>
        </w:rPr>
        <w:t>联合体投标授权书（适用联合体投标）</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先生/女士(其在该公司的职务是：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先生/女士(其在该公司的职务是：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)；……，代表本联合体全权处理</w:t>
      </w:r>
      <w:r>
        <w:rPr>
          <w:rFonts w:hint="eastAsia" w:ascii="仿宋" w:hAnsi="仿宋" w:eastAsia="仿宋" w:cs="仿宋"/>
          <w:sz w:val="24"/>
        </w:rPr>
        <w:t>*****项目</w:t>
      </w:r>
      <w:r>
        <w:rPr>
          <w:rFonts w:hint="eastAsia" w:ascii="仿宋" w:hAnsi="仿宋" w:eastAsia="仿宋" w:cs="仿宋"/>
          <w:kern w:val="0"/>
          <w:sz w:val="24"/>
          <w:lang w:val="zh-CN"/>
        </w:rPr>
        <w:t>【招标编号： 】政府采购投标的一切事项，若中标则全权代表本联合体签订相关合同，并负责处理合同履行等事宜。</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单位：            （电子签章）         单位：          （电子签章）</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日期：    年   月   日             日期：    年   月   日</w:t>
      </w:r>
    </w:p>
    <w:p>
      <w:pPr>
        <w:snapToGrid w:val="0"/>
        <w:spacing w:line="360" w:lineRule="auto"/>
        <w:ind w:right="480"/>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sz w:val="24"/>
        </w:rPr>
      </w:pPr>
      <w:r>
        <w:rPr>
          <w:rFonts w:hint="eastAsia" w:ascii="仿宋" w:hAnsi="仿宋" w:eastAsia="仿宋" w:cs="仿宋"/>
          <w:b/>
          <w:bCs/>
          <w:sz w:val="30"/>
          <w:szCs w:val="30"/>
        </w:rPr>
        <w:t>三、</w:t>
      </w:r>
      <w:r>
        <w:rPr>
          <w:rFonts w:hint="eastAsia" w:ascii="仿宋" w:hAnsi="仿宋" w:eastAsia="仿宋" w:cs="仿宋"/>
          <w:b/>
          <w:sz w:val="30"/>
          <w:szCs w:val="30"/>
        </w:rPr>
        <w:t>授权代表的身份证（复印件）</w:t>
      </w:r>
    </w:p>
    <w:p>
      <w:pPr>
        <w:pStyle w:val="61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tcPr>
          <w:p>
            <w:pPr>
              <w:pStyle w:val="618"/>
              <w:spacing w:line="360" w:lineRule="auto"/>
              <w:rPr>
                <w:rFonts w:ascii="仿宋" w:hAnsi="仿宋" w:eastAsia="仿宋" w:cs="仿宋"/>
                <w:bCs/>
                <w:sz w:val="24"/>
              </w:rPr>
            </w:pPr>
            <w:r>
              <w:rPr>
                <w:rFonts w:hint="eastAsia" w:ascii="仿宋" w:hAnsi="仿宋" w:eastAsia="仿宋" w:cs="仿宋"/>
                <w:bCs/>
                <w:sz w:val="24"/>
              </w:rPr>
              <w:t>正面：                                 反面：</w:t>
            </w:r>
          </w:p>
          <w:p>
            <w:pPr>
              <w:pStyle w:val="618"/>
              <w:spacing w:line="360" w:lineRule="auto"/>
              <w:rPr>
                <w:rFonts w:ascii="仿宋" w:hAnsi="仿宋" w:eastAsia="仿宋" w:cs="仿宋"/>
                <w:bCs/>
                <w:sz w:val="24"/>
              </w:rPr>
            </w:pPr>
          </w:p>
        </w:tc>
      </w:tr>
    </w:tbl>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040" w:firstLineChars="2100"/>
        <w:rPr>
          <w:rFonts w:ascii="仿宋" w:hAnsi="仿宋" w:eastAsia="仿宋" w:cs="仿宋"/>
          <w:kern w:val="0"/>
          <w:sz w:val="24"/>
        </w:rPr>
      </w:pPr>
      <w:r>
        <w:rPr>
          <w:rFonts w:hint="eastAsia" w:ascii="仿宋" w:hAnsi="仿宋" w:eastAsia="仿宋" w:cs="仿宋"/>
          <w:kern w:val="0"/>
          <w:sz w:val="24"/>
          <w:lang w:val="zh-CN"/>
        </w:rPr>
        <w:t xml:space="preserve"> 投标人名称(电子签章)：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sz w:val="30"/>
          <w:szCs w:val="30"/>
        </w:rPr>
      </w:pPr>
    </w:p>
    <w:p>
      <w:pPr>
        <w:spacing w:line="360" w:lineRule="auto"/>
        <w:rPr>
          <w:rFonts w:ascii="仿宋" w:hAnsi="仿宋" w:eastAsia="仿宋" w:cs="仿宋"/>
          <w:b/>
          <w:sz w:val="30"/>
          <w:szCs w:val="30"/>
        </w:rPr>
      </w:pPr>
      <w:r>
        <w:rPr>
          <w:rFonts w:hint="eastAsia" w:ascii="仿宋" w:hAnsi="仿宋" w:eastAsia="仿宋" w:cs="仿宋"/>
          <w:b/>
          <w:sz w:val="30"/>
          <w:szCs w:val="30"/>
        </w:rPr>
        <w:t>四、最近一年度资产负债表等财务报表资料文件（复印件）</w:t>
      </w:r>
    </w:p>
    <w:p>
      <w:pPr>
        <w:spacing w:line="360" w:lineRule="auto"/>
        <w:rPr>
          <w:rFonts w:ascii="仿宋" w:hAnsi="仿宋" w:eastAsia="仿宋" w:cs="仿宋"/>
          <w:b/>
          <w:sz w:val="30"/>
          <w:szCs w:val="30"/>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五、具有履行合同所必需的设备和专业技术能力的承诺函</w:t>
      </w:r>
    </w:p>
    <w:p>
      <w:pPr>
        <w:snapToGrid w:val="0"/>
        <w:spacing w:line="360" w:lineRule="auto"/>
        <w:rPr>
          <w:rFonts w:ascii="仿宋" w:hAnsi="仿宋" w:eastAsia="仿宋" w:cs="仿宋"/>
          <w:sz w:val="24"/>
        </w:rPr>
      </w:pPr>
      <w:r>
        <w:rPr>
          <w:rFonts w:hint="eastAsia" w:ascii="仿宋" w:hAnsi="仿宋" w:eastAsia="仿宋" w:cs="仿宋"/>
          <w:sz w:val="24"/>
        </w:rPr>
        <w:t>XXX（采购单位名称或采购机构）：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我方郑重承诺，我方具有*******项目【招标编号：*****】合同所必需的设备和专业技术能力。如中标，我方将保证合同顺利履行。</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040" w:firstLineChars="2100"/>
        <w:rPr>
          <w:rFonts w:ascii="仿宋" w:hAnsi="仿宋" w:eastAsia="仿宋" w:cs="仿宋"/>
          <w:kern w:val="0"/>
          <w:sz w:val="24"/>
        </w:rPr>
      </w:pPr>
      <w:r>
        <w:rPr>
          <w:rFonts w:hint="eastAsia" w:ascii="仿宋" w:hAnsi="仿宋" w:eastAsia="仿宋" w:cs="仿宋"/>
          <w:kern w:val="0"/>
          <w:sz w:val="24"/>
          <w:lang w:val="zh-CN"/>
        </w:rPr>
        <w:t xml:space="preserve"> 投标人名称(电子签章)：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firstLine="5160" w:firstLineChars="2150"/>
        <w:rPr>
          <w:rFonts w:ascii="仿宋" w:hAnsi="仿宋" w:eastAsia="仿宋" w:cs="仿宋"/>
          <w:kern w:val="0"/>
          <w:sz w:val="24"/>
          <w:lang w:val="zh-CN"/>
        </w:rPr>
      </w:pPr>
    </w:p>
    <w:p>
      <w:pPr>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六、参加政府采购活动前三年内，在经营活动中</w:t>
      </w:r>
    </w:p>
    <w:p>
      <w:pPr>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rPr>
        <w:t>没有重大违法记录的声明</w:t>
      </w:r>
    </w:p>
    <w:p>
      <w:pPr>
        <w:snapToGrid w:val="0"/>
        <w:spacing w:line="360" w:lineRule="auto"/>
        <w:rPr>
          <w:rFonts w:ascii="仿宋" w:hAnsi="仿宋" w:eastAsia="仿宋" w:cs="仿宋"/>
          <w:kern w:val="0"/>
          <w:sz w:val="24"/>
        </w:rPr>
      </w:pPr>
      <w:r>
        <w:rPr>
          <w:rFonts w:hint="eastAsia" w:ascii="仿宋" w:hAnsi="仿宋" w:eastAsia="仿宋" w:cs="仿宋"/>
          <w:sz w:val="24"/>
        </w:rPr>
        <w:t>XXX（采购单位名称或采购机构）</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我方</w:t>
      </w:r>
      <w:r>
        <w:rPr>
          <w:rFonts w:hint="eastAsia" w:ascii="仿宋" w:hAnsi="仿宋" w:eastAsia="仿宋" w:cs="仿宋"/>
          <w:sz w:val="24"/>
        </w:rPr>
        <w:t>声明投标截止时间前三年，在</w:t>
      </w:r>
      <w:r>
        <w:rPr>
          <w:rFonts w:hint="eastAsia" w:ascii="仿宋" w:hAnsi="仿宋" w:eastAsia="仿宋" w:cs="仿宋"/>
          <w:kern w:val="0"/>
          <w:sz w:val="24"/>
        </w:rPr>
        <w:t xml:space="preserve">经营活动中没有重大违法记录。 </w:t>
      </w:r>
    </w:p>
    <w:p>
      <w:pPr>
        <w:snapToGrid w:val="0"/>
        <w:spacing w:line="360" w:lineRule="auto"/>
        <w:ind w:firstLine="1200" w:firstLineChars="500"/>
        <w:rPr>
          <w:rFonts w:ascii="仿宋" w:hAnsi="仿宋" w:eastAsia="仿宋" w:cs="仿宋"/>
          <w:sz w:val="24"/>
          <w:szCs w:val="20"/>
        </w:rPr>
      </w:pPr>
    </w:p>
    <w:p>
      <w:pPr>
        <w:snapToGrid w:val="0"/>
        <w:spacing w:line="360" w:lineRule="auto"/>
        <w:ind w:firstLine="5040" w:firstLineChars="2100"/>
        <w:rPr>
          <w:rFonts w:ascii="仿宋" w:hAnsi="仿宋" w:eastAsia="仿宋" w:cs="仿宋"/>
          <w:kern w:val="0"/>
          <w:sz w:val="24"/>
        </w:rPr>
      </w:pPr>
      <w:r>
        <w:rPr>
          <w:rFonts w:hint="eastAsia" w:ascii="仿宋" w:hAnsi="仿宋" w:eastAsia="仿宋" w:cs="仿宋"/>
          <w:kern w:val="0"/>
          <w:sz w:val="24"/>
          <w:lang w:val="zh-CN"/>
        </w:rPr>
        <w:t>投标人名称(电子签章)：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center"/>
        <w:rPr>
          <w:rFonts w:ascii="仿宋" w:hAnsi="仿宋" w:eastAsia="仿宋" w:cs="仿宋"/>
          <w:b/>
          <w:sz w:val="32"/>
          <w:szCs w:val="32"/>
        </w:rPr>
      </w:pPr>
    </w:p>
    <w:p>
      <w:pPr>
        <w:snapToGrid w:val="0"/>
        <w:spacing w:line="360" w:lineRule="auto"/>
        <w:ind w:firstLine="1606" w:firstLineChars="500"/>
        <w:rPr>
          <w:rFonts w:ascii="仿宋" w:hAnsi="仿宋" w:eastAsia="仿宋" w:cs="仿宋"/>
          <w:b/>
          <w:kern w:val="0"/>
          <w:sz w:val="32"/>
          <w:szCs w:val="32"/>
        </w:rPr>
      </w:pPr>
      <w:r>
        <w:rPr>
          <w:rFonts w:hint="eastAsia" w:ascii="仿宋" w:hAnsi="仿宋" w:eastAsia="仿宋" w:cs="仿宋"/>
          <w:b/>
          <w:kern w:val="0"/>
          <w:sz w:val="32"/>
          <w:szCs w:val="32"/>
        </w:rPr>
        <w:t>七、具有良好商业信誉特别声明</w:t>
      </w:r>
    </w:p>
    <w:p>
      <w:pPr>
        <w:snapToGrid w:val="0"/>
        <w:spacing w:line="360" w:lineRule="auto"/>
        <w:rPr>
          <w:rFonts w:ascii="仿宋" w:hAnsi="仿宋" w:eastAsia="仿宋" w:cs="仿宋"/>
          <w:kern w:val="0"/>
          <w:sz w:val="24"/>
        </w:rPr>
      </w:pPr>
      <w:r>
        <w:rPr>
          <w:rFonts w:hint="eastAsia" w:ascii="仿宋" w:hAnsi="仿宋" w:eastAsia="仿宋" w:cs="仿宋"/>
          <w:sz w:val="24"/>
        </w:rPr>
        <w:t>XXX（采购单位名称或采购机构）</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sz w:val="24"/>
        </w:rPr>
        <w:t>截至投标截止时间，我方具有良好的商业信誉，不存在下列情形（包括但不限于）。否则，我方将承担在资格审查时不被通过的后果。</w:t>
      </w:r>
    </w:p>
    <w:p>
      <w:pPr>
        <w:pStyle w:val="217"/>
        <w:spacing w:before="0"/>
        <w:ind w:firstLine="495" w:firstLineChars="0"/>
        <w:rPr>
          <w:rFonts w:ascii="仿宋" w:hAnsi="仿宋" w:eastAsia="仿宋" w:cs="仿宋"/>
        </w:rPr>
      </w:pPr>
      <w:r>
        <w:rPr>
          <w:rFonts w:hint="eastAsia" w:ascii="仿宋" w:hAnsi="仿宋" w:eastAsia="仿宋" w:cs="仿宋"/>
        </w:rPr>
        <w:t>1</w:t>
      </w:r>
      <w:r>
        <w:rPr>
          <w:rFonts w:hint="eastAsia" w:ascii="仿宋" w:hAnsi="仿宋" w:eastAsia="仿宋" w:cs="仿宋"/>
          <w:b/>
          <w:szCs w:val="24"/>
        </w:rPr>
        <w:t>、</w:t>
      </w:r>
      <w:r>
        <w:rPr>
          <w:rFonts w:hint="eastAsia" w:ascii="仿宋" w:hAnsi="仿宋" w:eastAsia="仿宋" w:cs="仿宋"/>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2、截至投标截止时间，因违反《浙江省政府采购供应商注册及诚信管理暂行办法》而被列入‘黑名单’，在处罚有效期内。 </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投标人名称(电子签章)：</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八、特定资格条件要求的资质文件（复印件）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（由投标人根据招标公告合格的投标人应具备的特定资格要求编制；如果本项目没有设置特定资格条件，则不需要提供）</w:t>
      </w:r>
    </w:p>
    <w:p>
      <w:pPr>
        <w:snapToGrid w:val="0"/>
        <w:spacing w:before="50" w:after="50" w:line="360" w:lineRule="auto"/>
        <w:jc w:val="center"/>
        <w:rPr>
          <w:rFonts w:ascii="仿宋" w:hAnsi="仿宋" w:eastAsia="仿宋" w:cs="仿宋"/>
          <w:b/>
          <w:sz w:val="30"/>
          <w:szCs w:val="30"/>
        </w:rPr>
      </w:pPr>
    </w:p>
    <w:p>
      <w:pPr>
        <w:snapToGrid w:val="0"/>
        <w:spacing w:before="50" w:after="50" w:line="360" w:lineRule="auto"/>
        <w:jc w:val="center"/>
        <w:rPr>
          <w:rFonts w:ascii="仿宋" w:hAnsi="仿宋" w:eastAsia="仿宋" w:cs="仿宋"/>
          <w:b/>
          <w:sz w:val="30"/>
          <w:szCs w:val="30"/>
        </w:rPr>
      </w:pPr>
      <w:r>
        <w:rPr>
          <w:rFonts w:hint="eastAsia" w:ascii="仿宋" w:hAnsi="仿宋" w:eastAsia="仿宋" w:cs="仿宋"/>
          <w:b/>
          <w:sz w:val="30"/>
          <w:szCs w:val="30"/>
        </w:rPr>
        <w:t>九、落实政府采购政策需满足的资格要求（如果项目要求供应商应为中小微企业、监狱企业、残疾人福利性单位）的有关证明材料：中小企业声明函。</w:t>
      </w:r>
    </w:p>
    <w:p>
      <w:pPr>
        <w:rPr>
          <w:rFonts w:ascii="仿宋" w:hAnsi="仿宋" w:eastAsia="仿宋" w:cs="仿宋"/>
          <w:b/>
          <w:sz w:val="32"/>
          <w:szCs w:val="32"/>
        </w:rPr>
      </w:pPr>
      <w:r>
        <w:rPr>
          <w:rFonts w:hint="eastAsia" w:ascii="仿宋" w:hAnsi="仿宋" w:eastAsia="仿宋" w:cs="仿宋"/>
          <w:b/>
          <w:sz w:val="32"/>
          <w:szCs w:val="32"/>
        </w:rPr>
        <w:br w:type="page"/>
      </w:r>
    </w:p>
    <w:p>
      <w:pPr>
        <w:snapToGrid w:val="0"/>
        <w:spacing w:before="50" w:after="50" w:line="360" w:lineRule="auto"/>
        <w:jc w:val="center"/>
        <w:rPr>
          <w:rFonts w:ascii="仿宋" w:hAnsi="仿宋" w:eastAsia="仿宋" w:cs="仿宋"/>
          <w:b/>
          <w:sz w:val="30"/>
          <w:szCs w:val="30"/>
        </w:rPr>
      </w:pPr>
      <w:r>
        <w:rPr>
          <w:rFonts w:hint="eastAsia" w:ascii="仿宋" w:hAnsi="仿宋" w:eastAsia="仿宋" w:cs="仿宋"/>
          <w:b/>
          <w:sz w:val="32"/>
          <w:szCs w:val="32"/>
        </w:rPr>
        <w:t>十</w:t>
      </w:r>
      <w:r>
        <w:rPr>
          <w:rFonts w:hint="eastAsia" w:ascii="仿宋" w:hAnsi="仿宋" w:eastAsia="仿宋" w:cs="仿宋"/>
          <w:b/>
          <w:sz w:val="30"/>
          <w:szCs w:val="30"/>
        </w:rPr>
        <w:t>、联合体协议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（以联合体形式投标的，提供联合体协议；本项目不接受联合体投标或者投标人不以联合体形式投标的，则不需要提供）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甲方：</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乙方：</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各方经协商一致，决定组成一个联合体，以一个投标人的身份就</w:t>
      </w:r>
      <w:r>
        <w:rPr>
          <w:rFonts w:hint="eastAsia" w:ascii="仿宋" w:hAnsi="仿宋" w:eastAsia="仿宋" w:cs="仿宋"/>
          <w:sz w:val="24"/>
        </w:rPr>
        <w:t>******项目【招标编号：******】</w:t>
      </w:r>
      <w:r>
        <w:rPr>
          <w:rFonts w:hint="eastAsia" w:ascii="仿宋" w:hAnsi="仿宋" w:eastAsia="仿宋" w:cs="仿宋"/>
          <w:kern w:val="0"/>
          <w:sz w:val="24"/>
          <w:lang w:val="zh-CN"/>
        </w:rPr>
        <w:t xml:space="preserve">共同投标。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sz w:val="24"/>
        </w:rPr>
        <w:t>指定</w:t>
      </w:r>
      <w:r>
        <w:rPr>
          <w:rFonts w:hint="eastAsia" w:ascii="仿宋" w:hAnsi="仿宋" w:eastAsia="仿宋" w:cs="仿宋"/>
          <w:u w:val="single"/>
        </w:rPr>
        <w:t xml:space="preserve">   </w:t>
      </w:r>
      <w:r>
        <w:rPr>
          <w:rFonts w:hint="eastAsia" w:ascii="仿宋" w:hAnsi="仿宋" w:eastAsia="仿宋" w:cs="仿宋"/>
          <w:sz w:val="24"/>
        </w:rPr>
        <w:t>方牵头人，代表所有联合体成员负责投标和合同实施阶段的主办、协调工作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三、本次联合投标中，分工如下：甲方承担的工作和义务为：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；乙方承担的工作和义务为：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；……（注：甲乙双方合同份额比例须明确。）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甲方单位：          （电子签章）          乙方单位：         （电子签章）</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val="zh-CN"/>
        </w:rPr>
        <w:t>日期：    年   月   日                  日期：    年   月   日</w:t>
      </w:r>
    </w:p>
    <w:p>
      <w:pPr>
        <w:spacing w:line="360" w:lineRule="auto"/>
        <w:jc w:val="center"/>
        <w:rPr>
          <w:rFonts w:ascii="仿宋" w:hAnsi="仿宋" w:eastAsia="仿宋" w:cs="仿宋"/>
          <w:b/>
          <w:sz w:val="28"/>
          <w:szCs w:val="32"/>
        </w:rPr>
      </w:pPr>
    </w:p>
    <w:p>
      <w:pPr>
        <w:snapToGrid w:val="0"/>
        <w:spacing w:line="360" w:lineRule="auto"/>
        <w:ind w:firstLine="2891" w:firstLineChars="900"/>
        <w:rPr>
          <w:rFonts w:ascii="仿宋" w:hAnsi="仿宋" w:eastAsia="仿宋" w:cs="仿宋"/>
          <w:b/>
          <w:kern w:val="0"/>
          <w:sz w:val="36"/>
          <w:szCs w:val="36"/>
        </w:rPr>
      </w:pPr>
      <w:r>
        <w:rPr>
          <w:rFonts w:hint="eastAsia" w:ascii="仿宋" w:hAnsi="仿宋" w:eastAsia="仿宋" w:cs="仿宋"/>
          <w:b/>
          <w:bCs/>
          <w:sz w:val="32"/>
          <w:szCs w:val="32"/>
        </w:rPr>
        <w:br w:type="page"/>
      </w: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outlineLvl w:val="0"/>
        <w:rPr>
          <w:rFonts w:ascii="仿宋" w:hAnsi="仿宋" w:eastAsia="仿宋" w:cs="仿宋"/>
          <w:kern w:val="0"/>
          <w:sz w:val="24"/>
        </w:rPr>
      </w:pPr>
      <w:r>
        <w:rPr>
          <w:rFonts w:hint="eastAsia" w:ascii="仿宋" w:hAnsi="仿宋" w:eastAsia="仿宋" w:cs="仿宋"/>
          <w:kern w:val="0"/>
          <w:sz w:val="24"/>
        </w:rPr>
        <w:t>（1）投标响应函……………………………………………………（页码）</w:t>
      </w:r>
    </w:p>
    <w:p>
      <w:pPr>
        <w:spacing w:line="360" w:lineRule="auto"/>
        <w:outlineLvl w:val="0"/>
        <w:rPr>
          <w:rFonts w:ascii="仿宋" w:hAnsi="仿宋" w:eastAsia="仿宋" w:cs="仿宋"/>
          <w:kern w:val="0"/>
          <w:sz w:val="24"/>
        </w:rPr>
      </w:pPr>
      <w:r>
        <w:rPr>
          <w:rFonts w:hint="eastAsia" w:ascii="仿宋" w:hAnsi="仿宋" w:eastAsia="仿宋" w:cs="仿宋"/>
          <w:kern w:val="0"/>
          <w:sz w:val="24"/>
        </w:rPr>
        <w:t>（2）投标（开标）一览表…………………………………………（页码）</w:t>
      </w:r>
    </w:p>
    <w:p>
      <w:pPr>
        <w:spacing w:line="360" w:lineRule="auto"/>
        <w:outlineLvl w:val="0"/>
        <w:rPr>
          <w:rFonts w:ascii="仿宋" w:hAnsi="仿宋" w:eastAsia="仿宋" w:cs="仿宋"/>
          <w:kern w:val="0"/>
          <w:sz w:val="24"/>
        </w:rPr>
      </w:pPr>
      <w:r>
        <w:rPr>
          <w:rFonts w:hint="eastAsia" w:ascii="仿宋" w:hAnsi="仿宋" w:eastAsia="仿宋" w:cs="仿宋"/>
          <w:kern w:val="0"/>
          <w:sz w:val="24"/>
        </w:rPr>
        <w:t>（3）中小企业声明函………………………………………………（页码）</w:t>
      </w:r>
    </w:p>
    <w:p>
      <w:pPr>
        <w:spacing w:line="360" w:lineRule="auto"/>
        <w:ind w:left="2" w:firstLine="480" w:firstLineChars="200"/>
        <w:rPr>
          <w:rFonts w:ascii="仿宋" w:hAnsi="仿宋" w:eastAsia="仿宋" w:cs="仿宋"/>
          <w:sz w:val="24"/>
        </w:rPr>
      </w:pPr>
    </w:p>
    <w:p>
      <w:pPr>
        <w:spacing w:line="360" w:lineRule="auto"/>
        <w:ind w:left="2" w:firstLine="480" w:firstLineChars="200"/>
        <w:rPr>
          <w:rFonts w:ascii="仿宋" w:hAnsi="仿宋" w:eastAsia="仿宋" w:cs="仿宋"/>
          <w:sz w:val="24"/>
        </w:rPr>
      </w:pPr>
    </w:p>
    <w:p>
      <w:pPr>
        <w:spacing w:line="360" w:lineRule="auto"/>
        <w:ind w:left="2" w:firstLine="480" w:firstLineChars="200"/>
        <w:rPr>
          <w:rFonts w:ascii="仿宋" w:hAnsi="仿宋" w:eastAsia="仿宋" w:cs="仿宋"/>
          <w:sz w:val="24"/>
        </w:rPr>
      </w:pPr>
    </w:p>
    <w:p>
      <w:pPr>
        <w:spacing w:line="360" w:lineRule="auto"/>
        <w:ind w:left="2" w:firstLine="480" w:firstLineChars="200"/>
        <w:rPr>
          <w:rFonts w:ascii="仿宋" w:hAnsi="仿宋" w:eastAsia="仿宋" w:cs="仿宋"/>
          <w:sz w:val="24"/>
        </w:rPr>
      </w:pPr>
    </w:p>
    <w:p>
      <w:pPr>
        <w:spacing w:line="360" w:lineRule="auto"/>
        <w:ind w:left="2" w:firstLine="480" w:firstLineChars="200"/>
        <w:rPr>
          <w:rFonts w:ascii="仿宋" w:hAnsi="仿宋" w:eastAsia="仿宋" w:cs="仿宋"/>
          <w:sz w:val="24"/>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kern w:val="0"/>
          <w:sz w:val="32"/>
          <w:szCs w:val="32"/>
        </w:rPr>
      </w:pP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一、投标响应</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XXX（单位名称或采购机构名称）：</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(职务、职称)为全权代表，参加贵方组织的XXXXXX项目【招标编号：          】招标的有关活动，并对此项目进行投标。为此：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1、我方同意在投标人</w:t>
      </w:r>
      <w:r>
        <w:rPr>
          <w:rFonts w:hint="eastAsia" w:ascii="仿宋" w:hAnsi="仿宋" w:eastAsia="仿宋" w:cs="仿宋"/>
          <w:kern w:val="44"/>
          <w:sz w:val="24"/>
        </w:rPr>
        <w:t>投标人须知</w:t>
      </w:r>
      <w:r>
        <w:rPr>
          <w:rFonts w:hint="eastAsia" w:ascii="仿宋" w:hAnsi="仿宋" w:eastAsia="仿宋" w:cs="仿宋"/>
          <w:sz w:val="24"/>
        </w:rPr>
        <w:t>规定的开标日期起遵守本投标文件中的承诺且在投标有效期满之前均具有约束力。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2、我方承诺已经具备《中华人民共和国政府采购法》中规定的参加政府采购活动的供应商应当具备的条件：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(2)遵守国家法律、行政法规，具有良好的信誉和商业道德；</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(3)具有履行合同的能力和良好的履行合同记录；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(4)良好的资金、财务状况；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(5)产品及生产所需装备符合中国政府规定的相应技术标准和环保标准；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(6)没有违反政府采购法规、政策的记录；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(7)没有发生重大经济纠纷和走私犯罪记录。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3、我方中标后拟在中标后将</w:t>
      </w:r>
      <w:r>
        <w:rPr>
          <w:rFonts w:hint="eastAsia" w:ascii="仿宋" w:hAnsi="仿宋" w:eastAsia="仿宋" w:cs="仿宋"/>
          <w:sz w:val="24"/>
          <w:u w:val="single"/>
        </w:rPr>
        <w:t xml:space="preserve">           </w:t>
      </w:r>
      <w:r>
        <w:rPr>
          <w:rFonts w:hint="eastAsia" w:ascii="仿宋" w:hAnsi="仿宋" w:eastAsia="仿宋" w:cs="仿宋"/>
          <w:sz w:val="24"/>
        </w:rPr>
        <w:t>工作分包，分包承担主体是</w:t>
      </w:r>
      <w:r>
        <w:rPr>
          <w:rFonts w:hint="eastAsia" w:ascii="仿宋" w:hAnsi="仿宋" w:eastAsia="仿宋" w:cs="仿宋"/>
          <w:sz w:val="24"/>
          <w:u w:val="single"/>
        </w:rPr>
        <w:t xml:space="preserve">                 </w:t>
      </w:r>
      <w:r>
        <w:rPr>
          <w:rFonts w:hint="eastAsia" w:ascii="仿宋" w:hAnsi="仿宋" w:eastAsia="仿宋" w:cs="仿宋"/>
          <w:sz w:val="24"/>
        </w:rPr>
        <w:t>，我方承诺分包承担主体具备相应资质条件</w:t>
      </w:r>
      <w:r>
        <w:rPr>
          <w:rFonts w:hint="eastAsia" w:ascii="仿宋" w:hAnsi="仿宋" w:eastAsia="仿宋" w:cs="仿宋"/>
          <w:sz w:val="24"/>
          <w:u w:val="single"/>
        </w:rPr>
        <w:t xml:space="preserve">           </w:t>
      </w:r>
      <w:r>
        <w:rPr>
          <w:rFonts w:hint="eastAsia" w:ascii="仿宋" w:hAnsi="仿宋" w:eastAsia="仿宋" w:cs="仿宋"/>
          <w:sz w:val="24"/>
        </w:rPr>
        <w:t>，且不再次分包。（不再将工作进行分包或本项目不允许分包的，下划线处填写“/”。）</w:t>
      </w:r>
    </w:p>
    <w:p>
      <w:pPr>
        <w:pStyle w:val="32"/>
        <w:snapToGrid w:val="0"/>
        <w:spacing w:line="360" w:lineRule="auto"/>
        <w:ind w:firstLine="480" w:firstLineChars="200"/>
        <w:rPr>
          <w:rFonts w:ascii="仿宋" w:hAnsi="仿宋" w:eastAsia="仿宋" w:cs="仿宋"/>
          <w:sz w:val="24"/>
        </w:rPr>
      </w:pPr>
      <w:r>
        <w:rPr>
          <w:rFonts w:hint="eastAsia" w:ascii="仿宋" w:hAnsi="仿宋" w:eastAsia="仿宋" w:cs="仿宋"/>
          <w:sz w:val="24"/>
        </w:rPr>
        <w:t>4、提供</w:t>
      </w:r>
      <w:r>
        <w:rPr>
          <w:rFonts w:hint="eastAsia" w:ascii="仿宋" w:hAnsi="仿宋" w:eastAsia="仿宋" w:cs="仿宋"/>
          <w:kern w:val="44"/>
          <w:sz w:val="24"/>
        </w:rPr>
        <w:t>投标人须知</w:t>
      </w:r>
      <w:r>
        <w:rPr>
          <w:rFonts w:hint="eastAsia" w:ascii="仿宋" w:hAnsi="仿宋" w:eastAsia="仿宋" w:cs="仿宋"/>
          <w:sz w:val="24"/>
        </w:rPr>
        <w:t>规定的全部投标文件</w:t>
      </w:r>
      <w:r>
        <w:rPr>
          <w:rFonts w:hint="eastAsia" w:ascii="仿宋" w:hAnsi="仿宋" w:eastAsia="仿宋" w:cs="仿宋"/>
          <w:kern w:val="44"/>
          <w:sz w:val="24"/>
        </w:rPr>
        <w:t>。</w:t>
      </w:r>
      <w:r>
        <w:rPr>
          <w:rFonts w:hint="eastAsia" w:ascii="仿宋" w:hAnsi="仿宋" w:eastAsia="仿宋" w:cs="仿宋"/>
          <w:sz w:val="24"/>
        </w:rPr>
        <w:t>具体内容为：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(1)投标(开标)一览表；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(2)投标</w:t>
      </w:r>
      <w:r>
        <w:rPr>
          <w:rFonts w:hint="eastAsia" w:ascii="仿宋" w:hAnsi="仿宋" w:eastAsia="仿宋" w:cs="仿宋"/>
          <w:kern w:val="0"/>
          <w:sz w:val="24"/>
          <w:lang w:val="zh-CN"/>
        </w:rPr>
        <w:t>技术文件和</w:t>
      </w:r>
      <w:r>
        <w:rPr>
          <w:rFonts w:hint="eastAsia" w:ascii="仿宋" w:hAnsi="仿宋" w:eastAsia="仿宋" w:cs="仿宋"/>
          <w:sz w:val="24"/>
          <w:lang w:val="zh-CN"/>
        </w:rPr>
        <w:t>商务文件</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kern w:val="44"/>
          <w:sz w:val="24"/>
        </w:rPr>
        <w:t>投标人须知</w:t>
      </w:r>
      <w:r>
        <w:rPr>
          <w:rFonts w:hint="eastAsia" w:ascii="仿宋" w:hAnsi="仿宋" w:eastAsia="仿宋" w:cs="仿宋"/>
          <w:sz w:val="24"/>
        </w:rPr>
        <w:t>要求投标人提交的全部文件；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(4)按招标文件要求提供和交付的货物和服务的投标报价详见投标(开标)一览表；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(5)保证忠实地执行双方所签订的合同，并承担合同规定的责任和义务；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(6)保证遵守招标文件中的其他有关规定。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天，不少于招标文件中载明的投标有效期（从提交投标文件的截止之日起90天）。</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6、我方完全理解贵方不一定要接受最低价的投标。</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8、我方已详细审核全部招标文件，包括招标文件修改书(如果有)、参考资料及有关附件，确认无误。</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a)提供虚假材料谋取中标、成交的；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b)采取不正当手段诋毁、排挤其他供应商的；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c)与采购人、其它供应商或者采购机构恶意串通的；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d)向采购人、采购机构行贿或者提供其他不正当利益的；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e)在招标采购过程中与采购人进行协商谈判的；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f)拒绝有关部门监督检查或提供虚假情况的。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供应商有前款第a)至e)项情形之一的，中标、成交无效。</w:t>
      </w:r>
    </w:p>
    <w:p>
      <w:pPr>
        <w:spacing w:line="360" w:lineRule="auto"/>
        <w:ind w:firstLine="3600" w:firstLineChars="1500"/>
        <w:rPr>
          <w:rFonts w:ascii="仿宋" w:hAnsi="仿宋" w:eastAsia="仿宋" w:cs="仿宋"/>
          <w:sz w:val="24"/>
        </w:rPr>
      </w:pPr>
      <w:r>
        <w:rPr>
          <w:rFonts w:hint="eastAsia" w:ascii="仿宋" w:hAnsi="仿宋" w:eastAsia="仿宋" w:cs="仿宋"/>
          <w:sz w:val="24"/>
        </w:rPr>
        <w:t>投标人名称（电子签章）：</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联系人：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联系电话： </w:t>
      </w:r>
      <w:r>
        <w:rPr>
          <w:rFonts w:hint="eastAsia" w:ascii="仿宋" w:hAnsi="仿宋" w:eastAsia="仿宋" w:cs="仿宋"/>
          <w:kern w:val="0"/>
          <w:sz w:val="24"/>
          <w:u w:val="single"/>
          <w:lang w:val="zh-CN"/>
        </w:rPr>
        <w:t xml:space="preserve">                </w:t>
      </w: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联系地址：</w:t>
      </w:r>
      <w:r>
        <w:rPr>
          <w:rFonts w:hint="eastAsia" w:ascii="仿宋" w:hAnsi="仿宋" w:eastAsia="仿宋" w:cs="仿宋"/>
          <w:kern w:val="0"/>
          <w:sz w:val="24"/>
          <w:u w:val="single"/>
          <w:lang w:val="zh-CN"/>
        </w:rPr>
        <w:t xml:space="preserve">                                                    </w:t>
      </w: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邮政编码：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传真号码：</w:t>
      </w:r>
      <w:r>
        <w:rPr>
          <w:rFonts w:hint="eastAsia" w:ascii="仿宋" w:hAnsi="仿宋" w:eastAsia="仿宋" w:cs="仿宋"/>
          <w:kern w:val="0"/>
          <w:sz w:val="24"/>
          <w:u w:val="single"/>
          <w:lang w:val="zh-CN"/>
        </w:rPr>
        <w:t xml:space="preserve">                     </w:t>
      </w:r>
    </w:p>
    <w:p>
      <w:pPr>
        <w:snapToGrid w:val="0"/>
        <w:spacing w:line="360" w:lineRule="auto"/>
        <w:rPr>
          <w:rFonts w:ascii="仿宋" w:hAnsi="仿宋" w:eastAsia="仿宋" w:cs="仿宋"/>
          <w:sz w:val="24"/>
        </w:rPr>
      </w:pPr>
      <w:r>
        <w:rPr>
          <w:rFonts w:hint="eastAsia" w:ascii="仿宋" w:hAnsi="仿宋" w:eastAsia="仿宋" w:cs="仿宋"/>
          <w:b/>
          <w:kern w:val="0"/>
          <w:sz w:val="24"/>
          <w:lang w:val="zh-CN"/>
        </w:rPr>
        <w:t>注：未按照本投标响应函要求填报的将被视为非实质性响应投标，从而可能导致该投标被拒绝。</w:t>
      </w:r>
    </w:p>
    <w:p>
      <w:pPr>
        <w:pStyle w:val="597"/>
        <w:keepNext w:val="0"/>
        <w:pageBreakBefore w:val="0"/>
        <w:tabs>
          <w:tab w:val="clear" w:pos="720"/>
        </w:tabs>
        <w:snapToGrid w:val="0"/>
        <w:ind w:firstLine="640"/>
        <w:outlineLvl w:val="9"/>
        <w:rPr>
          <w:rFonts w:ascii="仿宋" w:hAnsi="仿宋" w:eastAsia="仿宋" w:cs="仿宋"/>
          <w:kern w:val="2"/>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pStyle w:val="597"/>
        <w:keepNext w:val="0"/>
        <w:pageBreakBefore w:val="0"/>
        <w:tabs>
          <w:tab w:val="clear" w:pos="720"/>
        </w:tabs>
        <w:snapToGrid w:val="0"/>
        <w:ind w:firstLine="640"/>
        <w:outlineLvl w:val="9"/>
        <w:rPr>
          <w:rFonts w:ascii="仿宋" w:hAnsi="仿宋" w:eastAsia="仿宋" w:cs="仿宋"/>
          <w:kern w:val="2"/>
          <w:sz w:val="32"/>
          <w:szCs w:val="32"/>
        </w:rPr>
      </w:pPr>
      <w:r>
        <w:rPr>
          <w:rFonts w:hint="eastAsia" w:ascii="仿宋" w:hAnsi="仿宋" w:eastAsia="仿宋" w:cs="仿宋"/>
          <w:kern w:val="2"/>
          <w:sz w:val="32"/>
          <w:szCs w:val="32"/>
        </w:rPr>
        <w:t>二、投标(开标)一览表</w:t>
      </w:r>
    </w:p>
    <w:p>
      <w:pPr>
        <w:snapToGrid w:val="0"/>
        <w:spacing w:line="360" w:lineRule="auto"/>
        <w:rPr>
          <w:rFonts w:ascii="仿宋" w:hAnsi="仿宋" w:eastAsia="仿宋" w:cs="仿宋"/>
          <w:kern w:val="0"/>
          <w:sz w:val="24"/>
        </w:rPr>
      </w:pPr>
      <w:bookmarkStart w:id="432" w:name="_Toc86217005"/>
      <w:r>
        <w:rPr>
          <w:rFonts w:hint="eastAsia" w:ascii="仿宋" w:hAnsi="仿宋" w:eastAsia="仿宋" w:cs="仿宋"/>
          <w:sz w:val="24"/>
        </w:rPr>
        <w:t>XXX（单位名称或采购机构名称）</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
          <w:sz w:val="24"/>
        </w:rPr>
        <w:t>XXXXXX项目</w:t>
      </w:r>
      <w:r>
        <w:rPr>
          <w:rFonts w:hint="eastAsia" w:ascii="仿宋" w:hAnsi="仿宋" w:eastAsia="仿宋" w:cs="仿宋"/>
          <w:kern w:val="0"/>
          <w:sz w:val="24"/>
          <w:lang w:val="zh-CN"/>
        </w:rPr>
        <w:t>【招标文件编号：</w:t>
      </w:r>
      <w:r>
        <w:rPr>
          <w:rFonts w:hint="eastAsia" w:ascii="仿宋" w:hAnsi="仿宋" w:eastAsia="仿宋" w:cs="仿宋"/>
          <w:sz w:val="24"/>
        </w:rPr>
        <w:t xml:space="preserve">                    】的实施</w:t>
      </w:r>
      <w:r>
        <w:rPr>
          <w:rFonts w:hint="eastAsia" w:ascii="仿宋" w:hAnsi="仿宋" w:eastAsia="仿宋" w:cs="仿宋"/>
          <w:kern w:val="0"/>
          <w:sz w:val="24"/>
          <w:lang w:val="zh-CN"/>
        </w:rPr>
        <w:t>。</w:t>
      </w:r>
    </w:p>
    <w:bookmarkEnd w:id="432"/>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投标(开标)一览表(单位均为人民币元)</w:t>
      </w:r>
    </w:p>
    <w:tbl>
      <w:tblPr>
        <w:tblStyle w:val="61"/>
        <w:tblW w:w="145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2"/>
        <w:gridCol w:w="1701"/>
        <w:gridCol w:w="1843"/>
        <w:gridCol w:w="850"/>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59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规格型号（或具体服务）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
                <w:sz w:val="24"/>
              </w:rPr>
            </w:pPr>
            <w:r>
              <w:rPr>
                <w:rFonts w:hint="eastAsia" w:ascii="仿宋" w:hAnsi="仿宋" w:eastAsia="仿宋" w:cs="仿宋"/>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59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003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03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napToGrid w:val="0"/>
        <w:spacing w:line="360" w:lineRule="auto"/>
        <w:ind w:left="48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2、有关本项目实施所涉及的一切费用（详见前附表）均计入报价。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各项明细费用请按实填写（不得出现“0元”“免费赠送”等形式的无偿报价）。</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pacing w:line="360" w:lineRule="auto"/>
        <w:ind w:firstLine="480" w:firstLineChars="200"/>
        <w:rPr>
          <w:rFonts w:ascii="仿宋" w:hAnsi="仿宋" w:eastAsia="仿宋" w:cs="仿宋"/>
          <w:kern w:val="0"/>
          <w:sz w:val="24"/>
          <w:u w:val="single"/>
          <w:lang w:val="zh-CN"/>
        </w:rPr>
      </w:pPr>
      <w:r>
        <w:rPr>
          <w:rFonts w:hint="eastAsia" w:ascii="仿宋" w:hAnsi="仿宋" w:eastAsia="仿宋" w:cs="仿宋"/>
          <w:kern w:val="0"/>
          <w:sz w:val="24"/>
          <w:szCs w:val="22"/>
          <w:lang w:val="zh-CN"/>
        </w:rPr>
        <w:t>5、</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2" w:firstLineChars="200"/>
        <w:jc w:val="right"/>
        <w:rPr>
          <w:rFonts w:ascii="仿宋" w:hAnsi="仿宋" w:eastAsia="仿宋" w:cs="仿宋"/>
          <w:b/>
          <w:kern w:val="0"/>
          <w:sz w:val="24"/>
        </w:rPr>
      </w:pPr>
    </w:p>
    <w:p>
      <w:pPr>
        <w:spacing w:line="360" w:lineRule="auto"/>
        <w:ind w:right="960" w:firstLine="10440" w:firstLineChars="4350"/>
        <w:rPr>
          <w:rFonts w:ascii="仿宋" w:hAnsi="仿宋" w:eastAsia="仿宋" w:cs="仿宋"/>
          <w:sz w:val="24"/>
        </w:rPr>
      </w:pPr>
      <w:r>
        <w:rPr>
          <w:rFonts w:hint="eastAsia" w:ascii="仿宋" w:hAnsi="仿宋" w:eastAsia="仿宋" w:cs="仿宋"/>
          <w:sz w:val="24"/>
        </w:rPr>
        <w:t>投标人名称（电子签章）：</w:t>
      </w:r>
    </w:p>
    <w:p>
      <w:pPr>
        <w:spacing w:line="360" w:lineRule="auto"/>
        <w:ind w:right="480"/>
        <w:jc w:val="center"/>
        <w:rPr>
          <w:rFonts w:ascii="仿宋" w:hAnsi="仿宋" w:eastAsia="仿宋" w:cs="仿宋"/>
          <w:sz w:val="24"/>
        </w:rPr>
      </w:pPr>
      <w:r>
        <w:rPr>
          <w:rFonts w:hint="eastAsia" w:ascii="仿宋" w:hAnsi="仿宋" w:eastAsia="仿宋" w:cs="仿宋"/>
          <w:sz w:val="24"/>
        </w:rPr>
        <w:t xml:space="preserve">                                                                               日期：  年   月   日</w:t>
      </w:r>
    </w:p>
    <w:p>
      <w:pPr>
        <w:widowControl/>
        <w:adjustRightInd/>
        <w:spacing w:line="360" w:lineRule="auto"/>
        <w:jc w:val="left"/>
        <w:rPr>
          <w:rFonts w:ascii="仿宋" w:hAnsi="仿宋" w:eastAsia="仿宋" w:cs="仿宋"/>
          <w:kern w:val="0"/>
          <w:sz w:val="36"/>
          <w:szCs w:val="36"/>
          <w:lang w:val="zh-CN"/>
        </w:rPr>
        <w:sectPr>
          <w:pgSz w:w="16838" w:h="11906" w:orient="landscape"/>
          <w:pgMar w:top="1418" w:right="1276" w:bottom="1418" w:left="1247" w:header="851" w:footer="992" w:gutter="0"/>
          <w:cols w:space="720" w:num="1"/>
        </w:sectPr>
      </w:pPr>
    </w:p>
    <w:p>
      <w:pPr>
        <w:pStyle w:val="597"/>
        <w:keepNext w:val="0"/>
        <w:pageBreakBefore w:val="0"/>
        <w:tabs>
          <w:tab w:val="clear" w:pos="720"/>
        </w:tabs>
        <w:snapToGrid w:val="0"/>
        <w:ind w:firstLine="640"/>
        <w:outlineLvl w:val="9"/>
        <w:rPr>
          <w:rFonts w:ascii="仿宋" w:hAnsi="仿宋" w:eastAsia="仿宋" w:cs="仿宋"/>
          <w:kern w:val="2"/>
          <w:sz w:val="32"/>
          <w:szCs w:val="32"/>
        </w:rPr>
      </w:pPr>
      <w:r>
        <w:rPr>
          <w:rFonts w:hint="eastAsia" w:ascii="仿宋" w:hAnsi="仿宋" w:eastAsia="仿宋" w:cs="仿宋"/>
          <w:kern w:val="2"/>
          <w:sz w:val="32"/>
          <w:szCs w:val="32"/>
        </w:rPr>
        <w:t>三、中小企业声明函（如有）</w:t>
      </w:r>
    </w:p>
    <w:p>
      <w:pPr>
        <w:spacing w:line="360" w:lineRule="auto"/>
        <w:ind w:firstLine="480" w:firstLineChars="200"/>
        <w:jc w:val="left"/>
        <w:rPr>
          <w:rFonts w:ascii="仿宋" w:hAnsi="仿宋" w:eastAsia="仿宋" w:cs="仿宋"/>
          <w:sz w:val="24"/>
        </w:rPr>
      </w:pPr>
    </w:p>
    <w:p>
      <w:pPr>
        <w:pStyle w:val="597"/>
        <w:keepNext w:val="0"/>
        <w:pageBreakBefore w:val="0"/>
        <w:tabs>
          <w:tab w:val="clear" w:pos="720"/>
        </w:tabs>
        <w:snapToGrid w:val="0"/>
        <w:ind w:firstLine="640"/>
        <w:outlineLvl w:val="9"/>
        <w:rPr>
          <w:rFonts w:ascii="仿宋" w:hAnsi="仿宋" w:eastAsia="仿宋" w:cs="仿宋"/>
          <w:kern w:val="2"/>
          <w:sz w:val="32"/>
          <w:szCs w:val="32"/>
        </w:rPr>
      </w:pPr>
      <w:r>
        <w:rPr>
          <w:rFonts w:hint="eastAsia" w:ascii="仿宋" w:hAnsi="仿宋" w:eastAsia="仿宋" w:cs="仿宋"/>
          <w:snapToGrid w:val="0"/>
          <w:kern w:val="2"/>
          <w:sz w:val="32"/>
          <w:szCs w:val="32"/>
        </w:rPr>
        <w:t>中小企业声明函（货物）</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本公司（联合体） 郑重声明， 根据《政府采购促进中小企业发展管理办法》（财库﹝ 2020﹞ 46 号） 的规定， 本公司（联合体） 参加（单位名称） 的（项目名称） 采购活动， 提供的货物全部由符合政策要求的中小企业制造。 相关企业（含联合体中的中小企业、 签订分包意向协议的中小企业）</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 （标的名称） ， 属于（采购文件中明确的所属行业）行业； 制造商为（ 企业名称）， 从业人员 人， 营业收入为 万元， 资产总额为 万元1， 属于（中型企业、 小型企业、 微型企业）；</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 （标的名称） ， 属于（采购文件中明确的所属行业）行业； 制造商为（ 企业名称）， 从业人员 人， 营业收入为 万元， 资产总额为 万元， 属于（中型企业、 小型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企业、 微型企业）；</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 不属于大企业的分支机构， 不存在控股股东为大企业的情形， 也不存在与大企业的负责人为同一人的情形。本企业对上述声明内容的真实性负责。 如有虚假， 将依法承担相应责任。</w:t>
      </w:r>
    </w:p>
    <w:p>
      <w:pPr>
        <w:spacing w:line="360" w:lineRule="auto"/>
        <w:ind w:firstLine="480" w:firstLineChars="200"/>
        <w:jc w:val="left"/>
        <w:rPr>
          <w:rFonts w:ascii="仿宋" w:hAnsi="仿宋" w:eastAsia="仿宋" w:cs="仿宋"/>
          <w:sz w:val="24"/>
        </w:rPr>
      </w:pPr>
    </w:p>
    <w:p>
      <w:pPr>
        <w:spacing w:line="360" w:lineRule="auto"/>
        <w:ind w:firstLine="480" w:firstLineChars="200"/>
        <w:jc w:val="left"/>
        <w:rPr>
          <w:rFonts w:ascii="仿宋" w:hAnsi="仿宋" w:eastAsia="仿宋" w:cs="仿宋"/>
          <w:sz w:val="24"/>
        </w:rPr>
      </w:pPr>
    </w:p>
    <w:p>
      <w:pPr>
        <w:spacing w:line="360" w:lineRule="auto"/>
        <w:ind w:firstLine="480" w:firstLineChars="200"/>
        <w:jc w:val="left"/>
        <w:rPr>
          <w:rFonts w:ascii="仿宋" w:hAnsi="仿宋" w:eastAsia="仿宋" w:cs="仿宋"/>
          <w:sz w:val="24"/>
        </w:rPr>
      </w:pPr>
    </w:p>
    <w:p>
      <w:pPr>
        <w:spacing w:line="360" w:lineRule="auto"/>
        <w:ind w:right="1040"/>
        <w:jc w:val="right"/>
        <w:rPr>
          <w:rFonts w:ascii="仿宋" w:hAnsi="仿宋" w:eastAsia="仿宋" w:cs="仿宋"/>
          <w:sz w:val="24"/>
        </w:rPr>
      </w:pPr>
      <w:r>
        <w:rPr>
          <w:rFonts w:hint="eastAsia" w:ascii="仿宋" w:hAnsi="仿宋" w:eastAsia="仿宋" w:cs="仿宋"/>
          <w:sz w:val="24"/>
        </w:rPr>
        <w:t>投标人名称（盖章/电子签章）：</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wordWrap w:val="0"/>
        <w:spacing w:line="360" w:lineRule="auto"/>
        <w:ind w:firstLine="480" w:firstLineChars="200"/>
        <w:jc w:val="right"/>
        <w:rPr>
          <w:rFonts w:ascii="仿宋" w:hAnsi="仿宋" w:eastAsia="仿宋" w:cs="仿宋"/>
          <w:sz w:val="24"/>
        </w:rPr>
      </w:pPr>
      <w:r>
        <w:rPr>
          <w:rFonts w:hint="eastAsia" w:ascii="仿宋" w:hAnsi="仿宋" w:eastAsia="仿宋" w:cs="仿宋"/>
          <w:sz w:val="24"/>
        </w:rPr>
        <w:t xml:space="preserve">     </w:t>
      </w:r>
    </w:p>
    <w:p>
      <w:pPr>
        <w:pStyle w:val="597"/>
        <w:keepNext w:val="0"/>
        <w:pageBreakBefore w:val="0"/>
        <w:tabs>
          <w:tab w:val="clear" w:pos="720"/>
        </w:tabs>
        <w:snapToGrid w:val="0"/>
        <w:ind w:firstLine="640"/>
        <w:outlineLvl w:val="9"/>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napToGrid w:val="0"/>
          <w:kern w:val="2"/>
          <w:sz w:val="32"/>
          <w:szCs w:val="32"/>
        </w:rPr>
        <w:t>中小企业声明函（工程、 服务）</w:t>
      </w: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（标的名称） </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 xml:space="preserve">万元，属于 </w:t>
      </w:r>
      <w:r>
        <w:rPr>
          <w:rFonts w:hint="eastAsia" w:ascii="仿宋" w:hAnsi="仿宋" w:eastAsia="仿宋" w:cs="仿宋"/>
          <w:sz w:val="24"/>
          <w:u w:val="single"/>
        </w:rPr>
        <w:t>（中型企业、小型企业、微型企业）</w:t>
      </w:r>
      <w:r>
        <w:rPr>
          <w:rFonts w:hint="eastAsia" w:ascii="仿宋" w:hAnsi="仿宋" w:eastAsia="仿宋" w:cs="仿宋"/>
          <w:sz w:val="24"/>
        </w:rPr>
        <w:t xml:space="preserve">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040"/>
        <w:jc w:val="right"/>
        <w:rPr>
          <w:rFonts w:ascii="仿宋" w:hAnsi="仿宋" w:eastAsia="仿宋" w:cs="仿宋"/>
          <w:sz w:val="24"/>
        </w:rPr>
      </w:pPr>
      <w:r>
        <w:rPr>
          <w:rFonts w:hint="eastAsia" w:ascii="仿宋" w:hAnsi="仿宋" w:eastAsia="仿宋" w:cs="仿宋"/>
          <w:sz w:val="24"/>
        </w:rPr>
        <w:t>投标人名称（盖章/电子签章）：</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p>
    <w:p>
      <w:pPr>
        <w:spacing w:line="360" w:lineRule="auto"/>
        <w:ind w:firstLine="310" w:firstLineChars="147"/>
        <w:jc w:val="left"/>
        <w:rPr>
          <w:rFonts w:ascii="仿宋" w:hAnsi="仿宋" w:eastAsia="仿宋" w:cs="仿宋"/>
          <w:b/>
          <w:szCs w:val="21"/>
        </w:rPr>
      </w:pP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w:t>
      </w:r>
      <w:r>
        <w:rPr>
          <w:rFonts w:hint="eastAsia" w:ascii="仿宋" w:hAnsi="仿宋" w:eastAsia="仿宋" w:cs="仿宋"/>
          <w:b/>
          <w:sz w:val="24"/>
        </w:rPr>
        <w:t>投标人提供的中小企业声明函与实际情况不符的，投标价格不可享受价格扣除。</w:t>
      </w:r>
      <w:r>
        <w:rPr>
          <w:rFonts w:hint="eastAsia" w:ascii="仿宋" w:hAnsi="仿宋" w:eastAsia="仿宋" w:cs="仿宋"/>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spacing w:line="360" w:lineRule="auto"/>
        <w:jc w:val="left"/>
        <w:rPr>
          <w:rFonts w:ascii="仿宋" w:hAnsi="仿宋" w:eastAsia="仿宋" w:cs="仿宋"/>
          <w:kern w:val="0"/>
          <w:sz w:val="36"/>
          <w:szCs w:val="36"/>
        </w:rPr>
        <w:sectPr>
          <w:pgSz w:w="11906" w:h="16838"/>
          <w:pgMar w:top="1247" w:right="1418" w:bottom="1276" w:left="1418" w:header="851" w:footer="992" w:gutter="0"/>
          <w:cols w:space="720" w:num="1"/>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sz w:val="36"/>
          <w:szCs w:val="36"/>
          <w:lang w:val="zh-CN"/>
        </w:rPr>
        <w:t>▲</w:t>
      </w: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pStyle w:val="407"/>
        <w:spacing w:line="360" w:lineRule="auto"/>
        <w:rPr>
          <w:rFonts w:ascii="仿宋" w:eastAsia="仿宋" w:cs="仿宋"/>
        </w:rPr>
      </w:pPr>
      <w:r>
        <w:rPr>
          <w:rFonts w:hint="eastAsia" w:ascii="仿宋" w:eastAsia="仿宋" w:cs="仿宋"/>
        </w:rPr>
        <w:t>（1）营业执照(或事业法人登记证或其他工商等登记证明材料)复印件（投标人为 然人的，提供自然人的身份证明）………………………………………………（页码）</w:t>
      </w:r>
    </w:p>
    <w:p>
      <w:pPr>
        <w:pStyle w:val="407"/>
        <w:spacing w:line="360" w:lineRule="auto"/>
        <w:rPr>
          <w:rFonts w:ascii="仿宋" w:eastAsia="仿宋" w:cs="仿宋"/>
        </w:rPr>
      </w:pPr>
      <w:r>
        <w:rPr>
          <w:rFonts w:hint="eastAsia" w:ascii="仿宋" w:eastAsia="仿宋" w:cs="仿宋"/>
        </w:rPr>
        <w:t>（2）联合体协议</w:t>
      </w:r>
      <w:r>
        <w:rPr>
          <w:rFonts w:hint="eastAsia" w:ascii="仿宋" w:eastAsia="仿宋" w:cs="仿宋"/>
          <w:lang w:val="zh-CN"/>
        </w:rPr>
        <w:t>… ………………………</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pPr>
        <w:pStyle w:val="407"/>
        <w:spacing w:line="360" w:lineRule="auto"/>
        <w:rPr>
          <w:rFonts w:ascii="仿宋" w:eastAsia="仿宋" w:cs="仿宋"/>
        </w:rPr>
      </w:pPr>
      <w:r>
        <w:rPr>
          <w:rFonts w:hint="eastAsia" w:ascii="仿宋" w:eastAsia="仿宋" w:cs="仿宋"/>
        </w:rPr>
        <w:t>（3）资信文件复印件（如果要求提供） …………………………………（页码）</w:t>
      </w:r>
    </w:p>
    <w:p>
      <w:pPr>
        <w:pStyle w:val="407"/>
        <w:spacing w:line="360" w:lineRule="auto"/>
        <w:rPr>
          <w:rFonts w:ascii="仿宋" w:eastAsia="仿宋" w:cs="仿宋"/>
        </w:rPr>
      </w:pPr>
      <w:r>
        <w:rPr>
          <w:rFonts w:hint="eastAsia" w:ascii="仿宋" w:eastAsia="仿宋" w:cs="仿宋"/>
        </w:rPr>
        <w:t>（4）</w:t>
      </w:r>
      <w:r>
        <w:rPr>
          <w:rFonts w:hint="eastAsia" w:ascii="仿宋" w:eastAsia="仿宋" w:cs="仿宋"/>
          <w:lang w:val="zh-CN"/>
        </w:rPr>
        <w:t>主要业绩证明… ………………</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pPr>
        <w:pStyle w:val="407"/>
        <w:spacing w:line="360" w:lineRule="auto"/>
        <w:rPr>
          <w:rFonts w:ascii="仿宋" w:eastAsia="仿宋" w:cs="仿宋"/>
        </w:rPr>
      </w:pPr>
      <w:bookmarkStart w:id="433" w:name="OLE_LINK6"/>
      <w:bookmarkStart w:id="434" w:name="OLE_LINK7"/>
      <w:bookmarkStart w:id="435" w:name="OLE_LINK5"/>
      <w:r>
        <w:rPr>
          <w:rFonts w:hint="eastAsia" w:ascii="仿宋" w:eastAsia="仿宋" w:cs="仿宋"/>
        </w:rPr>
        <w:t>（5）其他商务文件或说明</w:t>
      </w:r>
      <w:r>
        <w:rPr>
          <w:rFonts w:hint="eastAsia" w:ascii="仿宋" w:eastAsia="仿宋" w:cs="仿宋"/>
          <w:lang w:val="zh-CN"/>
        </w:rPr>
        <w:t xml:space="preserve"> …………</w:t>
      </w:r>
      <w:r>
        <w:rPr>
          <w:rFonts w:hint="eastAsia" w:ascii="仿宋" w:eastAsia="仿宋" w:cs="仿宋"/>
        </w:rPr>
        <w:t>……</w:t>
      </w:r>
      <w:r>
        <w:rPr>
          <w:rFonts w:hint="eastAsia" w:ascii="仿宋" w:eastAsia="仿宋" w:cs="仿宋"/>
          <w:lang w:val="zh-CN"/>
        </w:rPr>
        <w:t>…………………………………</w:t>
      </w:r>
      <w:r>
        <w:rPr>
          <w:rFonts w:hint="eastAsia" w:ascii="仿宋" w:eastAsia="仿宋" w:cs="仿宋"/>
        </w:rPr>
        <w:t>（页码）</w:t>
      </w:r>
      <w:bookmarkEnd w:id="433"/>
      <w:bookmarkEnd w:id="434"/>
    </w:p>
    <w:bookmarkEnd w:id="435"/>
    <w:p>
      <w:pPr>
        <w:spacing w:line="360" w:lineRule="auto"/>
        <w:ind w:firstLine="480" w:firstLineChars="200"/>
        <w:outlineLvl w:val="0"/>
        <w:rPr>
          <w:rFonts w:ascii="仿宋" w:hAnsi="仿宋" w:eastAsia="仿宋" w:cs="仿宋"/>
          <w:kern w:val="0"/>
          <w:sz w:val="24"/>
        </w:rPr>
      </w:pPr>
      <w:r>
        <w:rPr>
          <w:rFonts w:hint="eastAsia" w:ascii="仿宋" w:hAnsi="仿宋" w:eastAsia="仿宋" w:cs="仿宋"/>
          <w:kern w:val="0"/>
          <w:sz w:val="24"/>
        </w:rPr>
        <w:t>（6）技术（服务）方案……………</w:t>
      </w:r>
      <w:r>
        <w:rPr>
          <w:rFonts w:hint="eastAsia" w:ascii="仿宋" w:hAnsi="仿宋" w:eastAsia="仿宋" w:cs="仿宋"/>
        </w:rPr>
        <w:t>……………</w:t>
      </w:r>
      <w:r>
        <w:rPr>
          <w:rFonts w:hint="eastAsia" w:ascii="仿宋" w:hAnsi="仿宋" w:eastAsia="仿宋" w:cs="仿宋"/>
          <w:kern w:val="0"/>
          <w:sz w:val="24"/>
        </w:rPr>
        <w:t>……………………………（页码）</w:t>
      </w:r>
    </w:p>
    <w:p>
      <w:pPr>
        <w:spacing w:line="360" w:lineRule="auto"/>
        <w:ind w:firstLine="480" w:firstLineChars="200"/>
        <w:outlineLvl w:val="0"/>
        <w:rPr>
          <w:rFonts w:ascii="仿宋" w:hAnsi="仿宋" w:eastAsia="仿宋" w:cs="仿宋"/>
          <w:kern w:val="0"/>
          <w:sz w:val="24"/>
        </w:rPr>
      </w:pPr>
      <w:r>
        <w:rPr>
          <w:rFonts w:hint="eastAsia" w:ascii="仿宋" w:hAnsi="仿宋" w:eastAsia="仿宋" w:cs="仿宋"/>
          <w:kern w:val="0"/>
          <w:sz w:val="24"/>
        </w:rPr>
        <w:t>（7）技术（服务）偏离说明表………</w:t>
      </w:r>
      <w:r>
        <w:rPr>
          <w:rFonts w:hint="eastAsia" w:ascii="仿宋" w:hAnsi="仿宋" w:eastAsia="仿宋" w:cs="仿宋"/>
        </w:rPr>
        <w:t>…………</w:t>
      </w:r>
      <w:r>
        <w:rPr>
          <w:rFonts w:hint="eastAsia" w:ascii="仿宋" w:hAnsi="仿宋" w:eastAsia="仿宋" w:cs="仿宋"/>
          <w:kern w:val="0"/>
          <w:sz w:val="24"/>
        </w:rPr>
        <w:t>……………………………（页码）</w:t>
      </w:r>
    </w:p>
    <w:p>
      <w:pPr>
        <w:spacing w:line="360" w:lineRule="auto"/>
        <w:ind w:firstLine="480" w:firstLineChars="200"/>
        <w:outlineLvl w:val="0"/>
        <w:rPr>
          <w:rFonts w:ascii="仿宋" w:hAnsi="仿宋" w:eastAsia="仿宋" w:cs="仿宋"/>
          <w:kern w:val="0"/>
          <w:sz w:val="24"/>
        </w:rPr>
      </w:pPr>
      <w:r>
        <w:rPr>
          <w:rFonts w:hint="eastAsia" w:ascii="仿宋" w:hAnsi="仿宋" w:eastAsia="仿宋" w:cs="仿宋"/>
          <w:kern w:val="0"/>
          <w:sz w:val="24"/>
        </w:rPr>
        <w:t>（8）组织实施方案……………………</w:t>
      </w:r>
      <w:r>
        <w:rPr>
          <w:rFonts w:hint="eastAsia" w:ascii="仿宋" w:hAnsi="仿宋" w:eastAsia="仿宋" w:cs="仿宋"/>
        </w:rPr>
        <w:t>………</w:t>
      </w:r>
      <w:r>
        <w:rPr>
          <w:rFonts w:hint="eastAsia" w:ascii="仿宋" w:hAnsi="仿宋" w:eastAsia="仿宋" w:cs="仿宋"/>
          <w:kern w:val="0"/>
          <w:sz w:val="24"/>
        </w:rPr>
        <w:t>………………………………（页码）</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（9）</w:t>
      </w:r>
      <w:r>
        <w:rPr>
          <w:rFonts w:hint="eastAsia" w:ascii="仿宋" w:hAnsi="仿宋" w:eastAsia="仿宋" w:cs="仿宋"/>
          <w:sz w:val="24"/>
        </w:rPr>
        <w:t xml:space="preserve">人员投入计划 </w:t>
      </w:r>
      <w:r>
        <w:rPr>
          <w:rFonts w:hint="eastAsia" w:ascii="仿宋" w:hAnsi="仿宋" w:eastAsia="仿宋" w:cs="仿宋"/>
          <w:kern w:val="0"/>
          <w:sz w:val="24"/>
        </w:rPr>
        <w:t>…………………………………………………………（页码）</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（10）</w:t>
      </w:r>
      <w:r>
        <w:rPr>
          <w:rFonts w:hint="eastAsia" w:ascii="仿宋" w:hAnsi="仿宋" w:eastAsia="仿宋" w:cs="仿宋"/>
          <w:sz w:val="24"/>
        </w:rPr>
        <w:t xml:space="preserve">材料、设备、工具等投入计划  </w:t>
      </w:r>
      <w:r>
        <w:rPr>
          <w:rFonts w:hint="eastAsia" w:ascii="仿宋" w:hAnsi="仿宋" w:eastAsia="仿宋" w:cs="仿宋"/>
          <w:kern w:val="0"/>
          <w:sz w:val="24"/>
        </w:rPr>
        <w:t>……………………………………（页码）</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（11）</w:t>
      </w:r>
      <w:r>
        <w:rPr>
          <w:rFonts w:hint="eastAsia" w:ascii="仿宋" w:hAnsi="仿宋" w:eastAsia="仿宋" w:cs="仿宋"/>
          <w:snapToGrid w:val="0"/>
          <w:kern w:val="0"/>
          <w:sz w:val="24"/>
        </w:rPr>
        <w:t xml:space="preserve">投标人的各项服务承诺 </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pPr>
        <w:spacing w:line="360" w:lineRule="auto"/>
        <w:ind w:firstLine="480" w:firstLineChars="200"/>
        <w:rPr>
          <w:rFonts w:ascii="仿宋" w:hAnsi="仿宋" w:eastAsia="仿宋" w:cs="仿宋"/>
          <w:b/>
          <w:bCs/>
          <w:kern w:val="0"/>
          <w:sz w:val="24"/>
        </w:rPr>
      </w:pPr>
      <w:r>
        <w:rPr>
          <w:rFonts w:hint="eastAsia" w:ascii="仿宋" w:hAnsi="仿宋" w:eastAsia="仿宋" w:cs="仿宋"/>
          <w:kern w:val="0"/>
          <w:sz w:val="24"/>
        </w:rPr>
        <w:t>（12）投标人</w:t>
      </w:r>
      <w:r>
        <w:rPr>
          <w:rFonts w:hint="eastAsia" w:ascii="仿宋" w:hAnsi="仿宋" w:eastAsia="仿宋" w:cs="仿宋"/>
          <w:kern w:val="0"/>
          <w:sz w:val="24"/>
          <w:lang w:val="zh-CN"/>
        </w:rPr>
        <w:t>认为需要的其他技术文件或说明……………………………</w:t>
      </w:r>
      <w:r>
        <w:rPr>
          <w:rFonts w:hint="eastAsia" w:ascii="仿宋" w:hAnsi="仿宋" w:eastAsia="仿宋" w:cs="仿宋"/>
          <w:kern w:val="0"/>
          <w:sz w:val="24"/>
        </w:rPr>
        <w:t>（页码）</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（13）</w:t>
      </w:r>
      <w:r>
        <w:rPr>
          <w:rFonts w:hint="eastAsia" w:ascii="仿宋" w:hAnsi="仿宋" w:eastAsia="仿宋" w:cs="仿宋"/>
          <w:kern w:val="0"/>
          <w:sz w:val="24"/>
          <w:lang w:val="zh-CN"/>
        </w:rPr>
        <w:t>关于对招标文件中商务、合同有关条款的拒绝声明…</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kern w:val="0"/>
          <w:sz w:val="24"/>
        </w:rPr>
        <w:t>（页码）</w:t>
      </w:r>
    </w:p>
    <w:p>
      <w:pPr>
        <w:spacing w:line="360" w:lineRule="auto"/>
        <w:ind w:firstLine="480" w:firstLineChars="200"/>
        <w:rPr>
          <w:rFonts w:ascii="仿宋" w:hAnsi="仿宋" w:eastAsia="仿宋" w:cs="仿宋"/>
          <w:kern w:val="0"/>
          <w:sz w:val="24"/>
        </w:rPr>
      </w:pPr>
    </w:p>
    <w:p>
      <w:pPr>
        <w:spacing w:line="360" w:lineRule="auto"/>
        <w:rPr>
          <w:rFonts w:ascii="仿宋" w:hAnsi="仿宋" w:eastAsia="仿宋" w:cs="仿宋"/>
          <w:b/>
          <w:bCs/>
          <w:sz w:val="24"/>
        </w:rPr>
      </w:pPr>
      <w:r>
        <w:rPr>
          <w:rFonts w:hint="eastAsia" w:ascii="仿宋" w:hAnsi="仿宋" w:eastAsia="仿宋" w:cs="仿宋"/>
          <w:b/>
          <w:bCs/>
          <w:sz w:val="24"/>
        </w:rPr>
        <w:t>注：以上目录是基本格式要求，各投标人可根据自身情况进一步细化。</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numPr>
          <w:ilvl w:val="0"/>
          <w:numId w:val="9"/>
        </w:numPr>
        <w:spacing w:line="360" w:lineRule="auto"/>
        <w:jc w:val="center"/>
        <w:rPr>
          <w:rFonts w:ascii="仿宋" w:hAnsi="仿宋" w:eastAsia="仿宋" w:cs="仿宋"/>
          <w:b/>
          <w:sz w:val="30"/>
          <w:szCs w:val="30"/>
        </w:rPr>
      </w:pPr>
      <w:r>
        <w:rPr>
          <w:rFonts w:hint="eastAsia" w:ascii="仿宋" w:hAnsi="仿宋" w:eastAsia="仿宋" w:cs="仿宋"/>
          <w:b/>
          <w:kern w:val="0"/>
          <w:sz w:val="32"/>
          <w:szCs w:val="32"/>
          <w:lang w:val="zh-CN"/>
        </w:rPr>
        <w:br w:type="page"/>
      </w:r>
      <w:r>
        <w:rPr>
          <w:rFonts w:hint="eastAsia" w:ascii="仿宋" w:hAnsi="仿宋" w:eastAsia="仿宋" w:cs="仿宋"/>
          <w:b/>
          <w:sz w:val="30"/>
          <w:szCs w:val="30"/>
        </w:rPr>
        <w:t>营业执照(或事业法人登记证或其他工商等登记证明材料)复印件（投标人为自然人的，提供自然人的身份证明）</w:t>
      </w:r>
    </w:p>
    <w:p>
      <w:pPr>
        <w:spacing w:line="360" w:lineRule="auto"/>
        <w:ind w:left="720"/>
        <w:rPr>
          <w:rFonts w:ascii="仿宋" w:hAnsi="仿宋" w:eastAsia="仿宋" w:cs="仿宋"/>
          <w:b/>
          <w:sz w:val="30"/>
          <w:szCs w:val="30"/>
        </w:rPr>
      </w:pP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 xml:space="preserve">投标人名称(电子签章)：                              </w:t>
      </w:r>
    </w:p>
    <w:p>
      <w:pPr>
        <w:snapToGrid w:val="0"/>
        <w:spacing w:line="360" w:lineRule="auto"/>
        <w:ind w:left="720"/>
        <w:jc w:val="right"/>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left="720"/>
        <w:jc w:val="right"/>
        <w:rPr>
          <w:rFonts w:ascii="仿宋" w:hAnsi="仿宋" w:eastAsia="仿宋" w:cs="仿宋"/>
          <w:kern w:val="0"/>
          <w:sz w:val="24"/>
          <w:lang w:val="zh-CN"/>
        </w:rPr>
      </w:pPr>
    </w:p>
    <w:p>
      <w:pPr>
        <w:snapToGrid w:val="0"/>
        <w:spacing w:line="360" w:lineRule="auto"/>
        <w:ind w:left="720"/>
        <w:jc w:val="right"/>
        <w:rPr>
          <w:rFonts w:ascii="仿宋" w:hAnsi="仿宋" w:eastAsia="仿宋" w:cs="仿宋"/>
          <w:kern w:val="0"/>
          <w:sz w:val="24"/>
          <w:lang w:val="zh-CN"/>
        </w:rPr>
      </w:pPr>
    </w:p>
    <w:p>
      <w:pPr>
        <w:snapToGrid w:val="0"/>
        <w:spacing w:line="360" w:lineRule="auto"/>
        <w:jc w:val="center"/>
        <w:rPr>
          <w:rFonts w:ascii="仿宋" w:hAnsi="仿宋" w:eastAsia="仿宋" w:cs="仿宋"/>
          <w:b/>
          <w:sz w:val="30"/>
          <w:szCs w:val="30"/>
        </w:rPr>
      </w:pPr>
      <w:r>
        <w:rPr>
          <w:rFonts w:hint="eastAsia" w:ascii="仿宋" w:hAnsi="仿宋" w:eastAsia="仿宋" w:cs="仿宋"/>
          <w:b/>
          <w:sz w:val="30"/>
          <w:szCs w:val="30"/>
        </w:rPr>
        <w:br w:type="page"/>
      </w:r>
      <w:r>
        <w:rPr>
          <w:rFonts w:hint="eastAsia" w:ascii="仿宋" w:hAnsi="仿宋" w:eastAsia="仿宋" w:cs="仿宋"/>
          <w:b/>
          <w:sz w:val="30"/>
          <w:szCs w:val="30"/>
        </w:rPr>
        <w:t>联合体协议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甲方：</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乙方：</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各方经协商一致，决定组成一个联合体，以一个投标人的身份就</w:t>
      </w:r>
      <w:r>
        <w:rPr>
          <w:rFonts w:hint="eastAsia" w:ascii="仿宋" w:hAnsi="仿宋" w:eastAsia="仿宋" w:cs="仿宋"/>
          <w:sz w:val="24"/>
        </w:rPr>
        <w:t>********项目</w:t>
      </w:r>
      <w:r>
        <w:rPr>
          <w:rFonts w:hint="eastAsia" w:ascii="仿宋" w:hAnsi="仿宋" w:eastAsia="仿宋" w:cs="仿宋"/>
          <w:kern w:val="0"/>
          <w:sz w:val="24"/>
          <w:lang w:val="zh-CN"/>
        </w:rPr>
        <w:t>【招标编号：*****】共同投标。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sz w:val="24"/>
        </w:rPr>
        <w:t>指定</w:t>
      </w:r>
      <w:r>
        <w:rPr>
          <w:rFonts w:hint="eastAsia" w:ascii="仿宋" w:hAnsi="仿宋" w:eastAsia="仿宋" w:cs="仿宋"/>
          <w:u w:val="single"/>
        </w:rPr>
        <w:t xml:space="preserve">   </w:t>
      </w:r>
      <w:r>
        <w:rPr>
          <w:rFonts w:hint="eastAsia" w:ascii="仿宋" w:hAnsi="仿宋" w:eastAsia="仿宋" w:cs="仿宋"/>
          <w:sz w:val="24"/>
        </w:rPr>
        <w:t>方牵头人，代表所有联合体成员负责投标和合同实施阶段的主办、协调工作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三、本次联合投标中，分工如下：甲方承担的工作和义务为：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；乙方承担的工作和义务为：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；……（注：甲乙双方合同份额比例须明确。）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甲方单位：          （电子签章）          乙方单位：        （电子签章）</w:t>
      </w:r>
    </w:p>
    <w:p>
      <w:pPr>
        <w:snapToGrid w:val="0"/>
        <w:spacing w:line="360" w:lineRule="auto"/>
        <w:ind w:firstLine="576"/>
        <w:rPr>
          <w:rFonts w:ascii="仿宋" w:hAnsi="仿宋" w:eastAsia="仿宋" w:cs="仿宋"/>
          <w:kern w:val="0"/>
          <w:sz w:val="24"/>
          <w:lang w:val="zh-CN"/>
        </w:rPr>
        <w:sectPr>
          <w:pgSz w:w="11906" w:h="16838"/>
          <w:pgMar w:top="1247" w:right="1418" w:bottom="1276" w:left="1418" w:header="851" w:footer="992" w:gutter="0"/>
          <w:cols w:space="720" w:num="1"/>
        </w:sectPr>
      </w:pPr>
      <w:r>
        <w:rPr>
          <w:rFonts w:hint="eastAsia" w:ascii="仿宋" w:hAnsi="仿宋" w:eastAsia="仿宋" w:cs="仿宋"/>
          <w:kern w:val="0"/>
          <w:sz w:val="24"/>
          <w:lang w:val="zh-CN"/>
        </w:rPr>
        <w:t>日期：    年   月   日                  日期：    年   月   日</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三、资信文件复印件（如果要求提供）</w:t>
      </w:r>
    </w:p>
    <w:p>
      <w:pPr>
        <w:spacing w:line="360" w:lineRule="auto"/>
        <w:jc w:val="center"/>
        <w:rPr>
          <w:rFonts w:ascii="仿宋" w:hAnsi="仿宋" w:eastAsia="仿宋" w:cs="仿宋"/>
          <w:sz w:val="24"/>
        </w:rPr>
      </w:pPr>
      <w:r>
        <w:rPr>
          <w:rFonts w:hint="eastAsia" w:ascii="仿宋" w:hAnsi="仿宋" w:eastAsia="仿宋" w:cs="仿宋"/>
          <w:sz w:val="24"/>
        </w:rPr>
        <w:t>（由投标人根据采购需求及招标文件要求编制）</w:t>
      </w:r>
    </w:p>
    <w:p>
      <w:pPr>
        <w:spacing w:line="360" w:lineRule="auto"/>
        <w:jc w:val="center"/>
        <w:rPr>
          <w:rFonts w:ascii="仿宋" w:hAnsi="仿宋" w:eastAsia="仿宋" w:cs="仿宋"/>
          <w:b/>
          <w:bCs/>
          <w:sz w:val="32"/>
          <w:szCs w:val="32"/>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投标人名称(电子签章)：                              </w:t>
      </w:r>
    </w:p>
    <w:p>
      <w:pPr>
        <w:spacing w:line="360" w:lineRule="auto"/>
        <w:jc w:val="center"/>
        <w:rPr>
          <w:rFonts w:ascii="仿宋" w:hAnsi="仿宋" w:eastAsia="仿宋" w:cs="仿宋"/>
          <w:b/>
          <w:bCs/>
          <w:sz w:val="32"/>
          <w:szCs w:val="32"/>
        </w:rPr>
      </w:pPr>
      <w:r>
        <w:rPr>
          <w:rFonts w:hint="eastAsia" w:ascii="仿宋" w:hAnsi="仿宋" w:eastAsia="仿宋" w:cs="仿宋"/>
          <w:kern w:val="0"/>
          <w:sz w:val="24"/>
          <w:lang w:val="zh-CN"/>
        </w:rPr>
        <w:t xml:space="preserve">                   日期：  年  月 日</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四、</w:t>
      </w:r>
      <w:r>
        <w:rPr>
          <w:rFonts w:hint="eastAsia" w:ascii="仿宋" w:hAnsi="仿宋" w:eastAsia="仿宋" w:cs="仿宋"/>
          <w:b/>
          <w:kern w:val="0"/>
          <w:sz w:val="32"/>
          <w:szCs w:val="32"/>
          <w:lang w:val="zh-CN"/>
        </w:rPr>
        <w:t>主要业绩证明</w:t>
      </w:r>
    </w:p>
    <w:p>
      <w:pPr>
        <w:autoSpaceDE w:val="0"/>
        <w:autoSpaceDN w:val="0"/>
        <w:spacing w:line="360" w:lineRule="auto"/>
        <w:ind w:firstLine="4560" w:firstLineChars="1900"/>
        <w:rPr>
          <w:rFonts w:ascii="仿宋" w:hAnsi="仿宋" w:eastAsia="仿宋" w:cs="仿宋"/>
          <w:kern w:val="0"/>
          <w:sz w:val="24"/>
        </w:rPr>
      </w:pP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 xml:space="preserve">投标人名称（电子签章）：                       </w:t>
      </w: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rPr>
        <w:t xml:space="preserve">                                     日期：  年  月   日</w:t>
      </w:r>
    </w:p>
    <w:p>
      <w:pPr>
        <w:spacing w:line="360" w:lineRule="auto"/>
        <w:rPr>
          <w:rFonts w:ascii="仿宋" w:hAnsi="仿宋" w:eastAsia="仿宋" w:cs="仿宋"/>
          <w:kern w:val="0"/>
          <w:sz w:val="24"/>
        </w:rPr>
      </w:pPr>
    </w:p>
    <w:p>
      <w:pPr>
        <w:spacing w:line="360" w:lineRule="auto"/>
        <w:rPr>
          <w:rFonts w:ascii="仿宋" w:hAnsi="仿宋" w:eastAsia="仿宋" w:cs="仿宋"/>
          <w:kern w:val="0"/>
          <w:sz w:val="24"/>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五、</w:t>
      </w:r>
      <w:bookmarkStart w:id="436" w:name="OLE_LINK17"/>
      <w:bookmarkStart w:id="437" w:name="OLE_LINK16"/>
      <w:r>
        <w:rPr>
          <w:rFonts w:hint="eastAsia" w:ascii="仿宋" w:hAnsi="仿宋" w:eastAsia="仿宋" w:cs="仿宋"/>
          <w:b/>
          <w:bCs/>
          <w:sz w:val="32"/>
          <w:szCs w:val="32"/>
        </w:rPr>
        <w:t>其他商务文件或说明</w:t>
      </w:r>
    </w:p>
    <w:p>
      <w:pPr>
        <w:spacing w:line="360" w:lineRule="auto"/>
        <w:jc w:val="center"/>
        <w:rPr>
          <w:rFonts w:ascii="仿宋" w:hAnsi="仿宋" w:eastAsia="仿宋" w:cs="仿宋"/>
          <w:sz w:val="24"/>
        </w:rPr>
      </w:pPr>
      <w:r>
        <w:rPr>
          <w:rFonts w:hint="eastAsia" w:ascii="仿宋" w:hAnsi="仿宋" w:eastAsia="仿宋" w:cs="仿宋"/>
          <w:sz w:val="24"/>
        </w:rPr>
        <w:t>（</w:t>
      </w:r>
      <w:bookmarkStart w:id="438" w:name="OLE_LINK10"/>
      <w:bookmarkStart w:id="439" w:name="OLE_LINK11"/>
      <w:r>
        <w:rPr>
          <w:rFonts w:hint="eastAsia" w:ascii="仿宋" w:hAnsi="仿宋" w:eastAsia="仿宋" w:cs="仿宋"/>
          <w:sz w:val="24"/>
        </w:rPr>
        <w:t>其他商务文件或说明由投标人根据采购需求自行编制</w:t>
      </w:r>
      <w:bookmarkEnd w:id="438"/>
      <w:bookmarkEnd w:id="439"/>
      <w:r>
        <w:rPr>
          <w:rFonts w:hint="eastAsia" w:ascii="仿宋" w:hAnsi="仿宋" w:eastAsia="仿宋" w:cs="仿宋"/>
          <w:sz w:val="24"/>
        </w:rPr>
        <w:t>）</w:t>
      </w:r>
    </w:p>
    <w:bookmarkEnd w:id="436"/>
    <w:bookmarkEnd w:id="437"/>
    <w:p>
      <w:pPr>
        <w:spacing w:line="360" w:lineRule="auto"/>
        <w:jc w:val="center"/>
        <w:rPr>
          <w:rFonts w:ascii="仿宋" w:hAnsi="仿宋" w:eastAsia="仿宋" w:cs="仿宋"/>
          <w:sz w:val="24"/>
        </w:rPr>
      </w:pPr>
    </w:p>
    <w:p>
      <w:pPr>
        <w:autoSpaceDE w:val="0"/>
        <w:autoSpaceDN w:val="0"/>
        <w:spacing w:line="360" w:lineRule="auto"/>
        <w:ind w:firstLine="4800" w:firstLineChars="2000"/>
        <w:rPr>
          <w:rFonts w:ascii="仿宋" w:hAnsi="仿宋" w:eastAsia="仿宋" w:cs="仿宋"/>
          <w:kern w:val="0"/>
          <w:sz w:val="24"/>
        </w:rPr>
      </w:pPr>
      <w:r>
        <w:rPr>
          <w:rFonts w:hint="eastAsia" w:ascii="仿宋" w:hAnsi="仿宋" w:eastAsia="仿宋" w:cs="仿宋"/>
          <w:kern w:val="0"/>
          <w:sz w:val="24"/>
          <w:lang w:val="zh-CN"/>
        </w:rPr>
        <w:t xml:space="preserve">投标人名称（电子签章）：      </w:t>
      </w:r>
    </w:p>
    <w:p>
      <w:pPr>
        <w:autoSpaceDE w:val="0"/>
        <w:autoSpaceDN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rPr>
          <w:rFonts w:ascii="仿宋" w:hAnsi="仿宋" w:eastAsia="仿宋" w:cs="仿宋"/>
          <w:kern w:val="0"/>
          <w:sz w:val="24"/>
          <w:lang w:val="zh-CN"/>
        </w:rPr>
      </w:pPr>
    </w:p>
    <w:p>
      <w:pPr>
        <w:autoSpaceDE w:val="0"/>
        <w:autoSpaceDN w:val="0"/>
        <w:spacing w:line="360" w:lineRule="auto"/>
        <w:rPr>
          <w:rFonts w:ascii="仿宋" w:hAnsi="仿宋" w:eastAsia="仿宋" w:cs="仿宋"/>
          <w:kern w:val="0"/>
          <w:sz w:val="24"/>
          <w:lang w:val="zh-CN"/>
        </w:rPr>
      </w:pPr>
    </w:p>
    <w:p>
      <w:pPr>
        <w:spacing w:line="360" w:lineRule="auto"/>
        <w:jc w:val="center"/>
        <w:rPr>
          <w:rFonts w:ascii="仿宋" w:hAnsi="仿宋" w:eastAsia="仿宋" w:cs="仿宋"/>
          <w:b/>
          <w:bCs/>
          <w:sz w:val="32"/>
          <w:szCs w:val="32"/>
        </w:rPr>
      </w:pPr>
      <w:r>
        <w:rPr>
          <w:rFonts w:hint="eastAsia" w:ascii="仿宋" w:hAnsi="仿宋" w:eastAsia="仿宋" w:cs="仿宋"/>
          <w:b/>
          <w:sz w:val="32"/>
          <w:szCs w:val="32"/>
        </w:rPr>
        <w:t>六</w:t>
      </w:r>
      <w:r>
        <w:rPr>
          <w:rFonts w:hint="eastAsia" w:ascii="仿宋" w:hAnsi="仿宋" w:eastAsia="仿宋" w:cs="仿宋"/>
          <w:b/>
          <w:bCs/>
          <w:sz w:val="32"/>
          <w:szCs w:val="32"/>
        </w:rPr>
        <w:t>、技术和服务方案</w:t>
      </w:r>
    </w:p>
    <w:p>
      <w:pPr>
        <w:spacing w:line="360" w:lineRule="auto"/>
        <w:jc w:val="center"/>
        <w:rPr>
          <w:rFonts w:ascii="仿宋" w:hAnsi="仿宋" w:eastAsia="仿宋" w:cs="仿宋"/>
          <w:sz w:val="24"/>
        </w:rPr>
      </w:pPr>
      <w:r>
        <w:rPr>
          <w:rFonts w:hint="eastAsia" w:ascii="仿宋" w:hAnsi="仿宋" w:eastAsia="仿宋" w:cs="仿宋"/>
          <w:sz w:val="24"/>
        </w:rPr>
        <w:t>（由投标人根据采购需求及招标文件要求编制）</w:t>
      </w:r>
    </w:p>
    <w:p>
      <w:pPr>
        <w:autoSpaceDE w:val="0"/>
        <w:autoSpaceDN w:val="0"/>
        <w:spacing w:line="360" w:lineRule="auto"/>
        <w:ind w:firstLine="4560" w:firstLineChars="1900"/>
        <w:rPr>
          <w:rFonts w:ascii="仿宋" w:hAnsi="仿宋" w:eastAsia="仿宋" w:cs="仿宋"/>
          <w:kern w:val="0"/>
          <w:sz w:val="24"/>
        </w:rPr>
      </w:pPr>
    </w:p>
    <w:p>
      <w:pPr>
        <w:autoSpaceDE w:val="0"/>
        <w:autoSpaceDN w:val="0"/>
        <w:spacing w:line="360" w:lineRule="auto"/>
        <w:ind w:firstLine="4560" w:firstLineChars="1900"/>
        <w:rPr>
          <w:rFonts w:ascii="仿宋" w:hAnsi="仿宋" w:eastAsia="仿宋" w:cs="仿宋"/>
          <w:kern w:val="0"/>
          <w:sz w:val="24"/>
        </w:rPr>
      </w:pPr>
    </w:p>
    <w:p>
      <w:pPr>
        <w:autoSpaceDE w:val="0"/>
        <w:autoSpaceDN w:val="0"/>
        <w:spacing w:line="360" w:lineRule="auto"/>
        <w:ind w:firstLine="4560" w:firstLineChars="1900"/>
        <w:rPr>
          <w:rFonts w:ascii="仿宋" w:hAnsi="仿宋" w:eastAsia="仿宋" w:cs="仿宋"/>
          <w:kern w:val="0"/>
          <w:sz w:val="24"/>
        </w:rPr>
      </w:pP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 xml:space="preserve">供应商名称（电子签章）：                       </w:t>
      </w: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rPr>
        <w:t xml:space="preserve">                                      日期：   年  月   日</w:t>
      </w:r>
    </w:p>
    <w:p>
      <w:pPr>
        <w:widowControl/>
        <w:adjustRightInd/>
        <w:jc w:val="left"/>
        <w:rPr>
          <w:rFonts w:ascii="仿宋" w:hAnsi="仿宋" w:eastAsia="仿宋" w:cs="仿宋"/>
          <w:b/>
          <w:bCs/>
          <w:sz w:val="32"/>
          <w:szCs w:val="32"/>
        </w:rPr>
      </w:pPr>
      <w:r>
        <w:rPr>
          <w:rFonts w:hint="eastAsia" w:ascii="仿宋" w:hAnsi="仿宋" w:eastAsia="仿宋" w:cs="仿宋"/>
          <w:b/>
          <w:bCs/>
          <w:kern w:val="0"/>
          <w:sz w:val="32"/>
          <w:szCs w:val="32"/>
        </w:rPr>
        <w:br w:type="page"/>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七、技术和服务偏离说明表</w:t>
      </w:r>
    </w:p>
    <w:p>
      <w:pPr>
        <w:spacing w:line="360" w:lineRule="auto"/>
        <w:jc w:val="center"/>
        <w:rPr>
          <w:rFonts w:ascii="仿宋" w:hAnsi="仿宋" w:eastAsia="仿宋" w:cs="仿宋"/>
          <w:b/>
          <w:bCs/>
          <w:sz w:val="18"/>
          <w:szCs w:val="18"/>
        </w:rPr>
      </w:pP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r>
    </w:tbl>
    <w:p>
      <w:pPr>
        <w:autoSpaceDE w:val="0"/>
        <w:autoSpaceDN w:val="0"/>
        <w:spacing w:line="360" w:lineRule="auto"/>
        <w:ind w:firstLine="5040" w:firstLineChars="2100"/>
        <w:rPr>
          <w:rFonts w:ascii="仿宋" w:hAnsi="仿宋" w:eastAsia="仿宋" w:cs="仿宋"/>
          <w:kern w:val="0"/>
          <w:sz w:val="24"/>
          <w:lang w:val="zh-CN"/>
        </w:rPr>
      </w:pPr>
    </w:p>
    <w:p>
      <w:pPr>
        <w:autoSpaceDE w:val="0"/>
        <w:autoSpaceDN w:val="0"/>
        <w:spacing w:line="360" w:lineRule="auto"/>
        <w:ind w:firstLine="5040" w:firstLineChars="2100"/>
        <w:rPr>
          <w:rFonts w:ascii="仿宋" w:hAnsi="仿宋" w:eastAsia="仿宋" w:cs="仿宋"/>
          <w:kern w:val="0"/>
          <w:sz w:val="24"/>
        </w:rPr>
      </w:pPr>
      <w:r>
        <w:rPr>
          <w:rFonts w:hint="eastAsia" w:ascii="仿宋" w:hAnsi="仿宋" w:eastAsia="仿宋" w:cs="仿宋"/>
          <w:kern w:val="0"/>
          <w:sz w:val="24"/>
          <w:lang w:val="zh-CN"/>
        </w:rPr>
        <w:t xml:space="preserve">投标人名称（电子签章）：      </w:t>
      </w:r>
    </w:p>
    <w:p>
      <w:pPr>
        <w:autoSpaceDE w:val="0"/>
        <w:autoSpaceDN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jc w:val="center"/>
        <w:rPr>
          <w:rFonts w:ascii="仿宋" w:hAnsi="仿宋" w:eastAsia="仿宋" w:cs="仿宋"/>
          <w:b/>
          <w:sz w:val="24"/>
        </w:rPr>
      </w:pPr>
      <w:r>
        <w:rPr>
          <w:rFonts w:hint="eastAsia" w:ascii="仿宋" w:hAnsi="仿宋" w:eastAsia="仿宋" w:cs="仿宋"/>
          <w:kern w:val="0"/>
          <w:sz w:val="24"/>
          <w:lang w:val="zh-CN"/>
        </w:rPr>
        <w:t xml:space="preserve">                           </w:t>
      </w: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36"/>
          <w:szCs w:val="36"/>
          <w:lang w:val="zh-CN"/>
        </w:rPr>
      </w:pPr>
      <w:r>
        <w:rPr>
          <w:rFonts w:hint="eastAsia" w:ascii="仿宋" w:hAnsi="仿宋" w:eastAsia="仿宋" w:cs="仿宋"/>
          <w:b/>
          <w:bCs/>
          <w:kern w:val="0"/>
          <w:sz w:val="36"/>
          <w:szCs w:val="36"/>
          <w:lang w:val="zh-CN"/>
        </w:rPr>
        <w:t xml:space="preserve"> </w:t>
      </w: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32"/>
          <w:szCs w:val="32"/>
          <w:lang w:val="zh-CN"/>
        </w:rPr>
      </w:pP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t>八、组织实施方案</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 w:hAnsi="仿宋" w:eastAsia="仿宋" w:cs="仿宋"/>
          <w:b/>
          <w:bCs/>
          <w:kern w:val="0"/>
          <w:sz w:val="24"/>
          <w:lang w:val="zh-CN"/>
        </w:rPr>
      </w:pPr>
    </w:p>
    <w:p>
      <w:pPr>
        <w:autoSpaceDE w:val="0"/>
        <w:autoSpaceDN w:val="0"/>
        <w:spacing w:line="360" w:lineRule="auto"/>
        <w:ind w:firstLine="4440" w:firstLineChars="1850"/>
        <w:rPr>
          <w:rFonts w:ascii="仿宋" w:hAnsi="仿宋" w:eastAsia="仿宋" w:cs="仿宋"/>
          <w:kern w:val="0"/>
          <w:sz w:val="24"/>
        </w:rPr>
      </w:pPr>
      <w:r>
        <w:rPr>
          <w:rFonts w:hint="eastAsia" w:ascii="仿宋" w:hAnsi="仿宋" w:eastAsia="仿宋" w:cs="仿宋"/>
          <w:kern w:val="0"/>
          <w:sz w:val="24"/>
        </w:rPr>
        <w:t>投标人名称（电子签章）：</w:t>
      </w:r>
    </w:p>
    <w:p>
      <w:pPr>
        <w:autoSpaceDE w:val="0"/>
        <w:autoSpaceDN w:val="0"/>
        <w:spacing w:line="360" w:lineRule="auto"/>
        <w:rPr>
          <w:rFonts w:ascii="仿宋" w:hAnsi="仿宋" w:eastAsia="仿宋" w:cs="仿宋"/>
          <w:b/>
          <w:bCs/>
          <w:sz w:val="32"/>
          <w:szCs w:val="32"/>
        </w:rPr>
      </w:pPr>
      <w:r>
        <w:rPr>
          <w:rFonts w:hint="eastAsia" w:ascii="仿宋" w:hAnsi="仿宋" w:eastAsia="仿宋" w:cs="仿宋"/>
          <w:kern w:val="0"/>
          <w:sz w:val="24"/>
        </w:rPr>
        <w:t xml:space="preserve">                                     </w:t>
      </w:r>
      <w:r>
        <w:rPr>
          <w:rFonts w:hint="eastAsia" w:ascii="仿宋" w:hAnsi="仿宋" w:eastAsia="仿宋" w:cs="仿宋"/>
          <w:kern w:val="0"/>
          <w:sz w:val="24"/>
          <w:lang w:val="zh-CN"/>
        </w:rPr>
        <w:t>日期：  年  月   日</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九、人员投入计划</w:t>
      </w:r>
    </w:p>
    <w:p>
      <w:pPr>
        <w:autoSpaceDE w:val="0"/>
        <w:autoSpaceDN w:val="0"/>
        <w:spacing w:line="360" w:lineRule="auto"/>
        <w:jc w:val="center"/>
        <w:rPr>
          <w:rFonts w:ascii="仿宋" w:hAnsi="仿宋" w:eastAsia="仿宋" w:cs="仿宋"/>
          <w:kern w:val="0"/>
          <w:sz w:val="24"/>
        </w:rPr>
      </w:pPr>
      <w:r>
        <w:rPr>
          <w:rFonts w:hint="eastAsia" w:ascii="仿宋" w:hAnsi="仿宋" w:eastAsia="仿宋" w:cs="仿宋"/>
          <w:sz w:val="24"/>
        </w:rPr>
        <w:t>（由投标人根据采购需求及招标文件要求编制）</w:t>
      </w:r>
    </w:p>
    <w:p>
      <w:pPr>
        <w:autoSpaceDE w:val="0"/>
        <w:autoSpaceDN w:val="0"/>
        <w:spacing w:line="360" w:lineRule="auto"/>
        <w:ind w:firstLine="4440" w:firstLineChars="1850"/>
        <w:rPr>
          <w:rFonts w:ascii="仿宋" w:hAnsi="仿宋" w:eastAsia="仿宋" w:cs="仿宋"/>
          <w:kern w:val="0"/>
          <w:sz w:val="24"/>
        </w:rPr>
      </w:pPr>
    </w:p>
    <w:p>
      <w:pPr>
        <w:autoSpaceDE w:val="0"/>
        <w:autoSpaceDN w:val="0"/>
        <w:spacing w:line="360" w:lineRule="auto"/>
        <w:ind w:firstLine="4440" w:firstLineChars="1850"/>
        <w:rPr>
          <w:rFonts w:ascii="仿宋" w:hAnsi="仿宋" w:eastAsia="仿宋" w:cs="仿宋"/>
          <w:kern w:val="0"/>
          <w:sz w:val="24"/>
        </w:rPr>
      </w:pPr>
    </w:p>
    <w:p>
      <w:pPr>
        <w:autoSpaceDE w:val="0"/>
        <w:autoSpaceDN w:val="0"/>
        <w:spacing w:line="360" w:lineRule="auto"/>
        <w:ind w:firstLine="4440" w:firstLineChars="1850"/>
        <w:rPr>
          <w:rFonts w:ascii="仿宋" w:hAnsi="仿宋" w:eastAsia="仿宋" w:cs="仿宋"/>
          <w:kern w:val="0"/>
          <w:sz w:val="24"/>
        </w:rPr>
      </w:pPr>
    </w:p>
    <w:p>
      <w:pPr>
        <w:autoSpaceDE w:val="0"/>
        <w:autoSpaceDN w:val="0"/>
        <w:spacing w:line="360" w:lineRule="auto"/>
        <w:ind w:firstLine="4440" w:firstLineChars="1850"/>
        <w:rPr>
          <w:rFonts w:ascii="仿宋" w:hAnsi="仿宋" w:eastAsia="仿宋" w:cs="仿宋"/>
          <w:kern w:val="0"/>
          <w:sz w:val="24"/>
        </w:rPr>
      </w:pPr>
      <w:r>
        <w:rPr>
          <w:rFonts w:hint="eastAsia" w:ascii="仿宋" w:hAnsi="仿宋" w:eastAsia="仿宋" w:cs="仿宋"/>
          <w:kern w:val="0"/>
          <w:sz w:val="24"/>
        </w:rPr>
        <w:t>投标人名称（电子签章）：</w:t>
      </w:r>
    </w:p>
    <w:p>
      <w:pPr>
        <w:autoSpaceDE w:val="0"/>
        <w:autoSpaceDN w:val="0"/>
        <w:spacing w:line="360" w:lineRule="auto"/>
        <w:rPr>
          <w:rFonts w:ascii="仿宋" w:hAnsi="仿宋" w:eastAsia="仿宋" w:cs="仿宋"/>
          <w:b/>
          <w:bCs/>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日期：  年  月   日</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十、材料、设备、工具等投入计划</w:t>
      </w:r>
    </w:p>
    <w:p>
      <w:pPr>
        <w:spacing w:line="360" w:lineRule="auto"/>
        <w:jc w:val="center"/>
        <w:rPr>
          <w:rFonts w:ascii="仿宋" w:hAnsi="仿宋" w:eastAsia="仿宋" w:cs="仿宋"/>
          <w:b/>
          <w:bCs/>
          <w:sz w:val="24"/>
        </w:rPr>
      </w:pPr>
      <w:r>
        <w:rPr>
          <w:rFonts w:hint="eastAsia" w:ascii="仿宋" w:hAnsi="仿宋" w:eastAsia="仿宋" w:cs="仿宋"/>
          <w:sz w:val="24"/>
        </w:rPr>
        <w:t>（由投标人根据采购需求及招标文件要求编制）</w:t>
      </w:r>
    </w:p>
    <w:p>
      <w:pPr>
        <w:autoSpaceDE w:val="0"/>
        <w:autoSpaceDN w:val="0"/>
        <w:spacing w:line="360" w:lineRule="auto"/>
        <w:ind w:firstLine="4440" w:firstLineChars="1850"/>
        <w:rPr>
          <w:rFonts w:ascii="仿宋" w:hAnsi="仿宋" w:eastAsia="仿宋" w:cs="仿宋"/>
          <w:kern w:val="0"/>
          <w:sz w:val="24"/>
        </w:rPr>
      </w:pPr>
      <w:r>
        <w:rPr>
          <w:rFonts w:hint="eastAsia" w:ascii="仿宋" w:hAnsi="仿宋" w:eastAsia="仿宋" w:cs="仿宋"/>
          <w:kern w:val="0"/>
          <w:sz w:val="24"/>
        </w:rPr>
        <w:t>投标人名称（电子签章）：</w:t>
      </w: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日期：  年  月   日</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kern w:val="0"/>
          <w:sz w:val="32"/>
          <w:szCs w:val="32"/>
          <w:lang w:val="zh-CN"/>
        </w:rPr>
      </w:pPr>
      <w:r>
        <w:rPr>
          <w:rFonts w:hint="eastAsia" w:ascii="仿宋" w:hAnsi="仿宋" w:eastAsia="仿宋" w:cs="仿宋"/>
          <w:b/>
          <w:bCs/>
          <w:sz w:val="32"/>
          <w:szCs w:val="32"/>
        </w:rPr>
        <w:t>十一、</w:t>
      </w:r>
      <w:r>
        <w:rPr>
          <w:rFonts w:hint="eastAsia" w:ascii="仿宋" w:hAnsi="仿宋" w:eastAsia="仿宋" w:cs="仿宋"/>
          <w:b/>
          <w:kern w:val="0"/>
          <w:sz w:val="32"/>
          <w:szCs w:val="32"/>
          <w:lang w:val="zh-CN"/>
        </w:rPr>
        <w:t>投标人的各项服务承诺</w:t>
      </w:r>
    </w:p>
    <w:p>
      <w:pPr>
        <w:spacing w:line="360" w:lineRule="auto"/>
        <w:jc w:val="center"/>
        <w:rPr>
          <w:rFonts w:ascii="仿宋" w:hAnsi="仿宋" w:eastAsia="仿宋" w:cs="仿宋"/>
          <w:sz w:val="24"/>
        </w:rPr>
      </w:pPr>
      <w:r>
        <w:rPr>
          <w:rFonts w:hint="eastAsia" w:ascii="仿宋" w:hAnsi="仿宋" w:eastAsia="仿宋" w:cs="仿宋"/>
          <w:sz w:val="24"/>
        </w:rPr>
        <w:t>（由投标人根据采购需求及招标文件要求编制）</w:t>
      </w:r>
    </w:p>
    <w:p>
      <w:pPr>
        <w:spacing w:line="360" w:lineRule="auto"/>
        <w:jc w:val="center"/>
        <w:rPr>
          <w:rFonts w:ascii="仿宋" w:hAnsi="仿宋" w:eastAsia="仿宋" w:cs="仿宋"/>
          <w:sz w:val="18"/>
          <w:szCs w:val="18"/>
        </w:rPr>
      </w:pPr>
    </w:p>
    <w:p>
      <w:pPr>
        <w:autoSpaceDE w:val="0"/>
        <w:autoSpaceDN w:val="0"/>
        <w:spacing w:line="360" w:lineRule="auto"/>
        <w:ind w:firstLine="4440" w:firstLineChars="1850"/>
        <w:rPr>
          <w:rFonts w:ascii="仿宋" w:hAnsi="仿宋" w:eastAsia="仿宋" w:cs="仿宋"/>
          <w:kern w:val="0"/>
          <w:sz w:val="24"/>
        </w:rPr>
      </w:pPr>
      <w:r>
        <w:rPr>
          <w:rFonts w:hint="eastAsia" w:ascii="仿宋" w:hAnsi="仿宋" w:eastAsia="仿宋" w:cs="仿宋"/>
          <w:kern w:val="0"/>
          <w:sz w:val="24"/>
        </w:rPr>
        <w:t>投标人名称（电子签章）：</w:t>
      </w:r>
    </w:p>
    <w:p>
      <w:pPr>
        <w:autoSpaceDE w:val="0"/>
        <w:autoSpaceDN w:val="0"/>
        <w:spacing w:line="360" w:lineRule="auto"/>
        <w:rPr>
          <w:rFonts w:ascii="仿宋" w:hAnsi="仿宋" w:eastAsia="仿宋" w:cs="仿宋"/>
          <w:b/>
          <w:bCs/>
          <w:sz w:val="18"/>
          <w:szCs w:val="18"/>
        </w:rPr>
      </w:pPr>
      <w:r>
        <w:rPr>
          <w:rFonts w:hint="eastAsia" w:ascii="仿宋" w:hAnsi="仿宋" w:eastAsia="仿宋" w:cs="仿宋"/>
          <w:kern w:val="0"/>
          <w:sz w:val="24"/>
        </w:rPr>
        <w:t xml:space="preserve">                                     </w:t>
      </w:r>
      <w:r>
        <w:rPr>
          <w:rFonts w:hint="eastAsia" w:ascii="仿宋" w:hAnsi="仿宋" w:eastAsia="仿宋" w:cs="仿宋"/>
          <w:kern w:val="0"/>
          <w:sz w:val="24"/>
          <w:lang w:val="zh-CN"/>
        </w:rPr>
        <w:t>日期：  年  月   日</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十二、投标人认为需要的其他技术文件或说明</w:t>
      </w:r>
    </w:p>
    <w:p>
      <w:pPr>
        <w:spacing w:line="360" w:lineRule="auto"/>
        <w:jc w:val="center"/>
        <w:rPr>
          <w:rFonts w:ascii="仿宋" w:hAnsi="仿宋" w:eastAsia="仿宋" w:cs="仿宋"/>
          <w:sz w:val="24"/>
        </w:rPr>
      </w:pPr>
      <w:r>
        <w:rPr>
          <w:rFonts w:hint="eastAsia" w:ascii="仿宋" w:hAnsi="仿宋" w:eastAsia="仿宋" w:cs="仿宋"/>
          <w:sz w:val="24"/>
        </w:rPr>
        <w:t>（由投标人根据采购需求自行编制）</w:t>
      </w:r>
    </w:p>
    <w:p>
      <w:pPr>
        <w:spacing w:line="360" w:lineRule="auto"/>
        <w:jc w:val="center"/>
        <w:rPr>
          <w:rFonts w:ascii="仿宋" w:hAnsi="仿宋" w:eastAsia="仿宋" w:cs="仿宋"/>
          <w:sz w:val="24"/>
        </w:rPr>
      </w:pPr>
    </w:p>
    <w:p>
      <w:pPr>
        <w:autoSpaceDE w:val="0"/>
        <w:autoSpaceDN w:val="0"/>
        <w:spacing w:line="360" w:lineRule="auto"/>
        <w:ind w:firstLine="4800" w:firstLineChars="2000"/>
        <w:rPr>
          <w:rFonts w:ascii="仿宋" w:hAnsi="仿宋" w:eastAsia="仿宋" w:cs="仿宋"/>
          <w:kern w:val="0"/>
          <w:sz w:val="24"/>
        </w:rPr>
      </w:pPr>
      <w:r>
        <w:rPr>
          <w:rFonts w:hint="eastAsia" w:ascii="仿宋" w:hAnsi="仿宋" w:eastAsia="仿宋" w:cs="仿宋"/>
          <w:kern w:val="0"/>
          <w:sz w:val="24"/>
        </w:rPr>
        <w:t xml:space="preserve">投标人名称（电子签章）：                       </w:t>
      </w:r>
    </w:p>
    <w:p>
      <w:pPr>
        <w:autoSpaceDE w:val="0"/>
        <w:autoSpaceDN w:val="0"/>
        <w:spacing w:line="360" w:lineRule="auto"/>
        <w:rPr>
          <w:rFonts w:ascii="仿宋" w:hAnsi="仿宋" w:eastAsia="仿宋" w:cs="仿宋"/>
          <w:b/>
          <w:bCs/>
          <w:sz w:val="30"/>
          <w:szCs w:val="30"/>
        </w:rPr>
      </w:pPr>
      <w:r>
        <w:rPr>
          <w:rFonts w:hint="eastAsia" w:ascii="仿宋" w:hAnsi="仿宋" w:eastAsia="仿宋" w:cs="仿宋"/>
          <w:kern w:val="0"/>
          <w:sz w:val="24"/>
        </w:rPr>
        <w:t xml:space="preserve">                                        </w:t>
      </w:r>
      <w:r>
        <w:rPr>
          <w:rFonts w:hint="eastAsia" w:ascii="仿宋" w:hAnsi="仿宋" w:eastAsia="仿宋" w:cs="仿宋"/>
          <w:kern w:val="0"/>
          <w:sz w:val="24"/>
          <w:lang w:val="zh-CN"/>
        </w:rPr>
        <w:t>日期：  年  月   日</w:t>
      </w:r>
    </w:p>
    <w:p>
      <w:pPr>
        <w:spacing w:line="360" w:lineRule="auto"/>
        <w:jc w:val="center"/>
        <w:rPr>
          <w:rFonts w:ascii="仿宋" w:hAnsi="仿宋" w:eastAsia="仿宋" w:cs="仿宋"/>
          <w:b/>
          <w:bCs/>
          <w:sz w:val="30"/>
          <w:szCs w:val="30"/>
        </w:rPr>
      </w:pPr>
    </w:p>
    <w:p>
      <w:pPr>
        <w:spacing w:line="360" w:lineRule="auto"/>
        <w:jc w:val="center"/>
        <w:rPr>
          <w:rFonts w:ascii="仿宋" w:hAnsi="仿宋" w:eastAsia="仿宋" w:cs="仿宋"/>
          <w:b/>
          <w:bCs/>
          <w:sz w:val="30"/>
          <w:szCs w:val="30"/>
        </w:rPr>
      </w:pPr>
    </w:p>
    <w:p>
      <w:pPr>
        <w:spacing w:line="360" w:lineRule="auto"/>
        <w:jc w:val="center"/>
        <w:rPr>
          <w:rFonts w:ascii="仿宋" w:hAnsi="仿宋" w:eastAsia="仿宋" w:cs="仿宋"/>
          <w:b/>
          <w:bCs/>
          <w:sz w:val="30"/>
          <w:szCs w:val="30"/>
        </w:rPr>
      </w:pPr>
    </w:p>
    <w:p>
      <w:pPr>
        <w:spacing w:line="360" w:lineRule="auto"/>
        <w:jc w:val="center"/>
        <w:rPr>
          <w:rFonts w:ascii="仿宋" w:hAnsi="仿宋" w:eastAsia="仿宋" w:cs="仿宋"/>
          <w:b/>
          <w:bCs/>
          <w:sz w:val="30"/>
          <w:szCs w:val="30"/>
        </w:rPr>
      </w:pPr>
    </w:p>
    <w:p>
      <w:pPr>
        <w:spacing w:line="360" w:lineRule="auto"/>
        <w:jc w:val="center"/>
        <w:rPr>
          <w:rFonts w:ascii="仿宋" w:hAnsi="仿宋" w:eastAsia="仿宋" w:cs="仿宋"/>
          <w:b/>
          <w:kern w:val="0"/>
          <w:sz w:val="30"/>
          <w:szCs w:val="30"/>
          <w:lang w:val="zh-CN"/>
        </w:rPr>
      </w:pPr>
      <w:r>
        <w:rPr>
          <w:rFonts w:hint="eastAsia" w:ascii="仿宋" w:hAnsi="仿宋" w:eastAsia="仿宋" w:cs="仿宋"/>
          <w:b/>
          <w:bCs/>
          <w:sz w:val="30"/>
          <w:szCs w:val="30"/>
        </w:rPr>
        <w:t>十三、关于</w:t>
      </w:r>
      <w:r>
        <w:rPr>
          <w:rFonts w:hint="eastAsia" w:ascii="仿宋" w:hAnsi="仿宋" w:eastAsia="仿宋" w:cs="仿宋"/>
          <w:b/>
          <w:kern w:val="0"/>
          <w:sz w:val="30"/>
          <w:szCs w:val="30"/>
          <w:lang w:val="zh-CN"/>
        </w:rPr>
        <w:t>对招标文件中有关商务、合同条款的拒绝声明</w:t>
      </w:r>
    </w:p>
    <w:p>
      <w:pPr>
        <w:spacing w:line="360" w:lineRule="auto"/>
        <w:jc w:val="center"/>
        <w:rPr>
          <w:rFonts w:ascii="仿宋" w:hAnsi="仿宋" w:eastAsia="仿宋" w:cs="仿宋"/>
          <w:sz w:val="24"/>
        </w:rPr>
      </w:pPr>
      <w:r>
        <w:rPr>
          <w:rFonts w:hint="eastAsia" w:ascii="仿宋" w:hAnsi="仿宋" w:eastAsia="仿宋" w:cs="仿宋"/>
          <w:sz w:val="24"/>
        </w:rPr>
        <w:t>（由投标人根据采购需求自行编制）</w:t>
      </w:r>
    </w:p>
    <w:p>
      <w:pPr>
        <w:spacing w:line="360" w:lineRule="auto"/>
        <w:rPr>
          <w:rFonts w:ascii="仿宋" w:hAnsi="仿宋" w:eastAsia="仿宋" w:cs="仿宋"/>
          <w:sz w:val="24"/>
        </w:rPr>
      </w:pPr>
    </w:p>
    <w:p>
      <w:pPr>
        <w:autoSpaceDE w:val="0"/>
        <w:autoSpaceDN w:val="0"/>
        <w:spacing w:line="360" w:lineRule="auto"/>
        <w:ind w:firstLine="5040" w:firstLineChars="2100"/>
        <w:rPr>
          <w:rFonts w:ascii="仿宋" w:hAnsi="仿宋" w:eastAsia="仿宋" w:cs="仿宋"/>
          <w:kern w:val="0"/>
          <w:sz w:val="24"/>
        </w:rPr>
      </w:pPr>
      <w:r>
        <w:rPr>
          <w:rFonts w:hint="eastAsia" w:ascii="仿宋" w:hAnsi="仿宋" w:eastAsia="仿宋" w:cs="仿宋"/>
          <w:kern w:val="0"/>
          <w:sz w:val="24"/>
          <w:lang w:val="zh-CN"/>
        </w:rPr>
        <w:t xml:space="preserve">投标人名称（电子签章）：      </w:t>
      </w:r>
    </w:p>
    <w:p>
      <w:pPr>
        <w:autoSpaceDE w:val="0"/>
        <w:autoSpaceDN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widowControl/>
        <w:adjustRightInd/>
        <w:spacing w:line="360" w:lineRule="auto"/>
        <w:jc w:val="left"/>
        <w:rPr>
          <w:rFonts w:ascii="仿宋" w:hAnsi="仿宋" w:eastAsia="仿宋" w:cs="仿宋"/>
          <w:b/>
          <w:bCs/>
          <w:kern w:val="0"/>
          <w:sz w:val="24"/>
        </w:rPr>
        <w:sectPr>
          <w:pgSz w:w="11906" w:h="16838"/>
          <w:pgMar w:top="1247" w:right="1418" w:bottom="1276" w:left="1418" w:header="851" w:footer="992" w:gutter="0"/>
          <w:cols w:space="720" w:num="1"/>
        </w:sectPr>
      </w:pPr>
    </w:p>
    <w:p>
      <w:pPr>
        <w:spacing w:line="360" w:lineRule="auto"/>
        <w:ind w:right="420"/>
        <w:rPr>
          <w:rFonts w:ascii="仿宋" w:hAnsi="仿宋" w:eastAsia="仿宋" w:cs="仿宋"/>
          <w:b/>
          <w:sz w:val="24"/>
        </w:rPr>
      </w:pPr>
    </w:p>
    <w:p>
      <w:pPr>
        <w:pStyle w:val="4"/>
        <w:rPr>
          <w:rFonts w:cs="仿宋"/>
          <w:color w:val="auto"/>
        </w:rPr>
      </w:pPr>
      <w:bookmarkStart w:id="440" w:name="_Toc465665161"/>
      <w:r>
        <w:rPr>
          <w:rFonts w:hint="eastAsia" w:cs="仿宋"/>
          <w:color w:val="auto"/>
        </w:rPr>
        <w:t>附件</w:t>
      </w:r>
      <w:bookmarkEnd w:id="440"/>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441" w:name="OLE_LINK13"/>
      <w:bookmarkStart w:id="442" w:name="OLE_LINK14"/>
      <w:r>
        <w:rPr>
          <w:rFonts w:hint="eastAsia" w:ascii="仿宋" w:hAnsi="仿宋" w:eastAsia="仿宋" w:cs="仿宋"/>
          <w:b/>
          <w:spacing w:val="6"/>
          <w:sz w:val="32"/>
          <w:szCs w:val="32"/>
        </w:rPr>
        <w:t>残疾人福利性单位声明函</w:t>
      </w:r>
    </w:p>
    <w:bookmarkEnd w:id="441"/>
    <w:bookmarkEnd w:id="442"/>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lang w:val="zh-CN"/>
        </w:rPr>
        <w:t>电子签章</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采购人/采购代理机构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spacing w:line="360" w:lineRule="auto"/>
        <w:rPr>
          <w:rFonts w:ascii="仿宋" w:hAnsi="仿宋" w:eastAsia="仿宋" w:cs="仿宋"/>
          <w:b/>
          <w:bCs/>
          <w:sz w:val="24"/>
        </w:rPr>
      </w:pPr>
      <w:r>
        <w:rPr>
          <w:rFonts w:hint="eastAsia" w:ascii="仿宋" w:hAnsi="仿宋" w:eastAsia="仿宋" w:cs="仿宋"/>
          <w:b/>
          <w:spacing w:val="6"/>
          <w:sz w:val="32"/>
          <w:szCs w:val="32"/>
        </w:rPr>
        <w:t>附件4：政府采购节能产品表</w:t>
      </w:r>
    </w:p>
    <w:tbl>
      <w:tblPr>
        <w:tblStyle w:val="61"/>
        <w:tblW w:w="0" w:type="auto"/>
        <w:tblInd w:w="-942" w:type="dxa"/>
        <w:tblLayout w:type="fixed"/>
        <w:tblCellMar>
          <w:top w:w="0" w:type="dxa"/>
          <w:left w:w="108" w:type="dxa"/>
          <w:bottom w:w="0" w:type="dxa"/>
          <w:right w:w="108" w:type="dxa"/>
        </w:tblCellMar>
      </w:tblPr>
      <w:tblGrid>
        <w:gridCol w:w="735"/>
        <w:gridCol w:w="1204"/>
        <w:gridCol w:w="2471"/>
        <w:gridCol w:w="1995"/>
        <w:gridCol w:w="4620"/>
      </w:tblGrid>
      <w:tr>
        <w:tblPrEx>
          <w:tblCellMar>
            <w:top w:w="0" w:type="dxa"/>
            <w:left w:w="108" w:type="dxa"/>
            <w:bottom w:w="0" w:type="dxa"/>
            <w:right w:w="108" w:type="dxa"/>
          </w:tblCellMar>
        </w:tblPrEx>
        <w:trPr>
          <w:trHeight w:val="714" w:hRule="atLeast"/>
        </w:trPr>
        <w:tc>
          <w:tcPr>
            <w:tcW w:w="735"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1204"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产品型号</w:t>
            </w:r>
          </w:p>
        </w:tc>
        <w:tc>
          <w:tcPr>
            <w:tcW w:w="2471"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节能产品认证证书号</w:t>
            </w:r>
          </w:p>
        </w:tc>
        <w:tc>
          <w:tcPr>
            <w:tcW w:w="1995"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节能产品认证证书有效截止日期</w:t>
            </w:r>
          </w:p>
        </w:tc>
        <w:tc>
          <w:tcPr>
            <w:tcW w:w="4620"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cs="仿宋"/>
                <w:sz w:val="24"/>
              </w:rPr>
            </w:pPr>
            <w:r>
              <w:rPr>
                <w:rFonts w:hint="eastAsia" w:ascii="仿宋" w:hAnsi="仿宋" w:eastAsia="仿宋" w:cs="仿宋"/>
                <w:b/>
                <w:sz w:val="24"/>
              </w:rPr>
              <w:t>节能产品政府采购品目清单中序号</w:t>
            </w:r>
          </w:p>
        </w:tc>
      </w:tr>
      <w:tr>
        <w:tblPrEx>
          <w:tblCellMar>
            <w:top w:w="0" w:type="dxa"/>
            <w:left w:w="108" w:type="dxa"/>
            <w:bottom w:w="0" w:type="dxa"/>
            <w:right w:w="108" w:type="dxa"/>
          </w:tblCellMar>
        </w:tblPrEx>
        <w:trPr>
          <w:trHeight w:val="579" w:hRule="atLeast"/>
        </w:trPr>
        <w:tc>
          <w:tcPr>
            <w:tcW w:w="73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462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615" w:hRule="atLeast"/>
        </w:trPr>
        <w:tc>
          <w:tcPr>
            <w:tcW w:w="73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462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615" w:hRule="atLeast"/>
        </w:trPr>
        <w:tc>
          <w:tcPr>
            <w:tcW w:w="735"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仿宋" w:hAnsi="仿宋" w:eastAsia="仿宋" w:cs="仿宋"/>
                <w:sz w:val="24"/>
              </w:rPr>
            </w:pPr>
          </w:p>
        </w:tc>
        <w:tc>
          <w:tcPr>
            <w:tcW w:w="1204"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cs="仿宋"/>
                <w:sz w:val="24"/>
              </w:rPr>
            </w:pPr>
          </w:p>
        </w:tc>
        <w:tc>
          <w:tcPr>
            <w:tcW w:w="2471"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cs="仿宋"/>
                <w:sz w:val="24"/>
              </w:rPr>
            </w:pPr>
          </w:p>
        </w:tc>
        <w:tc>
          <w:tcPr>
            <w:tcW w:w="1995"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cs="仿宋"/>
                <w:sz w:val="24"/>
              </w:rPr>
            </w:pPr>
          </w:p>
        </w:tc>
        <w:tc>
          <w:tcPr>
            <w:tcW w:w="4620"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仿宋" w:hAnsi="仿宋" w:eastAsia="仿宋" w:cs="仿宋"/>
                <w:sz w:val="24"/>
              </w:rPr>
            </w:pPr>
          </w:p>
        </w:tc>
      </w:tr>
    </w:tbl>
    <w:p>
      <w:pPr>
        <w:spacing w:line="360" w:lineRule="auto"/>
        <w:rPr>
          <w:rFonts w:ascii="仿宋" w:hAnsi="仿宋" w:eastAsia="仿宋" w:cs="仿宋"/>
          <w:b/>
          <w:bCs/>
          <w:sz w:val="24"/>
        </w:rPr>
      </w:pPr>
    </w:p>
    <w:p>
      <w:pPr>
        <w:spacing w:line="360" w:lineRule="auto"/>
        <w:rPr>
          <w:rFonts w:ascii="仿宋" w:hAnsi="仿宋" w:eastAsia="仿宋" w:cs="仿宋"/>
          <w:b/>
          <w:bCs/>
          <w:sz w:val="24"/>
        </w:rPr>
      </w:pPr>
      <w:r>
        <w:rPr>
          <w:rFonts w:hint="eastAsia" w:ascii="仿宋" w:hAnsi="仿宋" w:eastAsia="仿宋" w:cs="仿宋"/>
          <w:b/>
          <w:bCs/>
          <w:sz w:val="24"/>
        </w:rPr>
        <w:t xml:space="preserve">附：节能产品清单认证证书 </w:t>
      </w:r>
    </w:p>
    <w:p>
      <w:pPr>
        <w:spacing w:line="360" w:lineRule="auto"/>
        <w:rPr>
          <w:rFonts w:ascii="仿宋" w:hAnsi="仿宋" w:eastAsia="仿宋" w:cs="仿宋"/>
          <w:b/>
          <w:bCs/>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附表5：政府采购环境标志产品表</w:t>
      </w:r>
    </w:p>
    <w:tbl>
      <w:tblPr>
        <w:tblStyle w:val="61"/>
        <w:tblW w:w="0" w:type="auto"/>
        <w:tblInd w:w="-837" w:type="dxa"/>
        <w:tblLayout w:type="fixed"/>
        <w:tblCellMar>
          <w:top w:w="0" w:type="dxa"/>
          <w:left w:w="108" w:type="dxa"/>
          <w:bottom w:w="0" w:type="dxa"/>
          <w:right w:w="108" w:type="dxa"/>
        </w:tblCellMar>
      </w:tblPr>
      <w:tblGrid>
        <w:gridCol w:w="714"/>
        <w:gridCol w:w="1218"/>
        <w:gridCol w:w="2457"/>
        <w:gridCol w:w="2100"/>
        <w:gridCol w:w="4410"/>
      </w:tblGrid>
      <w:tr>
        <w:tblPrEx>
          <w:tblCellMar>
            <w:top w:w="0" w:type="dxa"/>
            <w:left w:w="108" w:type="dxa"/>
            <w:bottom w:w="0" w:type="dxa"/>
            <w:right w:w="108" w:type="dxa"/>
          </w:tblCellMar>
        </w:tblPrEx>
        <w:trPr>
          <w:trHeight w:val="714" w:hRule="atLeast"/>
        </w:trPr>
        <w:tc>
          <w:tcPr>
            <w:tcW w:w="714"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1218"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产品型号</w:t>
            </w:r>
          </w:p>
        </w:tc>
        <w:tc>
          <w:tcPr>
            <w:tcW w:w="2457"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环境标志产品认证证书号</w:t>
            </w:r>
          </w:p>
        </w:tc>
        <w:tc>
          <w:tcPr>
            <w:tcW w:w="210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环境标志产品认证证书有效截止日期</w:t>
            </w:r>
          </w:p>
        </w:tc>
        <w:tc>
          <w:tcPr>
            <w:tcW w:w="4410"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cs="仿宋"/>
                <w:sz w:val="24"/>
              </w:rPr>
            </w:pPr>
            <w:r>
              <w:rPr>
                <w:rFonts w:hint="eastAsia" w:ascii="仿宋" w:hAnsi="仿宋" w:eastAsia="仿宋" w:cs="仿宋"/>
                <w:b/>
                <w:sz w:val="24"/>
              </w:rPr>
              <w:t>环境产品政府采购品目清单中的序号</w:t>
            </w:r>
          </w:p>
        </w:tc>
      </w:tr>
      <w:tr>
        <w:tblPrEx>
          <w:tblCellMar>
            <w:top w:w="0" w:type="dxa"/>
            <w:left w:w="108" w:type="dxa"/>
            <w:bottom w:w="0" w:type="dxa"/>
            <w:right w:w="108" w:type="dxa"/>
          </w:tblCellMar>
        </w:tblPrEx>
        <w:trPr>
          <w:trHeight w:val="637" w:hRule="atLeast"/>
        </w:trPr>
        <w:tc>
          <w:tcPr>
            <w:tcW w:w="714"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441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617" w:hRule="atLeast"/>
        </w:trPr>
        <w:tc>
          <w:tcPr>
            <w:tcW w:w="714"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441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trHeight w:val="617" w:hRule="atLeast"/>
        </w:trPr>
        <w:tc>
          <w:tcPr>
            <w:tcW w:w="714"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仿宋" w:hAnsi="仿宋" w:eastAsia="仿宋" w:cs="仿宋"/>
                <w:sz w:val="24"/>
              </w:rPr>
            </w:pPr>
          </w:p>
        </w:tc>
        <w:tc>
          <w:tcPr>
            <w:tcW w:w="1218"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cs="仿宋"/>
                <w:sz w:val="24"/>
              </w:rPr>
            </w:pPr>
          </w:p>
        </w:tc>
        <w:tc>
          <w:tcPr>
            <w:tcW w:w="2457"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cs="仿宋"/>
                <w:sz w:val="24"/>
              </w:rPr>
            </w:pPr>
          </w:p>
        </w:tc>
        <w:tc>
          <w:tcPr>
            <w:tcW w:w="2100"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cs="仿宋"/>
                <w:sz w:val="24"/>
              </w:rPr>
            </w:pPr>
          </w:p>
        </w:tc>
        <w:tc>
          <w:tcPr>
            <w:tcW w:w="4410"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仿宋" w:hAnsi="仿宋" w:eastAsia="仿宋" w:cs="仿宋"/>
                <w:sz w:val="24"/>
              </w:rPr>
            </w:pPr>
          </w:p>
        </w:tc>
      </w:tr>
    </w:tbl>
    <w:p>
      <w:pPr>
        <w:autoSpaceDE w:val="0"/>
        <w:autoSpaceDN w:val="0"/>
        <w:spacing w:line="360" w:lineRule="auto"/>
        <w:rPr>
          <w:rFonts w:ascii="仿宋" w:hAnsi="仿宋" w:eastAsia="仿宋" w:cs="仿宋"/>
          <w:b/>
          <w:kern w:val="0"/>
          <w:sz w:val="24"/>
        </w:rPr>
      </w:pPr>
    </w:p>
    <w:p>
      <w:pPr>
        <w:autoSpaceDE w:val="0"/>
        <w:autoSpaceDN w:val="0"/>
        <w:spacing w:line="360" w:lineRule="auto"/>
        <w:rPr>
          <w:rFonts w:ascii="仿宋" w:hAnsi="仿宋" w:eastAsia="仿宋" w:cs="仿宋"/>
          <w:b/>
          <w:kern w:val="0"/>
          <w:sz w:val="24"/>
        </w:rPr>
      </w:pPr>
      <w:r>
        <w:rPr>
          <w:rFonts w:hint="eastAsia" w:ascii="仿宋" w:hAnsi="仿宋" w:eastAsia="仿宋" w:cs="仿宋"/>
          <w:b/>
          <w:kern w:val="0"/>
          <w:sz w:val="24"/>
        </w:rPr>
        <w:t>附：环境标志产品认证证书</w:t>
      </w:r>
    </w:p>
    <w:p>
      <w:pPr>
        <w:autoSpaceDE w:val="0"/>
        <w:autoSpaceDN w:val="0"/>
        <w:spacing w:line="360" w:lineRule="auto"/>
        <w:rPr>
          <w:rFonts w:ascii="仿宋" w:hAnsi="仿宋" w:eastAsia="仿宋" w:cs="仿宋"/>
          <w:kern w:val="0"/>
          <w:sz w:val="24"/>
        </w:rPr>
      </w:pP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 xml:space="preserve">供应商名称（电子签章）：                                       </w:t>
      </w:r>
    </w:p>
    <w:p>
      <w:pPr>
        <w:spacing w:line="360" w:lineRule="auto"/>
        <w:rPr>
          <w:rFonts w:ascii="仿宋" w:hAnsi="仿宋" w:eastAsia="仿宋" w:cs="仿宋"/>
          <w:bCs/>
          <w:sz w:val="24"/>
        </w:rPr>
      </w:pPr>
      <w:r>
        <w:rPr>
          <w:rFonts w:hint="eastAsia" w:ascii="仿宋" w:hAnsi="仿宋" w:eastAsia="仿宋" w:cs="仿宋"/>
          <w:kern w:val="0"/>
          <w:sz w:val="24"/>
        </w:rPr>
        <w:t xml:space="preserve">                                      日期：   年  月   日</w:t>
      </w:r>
    </w:p>
    <w:p>
      <w:pPr>
        <w:jc w:val="center"/>
        <w:rPr>
          <w:rFonts w:ascii="仿宋" w:hAnsi="仿宋" w:eastAsia="仿宋" w:cs="仿宋"/>
          <w:b/>
          <w:sz w:val="24"/>
        </w:rPr>
      </w:pPr>
      <w:r>
        <w:rPr>
          <w:rFonts w:hint="eastAsia" w:ascii="仿宋" w:hAnsi="仿宋" w:eastAsia="仿宋" w:cs="仿宋"/>
          <w:b/>
          <w:sz w:val="24"/>
        </w:rPr>
        <w:br w:type="page"/>
      </w:r>
    </w:p>
    <w:p>
      <w:pPr>
        <w:jc w:val="left"/>
        <w:rPr>
          <w:rFonts w:ascii="仿宋" w:hAnsi="仿宋" w:eastAsia="仿宋" w:cs="仿宋"/>
          <w:sz w:val="40"/>
        </w:rPr>
      </w:pPr>
      <w:r>
        <w:rPr>
          <w:rFonts w:hint="eastAsia" w:ascii="仿宋" w:hAnsi="仿宋" w:eastAsia="仿宋" w:cs="仿宋"/>
          <w:b/>
          <w:spacing w:val="6"/>
          <w:sz w:val="32"/>
          <w:szCs w:val="32"/>
        </w:rPr>
        <w:t>附件6</w:t>
      </w:r>
    </w:p>
    <w:p>
      <w:pPr>
        <w:jc w:val="center"/>
        <w:rPr>
          <w:rFonts w:ascii="仿宋" w:hAnsi="仿宋" w:eastAsia="仿宋" w:cs="仿宋"/>
          <w:sz w:val="40"/>
        </w:rPr>
      </w:pPr>
      <w:r>
        <w:rPr>
          <w:rFonts w:hint="eastAsia" w:ascii="仿宋" w:hAnsi="仿宋" w:eastAsia="仿宋" w:cs="仿宋"/>
          <w:sz w:val="40"/>
        </w:rPr>
        <w:t>样品（演示）授权委托书</w:t>
      </w:r>
    </w:p>
    <w:p>
      <w:pPr>
        <w:jc w:val="center"/>
        <w:rPr>
          <w:rFonts w:ascii="仿宋" w:hAnsi="仿宋" w:eastAsia="仿宋" w:cs="仿宋"/>
          <w:sz w:val="40"/>
        </w:rPr>
      </w:pPr>
    </w:p>
    <w:p>
      <w:pPr>
        <w:snapToGrid w:val="0"/>
        <w:spacing w:line="360" w:lineRule="auto"/>
        <w:rPr>
          <w:rFonts w:ascii="仿宋" w:hAnsi="仿宋" w:eastAsia="仿宋" w:cs="仿宋"/>
          <w:kern w:val="0"/>
          <w:sz w:val="24"/>
        </w:rPr>
      </w:pPr>
      <w:r>
        <w:rPr>
          <w:rFonts w:hint="eastAsia" w:ascii="仿宋" w:hAnsi="仿宋" w:eastAsia="仿宋" w:cs="仿宋"/>
          <w:sz w:val="24"/>
        </w:rPr>
        <w:t>XXX（单位名称或采购机构名称）</w:t>
      </w:r>
      <w:r>
        <w:rPr>
          <w:rFonts w:hint="eastAsia" w:ascii="仿宋" w:hAnsi="仿宋" w:eastAsia="仿宋" w:cs="仿宋"/>
          <w:kern w:val="0"/>
          <w:sz w:val="24"/>
          <w:lang w:val="zh-CN"/>
        </w:rPr>
        <w:t>：</w:t>
      </w:r>
    </w:p>
    <w:p>
      <w:pPr>
        <w:snapToGrid w:val="0"/>
        <w:spacing w:line="360" w:lineRule="auto"/>
        <w:ind w:left="254" w:leftChars="121" w:firstLine="480" w:firstLineChars="200"/>
        <w:jc w:val="left"/>
        <w:rPr>
          <w:rFonts w:ascii="仿宋" w:hAnsi="仿宋" w:eastAsia="仿宋" w:cs="仿宋"/>
          <w:kern w:val="0"/>
          <w:sz w:val="24"/>
          <w:u w:val="single"/>
          <w:lang w:val="zh-CN"/>
        </w:rPr>
      </w:pPr>
      <w:r>
        <w:rPr>
          <w:rFonts w:hint="eastAsia" w:ascii="仿宋" w:hAnsi="仿宋" w:eastAsia="仿宋" w:cs="仿宋"/>
          <w:kern w:val="0"/>
          <w:sz w:val="24"/>
          <w:lang w:val="zh-CN"/>
        </w:rPr>
        <w:t>兹委派</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先生/女士，身份证号：</w:t>
      </w:r>
      <w:r>
        <w:rPr>
          <w:rFonts w:hint="eastAsia" w:ascii="仿宋" w:hAnsi="仿宋" w:eastAsia="仿宋" w:cs="仿宋"/>
          <w:kern w:val="0"/>
          <w:sz w:val="24"/>
          <w:u w:val="single"/>
          <w:lang w:val="zh-CN"/>
        </w:rPr>
        <w:t xml:space="preserve">                   </w:t>
      </w:r>
    </w:p>
    <w:p>
      <w:pPr>
        <w:snapToGrid w:val="0"/>
        <w:spacing w:line="360" w:lineRule="auto"/>
        <w:ind w:left="254" w:leftChars="121" w:firstLine="480" w:firstLineChars="200"/>
        <w:jc w:val="left"/>
        <w:rPr>
          <w:rFonts w:ascii="仿宋" w:hAnsi="仿宋" w:eastAsia="仿宋" w:cs="仿宋"/>
          <w:kern w:val="0"/>
          <w:sz w:val="24"/>
        </w:rPr>
      </w:pP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，代表我公司前来递交</w:t>
      </w:r>
      <w:r>
        <w:rPr>
          <w:rFonts w:hint="eastAsia" w:ascii="仿宋" w:hAnsi="仿宋" w:eastAsia="仿宋" w:cs="仿宋"/>
          <w:kern w:val="0"/>
          <w:sz w:val="24"/>
          <w:u w:val="single"/>
          <w:lang w:val="zh-CN"/>
        </w:rPr>
        <w:t xml:space="preserve">                           采购项目</w:t>
      </w:r>
      <w:r>
        <w:rPr>
          <w:rFonts w:hint="eastAsia" w:ascii="仿宋" w:hAnsi="仿宋" w:eastAsia="仿宋" w:cs="仿宋"/>
          <w:kern w:val="0"/>
          <w:sz w:val="24"/>
          <w:lang w:val="zh-CN"/>
        </w:rPr>
        <w:t>【项目编号：              】投标样品或参加演示，并全权负责标后取回样品等其他处理事宜。</w:t>
      </w:r>
    </w:p>
    <w:p>
      <w:pPr>
        <w:snapToGrid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p>
    <w:p>
      <w:pPr>
        <w:snapToGrid w:val="0"/>
        <w:spacing w:line="360" w:lineRule="auto"/>
        <w:ind w:right="240"/>
        <w:jc w:val="right"/>
        <w:rPr>
          <w:rFonts w:ascii="仿宋" w:hAnsi="仿宋" w:eastAsia="仿宋" w:cs="仿宋"/>
          <w:kern w:val="0"/>
          <w:sz w:val="24"/>
          <w:lang w:val="zh-CN"/>
        </w:rPr>
      </w:pPr>
      <w:r>
        <w:rPr>
          <w:rFonts w:hint="eastAsia" w:ascii="仿宋" w:hAnsi="仿宋" w:eastAsia="仿宋" w:cs="仿宋"/>
          <w:kern w:val="0"/>
          <w:sz w:val="24"/>
          <w:lang w:val="zh-CN"/>
        </w:rPr>
        <w:t>签发日期：  年  月   日</w:t>
      </w:r>
    </w:p>
    <w:p>
      <w:pPr>
        <w:snapToGrid w:val="0"/>
        <w:spacing w:line="360" w:lineRule="auto"/>
        <w:ind w:right="240"/>
        <w:jc w:val="right"/>
        <w:rPr>
          <w:rFonts w:ascii="仿宋" w:hAnsi="仿宋" w:eastAsia="仿宋" w:cs="仿宋"/>
          <w:kern w:val="0"/>
          <w:sz w:val="24"/>
          <w:lang w:val="zh-CN"/>
        </w:rPr>
      </w:pPr>
    </w:p>
    <w:p>
      <w:pPr>
        <w:snapToGrid w:val="0"/>
        <w:spacing w:line="360" w:lineRule="auto"/>
        <w:ind w:right="240"/>
        <w:jc w:val="right"/>
        <w:rPr>
          <w:rFonts w:ascii="仿宋" w:hAnsi="仿宋" w:eastAsia="仿宋" w:cs="仿宋"/>
          <w:kern w:val="0"/>
          <w:sz w:val="24"/>
          <w:lang w:val="zh-CN"/>
        </w:rPr>
      </w:pPr>
    </w:p>
    <w:p>
      <w:pPr>
        <w:snapToGrid w:val="0"/>
        <w:spacing w:line="360" w:lineRule="auto"/>
        <w:ind w:right="240"/>
        <w:jc w:val="right"/>
        <w:rPr>
          <w:rFonts w:ascii="仿宋" w:hAnsi="仿宋" w:eastAsia="仿宋" w:cs="仿宋"/>
          <w:kern w:val="0"/>
          <w:sz w:val="24"/>
          <w:lang w:val="zh-CN"/>
        </w:rPr>
      </w:pPr>
    </w:p>
    <w:p>
      <w:pPr>
        <w:snapToGrid w:val="0"/>
        <w:spacing w:line="360" w:lineRule="auto"/>
        <w:ind w:right="240"/>
        <w:jc w:val="righ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r>
        <w:rPr>
          <w:rFonts w:hint="eastAsia" w:ascii="仿宋" w:hAnsi="仿宋" w:eastAsia="仿宋" w:cs="仿宋"/>
          <w:kern w:val="0"/>
          <w:sz w:val="24"/>
          <w:lang w:val="zh-CN"/>
        </w:rPr>
        <w:t>身份证复印件：</w:t>
      </w: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p>
    <w:p>
      <w:pPr>
        <w:snapToGrid w:val="0"/>
        <w:spacing w:line="360" w:lineRule="auto"/>
        <w:ind w:right="240"/>
        <w:jc w:val="left"/>
        <w:rPr>
          <w:rFonts w:ascii="仿宋" w:hAnsi="仿宋" w:eastAsia="仿宋" w:cs="仿宋"/>
          <w:kern w:val="0"/>
          <w:sz w:val="24"/>
          <w:lang w:val="zh-CN"/>
        </w:rPr>
      </w:pPr>
      <w:r>
        <w:rPr>
          <w:rFonts w:hint="eastAsia" w:ascii="仿宋" w:hAnsi="仿宋" w:eastAsia="仿宋" w:cs="仿宋"/>
          <w:kern w:val="0"/>
          <w:sz w:val="24"/>
          <w:lang w:val="zh-CN"/>
        </w:rPr>
        <w:t>说明：本委托书在有样品或演示时由受委托人携带至指定地点。</w:t>
      </w:r>
    </w:p>
    <w:p>
      <w:pPr>
        <w:spacing w:line="360" w:lineRule="auto"/>
        <w:rPr>
          <w:rFonts w:ascii="仿宋" w:hAnsi="仿宋" w:eastAsia="仿宋" w:cs="仿宋"/>
          <w:b/>
          <w:sz w:val="24"/>
        </w:rPr>
      </w:pPr>
    </w:p>
    <w:sectPr>
      <w:headerReference r:id="rId15" w:type="first"/>
      <w:footerReference r:id="rId18" w:type="first"/>
      <w:headerReference r:id="rId14" w:type="default"/>
      <w:footerReference r:id="rId16" w:type="default"/>
      <w:footerReference r:id="rId17"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swiss"/>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auto"/>
    <w:pitch w:val="default"/>
    <w:sig w:usb0="00000000" w:usb1="00000000" w:usb2="00000000" w:usb3="00000000" w:csb0="000001FB"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5"/>
      </w:rPr>
    </w:pPr>
    <w:r>
      <w:fldChar w:fldCharType="begin"/>
    </w:r>
    <w:r>
      <w:rPr>
        <w:rStyle w:val="65"/>
      </w:rPr>
      <w:instrText xml:space="preserve">PAGE  </w:instrText>
    </w:r>
    <w:r>
      <w:fldChar w:fldCharType="end"/>
    </w:r>
  </w:p>
  <w:p>
    <w:pPr>
      <w:pStyle w:val="3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43" w:name="_Toc36110187"/>
    <w:bookmarkStart w:id="444" w:name="_Toc164085800"/>
    <w:bookmarkStart w:id="445" w:name="_Toc131845147"/>
    <w:bookmarkStart w:id="446" w:name="_Toc91899912"/>
    <w:r>
      <w:rPr>
        <w:rFonts w:hint="eastAsia" w:ascii="仿宋_GB2312" w:eastAsia="仿宋_GB2312"/>
        <w:kern w:val="0"/>
        <w:szCs w:val="21"/>
      </w:rPr>
      <w:t xml:space="preserve"> 页</w:t>
    </w:r>
    <w:bookmarkEnd w:id="443"/>
    <w:bookmarkEnd w:id="444"/>
    <w:bookmarkEnd w:id="445"/>
    <w:bookmarkEnd w:id="44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w:t>
    </w:r>
    <w:r>
      <w:t xml:space="preserve">  </w:t>
    </w:r>
    <w:r>
      <w:rPr>
        <w:rFonts w:hint="eastAsia"/>
      </w:rPr>
      <w:t>萧山区政府采购公开招标文件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rPr>
        <w:rFonts w:hint="eastAsia"/>
      </w:rPr>
      <w:t xml:space="preserve">                                                                         萧山区政府采购公开招标文件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w:t>
    </w:r>
    <w:r>
      <w:t xml:space="preserve">  </w:t>
    </w:r>
    <w:r>
      <w:rPr>
        <w:rFonts w:hint="eastAsia"/>
      </w:rPr>
      <w:t>萧山区政府采购公开招标文件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iCs/>
        <w:u w:val="single"/>
      </w:rPr>
    </w:pPr>
    <w:r>
      <w:rPr>
        <w:rFonts w:hint="eastAsia"/>
      </w:rPr>
      <w:t xml:space="preserve">                                                                          萧山区政府采购公开招标文件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28"/>
      <w:lvlText w:val=""/>
      <w:lvlJc w:val="left"/>
      <w:pPr>
        <w:tabs>
          <w:tab w:val="left" w:pos="1260"/>
        </w:tabs>
        <w:ind w:left="1260" w:hanging="420"/>
      </w:pPr>
      <w:rPr>
        <w:rFonts w:hint="default" w:ascii="Wingdings" w:hAnsi="Wingdings"/>
      </w:rPr>
    </w:lvl>
    <w:lvl w:ilvl="2" w:tentative="0">
      <w:start w:val="1"/>
      <w:numFmt w:val="bullet"/>
      <w:pStyle w:val="309"/>
      <w:lvlText w:val=""/>
      <w:lvlJc w:val="left"/>
      <w:pPr>
        <w:tabs>
          <w:tab w:val="left" w:pos="1680"/>
        </w:tabs>
        <w:ind w:left="1680" w:hanging="420"/>
      </w:pPr>
      <w:rPr>
        <w:rFonts w:hint="default" w:ascii="Wingdings" w:hAnsi="Wingdings"/>
      </w:rPr>
    </w:lvl>
    <w:lvl w:ilvl="3" w:tentative="0">
      <w:start w:val="1"/>
      <w:numFmt w:val="bullet"/>
      <w:pStyle w:val="326"/>
      <w:lvlText w:val=""/>
      <w:lvlJc w:val="left"/>
      <w:pPr>
        <w:tabs>
          <w:tab w:val="left" w:pos="2100"/>
        </w:tabs>
        <w:ind w:left="2100" w:hanging="420"/>
      </w:pPr>
      <w:rPr>
        <w:rFonts w:hint="default" w:ascii="Wingdings" w:hAnsi="Wingdings"/>
      </w:rPr>
    </w:lvl>
    <w:lvl w:ilvl="4" w:tentative="0">
      <w:start w:val="1"/>
      <w:numFmt w:val="bullet"/>
      <w:pStyle w:val="393"/>
      <w:lvlText w:val=""/>
      <w:lvlJc w:val="left"/>
      <w:pPr>
        <w:tabs>
          <w:tab w:val="left" w:pos="2520"/>
        </w:tabs>
        <w:ind w:left="2520" w:hanging="420"/>
      </w:pPr>
      <w:rPr>
        <w:rFonts w:hint="default" w:ascii="Wingdings" w:hAnsi="Wingdings"/>
      </w:rPr>
    </w:lvl>
    <w:lvl w:ilvl="5" w:tentative="0">
      <w:start w:val="1"/>
      <w:numFmt w:val="bullet"/>
      <w:pStyle w:val="462"/>
      <w:lvlText w:val=""/>
      <w:lvlJc w:val="left"/>
      <w:pPr>
        <w:tabs>
          <w:tab w:val="left" w:pos="2940"/>
        </w:tabs>
        <w:ind w:left="2940" w:hanging="420"/>
      </w:pPr>
      <w:rPr>
        <w:rFonts w:hint="default" w:ascii="Wingdings" w:hAnsi="Wingdings"/>
      </w:rPr>
    </w:lvl>
    <w:lvl w:ilvl="6" w:tentative="0">
      <w:start w:val="1"/>
      <w:numFmt w:val="bullet"/>
      <w:pStyle w:val="461"/>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4">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578B3BD2"/>
    <w:multiLevelType w:val="multilevel"/>
    <w:tmpl w:val="578B3BD2"/>
    <w:lvl w:ilvl="0" w:tentative="0">
      <w:start w:val="1"/>
      <w:numFmt w:val="decimal"/>
      <w:pStyle w:val="472"/>
      <w:lvlText w:val="%1"/>
      <w:lvlJc w:val="left"/>
      <w:pPr>
        <w:tabs>
          <w:tab w:val="left" w:pos="480"/>
        </w:tabs>
        <w:ind w:left="480" w:hanging="480"/>
      </w:pPr>
      <w:rPr>
        <w:rFonts w:hint="eastAsia"/>
        <w:sz w:val="44"/>
        <w:szCs w:val="44"/>
      </w:rPr>
    </w:lvl>
    <w:lvl w:ilvl="1" w:tentative="0">
      <w:start w:val="1"/>
      <w:numFmt w:val="decimal"/>
      <w:pStyle w:val="449"/>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7"/>
      <w:lvlText w:val="%1.%2.%3.%4.%5"/>
      <w:lvlJc w:val="left"/>
      <w:pPr>
        <w:tabs>
          <w:tab w:val="left" w:pos="1080"/>
        </w:tabs>
        <w:ind w:left="1080" w:hanging="1080"/>
      </w:pPr>
      <w:rPr>
        <w:rFonts w:hint="default"/>
      </w:rPr>
    </w:lvl>
    <w:lvl w:ilvl="5" w:tentative="0">
      <w:start w:val="1"/>
      <w:numFmt w:val="decimal"/>
      <w:pStyle w:val="4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596DCC"/>
    <w:multiLevelType w:val="multilevel"/>
    <w:tmpl w:val="73596DCC"/>
    <w:lvl w:ilvl="0" w:tentative="0">
      <w:start w:val="1"/>
      <w:numFmt w:val="bullet"/>
      <w:pStyle w:val="47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3"/>
  </w:num>
  <w:num w:numId="3">
    <w:abstractNumId w:val="0"/>
  </w:num>
  <w:num w:numId="4">
    <w:abstractNumId w:val="1"/>
  </w:num>
  <w:num w:numId="5">
    <w:abstractNumId w:val="6"/>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2F27"/>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118C"/>
    <w:rsid w:val="0010125E"/>
    <w:rsid w:val="00101967"/>
    <w:rsid w:val="00103EBD"/>
    <w:rsid w:val="001048AB"/>
    <w:rsid w:val="00104E5B"/>
    <w:rsid w:val="00104EEC"/>
    <w:rsid w:val="001050DC"/>
    <w:rsid w:val="00105482"/>
    <w:rsid w:val="001055BB"/>
    <w:rsid w:val="001056A5"/>
    <w:rsid w:val="00105BA9"/>
    <w:rsid w:val="00106AAA"/>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F61"/>
    <w:rsid w:val="002B2906"/>
    <w:rsid w:val="002B34E3"/>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2930"/>
    <w:rsid w:val="003B31A7"/>
    <w:rsid w:val="003B367F"/>
    <w:rsid w:val="003B430E"/>
    <w:rsid w:val="003B47DE"/>
    <w:rsid w:val="003B4B51"/>
    <w:rsid w:val="003B514E"/>
    <w:rsid w:val="003B636A"/>
    <w:rsid w:val="003B69CE"/>
    <w:rsid w:val="003C011C"/>
    <w:rsid w:val="003C0B60"/>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E2C"/>
    <w:rsid w:val="004A1EA7"/>
    <w:rsid w:val="004A2EF8"/>
    <w:rsid w:val="004A3A21"/>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DDC"/>
    <w:rsid w:val="005131A2"/>
    <w:rsid w:val="00513BB9"/>
    <w:rsid w:val="0051440E"/>
    <w:rsid w:val="00514B53"/>
    <w:rsid w:val="00515061"/>
    <w:rsid w:val="00515502"/>
    <w:rsid w:val="00515973"/>
    <w:rsid w:val="00517AC8"/>
    <w:rsid w:val="00517C3E"/>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43C1"/>
    <w:rsid w:val="006D5442"/>
    <w:rsid w:val="006D6E4E"/>
    <w:rsid w:val="006D72C1"/>
    <w:rsid w:val="006D7A8E"/>
    <w:rsid w:val="006E00E3"/>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5C5A"/>
    <w:rsid w:val="00746098"/>
    <w:rsid w:val="00746D58"/>
    <w:rsid w:val="00746E66"/>
    <w:rsid w:val="00747578"/>
    <w:rsid w:val="00751073"/>
    <w:rsid w:val="00751AF2"/>
    <w:rsid w:val="00751BD2"/>
    <w:rsid w:val="00752188"/>
    <w:rsid w:val="00752CC6"/>
    <w:rsid w:val="00753938"/>
    <w:rsid w:val="007543CE"/>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3104"/>
    <w:rsid w:val="00893432"/>
    <w:rsid w:val="00893936"/>
    <w:rsid w:val="00893BFD"/>
    <w:rsid w:val="00893CE2"/>
    <w:rsid w:val="00893F41"/>
    <w:rsid w:val="00895144"/>
    <w:rsid w:val="0089594D"/>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EA5"/>
    <w:rsid w:val="00937114"/>
    <w:rsid w:val="0094015D"/>
    <w:rsid w:val="00941101"/>
    <w:rsid w:val="009418D4"/>
    <w:rsid w:val="00941B13"/>
    <w:rsid w:val="009441DB"/>
    <w:rsid w:val="00944834"/>
    <w:rsid w:val="00946128"/>
    <w:rsid w:val="0094633F"/>
    <w:rsid w:val="009475C1"/>
    <w:rsid w:val="009477CB"/>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6C9"/>
    <w:rsid w:val="009A7E7C"/>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6C4"/>
    <w:rsid w:val="00A117D5"/>
    <w:rsid w:val="00A11984"/>
    <w:rsid w:val="00A131F5"/>
    <w:rsid w:val="00A133C1"/>
    <w:rsid w:val="00A13414"/>
    <w:rsid w:val="00A13F2D"/>
    <w:rsid w:val="00A1475E"/>
    <w:rsid w:val="00A14F81"/>
    <w:rsid w:val="00A1535F"/>
    <w:rsid w:val="00A15CB1"/>
    <w:rsid w:val="00A15E84"/>
    <w:rsid w:val="00A16021"/>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E3"/>
    <w:rsid w:val="00BC5BAD"/>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A4B"/>
    <w:rsid w:val="00CC4675"/>
    <w:rsid w:val="00CC4701"/>
    <w:rsid w:val="00CC5686"/>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B0C"/>
    <w:rsid w:val="00D42D6E"/>
    <w:rsid w:val="00D43DEF"/>
    <w:rsid w:val="00D44259"/>
    <w:rsid w:val="00D45DDC"/>
    <w:rsid w:val="00D475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755"/>
    <w:rsid w:val="00E26D2E"/>
    <w:rsid w:val="00E279B2"/>
    <w:rsid w:val="00E3055B"/>
    <w:rsid w:val="00E31699"/>
    <w:rsid w:val="00E31812"/>
    <w:rsid w:val="00E31889"/>
    <w:rsid w:val="00E31CE7"/>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E8A"/>
    <w:rsid w:val="00EC302E"/>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4103"/>
    <w:rsid w:val="00F745A4"/>
    <w:rsid w:val="00F74C0C"/>
    <w:rsid w:val="00F75BB5"/>
    <w:rsid w:val="00F75FD5"/>
    <w:rsid w:val="00F7604C"/>
    <w:rsid w:val="00F773A9"/>
    <w:rsid w:val="00F81623"/>
    <w:rsid w:val="00F81D25"/>
    <w:rsid w:val="00F829B9"/>
    <w:rsid w:val="00F83045"/>
    <w:rsid w:val="00F83615"/>
    <w:rsid w:val="00F8421D"/>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3DD35E4"/>
    <w:rsid w:val="04F03428"/>
    <w:rsid w:val="065A6178"/>
    <w:rsid w:val="0A5B7E63"/>
    <w:rsid w:val="0B2825EA"/>
    <w:rsid w:val="0C87121B"/>
    <w:rsid w:val="0DF702FE"/>
    <w:rsid w:val="0EEB46D5"/>
    <w:rsid w:val="0F10554C"/>
    <w:rsid w:val="0F7F23F6"/>
    <w:rsid w:val="0F816ACD"/>
    <w:rsid w:val="107122BB"/>
    <w:rsid w:val="10FC16EA"/>
    <w:rsid w:val="118963A1"/>
    <w:rsid w:val="1275466F"/>
    <w:rsid w:val="127723A9"/>
    <w:rsid w:val="13072A44"/>
    <w:rsid w:val="14431CAD"/>
    <w:rsid w:val="1B2A271F"/>
    <w:rsid w:val="1D266CE1"/>
    <w:rsid w:val="1D3963AF"/>
    <w:rsid w:val="1E545A46"/>
    <w:rsid w:val="1E714A66"/>
    <w:rsid w:val="1FE868A9"/>
    <w:rsid w:val="1FF7660F"/>
    <w:rsid w:val="277E6DBF"/>
    <w:rsid w:val="295102AF"/>
    <w:rsid w:val="2DD15014"/>
    <w:rsid w:val="2FA67FF7"/>
    <w:rsid w:val="2FD25781"/>
    <w:rsid w:val="319C6071"/>
    <w:rsid w:val="342E63AB"/>
    <w:rsid w:val="365302AE"/>
    <w:rsid w:val="3848715E"/>
    <w:rsid w:val="3C5F759A"/>
    <w:rsid w:val="3D3454E3"/>
    <w:rsid w:val="3FCA3340"/>
    <w:rsid w:val="42E1381E"/>
    <w:rsid w:val="51A0432A"/>
    <w:rsid w:val="51B06E9E"/>
    <w:rsid w:val="52A96B6F"/>
    <w:rsid w:val="550764A4"/>
    <w:rsid w:val="58AE4F0C"/>
    <w:rsid w:val="5A2A7C7B"/>
    <w:rsid w:val="5C80234E"/>
    <w:rsid w:val="5E261785"/>
    <w:rsid w:val="5FCC5339"/>
    <w:rsid w:val="61054A27"/>
    <w:rsid w:val="611D2366"/>
    <w:rsid w:val="62885958"/>
    <w:rsid w:val="64CE2EAA"/>
    <w:rsid w:val="662E75B1"/>
    <w:rsid w:val="66342C2E"/>
    <w:rsid w:val="663E784C"/>
    <w:rsid w:val="68B202DE"/>
    <w:rsid w:val="6C771552"/>
    <w:rsid w:val="6C7F2306"/>
    <w:rsid w:val="6E8E12EF"/>
    <w:rsid w:val="6F9B0B44"/>
    <w:rsid w:val="71D43752"/>
    <w:rsid w:val="733D504C"/>
    <w:rsid w:val="745602CB"/>
    <w:rsid w:val="749C4185"/>
    <w:rsid w:val="75DA2C18"/>
    <w:rsid w:val="76A709BE"/>
    <w:rsid w:val="7A67303B"/>
    <w:rsid w:val="7AAB1D04"/>
    <w:rsid w:val="7ABA4368"/>
    <w:rsid w:val="7B257FFD"/>
    <w:rsid w:val="7F5961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42"/>
    <w:qFormat/>
    <w:uiPriority w:val="0"/>
    <w:pPr>
      <w:adjustRightInd/>
      <w:spacing w:line="360" w:lineRule="auto"/>
      <w:jc w:val="center"/>
      <w:outlineLvl w:val="0"/>
    </w:pPr>
    <w:rPr>
      <w:rFonts w:ascii="仿宋" w:hAnsi="仿宋" w:eastAsia="仿宋" w:cs="仿宋_GB2312"/>
      <w:b/>
      <w:color w:val="000000"/>
      <w:sz w:val="36"/>
      <w:szCs w:val="36"/>
    </w:rPr>
  </w:style>
  <w:style w:type="paragraph" w:styleId="5">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7">
    <w:name w:val="heading 4"/>
    <w:basedOn w:val="1"/>
    <w:next w:val="1"/>
    <w:link w:val="212"/>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175"/>
    <w:qFormat/>
    <w:uiPriority w:val="0"/>
    <w:pPr>
      <w:keepNext/>
      <w:keepLines/>
      <w:numPr>
        <w:ilvl w:val="4"/>
        <w:numId w:val="2"/>
      </w:numPr>
      <w:spacing w:before="280" w:after="290" w:line="376" w:lineRule="auto"/>
      <w:outlineLvl w:val="4"/>
    </w:pPr>
    <w:rPr>
      <w:b/>
      <w:bCs/>
      <w:sz w:val="28"/>
      <w:szCs w:val="28"/>
    </w:rPr>
  </w:style>
  <w:style w:type="paragraph" w:styleId="9">
    <w:name w:val="heading 6"/>
    <w:basedOn w:val="1"/>
    <w:next w:val="1"/>
    <w:link w:val="240"/>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10">
    <w:name w:val="heading 7"/>
    <w:basedOn w:val="1"/>
    <w:next w:val="1"/>
    <w:link w:val="206"/>
    <w:qFormat/>
    <w:uiPriority w:val="0"/>
    <w:pPr>
      <w:keepNext/>
      <w:keepLines/>
      <w:numPr>
        <w:ilvl w:val="6"/>
        <w:numId w:val="2"/>
      </w:numPr>
      <w:spacing w:before="240" w:after="64" w:line="320" w:lineRule="auto"/>
      <w:outlineLvl w:val="6"/>
    </w:pPr>
    <w:rPr>
      <w:b/>
      <w:bCs/>
      <w:sz w:val="24"/>
    </w:rPr>
  </w:style>
  <w:style w:type="paragraph" w:styleId="11">
    <w:name w:val="heading 8"/>
    <w:basedOn w:val="1"/>
    <w:next w:val="1"/>
    <w:link w:val="110"/>
    <w:qFormat/>
    <w:uiPriority w:val="0"/>
    <w:pPr>
      <w:keepNext/>
      <w:keepLines/>
      <w:numPr>
        <w:ilvl w:val="7"/>
        <w:numId w:val="2"/>
      </w:numPr>
      <w:spacing w:before="240" w:after="64" w:line="320" w:lineRule="auto"/>
      <w:outlineLvl w:val="7"/>
    </w:pPr>
    <w:rPr>
      <w:rFonts w:ascii="Arial" w:hAnsi="Arial" w:eastAsia="黑体"/>
      <w:sz w:val="24"/>
    </w:rPr>
  </w:style>
  <w:style w:type="paragraph" w:styleId="12">
    <w:name w:val="heading 9"/>
    <w:basedOn w:val="1"/>
    <w:next w:val="1"/>
    <w:link w:val="123"/>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0"/>
    <w:qFormat/>
    <w:uiPriority w:val="0"/>
    <w:pPr>
      <w:autoSpaceDE w:val="0"/>
      <w:autoSpaceDN w:val="0"/>
      <w:spacing w:line="360" w:lineRule="auto"/>
    </w:pPr>
    <w:rPr>
      <w:rFonts w:ascii="宋体"/>
      <w:sz w:val="24"/>
      <w:szCs w:val="21"/>
      <w:lang w:val="zh-CN"/>
    </w:rPr>
  </w:style>
  <w:style w:type="paragraph" w:styleId="3">
    <w:name w:val="Body Text First Indent"/>
    <w:basedOn w:val="2"/>
    <w:link w:val="133"/>
    <w:qFormat/>
    <w:uiPriority w:val="0"/>
    <w:pPr>
      <w:ind w:firstLine="420"/>
    </w:pPr>
    <w:rPr>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242"/>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246"/>
    <w:qFormat/>
    <w:uiPriority w:val="99"/>
    <w:pPr>
      <w:jc w:val="left"/>
    </w:pPr>
  </w:style>
  <w:style w:type="paragraph" w:styleId="22">
    <w:name w:val="Salutation"/>
    <w:basedOn w:val="1"/>
    <w:next w:val="1"/>
    <w:link w:val="211"/>
    <w:qFormat/>
    <w:uiPriority w:val="0"/>
    <w:rPr>
      <w:rFonts w:ascii="仿宋_GB2312" w:eastAsia="仿宋_GB2312"/>
      <w:sz w:val="28"/>
      <w:szCs w:val="20"/>
    </w:rPr>
  </w:style>
  <w:style w:type="paragraph" w:styleId="23">
    <w:name w:val="Body Text 3"/>
    <w:basedOn w:val="1"/>
    <w:link w:val="184"/>
    <w:qFormat/>
    <w:uiPriority w:val="0"/>
    <w:pPr>
      <w:jc w:val="center"/>
    </w:pPr>
    <w:rPr>
      <w:szCs w:val="20"/>
    </w:rPr>
  </w:style>
  <w:style w:type="paragraph" w:styleId="24">
    <w:name w:val="Body Text Indent"/>
    <w:basedOn w:val="1"/>
    <w:next w:val="1"/>
    <w:link w:val="10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22"/>
    <w:qFormat/>
    <w:uiPriority w:val="0"/>
    <w:rPr>
      <w:rFonts w:ascii="宋体" w:hAnsi="Courier New"/>
      <w:szCs w:val="20"/>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09"/>
    <w:qFormat/>
    <w:uiPriority w:val="0"/>
    <w:pPr>
      <w:ind w:left="100" w:leftChars="2500"/>
    </w:pPr>
    <w:rPr>
      <w:rFonts w:ascii="宋体"/>
      <w:sz w:val="24"/>
      <w:szCs w:val="21"/>
      <w:lang w:val="zh-CN"/>
    </w:rPr>
  </w:style>
  <w:style w:type="paragraph" w:styleId="36">
    <w:name w:val="Body Text Indent 2"/>
    <w:basedOn w:val="1"/>
    <w:link w:val="81"/>
    <w:qFormat/>
    <w:uiPriority w:val="0"/>
    <w:pPr>
      <w:spacing w:line="360" w:lineRule="auto"/>
      <w:ind w:firstLine="601"/>
      <w:textAlignment w:val="baseline"/>
    </w:pPr>
    <w:rPr>
      <w:rFonts w:ascii="宋体"/>
      <w:kern w:val="0"/>
      <w:sz w:val="28"/>
      <w:szCs w:val="20"/>
    </w:rPr>
  </w:style>
  <w:style w:type="paragraph" w:styleId="37">
    <w:name w:val="Balloon Text"/>
    <w:basedOn w:val="1"/>
    <w:link w:val="247"/>
    <w:semiHidden/>
    <w:qFormat/>
    <w:uiPriority w:val="0"/>
    <w:rPr>
      <w:sz w:val="18"/>
      <w:szCs w:val="18"/>
    </w:rPr>
  </w:style>
  <w:style w:type="paragraph" w:styleId="38">
    <w:name w:val="footer"/>
    <w:basedOn w:val="1"/>
    <w:qFormat/>
    <w:uiPriority w:val="99"/>
    <w:pPr>
      <w:tabs>
        <w:tab w:val="center" w:pos="4153"/>
        <w:tab w:val="right" w:pos="8306"/>
      </w:tabs>
      <w:snapToGrid w:val="0"/>
      <w:jc w:val="left"/>
    </w:pPr>
    <w:rPr>
      <w:sz w:val="18"/>
      <w:szCs w:val="18"/>
    </w:rPr>
  </w:style>
  <w:style w:type="paragraph" w:styleId="39">
    <w:name w:val="envelope return"/>
    <w:basedOn w:val="1"/>
    <w:qFormat/>
    <w:uiPriority w:val="99"/>
    <w:pPr>
      <w:snapToGrid w:val="0"/>
    </w:pPr>
    <w:rPr>
      <w:rFonts w:ascii="Arial" w:hAnsi="Arial"/>
    </w:rPr>
  </w:style>
  <w:style w:type="paragraph" w:styleId="4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5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236"/>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9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2"/>
    <w:basedOn w:val="24"/>
    <w:next w:val="3"/>
    <w:link w:val="244"/>
    <w:qFormat/>
    <w:uiPriority w:val="0"/>
    <w:pPr>
      <w:adjustRightInd/>
      <w:spacing w:after="120" w:line="240" w:lineRule="auto"/>
      <w:ind w:left="420" w:leftChars="200" w:firstLine="210"/>
    </w:pPr>
    <w:rPr>
      <w:sz w:val="21"/>
    </w:rPr>
  </w:style>
  <w:style w:type="table" w:styleId="62">
    <w:name w:val="Table Grid"/>
    <w:basedOn w:val="6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rPr>
      <w:rFonts w:ascii="Arial" w:hAnsi="Arial" w:eastAsia="黑体" w:cs="Arial"/>
      <w:snapToGrid w:val="0"/>
      <w:kern w:val="0"/>
      <w:szCs w:val="21"/>
    </w:rPr>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rPr>
      <w:rFonts w:ascii="Arial" w:hAnsi="Arial" w:eastAsia="黑体" w:cs="Arial"/>
      <w:snapToGrid w:val="0"/>
      <w:kern w:val="0"/>
      <w:szCs w:val="21"/>
    </w:rPr>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character" w:customStyle="1" w:styleId="72">
    <w:name w:val="solutionfonts"/>
    <w:qFormat/>
    <w:uiPriority w:val="0"/>
  </w:style>
  <w:style w:type="character" w:customStyle="1" w:styleId="73">
    <w:name w:val="Font Style82"/>
    <w:qFormat/>
    <w:uiPriority w:val="99"/>
    <w:rPr>
      <w:rFonts w:ascii="宋体" w:eastAsia="宋体" w:cs="宋体"/>
      <w:color w:val="000000"/>
      <w:sz w:val="14"/>
      <w:szCs w:val="14"/>
    </w:rPr>
  </w:style>
  <w:style w:type="character" w:customStyle="1" w:styleId="74">
    <w:name w:val="此正文 Char"/>
    <w:link w:val="75"/>
    <w:qFormat/>
    <w:uiPriority w:val="0"/>
    <w:rPr>
      <w:kern w:val="2"/>
      <w:sz w:val="24"/>
      <w:szCs w:val="24"/>
    </w:rPr>
  </w:style>
  <w:style w:type="paragraph" w:customStyle="1" w:styleId="75">
    <w:name w:val="此正文"/>
    <w:basedOn w:val="1"/>
    <w:link w:val="74"/>
    <w:qFormat/>
    <w:uiPriority w:val="0"/>
    <w:pPr>
      <w:adjustRightInd/>
      <w:spacing w:line="360" w:lineRule="auto"/>
      <w:ind w:firstLine="200" w:firstLineChars="200"/>
    </w:pPr>
    <w:rPr>
      <w:sz w:val="24"/>
    </w:rPr>
  </w:style>
  <w:style w:type="character" w:customStyle="1" w:styleId="76">
    <w:name w:val="Char Char10"/>
    <w:semiHidden/>
    <w:qFormat/>
    <w:uiPriority w:val="0"/>
    <w:rPr>
      <w:rFonts w:ascii="宋体" w:hAnsi="宋体"/>
      <w:kern w:val="2"/>
      <w:sz w:val="21"/>
      <w:szCs w:val="24"/>
      <w:lang w:val="en-US" w:eastAsia="zh-CN"/>
    </w:rPr>
  </w:style>
  <w:style w:type="character" w:customStyle="1" w:styleId="77">
    <w:name w:val="h Char Char"/>
    <w:qFormat/>
    <w:uiPriority w:val="0"/>
    <w:rPr>
      <w:rFonts w:eastAsia="宋体"/>
      <w:kern w:val="2"/>
      <w:sz w:val="18"/>
      <w:lang w:val="en-US" w:eastAsia="zh-CN" w:bidi="ar-SA"/>
    </w:rPr>
  </w:style>
  <w:style w:type="character" w:customStyle="1" w:styleId="78">
    <w:name w:val="Bold"/>
    <w:qFormat/>
    <w:uiPriority w:val="0"/>
    <w:rPr>
      <w:rFonts w:ascii="Arial" w:hAnsi="Arial" w:eastAsia="黑体" w:cs="Times New Roman"/>
      <w:b/>
      <w:kern w:val="2"/>
      <w:sz w:val="32"/>
      <w:szCs w:val="32"/>
      <w:lang w:val="en-US" w:eastAsia="zh-CN" w:bidi="ar-SA"/>
    </w:rPr>
  </w:style>
  <w:style w:type="character" w:customStyle="1" w:styleId="79">
    <w:name w:val="Ò³Ã¼ Char Char"/>
    <w:qFormat/>
    <w:uiPriority w:val="0"/>
    <w:rPr>
      <w:rFonts w:eastAsia="宋体"/>
      <w:kern w:val="2"/>
      <w:sz w:val="18"/>
      <w:lang w:val="en-US" w:eastAsia="zh-CN" w:bidi="ar-SA"/>
    </w:rPr>
  </w:style>
  <w:style w:type="character" w:customStyle="1" w:styleId="80">
    <w:name w:val="标准正文格式 Char"/>
    <w:qFormat/>
    <w:uiPriority w:val="0"/>
    <w:rPr>
      <w:rFonts w:ascii="宋体" w:eastAsia="仿宋_GB2312" w:cs="宋体"/>
      <w:color w:val="000000"/>
      <w:sz w:val="24"/>
      <w:lang w:val="en-US" w:eastAsia="zh-CN" w:bidi="ar-SA"/>
    </w:rPr>
  </w:style>
  <w:style w:type="character" w:customStyle="1" w:styleId="81">
    <w:name w:val="正文文本缩进 2 Char"/>
    <w:link w:val="36"/>
    <w:qFormat/>
    <w:uiPriority w:val="0"/>
    <w:rPr>
      <w:rFonts w:ascii="宋体"/>
      <w:sz w:val="28"/>
    </w:rPr>
  </w:style>
  <w:style w:type="character" w:customStyle="1" w:styleId="82">
    <w:name w:val="Char Char8"/>
    <w:qFormat/>
    <w:uiPriority w:val="0"/>
    <w:rPr>
      <w:rFonts w:eastAsia="宋体"/>
      <w:b/>
      <w:sz w:val="24"/>
      <w:lang w:val="en-GB" w:eastAsia="zh-CN"/>
    </w:rPr>
  </w:style>
  <w:style w:type="character" w:customStyle="1" w:styleId="83">
    <w:name w:val="No Spacing Char"/>
    <w:link w:val="84"/>
    <w:qFormat/>
    <w:uiPriority w:val="1"/>
    <w:rPr>
      <w:rFonts w:ascii="Calibri" w:hAnsi="Calibri"/>
      <w:sz w:val="22"/>
      <w:szCs w:val="22"/>
      <w:lang w:val="en-US" w:eastAsia="zh-CN" w:bidi="ar-SA"/>
    </w:rPr>
  </w:style>
  <w:style w:type="paragraph" w:customStyle="1" w:styleId="84">
    <w:name w:val="无间隔1"/>
    <w:link w:val="83"/>
    <w:qFormat/>
    <w:uiPriority w:val="1"/>
    <w:rPr>
      <w:rFonts w:ascii="Calibri" w:hAnsi="Calibri" w:eastAsia="宋体" w:cs="Times New Roman"/>
      <w:sz w:val="22"/>
      <w:szCs w:val="22"/>
      <w:lang w:val="en-US" w:eastAsia="zh-CN" w:bidi="ar-SA"/>
    </w:rPr>
  </w:style>
  <w:style w:type="character" w:customStyle="1" w:styleId="85">
    <w:name w:val="blue1"/>
    <w:basedOn w:val="63"/>
    <w:qFormat/>
    <w:uiPriority w:val="0"/>
    <w:rPr>
      <w:rFonts w:ascii="Arial" w:hAnsi="Arial" w:eastAsia="黑体" w:cs="Arial"/>
      <w:snapToGrid w:val="0"/>
      <w:kern w:val="0"/>
      <w:szCs w:val="21"/>
    </w:rPr>
  </w:style>
  <w:style w:type="character" w:customStyle="1" w:styleId="86">
    <w:name w:val="highlight1"/>
    <w:qFormat/>
    <w:uiPriority w:val="0"/>
    <w:rPr>
      <w:rFonts w:ascii="仿宋_GB2312" w:eastAsia="微软雅黑"/>
      <w:b/>
      <w:kern w:val="2"/>
      <w:sz w:val="23"/>
      <w:szCs w:val="23"/>
      <w:lang w:val="en-US" w:eastAsia="zh-CN" w:bidi="ar-SA"/>
    </w:rPr>
  </w:style>
  <w:style w:type="character" w:customStyle="1" w:styleId="87">
    <w:name w:val="ca-131"/>
    <w:qFormat/>
    <w:uiPriority w:val="0"/>
    <w:rPr>
      <w:rFonts w:hint="eastAsia" w:ascii="仿宋_GB2312" w:eastAsia="仿宋_GB2312"/>
      <w:b/>
      <w:bCs/>
      <w:color w:val="000000"/>
      <w:spacing w:val="-20"/>
      <w:sz w:val="24"/>
      <w:szCs w:val="24"/>
    </w:rPr>
  </w:style>
  <w:style w:type="character" w:customStyle="1" w:styleId="88">
    <w:name w:val="h3 Char"/>
    <w:qFormat/>
    <w:uiPriority w:val="0"/>
    <w:rPr>
      <w:rFonts w:eastAsia="宋体"/>
      <w:b/>
      <w:kern w:val="2"/>
      <w:sz w:val="32"/>
      <w:lang w:val="en-US" w:eastAsia="zh-CN" w:bidi="ar-SA"/>
    </w:rPr>
  </w:style>
  <w:style w:type="character" w:customStyle="1" w:styleId="89">
    <w:name w:val="Char Char12"/>
    <w:qFormat/>
    <w:uiPriority w:val="0"/>
    <w:rPr>
      <w:rFonts w:ascii="仿宋_GB2312" w:eastAsia="仿宋_GB2312"/>
      <w:b/>
      <w:bCs/>
      <w:kern w:val="2"/>
      <w:sz w:val="24"/>
      <w:szCs w:val="24"/>
      <w:lang w:val="zh-CN" w:eastAsia="zh-CN" w:bidi="ar-SA"/>
    </w:rPr>
  </w:style>
  <w:style w:type="character" w:customStyle="1" w:styleId="90">
    <w:name w:val="Comment Text Char"/>
    <w:semiHidden/>
    <w:qFormat/>
    <w:locked/>
    <w:uiPriority w:val="0"/>
    <w:rPr>
      <w:rFonts w:ascii="宋体" w:hAnsi="宋体" w:eastAsia="宋体"/>
      <w:kern w:val="2"/>
      <w:sz w:val="24"/>
      <w:lang w:val="en-US" w:eastAsia="zh-CN" w:bidi="ar-SA"/>
    </w:rPr>
  </w:style>
  <w:style w:type="character" w:customStyle="1" w:styleId="91">
    <w:name w:val="批注文字 Char"/>
    <w:qFormat/>
    <w:uiPriority w:val="99"/>
    <w:rPr>
      <w:kern w:val="2"/>
      <w:sz w:val="21"/>
      <w:szCs w:val="24"/>
    </w:rPr>
  </w:style>
  <w:style w:type="character" w:customStyle="1" w:styleId="92">
    <w:name w:val="仿宋正文 Char"/>
    <w:link w:val="93"/>
    <w:qFormat/>
    <w:uiPriority w:val="0"/>
    <w:rPr>
      <w:rFonts w:ascii="仿宋_GB2312" w:eastAsia="仿宋_GB2312"/>
      <w:kern w:val="2"/>
      <w:sz w:val="24"/>
      <w:lang w:val="en-US" w:eastAsia="zh-CN" w:bidi="ar-SA"/>
    </w:rPr>
  </w:style>
  <w:style w:type="paragraph" w:customStyle="1" w:styleId="93">
    <w:name w:val="仿宋正文"/>
    <w:basedOn w:val="1"/>
    <w:link w:val="92"/>
    <w:qFormat/>
    <w:uiPriority w:val="0"/>
    <w:pPr>
      <w:adjustRightInd/>
      <w:spacing w:line="360" w:lineRule="auto"/>
      <w:ind w:firstLine="480" w:firstLineChars="200"/>
    </w:pPr>
    <w:rPr>
      <w:rFonts w:ascii="仿宋_GB2312" w:eastAsia="仿宋_GB2312"/>
      <w:sz w:val="24"/>
      <w:szCs w:val="20"/>
    </w:rPr>
  </w:style>
  <w:style w:type="character" w:customStyle="1" w:styleId="94">
    <w:name w:val="style91"/>
    <w:qFormat/>
    <w:uiPriority w:val="0"/>
    <w:rPr>
      <w:color w:val="333333"/>
    </w:rPr>
  </w:style>
  <w:style w:type="character" w:customStyle="1" w:styleId="95">
    <w:name w:val="Char Char4"/>
    <w:qFormat/>
    <w:uiPriority w:val="0"/>
    <w:rPr>
      <w:rFonts w:eastAsia="宋体"/>
      <w:b/>
      <w:sz w:val="24"/>
      <w:lang w:val="en-GB" w:eastAsia="zh-CN" w:bidi="ar-SA"/>
    </w:rPr>
  </w:style>
  <w:style w:type="character" w:customStyle="1" w:styleId="96">
    <w:name w:val="Char Char2"/>
    <w:qFormat/>
    <w:uiPriority w:val="0"/>
    <w:rPr>
      <w:rFonts w:eastAsia="宋体"/>
      <w:b/>
      <w:bCs/>
      <w:kern w:val="2"/>
      <w:sz w:val="21"/>
      <w:szCs w:val="24"/>
      <w:lang w:val="en-US" w:eastAsia="zh-CN" w:bidi="ar-SA"/>
    </w:rPr>
  </w:style>
  <w:style w:type="character" w:customStyle="1" w:styleId="97">
    <w:name w:val="正文 项目2 Char"/>
    <w:basedOn w:val="98"/>
    <w:qFormat/>
    <w:uiPriority w:val="0"/>
    <w:rPr>
      <w:rFonts w:ascii="仿宋_GB2312" w:hAnsi="仿宋_GB2312" w:eastAsia="仿宋_GB2312"/>
      <w:kern w:val="2"/>
      <w:sz w:val="24"/>
      <w:lang w:bidi="ar-SA"/>
    </w:rPr>
  </w:style>
  <w:style w:type="character" w:customStyle="1" w:styleId="98">
    <w:name w:val="正文 项目 Char"/>
    <w:qFormat/>
    <w:uiPriority w:val="0"/>
    <w:rPr>
      <w:rFonts w:ascii="仿宋_GB2312" w:hAnsi="仿宋_GB2312" w:eastAsia="仿宋_GB2312"/>
      <w:kern w:val="2"/>
      <w:sz w:val="24"/>
      <w:lang w:bidi="ar-SA"/>
    </w:rPr>
  </w:style>
  <w:style w:type="character" w:customStyle="1" w:styleId="99">
    <w:name w:val="页眉 Char1"/>
    <w:qFormat/>
    <w:uiPriority w:val="0"/>
    <w:rPr>
      <w:rFonts w:eastAsia="宋体"/>
      <w:kern w:val="2"/>
      <w:sz w:val="18"/>
      <w:szCs w:val="18"/>
      <w:lang w:val="en-US" w:eastAsia="zh-CN" w:bidi="ar-SA"/>
    </w:rPr>
  </w:style>
  <w:style w:type="character" w:customStyle="1" w:styleId="100">
    <w:name w:val="副标题 Char"/>
    <w:link w:val="46"/>
    <w:qFormat/>
    <w:uiPriority w:val="0"/>
    <w:rPr>
      <w:rFonts w:ascii="Arial" w:hAnsi="Arial" w:eastAsia="隶书"/>
      <w:b/>
      <w:bCs/>
      <w:kern w:val="28"/>
      <w:sz w:val="44"/>
      <w:szCs w:val="32"/>
      <w:lang w:val="en-US" w:eastAsia="zh-CN" w:bidi="ar-SA"/>
    </w:rPr>
  </w:style>
  <w:style w:type="character" w:customStyle="1" w:styleId="101">
    <w:name w:val="正文文本缩进 Char1"/>
    <w:link w:val="24"/>
    <w:qFormat/>
    <w:uiPriority w:val="0"/>
    <w:rPr>
      <w:rFonts w:ascii="宋体" w:hAnsi="宋体"/>
      <w:kern w:val="2"/>
      <w:sz w:val="24"/>
      <w:szCs w:val="24"/>
    </w:rPr>
  </w:style>
  <w:style w:type="character" w:customStyle="1" w:styleId="102">
    <w:name w:val="big1"/>
    <w:qFormat/>
    <w:uiPriority w:val="0"/>
    <w:rPr>
      <w:rFonts w:hint="eastAsia" w:ascii="宋体" w:hAnsi="宋体" w:eastAsia="宋体"/>
      <w:color w:val="333333"/>
      <w:sz w:val="22"/>
      <w:szCs w:val="22"/>
    </w:rPr>
  </w:style>
  <w:style w:type="character" w:customStyle="1" w:styleId="103">
    <w:name w:val="h Char Char1"/>
    <w:qFormat/>
    <w:uiPriority w:val="0"/>
    <w:rPr>
      <w:rFonts w:eastAsia="宋体"/>
      <w:kern w:val="2"/>
      <w:sz w:val="18"/>
      <w:szCs w:val="18"/>
      <w:lang w:val="en-US" w:eastAsia="zh-CN" w:bidi="ar-SA"/>
    </w:rPr>
  </w:style>
  <w:style w:type="character" w:customStyle="1" w:styleId="104">
    <w:name w:val="样式8 Char"/>
    <w:qFormat/>
    <w:uiPriority w:val="0"/>
    <w:rPr>
      <w:rFonts w:ascii="仿宋_GB2312" w:hAnsi="宋体" w:eastAsia="仿宋_GB2312"/>
      <w:b/>
      <w:bCs/>
      <w:kern w:val="2"/>
      <w:sz w:val="24"/>
      <w:szCs w:val="24"/>
    </w:rPr>
  </w:style>
  <w:style w:type="character" w:customStyle="1" w:styleId="105">
    <w:name w:val="HTML 预设格式 Char"/>
    <w:link w:val="56"/>
    <w:qFormat/>
    <w:uiPriority w:val="0"/>
    <w:rPr>
      <w:rFonts w:ascii="黑体" w:hAnsi="Courier New" w:eastAsia="黑体"/>
    </w:rPr>
  </w:style>
  <w:style w:type="character" w:customStyle="1" w:styleId="106">
    <w:name w:val="页脚 Char1"/>
    <w:qFormat/>
    <w:uiPriority w:val="0"/>
    <w:rPr>
      <w:rFonts w:eastAsia="宋体"/>
      <w:kern w:val="2"/>
      <w:sz w:val="18"/>
      <w:szCs w:val="18"/>
      <w:lang w:val="en-US" w:eastAsia="zh-CN" w:bidi="ar-SA"/>
    </w:rPr>
  </w:style>
  <w:style w:type="character" w:customStyle="1" w:styleId="107">
    <w:name w:val="myp11"/>
    <w:qFormat/>
    <w:uiPriority w:val="0"/>
    <w:rPr>
      <w:rFonts w:ascii="仿宋_GB2312" w:eastAsia="微软雅黑"/>
      <w:b/>
      <w:kern w:val="2"/>
      <w:sz w:val="32"/>
      <w:szCs w:val="32"/>
      <w:lang w:val="en-US" w:eastAsia="zh-CN" w:bidi="ar-SA"/>
    </w:rPr>
  </w:style>
  <w:style w:type="character" w:customStyle="1" w:styleId="108">
    <w:name w:val="正文文本 2 Char"/>
    <w:qFormat/>
    <w:uiPriority w:val="0"/>
    <w:rPr>
      <w:rFonts w:eastAsia="宋体"/>
      <w:kern w:val="2"/>
      <w:sz w:val="21"/>
      <w:szCs w:val="24"/>
      <w:lang w:val="en-US" w:eastAsia="zh-CN" w:bidi="ar-SA"/>
    </w:rPr>
  </w:style>
  <w:style w:type="character" w:customStyle="1" w:styleId="109">
    <w:name w:val="tw4winTerm"/>
    <w:qFormat/>
    <w:uiPriority w:val="0"/>
    <w:rPr>
      <w:color w:val="0000FF"/>
    </w:rPr>
  </w:style>
  <w:style w:type="character" w:customStyle="1" w:styleId="110">
    <w:name w:val="标题 8 Char"/>
    <w:link w:val="11"/>
    <w:qFormat/>
    <w:uiPriority w:val="0"/>
    <w:rPr>
      <w:rFonts w:ascii="Arial" w:hAnsi="Arial" w:eastAsia="黑体"/>
      <w:kern w:val="2"/>
      <w:sz w:val="24"/>
      <w:szCs w:val="24"/>
    </w:rPr>
  </w:style>
  <w:style w:type="character" w:customStyle="1" w:styleId="111">
    <w:name w:val="标题 2 Char Char"/>
    <w:qFormat/>
    <w:uiPriority w:val="0"/>
    <w:rPr>
      <w:rFonts w:ascii="楷体_GB2312" w:hAnsi="Arial" w:eastAsia="楷体_GB2312"/>
      <w:b/>
      <w:bCs/>
      <w:kern w:val="2"/>
      <w:sz w:val="24"/>
      <w:szCs w:val="32"/>
      <w:lang w:val="en-US" w:eastAsia="zh-CN" w:bidi="ar-SA"/>
    </w:rPr>
  </w:style>
  <w:style w:type="character" w:customStyle="1" w:styleId="112">
    <w:name w:val="hei16b1"/>
    <w:qFormat/>
    <w:uiPriority w:val="0"/>
    <w:rPr>
      <w:rFonts w:hint="default" w:ascii="Arial" w:hAnsi="Arial" w:cs="Arial"/>
      <w:b/>
      <w:bCs/>
      <w:color w:val="000000"/>
      <w:sz w:val="24"/>
      <w:szCs w:val="24"/>
    </w:rPr>
  </w:style>
  <w:style w:type="character" w:customStyle="1" w:styleId="113">
    <w:name w:val="Heading 7 Char"/>
    <w:qFormat/>
    <w:locked/>
    <w:uiPriority w:val="0"/>
    <w:rPr>
      <w:rFonts w:ascii="宋体" w:hAnsi="宋体" w:eastAsia="宋体"/>
      <w:b/>
      <w:bCs/>
      <w:kern w:val="2"/>
      <w:sz w:val="24"/>
      <w:szCs w:val="24"/>
      <w:lang w:val="en-US" w:eastAsia="zh-CN" w:bidi="ar-SA"/>
    </w:rPr>
  </w:style>
  <w:style w:type="character" w:customStyle="1" w:styleId="114">
    <w:name w:val="Char Char6"/>
    <w:qFormat/>
    <w:uiPriority w:val="0"/>
    <w:rPr>
      <w:rFonts w:eastAsia="宋体"/>
      <w:kern w:val="2"/>
      <w:sz w:val="21"/>
      <w:szCs w:val="24"/>
      <w:lang w:val="en-US" w:eastAsia="zh-CN" w:bidi="ar-SA"/>
    </w:rPr>
  </w:style>
  <w:style w:type="character" w:customStyle="1" w:styleId="115">
    <w:name w:val="哈哈正文 Char"/>
    <w:link w:val="116"/>
    <w:qFormat/>
    <w:uiPriority w:val="0"/>
    <w:rPr>
      <w:rFonts w:ascii="宋体" w:hAnsi="宋体" w:eastAsia="宋体"/>
      <w:kern w:val="2"/>
      <w:sz w:val="24"/>
      <w:lang w:bidi="ar-SA"/>
    </w:rPr>
  </w:style>
  <w:style w:type="paragraph" w:customStyle="1" w:styleId="116">
    <w:name w:val="哈哈正文"/>
    <w:basedOn w:val="1"/>
    <w:link w:val="115"/>
    <w:qFormat/>
    <w:uiPriority w:val="0"/>
    <w:pPr>
      <w:adjustRightInd/>
      <w:spacing w:line="360" w:lineRule="auto"/>
      <w:ind w:firstLine="200" w:firstLineChars="200"/>
    </w:pPr>
    <w:rPr>
      <w:rFonts w:ascii="宋体" w:hAnsi="宋体"/>
      <w:sz w:val="24"/>
      <w:szCs w:val="20"/>
    </w:rPr>
  </w:style>
  <w:style w:type="character" w:customStyle="1" w:styleId="117">
    <w:name w:val="pt141"/>
    <w:qFormat/>
    <w:uiPriority w:val="0"/>
    <w:rPr>
      <w:color w:val="330066"/>
      <w:sz w:val="22"/>
      <w:szCs w:val="22"/>
    </w:rPr>
  </w:style>
  <w:style w:type="character" w:customStyle="1" w:styleId="118">
    <w:name w:val="普通文字 Char3"/>
    <w:qFormat/>
    <w:uiPriority w:val="0"/>
    <w:rPr>
      <w:rFonts w:ascii="宋体" w:hAnsi="Courier New" w:eastAsia="宋体"/>
      <w:kern w:val="2"/>
      <w:sz w:val="21"/>
      <w:lang w:val="en-US" w:eastAsia="zh-CN" w:bidi="ar-SA"/>
    </w:rPr>
  </w:style>
  <w:style w:type="character" w:customStyle="1" w:styleId="11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0">
    <w:name w:val="正文文本 Char1"/>
    <w:link w:val="2"/>
    <w:semiHidden/>
    <w:qFormat/>
    <w:uiPriority w:val="0"/>
    <w:rPr>
      <w:rFonts w:ascii="宋体" w:hAnsi="Arial" w:eastAsia="宋体" w:cs="Arial"/>
      <w:snapToGrid w:val="0"/>
      <w:kern w:val="2"/>
      <w:sz w:val="24"/>
      <w:szCs w:val="21"/>
      <w:lang w:val="zh-CN" w:eastAsia="zh-CN" w:bidi="ar-SA"/>
    </w:rPr>
  </w:style>
  <w:style w:type="character" w:customStyle="1" w:styleId="121">
    <w:name w:val="正文2 Char"/>
    <w:qFormat/>
    <w:uiPriority w:val="0"/>
    <w:rPr>
      <w:rFonts w:eastAsia="宋体"/>
      <w:kern w:val="2"/>
      <w:sz w:val="24"/>
      <w:lang w:val="en-US" w:eastAsia="zh-CN" w:bidi="ar-SA"/>
    </w:rPr>
  </w:style>
  <w:style w:type="character" w:customStyle="1" w:styleId="122">
    <w:name w:val="普通文字 Char1"/>
    <w:qFormat/>
    <w:uiPriority w:val="0"/>
    <w:rPr>
      <w:rFonts w:ascii="宋体" w:hAnsi="Courier New" w:eastAsia="宋体"/>
      <w:kern w:val="2"/>
      <w:sz w:val="21"/>
      <w:lang w:val="en-US" w:eastAsia="zh-CN"/>
    </w:rPr>
  </w:style>
  <w:style w:type="character" w:customStyle="1" w:styleId="123">
    <w:name w:val="标题 9 Char"/>
    <w:link w:val="12"/>
    <w:qFormat/>
    <w:uiPriority w:val="0"/>
    <w:rPr>
      <w:rFonts w:ascii="Arial" w:hAnsi="Arial" w:eastAsia="黑体"/>
      <w:kern w:val="2"/>
      <w:sz w:val="21"/>
      <w:szCs w:val="21"/>
    </w:rPr>
  </w:style>
  <w:style w:type="character" w:customStyle="1" w:styleId="124">
    <w:name w:val="Header Char"/>
    <w:semiHidden/>
    <w:qFormat/>
    <w:locked/>
    <w:uiPriority w:val="0"/>
    <w:rPr>
      <w:rFonts w:eastAsia="宋体"/>
      <w:kern w:val="2"/>
      <w:sz w:val="18"/>
      <w:szCs w:val="18"/>
      <w:lang w:val="en-US" w:eastAsia="zh-CN" w:bidi="ar-SA"/>
    </w:rPr>
  </w:style>
  <w:style w:type="character" w:customStyle="1" w:styleId="125">
    <w:name w:val="Footer-Even Char1"/>
    <w:qFormat/>
    <w:uiPriority w:val="0"/>
    <w:rPr>
      <w:rFonts w:eastAsia="宋体"/>
      <w:kern w:val="2"/>
      <w:sz w:val="18"/>
      <w:szCs w:val="18"/>
      <w:lang w:val="en-US" w:eastAsia="zh-CN" w:bidi="ar-SA"/>
    </w:rPr>
  </w:style>
  <w:style w:type="character" w:customStyle="1" w:styleId="126">
    <w:name w:val="unnamed31"/>
    <w:qFormat/>
    <w:uiPriority w:val="0"/>
    <w:rPr>
      <w:rFonts w:ascii="Tahoma" w:hAnsi="Tahoma" w:eastAsia="宋体"/>
      <w:b/>
      <w:kern w:val="2"/>
      <w:sz w:val="24"/>
      <w:szCs w:val="32"/>
      <w:u w:val="none"/>
      <w:lang w:val="en-US" w:eastAsia="zh-CN" w:bidi="ar-SA"/>
    </w:rPr>
  </w:style>
  <w:style w:type="character" w:customStyle="1" w:styleId="127">
    <w:name w:val="纯文本 Char Char Char"/>
    <w:qFormat/>
    <w:uiPriority w:val="0"/>
    <w:rPr>
      <w:rFonts w:ascii="宋体" w:hAnsi="Courier New" w:eastAsia="宋体"/>
      <w:kern w:val="2"/>
      <w:sz w:val="21"/>
      <w:lang w:val="en-US" w:eastAsia="zh-CN" w:bidi="ar-SA"/>
    </w:rPr>
  </w:style>
  <w:style w:type="character" w:customStyle="1" w:styleId="128">
    <w:name w:val="Body Text(ch) Char Char"/>
    <w:qFormat/>
    <w:uiPriority w:val="0"/>
    <w:rPr>
      <w:rFonts w:ascii="宋体"/>
      <w:kern w:val="2"/>
      <w:sz w:val="24"/>
      <w:szCs w:val="21"/>
      <w:lang w:val="zh-CN"/>
    </w:rPr>
  </w:style>
  <w:style w:type="character" w:customStyle="1" w:styleId="129">
    <w:name w:val="插图说明 Char"/>
    <w:qFormat/>
    <w:uiPriority w:val="0"/>
    <w:rPr>
      <w:rFonts w:eastAsia="黑体"/>
      <w:sz w:val="24"/>
      <w:lang w:val="en-US" w:eastAsia="zh-CN"/>
    </w:rPr>
  </w:style>
  <w:style w:type="character" w:customStyle="1" w:styleId="130">
    <w:name w:val="tw4winExternal"/>
    <w:qFormat/>
    <w:uiPriority w:val="0"/>
    <w:rPr>
      <w:rFonts w:ascii="Courier New" w:hAnsi="Courier New" w:cs="Courier New"/>
      <w:color w:val="808080"/>
      <w:lang w:val="en-US" w:eastAsia="zh-CN"/>
    </w:rPr>
  </w:style>
  <w:style w:type="character" w:customStyle="1" w:styleId="131">
    <w:name w:val="font21"/>
    <w:qFormat/>
    <w:uiPriority w:val="0"/>
    <w:rPr>
      <w:rFonts w:hint="eastAsia" w:ascii="宋体" w:hAnsi="宋体" w:eastAsia="宋体"/>
      <w:kern w:val="2"/>
      <w:sz w:val="28"/>
      <w:szCs w:val="28"/>
      <w:lang w:val="en-US" w:eastAsia="zh-CN" w:bidi="ar-SA"/>
    </w:rPr>
  </w:style>
  <w:style w:type="character" w:customStyle="1" w:styleId="132">
    <w:name w:val="标书正文格式 Char"/>
    <w:qFormat/>
    <w:uiPriority w:val="0"/>
    <w:rPr>
      <w:rFonts w:eastAsia="楷体_GB2312"/>
      <w:kern w:val="2"/>
      <w:sz w:val="24"/>
      <w:szCs w:val="24"/>
      <w:lang w:bidi="ar-SA"/>
    </w:rPr>
  </w:style>
  <w:style w:type="character" w:customStyle="1" w:styleId="133">
    <w:name w:val="正文首行缩进 Char"/>
    <w:link w:val="3"/>
    <w:qFormat/>
    <w:uiPriority w:val="0"/>
    <w:rPr>
      <w:rFonts w:ascii="宋体"/>
      <w:kern w:val="2"/>
      <w:sz w:val="24"/>
      <w:lang w:val="zh-CN"/>
    </w:rPr>
  </w:style>
  <w:style w:type="character" w:customStyle="1" w:styleId="134">
    <w:name w:val="javascript"/>
    <w:qFormat/>
    <w:uiPriority w:val="0"/>
  </w:style>
  <w:style w:type="character" w:customStyle="1" w:styleId="135">
    <w:name w:val="Balloon Text Char"/>
    <w:semiHidden/>
    <w:qFormat/>
    <w:locked/>
    <w:uiPriority w:val="0"/>
    <w:rPr>
      <w:rFonts w:eastAsia="宋体"/>
      <w:kern w:val="2"/>
      <w:sz w:val="18"/>
      <w:szCs w:val="18"/>
      <w:lang w:val="en-US" w:eastAsia="zh-CN" w:bidi="ar-SA"/>
    </w:rPr>
  </w:style>
  <w:style w:type="character" w:customStyle="1" w:styleId="136">
    <w:name w:val="Char Char5"/>
    <w:qFormat/>
    <w:uiPriority w:val="0"/>
    <w:rPr>
      <w:rFonts w:ascii="宋体" w:hAnsi="Courier New" w:eastAsia="宋体"/>
      <w:kern w:val="2"/>
      <w:sz w:val="21"/>
      <w:lang w:val="en-US" w:eastAsia="zh-CN"/>
    </w:rPr>
  </w:style>
  <w:style w:type="character" w:customStyle="1" w:styleId="137">
    <w:name w:val="Char Char"/>
    <w:qFormat/>
    <w:uiPriority w:val="0"/>
    <w:rPr>
      <w:rFonts w:ascii="宋体" w:hAnsi="Courier New" w:eastAsia="宋体"/>
      <w:kern w:val="2"/>
      <w:sz w:val="21"/>
      <w:lang w:val="en-US" w:eastAsia="zh-CN" w:bidi="ar-SA"/>
    </w:rPr>
  </w:style>
  <w:style w:type="character" w:customStyle="1" w:styleId="138">
    <w:name w:val="mdeck"/>
    <w:qFormat/>
    <w:uiPriority w:val="0"/>
    <w:rPr>
      <w:rFonts w:ascii="仿宋_GB2312" w:eastAsia="微软雅黑"/>
      <w:b/>
      <w:kern w:val="2"/>
      <w:sz w:val="32"/>
      <w:szCs w:val="32"/>
      <w:lang w:val="en-US" w:eastAsia="zh-CN" w:bidi="ar-SA"/>
    </w:rPr>
  </w:style>
  <w:style w:type="character" w:customStyle="1" w:styleId="139">
    <w:name w:val="content"/>
    <w:qFormat/>
    <w:uiPriority w:val="0"/>
  </w:style>
  <w:style w:type="character" w:customStyle="1" w:styleId="140">
    <w:name w:val="Char Char3"/>
    <w:qFormat/>
    <w:uiPriority w:val="0"/>
    <w:rPr>
      <w:rFonts w:eastAsia="宋体"/>
      <w:kern w:val="2"/>
      <w:sz w:val="21"/>
      <w:szCs w:val="24"/>
      <w:lang w:val="en-US" w:eastAsia="zh-CN" w:bidi="ar-SA"/>
    </w:rPr>
  </w:style>
  <w:style w:type="character" w:customStyle="1" w:styleId="141">
    <w:name w:val="Char Char81"/>
    <w:qFormat/>
    <w:uiPriority w:val="0"/>
    <w:rPr>
      <w:rFonts w:eastAsia="宋体"/>
      <w:b/>
      <w:sz w:val="24"/>
      <w:lang w:val="en-GB" w:eastAsia="zh-CN"/>
    </w:rPr>
  </w:style>
  <w:style w:type="character" w:customStyle="1" w:styleId="142">
    <w:name w:val="标题 1 Char"/>
    <w:link w:val="4"/>
    <w:qFormat/>
    <w:uiPriority w:val="0"/>
    <w:rPr>
      <w:rFonts w:ascii="仿宋" w:hAnsi="仿宋" w:eastAsia="仿宋" w:cs="仿宋_GB2312"/>
      <w:b/>
      <w:color w:val="000000"/>
      <w:kern w:val="2"/>
      <w:sz w:val="36"/>
      <w:szCs w:val="36"/>
    </w:rPr>
  </w:style>
  <w:style w:type="character" w:customStyle="1" w:styleId="143">
    <w:name w:val="页眉 Char"/>
    <w:qFormat/>
    <w:uiPriority w:val="99"/>
    <w:rPr>
      <w:rFonts w:eastAsia="仿宋_GB2312"/>
      <w:kern w:val="2"/>
      <w:sz w:val="18"/>
      <w:lang w:val="en-US" w:eastAsia="zh-CN"/>
    </w:rPr>
  </w:style>
  <w:style w:type="character" w:customStyle="1" w:styleId="144">
    <w:name w:val="b11_01b Char"/>
    <w:link w:val="145"/>
    <w:qFormat/>
    <w:uiPriority w:val="0"/>
    <w:rPr>
      <w:rFonts w:ascii="Verdana" w:hAnsi="Verdana"/>
      <w:b/>
      <w:bCs/>
      <w:color w:val="4A82CA"/>
      <w:sz w:val="17"/>
      <w:szCs w:val="17"/>
    </w:rPr>
  </w:style>
  <w:style w:type="paragraph" w:customStyle="1" w:styleId="145">
    <w:name w:val="b11_01b"/>
    <w:basedOn w:val="1"/>
    <w:next w:val="1"/>
    <w:link w:val="14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6">
    <w:name w:val="标题4-dyf Char"/>
    <w:link w:val="147"/>
    <w:qFormat/>
    <w:uiPriority w:val="0"/>
    <w:rPr>
      <w:rFonts w:ascii="Cambria" w:hAnsi="Cambria"/>
      <w:b/>
      <w:bCs/>
      <w:color w:val="000000"/>
      <w:kern w:val="2"/>
      <w:sz w:val="21"/>
      <w:szCs w:val="21"/>
    </w:rPr>
  </w:style>
  <w:style w:type="paragraph" w:customStyle="1" w:styleId="147">
    <w:name w:val="标题4-dyf"/>
    <w:basedOn w:val="7"/>
    <w:link w:val="14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8">
    <w:name w:val="批注主题 Char"/>
    <w:qFormat/>
    <w:uiPriority w:val="0"/>
    <w:rPr>
      <w:rFonts w:eastAsia="宋体"/>
      <w:b/>
      <w:bCs/>
      <w:kern w:val="2"/>
      <w:sz w:val="21"/>
      <w:szCs w:val="24"/>
      <w:lang w:val="en-US" w:eastAsia="zh-CN" w:bidi="ar-SA"/>
    </w:rPr>
  </w:style>
  <w:style w:type="character" w:customStyle="1" w:styleId="14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0">
    <w:name w:val="标题 3 Char2"/>
    <w:qFormat/>
    <w:uiPriority w:val="0"/>
    <w:rPr>
      <w:rFonts w:eastAsia="宋体"/>
      <w:b/>
      <w:bCs/>
      <w:kern w:val="2"/>
      <w:sz w:val="32"/>
      <w:szCs w:val="32"/>
      <w:lang w:val="en-US" w:eastAsia="zh-CN" w:bidi="ar-SA"/>
    </w:rPr>
  </w:style>
  <w:style w:type="character" w:customStyle="1" w:styleId="151">
    <w:name w:val="gray6"/>
    <w:basedOn w:val="63"/>
    <w:qFormat/>
    <w:uiPriority w:val="0"/>
    <w:rPr>
      <w:rFonts w:ascii="Arial" w:hAnsi="Arial" w:eastAsia="黑体" w:cs="Arial"/>
      <w:snapToGrid w:val="0"/>
      <w:kern w:val="0"/>
      <w:szCs w:val="21"/>
    </w:rPr>
  </w:style>
  <w:style w:type="character" w:customStyle="1" w:styleId="152">
    <w:name w:val="正文首行缩进两字 Char"/>
    <w:qFormat/>
    <w:uiPriority w:val="0"/>
    <w:rPr>
      <w:sz w:val="24"/>
      <w:szCs w:val="24"/>
      <w:lang w:val="en-US" w:eastAsia="zh-CN" w:bidi="ar-SA"/>
    </w:rPr>
  </w:style>
  <w:style w:type="character" w:customStyle="1" w:styleId="153">
    <w:name w:val="Char Char51"/>
    <w:qFormat/>
    <w:uiPriority w:val="0"/>
    <w:rPr>
      <w:rFonts w:ascii="宋体" w:hAnsi="Courier New" w:eastAsia="宋体"/>
      <w:kern w:val="2"/>
      <w:sz w:val="21"/>
      <w:lang w:val="en-US" w:eastAsia="zh-CN"/>
    </w:rPr>
  </w:style>
  <w:style w:type="character" w:customStyle="1" w:styleId="154">
    <w:name w:val="带编号样式 Char"/>
    <w:qFormat/>
    <w:uiPriority w:val="0"/>
    <w:rPr>
      <w:rFonts w:ascii="仿宋_GB2312" w:eastAsia="仿宋_GB2312"/>
      <w:color w:val="000000"/>
      <w:sz w:val="24"/>
      <w:lang w:bidi="ar-SA"/>
    </w:rPr>
  </w:style>
  <w:style w:type="character" w:customStyle="1" w:styleId="155">
    <w:name w:val="Footer-Even Char"/>
    <w:qFormat/>
    <w:uiPriority w:val="0"/>
    <w:rPr>
      <w:rFonts w:eastAsia="宋体"/>
      <w:kern w:val="2"/>
      <w:sz w:val="18"/>
      <w:lang w:val="en-US" w:eastAsia="zh-CN" w:bidi="ar-SA"/>
    </w:rPr>
  </w:style>
  <w:style w:type="character" w:customStyle="1" w:styleId="156">
    <w:name w:val="样式4 Char"/>
    <w:qFormat/>
    <w:uiPriority w:val="0"/>
    <w:rPr>
      <w:rFonts w:ascii="仿宋_GB2312" w:hAnsi="仿宋" w:eastAsia="仿宋_GB2312"/>
      <w:b/>
      <w:kern w:val="2"/>
      <w:sz w:val="32"/>
      <w:szCs w:val="32"/>
      <w:lang w:bidi="ar-SA"/>
    </w:rPr>
  </w:style>
  <w:style w:type="character" w:customStyle="1" w:styleId="157">
    <w:name w:val="样式 标题 4h4H4Fab-4T5Ref Heading 1rh1Heading sqlsect 1.2.3.... Char"/>
    <w:link w:val="158"/>
    <w:qFormat/>
    <w:uiPriority w:val="0"/>
    <w:rPr>
      <w:rFonts w:ascii="微软雅黑" w:hAnsi="微软雅黑" w:eastAsia="微软雅黑"/>
      <w:b/>
      <w:bCs/>
      <w:kern w:val="2"/>
      <w:sz w:val="24"/>
      <w:szCs w:val="28"/>
    </w:rPr>
  </w:style>
  <w:style w:type="paragraph" w:customStyle="1" w:styleId="158">
    <w:name w:val="样式 标题 4h4H4Fab-4T5Ref Heading 1rh1Heading sqlsect 1.2.3...."/>
    <w:basedOn w:val="7"/>
    <w:link w:val="157"/>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9">
    <w:name w:val="dandyren_title1"/>
    <w:qFormat/>
    <w:uiPriority w:val="0"/>
    <w:rPr>
      <w:b/>
      <w:bCs/>
      <w:color w:val="FF6633"/>
      <w:sz w:val="18"/>
      <w:szCs w:val="18"/>
    </w:rPr>
  </w:style>
  <w:style w:type="character" w:customStyle="1" w:styleId="160">
    <w:name w:val="普通文字 Char Char1"/>
    <w:qFormat/>
    <w:uiPriority w:val="0"/>
    <w:rPr>
      <w:rFonts w:ascii="宋体" w:hAnsi="Courier New"/>
      <w:kern w:val="2"/>
      <w:sz w:val="21"/>
    </w:rPr>
  </w:style>
  <w:style w:type="character" w:customStyle="1" w:styleId="161">
    <w:name w:val="PI Char"/>
    <w:qFormat/>
    <w:uiPriority w:val="0"/>
    <w:rPr>
      <w:rFonts w:ascii="宋体" w:hAnsi="宋体" w:eastAsia="宋体"/>
      <w:kern w:val="2"/>
      <w:sz w:val="24"/>
      <w:szCs w:val="24"/>
      <w:lang w:val="en-US" w:eastAsia="zh-CN" w:bidi="ar-SA"/>
    </w:rPr>
  </w:style>
  <w:style w:type="character" w:customStyle="1" w:styleId="162">
    <w:name w:val="Char Char11"/>
    <w:qFormat/>
    <w:locked/>
    <w:uiPriority w:val="0"/>
    <w:rPr>
      <w:rFonts w:ascii="宋体" w:hAnsi="宋体" w:eastAsia="宋体"/>
      <w:b/>
      <w:kern w:val="2"/>
      <w:sz w:val="24"/>
      <w:szCs w:val="24"/>
      <w:lang w:val="en-US" w:eastAsia="zh-CN" w:bidi="ar-SA"/>
    </w:rPr>
  </w:style>
  <w:style w:type="character" w:customStyle="1" w:styleId="16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4">
    <w:name w:val="Document Map Char"/>
    <w:semiHidden/>
    <w:qFormat/>
    <w:locked/>
    <w:uiPriority w:val="0"/>
    <w:rPr>
      <w:rFonts w:eastAsia="宋体"/>
      <w:kern w:val="2"/>
      <w:sz w:val="21"/>
      <w:szCs w:val="24"/>
      <w:lang w:val="en-US" w:eastAsia="zh-CN" w:bidi="ar-SA"/>
    </w:rPr>
  </w:style>
  <w:style w:type="character" w:customStyle="1" w:styleId="165">
    <w:name w:val="正文文本缩进 Char"/>
    <w:qFormat/>
    <w:uiPriority w:val="0"/>
    <w:rPr>
      <w:rFonts w:ascii="宋体" w:hAnsi="宋体"/>
      <w:kern w:val="2"/>
      <w:sz w:val="24"/>
      <w:szCs w:val="24"/>
    </w:rPr>
  </w:style>
  <w:style w:type="character" w:customStyle="1" w:styleId="166">
    <w:name w:val="文本正文 Char Char"/>
    <w:qFormat/>
    <w:locked/>
    <w:uiPriority w:val="0"/>
    <w:rPr>
      <w:sz w:val="24"/>
      <w:lang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样式3 Char"/>
    <w:basedOn w:val="169"/>
    <w:qFormat/>
    <w:uiPriority w:val="0"/>
    <w:rPr>
      <w:rFonts w:ascii="仿宋_GB2312" w:hAnsi="仿宋" w:eastAsia="仿宋_GB2312" w:cs="仿宋_GB2312"/>
      <w:sz w:val="32"/>
      <w:szCs w:val="30"/>
      <w:lang w:val="zh-CN"/>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二级标题 Char Char"/>
    <w:qFormat/>
    <w:uiPriority w:val="0"/>
    <w:rPr>
      <w:rFonts w:ascii="宋体" w:hAnsi="宋体" w:eastAsia="宋体"/>
      <w:b/>
      <w:snapToGrid w:val="0"/>
      <w:kern w:val="2"/>
      <w:sz w:val="24"/>
      <w:szCs w:val="24"/>
      <w:lang w:val="en-US" w:eastAsia="zh-CN" w:bidi="ar-SA"/>
    </w:rPr>
  </w:style>
  <w:style w:type="character" w:customStyle="1" w:styleId="171">
    <w:name w:val="Table Text Char1"/>
    <w:qFormat/>
    <w:uiPriority w:val="0"/>
    <w:rPr>
      <w:rFonts w:eastAsia="宋体"/>
      <w:sz w:val="24"/>
      <w:szCs w:val="24"/>
      <w:lang w:val="en-US" w:eastAsia="zh-CN" w:bidi="ar-SA"/>
    </w:rPr>
  </w:style>
  <w:style w:type="character" w:customStyle="1" w:styleId="172">
    <w:name w:val="shadow11"/>
    <w:qFormat/>
    <w:uiPriority w:val="0"/>
    <w:rPr>
      <w:color w:val="000000"/>
      <w:sz w:val="21"/>
    </w:rPr>
  </w:style>
  <w:style w:type="character" w:customStyle="1" w:styleId="173">
    <w:name w:val="HTML 地址 Char"/>
    <w:link w:val="29"/>
    <w:qFormat/>
    <w:uiPriority w:val="0"/>
    <w:rPr>
      <w:rFonts w:ascii="宋体" w:hAnsi="宋体"/>
      <w:i/>
      <w:iCs/>
      <w:sz w:val="24"/>
      <w:szCs w:val="24"/>
    </w:rPr>
  </w:style>
  <w:style w:type="character" w:customStyle="1" w:styleId="174">
    <w:name w:val="Char Char21"/>
    <w:qFormat/>
    <w:uiPriority w:val="0"/>
    <w:rPr>
      <w:rFonts w:eastAsia="宋体"/>
      <w:b/>
      <w:bCs/>
      <w:kern w:val="2"/>
      <w:sz w:val="21"/>
      <w:szCs w:val="24"/>
      <w:lang w:val="en-US" w:eastAsia="zh-CN" w:bidi="ar-SA"/>
    </w:rPr>
  </w:style>
  <w:style w:type="character" w:customStyle="1" w:styleId="175">
    <w:name w:val="标题 5 Char"/>
    <w:link w:val="8"/>
    <w:qFormat/>
    <w:uiPriority w:val="0"/>
    <w:rPr>
      <w:b/>
      <w:bCs/>
      <w:kern w:val="2"/>
      <w:sz w:val="28"/>
      <w:szCs w:val="28"/>
    </w:rPr>
  </w:style>
  <w:style w:type="character" w:customStyle="1" w:styleId="176">
    <w:name w:val="h3 Char1"/>
    <w:qFormat/>
    <w:uiPriority w:val="0"/>
    <w:rPr>
      <w:rFonts w:eastAsia="宋体"/>
      <w:b/>
      <w:bCs/>
      <w:kern w:val="2"/>
      <w:sz w:val="32"/>
      <w:szCs w:val="32"/>
      <w:lang w:bidi="ar-SA"/>
    </w:rPr>
  </w:style>
  <w:style w:type="character" w:customStyle="1" w:styleId="177">
    <w:name w:val="FA正文 Char Char"/>
    <w:qFormat/>
    <w:uiPriority w:val="0"/>
    <w:rPr>
      <w:rFonts w:hAnsi="宋体"/>
      <w:kern w:val="2"/>
      <w:sz w:val="24"/>
      <w:lang w:bidi="ar-SA"/>
    </w:rPr>
  </w:style>
  <w:style w:type="character" w:customStyle="1" w:styleId="178">
    <w:name w:val="首行缩进 Char"/>
    <w:qFormat/>
    <w:uiPriority w:val="0"/>
    <w:rPr>
      <w:rFonts w:ascii="宋体" w:eastAsia="宋体"/>
      <w:kern w:val="2"/>
      <w:sz w:val="24"/>
      <w:lang w:val="en-US" w:eastAsia="zh-CN" w:bidi="ar-SA"/>
    </w:rPr>
  </w:style>
  <w:style w:type="character" w:customStyle="1" w:styleId="179">
    <w:name w:val="Char Char7"/>
    <w:semiHidden/>
    <w:qFormat/>
    <w:uiPriority w:val="0"/>
    <w:rPr>
      <w:rFonts w:eastAsia="宋体"/>
      <w:kern w:val="2"/>
      <w:sz w:val="21"/>
      <w:szCs w:val="24"/>
      <w:lang w:val="en-US" w:eastAsia="zh-CN" w:bidi="ar-SA"/>
    </w:rPr>
  </w:style>
  <w:style w:type="character" w:customStyle="1" w:styleId="180">
    <w:name w:val="hui"/>
    <w:basedOn w:val="63"/>
    <w:qFormat/>
    <w:uiPriority w:val="0"/>
    <w:rPr>
      <w:rFonts w:ascii="Arial" w:hAnsi="Arial" w:eastAsia="黑体" w:cs="Arial"/>
      <w:snapToGrid w:val="0"/>
      <w:kern w:val="0"/>
      <w:szCs w:val="21"/>
    </w:rPr>
  </w:style>
  <w:style w:type="character" w:customStyle="1" w:styleId="181">
    <w:name w:val="正文缩进 Char"/>
    <w:qFormat/>
    <w:uiPriority w:val="0"/>
    <w:rPr>
      <w:rFonts w:eastAsia="宋体"/>
      <w:kern w:val="2"/>
      <w:sz w:val="21"/>
      <w:lang w:val="en-US" w:eastAsia="zh-CN"/>
    </w:rPr>
  </w:style>
  <w:style w:type="character" w:customStyle="1" w:styleId="182">
    <w:name w:val="正文1 Char"/>
    <w:qFormat/>
    <w:uiPriority w:val="0"/>
    <w:rPr>
      <w:rFonts w:ascii="宋体" w:eastAsia="宋体"/>
      <w:snapToGrid w:val="0"/>
      <w:color w:val="000000"/>
      <w:kern w:val="28"/>
      <w:sz w:val="28"/>
      <w:lang w:val="en-US" w:eastAsia="zh-CN" w:bidi="ar-SA"/>
    </w:rPr>
  </w:style>
  <w:style w:type="character" w:customStyle="1" w:styleId="183">
    <w:name w:val="Char Char61"/>
    <w:qFormat/>
    <w:uiPriority w:val="0"/>
    <w:rPr>
      <w:rFonts w:eastAsia="宋体"/>
      <w:kern w:val="2"/>
      <w:sz w:val="21"/>
      <w:szCs w:val="24"/>
      <w:lang w:val="en-US" w:eastAsia="zh-CN" w:bidi="ar-SA"/>
    </w:rPr>
  </w:style>
  <w:style w:type="character" w:customStyle="1" w:styleId="184">
    <w:name w:val="正文文本 3 Char"/>
    <w:link w:val="23"/>
    <w:qFormat/>
    <w:uiPriority w:val="0"/>
    <w:rPr>
      <w:kern w:val="2"/>
      <w:sz w:val="21"/>
    </w:rPr>
  </w:style>
  <w:style w:type="character" w:customStyle="1" w:styleId="185">
    <w:name w:val="message1"/>
    <w:qFormat/>
    <w:uiPriority w:val="0"/>
    <w:rPr>
      <w:rFonts w:hint="default" w:ascii="Tahoma" w:hAnsi="Tahoma" w:cs="Tahoma"/>
      <w:sz w:val="18"/>
      <w:szCs w:val="18"/>
    </w:rPr>
  </w:style>
  <w:style w:type="character" w:customStyle="1" w:styleId="186">
    <w:name w:val="Heading 2 Hidden Char"/>
    <w:qFormat/>
    <w:uiPriority w:val="0"/>
    <w:rPr>
      <w:rFonts w:ascii="仿宋_GB2312" w:eastAsia="仿宋_GB2312"/>
      <w:b/>
      <w:bCs/>
      <w:kern w:val="2"/>
      <w:sz w:val="24"/>
      <w:szCs w:val="24"/>
      <w:lang w:val="zh-CN" w:eastAsia="zh-CN" w:bidi="ar-SA"/>
    </w:rPr>
  </w:style>
  <w:style w:type="character" w:customStyle="1" w:styleId="187">
    <w:name w:val="DO_NOT_TRANSLATE"/>
    <w:qFormat/>
    <w:uiPriority w:val="0"/>
    <w:rPr>
      <w:rFonts w:ascii="Courier New" w:hAnsi="Courier New" w:cs="Courier New"/>
      <w:color w:val="800000"/>
      <w:lang w:val="en-US" w:eastAsia="zh-CN"/>
    </w:rPr>
  </w:style>
  <w:style w:type="character" w:customStyle="1" w:styleId="188">
    <w:name w:val="unnamed11"/>
    <w:qFormat/>
    <w:uiPriority w:val="0"/>
    <w:rPr>
      <w:sz w:val="20"/>
      <w:szCs w:val="20"/>
    </w:rPr>
  </w:style>
  <w:style w:type="character" w:customStyle="1" w:styleId="189">
    <w:name w:val="tw4winInternal"/>
    <w:qFormat/>
    <w:uiPriority w:val="0"/>
    <w:rPr>
      <w:rFonts w:ascii="Courier New" w:hAnsi="Courier New" w:cs="Courier New"/>
      <w:color w:val="FF0000"/>
      <w:lang w:val="en-US" w:eastAsia="zh-CN"/>
    </w:rPr>
  </w:style>
  <w:style w:type="character" w:customStyle="1" w:styleId="190">
    <w:name w:val="正文（缩进2汉字） Char"/>
    <w:link w:val="191"/>
    <w:qFormat/>
    <w:uiPriority w:val="0"/>
    <w:rPr>
      <w:rFonts w:ascii="宋体"/>
    </w:rPr>
  </w:style>
  <w:style w:type="paragraph" w:customStyle="1" w:styleId="191">
    <w:name w:val="正文（缩进2汉字）"/>
    <w:basedOn w:val="1"/>
    <w:link w:val="1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2">
    <w:name w:val="页脚 Char"/>
    <w:qFormat/>
    <w:uiPriority w:val="99"/>
    <w:rPr>
      <w:rFonts w:eastAsia="仿宋_GB2312"/>
      <w:kern w:val="2"/>
      <w:sz w:val="18"/>
      <w:lang w:val="en-US" w:eastAsia="zh-CN"/>
    </w:rPr>
  </w:style>
  <w:style w:type="character" w:customStyle="1" w:styleId="193">
    <w:name w:val="正文文本缩进 3 Char"/>
    <w:link w:val="52"/>
    <w:qFormat/>
    <w:uiPriority w:val="0"/>
    <w:rPr>
      <w:kern w:val="2"/>
      <w:sz w:val="24"/>
    </w:rPr>
  </w:style>
  <w:style w:type="character" w:customStyle="1" w:styleId="194">
    <w:name w:val="正文缩进 Char1"/>
    <w:qFormat/>
    <w:uiPriority w:val="0"/>
    <w:rPr>
      <w:rFonts w:ascii="宋体" w:eastAsia="宋体"/>
      <w:snapToGrid w:val="0"/>
      <w:color w:val="000000"/>
      <w:kern w:val="28"/>
      <w:sz w:val="28"/>
      <w:lang w:val="en-US" w:eastAsia="zh-CN" w:bidi="ar-SA"/>
    </w:rPr>
  </w:style>
  <w:style w:type="character" w:customStyle="1" w:styleId="195">
    <w:name w:val="正文文本 Char"/>
    <w:qFormat/>
    <w:uiPriority w:val="0"/>
    <w:rPr>
      <w:rFonts w:eastAsia="宋体"/>
      <w:kern w:val="2"/>
      <w:sz w:val="24"/>
      <w:szCs w:val="24"/>
      <w:lang w:val="en-US" w:eastAsia="zh-CN" w:bidi="ar-SA"/>
    </w:rPr>
  </w:style>
  <w:style w:type="character" w:customStyle="1" w:styleId="196">
    <w:name w:val="style36"/>
    <w:basedOn w:val="63"/>
    <w:qFormat/>
    <w:uiPriority w:val="0"/>
    <w:rPr>
      <w:rFonts w:ascii="Arial" w:hAnsi="Arial" w:eastAsia="黑体" w:cs="Arial"/>
      <w:snapToGrid w:val="0"/>
      <w:kern w:val="0"/>
      <w:szCs w:val="21"/>
    </w:rPr>
  </w:style>
  <w:style w:type="character" w:customStyle="1" w:styleId="197">
    <w:name w:val="hui3"/>
    <w:qFormat/>
    <w:uiPriority w:val="0"/>
    <w:rPr>
      <w:color w:val="333333"/>
    </w:rPr>
  </w:style>
  <w:style w:type="character" w:customStyle="1" w:styleId="198">
    <w:name w:val="方案正文 Char"/>
    <w:qFormat/>
    <w:uiPriority w:val="0"/>
    <w:rPr>
      <w:rFonts w:ascii="仿宋_GB2312" w:eastAsia="仿宋_GB2312"/>
      <w:b/>
      <w:color w:val="000000"/>
      <w:kern w:val="2"/>
      <w:sz w:val="24"/>
      <w:lang w:val="en-US" w:eastAsia="zh-CN" w:bidi="ar-SA"/>
    </w:rPr>
  </w:style>
  <w:style w:type="character" w:customStyle="1" w:styleId="199">
    <w:name w:val="apple-converted-space"/>
    <w:qFormat/>
    <w:uiPriority w:val="0"/>
  </w:style>
  <w:style w:type="character" w:customStyle="1" w:styleId="200">
    <w:name w:val="文档结构图 Char"/>
    <w:qFormat/>
    <w:uiPriority w:val="0"/>
    <w:rPr>
      <w:rFonts w:eastAsia="宋体"/>
      <w:kern w:val="2"/>
      <w:sz w:val="21"/>
      <w:szCs w:val="24"/>
      <w:lang w:val="en-US" w:eastAsia="zh-CN" w:bidi="ar-SA"/>
    </w:rPr>
  </w:style>
  <w:style w:type="character" w:customStyle="1" w:styleId="201">
    <w:name w:val="正文非缩进 Char3"/>
    <w:qFormat/>
    <w:uiPriority w:val="0"/>
    <w:rPr>
      <w:rFonts w:ascii="宋体" w:eastAsia="宋体"/>
      <w:snapToGrid w:val="0"/>
      <w:color w:val="000000"/>
      <w:kern w:val="28"/>
      <w:sz w:val="28"/>
      <w:lang w:val="en-US" w:eastAsia="zh-CN" w:bidi="ar-SA"/>
    </w:rPr>
  </w:style>
  <w:style w:type="character" w:customStyle="1" w:styleId="202">
    <w:name w:val="dectext1"/>
    <w:qFormat/>
    <w:uiPriority w:val="0"/>
    <w:rPr>
      <w:rFonts w:ascii="宋体" w:hAnsi="宋体" w:eastAsia="宋体"/>
      <w:color w:val="333333"/>
      <w:sz w:val="21"/>
      <w:szCs w:val="21"/>
      <w:u w:val="none"/>
    </w:rPr>
  </w:style>
  <w:style w:type="character" w:customStyle="1" w:styleId="203">
    <w:name w:val="t21"/>
    <w:qFormat/>
    <w:uiPriority w:val="0"/>
    <w:rPr>
      <w:rFonts w:ascii="仿宋_GB2312" w:eastAsia="微软雅黑"/>
      <w:b/>
      <w:kern w:val="2"/>
      <w:sz w:val="23"/>
      <w:szCs w:val="23"/>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px14"/>
    <w:qFormat/>
    <w:uiPriority w:val="0"/>
    <w:rPr>
      <w:rFonts w:ascii="仿宋_GB2312" w:eastAsia="微软雅黑" w:cs="Times New Roman"/>
      <w:b/>
      <w:kern w:val="2"/>
      <w:sz w:val="32"/>
      <w:szCs w:val="32"/>
      <w:lang w:val="en-US" w:eastAsia="zh-CN" w:bidi="ar-SA"/>
    </w:rPr>
  </w:style>
  <w:style w:type="character" w:customStyle="1" w:styleId="206">
    <w:name w:val="标题 7 Char"/>
    <w:link w:val="10"/>
    <w:qFormat/>
    <w:uiPriority w:val="0"/>
    <w:rPr>
      <w:b/>
      <w:bCs/>
      <w:kern w:val="2"/>
      <w:sz w:val="24"/>
      <w:szCs w:val="24"/>
    </w:rPr>
  </w:style>
  <w:style w:type="character" w:customStyle="1" w:styleId="207">
    <w:name w:val="Normal Indent Char Char"/>
    <w:qFormat/>
    <w:uiPriority w:val="0"/>
    <w:rPr>
      <w:rFonts w:eastAsia="宋体"/>
      <w:kern w:val="2"/>
      <w:sz w:val="21"/>
      <w:lang w:val="en-US" w:eastAsia="zh-CN" w:bidi="ar-SA"/>
    </w:rPr>
  </w:style>
  <w:style w:type="character" w:customStyle="1" w:styleId="208">
    <w:name w:val="f141"/>
    <w:qFormat/>
    <w:uiPriority w:val="0"/>
    <w:rPr>
      <w:rFonts w:ascii="Tahoma" w:hAnsi="Tahoma" w:eastAsia="宋体"/>
      <w:b/>
      <w:kern w:val="2"/>
      <w:sz w:val="21"/>
      <w:szCs w:val="21"/>
      <w:lang w:val="en-US" w:eastAsia="zh-CN" w:bidi="ar-SA"/>
    </w:rPr>
  </w:style>
  <w:style w:type="character" w:customStyle="1" w:styleId="209">
    <w:name w:val="日期 Char"/>
    <w:link w:val="35"/>
    <w:qFormat/>
    <w:uiPriority w:val="0"/>
    <w:rPr>
      <w:rFonts w:ascii="宋体"/>
      <w:kern w:val="2"/>
      <w:sz w:val="24"/>
      <w:szCs w:val="21"/>
      <w:lang w:val="zh-CN"/>
    </w:rPr>
  </w:style>
  <w:style w:type="character" w:customStyle="1" w:styleId="210">
    <w:name w:val="myp1111"/>
    <w:qFormat/>
    <w:uiPriority w:val="0"/>
    <w:rPr>
      <w:rFonts w:hint="default" w:ascii="ˎ̥" w:hAnsi="ˎ̥"/>
      <w:color w:val="000000"/>
      <w:sz w:val="20"/>
      <w:szCs w:val="20"/>
      <w:u w:val="none"/>
    </w:rPr>
  </w:style>
  <w:style w:type="character" w:customStyle="1" w:styleId="211">
    <w:name w:val="称呼 Char"/>
    <w:link w:val="22"/>
    <w:qFormat/>
    <w:uiPriority w:val="0"/>
    <w:rPr>
      <w:rFonts w:ascii="仿宋_GB2312" w:eastAsia="仿宋_GB2312"/>
      <w:kern w:val="2"/>
      <w:sz w:val="28"/>
    </w:rPr>
  </w:style>
  <w:style w:type="character" w:customStyle="1" w:styleId="212">
    <w:name w:val="标题 4 Char"/>
    <w:link w:val="7"/>
    <w:qFormat/>
    <w:uiPriority w:val="0"/>
    <w:rPr>
      <w:rFonts w:ascii="Arial" w:hAnsi="Arial" w:eastAsia="黑体"/>
      <w:b/>
      <w:bCs/>
      <w:kern w:val="2"/>
      <w:sz w:val="28"/>
      <w:szCs w:val="28"/>
      <w:lang w:val="zh-CN"/>
    </w:rPr>
  </w:style>
  <w:style w:type="character" w:customStyle="1" w:styleId="213">
    <w:name w:val="标书1 Char"/>
    <w:qFormat/>
    <w:uiPriority w:val="0"/>
    <w:rPr>
      <w:rFonts w:eastAsia="宋体"/>
      <w:b/>
      <w:bCs/>
      <w:kern w:val="44"/>
      <w:sz w:val="44"/>
      <w:szCs w:val="44"/>
      <w:lang w:val="en-US" w:eastAsia="zh-CN" w:bidi="ar-SA"/>
    </w:rPr>
  </w:style>
  <w:style w:type="character" w:customStyle="1" w:styleId="214">
    <w:name w:val="链接"/>
    <w:qFormat/>
    <w:uiPriority w:val="0"/>
    <w:rPr>
      <w:color w:val="0000FF"/>
      <w:sz w:val="21"/>
      <w:szCs w:val="21"/>
      <w:u w:val="single"/>
    </w:rPr>
  </w:style>
  <w:style w:type="character" w:customStyle="1" w:styleId="215">
    <w:name w:val="正文首行缩进 Char Char Char Char Char Char"/>
    <w:qFormat/>
    <w:uiPriority w:val="0"/>
    <w:rPr>
      <w:rFonts w:ascii="宋体" w:eastAsia="宋体"/>
      <w:kern w:val="2"/>
      <w:sz w:val="24"/>
      <w:lang w:val="zh-CN" w:bidi="ar-SA"/>
    </w:rPr>
  </w:style>
  <w:style w:type="character" w:customStyle="1" w:styleId="216">
    <w:name w:val="正文2 Char Char"/>
    <w:link w:val="217"/>
    <w:qFormat/>
    <w:uiPriority w:val="0"/>
    <w:rPr>
      <w:rFonts w:eastAsia="宋体"/>
      <w:kern w:val="2"/>
      <w:sz w:val="24"/>
      <w:lang w:val="en-US" w:eastAsia="zh-CN" w:bidi="ar-SA"/>
    </w:rPr>
  </w:style>
  <w:style w:type="paragraph" w:customStyle="1" w:styleId="217">
    <w:name w:val="正文2"/>
    <w:basedOn w:val="1"/>
    <w:link w:val="216"/>
    <w:qFormat/>
    <w:uiPriority w:val="0"/>
    <w:pPr>
      <w:spacing w:before="156" w:line="360" w:lineRule="auto"/>
      <w:ind w:firstLine="510" w:firstLineChars="200"/>
    </w:pPr>
    <w:rPr>
      <w:sz w:val="24"/>
      <w:szCs w:val="20"/>
    </w:rPr>
  </w:style>
  <w:style w:type="character" w:customStyle="1" w:styleId="218">
    <w:name w:val="tw4winError"/>
    <w:qFormat/>
    <w:uiPriority w:val="0"/>
    <w:rPr>
      <w:rFonts w:ascii="Courier New" w:hAnsi="Courier New" w:cs="Courier New"/>
      <w:color w:val="00FF00"/>
      <w:sz w:val="40"/>
      <w:szCs w:val="40"/>
    </w:rPr>
  </w:style>
  <w:style w:type="character" w:customStyle="1" w:styleId="219">
    <w:name w:val="正文1 Char1"/>
    <w:qFormat/>
    <w:uiPriority w:val="0"/>
    <w:rPr>
      <w:rFonts w:ascii="仿宋_GB2312" w:hAnsi="Courier New" w:eastAsia="仿宋_GB2312"/>
      <w:kern w:val="28"/>
      <w:sz w:val="24"/>
      <w:szCs w:val="24"/>
      <w:lang w:val="en-US" w:eastAsia="zh-CN"/>
    </w:rPr>
  </w:style>
  <w:style w:type="character" w:customStyle="1" w:styleId="220">
    <w:name w:val="Used by Word for text of Help footnotes Char Char"/>
    <w:semiHidden/>
    <w:qFormat/>
    <w:uiPriority w:val="0"/>
    <w:rPr>
      <w:rFonts w:ascii="Times New Roman" w:hAnsi="Times New Roman" w:eastAsia="宋体" w:cs="Times New Roman"/>
      <w:sz w:val="20"/>
      <w:szCs w:val="20"/>
    </w:rPr>
  </w:style>
  <w:style w:type="character" w:customStyle="1" w:styleId="221">
    <w:name w:val="c7 style3"/>
    <w:qFormat/>
    <w:uiPriority w:val="0"/>
  </w:style>
  <w:style w:type="character" w:customStyle="1" w:styleId="2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22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4">
    <w:name w:val="表正文 Char"/>
    <w:qFormat/>
    <w:uiPriority w:val="0"/>
    <w:rPr>
      <w:rFonts w:ascii="宋体" w:eastAsia="宋体"/>
      <w:snapToGrid w:val="0"/>
      <w:color w:val="000000"/>
      <w:kern w:val="28"/>
      <w:sz w:val="28"/>
      <w:lang w:val="en-US" w:eastAsia="zh-CN" w:bidi="ar-SA"/>
    </w:rPr>
  </w:style>
  <w:style w:type="character" w:customStyle="1" w:styleId="225">
    <w:name w:val="普通文字 Char1 Char"/>
    <w:qFormat/>
    <w:uiPriority w:val="0"/>
    <w:rPr>
      <w:rFonts w:ascii="宋体" w:hAnsi="Courier New" w:eastAsia="宋体"/>
      <w:kern w:val="2"/>
      <w:sz w:val="21"/>
      <w:szCs w:val="24"/>
      <w:lang w:val="en-US" w:eastAsia="zh-CN" w:bidi="ar-SA"/>
    </w:rPr>
  </w:style>
  <w:style w:type="character" w:customStyle="1" w:styleId="226">
    <w:name w:val="pt9"/>
    <w:qFormat/>
    <w:uiPriority w:val="0"/>
    <w:rPr>
      <w:rFonts w:ascii="仿宋_GB2312" w:eastAsia="微软雅黑"/>
      <w:b/>
      <w:kern w:val="2"/>
      <w:sz w:val="32"/>
      <w:szCs w:val="32"/>
      <w:lang w:val="en-US" w:eastAsia="zh-CN" w:bidi="ar-SA"/>
    </w:rPr>
  </w:style>
  <w:style w:type="character" w:customStyle="1" w:styleId="227">
    <w:name w:val="表正文 Char1"/>
    <w:qFormat/>
    <w:uiPriority w:val="0"/>
    <w:rPr>
      <w:rFonts w:ascii="宋体" w:eastAsia="宋体"/>
      <w:snapToGrid w:val="0"/>
      <w:color w:val="000000"/>
      <w:kern w:val="28"/>
      <w:sz w:val="28"/>
    </w:rPr>
  </w:style>
  <w:style w:type="character" w:customStyle="1" w:styleId="228">
    <w:name w:val="正文非缩进 Char"/>
    <w:qFormat/>
    <w:uiPriority w:val="0"/>
    <w:rPr>
      <w:rFonts w:ascii="宋体" w:eastAsia="宋体"/>
      <w:snapToGrid w:val="0"/>
      <w:color w:val="000000"/>
      <w:kern w:val="28"/>
      <w:sz w:val="28"/>
      <w:lang w:val="en-US" w:eastAsia="zh-CN" w:bidi="ar-SA"/>
    </w:rPr>
  </w:style>
  <w:style w:type="character" w:customStyle="1" w:styleId="229">
    <w:name w:val="冯广丽 Char"/>
    <w:link w:val="230"/>
    <w:qFormat/>
    <w:uiPriority w:val="0"/>
    <w:rPr>
      <w:rFonts w:ascii="宋体" w:hAnsi="宋体"/>
      <w:kern w:val="2"/>
      <w:sz w:val="24"/>
      <w:szCs w:val="22"/>
    </w:rPr>
  </w:style>
  <w:style w:type="paragraph" w:customStyle="1" w:styleId="230">
    <w:name w:val="冯广丽"/>
    <w:basedOn w:val="1"/>
    <w:link w:val="229"/>
    <w:qFormat/>
    <w:uiPriority w:val="0"/>
    <w:pPr>
      <w:adjustRightInd/>
      <w:spacing w:line="360" w:lineRule="auto"/>
      <w:ind w:firstLine="480" w:firstLineChars="200"/>
    </w:pPr>
    <w:rPr>
      <w:rFonts w:ascii="宋体" w:hAnsi="宋体"/>
      <w:sz w:val="24"/>
      <w:szCs w:val="22"/>
    </w:rPr>
  </w:style>
  <w:style w:type="character" w:customStyle="1" w:styleId="231">
    <w:name w:val="large1"/>
    <w:qFormat/>
    <w:uiPriority w:val="0"/>
    <w:rPr>
      <w:rFonts w:hint="eastAsia" w:ascii="宋体" w:hAnsi="宋体" w:eastAsia="宋体"/>
      <w:sz w:val="21"/>
      <w:szCs w:val="21"/>
    </w:rPr>
  </w:style>
  <w:style w:type="character" w:customStyle="1" w:styleId="232">
    <w:name w:val="样式 样式 标题 4h4H4Fab-4T5Ref Heading 1rh1Heading sqlsect 1.2.3.... +... Char"/>
    <w:link w:val="233"/>
    <w:qFormat/>
    <w:uiPriority w:val="0"/>
    <w:rPr>
      <w:rFonts w:ascii="微软雅黑" w:hAnsi="微软雅黑" w:eastAsia="微软雅黑"/>
      <w:b/>
      <w:bCs/>
      <w:kern w:val="2"/>
      <w:sz w:val="24"/>
      <w:szCs w:val="28"/>
    </w:rPr>
  </w:style>
  <w:style w:type="paragraph" w:customStyle="1" w:styleId="233">
    <w:name w:val="样式 样式 标题 4h4H4Fab-4T5Ref Heading 1rh1Heading sqlsect 1.2.3.... +..."/>
    <w:basedOn w:val="158"/>
    <w:link w:val="232"/>
    <w:qFormat/>
    <w:uiPriority w:val="0"/>
  </w:style>
  <w:style w:type="character" w:customStyle="1" w:styleId="234">
    <w:name w:val="标题 1 Char Char"/>
    <w:qFormat/>
    <w:uiPriority w:val="0"/>
    <w:rPr>
      <w:rFonts w:hint="eastAsia" w:ascii="宋体" w:hAnsi="宋体" w:eastAsia="宋体"/>
      <w:b/>
      <w:spacing w:val="-2"/>
      <w:sz w:val="24"/>
      <w:lang w:val="en-US" w:eastAsia="zh-CN" w:bidi="ar-SA"/>
    </w:rPr>
  </w:style>
  <w:style w:type="character" w:customStyle="1" w:styleId="235">
    <w:name w:val="标题 4 Char1"/>
    <w:semiHidden/>
    <w:qFormat/>
    <w:uiPriority w:val="9"/>
    <w:rPr>
      <w:rFonts w:ascii="Cambria" w:hAnsi="Cambria" w:eastAsia="宋体" w:cs="Times New Roman"/>
      <w:b/>
      <w:bCs/>
      <w:kern w:val="2"/>
      <w:sz w:val="28"/>
      <w:szCs w:val="28"/>
    </w:rPr>
  </w:style>
  <w:style w:type="character" w:customStyle="1" w:styleId="236">
    <w:name w:val="脚注文本 Char"/>
    <w:link w:val="49"/>
    <w:qFormat/>
    <w:uiPriority w:val="0"/>
    <w:rPr>
      <w:color w:val="0000FF"/>
      <w:sz w:val="21"/>
    </w:rPr>
  </w:style>
  <w:style w:type="character" w:customStyle="1" w:styleId="237">
    <w:name w:val="zbggmain style9"/>
    <w:qFormat/>
    <w:uiPriority w:val="0"/>
  </w:style>
  <w:style w:type="character" w:customStyle="1" w:styleId="238">
    <w:name w:val="tw4winMark"/>
    <w:qFormat/>
    <w:uiPriority w:val="0"/>
    <w:rPr>
      <w:rFonts w:ascii="Courier New" w:hAnsi="Courier New" w:cs="Courier New"/>
      <w:vanish/>
      <w:color w:val="800080"/>
      <w:sz w:val="24"/>
      <w:szCs w:val="24"/>
      <w:vertAlign w:val="subscript"/>
    </w:rPr>
  </w:style>
  <w:style w:type="character" w:customStyle="1" w:styleId="239">
    <w:name w:val="tw4winPopup"/>
    <w:qFormat/>
    <w:uiPriority w:val="0"/>
    <w:rPr>
      <w:rFonts w:ascii="Courier New" w:hAnsi="Courier New" w:cs="Courier New"/>
      <w:color w:val="008000"/>
      <w:lang w:val="en-US" w:eastAsia="zh-CN"/>
    </w:rPr>
  </w:style>
  <w:style w:type="character" w:customStyle="1" w:styleId="240">
    <w:name w:val="标题 6 Char"/>
    <w:link w:val="9"/>
    <w:qFormat/>
    <w:uiPriority w:val="0"/>
    <w:rPr>
      <w:rFonts w:ascii="Arial" w:hAnsi="Arial" w:eastAsia="黑体"/>
      <w:b/>
      <w:bCs/>
      <w:kern w:val="2"/>
      <w:sz w:val="24"/>
      <w:szCs w:val="24"/>
    </w:rPr>
  </w:style>
  <w:style w:type="character" w:customStyle="1" w:styleId="241">
    <w:name w:val="样式 宋体"/>
    <w:qFormat/>
    <w:uiPriority w:val="0"/>
    <w:rPr>
      <w:rFonts w:ascii="宋体" w:hAnsi="宋体"/>
      <w:sz w:val="24"/>
    </w:rPr>
  </w:style>
  <w:style w:type="character" w:customStyle="1" w:styleId="242">
    <w:name w:val="正文缩进 Char2"/>
    <w:link w:val="17"/>
    <w:qFormat/>
    <w:uiPriority w:val="0"/>
    <w:rPr>
      <w:rFonts w:ascii="宋体" w:eastAsia="宋体"/>
      <w:snapToGrid w:val="0"/>
      <w:color w:val="000000"/>
      <w:kern w:val="28"/>
      <w:sz w:val="28"/>
      <w:lang w:val="en-US" w:eastAsia="zh-CN" w:bidi="ar-SA"/>
    </w:rPr>
  </w:style>
  <w:style w:type="character" w:customStyle="1" w:styleId="243">
    <w:name w:val="标题 Char"/>
    <w:qFormat/>
    <w:uiPriority w:val="0"/>
    <w:rPr>
      <w:rFonts w:eastAsia="宋体"/>
      <w:b/>
      <w:sz w:val="24"/>
      <w:lang w:val="en-GB" w:eastAsia="zh-CN" w:bidi="ar-SA"/>
    </w:rPr>
  </w:style>
  <w:style w:type="character" w:customStyle="1" w:styleId="244">
    <w:name w:val="正文首行缩进 2 Char"/>
    <w:link w:val="60"/>
    <w:qFormat/>
    <w:uiPriority w:val="0"/>
    <w:rPr>
      <w:rFonts w:ascii="宋体" w:hAnsi="宋体"/>
      <w:kern w:val="2"/>
      <w:sz w:val="21"/>
      <w:szCs w:val="24"/>
    </w:rPr>
  </w:style>
  <w:style w:type="character" w:customStyle="1" w:styleId="245">
    <w:name w:val="正文 编号 Char"/>
    <w:qFormat/>
    <w:uiPriority w:val="0"/>
    <w:rPr>
      <w:rFonts w:ascii="仿宋_GB2312" w:hAnsi="仿宋_GB2312" w:eastAsia="仿宋_GB2312"/>
      <w:kern w:val="2"/>
      <w:sz w:val="24"/>
      <w:lang w:bidi="ar-SA"/>
    </w:rPr>
  </w:style>
  <w:style w:type="character" w:customStyle="1" w:styleId="246">
    <w:name w:val="批注文字 Char1"/>
    <w:link w:val="21"/>
    <w:qFormat/>
    <w:uiPriority w:val="0"/>
    <w:rPr>
      <w:kern w:val="2"/>
      <w:sz w:val="21"/>
      <w:szCs w:val="24"/>
    </w:rPr>
  </w:style>
  <w:style w:type="character" w:customStyle="1" w:styleId="247">
    <w:name w:val="批注框文本 Char"/>
    <w:link w:val="37"/>
    <w:semiHidden/>
    <w:qFormat/>
    <w:uiPriority w:val="0"/>
    <w:rPr>
      <w:kern w:val="2"/>
      <w:sz w:val="18"/>
      <w:szCs w:val="18"/>
    </w:rPr>
  </w:style>
  <w:style w:type="character" w:customStyle="1" w:styleId="248">
    <w:name w:val="公文正文 Char"/>
    <w:qFormat/>
    <w:uiPriority w:val="0"/>
    <w:rPr>
      <w:rFonts w:ascii="仿宋_GB2312" w:eastAsia="仿宋_GB2312"/>
      <w:kern w:val="2"/>
      <w:sz w:val="24"/>
      <w:szCs w:val="24"/>
      <w:lang w:val="en-US" w:eastAsia="zh-CN" w:bidi="ar-SA"/>
    </w:rPr>
  </w:style>
  <w:style w:type="character" w:customStyle="1" w:styleId="249">
    <w:name w:val="Footer Char"/>
    <w:qFormat/>
    <w:locked/>
    <w:uiPriority w:val="0"/>
    <w:rPr>
      <w:rFonts w:eastAsia="宋体"/>
      <w:kern w:val="2"/>
      <w:sz w:val="18"/>
      <w:lang w:val="en-US" w:eastAsia="zh-CN" w:bidi="ar-SA"/>
    </w:rPr>
  </w:style>
  <w:style w:type="character" w:customStyle="1" w:styleId="250">
    <w:name w:val="标题 2 Char"/>
    <w:qFormat/>
    <w:uiPriority w:val="0"/>
    <w:rPr>
      <w:rFonts w:ascii="Arial" w:hAnsi="Arial" w:eastAsia="黑体"/>
      <w:b/>
      <w:kern w:val="2"/>
      <w:sz w:val="32"/>
      <w:lang w:val="en-US" w:eastAsia="zh-CN"/>
    </w:rPr>
  </w:style>
  <w:style w:type="character" w:customStyle="1" w:styleId="251">
    <w:name w:val="Char Char41"/>
    <w:qFormat/>
    <w:uiPriority w:val="0"/>
    <w:rPr>
      <w:rFonts w:eastAsia="宋体"/>
      <w:b/>
      <w:sz w:val="24"/>
      <w:lang w:val="en-GB" w:eastAsia="zh-CN" w:bidi="ar-SA"/>
    </w:rPr>
  </w:style>
  <w:style w:type="character" w:customStyle="1" w:styleId="252">
    <w:name w:val="Char Char91"/>
    <w:qFormat/>
    <w:uiPriority w:val="0"/>
    <w:rPr>
      <w:rFonts w:eastAsia="宋体"/>
      <w:kern w:val="2"/>
      <w:sz w:val="18"/>
      <w:szCs w:val="18"/>
      <w:lang w:val="en-US" w:eastAsia="zh-CN" w:bidi="ar-SA"/>
    </w:rPr>
  </w:style>
  <w:style w:type="character" w:customStyle="1" w:styleId="253">
    <w:name w:val="列出段落 Char"/>
    <w:qFormat/>
    <w:uiPriority w:val="34"/>
    <w:rPr>
      <w:rFonts w:eastAsia="楷体_GB2312" w:cs="Lucida Sans"/>
      <w:kern w:val="2"/>
      <w:sz w:val="24"/>
      <w:szCs w:val="24"/>
      <w:lang w:val="en-US" w:eastAsia="zh-CN" w:bidi="ar-SA"/>
    </w:rPr>
  </w:style>
  <w:style w:type="character" w:customStyle="1" w:styleId="254">
    <w:name w:val="gf正文1 Char"/>
    <w:qFormat/>
    <w:uiPriority w:val="0"/>
    <w:rPr>
      <w:rFonts w:ascii="宋体" w:hAnsi="宋体" w:eastAsia="宋体" w:cs="宋体"/>
      <w:kern w:val="2"/>
      <w:sz w:val="24"/>
      <w:szCs w:val="24"/>
      <w:lang w:val="en-US" w:eastAsia="zh-CN" w:bidi="ar-SA"/>
    </w:rPr>
  </w:style>
  <w:style w:type="character" w:customStyle="1" w:styleId="255">
    <w:name w:val="标书表格字体格式 Char"/>
    <w:qFormat/>
    <w:uiPriority w:val="0"/>
    <w:rPr>
      <w:kern w:val="2"/>
      <w:sz w:val="21"/>
      <w:szCs w:val="24"/>
      <w:lang w:bidi="ar-SA"/>
    </w:rPr>
  </w:style>
  <w:style w:type="character" w:customStyle="1" w:styleId="256">
    <w:name w:val="样式6 Char"/>
    <w:qFormat/>
    <w:uiPriority w:val="0"/>
    <w:rPr>
      <w:rFonts w:ascii="仿宋_GB2312" w:hAnsi="宋体" w:eastAsia="仿宋_GB2312"/>
      <w:b/>
      <w:bCs/>
      <w:kern w:val="2"/>
      <w:sz w:val="24"/>
      <w:szCs w:val="24"/>
      <w:lang w:val="en-US" w:eastAsia="zh-CN" w:bidi="ar-SA"/>
    </w:rPr>
  </w:style>
  <w:style w:type="character" w:customStyle="1" w:styleId="257">
    <w:name w:val="签名 Char"/>
    <w:link w:val="41"/>
    <w:qFormat/>
    <w:uiPriority w:val="0"/>
    <w:rPr>
      <w:rFonts w:eastAsia="仿宋_GB2312"/>
      <w:sz w:val="24"/>
    </w:rPr>
  </w:style>
  <w:style w:type="character" w:customStyle="1" w:styleId="258">
    <w:name w:val="冯 Char"/>
    <w:link w:val="259"/>
    <w:qFormat/>
    <w:uiPriority w:val="0"/>
    <w:rPr>
      <w:rFonts w:ascii="宋体" w:hAnsi="宋体"/>
      <w:color w:val="000000"/>
      <w:sz w:val="24"/>
      <w:szCs w:val="24"/>
    </w:rPr>
  </w:style>
  <w:style w:type="paragraph" w:customStyle="1" w:styleId="259">
    <w:name w:val="冯"/>
    <w:basedOn w:val="1"/>
    <w:link w:val="258"/>
    <w:qFormat/>
    <w:uiPriority w:val="0"/>
    <w:pPr>
      <w:widowControl/>
      <w:adjustRightInd/>
      <w:spacing w:line="360" w:lineRule="auto"/>
      <w:ind w:firstLine="480" w:firstLineChars="200"/>
    </w:pPr>
    <w:rPr>
      <w:rFonts w:ascii="宋体" w:hAnsi="宋体"/>
      <w:color w:val="000000"/>
      <w:kern w:val="0"/>
      <w:sz w:val="24"/>
    </w:rPr>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md"/>
    <w:basedOn w:val="63"/>
    <w:qFormat/>
    <w:uiPriority w:val="0"/>
    <w:rPr>
      <w:rFonts w:ascii="Arial" w:hAnsi="Arial" w:eastAsia="黑体" w:cs="Arial"/>
      <w:snapToGrid w:val="0"/>
      <w:kern w:val="0"/>
      <w:szCs w:val="21"/>
    </w:rPr>
  </w:style>
  <w:style w:type="character" w:customStyle="1" w:styleId="262">
    <w:name w:val="样式5 Char"/>
    <w:qFormat/>
    <w:uiPriority w:val="0"/>
    <w:rPr>
      <w:rFonts w:ascii="仿宋_GB2312" w:hAnsi="仿宋" w:eastAsia="仿宋_GB2312"/>
      <w:kern w:val="2"/>
      <w:sz w:val="24"/>
      <w:szCs w:val="24"/>
    </w:rPr>
  </w:style>
  <w:style w:type="character" w:customStyle="1" w:styleId="263">
    <w:name w:val="表格 Char Char"/>
    <w:qFormat/>
    <w:uiPriority w:val="0"/>
    <w:rPr>
      <w:rFonts w:ascii="宋体" w:hAnsi="宋体" w:eastAsia="宋体"/>
      <w:lang w:bidi="ar-SA"/>
    </w:rPr>
  </w:style>
  <w:style w:type="character" w:customStyle="1" w:styleId="264">
    <w:name w:val="font12gray1"/>
    <w:qFormat/>
    <w:uiPriority w:val="0"/>
    <w:rPr>
      <w:rFonts w:ascii="仿宋_GB2312" w:eastAsia="微软雅黑"/>
      <w:b/>
      <w:spacing w:val="300"/>
      <w:kern w:val="2"/>
      <w:sz w:val="18"/>
      <w:szCs w:val="18"/>
      <w:lang w:val="en-US" w:eastAsia="zh-CN" w:bidi="ar-SA"/>
    </w:rPr>
  </w:style>
  <w:style w:type="character" w:customStyle="1" w:styleId="265">
    <w:name w:val="txt"/>
    <w:qFormat/>
    <w:uiPriority w:val="0"/>
    <w:rPr>
      <w:rFonts w:ascii="仿宋_GB2312" w:eastAsia="微软雅黑"/>
      <w:b/>
      <w:kern w:val="2"/>
      <w:sz w:val="32"/>
      <w:szCs w:val="32"/>
      <w:lang w:val="en-US" w:eastAsia="zh-CN" w:bidi="ar-SA"/>
    </w:rPr>
  </w:style>
  <w:style w:type="character" w:customStyle="1" w:styleId="266">
    <w:name w:val="tw4winJump"/>
    <w:qFormat/>
    <w:uiPriority w:val="0"/>
    <w:rPr>
      <w:rFonts w:ascii="Courier New" w:hAnsi="Courier New" w:cs="Courier New"/>
      <w:color w:val="008080"/>
      <w:lang w:val="en-US" w:eastAsia="zh-CN"/>
    </w:rPr>
  </w:style>
  <w:style w:type="character" w:customStyle="1" w:styleId="267">
    <w:name w:val="Item List Char"/>
    <w:link w:val="268"/>
    <w:qFormat/>
    <w:uiPriority w:val="0"/>
    <w:rPr>
      <w:rFonts w:ascii="Arial"/>
      <w:bCs/>
      <w:sz w:val="21"/>
      <w:szCs w:val="21"/>
      <w:lang w:val="en-US" w:eastAsia="zh-CN" w:bidi="ar-SA"/>
    </w:rPr>
  </w:style>
  <w:style w:type="paragraph" w:customStyle="1" w:styleId="268">
    <w:name w:val="Item List"/>
    <w:link w:val="26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9">
    <w:name w:val="Char Char121"/>
    <w:qFormat/>
    <w:uiPriority w:val="0"/>
    <w:rPr>
      <w:rFonts w:ascii="仿宋_GB2312" w:eastAsia="仿宋_GB2312"/>
      <w:b/>
      <w:bCs/>
      <w:kern w:val="2"/>
      <w:sz w:val="24"/>
      <w:szCs w:val="24"/>
      <w:lang w:val="zh-CN" w:eastAsia="zh-CN" w:bidi="ar-SA"/>
    </w:rPr>
  </w:style>
  <w:style w:type="paragraph" w:customStyle="1" w:styleId="27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1">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272">
    <w:name w:val="4"/>
    <w:basedOn w:val="1"/>
    <w:next w:val="36"/>
    <w:qFormat/>
    <w:uiPriority w:val="0"/>
    <w:pPr>
      <w:spacing w:after="120" w:line="480" w:lineRule="auto"/>
      <w:ind w:left="420" w:leftChars="200"/>
    </w:pPr>
    <w:rPr>
      <w:sz w:val="24"/>
      <w:szCs w:val="20"/>
    </w:rPr>
  </w:style>
  <w:style w:type="paragraph" w:customStyle="1" w:styleId="273">
    <w:name w:val="Char Char1"/>
    <w:basedOn w:val="1"/>
    <w:qFormat/>
    <w:uiPriority w:val="0"/>
    <w:pPr>
      <w:widowControl/>
      <w:spacing w:after="160" w:line="240" w:lineRule="exact"/>
      <w:jc w:val="left"/>
    </w:pPr>
    <w:rPr>
      <w:rFonts w:eastAsia="仿宋_GB2312"/>
      <w:sz w:val="28"/>
    </w:rPr>
  </w:style>
  <w:style w:type="paragraph" w:customStyle="1" w:styleId="27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5">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6">
    <w:name w:val="默认段落样式"/>
    <w:basedOn w:val="217"/>
    <w:qFormat/>
    <w:uiPriority w:val="0"/>
    <w:pPr>
      <w:spacing w:before="0"/>
      <w:ind w:firstLine="480"/>
      <w:outlineLvl w:val="2"/>
    </w:pPr>
    <w:rPr>
      <w:rFonts w:ascii="仿宋_GB2312" w:hAnsi="宋体" w:eastAsia="仿宋_GB2312"/>
      <w:color w:val="000000"/>
      <w:szCs w:val="24"/>
    </w:rPr>
  </w:style>
  <w:style w:type="paragraph" w:customStyle="1" w:styleId="277">
    <w:name w:val="Char Char1 Char Char Char Char Char Char"/>
    <w:basedOn w:val="1"/>
    <w:qFormat/>
    <w:uiPriority w:val="0"/>
    <w:rPr>
      <w:rFonts w:ascii="仿宋_GB2312" w:eastAsia="仿宋_GB2312"/>
      <w:b/>
      <w:sz w:val="32"/>
      <w:szCs w:val="20"/>
    </w:rPr>
  </w:style>
  <w:style w:type="paragraph" w:customStyle="1" w:styleId="27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79">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0">
    <w:name w:val="文本正文 Char"/>
    <w:basedOn w:val="1"/>
    <w:qFormat/>
    <w:uiPriority w:val="0"/>
    <w:pPr>
      <w:spacing w:line="360" w:lineRule="auto"/>
      <w:ind w:firstLine="200" w:firstLineChars="200"/>
    </w:pPr>
    <w:rPr>
      <w:kern w:val="0"/>
      <w:sz w:val="24"/>
      <w:szCs w:val="20"/>
    </w:rPr>
  </w:style>
  <w:style w:type="paragraph" w:customStyle="1" w:styleId="2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文章标题"/>
    <w:next w:val="28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4">
    <w:name w:val="封面公司名"/>
    <w:qFormat/>
    <w:uiPriority w:val="0"/>
    <w:pPr>
      <w:jc w:val="center"/>
    </w:pPr>
    <w:rPr>
      <w:rFonts w:ascii="Arial" w:hAnsi="Arial" w:eastAsia="楷体_GB2312" w:cs="宋体"/>
      <w:bCs/>
      <w:kern w:val="2"/>
      <w:sz w:val="28"/>
      <w:lang w:val="en-US" w:eastAsia="zh-CN" w:bidi="ar-SA"/>
    </w:rPr>
  </w:style>
  <w:style w:type="paragraph" w:customStyle="1" w:styleId="285">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6">
    <w:name w:val="默认段落字体 Para Char Char Char Char Char Char Char"/>
    <w:basedOn w:val="1"/>
    <w:qFormat/>
    <w:uiPriority w:val="0"/>
    <w:rPr>
      <w:rFonts w:eastAsia="仿宋_GB2312"/>
      <w:sz w:val="28"/>
      <w:szCs w:val="20"/>
    </w:rPr>
  </w:style>
  <w:style w:type="paragraph" w:customStyle="1" w:styleId="28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8">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89">
    <w:name w:val="trademark"/>
    <w:qFormat/>
    <w:uiPriority w:val="0"/>
    <w:pPr>
      <w:spacing w:after="60"/>
    </w:pPr>
    <w:rPr>
      <w:rFonts w:ascii="Futura Bk" w:hAnsi="Futura Bk" w:eastAsia="宋体" w:cs="Times New Roman"/>
      <w:sz w:val="15"/>
      <w:lang w:val="en-US" w:eastAsia="en-US" w:bidi="ar-SA"/>
    </w:rPr>
  </w:style>
  <w:style w:type="paragraph" w:customStyle="1" w:styleId="2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默认段落字体 Para Char"/>
    <w:basedOn w:val="1"/>
    <w:qFormat/>
    <w:uiPriority w:val="0"/>
    <w:rPr>
      <w:rFonts w:ascii="Tahoma" w:hAnsi="Tahoma"/>
      <w:sz w:val="24"/>
      <w:szCs w:val="20"/>
    </w:rPr>
  </w:style>
  <w:style w:type="paragraph" w:customStyle="1" w:styleId="29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4">
    <w:name w:val="Char Char Char Char Char Char Char Char Char Char Char Char1 Char"/>
    <w:basedOn w:val="1"/>
    <w:qFormat/>
    <w:uiPriority w:val="0"/>
    <w:rPr>
      <w:rFonts w:ascii="Tahoma" w:hAnsi="Tahoma" w:cs="仿宋_GB2312"/>
      <w:sz w:val="24"/>
      <w:szCs w:val="20"/>
    </w:rPr>
  </w:style>
  <w:style w:type="paragraph" w:customStyle="1" w:styleId="29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9">
    <w:name w:val="Char Char11 Char Char Char Char Char Char Char Char Char"/>
    <w:basedOn w:val="1"/>
    <w:qFormat/>
    <w:uiPriority w:val="0"/>
    <w:pPr>
      <w:spacing w:line="360" w:lineRule="auto"/>
    </w:pPr>
    <w:rPr>
      <w:szCs w:val="20"/>
    </w:rPr>
  </w:style>
  <w:style w:type="paragraph" w:customStyle="1" w:styleId="30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2">
    <w:name w:val="左对齐表格文字"/>
    <w:basedOn w:val="1"/>
    <w:qFormat/>
    <w:uiPriority w:val="0"/>
    <w:pPr>
      <w:adjustRightInd/>
      <w:ind w:firstLine="200" w:firstLineChars="200"/>
      <w:jc w:val="right"/>
    </w:pPr>
  </w:style>
  <w:style w:type="paragraph" w:customStyle="1" w:styleId="303">
    <w:name w:val="Char31"/>
    <w:basedOn w:val="1"/>
    <w:qFormat/>
    <w:uiPriority w:val="0"/>
    <w:pPr>
      <w:adjustRightInd/>
      <w:ind w:firstLine="200" w:firstLineChars="200"/>
    </w:pPr>
    <w:rPr>
      <w:rFonts w:ascii="Tahoma" w:hAnsi="Tahoma"/>
      <w:sz w:val="24"/>
      <w:szCs w:val="20"/>
    </w:rPr>
  </w:style>
  <w:style w:type="paragraph" w:customStyle="1" w:styleId="30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7">
    <w:name w:val="彩色列表 - 强调文字颜色 11"/>
    <w:basedOn w:val="1"/>
    <w:qFormat/>
    <w:uiPriority w:val="0"/>
    <w:pPr>
      <w:adjustRightInd/>
      <w:ind w:firstLine="420" w:firstLineChars="200"/>
    </w:pPr>
    <w:rPr>
      <w:rFonts w:ascii="Calibri" w:hAnsi="Calibri"/>
      <w:szCs w:val="22"/>
    </w:rPr>
  </w:style>
  <w:style w:type="paragraph" w:customStyle="1" w:styleId="30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09">
    <w:name w:val="MM Topic 3"/>
    <w:basedOn w:val="6"/>
    <w:qFormat/>
    <w:uiPriority w:val="0"/>
    <w:pPr>
      <w:numPr>
        <w:numId w:val="4"/>
      </w:numPr>
      <w:tabs>
        <w:tab w:val="left" w:pos="1680"/>
      </w:tabs>
      <w:adjustRightInd/>
    </w:pPr>
  </w:style>
  <w:style w:type="paragraph" w:customStyle="1" w:styleId="310">
    <w:name w:val="Normal0"/>
    <w:qFormat/>
    <w:uiPriority w:val="0"/>
    <w:rPr>
      <w:rFonts w:ascii="Times New Roman" w:hAnsi="Times New Roman" w:eastAsia="宋体" w:cs="Times New Roman"/>
      <w:lang w:val="en-US" w:eastAsia="en-US" w:bidi="ar-SA"/>
    </w:rPr>
  </w:style>
  <w:style w:type="paragraph" w:customStyle="1" w:styleId="311">
    <w:name w:val="Char Char Char Char Char Char Char"/>
    <w:basedOn w:val="1"/>
    <w:qFormat/>
    <w:uiPriority w:val="0"/>
    <w:rPr>
      <w:rFonts w:ascii="仿宋_GB2312" w:eastAsia="仿宋_GB2312"/>
      <w:b/>
      <w:sz w:val="32"/>
      <w:szCs w:val="32"/>
    </w:rPr>
  </w:style>
  <w:style w:type="paragraph" w:customStyle="1" w:styleId="31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8">
    <w:name w:val="Char2"/>
    <w:basedOn w:val="1"/>
    <w:qFormat/>
    <w:uiPriority w:val="0"/>
    <w:rPr>
      <w:rFonts w:ascii="仿宋_GB2312" w:eastAsia="仿宋_GB2312"/>
      <w:b/>
      <w:sz w:val="32"/>
      <w:szCs w:val="32"/>
    </w:rPr>
  </w:style>
  <w:style w:type="paragraph" w:customStyle="1" w:styleId="31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1">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5">
    <w:name w:val="Char Char Char"/>
    <w:basedOn w:val="1"/>
    <w:qFormat/>
    <w:uiPriority w:val="0"/>
    <w:rPr>
      <w:rFonts w:ascii="Tahoma" w:hAnsi="Tahoma"/>
      <w:sz w:val="24"/>
      <w:szCs w:val="20"/>
    </w:rPr>
  </w:style>
  <w:style w:type="paragraph" w:customStyle="1" w:styleId="326">
    <w:name w:val="MM Topic 4"/>
    <w:basedOn w:val="7"/>
    <w:qFormat/>
    <w:uiPriority w:val="0"/>
    <w:pPr>
      <w:numPr>
        <w:numId w:val="4"/>
      </w:numPr>
      <w:tabs>
        <w:tab w:val="left" w:pos="2100"/>
      </w:tabs>
      <w:adjustRightInd/>
    </w:pPr>
    <w:rPr>
      <w:lang w:val="en-US"/>
    </w:rPr>
  </w:style>
  <w:style w:type="paragraph" w:customStyle="1" w:styleId="327">
    <w:name w:val="标准小四"/>
    <w:basedOn w:val="1"/>
    <w:qFormat/>
    <w:uiPriority w:val="0"/>
    <w:pPr>
      <w:spacing w:line="360" w:lineRule="auto"/>
      <w:ind w:firstLine="480" w:firstLineChars="200"/>
    </w:pPr>
    <w:rPr>
      <w:rFonts w:ascii="Arial" w:hAnsi="Arial"/>
      <w:sz w:val="24"/>
      <w:szCs w:val="21"/>
    </w:rPr>
  </w:style>
  <w:style w:type="paragraph" w:customStyle="1" w:styleId="328">
    <w:name w:val="MM Topic 2"/>
    <w:basedOn w:val="5"/>
    <w:qFormat/>
    <w:uiPriority w:val="0"/>
    <w:pPr>
      <w:numPr>
        <w:ilvl w:val="1"/>
        <w:numId w:val="4"/>
      </w:numPr>
    </w:pPr>
    <w:rPr>
      <w:rFonts w:ascii="Arial" w:hAnsi="Arial" w:eastAsia="黑体"/>
      <w:lang w:val="en-US"/>
    </w:rPr>
  </w:style>
  <w:style w:type="paragraph" w:customStyle="1" w:styleId="329">
    <w:name w:val="表格标题2"/>
    <w:basedOn w:val="330"/>
    <w:qFormat/>
    <w:uiPriority w:val="0"/>
    <w:rPr>
      <w:b/>
    </w:rPr>
  </w:style>
  <w:style w:type="paragraph" w:customStyle="1" w:styleId="330">
    <w:name w:val="表格内文"/>
    <w:basedOn w:val="1"/>
    <w:qFormat/>
    <w:uiPriority w:val="0"/>
    <w:pPr>
      <w:adjustRightInd/>
      <w:spacing w:line="360" w:lineRule="auto"/>
    </w:pPr>
    <w:rPr>
      <w:rFonts w:ascii="宋体" w:hAnsi="宋体" w:cs="宋体"/>
      <w:color w:val="000000"/>
      <w:szCs w:val="20"/>
    </w:rPr>
  </w:style>
  <w:style w:type="paragraph" w:customStyle="1" w:styleId="33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3">
    <w:name w:val="Char Char11 Char Char Char Char Char Char Char Char Char1"/>
    <w:basedOn w:val="1"/>
    <w:qFormat/>
    <w:uiPriority w:val="0"/>
    <w:pPr>
      <w:spacing w:line="360" w:lineRule="auto"/>
    </w:pPr>
    <w:rPr>
      <w:szCs w:val="20"/>
    </w:rPr>
  </w:style>
  <w:style w:type="paragraph" w:customStyle="1" w:styleId="334">
    <w:name w:val="Char Char Char Char Char Char Char Char Char Char Char1 Char"/>
    <w:basedOn w:val="1"/>
    <w:qFormat/>
    <w:uiPriority w:val="0"/>
    <w:pPr>
      <w:adjustRightInd/>
    </w:pPr>
    <w:rPr>
      <w:rFonts w:ascii="Tahoma" w:hAnsi="Tahoma"/>
      <w:sz w:val="24"/>
    </w:rPr>
  </w:style>
  <w:style w:type="paragraph" w:customStyle="1" w:styleId="33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6">
    <w:name w:val="a1"/>
    <w:basedOn w:val="1"/>
    <w:qFormat/>
    <w:uiPriority w:val="0"/>
    <w:pPr>
      <w:widowControl/>
      <w:spacing w:line="300" w:lineRule="atLeast"/>
      <w:jc w:val="left"/>
    </w:pPr>
    <w:rPr>
      <w:rFonts w:ascii="宋体" w:hAnsi="宋体"/>
      <w:kern w:val="0"/>
      <w:sz w:val="18"/>
      <w:szCs w:val="20"/>
    </w:rPr>
  </w:style>
  <w:style w:type="paragraph" w:customStyle="1" w:styleId="3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8">
    <w:name w:val="Char"/>
    <w:basedOn w:val="1"/>
    <w:qFormat/>
    <w:uiPriority w:val="0"/>
    <w:rPr>
      <w:rFonts w:ascii="仿宋_GB2312" w:eastAsia="仿宋_GB2312"/>
      <w:b/>
      <w:sz w:val="32"/>
      <w:szCs w:val="32"/>
    </w:rPr>
  </w:style>
  <w:style w:type="paragraph" w:customStyle="1" w:styleId="339">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340">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1">
    <w:name w:val="TOC 标题1"/>
    <w:basedOn w:val="4"/>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3">
    <w:name w:val="Char3 Char Char Char"/>
    <w:basedOn w:val="1"/>
    <w:qFormat/>
    <w:uiPriority w:val="0"/>
    <w:pPr>
      <w:widowControl/>
      <w:adjustRightInd/>
      <w:spacing w:after="160" w:line="240" w:lineRule="exact"/>
      <w:jc w:val="left"/>
    </w:pPr>
    <w:rPr>
      <w:szCs w:val="20"/>
    </w:rPr>
  </w:style>
  <w:style w:type="paragraph" w:customStyle="1" w:styleId="34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4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2">
    <w:name w:val="Char Char1 Char Char1 Char Char1"/>
    <w:basedOn w:val="1"/>
    <w:qFormat/>
    <w:uiPriority w:val="0"/>
    <w:pPr>
      <w:tabs>
        <w:tab w:val="left" w:pos="840"/>
      </w:tabs>
      <w:ind w:left="840" w:hanging="420"/>
    </w:pPr>
    <w:rPr>
      <w:rFonts w:ascii="Tahoma" w:hAnsi="Tahoma"/>
      <w:sz w:val="24"/>
    </w:rPr>
  </w:style>
  <w:style w:type="paragraph" w:customStyle="1" w:styleId="35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4">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5">
    <w:name w:val="默认段落字体 Para Char Char Char Char"/>
    <w:basedOn w:val="1"/>
    <w:qFormat/>
    <w:uiPriority w:val="0"/>
    <w:pPr>
      <w:spacing w:line="360" w:lineRule="auto"/>
    </w:pPr>
    <w:rPr>
      <w:szCs w:val="20"/>
    </w:rPr>
  </w:style>
  <w:style w:type="paragraph" w:customStyle="1" w:styleId="35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0">
    <w:name w:val="正文21"/>
    <w:basedOn w:val="1"/>
    <w:qFormat/>
    <w:uiPriority w:val="0"/>
    <w:pPr>
      <w:adjustRightInd/>
      <w:spacing w:before="156" w:line="360" w:lineRule="auto"/>
      <w:ind w:firstLine="510" w:firstLineChars="200"/>
    </w:pPr>
    <w:rPr>
      <w:sz w:val="24"/>
      <w:szCs w:val="20"/>
    </w:rPr>
  </w:style>
  <w:style w:type="paragraph" w:customStyle="1" w:styleId="361">
    <w:name w:val="列出段落2"/>
    <w:basedOn w:val="1"/>
    <w:qFormat/>
    <w:uiPriority w:val="0"/>
    <w:pPr>
      <w:adjustRightInd/>
      <w:ind w:firstLine="420" w:firstLineChars="200"/>
    </w:pPr>
    <w:rPr>
      <w:rFonts w:ascii="宋体" w:hAnsi="宋体"/>
      <w:sz w:val="24"/>
    </w:rPr>
  </w:style>
  <w:style w:type="paragraph" w:customStyle="1" w:styleId="362">
    <w:name w:val="封面"/>
    <w:basedOn w:val="1"/>
    <w:qFormat/>
    <w:uiPriority w:val="0"/>
    <w:pPr>
      <w:spacing w:line="360" w:lineRule="atLeast"/>
      <w:jc w:val="right"/>
      <w:textAlignment w:val="baseline"/>
    </w:pPr>
    <w:rPr>
      <w:rFonts w:ascii="Symbol" w:hAnsi="Symbol"/>
      <w:kern w:val="0"/>
      <w:szCs w:val="20"/>
    </w:rPr>
  </w:style>
  <w:style w:type="paragraph" w:customStyle="1" w:styleId="363">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6">
    <w:name w:val="Char Char1 Char Char Char Char Char Char1"/>
    <w:basedOn w:val="1"/>
    <w:qFormat/>
    <w:uiPriority w:val="0"/>
    <w:rPr>
      <w:rFonts w:ascii="仿宋_GB2312" w:eastAsia="仿宋_GB2312"/>
      <w:b/>
      <w:sz w:val="32"/>
      <w:szCs w:val="20"/>
    </w:rPr>
  </w:style>
  <w:style w:type="paragraph" w:customStyle="1" w:styleId="36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6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0">
    <w:name w:val="正文（首行缩进2字符）"/>
    <w:basedOn w:val="1"/>
    <w:qFormat/>
    <w:uiPriority w:val="0"/>
    <w:pPr>
      <w:adjustRightInd/>
      <w:spacing w:line="360" w:lineRule="auto"/>
      <w:ind w:firstLine="480" w:firstLineChars="200"/>
    </w:pPr>
    <w:rPr>
      <w:sz w:val="24"/>
      <w:szCs w:val="20"/>
    </w:rPr>
  </w:style>
  <w:style w:type="paragraph" w:customStyle="1" w:styleId="37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2">
    <w:name w:val="表文字"/>
    <w:qFormat/>
    <w:uiPriority w:val="0"/>
    <w:rPr>
      <w:rFonts w:ascii="宋体" w:hAnsi="Times New Roman" w:eastAsia="宋体" w:cs="Times New Roman"/>
      <w:kern w:val="2"/>
      <w:lang w:val="en-US" w:eastAsia="zh-CN" w:bidi="ar-SA"/>
    </w:rPr>
  </w:style>
  <w:style w:type="paragraph" w:customStyle="1" w:styleId="3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6">
    <w:name w:val="有符号正文"/>
    <w:basedOn w:val="1"/>
    <w:qFormat/>
    <w:uiPriority w:val="0"/>
    <w:pPr>
      <w:adjustRightInd/>
      <w:spacing w:line="400" w:lineRule="exact"/>
      <w:ind w:firstLine="200" w:firstLineChars="200"/>
    </w:pPr>
    <w:rPr>
      <w:rFonts w:ascii="Arial" w:hAnsi="Arial"/>
    </w:rPr>
  </w:style>
  <w:style w:type="paragraph" w:customStyle="1" w:styleId="377">
    <w:name w:val="数字标题5"/>
    <w:basedOn w:val="8"/>
    <w:next w:val="1"/>
    <w:qFormat/>
    <w:uiPriority w:val="0"/>
    <w:pPr>
      <w:numPr>
        <w:numId w:val="5"/>
      </w:numPr>
      <w:tabs>
        <w:tab w:val="left" w:pos="1080"/>
      </w:tabs>
    </w:pPr>
  </w:style>
  <w:style w:type="paragraph" w:customStyle="1" w:styleId="378">
    <w:name w:val="Char12"/>
    <w:basedOn w:val="1"/>
    <w:qFormat/>
    <w:uiPriority w:val="0"/>
    <w:rPr>
      <w:rFonts w:ascii="仿宋_GB2312" w:eastAsia="仿宋_GB2312"/>
      <w:b/>
      <w:sz w:val="32"/>
      <w:szCs w:val="32"/>
    </w:rPr>
  </w:style>
  <w:style w:type="paragraph" w:customStyle="1" w:styleId="37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381">
    <w:name w:val="加粗正文"/>
    <w:basedOn w:val="1"/>
    <w:qFormat/>
    <w:uiPriority w:val="0"/>
    <w:pPr>
      <w:adjustRightInd/>
      <w:spacing w:beforeLines="50" w:afterLines="50" w:line="360" w:lineRule="auto"/>
      <w:ind w:firstLine="422" w:firstLineChars="200"/>
    </w:pPr>
    <w:rPr>
      <w:b/>
      <w:bCs/>
      <w:szCs w:val="21"/>
    </w:rPr>
  </w:style>
  <w:style w:type="paragraph" w:customStyle="1" w:styleId="382">
    <w:name w:val="Char Char11 Char Char Char"/>
    <w:basedOn w:val="1"/>
    <w:qFormat/>
    <w:uiPriority w:val="0"/>
    <w:pPr>
      <w:spacing w:line="360" w:lineRule="auto"/>
    </w:pPr>
    <w:rPr>
      <w:szCs w:val="20"/>
    </w:rPr>
  </w:style>
  <w:style w:type="paragraph" w:customStyle="1" w:styleId="3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4">
    <w:name w:val="Char Char111"/>
    <w:basedOn w:val="1"/>
    <w:qFormat/>
    <w:uiPriority w:val="0"/>
    <w:pPr>
      <w:spacing w:line="360" w:lineRule="auto"/>
    </w:pPr>
    <w:rPr>
      <w:szCs w:val="20"/>
    </w:rPr>
  </w:style>
  <w:style w:type="paragraph" w:customStyle="1" w:styleId="385">
    <w:name w:val="文档正文"/>
    <w:basedOn w:val="1"/>
    <w:qFormat/>
    <w:uiPriority w:val="0"/>
    <w:pPr>
      <w:spacing w:line="480" w:lineRule="atLeast"/>
      <w:ind w:firstLine="567"/>
      <w:textAlignment w:val="baseline"/>
    </w:pPr>
    <w:rPr>
      <w:kern w:val="0"/>
      <w:sz w:val="24"/>
      <w:szCs w:val="20"/>
    </w:rPr>
  </w:style>
  <w:style w:type="paragraph" w:customStyle="1" w:styleId="38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Char1 Char Char Char3"/>
    <w:basedOn w:val="1"/>
    <w:qFormat/>
    <w:uiPriority w:val="0"/>
    <w:pPr>
      <w:adjustRightInd/>
      <w:ind w:firstLine="200" w:firstLineChars="200"/>
    </w:pPr>
    <w:rPr>
      <w:rFonts w:ascii="Tahoma" w:hAnsi="Tahoma"/>
      <w:sz w:val="24"/>
      <w:szCs w:val="20"/>
    </w:rPr>
  </w:style>
  <w:style w:type="paragraph" w:customStyle="1" w:styleId="38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1">
    <w:name w:val="Char2 Char Char Char"/>
    <w:basedOn w:val="1"/>
    <w:qFormat/>
    <w:uiPriority w:val="0"/>
    <w:rPr>
      <w:rFonts w:ascii="仿宋_GB2312" w:eastAsia="仿宋_GB2312"/>
      <w:b/>
      <w:sz w:val="32"/>
      <w:szCs w:val="32"/>
    </w:rPr>
  </w:style>
  <w:style w:type="paragraph" w:customStyle="1" w:styleId="3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3">
    <w:name w:val="MM Topic 5"/>
    <w:basedOn w:val="8"/>
    <w:qFormat/>
    <w:uiPriority w:val="0"/>
    <w:pPr>
      <w:numPr>
        <w:numId w:val="4"/>
      </w:numPr>
      <w:tabs>
        <w:tab w:val="left" w:pos="2520"/>
      </w:tabs>
      <w:adjustRightInd/>
    </w:pPr>
  </w:style>
  <w:style w:type="paragraph" w:customStyle="1" w:styleId="39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7">
    <w:name w:val="Char1 Char Char Char2"/>
    <w:basedOn w:val="1"/>
    <w:qFormat/>
    <w:uiPriority w:val="0"/>
    <w:pPr>
      <w:adjustRightInd/>
      <w:ind w:firstLine="200" w:firstLineChars="200"/>
    </w:pPr>
    <w:rPr>
      <w:rFonts w:ascii="Tahoma" w:hAnsi="Tahoma"/>
      <w:sz w:val="24"/>
      <w:szCs w:val="20"/>
    </w:rPr>
  </w:style>
  <w:style w:type="paragraph" w:customStyle="1" w:styleId="398">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99">
    <w:name w:val="Char1 Char Char Char"/>
    <w:basedOn w:val="1"/>
    <w:qFormat/>
    <w:uiPriority w:val="0"/>
    <w:rPr>
      <w:rFonts w:ascii="Tahoma" w:hAnsi="Tahoma"/>
      <w:sz w:val="24"/>
      <w:szCs w:val="20"/>
    </w:rPr>
  </w:style>
  <w:style w:type="paragraph" w:customStyle="1" w:styleId="40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Char2 Char Char Char1"/>
    <w:basedOn w:val="1"/>
    <w:qFormat/>
    <w:uiPriority w:val="0"/>
    <w:rPr>
      <w:rFonts w:ascii="仿宋_GB2312" w:eastAsia="仿宋_GB2312"/>
      <w:b/>
      <w:sz w:val="32"/>
      <w:szCs w:val="32"/>
    </w:rPr>
  </w:style>
  <w:style w:type="paragraph" w:customStyle="1" w:styleId="4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5">
    <w:name w:val="0"/>
    <w:basedOn w:val="1"/>
    <w:qFormat/>
    <w:uiPriority w:val="0"/>
    <w:pPr>
      <w:widowControl/>
    </w:pPr>
    <w:rPr>
      <w:kern w:val="0"/>
      <w:sz w:val="24"/>
      <w:szCs w:val="20"/>
    </w:rPr>
  </w:style>
  <w:style w:type="paragraph" w:customStyle="1" w:styleId="406">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样式 正文文本缩进 + 段前: 2 字符"/>
    <w:basedOn w:val="1"/>
    <w:qFormat/>
    <w:uiPriority w:val="0"/>
    <w:pPr>
      <w:adjustRightInd/>
      <w:ind w:left="420" w:leftChars="200"/>
      <w:jc w:val="left"/>
    </w:pPr>
    <w:rPr>
      <w:sz w:val="28"/>
      <w:szCs w:val="20"/>
      <w:lang w:eastAsia="zh-TW"/>
    </w:rPr>
  </w:style>
  <w:style w:type="paragraph" w:customStyle="1" w:styleId="411">
    <w:name w:val="标书标题2"/>
    <w:basedOn w:val="5"/>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2">
    <w:name w:val="表格"/>
    <w:basedOn w:val="1"/>
    <w:qFormat/>
    <w:uiPriority w:val="0"/>
    <w:pPr>
      <w:snapToGrid w:val="0"/>
      <w:ind w:firstLine="42" w:firstLineChars="21"/>
    </w:pPr>
    <w:rPr>
      <w:rFonts w:ascii="宋体" w:hAnsi="宋体"/>
      <w:kern w:val="0"/>
      <w:sz w:val="20"/>
      <w:szCs w:val="20"/>
    </w:rPr>
  </w:style>
  <w:style w:type="paragraph" w:customStyle="1" w:styleId="41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4">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数字标题6"/>
    <w:basedOn w:val="9"/>
    <w:next w:val="1"/>
    <w:qFormat/>
    <w:uiPriority w:val="0"/>
    <w:pPr>
      <w:numPr>
        <w:numId w:val="5"/>
      </w:numPr>
      <w:tabs>
        <w:tab w:val="left" w:pos="1080"/>
      </w:tabs>
    </w:pPr>
    <w:rPr>
      <w:rFonts w:ascii="Times New Roman" w:hAnsi="Times New Roman" w:eastAsia="宋体"/>
      <w:i/>
    </w:rPr>
  </w:style>
  <w:style w:type="paragraph" w:customStyle="1" w:styleId="4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7">
    <w:name w:val="P1"/>
    <w:basedOn w:val="1"/>
    <w:qFormat/>
    <w:uiPriority w:val="0"/>
    <w:pPr>
      <w:adjustRightInd/>
      <w:spacing w:line="288" w:lineRule="auto"/>
      <w:ind w:firstLine="425" w:firstLineChars="200"/>
    </w:pPr>
  </w:style>
  <w:style w:type="paragraph" w:customStyle="1" w:styleId="41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0">
    <w:name w:val="正文文字 2"/>
    <w:basedOn w:val="421"/>
    <w:next w:val="421"/>
    <w:qFormat/>
    <w:uiPriority w:val="0"/>
    <w:rPr>
      <w:rFonts w:ascii="宋体" w:eastAsia="宋体" w:cs="Times New Roman"/>
      <w:color w:val="auto"/>
    </w:rPr>
  </w:style>
  <w:style w:type="paragraph" w:customStyle="1" w:styleId="4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3">
    <w:name w:val="Char Char4 Char Char"/>
    <w:basedOn w:val="1"/>
    <w:qFormat/>
    <w:uiPriority w:val="0"/>
    <w:pPr>
      <w:widowControl/>
      <w:adjustRightInd/>
      <w:spacing w:after="160" w:line="240" w:lineRule="exact"/>
      <w:jc w:val="left"/>
    </w:pPr>
  </w:style>
  <w:style w:type="paragraph" w:customStyle="1" w:styleId="42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5">
    <w:name w:val="_Style 12"/>
    <w:basedOn w:val="20"/>
    <w:qFormat/>
    <w:uiPriority w:val="0"/>
    <w:pPr>
      <w:snapToGrid w:val="0"/>
      <w:spacing w:line="360" w:lineRule="auto"/>
    </w:pPr>
  </w:style>
  <w:style w:type="paragraph" w:customStyle="1" w:styleId="426">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7">
    <w:name w:val="Char Char1 Char1"/>
    <w:basedOn w:val="1"/>
    <w:qFormat/>
    <w:uiPriority w:val="0"/>
    <w:rPr>
      <w:rFonts w:ascii="仿宋_GB2312" w:eastAsia="仿宋_GB2312"/>
      <w:b/>
      <w:sz w:val="32"/>
      <w:szCs w:val="32"/>
    </w:rPr>
  </w:style>
  <w:style w:type="paragraph" w:customStyle="1" w:styleId="428">
    <w:name w:val="Char2 Char Char"/>
    <w:basedOn w:val="1"/>
    <w:qFormat/>
    <w:uiPriority w:val="0"/>
    <w:pPr>
      <w:adjustRightInd/>
    </w:pPr>
    <w:rPr>
      <w:rFonts w:ascii="Tahoma" w:hAnsi="Tahoma"/>
      <w:sz w:val="24"/>
      <w:szCs w:val="20"/>
    </w:rPr>
  </w:style>
  <w:style w:type="paragraph" w:customStyle="1" w:styleId="42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0">
    <w:name w:val="MM Empty"/>
    <w:basedOn w:val="1"/>
    <w:qFormat/>
    <w:uiPriority w:val="0"/>
    <w:pPr>
      <w:adjustRightInd/>
    </w:pPr>
  </w:style>
  <w:style w:type="paragraph" w:customStyle="1" w:styleId="431">
    <w:name w:val="正文表标题"/>
    <w:next w:val="3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5">
    <w:name w:val="Char2 Char Char1"/>
    <w:basedOn w:val="1"/>
    <w:qFormat/>
    <w:uiPriority w:val="0"/>
    <w:pPr>
      <w:adjustRightInd/>
    </w:pPr>
    <w:rPr>
      <w:rFonts w:ascii="Tahoma" w:hAnsi="Tahoma"/>
      <w:sz w:val="24"/>
      <w:szCs w:val="20"/>
    </w:rPr>
  </w:style>
  <w:style w:type="paragraph" w:customStyle="1" w:styleId="436">
    <w:name w:val="数字标题3"/>
    <w:basedOn w:val="6"/>
    <w:next w:val="1"/>
    <w:qFormat/>
    <w:uiPriority w:val="0"/>
    <w:pPr>
      <w:numPr>
        <w:numId w:val="0"/>
      </w:numPr>
      <w:spacing w:line="240" w:lineRule="auto"/>
    </w:pPr>
    <w:rPr>
      <w:sz w:val="28"/>
      <w:szCs w:val="28"/>
    </w:rPr>
  </w:style>
  <w:style w:type="paragraph" w:customStyle="1" w:styleId="437">
    <w:name w:val="彩色列表 - 强调文字颜色 12"/>
    <w:basedOn w:val="1"/>
    <w:qFormat/>
    <w:uiPriority w:val="0"/>
    <w:pPr>
      <w:adjustRightInd/>
      <w:ind w:firstLine="420" w:firstLineChars="200"/>
    </w:pPr>
    <w:rPr>
      <w:rFonts w:ascii="Calibri" w:hAnsi="Calibri"/>
      <w:szCs w:val="22"/>
    </w:rPr>
  </w:style>
  <w:style w:type="paragraph" w:customStyle="1" w:styleId="438">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39">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0">
    <w:name w:val="正文（标题三）"/>
    <w:basedOn w:val="1"/>
    <w:qFormat/>
    <w:uiPriority w:val="0"/>
    <w:pPr>
      <w:spacing w:line="360" w:lineRule="auto"/>
      <w:ind w:firstLine="200" w:firstLineChars="200"/>
    </w:pPr>
    <w:rPr>
      <w:sz w:val="24"/>
    </w:rPr>
  </w:style>
  <w:style w:type="paragraph" w:customStyle="1" w:styleId="441">
    <w:name w:val="Char Char Char1 Char"/>
    <w:basedOn w:val="1"/>
    <w:qFormat/>
    <w:uiPriority w:val="0"/>
    <w:rPr>
      <w:szCs w:val="20"/>
    </w:rPr>
  </w:style>
  <w:style w:type="paragraph" w:customStyle="1" w:styleId="4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4">
    <w:name w:val="标题五"/>
    <w:basedOn w:val="1"/>
    <w:qFormat/>
    <w:uiPriority w:val="0"/>
    <w:pPr>
      <w:adjustRightInd/>
      <w:spacing w:beforeLines="50" w:line="360" w:lineRule="auto"/>
    </w:pPr>
    <w:rPr>
      <w:b/>
      <w:sz w:val="24"/>
    </w:rPr>
  </w:style>
  <w:style w:type="paragraph" w:customStyle="1" w:styleId="445">
    <w:name w:val="Char Char Char Char Char Char Char Char Char Char Char Char1 Char1"/>
    <w:basedOn w:val="1"/>
    <w:qFormat/>
    <w:uiPriority w:val="0"/>
    <w:rPr>
      <w:rFonts w:ascii="Tahoma" w:hAnsi="Tahoma" w:cs="仿宋_GB2312"/>
      <w:sz w:val="24"/>
      <w:szCs w:val="20"/>
    </w:rPr>
  </w:style>
  <w:style w:type="paragraph" w:customStyle="1" w:styleId="446">
    <w:name w:val="Bulleted List"/>
    <w:basedOn w:val="1"/>
    <w:qFormat/>
    <w:uiPriority w:val="0"/>
    <w:pPr>
      <w:tabs>
        <w:tab w:val="left" w:pos="1260"/>
      </w:tabs>
      <w:adjustRightInd/>
      <w:ind w:left="1260" w:hanging="420"/>
    </w:pPr>
  </w:style>
  <w:style w:type="paragraph" w:customStyle="1" w:styleId="447">
    <w:name w:val="Char Char1 Char Char Char"/>
    <w:basedOn w:val="1"/>
    <w:qFormat/>
    <w:uiPriority w:val="0"/>
    <w:rPr>
      <w:rFonts w:ascii="仿宋_GB2312" w:eastAsia="仿宋_GB2312"/>
      <w:b/>
      <w:sz w:val="32"/>
      <w:szCs w:val="20"/>
    </w:rPr>
  </w:style>
  <w:style w:type="paragraph" w:customStyle="1" w:styleId="4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49">
    <w:name w:val="数字标题2"/>
    <w:basedOn w:val="5"/>
    <w:next w:val="1"/>
    <w:qFormat/>
    <w:uiPriority w:val="0"/>
    <w:pPr>
      <w:numPr>
        <w:ilvl w:val="1"/>
        <w:numId w:val="5"/>
      </w:numPr>
    </w:pPr>
    <w:rPr>
      <w:rFonts w:ascii="Times New Roman" w:eastAsia="宋体"/>
      <w:i/>
      <w:sz w:val="36"/>
      <w:szCs w:val="36"/>
      <w:lang w:val="en-US"/>
    </w:rPr>
  </w:style>
  <w:style w:type="paragraph" w:customStyle="1" w:styleId="450">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1">
    <w:name w:val="Char21"/>
    <w:basedOn w:val="1"/>
    <w:qFormat/>
    <w:uiPriority w:val="0"/>
    <w:pPr>
      <w:adjustRightInd/>
      <w:ind w:firstLine="200" w:firstLineChars="200"/>
    </w:pPr>
    <w:rPr>
      <w:rFonts w:ascii="仿宋_GB2312" w:eastAsia="仿宋_GB2312"/>
      <w:b/>
      <w:sz w:val="32"/>
      <w:szCs w:val="32"/>
    </w:rPr>
  </w:style>
  <w:style w:type="paragraph" w:customStyle="1" w:styleId="45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8">
    <w:name w:val="标书表格字体格式"/>
    <w:next w:val="306"/>
    <w:qFormat/>
    <w:uiPriority w:val="0"/>
    <w:rPr>
      <w:rFonts w:ascii="Times New Roman" w:hAnsi="Times New Roman" w:eastAsia="宋体" w:cs="Times New Roman"/>
      <w:kern w:val="2"/>
      <w:sz w:val="21"/>
      <w:szCs w:val="24"/>
      <w:lang w:val="en-US" w:eastAsia="zh-CN" w:bidi="ar-SA"/>
    </w:rPr>
  </w:style>
  <w:style w:type="paragraph" w:customStyle="1" w:styleId="4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1">
    <w:name w:val="五级条标题"/>
    <w:basedOn w:val="462"/>
    <w:next w:val="347"/>
    <w:qFormat/>
    <w:uiPriority w:val="0"/>
    <w:pPr>
      <w:numPr>
        <w:ilvl w:val="6"/>
      </w:numPr>
      <w:tabs>
        <w:tab w:val="left" w:pos="1260"/>
        <w:tab w:val="left" w:pos="1680"/>
        <w:tab w:val="left" w:pos="2100"/>
        <w:tab w:val="left" w:pos="2520"/>
        <w:tab w:val="left" w:pos="2940"/>
      </w:tabs>
      <w:outlineLvl w:val="6"/>
    </w:pPr>
  </w:style>
  <w:style w:type="paragraph" w:customStyle="1" w:styleId="462">
    <w:name w:val="四级条标题"/>
    <w:basedOn w:val="463"/>
    <w:next w:val="347"/>
    <w:qFormat/>
    <w:uiPriority w:val="0"/>
    <w:pPr>
      <w:numPr>
        <w:ilvl w:val="5"/>
        <w:numId w:val="4"/>
      </w:numPr>
      <w:tabs>
        <w:tab w:val="left" w:pos="1260"/>
        <w:tab w:val="left" w:pos="1680"/>
        <w:tab w:val="left" w:pos="2100"/>
        <w:tab w:val="left" w:pos="2520"/>
      </w:tabs>
      <w:outlineLvl w:val="5"/>
    </w:pPr>
  </w:style>
  <w:style w:type="paragraph" w:customStyle="1" w:styleId="463">
    <w:name w:val="三级条标题"/>
    <w:basedOn w:val="464"/>
    <w:next w:val="347"/>
    <w:qFormat/>
    <w:uiPriority w:val="0"/>
    <w:pPr>
      <w:tabs>
        <w:tab w:val="left" w:pos="1260"/>
        <w:tab w:val="left" w:pos="1680"/>
        <w:tab w:val="left" w:pos="2100"/>
        <w:tab w:val="left" w:pos="2520"/>
      </w:tabs>
      <w:ind w:left="2520"/>
      <w:outlineLvl w:val="4"/>
    </w:pPr>
  </w:style>
  <w:style w:type="paragraph" w:customStyle="1" w:styleId="464">
    <w:name w:val="二级条标题"/>
    <w:basedOn w:val="465"/>
    <w:next w:val="347"/>
    <w:qFormat/>
    <w:uiPriority w:val="0"/>
    <w:pPr>
      <w:tabs>
        <w:tab w:val="left" w:pos="1260"/>
        <w:tab w:val="left" w:pos="1680"/>
        <w:tab w:val="left" w:pos="2100"/>
      </w:tabs>
      <w:ind w:left="0"/>
      <w:outlineLvl w:val="3"/>
    </w:pPr>
  </w:style>
  <w:style w:type="paragraph" w:customStyle="1" w:styleId="465">
    <w:name w:val="一级条标题"/>
    <w:basedOn w:val="466"/>
    <w:next w:val="347"/>
    <w:qFormat/>
    <w:uiPriority w:val="0"/>
    <w:pPr>
      <w:tabs>
        <w:tab w:val="left" w:pos="1260"/>
        <w:tab w:val="left" w:pos="1680"/>
      </w:tabs>
      <w:spacing w:beforeLines="0" w:afterLines="0"/>
      <w:ind w:left="1680"/>
      <w:outlineLvl w:val="2"/>
    </w:pPr>
  </w:style>
  <w:style w:type="paragraph" w:customStyle="1" w:styleId="466">
    <w:name w:val="章标题"/>
    <w:next w:val="3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67">
    <w:name w:val="数字标题4"/>
    <w:basedOn w:val="7"/>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69">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2">
    <w:name w:val="数字标题1"/>
    <w:basedOn w:val="4"/>
    <w:next w:val="1"/>
    <w:qFormat/>
    <w:uiPriority w:val="0"/>
    <w:pPr>
      <w:numPr>
        <w:ilvl w:val="0"/>
        <w:numId w:val="5"/>
      </w:numPr>
      <w:tabs>
        <w:tab w:val="left" w:pos="432"/>
      </w:tabs>
    </w:pPr>
  </w:style>
  <w:style w:type="paragraph" w:customStyle="1" w:styleId="473">
    <w:name w:val="正文 项目2"/>
    <w:basedOn w:val="373"/>
    <w:qFormat/>
    <w:uiPriority w:val="0"/>
    <w:pPr>
      <w:numPr>
        <w:ilvl w:val="0"/>
        <w:numId w:val="6"/>
      </w:numPr>
      <w:tabs>
        <w:tab w:val="clear" w:pos="840"/>
      </w:tabs>
      <w:spacing w:after="0"/>
    </w:pPr>
  </w:style>
  <w:style w:type="paragraph" w:customStyle="1" w:styleId="47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79">
    <w:name w:val="Char Char Char1 Char1"/>
    <w:basedOn w:val="1"/>
    <w:qFormat/>
    <w:uiPriority w:val="0"/>
    <w:rPr>
      <w:szCs w:val="20"/>
    </w:rPr>
  </w:style>
  <w:style w:type="paragraph" w:customStyle="1" w:styleId="480">
    <w:name w:val="Char1 Char Char Char4"/>
    <w:basedOn w:val="1"/>
    <w:qFormat/>
    <w:uiPriority w:val="0"/>
    <w:pPr>
      <w:adjustRightInd/>
      <w:ind w:firstLine="200" w:firstLineChars="200"/>
    </w:pPr>
    <w:rPr>
      <w:rFonts w:ascii="Tahoma" w:hAnsi="Tahoma"/>
      <w:sz w:val="24"/>
      <w:szCs w:val="20"/>
    </w:rPr>
  </w:style>
  <w:style w:type="paragraph" w:customStyle="1" w:styleId="481">
    <w:name w:val="TOC 标题2"/>
    <w:basedOn w:val="4"/>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9">
    <w:name w:val="Char Char11 Char Char Char1"/>
    <w:basedOn w:val="1"/>
    <w:qFormat/>
    <w:uiPriority w:val="0"/>
    <w:pPr>
      <w:spacing w:line="360" w:lineRule="auto"/>
    </w:pPr>
    <w:rPr>
      <w:szCs w:val="20"/>
    </w:rPr>
  </w:style>
  <w:style w:type="paragraph" w:customStyle="1" w:styleId="4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Char Char Char Char Char Char Char Char"/>
    <w:basedOn w:val="1"/>
    <w:qFormat/>
    <w:uiPriority w:val="0"/>
    <w:pPr>
      <w:tabs>
        <w:tab w:val="left" w:pos="360"/>
      </w:tabs>
    </w:pPr>
    <w:rPr>
      <w:sz w:val="24"/>
      <w:szCs w:val="20"/>
    </w:rPr>
  </w:style>
  <w:style w:type="paragraph" w:customStyle="1" w:styleId="493">
    <w:name w:val="表格（小）"/>
    <w:basedOn w:val="1"/>
    <w:qFormat/>
    <w:uiPriority w:val="0"/>
    <w:pPr>
      <w:adjustRightInd/>
      <w:snapToGrid w:val="0"/>
      <w:spacing w:line="300" w:lineRule="auto"/>
    </w:pPr>
    <w:rPr>
      <w:rFonts w:eastAsia="仿宋"/>
      <w:szCs w:val="21"/>
    </w:rPr>
  </w:style>
  <w:style w:type="paragraph" w:customStyle="1" w:styleId="49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6">
    <w:name w:val="List Paragraph1"/>
    <w:basedOn w:val="1"/>
    <w:qFormat/>
    <w:uiPriority w:val="34"/>
    <w:pPr>
      <w:spacing w:line="360" w:lineRule="auto"/>
      <w:ind w:firstLine="200" w:firstLineChars="200"/>
    </w:pPr>
    <w:rPr>
      <w:rFonts w:eastAsia="楷体_GB2312" w:cs="Lucida Sans"/>
      <w:sz w:val="24"/>
    </w:rPr>
  </w:style>
  <w:style w:type="paragraph" w:customStyle="1" w:styleId="49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Table Text"/>
    <w:basedOn w:val="1"/>
    <w:qFormat/>
    <w:uiPriority w:val="0"/>
    <w:pPr>
      <w:widowControl/>
      <w:spacing w:before="60" w:after="60"/>
      <w:jc w:val="left"/>
    </w:pPr>
    <w:rPr>
      <w:kern w:val="0"/>
      <w:sz w:val="24"/>
    </w:rPr>
  </w:style>
  <w:style w:type="paragraph" w:customStyle="1" w:styleId="501">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2">
    <w:name w:val="Char23"/>
    <w:basedOn w:val="1"/>
    <w:qFormat/>
    <w:uiPriority w:val="0"/>
    <w:rPr>
      <w:rFonts w:ascii="仿宋_GB2312" w:eastAsia="仿宋_GB2312"/>
      <w:b/>
      <w:sz w:val="32"/>
      <w:szCs w:val="32"/>
    </w:rPr>
  </w:style>
  <w:style w:type="paragraph" w:styleId="503">
    <w:name w:val="List Paragraph"/>
    <w:basedOn w:val="1"/>
    <w:qFormat/>
    <w:uiPriority w:val="34"/>
    <w:pPr>
      <w:spacing w:line="360" w:lineRule="auto"/>
      <w:ind w:firstLine="200" w:firstLineChars="200"/>
    </w:pPr>
    <w:rPr>
      <w:rFonts w:eastAsia="楷体_GB2312" w:cs="Lucida Sans"/>
      <w:sz w:val="24"/>
    </w:rPr>
  </w:style>
  <w:style w:type="paragraph" w:customStyle="1" w:styleId="504">
    <w:name w:val="Char Char Char Char Char Char Char Char1"/>
    <w:basedOn w:val="1"/>
    <w:qFormat/>
    <w:uiPriority w:val="0"/>
    <w:pPr>
      <w:tabs>
        <w:tab w:val="left" w:pos="360"/>
      </w:tabs>
    </w:pPr>
    <w:rPr>
      <w:sz w:val="24"/>
      <w:szCs w:val="20"/>
    </w:rPr>
  </w:style>
  <w:style w:type="paragraph" w:customStyle="1" w:styleId="5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4"/>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qFormat/>
    <w:uiPriority w:val="0"/>
    <w:pPr>
      <w:suppressAutoHyphens/>
      <w:adjustRightInd/>
      <w:ind w:firstLine="420"/>
    </w:pPr>
    <w:rPr>
      <w:kern w:val="1"/>
      <w:szCs w:val="20"/>
    </w:rPr>
  </w:style>
  <w:style w:type="paragraph" w:customStyle="1" w:styleId="51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qFormat/>
    <w:uiPriority w:val="0"/>
    <w:pPr>
      <w:adjustRightInd/>
      <w:spacing w:line="360" w:lineRule="auto"/>
    </w:pPr>
    <w:rPr>
      <w:rFonts w:ascii="宋体" w:hAnsi="宋体"/>
      <w:szCs w:val="20"/>
    </w:rPr>
  </w:style>
  <w:style w:type="paragraph" w:customStyle="1" w:styleId="516">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qFormat/>
    <w:uiPriority w:val="0"/>
    <w:pPr>
      <w:tabs>
        <w:tab w:val="left" w:pos="840"/>
      </w:tabs>
      <w:adjustRightInd/>
      <w:ind w:left="840" w:hanging="420"/>
    </w:pPr>
  </w:style>
  <w:style w:type="paragraph" w:customStyle="1" w:styleId="51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qFormat/>
    <w:uiPriority w:val="0"/>
    <w:pPr>
      <w:adjustRightInd/>
      <w:spacing w:line="360" w:lineRule="auto"/>
      <w:jc w:val="center"/>
    </w:pPr>
    <w:rPr>
      <w:sz w:val="24"/>
    </w:rPr>
  </w:style>
  <w:style w:type="paragraph" w:customStyle="1" w:styleId="521">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2">
    <w:name w:val="Char Char14"/>
    <w:basedOn w:val="1"/>
    <w:qFormat/>
    <w:uiPriority w:val="0"/>
    <w:pPr>
      <w:spacing w:line="360" w:lineRule="auto"/>
    </w:pPr>
    <w:rPr>
      <w:rFonts w:ascii="Tahoma" w:hAnsi="Tahoma"/>
      <w:sz w:val="24"/>
      <w:szCs w:val="20"/>
    </w:rPr>
  </w:style>
  <w:style w:type="paragraph" w:customStyle="1" w:styleId="52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qFormat/>
    <w:uiPriority w:val="0"/>
    <w:pPr>
      <w:widowControl/>
      <w:adjustRightInd/>
      <w:spacing w:after="160" w:line="240" w:lineRule="exact"/>
      <w:jc w:val="left"/>
    </w:pPr>
    <w:rPr>
      <w:szCs w:val="20"/>
    </w:rPr>
  </w:style>
  <w:style w:type="paragraph" w:customStyle="1" w:styleId="526">
    <w:name w:val="Char Char Char Char Char Char Char Char Char Char"/>
    <w:basedOn w:val="1"/>
    <w:qFormat/>
    <w:uiPriority w:val="0"/>
    <w:rPr>
      <w:rFonts w:ascii="仿宋_GB2312" w:eastAsia="仿宋_GB2312"/>
      <w:b/>
      <w:sz w:val="32"/>
      <w:szCs w:val="32"/>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qFormat/>
    <w:uiPriority w:val="0"/>
    <w:pPr>
      <w:adjustRightInd/>
      <w:spacing w:line="300" w:lineRule="auto"/>
      <w:jc w:val="center"/>
    </w:pPr>
  </w:style>
  <w:style w:type="paragraph" w:customStyle="1" w:styleId="530">
    <w:name w:val="Char5"/>
    <w:basedOn w:val="1"/>
    <w:qFormat/>
    <w:uiPriority w:val="0"/>
    <w:rPr>
      <w:rFonts w:ascii="仿宋_GB2312" w:eastAsia="仿宋_GB2312"/>
      <w:b/>
      <w:sz w:val="32"/>
      <w:szCs w:val="32"/>
    </w:rPr>
  </w:style>
  <w:style w:type="paragraph" w:customStyle="1" w:styleId="53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4"/>
    <w:qFormat/>
    <w:uiPriority w:val="0"/>
    <w:pPr>
      <w:tabs>
        <w:tab w:val="left" w:pos="432"/>
        <w:tab w:val="left" w:pos="840"/>
      </w:tabs>
      <w:ind w:left="840" w:hanging="420"/>
    </w:pPr>
  </w:style>
  <w:style w:type="paragraph" w:customStyle="1" w:styleId="53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1">
    <w:name w:val="列表内容"/>
    <w:basedOn w:val="1"/>
    <w:next w:val="1"/>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qFormat/>
    <w:uiPriority w:val="0"/>
    <w:pPr>
      <w:adjustRightInd/>
      <w:ind w:firstLine="200" w:firstLineChars="200"/>
    </w:pPr>
    <w:rPr>
      <w:rFonts w:ascii="Tahoma" w:hAnsi="Tahoma"/>
      <w:sz w:val="24"/>
      <w:szCs w:val="20"/>
    </w:rPr>
  </w:style>
  <w:style w:type="paragraph" w:customStyle="1" w:styleId="546">
    <w:name w:val="图中文字"/>
    <w:basedOn w:val="1"/>
    <w:qFormat/>
    <w:uiPriority w:val="0"/>
    <w:pPr>
      <w:snapToGrid w:val="0"/>
      <w:spacing w:line="0" w:lineRule="atLeast"/>
      <w:ind w:firstLine="200" w:firstLineChars="200"/>
      <w:jc w:val="center"/>
    </w:pPr>
    <w:rPr>
      <w:sz w:val="24"/>
      <w:szCs w:val="20"/>
    </w:rPr>
  </w:style>
  <w:style w:type="paragraph" w:customStyle="1" w:styleId="547">
    <w:name w:val="正文段"/>
    <w:basedOn w:val="1"/>
    <w:qFormat/>
    <w:uiPriority w:val="0"/>
    <w:pPr>
      <w:widowControl/>
      <w:snapToGrid w:val="0"/>
      <w:spacing w:afterLines="50"/>
      <w:ind w:firstLine="200" w:firstLineChars="200"/>
    </w:pPr>
    <w:rPr>
      <w:kern w:val="0"/>
      <w:sz w:val="24"/>
      <w:szCs w:val="20"/>
    </w:rPr>
  </w:style>
  <w:style w:type="paragraph" w:customStyle="1" w:styleId="5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qFormat/>
    <w:uiPriority w:val="0"/>
    <w:rPr>
      <w:rFonts w:ascii="仿宋_GB2312" w:eastAsia="仿宋_GB2312"/>
      <w:b/>
      <w:sz w:val="32"/>
      <w:szCs w:val="32"/>
    </w:rPr>
  </w:style>
  <w:style w:type="paragraph" w:customStyle="1" w:styleId="555">
    <w:name w:val="注释"/>
    <w:basedOn w:val="1"/>
    <w:qFormat/>
    <w:uiPriority w:val="0"/>
    <w:pPr>
      <w:adjustRightInd/>
      <w:spacing w:line="360" w:lineRule="auto"/>
      <w:ind w:firstLine="480"/>
    </w:pPr>
    <w:rPr>
      <w:sz w:val="24"/>
    </w:rPr>
  </w:style>
  <w:style w:type="paragraph" w:customStyle="1" w:styleId="55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qFormat/>
    <w:uiPriority w:val="0"/>
    <w:pPr>
      <w:adjustRightInd/>
      <w:spacing w:line="360" w:lineRule="auto"/>
      <w:ind w:firstLine="480"/>
    </w:pPr>
    <w:rPr>
      <w:rFonts w:cs="宋体"/>
      <w:sz w:val="24"/>
      <w:szCs w:val="20"/>
    </w:rPr>
  </w:style>
  <w:style w:type="paragraph" w:customStyle="1" w:styleId="5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69"/>
    <w:next w:val="1"/>
    <w:qFormat/>
    <w:uiPriority w:val="0"/>
    <w:pPr>
      <w:spacing w:afterLines="50"/>
      <w:jc w:val="left"/>
      <w:outlineLvl w:val="3"/>
    </w:pPr>
    <w:rPr>
      <w:sz w:val="24"/>
      <w:szCs w:val="24"/>
    </w:rPr>
  </w:style>
  <w:style w:type="paragraph" w:customStyle="1" w:styleId="56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qFormat/>
    <w:uiPriority w:val="0"/>
    <w:pPr>
      <w:adjustRightInd/>
      <w:spacing w:line="360" w:lineRule="auto"/>
    </w:pPr>
    <w:rPr>
      <w:sz w:val="24"/>
    </w:rPr>
  </w:style>
  <w:style w:type="paragraph" w:customStyle="1" w:styleId="566">
    <w:name w:val="Char Char1 Char Char Char1"/>
    <w:basedOn w:val="1"/>
    <w:qFormat/>
    <w:uiPriority w:val="0"/>
    <w:rPr>
      <w:rFonts w:ascii="仿宋_GB2312" w:eastAsia="仿宋_GB2312"/>
      <w:b/>
      <w:sz w:val="32"/>
      <w:szCs w:val="32"/>
    </w:rPr>
  </w:style>
  <w:style w:type="paragraph" w:customStyle="1" w:styleId="56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4"/>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5"/>
    <w:qFormat/>
    <w:uiPriority w:val="0"/>
    <w:pPr>
      <w:snapToGrid w:val="0"/>
      <w:spacing w:line="360" w:lineRule="auto"/>
    </w:pPr>
    <w:rPr>
      <w:rFonts w:ascii="宋体"/>
      <w:b/>
      <w:sz w:val="24"/>
      <w:szCs w:val="20"/>
    </w:rPr>
  </w:style>
  <w:style w:type="paragraph" w:customStyle="1" w:styleId="5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qFormat/>
    <w:uiPriority w:val="0"/>
    <w:pPr>
      <w:ind w:left="0"/>
    </w:pPr>
  </w:style>
  <w:style w:type="paragraph" w:customStyle="1" w:styleId="5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qFormat/>
    <w:uiPriority w:val="0"/>
    <w:pPr>
      <w:adjustRightInd/>
    </w:pPr>
    <w:rPr>
      <w:szCs w:val="20"/>
    </w:rPr>
  </w:style>
  <w:style w:type="paragraph" w:customStyle="1" w:styleId="57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5"/>
    <w:qFormat/>
    <w:uiPriority w:val="0"/>
    <w:pPr>
      <w:spacing w:beforeLines="100"/>
      <w:jc w:val="left"/>
    </w:pPr>
  </w:style>
  <w:style w:type="paragraph" w:customStyle="1" w:styleId="579">
    <w:name w:val="首行缩进"/>
    <w:basedOn w:val="1"/>
    <w:qFormat/>
    <w:uiPriority w:val="0"/>
    <w:pPr>
      <w:spacing w:line="360" w:lineRule="auto"/>
      <w:ind w:firstLine="480" w:firstLineChars="200"/>
    </w:pPr>
    <w:rPr>
      <w:rFonts w:ascii="宋体"/>
      <w:sz w:val="24"/>
      <w:szCs w:val="20"/>
    </w:rPr>
  </w:style>
  <w:style w:type="paragraph" w:customStyle="1" w:styleId="5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7"/>
    <w:qFormat/>
    <w:uiPriority w:val="0"/>
    <w:pPr>
      <w:widowControl/>
      <w:jc w:val="left"/>
    </w:pPr>
    <w:rPr>
      <w:rFonts w:cs="宋体"/>
      <w:sz w:val="24"/>
      <w:szCs w:val="20"/>
    </w:rPr>
  </w:style>
  <w:style w:type="paragraph" w:customStyle="1" w:styleId="58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qFormat/>
    <w:uiPriority w:val="0"/>
    <w:pPr>
      <w:widowControl/>
      <w:adjustRightInd/>
    </w:pPr>
    <w:rPr>
      <w:kern w:val="0"/>
      <w:szCs w:val="21"/>
    </w:rPr>
  </w:style>
  <w:style w:type="paragraph" w:customStyle="1" w:styleId="594">
    <w:name w:val="修订1"/>
    <w:qFormat/>
    <w:uiPriority w:val="0"/>
    <w:rPr>
      <w:rFonts w:ascii="Times New Roman" w:hAnsi="Times New Roman" w:eastAsia="宋体" w:cs="Times New Roman"/>
      <w:kern w:val="2"/>
      <w:sz w:val="21"/>
      <w:lang w:val="en-US" w:eastAsia="zh-CN" w:bidi="ar-SA"/>
    </w:rPr>
  </w:style>
  <w:style w:type="paragraph" w:customStyle="1" w:styleId="5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qFormat/>
    <w:uiPriority w:val="0"/>
    <w:pPr>
      <w:widowControl/>
      <w:spacing w:after="160" w:line="240" w:lineRule="exact"/>
      <w:jc w:val="left"/>
    </w:pPr>
    <w:rPr>
      <w:rFonts w:eastAsia="仿宋_GB2312"/>
      <w:sz w:val="28"/>
    </w:rPr>
  </w:style>
  <w:style w:type="paragraph" w:customStyle="1" w:styleId="5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qFormat/>
    <w:uiPriority w:val="0"/>
    <w:pPr>
      <w:spacing w:line="360" w:lineRule="auto"/>
      <w:ind w:firstLine="480" w:firstLineChars="200"/>
    </w:pPr>
    <w:rPr>
      <w:rFonts w:hAnsi="宋体"/>
      <w:sz w:val="24"/>
      <w:szCs w:val="20"/>
    </w:rPr>
  </w:style>
  <w:style w:type="paragraph" w:customStyle="1" w:styleId="601">
    <w:name w:val="CM14"/>
    <w:basedOn w:val="421"/>
    <w:next w:val="421"/>
    <w:qFormat/>
    <w:uiPriority w:val="0"/>
    <w:pPr>
      <w:spacing w:after="68"/>
    </w:pPr>
    <w:rPr>
      <w:rFonts w:ascii="FHLHE E+ Futura Bk" w:eastAsia="FHLHE E+ Futura Bk" w:cs="Times New Roman"/>
      <w:color w:val="auto"/>
    </w:rPr>
  </w:style>
  <w:style w:type="paragraph" w:customStyle="1" w:styleId="602">
    <w:name w:val="Char Char Char Char2"/>
    <w:basedOn w:val="1"/>
    <w:qFormat/>
    <w:uiPriority w:val="0"/>
    <w:rPr>
      <w:rFonts w:ascii="Tahoma" w:hAnsi="Tahoma"/>
      <w:sz w:val="24"/>
      <w:szCs w:val="20"/>
    </w:rPr>
  </w:style>
  <w:style w:type="paragraph" w:customStyle="1" w:styleId="603">
    <w:name w:val="Char11"/>
    <w:basedOn w:val="1"/>
    <w:qFormat/>
    <w:uiPriority w:val="0"/>
    <w:pPr>
      <w:tabs>
        <w:tab w:val="left" w:pos="432"/>
      </w:tabs>
      <w:adjustRightInd/>
      <w:spacing w:beforeLines="50" w:afterLines="50"/>
      <w:ind w:left="432" w:hanging="432" w:firstLineChars="200"/>
    </w:pPr>
    <w:rPr>
      <w:sz w:val="24"/>
    </w:rPr>
  </w:style>
  <w:style w:type="paragraph" w:customStyle="1" w:styleId="604">
    <w:name w:val="样式1 + (中宋体"/>
    <w:basedOn w:val="48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0"/>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1">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qFormat/>
    <w:uiPriority w:val="0"/>
    <w:pPr>
      <w:adjustRightInd/>
      <w:ind w:firstLine="200" w:firstLineChars="200"/>
    </w:pPr>
    <w:rPr>
      <w:rFonts w:ascii="Tahoma" w:hAnsi="Tahoma"/>
      <w:sz w:val="24"/>
      <w:szCs w:val="20"/>
    </w:rPr>
  </w:style>
  <w:style w:type="paragraph" w:customStyle="1" w:styleId="6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qFormat/>
    <w:uiPriority w:val="0"/>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索引 11"/>
    <w:basedOn w:val="1"/>
    <w:next w:val="1"/>
    <w:qFormat/>
    <w:uiPriority w:val="0"/>
    <w:pPr>
      <w:adjustRightInd/>
      <w:spacing w:line="360" w:lineRule="auto"/>
    </w:pPr>
    <w:rPr>
      <w:rFonts w:ascii="仿宋_GB2312" w:eastAsia="仿宋_GB2312"/>
      <w:sz w:val="24"/>
      <w:szCs w:val="20"/>
    </w:rPr>
  </w:style>
  <w:style w:type="character" w:customStyle="1" w:styleId="623">
    <w:name w:val="正文缩进 字符"/>
    <w:qFormat/>
    <w:uiPriority w:val="0"/>
    <w:rPr>
      <w:rFonts w:ascii="宋体" w:eastAsia="宋体"/>
      <w:snapToGrid w:val="0"/>
      <w:color w:val="000000"/>
      <w:kern w:val="28"/>
      <w:sz w:val="28"/>
      <w:lang w:val="en-US" w:eastAsia="zh-CN" w:bidi="ar-SA"/>
    </w:rPr>
  </w:style>
  <w:style w:type="character" w:customStyle="1" w:styleId="624">
    <w:name w:val="纯文本 字符"/>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qFormat/>
    <w:uiPriority w:val="0"/>
    <w:rPr>
      <w:rFonts w:ascii="宋体" w:hAnsi="宋体"/>
      <w:kern w:val="2"/>
      <w:sz w:val="24"/>
      <w:szCs w:val="24"/>
    </w:rPr>
  </w:style>
  <w:style w:type="character" w:customStyle="1" w:styleId="626">
    <w:name w:val="bookmark-item"/>
    <w:qFormat/>
    <w:uiPriority w:val="0"/>
    <w:rPr>
      <w:rFonts w:ascii="Arial" w:hAnsi="Arial" w:eastAsia="黑体" w:cs="Arial"/>
      <w:snapToGrid/>
      <w:kern w:val="0"/>
      <w:szCs w:val="21"/>
    </w:rPr>
  </w:style>
  <w:style w:type="character" w:customStyle="1" w:styleId="627">
    <w:name w:val="fontstyle01"/>
    <w:qFormat/>
    <w:uiPriority w:val="0"/>
    <w:rPr>
      <w:rFonts w:hint="eastAsia" w:ascii="宋体" w:hAnsi="宋体" w:eastAsia="宋体" w:cs="Arial"/>
      <w:snapToGrid/>
      <w:color w:val="000000"/>
      <w:kern w:val="0"/>
      <w:sz w:val="36"/>
      <w:szCs w:val="36"/>
    </w:rPr>
  </w:style>
  <w:style w:type="paragraph" w:customStyle="1" w:styleId="628">
    <w:name w:val="[Normal]"/>
    <w:qFormat/>
    <w:uiPriority w:val="0"/>
    <w:rPr>
      <w:rFonts w:ascii="宋体" w:hAnsi="宋体" w:eastAsia="宋体" w:cs="Times New Roman"/>
      <w:sz w:val="24"/>
      <w:szCs w:val="22"/>
      <w:lang w:val="zh-CN" w:eastAsia="zh-CN" w:bidi="ar-SA"/>
    </w:rPr>
  </w:style>
  <w:style w:type="table" w:customStyle="1" w:styleId="629">
    <w:name w:val="网格型3"/>
    <w:basedOn w:val="6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30">
    <w:name w:val="正文360首行缩进"/>
    <w:basedOn w:val="1"/>
    <w:qFormat/>
    <w:uiPriority w:val="0"/>
    <w:pPr>
      <w:widowControl/>
      <w:spacing w:before="120" w:line="300" w:lineRule="auto"/>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75B24-3CA9-4834-9B60-92F17838ED9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89</Pages>
  <Words>9737</Words>
  <Characters>55503</Characters>
  <Lines>462</Lines>
  <Paragraphs>130</Paragraphs>
  <TotalTime>0</TotalTime>
  <ScaleCrop>false</ScaleCrop>
  <LinksUpToDate>false</LinksUpToDate>
  <CharactersWithSpaces>65110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dell</cp:lastModifiedBy>
  <cp:lastPrinted>2021-04-01T06:48:00Z</cp:lastPrinted>
  <dcterms:modified xsi:type="dcterms:W3CDTF">2021-07-06T06:39:12Z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68FDBACD84354B379CEAD81C0902CAC5</vt:lpwstr>
  </property>
</Properties>
</file>