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cs="宋体"/>
          <w:b/>
          <w:bCs/>
          <w:sz w:val="36"/>
          <w:szCs w:val="36"/>
          <w:highlight w:val="none"/>
        </w:rPr>
      </w:pPr>
      <w:bookmarkStart w:id="65" w:name="_GoBack"/>
      <w:bookmarkEnd w:id="65"/>
      <w:r>
        <w:rPr>
          <w:rFonts w:hint="eastAsia" w:ascii="宋体" w:hAnsi="宋体" w:eastAsia="宋体" w:cs="宋体"/>
          <w:b/>
          <w:sz w:val="44"/>
          <w:szCs w:val="44"/>
          <w:highlight w:val="none"/>
        </w:rPr>
        <w:t>浙江省公安厅机场公安局立体防控提升工程项目（二级作战平台及安全交换系统）</w:t>
      </w:r>
    </w:p>
    <w:p>
      <w:pPr>
        <w:spacing w:before="240" w:beforeLines="100"/>
        <w:ind w:right="-108" w:firstLine="2570" w:firstLineChars="8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项目编号：DDZX2019-GK-070</w:t>
      </w:r>
    </w:p>
    <w:p>
      <w:pPr>
        <w:pStyle w:val="2"/>
        <w:rPr>
          <w:rFonts w:hint="eastAsia" w:eastAsia="宋体" w:cs="宋体"/>
          <w:highlight w:val="none"/>
          <w:lang w:val="en-US"/>
        </w:rPr>
      </w:pPr>
    </w:p>
    <w:p>
      <w:pPr>
        <w:pStyle w:val="2"/>
        <w:rPr>
          <w:rFonts w:hint="eastAsia" w:eastAsia="宋体" w:cs="宋体"/>
          <w:highlight w:val="none"/>
        </w:rPr>
      </w:pPr>
    </w:p>
    <w:p>
      <w:pPr>
        <w:pStyle w:val="2"/>
        <w:jc w:val="center"/>
        <w:rPr>
          <w:rFonts w:hint="eastAsia" w:eastAsia="宋体" w:cs="宋体"/>
          <w:highlight w:val="none"/>
        </w:rPr>
      </w:pP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公</w:t>
      </w: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开</w:t>
      </w: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招</w:t>
      </w:r>
      <w:r>
        <w:rPr>
          <w:rFonts w:hint="eastAsia" w:ascii="宋体" w:hAnsi="宋体" w:eastAsia="宋体" w:cs="宋体"/>
          <w:b/>
          <w:spacing w:val="40"/>
          <w:sz w:val="72"/>
          <w:szCs w:val="72"/>
          <w:highlight w:val="none"/>
        </w:rPr>
        <w:tab/>
      </w: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标</w:t>
      </w: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文</w:t>
      </w:r>
    </w:p>
    <w:p>
      <w:pPr>
        <w:spacing w:after="100" w:afterAutospacing="1"/>
        <w:ind w:right="-108"/>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件</w:t>
      </w:r>
    </w:p>
    <w:p>
      <w:pPr>
        <w:pStyle w:val="2"/>
        <w:rPr>
          <w:rFonts w:hint="eastAsia" w:eastAsia="宋体" w:cs="宋体"/>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spacing w:line="360" w:lineRule="auto"/>
        <w:ind w:right="532" w:firstLine="2108" w:firstLineChars="7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招标单位：浙江省公安厅机场公安局</w:t>
      </w:r>
    </w:p>
    <w:p>
      <w:pPr>
        <w:spacing w:line="360" w:lineRule="auto"/>
        <w:ind w:right="532"/>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招标代理单位：大地工程咨询有限公司</w:t>
      </w:r>
    </w:p>
    <w:p>
      <w:pPr>
        <w:spacing w:line="360" w:lineRule="auto"/>
        <w:ind w:right="-108" w:firstLine="3614" w:firstLineChars="1200"/>
        <w:jc w:val="left"/>
        <w:rPr>
          <w:rFonts w:hint="eastAsia" w:ascii="宋体" w:hAnsi="宋体" w:eastAsia="宋体" w:cs="宋体"/>
          <w:b/>
          <w:bCs/>
          <w:sz w:val="28"/>
          <w:szCs w:val="28"/>
          <w:highlight w:val="none"/>
        </w:rPr>
      </w:pPr>
      <w:r>
        <w:rPr>
          <w:rFonts w:hint="eastAsia" w:ascii="宋体" w:hAnsi="宋体" w:eastAsia="宋体" w:cs="宋体"/>
          <w:b/>
          <w:bCs/>
          <w:sz w:val="30"/>
          <w:szCs w:val="30"/>
          <w:highlight w:val="none"/>
        </w:rPr>
        <w:t>二○一九年</w:t>
      </w:r>
      <w:r>
        <w:rPr>
          <w:rFonts w:hint="eastAsia" w:ascii="宋体" w:hAnsi="宋体" w:eastAsia="宋体" w:cs="宋体"/>
          <w:b/>
          <w:bCs/>
          <w:sz w:val="30"/>
          <w:szCs w:val="30"/>
          <w:highlight w:val="none"/>
          <w:lang w:val="en-US" w:eastAsia="zh-CN"/>
        </w:rPr>
        <w:t>八</w:t>
      </w:r>
      <w:r>
        <w:rPr>
          <w:rFonts w:hint="eastAsia" w:ascii="宋体" w:hAnsi="宋体" w:eastAsia="宋体" w:cs="宋体"/>
          <w:b/>
          <w:bCs/>
          <w:sz w:val="30"/>
          <w:szCs w:val="30"/>
          <w:highlight w:val="none"/>
        </w:rPr>
        <w:t>月</w:t>
      </w:r>
    </w:p>
    <w:p>
      <w:pPr>
        <w:jc w:val="left"/>
        <w:rPr>
          <w:rFonts w:hint="eastAsia" w:ascii="宋体" w:hAnsi="宋体" w:eastAsia="宋体" w:cs="宋体"/>
          <w:b/>
          <w:bCs/>
          <w:sz w:val="28"/>
          <w:szCs w:val="28"/>
          <w:highlight w:val="none"/>
        </w:rPr>
        <w:sectPr>
          <w:headerReference r:id="rId5" w:type="first"/>
          <w:headerReference r:id="rId3" w:type="default"/>
          <w:footerReference r:id="rId6" w:type="default"/>
          <w:headerReference r:id="rId4" w:type="even"/>
          <w:footerReference r:id="rId7" w:type="even"/>
          <w:pgSz w:w="11906" w:h="16838"/>
          <w:pgMar w:top="1418" w:right="1248" w:bottom="1418" w:left="1418" w:header="851" w:footer="851" w:gutter="0"/>
          <w:cols w:space="720" w:num="1"/>
          <w:titlePg/>
          <w:docGrid w:linePitch="312" w:charSpace="0"/>
        </w:sectPr>
      </w:pPr>
    </w:p>
    <w:p>
      <w:pPr>
        <w:pStyle w:val="26"/>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rPr>
          <w:rFonts w:hint="eastAsia" w:ascii="宋体" w:hAnsi="宋体" w:eastAsia="宋体" w:cs="宋体"/>
          <w:highlight w:val="none"/>
        </w:rPr>
      </w:pPr>
    </w:p>
    <w:p>
      <w:pPr>
        <w:pStyle w:val="26"/>
        <w:rPr>
          <w:rFonts w:hint="eastAsia" w:ascii="宋体" w:hAnsi="宋体" w:eastAsia="宋体" w:cs="宋体"/>
          <w:b/>
          <w:sz w:val="28"/>
          <w:szCs w:val="28"/>
          <w:highlight w:val="none"/>
        </w:rPr>
      </w:pPr>
    </w:p>
    <w:p>
      <w:pPr>
        <w:pStyle w:val="26"/>
        <w:spacing w:line="720" w:lineRule="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TOC \o "1-3" \h \z \u </w:instrText>
      </w:r>
      <w:r>
        <w:rPr>
          <w:rFonts w:hint="eastAsia" w:ascii="宋体" w:hAnsi="宋体" w:eastAsia="宋体" w:cs="宋体"/>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"_Toc448411043"</w:instrText>
      </w:r>
      <w:r>
        <w:rPr>
          <w:rFonts w:hint="eastAsia" w:ascii="宋体" w:hAnsi="宋体" w:eastAsia="宋体" w:cs="宋体"/>
          <w:highlight w:val="none"/>
        </w:rPr>
        <w:fldChar w:fldCharType="separate"/>
      </w:r>
      <w:r>
        <w:rPr>
          <w:rStyle w:val="45"/>
          <w:rFonts w:hint="eastAsia" w:ascii="宋体" w:hAnsi="宋体" w:eastAsia="宋体" w:cs="宋体"/>
          <w:color w:val="auto"/>
          <w:sz w:val="24"/>
          <w:highlight w:val="none"/>
        </w:rPr>
        <w:t>第一章  公开招标公告</w:t>
      </w:r>
      <w:r>
        <w:rPr>
          <w:rFonts w:hint="eastAsia" w:ascii="宋体" w:hAnsi="宋体" w:eastAsia="宋体" w:cs="宋体"/>
          <w:sz w:val="24"/>
          <w:highlight w:val="none"/>
        </w:rPr>
        <w:tab/>
      </w:r>
      <w:r>
        <w:rPr>
          <w:rFonts w:hint="eastAsia" w:ascii="宋体" w:hAnsi="宋体" w:eastAsia="宋体" w:cs="宋体"/>
          <w:highlight w:val="none"/>
        </w:rPr>
        <w:fldChar w:fldCharType="end"/>
      </w:r>
      <w:r>
        <w:rPr>
          <w:rFonts w:hint="eastAsia" w:ascii="宋体" w:hAnsi="宋体" w:eastAsia="宋体" w:cs="宋体"/>
          <w:sz w:val="24"/>
          <w:highlight w:val="none"/>
        </w:rPr>
        <w:t>1</w:t>
      </w:r>
    </w:p>
    <w:p>
      <w:pPr>
        <w:pStyle w:val="26"/>
        <w:spacing w:line="720" w:lineRule="auto"/>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"_Toc448411045"</w:instrText>
      </w:r>
      <w:r>
        <w:rPr>
          <w:rFonts w:hint="eastAsia" w:ascii="宋体" w:hAnsi="宋体" w:eastAsia="宋体" w:cs="宋体"/>
          <w:highlight w:val="none"/>
        </w:rPr>
        <w:fldChar w:fldCharType="separate"/>
      </w:r>
      <w:r>
        <w:rPr>
          <w:rStyle w:val="45"/>
          <w:rFonts w:hint="eastAsia" w:ascii="宋体" w:hAnsi="宋体" w:eastAsia="宋体" w:cs="宋体"/>
          <w:color w:val="auto"/>
          <w:sz w:val="24"/>
          <w:highlight w:val="none"/>
        </w:rPr>
        <w:t>第二章  投标人须知</w:t>
      </w:r>
      <w:r>
        <w:rPr>
          <w:rFonts w:hint="eastAsia" w:ascii="宋体" w:hAnsi="宋体" w:eastAsia="宋体" w:cs="宋体"/>
          <w:sz w:val="24"/>
          <w:highlight w:val="none"/>
        </w:rPr>
        <w:tab/>
      </w:r>
      <w:r>
        <w:rPr>
          <w:rFonts w:hint="eastAsia" w:ascii="宋体" w:hAnsi="宋体" w:eastAsia="宋体" w:cs="宋体"/>
          <w:highlight w:val="none"/>
        </w:rPr>
        <w:fldChar w:fldCharType="end"/>
      </w:r>
      <w:r>
        <w:rPr>
          <w:rFonts w:hint="eastAsia" w:ascii="宋体" w:hAnsi="宋体" w:eastAsia="宋体" w:cs="宋体"/>
          <w:sz w:val="24"/>
          <w:highlight w:val="none"/>
        </w:rPr>
        <w:t>4</w:t>
      </w:r>
    </w:p>
    <w:p>
      <w:pPr>
        <w:pStyle w:val="26"/>
        <w:spacing w:line="720" w:lineRule="auto"/>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"_Toc448411062"</w:instrText>
      </w:r>
      <w:r>
        <w:rPr>
          <w:rFonts w:hint="eastAsia" w:ascii="宋体" w:hAnsi="宋体" w:eastAsia="宋体" w:cs="宋体"/>
          <w:highlight w:val="none"/>
        </w:rPr>
        <w:fldChar w:fldCharType="separate"/>
      </w:r>
      <w:r>
        <w:rPr>
          <w:rFonts w:hint="eastAsia" w:ascii="宋体" w:hAnsi="宋体" w:eastAsia="宋体" w:cs="宋体"/>
          <w:sz w:val="24"/>
          <w:highlight w:val="none"/>
        </w:rPr>
        <w:t>第三章  评标办法及评分标准</w:t>
      </w:r>
      <w:r>
        <w:rPr>
          <w:rFonts w:hint="eastAsia" w:ascii="宋体" w:hAnsi="宋体" w:eastAsia="宋体" w:cs="宋体"/>
          <w:sz w:val="24"/>
          <w:highlight w:val="none"/>
        </w:rPr>
        <w:tab/>
      </w:r>
      <w:r>
        <w:rPr>
          <w:rFonts w:hint="eastAsia" w:ascii="宋体" w:hAnsi="宋体" w:eastAsia="宋体" w:cs="宋体"/>
          <w:highlight w:val="none"/>
        </w:rPr>
        <w:fldChar w:fldCharType="end"/>
      </w:r>
      <w:r>
        <w:rPr>
          <w:rFonts w:hint="eastAsia" w:ascii="宋体" w:hAnsi="宋体" w:eastAsia="宋体" w:cs="宋体"/>
          <w:sz w:val="24"/>
          <w:highlight w:val="none"/>
        </w:rPr>
        <w:t>16</w:t>
      </w:r>
    </w:p>
    <w:p>
      <w:pPr>
        <w:pStyle w:val="26"/>
        <w:spacing w:line="720" w:lineRule="auto"/>
        <w:rPr>
          <w:rFonts w:hint="eastAsia" w:ascii="宋体" w:hAnsi="宋体" w:eastAsia="宋体" w:cs="宋体"/>
          <w:sz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"_Toc448411063"</w:instrText>
      </w:r>
      <w:r>
        <w:rPr>
          <w:rFonts w:hint="eastAsia" w:ascii="宋体" w:hAnsi="宋体" w:eastAsia="宋体" w:cs="宋体"/>
          <w:highlight w:val="none"/>
        </w:rPr>
        <w:fldChar w:fldCharType="separate"/>
      </w:r>
      <w:r>
        <w:rPr>
          <w:rStyle w:val="45"/>
          <w:rFonts w:hint="eastAsia" w:ascii="宋体" w:hAnsi="宋体" w:eastAsia="宋体" w:cs="宋体"/>
          <w:color w:val="auto"/>
          <w:spacing w:val="-2"/>
          <w:sz w:val="24"/>
          <w:highlight w:val="none"/>
        </w:rPr>
        <w:t>第四章  招标内容与技术需求</w:t>
      </w:r>
      <w:r>
        <w:rPr>
          <w:rFonts w:hint="eastAsia" w:ascii="宋体" w:hAnsi="宋体" w:eastAsia="宋体" w:cs="宋体"/>
          <w:sz w:val="24"/>
          <w:highlight w:val="none"/>
        </w:rPr>
        <w:tab/>
      </w:r>
      <w:r>
        <w:rPr>
          <w:rFonts w:hint="eastAsia" w:ascii="宋体" w:hAnsi="宋体" w:eastAsia="宋体" w:cs="宋体"/>
          <w:highlight w:val="none"/>
        </w:rPr>
        <w:fldChar w:fldCharType="end"/>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p>
    <w:p>
      <w:pPr>
        <w:pStyle w:val="26"/>
        <w:spacing w:line="72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第五章</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"_Toc448411063"</w:instrText>
      </w:r>
      <w:r>
        <w:rPr>
          <w:rFonts w:hint="eastAsia" w:ascii="宋体" w:hAnsi="宋体" w:eastAsia="宋体" w:cs="宋体"/>
          <w:highlight w:val="none"/>
        </w:rPr>
        <w:fldChar w:fldCharType="separate"/>
      </w:r>
      <w:r>
        <w:rPr>
          <w:rFonts w:hint="eastAsia" w:ascii="宋体" w:hAnsi="宋体" w:eastAsia="宋体" w:cs="宋体"/>
          <w:sz w:val="24"/>
          <w:highlight w:val="none"/>
        </w:rPr>
        <w:t xml:space="preserve">  浙江省政府采购合同主要条款指引（参考样稿）</w:t>
      </w:r>
      <w:r>
        <w:rPr>
          <w:rFonts w:hint="eastAsia" w:ascii="宋体" w:hAnsi="宋体" w:eastAsia="宋体" w:cs="宋体"/>
          <w:sz w:val="24"/>
          <w:highlight w:val="none"/>
          <w:lang w:val="zh-CN"/>
        </w:rPr>
        <w:tab/>
      </w:r>
      <w:r>
        <w:rPr>
          <w:rFonts w:hint="eastAsia" w:ascii="宋体" w:hAnsi="宋体" w:eastAsia="宋体" w:cs="宋体"/>
          <w:highlight w:val="none"/>
        </w:rPr>
        <w:fldChar w:fldCharType="end"/>
      </w:r>
      <w:r>
        <w:rPr>
          <w:rFonts w:hint="eastAsia" w:ascii="宋体" w:hAnsi="宋体" w:eastAsia="宋体" w:cs="宋体"/>
          <w:sz w:val="24"/>
          <w:highlight w:val="none"/>
          <w:lang w:val="en-US" w:eastAsia="zh-CN"/>
        </w:rPr>
        <w:t>48</w:t>
      </w:r>
    </w:p>
    <w:p>
      <w:pPr>
        <w:pStyle w:val="26"/>
        <w:spacing w:line="720" w:lineRule="auto"/>
        <w:rPr>
          <w:rFonts w:hint="default" w:ascii="宋体" w:hAnsi="宋体" w:eastAsia="宋体" w:cs="宋体"/>
          <w:sz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\l "_Toc448411064"</w:instrText>
      </w:r>
      <w:r>
        <w:rPr>
          <w:rFonts w:hint="eastAsia" w:ascii="宋体" w:hAnsi="宋体" w:eastAsia="宋体" w:cs="宋体"/>
          <w:highlight w:val="none"/>
        </w:rPr>
        <w:fldChar w:fldCharType="separate"/>
      </w:r>
      <w:r>
        <w:rPr>
          <w:rStyle w:val="45"/>
          <w:rFonts w:hint="eastAsia" w:ascii="宋体" w:hAnsi="宋体" w:eastAsia="宋体" w:cs="宋体"/>
          <w:bCs/>
          <w:color w:val="auto"/>
          <w:sz w:val="24"/>
          <w:highlight w:val="none"/>
        </w:rPr>
        <w:t>第六章  投标文件格式附件</w:t>
      </w:r>
      <w:r>
        <w:rPr>
          <w:rFonts w:hint="eastAsia" w:ascii="宋体" w:hAnsi="宋体" w:eastAsia="宋体" w:cs="宋体"/>
          <w:sz w:val="24"/>
          <w:highlight w:val="none"/>
        </w:rPr>
        <w:tab/>
      </w:r>
      <w:r>
        <w:rPr>
          <w:rFonts w:hint="eastAsia" w:ascii="宋体" w:hAnsi="宋体" w:eastAsia="宋体" w:cs="宋体"/>
          <w:highlight w:val="none"/>
        </w:rPr>
        <w:fldChar w:fldCharType="end"/>
      </w:r>
      <w:r>
        <w:rPr>
          <w:rFonts w:hint="eastAsia" w:ascii="宋体" w:hAnsi="宋体" w:eastAsia="宋体" w:cs="宋体"/>
          <w:sz w:val="24"/>
          <w:highlight w:val="none"/>
          <w:lang w:val="en-US" w:eastAsia="zh-CN"/>
        </w:rPr>
        <w:t>51</w:t>
      </w:r>
    </w:p>
    <w:p>
      <w:pPr>
        <w:spacing w:line="720" w:lineRule="auto"/>
        <w:rPr>
          <w:rFonts w:hint="eastAsia" w:ascii="宋体" w:hAnsi="宋体" w:eastAsia="宋体" w:cs="宋体"/>
          <w:sz w:val="28"/>
          <w:szCs w:val="28"/>
          <w:highlight w:val="none"/>
        </w:rPr>
      </w:pPr>
      <w:r>
        <w:rPr>
          <w:rFonts w:hint="eastAsia" w:ascii="宋体" w:hAnsi="宋体" w:eastAsia="宋体" w:cs="宋体"/>
          <w:sz w:val="24"/>
          <w:szCs w:val="24"/>
          <w:highlight w:val="none"/>
        </w:rPr>
        <w:fldChar w:fldCharType="end"/>
      </w:r>
    </w:p>
    <w:p>
      <w:pPr>
        <w:pStyle w:val="21"/>
        <w:snapToGrid w:val="0"/>
        <w:spacing w:before="120" w:after="120" w:line="240" w:lineRule="auto"/>
        <w:jc w:val="center"/>
        <w:outlineLvl w:val="0"/>
        <w:rPr>
          <w:rFonts w:hint="eastAsia" w:hAnsi="宋体" w:eastAsia="宋体" w:cs="宋体"/>
          <w:b/>
          <w:sz w:val="36"/>
          <w:szCs w:val="36"/>
          <w:highlight w:val="none"/>
        </w:rPr>
      </w:pPr>
      <w:bookmarkStart w:id="0" w:name="_Toc372790136"/>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left" w:pos="2923"/>
        </w:tabs>
        <w:jc w:val="left"/>
        <w:rPr>
          <w:rFonts w:hint="eastAsia" w:ascii="宋体" w:hAnsi="宋体" w:eastAsia="宋体" w:cs="宋体"/>
          <w:highlight w:val="none"/>
        </w:rPr>
        <w:sectPr>
          <w:footerReference r:id="rId9" w:type="first"/>
          <w:footerReference r:id="rId8" w:type="default"/>
          <w:pgSz w:w="11906" w:h="16838"/>
          <w:pgMar w:top="1418" w:right="1418" w:bottom="1418" w:left="1418" w:header="851" w:footer="851" w:gutter="0"/>
          <w:pgNumType w:fmt="upperRoman" w:start="1"/>
          <w:cols w:space="720" w:num="1"/>
          <w:titlePg/>
          <w:docGrid w:linePitch="312" w:charSpace="0"/>
        </w:sectPr>
      </w:pPr>
      <w:r>
        <w:rPr>
          <w:rFonts w:hint="eastAsia" w:ascii="宋体" w:hAnsi="宋体" w:eastAsia="宋体" w:cs="宋体"/>
          <w:b/>
          <w:sz w:val="36"/>
          <w:szCs w:val="36"/>
          <w:highlight w:val="none"/>
        </w:rPr>
        <w:tab/>
      </w:r>
    </w:p>
    <w:p>
      <w:pPr>
        <w:pStyle w:val="21"/>
        <w:snapToGrid w:val="0"/>
        <w:spacing w:before="156" w:after="156" w:line="360" w:lineRule="auto"/>
        <w:jc w:val="center"/>
        <w:outlineLvl w:val="0"/>
        <w:rPr>
          <w:rFonts w:hint="eastAsia" w:hAnsi="宋体" w:eastAsia="宋体" w:cs="宋体"/>
          <w:b/>
          <w:sz w:val="32"/>
          <w:szCs w:val="32"/>
          <w:highlight w:val="none"/>
        </w:rPr>
      </w:pPr>
      <w:bookmarkStart w:id="1" w:name="_Toc482808155"/>
      <w:r>
        <w:rPr>
          <w:rFonts w:hint="eastAsia" w:hAnsi="宋体" w:eastAsia="宋体" w:cs="宋体"/>
          <w:b/>
          <w:sz w:val="32"/>
          <w:szCs w:val="32"/>
          <w:highlight w:val="none"/>
        </w:rPr>
        <w:t>第一章  公开招标公告</w:t>
      </w:r>
      <w:bookmarkEnd w:id="1"/>
    </w:p>
    <w:bookmarkEnd w:id="0"/>
    <w:p>
      <w:pPr>
        <w:pStyle w:val="134"/>
        <w:spacing w:after="156" w:line="360" w:lineRule="auto"/>
        <w:ind w:firstLine="420"/>
        <w:rPr>
          <w:rFonts w:hint="eastAsia" w:ascii="宋体" w:hAnsi="宋体" w:eastAsia="宋体" w:cs="宋体"/>
          <w:sz w:val="21"/>
          <w:szCs w:val="21"/>
          <w:highlight w:val="none"/>
        </w:rPr>
      </w:pPr>
      <w:bookmarkStart w:id="2" w:name="_Toc482808156"/>
      <w:bookmarkStart w:id="3" w:name="_Toc372790137"/>
      <w:r>
        <w:rPr>
          <w:rFonts w:hint="eastAsia" w:ascii="宋体" w:hAnsi="宋体" w:eastAsia="宋体" w:cs="宋体"/>
          <w:sz w:val="21"/>
          <w:szCs w:val="21"/>
          <w:highlight w:val="none"/>
        </w:rPr>
        <w:t>根据《中华人民共和国政府采购法》、《中华人民共和国政府采购法实施条例》等规定，大地工程咨询有限公司受浙江省公安厅机场公安局委托现就浙江省公安厅机场公安局立体防控提升工程项目（二级作战平台及安全交换系统）进行公开招标，欢迎投标单位前来投标。</w:t>
      </w:r>
    </w:p>
    <w:p>
      <w:pPr>
        <w:snapToGrid w:val="0"/>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一、项目编号：</w:t>
      </w:r>
      <w:r>
        <w:rPr>
          <w:rFonts w:hint="eastAsia" w:ascii="宋体" w:hAnsi="宋体" w:eastAsia="宋体" w:cs="宋体"/>
          <w:szCs w:val="21"/>
          <w:highlight w:val="none"/>
        </w:rPr>
        <w:t>DDZX2019-GK-070</w:t>
      </w:r>
    </w:p>
    <w:p>
      <w:pPr>
        <w:snapToGrid w:val="0"/>
        <w:spacing w:line="360"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采购组织类型：</w:t>
      </w:r>
      <w:r>
        <w:rPr>
          <w:rFonts w:hint="eastAsia" w:ascii="宋体" w:hAnsi="宋体" w:eastAsia="宋体" w:cs="宋体"/>
          <w:szCs w:val="21"/>
          <w:highlight w:val="none"/>
        </w:rPr>
        <w:t>公开招标</w:t>
      </w:r>
    </w:p>
    <w:p>
      <w:pPr>
        <w:snapToGrid w:val="0"/>
        <w:spacing w:after="156" w:afterLines="50" w:line="360" w:lineRule="auto"/>
        <w:ind w:firstLine="422" w:firstLineChars="200"/>
        <w:rPr>
          <w:rFonts w:hint="eastAsia" w:ascii="宋体" w:hAnsi="宋体" w:eastAsia="宋体" w:cs="宋体"/>
          <w:b/>
          <w:bCs/>
          <w:szCs w:val="21"/>
          <w:highlight w:val="none"/>
        </w:rPr>
      </w:pPr>
      <w:r>
        <w:rPr>
          <w:rFonts w:hint="eastAsia" w:ascii="宋体" w:hAnsi="宋体" w:eastAsia="宋体" w:cs="宋体"/>
          <w:b/>
          <w:szCs w:val="21"/>
          <w:highlight w:val="none"/>
        </w:rPr>
        <w:t>二、</w:t>
      </w:r>
      <w:r>
        <w:rPr>
          <w:rFonts w:hint="eastAsia" w:ascii="宋体" w:hAnsi="宋体" w:eastAsia="宋体" w:cs="宋体"/>
          <w:b/>
          <w:bCs/>
          <w:szCs w:val="21"/>
          <w:highlight w:val="none"/>
        </w:rPr>
        <w:t>采购内容及数量</w:t>
      </w:r>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5"/>
        <w:gridCol w:w="656"/>
        <w:gridCol w:w="711"/>
        <w:gridCol w:w="2233"/>
        <w:gridCol w:w="1156"/>
        <w:gridCol w:w="1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55"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4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p>
        </w:tc>
        <w:tc>
          <w:tcPr>
            <w:tcW w:w="656"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711"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简要的技术规格</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预算（元）</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355" w:type="dxa"/>
            <w:tcBorders>
              <w:top w:val="single" w:color="auto" w:sz="4" w:space="0"/>
              <w:left w:val="single" w:color="auto" w:sz="4" w:space="0"/>
              <w:bottom w:val="single" w:color="auto" w:sz="4" w:space="0"/>
              <w:right w:val="single" w:color="auto" w:sz="4" w:space="0"/>
            </w:tcBorders>
            <w:noWrap w:val="0"/>
            <w:vAlign w:val="center"/>
          </w:tcPr>
          <w:p>
            <w:pPr>
              <w:pStyle w:val="134"/>
              <w:spacing w:after="156"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浙江省公安厅机场公安局立体防控提升工程项目（二级作战平台及安全交换系统）</w:t>
            </w:r>
          </w:p>
        </w:tc>
        <w:tc>
          <w:tcPr>
            <w:tcW w:w="656"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w:t>
            </w:r>
          </w:p>
        </w:tc>
        <w:tc>
          <w:tcPr>
            <w:tcW w:w="711"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详见采购文件第四章招标内容与技术需求（技术规格书）</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1500000</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pStyle w:val="134"/>
              <w:spacing w:afterLines="0"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1343910</w:t>
            </w:r>
          </w:p>
        </w:tc>
      </w:tr>
    </w:tbl>
    <w:p>
      <w:pPr>
        <w:snapToGrid w:val="0"/>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三、合格投标人的资质条件：</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1.符合《中华人民共和国政府采购法》第二十二条对投标主体的要求；</w:t>
      </w:r>
    </w:p>
    <w:p>
      <w:pPr>
        <w:numPr>
          <w:ilvl w:val="0"/>
          <w:numId w:val="4"/>
        </w:num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至本项目投标截止时间止未列入失信被执行人、重大税收违法案件当事人名单、政府采购严重违法失信行为记录名单（以“信用中国”网站（www.creditchina.gov.cn）、中国政府采购网（www.ccgp.gov.cn）查询结果为准）；</w:t>
      </w:r>
    </w:p>
    <w:p>
      <w:pPr>
        <w:numPr>
          <w:ilvl w:val="0"/>
          <w:numId w:val="4"/>
        </w:num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单位负责人为同一人或者存在直接控股、管理关系的不同供应商，不得参加同一合同项下的政府采购活动；</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 xml:space="preserve">4.谢绝联合体投标。 </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四、招标文件的发售：</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1.发售时间：2019年</w:t>
      </w:r>
      <w:r>
        <w:rPr>
          <w:rFonts w:hint="eastAsia" w:ascii="宋体" w:hAnsi="宋体" w:eastAsia="宋体" w:cs="宋体"/>
          <w:sz w:val="21"/>
          <w:szCs w:val="21"/>
          <w:highlight w:val="none"/>
          <w:lang w:val="en-US" w:eastAsia="zh-CN"/>
        </w:rPr>
        <w:t>08</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日至2019年</w:t>
      </w:r>
      <w:r>
        <w:rPr>
          <w:rFonts w:hint="eastAsia" w:ascii="宋体" w:hAnsi="宋体" w:eastAsia="宋体" w:cs="宋体"/>
          <w:sz w:val="21"/>
          <w:szCs w:val="21"/>
          <w:highlight w:val="none"/>
          <w:lang w:val="en-US" w:eastAsia="zh-CN"/>
        </w:rPr>
        <w:t>08</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08</w:t>
      </w:r>
      <w:r>
        <w:rPr>
          <w:rFonts w:hint="eastAsia" w:ascii="宋体" w:hAnsi="宋体" w:eastAsia="宋体" w:cs="宋体"/>
          <w:sz w:val="21"/>
          <w:szCs w:val="21"/>
          <w:highlight w:val="none"/>
        </w:rPr>
        <w:t>日。上午 9：00—11：00时 ；下午 14：00—17：00时（北京时间，余同）。</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2.发售地点：杭州市杭海路238号森禾广场B座15楼。</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3.售价：500元/本，售后不退。</w:t>
      </w:r>
    </w:p>
    <w:p>
      <w:pPr>
        <w:pStyle w:val="134"/>
        <w:numPr>
          <w:ilvl w:val="0"/>
          <w:numId w:val="0"/>
        </w:numPr>
        <w:adjustRightInd w:val="0"/>
        <w:spacing w:afterLines="0" w:line="360" w:lineRule="auto"/>
        <w:ind w:left="0" w:firstLine="630" w:firstLineChars="3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报名费收款账号（备注项目名称）：</w:t>
      </w:r>
    </w:p>
    <w:p>
      <w:pPr>
        <w:pStyle w:val="134"/>
        <w:numPr>
          <w:ilvl w:val="0"/>
          <w:numId w:val="0"/>
        </w:numPr>
        <w:adjustRightInd w:val="0"/>
        <w:spacing w:afterLines="0" w:line="360" w:lineRule="auto"/>
        <w:ind w:left="0" w:firstLine="630" w:firstLineChars="3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户名：大地工程咨询有限公司</w:t>
      </w:r>
    </w:p>
    <w:p>
      <w:pPr>
        <w:pStyle w:val="134"/>
        <w:numPr>
          <w:ilvl w:val="0"/>
          <w:numId w:val="0"/>
        </w:numPr>
        <w:adjustRightInd w:val="0"/>
        <w:spacing w:afterLines="0" w:line="360" w:lineRule="auto"/>
        <w:ind w:left="0" w:firstLine="630" w:firstLineChars="3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开户银行：杭州银行江城支行</w:t>
      </w:r>
    </w:p>
    <w:p>
      <w:pPr>
        <w:pStyle w:val="134"/>
        <w:spacing w:afterLines="0" w:line="360" w:lineRule="auto"/>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银行账号：3301040160007930277</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五、购买招标文件时应提供以下资料：</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 有效的营业执照复印件（加盖单位公章）；</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 办理报名人的有效身份证件及法定代表人授权书原件；</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报名登记表（附件）。 </w:t>
      </w:r>
    </w:p>
    <w:p>
      <w:pPr>
        <w:pStyle w:val="134"/>
        <w:spacing w:afterLines="0" w:line="360" w:lineRule="auto"/>
        <w:ind w:firstLine="42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提示：</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（1）网上报名单位请将上述报名资料加盖公章扫描件（PDF）发送至邮箱1786216262@qq.com，并电话确认；</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（2）采购机构将拒绝接受非报名供应商的投标文件。</w:t>
      </w:r>
    </w:p>
    <w:p>
      <w:pPr>
        <w:pStyle w:val="2"/>
        <w:spacing w:line="360" w:lineRule="auto"/>
        <w:ind w:firstLine="422" w:firstLineChars="200"/>
        <w:rPr>
          <w:rFonts w:hint="eastAsia" w:eastAsia="宋体" w:cs="宋体"/>
          <w:b/>
          <w:bCs/>
          <w:sz w:val="21"/>
          <w:szCs w:val="21"/>
          <w:highlight w:val="none"/>
          <w:lang w:bidi="ar"/>
        </w:rPr>
      </w:pPr>
      <w:r>
        <w:rPr>
          <w:rFonts w:hint="eastAsia" w:eastAsia="宋体" w:cs="宋体"/>
          <w:b/>
          <w:bCs/>
          <w:sz w:val="21"/>
          <w:szCs w:val="21"/>
          <w:highlight w:val="none"/>
        </w:rPr>
        <w:t>六、投标保证金：</w:t>
      </w:r>
      <w:r>
        <w:rPr>
          <w:rFonts w:hint="eastAsia" w:eastAsia="宋体" w:cs="宋体"/>
          <w:sz w:val="21"/>
          <w:szCs w:val="21"/>
          <w:highlight w:val="none"/>
          <w:lang w:val="en-US"/>
        </w:rPr>
        <w:t>无</w:t>
      </w:r>
      <w:r>
        <w:rPr>
          <w:rFonts w:hint="eastAsia" w:eastAsia="宋体" w:cs="宋体"/>
          <w:sz w:val="21"/>
          <w:szCs w:val="21"/>
          <w:highlight w:val="none"/>
        </w:rPr>
        <w:t>。</w:t>
      </w:r>
    </w:p>
    <w:p>
      <w:pPr>
        <w:pStyle w:val="2"/>
        <w:spacing w:line="360" w:lineRule="auto"/>
        <w:ind w:firstLine="422" w:firstLineChars="200"/>
        <w:rPr>
          <w:rFonts w:hint="eastAsia" w:eastAsia="宋体" w:cs="宋体"/>
          <w:sz w:val="21"/>
          <w:szCs w:val="21"/>
          <w:highlight w:val="none"/>
          <w:lang w:val="en-US"/>
        </w:rPr>
      </w:pPr>
      <w:r>
        <w:rPr>
          <w:rFonts w:hint="eastAsia" w:eastAsia="宋体" w:cs="宋体"/>
          <w:b/>
          <w:bCs/>
          <w:sz w:val="21"/>
          <w:szCs w:val="21"/>
          <w:highlight w:val="none"/>
        </w:rPr>
        <w:t>七、投标截止时间和地点：</w:t>
      </w:r>
    </w:p>
    <w:p>
      <w:pPr>
        <w:pStyle w:val="134"/>
        <w:spacing w:afterLines="0" w:line="360" w:lineRule="auto"/>
        <w:ind w:firstLine="42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投标人应于2019年</w:t>
      </w:r>
      <w:r>
        <w:rPr>
          <w:rFonts w:hint="eastAsia" w:ascii="宋体" w:hAnsi="宋体" w:eastAsia="宋体" w:cs="宋体"/>
          <w:sz w:val="21"/>
          <w:szCs w:val="21"/>
          <w:highlight w:val="none"/>
          <w:lang w:val="en-US" w:eastAsia="zh-CN" w:bidi="ar"/>
        </w:rPr>
        <w:t>08</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lang w:val="en-US" w:eastAsia="zh-CN" w:bidi="ar"/>
        </w:rPr>
        <w:t>21</w:t>
      </w:r>
      <w:r>
        <w:rPr>
          <w:rFonts w:hint="eastAsia" w:ascii="宋体" w:hAnsi="宋体" w:eastAsia="宋体" w:cs="宋体"/>
          <w:sz w:val="21"/>
          <w:szCs w:val="21"/>
          <w:highlight w:val="none"/>
          <w:lang w:bidi="ar"/>
        </w:rPr>
        <w:t>日1</w:t>
      </w: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bidi="ar"/>
        </w:rPr>
        <w:t>时</w:t>
      </w: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0分前半小时内将投标文件密封送交到浙江潮王大酒店5楼会议室（杭州市潮王路208号），逾期送达或未密封将予以拒收。</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八、开标时间及地点：</w:t>
      </w:r>
      <w:r>
        <w:rPr>
          <w:rFonts w:hint="eastAsia" w:ascii="宋体" w:hAnsi="宋体" w:eastAsia="宋体" w:cs="宋体"/>
          <w:b/>
          <w:bCs/>
          <w:szCs w:val="21"/>
          <w:highlight w:val="none"/>
        </w:rPr>
        <w:tab/>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本次招标将于2019年</w:t>
      </w:r>
      <w:r>
        <w:rPr>
          <w:rFonts w:hint="eastAsia" w:ascii="宋体" w:hAnsi="宋体" w:eastAsia="宋体" w:cs="宋体"/>
          <w:sz w:val="21"/>
          <w:szCs w:val="21"/>
          <w:highlight w:val="none"/>
          <w:lang w:val="en-US" w:eastAsia="zh-CN"/>
        </w:rPr>
        <w:t>08</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日14时30分整在浙江潮王大酒店5楼会议室（杭州市潮王路208号）开标，投标人须派全权代表出席开标会议。</w:t>
      </w:r>
    </w:p>
    <w:p>
      <w:pPr>
        <w:pStyle w:val="31"/>
        <w:widowControl/>
        <w:numPr>
          <w:ilvl w:val="0"/>
          <w:numId w:val="5"/>
        </w:numPr>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其他事项：</w:t>
      </w:r>
    </w:p>
    <w:p>
      <w:pPr>
        <w:pStyle w:val="31"/>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1.采购人、采购代理机构将于项目投标截止时间对提交投标响应文件的供应商进行信用信息查询，查询渠道为“信用中国”网站(</w:t>
      </w:r>
      <w:r>
        <w:rPr>
          <w:rFonts w:hint="eastAsia" w:ascii="宋体" w:hAnsi="宋体" w:eastAsia="宋体" w:cs="宋体"/>
          <w:kern w:val="0"/>
          <w:sz w:val="21"/>
          <w:szCs w:val="21"/>
          <w:highlight w:val="none"/>
          <w:lang w:bidi="ar"/>
        </w:rPr>
        <w:fldChar w:fldCharType="begin"/>
      </w:r>
      <w:r>
        <w:rPr>
          <w:rFonts w:hint="eastAsia" w:ascii="宋体" w:hAnsi="宋体" w:eastAsia="宋体" w:cs="宋体"/>
          <w:kern w:val="0"/>
          <w:sz w:val="21"/>
          <w:szCs w:val="21"/>
          <w:highlight w:val="none"/>
          <w:lang w:bidi="ar"/>
        </w:rPr>
        <w:instrText xml:space="preserve"> HYPERLINK "http://www.creditchina.gov.cn" </w:instrText>
      </w:r>
      <w:r>
        <w:rPr>
          <w:rFonts w:hint="eastAsia" w:ascii="宋体" w:hAnsi="宋体" w:eastAsia="宋体" w:cs="宋体"/>
          <w:kern w:val="0"/>
          <w:sz w:val="21"/>
          <w:szCs w:val="21"/>
          <w:highlight w:val="none"/>
          <w:lang w:bidi="ar"/>
        </w:rPr>
        <w:fldChar w:fldCharType="separate"/>
      </w:r>
      <w:r>
        <w:rPr>
          <w:rStyle w:val="45"/>
          <w:rFonts w:hint="eastAsia" w:ascii="宋体" w:hAnsi="宋体" w:eastAsia="宋体" w:cs="宋体"/>
          <w:color w:val="auto"/>
          <w:sz w:val="21"/>
          <w:szCs w:val="21"/>
          <w:highlight w:val="none"/>
          <w:u w:val="none"/>
        </w:rPr>
        <w:t>www.creditchina.gov.cn</w:t>
      </w:r>
      <w:r>
        <w:rPr>
          <w:rFonts w:hint="eastAsia" w:ascii="宋体" w:hAnsi="宋体" w:eastAsia="宋体" w:cs="宋体"/>
          <w:kern w:val="0"/>
          <w:sz w:val="21"/>
          <w:szCs w:val="21"/>
          <w:highlight w:val="none"/>
          <w:lang w:bidi="ar"/>
        </w:rPr>
        <w:fldChar w:fldCharType="end"/>
      </w:r>
      <w:r>
        <w:rPr>
          <w:rFonts w:hint="eastAsia" w:ascii="宋体" w:hAnsi="宋体" w:eastAsia="宋体" w:cs="宋体"/>
          <w:kern w:val="0"/>
          <w:sz w:val="21"/>
          <w:szCs w:val="21"/>
          <w:highlight w:val="none"/>
          <w:lang w:bidi="ar"/>
        </w:rPr>
        <w:t>)、中国政府采购网(</w:t>
      </w:r>
      <w:r>
        <w:rPr>
          <w:rFonts w:hint="eastAsia" w:ascii="宋体" w:hAnsi="宋体" w:eastAsia="宋体" w:cs="宋体"/>
          <w:kern w:val="0"/>
          <w:sz w:val="21"/>
          <w:szCs w:val="21"/>
          <w:highlight w:val="none"/>
          <w:lang w:bidi="ar"/>
        </w:rPr>
        <w:fldChar w:fldCharType="begin"/>
      </w:r>
      <w:r>
        <w:rPr>
          <w:rFonts w:hint="eastAsia" w:ascii="宋体" w:hAnsi="宋体" w:eastAsia="宋体" w:cs="宋体"/>
          <w:kern w:val="0"/>
          <w:sz w:val="21"/>
          <w:szCs w:val="21"/>
          <w:highlight w:val="none"/>
          <w:lang w:bidi="ar"/>
        </w:rPr>
        <w:instrText xml:space="preserve"> HYPERLINK "http://www.ccgp.gov.cn" </w:instrText>
      </w:r>
      <w:r>
        <w:rPr>
          <w:rFonts w:hint="eastAsia" w:ascii="宋体" w:hAnsi="宋体" w:eastAsia="宋体" w:cs="宋体"/>
          <w:kern w:val="0"/>
          <w:sz w:val="21"/>
          <w:szCs w:val="21"/>
          <w:highlight w:val="none"/>
          <w:lang w:bidi="ar"/>
        </w:rPr>
        <w:fldChar w:fldCharType="separate"/>
      </w:r>
      <w:r>
        <w:rPr>
          <w:rStyle w:val="45"/>
          <w:rFonts w:hint="eastAsia" w:ascii="宋体" w:hAnsi="宋体" w:eastAsia="宋体" w:cs="宋体"/>
          <w:color w:val="auto"/>
          <w:sz w:val="21"/>
          <w:szCs w:val="21"/>
          <w:highlight w:val="none"/>
          <w:u w:val="none"/>
        </w:rPr>
        <w:t>www.ccgp.gov.cn</w:t>
      </w:r>
      <w:r>
        <w:rPr>
          <w:rFonts w:hint="eastAsia" w:ascii="宋体" w:hAnsi="宋体" w:eastAsia="宋体" w:cs="宋体"/>
          <w:kern w:val="0"/>
          <w:sz w:val="21"/>
          <w:szCs w:val="21"/>
          <w:highlight w:val="none"/>
          <w:lang w:bidi="ar"/>
        </w:rPr>
        <w:fldChar w:fldCharType="end"/>
      </w:r>
      <w:r>
        <w:rPr>
          <w:rFonts w:hint="eastAsia" w:ascii="宋体" w:hAnsi="宋体" w:eastAsia="宋体" w:cs="宋体"/>
          <w:kern w:val="0"/>
          <w:sz w:val="21"/>
          <w:szCs w:val="21"/>
          <w:highlight w:val="none"/>
          <w:lang w:bidi="ar"/>
        </w:rPr>
        <w:t>)等，信用信息查询记录及相关证据与采购资料一并存档；</w:t>
      </w:r>
    </w:p>
    <w:p>
      <w:pPr>
        <w:pStyle w:val="31"/>
        <w:widowControl/>
        <w:snapToGrid w:val="0"/>
        <w:spacing w:line="360" w:lineRule="auto"/>
        <w:ind w:firstLine="420" w:firstLineChars="200"/>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2.对列入失信被执行人、重大税收违法案件当事人名单、政府采购严重违法失信行为记录名单及其他不符合《中华人民共和国政府采购法》第二十二条规定条件的供应商，其投标将作无效标处理；</w:t>
      </w:r>
    </w:p>
    <w:p>
      <w:pPr>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3.对符合财政扶持政策的中小企业（小型、微型）、监狱企业、残疾人福利性单位给予价格优惠扶持；</w:t>
      </w:r>
    </w:p>
    <w:p>
      <w:pPr>
        <w:pStyle w:val="31"/>
        <w:widowControl/>
        <w:snapToGrid w:val="0"/>
        <w:spacing w:line="360" w:lineRule="auto"/>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网上注册：投标人领取采购文件后，应当按照《浙江省政府采购供应商注册及诚信管理暂行办法》的规定，在“浙江省政府采购网（http://www.zjzfcg.gov.cn/）”上进行供应商注册登记。中标供应商在签订合同前，如不注册，视为放弃；</w:t>
      </w:r>
    </w:p>
    <w:p>
      <w:pPr>
        <w:pStyle w:val="31"/>
        <w:widowControl/>
        <w:snapToGrid w:val="0"/>
        <w:spacing w:line="360" w:lineRule="auto"/>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widowControl/>
        <w:snapToGrid w:val="0"/>
        <w:spacing w:line="360" w:lineRule="auto"/>
        <w:ind w:firstLine="420" w:firstLineChars="200"/>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6.书面质疑受理地点：大地工程咨询有限公司（杭州市杭海路238森禾广场B座15楼）；接收人：</w:t>
      </w:r>
      <w:r>
        <w:rPr>
          <w:rFonts w:hint="eastAsia" w:ascii="宋体" w:hAnsi="宋体" w:eastAsia="宋体" w:cs="宋体"/>
          <w:kern w:val="0"/>
          <w:sz w:val="21"/>
          <w:szCs w:val="21"/>
          <w:highlight w:val="none"/>
          <w:lang w:val="en-US" w:eastAsia="zh-CN" w:bidi="ar"/>
        </w:rPr>
        <w:t>韩</w:t>
      </w:r>
      <w:r>
        <w:rPr>
          <w:rFonts w:hint="eastAsia" w:ascii="宋体" w:hAnsi="宋体" w:eastAsia="宋体" w:cs="宋体"/>
          <w:kern w:val="0"/>
          <w:sz w:val="21"/>
          <w:szCs w:val="21"/>
          <w:highlight w:val="none"/>
          <w:lang w:bidi="ar"/>
        </w:rPr>
        <w:t>先生；联系电话：15158666131。</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十、联系方式：</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 购 人：浙江省公安厅机场公安局</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    址：萧山机场新公安大楼</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lang w:val="en-US" w:eastAsia="zh-CN"/>
        </w:rPr>
        <w:t>钱佳奚</w:t>
      </w:r>
      <w:r>
        <w:rPr>
          <w:rFonts w:hint="eastAsia" w:ascii="宋体" w:hAnsi="宋体" w:eastAsia="宋体" w:cs="宋体"/>
          <w:sz w:val="21"/>
          <w:szCs w:val="21"/>
          <w:highlight w:val="none"/>
        </w:rPr>
        <w:t xml:space="preserve">        </w:t>
      </w:r>
    </w:p>
    <w:p>
      <w:pPr>
        <w:pStyle w:val="134"/>
        <w:spacing w:afterLines="0"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0571-</w:t>
      </w:r>
      <w:r>
        <w:rPr>
          <w:rFonts w:hint="eastAsia" w:ascii="宋体" w:hAnsi="宋体" w:eastAsia="宋体" w:cs="宋体"/>
          <w:sz w:val="21"/>
          <w:szCs w:val="21"/>
          <w:highlight w:val="none"/>
        </w:rPr>
        <w:t>87287621，</w:t>
      </w:r>
      <w:r>
        <w:rPr>
          <w:rFonts w:hint="eastAsia" w:ascii="宋体" w:hAnsi="宋体" w:eastAsia="宋体" w:cs="宋体"/>
          <w:sz w:val="21"/>
          <w:szCs w:val="21"/>
          <w:highlight w:val="none"/>
          <w:lang w:val="en-US" w:eastAsia="zh-CN"/>
        </w:rPr>
        <w:t>0571-</w:t>
      </w:r>
      <w:r>
        <w:rPr>
          <w:rFonts w:hint="eastAsia" w:ascii="宋体" w:hAnsi="宋体" w:eastAsia="宋体" w:cs="宋体"/>
          <w:sz w:val="21"/>
          <w:szCs w:val="21"/>
          <w:highlight w:val="none"/>
        </w:rPr>
        <w:t>87287711</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代理公司名称：大地工程咨询有限公司</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地址：杭州市杭海路238号森禾广场B座15楼</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联系人：代夫强          </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联系电话：18268028684</w:t>
      </w:r>
    </w:p>
    <w:p>
      <w:pPr>
        <w:pStyle w:val="134"/>
        <w:spacing w:afterLines="0"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同级政府采购监管管理部门：浙江省财政厅政府采购监管处</w:t>
      </w:r>
    </w:p>
    <w:p>
      <w:pPr>
        <w:pStyle w:val="134"/>
        <w:spacing w:afterLines="0"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联系人：倪文良</w:t>
      </w:r>
    </w:p>
    <w:p>
      <w:pPr>
        <w:pStyle w:val="134"/>
        <w:spacing w:afterLines="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监督投诉电话：0571-87057615  </w:t>
      </w:r>
    </w:p>
    <w:p>
      <w:pPr>
        <w:pStyle w:val="134"/>
        <w:spacing w:afterLines="0" w:line="360" w:lineRule="auto"/>
        <w:ind w:firstLine="1928" w:firstLineChars="600"/>
        <w:rPr>
          <w:rFonts w:hint="eastAsia" w:ascii="宋体" w:hAnsi="宋体" w:eastAsia="宋体" w:cs="宋体"/>
          <w:b/>
          <w:bCs/>
          <w:sz w:val="32"/>
          <w:szCs w:val="32"/>
          <w:highlight w:val="none"/>
        </w:rPr>
      </w:pPr>
    </w:p>
    <w:p>
      <w:pPr>
        <w:pStyle w:val="134"/>
        <w:spacing w:afterLines="0" w:line="360" w:lineRule="auto"/>
        <w:ind w:firstLine="2249" w:firstLineChars="7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第二章  投标人须知</w:t>
      </w:r>
      <w:bookmarkEnd w:id="2"/>
      <w:bookmarkEnd w:id="3"/>
    </w:p>
    <w:p>
      <w:pPr>
        <w:snapToGrid w:val="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前附表</w:t>
      </w:r>
    </w:p>
    <w:tbl>
      <w:tblPr>
        <w:tblStyle w:val="35"/>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ind w:firstLine="1476" w:firstLineChars="700"/>
              <w:rPr>
                <w:rFonts w:hint="eastAsia" w:ascii="宋体" w:hAnsi="宋体" w:eastAsia="宋体" w:cs="宋体"/>
                <w:b/>
                <w:szCs w:val="21"/>
                <w:highlight w:val="none"/>
              </w:rPr>
            </w:pPr>
            <w:r>
              <w:rPr>
                <w:rFonts w:hint="eastAsia" w:ascii="宋体" w:hAnsi="宋体" w:eastAsia="宋体" w:cs="宋体"/>
                <w:b/>
                <w:szCs w:val="21"/>
                <w:highlight w:val="none"/>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项目名称：</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浙江省公安厅机场公安局立体防控提升工程项目（二级作战平台及安全交换系统）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项目编号：</w:t>
            </w:r>
            <w:r>
              <w:rPr>
                <w:rFonts w:hint="eastAsia" w:ascii="宋体" w:hAnsi="宋体" w:eastAsia="宋体" w:cs="宋体"/>
                <w:szCs w:val="21"/>
                <w:highlight w:val="none"/>
              </w:rPr>
              <w:t>DDZX2019-GK-070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采购方式：</w:t>
            </w:r>
            <w:r>
              <w:rPr>
                <w:rFonts w:hint="eastAsia" w:ascii="宋体" w:hAnsi="宋体" w:eastAsia="宋体" w:cs="宋体"/>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2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项目地点：</w:t>
            </w:r>
            <w:r>
              <w:rPr>
                <w:rFonts w:hint="eastAsia" w:ascii="宋体" w:hAnsi="宋体" w:eastAsia="宋体" w:cs="宋体"/>
                <w:szCs w:val="21"/>
                <w:highlight w:val="none"/>
              </w:rPr>
              <w:t>浙江省公安厅机场公安局内。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资金来源及比例：</w:t>
            </w:r>
            <w:r>
              <w:rPr>
                <w:rFonts w:hint="eastAsia" w:ascii="宋体" w:hAnsi="宋体" w:eastAsia="宋体" w:cs="宋体"/>
                <w:szCs w:val="21"/>
                <w:highlight w:val="none"/>
              </w:rPr>
              <w:t>财政资金占比100%。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招标范围：</w:t>
            </w:r>
            <w:r>
              <w:rPr>
                <w:rFonts w:hint="eastAsia" w:ascii="宋体" w:hAnsi="宋体" w:eastAsia="宋体" w:cs="宋体"/>
                <w:szCs w:val="21"/>
                <w:highlight w:val="none"/>
              </w:rPr>
              <w:t>见招标文件技术规格书。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工期：</w:t>
            </w:r>
            <w:r>
              <w:rPr>
                <w:rFonts w:hint="eastAsia" w:ascii="宋体" w:hAnsi="宋体" w:eastAsia="宋体" w:cs="宋体"/>
                <w:bCs/>
                <w:sz w:val="21"/>
                <w:szCs w:val="21"/>
                <w:highlight w:val="none"/>
              </w:rPr>
              <w:t>合同签订后3个月内完成所有设备的施工、安装、调试</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验收</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lang w:eastAsia="zh-CN"/>
              </w:rPr>
            </w:pPr>
            <w:r>
              <w:rPr>
                <w:rFonts w:hint="eastAsia" w:ascii="宋体" w:hAnsi="宋体" w:eastAsia="宋体" w:cs="宋体"/>
                <w:b/>
                <w:bCs/>
                <w:sz w:val="21"/>
                <w:szCs w:val="21"/>
                <w:highlight w:val="none"/>
              </w:rPr>
              <w:t>质量保证期：</w:t>
            </w:r>
            <w:r>
              <w:rPr>
                <w:rFonts w:hint="eastAsia" w:ascii="宋体" w:hAnsi="宋体" w:eastAsia="宋体" w:cs="宋体"/>
                <w:sz w:val="21"/>
                <w:szCs w:val="21"/>
                <w:highlight w:val="none"/>
              </w:rPr>
              <w:t>验收合格之日起所有设备和材料3年保修期（包括免费软件升级、故障排除、设备维修、性能调优、技术咨询等，并负责处理、协调与各系统软件、硬件等供应商的关系）</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是否接受联合体投标：</w:t>
            </w:r>
            <w:r>
              <w:rPr>
                <w:rFonts w:hint="eastAsia" w:ascii="宋体" w:hAnsi="宋体" w:eastAsia="宋体" w:cs="宋体"/>
                <w:bCs/>
                <w:sz w:val="21"/>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踏勘现场：</w:t>
            </w:r>
            <w:r>
              <w:rPr>
                <w:rFonts w:hint="eastAsia" w:ascii="宋体" w:hAnsi="宋体" w:eastAsia="宋体" w:cs="宋体"/>
                <w:bCs/>
                <w:sz w:val="21"/>
                <w:szCs w:val="21"/>
                <w:highlight w:val="none"/>
              </w:rPr>
              <w:t>本项目要求进行现场踏勘，</w:t>
            </w:r>
            <w:r>
              <w:rPr>
                <w:rFonts w:hint="eastAsia" w:ascii="宋体" w:hAnsi="宋体" w:eastAsia="宋体" w:cs="宋体"/>
                <w:bCs/>
                <w:sz w:val="21"/>
                <w:szCs w:val="21"/>
                <w:highlight w:val="none"/>
                <w:lang w:val="en-US" w:eastAsia="zh-CN"/>
              </w:rPr>
              <w:t>自</w:t>
            </w:r>
            <w:r>
              <w:rPr>
                <w:rFonts w:hint="eastAsia" w:ascii="宋体" w:hAnsi="宋体" w:eastAsia="宋体" w:cs="宋体"/>
                <w:bCs/>
                <w:sz w:val="21"/>
                <w:szCs w:val="21"/>
                <w:highlight w:val="none"/>
                <w:lang w:val="en-US" w:eastAsia="zh-CN"/>
              </w:rPr>
              <w:t>行联系采购方</w:t>
            </w:r>
            <w:r>
              <w:rPr>
                <w:rFonts w:hint="eastAsia" w:ascii="宋体" w:hAnsi="宋体" w:eastAsia="宋体" w:cs="宋体"/>
                <w:bCs/>
                <w:sz w:val="21"/>
                <w:szCs w:val="21"/>
                <w:highlight w:val="none"/>
              </w:rPr>
              <w:t>（联系人：</w:t>
            </w:r>
            <w:r>
              <w:rPr>
                <w:rFonts w:hint="eastAsia" w:ascii="宋体" w:hAnsi="宋体" w:eastAsia="宋体" w:cs="宋体"/>
                <w:sz w:val="21"/>
                <w:szCs w:val="21"/>
                <w:highlight w:val="none"/>
                <w:lang w:val="en-US" w:eastAsia="zh-CN"/>
              </w:rPr>
              <w:t>钱佳奚</w:t>
            </w:r>
            <w:r>
              <w:rPr>
                <w:rFonts w:hint="eastAsia" w:ascii="宋体" w:hAnsi="宋体" w:eastAsia="宋体" w:cs="宋体"/>
                <w:sz w:val="21"/>
                <w:szCs w:val="21"/>
                <w:highlight w:val="none"/>
              </w:rPr>
              <w:t xml:space="preserve"> </w:t>
            </w:r>
            <w:r>
              <w:rPr>
                <w:rFonts w:hint="eastAsia" w:ascii="宋体" w:hAnsi="宋体" w:eastAsia="宋体" w:cs="宋体"/>
                <w:bCs/>
                <w:sz w:val="21"/>
                <w:szCs w:val="21"/>
                <w:highlight w:val="none"/>
              </w:rPr>
              <w:t>；联系电话：</w:t>
            </w:r>
            <w:r>
              <w:rPr>
                <w:rFonts w:hint="eastAsia" w:ascii="宋体" w:hAnsi="宋体" w:eastAsia="宋体" w:cs="宋体"/>
                <w:sz w:val="21"/>
                <w:szCs w:val="21"/>
                <w:highlight w:val="none"/>
                <w:lang w:val="en-US" w:eastAsia="zh-CN"/>
              </w:rPr>
              <w:t>0571-</w:t>
            </w:r>
            <w:r>
              <w:rPr>
                <w:rFonts w:hint="eastAsia" w:ascii="宋体" w:hAnsi="宋体" w:eastAsia="宋体" w:cs="宋体"/>
                <w:sz w:val="21"/>
                <w:szCs w:val="21"/>
                <w:highlight w:val="none"/>
              </w:rPr>
              <w:t>87287621，</w:t>
            </w:r>
            <w:r>
              <w:rPr>
                <w:rFonts w:hint="eastAsia" w:ascii="宋体" w:hAnsi="宋体" w:eastAsia="宋体" w:cs="宋体"/>
                <w:sz w:val="21"/>
                <w:szCs w:val="21"/>
                <w:highlight w:val="none"/>
                <w:lang w:val="en-US" w:eastAsia="zh-CN"/>
              </w:rPr>
              <w:t>0571-</w:t>
            </w:r>
            <w:r>
              <w:rPr>
                <w:rFonts w:hint="eastAsia" w:ascii="宋体" w:hAnsi="宋体" w:eastAsia="宋体" w:cs="宋体"/>
                <w:sz w:val="21"/>
                <w:szCs w:val="21"/>
                <w:highlight w:val="none"/>
              </w:rPr>
              <w:t>87287711</w:t>
            </w:r>
            <w:r>
              <w:rPr>
                <w:rFonts w:hint="eastAsia" w:ascii="宋体" w:hAnsi="宋体" w:eastAsia="宋体" w:cs="宋体"/>
                <w:bCs/>
                <w:sz w:val="21"/>
                <w:szCs w:val="21"/>
                <w:highlight w:val="none"/>
              </w:rPr>
              <w:t>，地点：杭州市萧山机场）。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投标预备会：</w:t>
            </w:r>
            <w:r>
              <w:rPr>
                <w:rFonts w:hint="eastAsia" w:ascii="宋体" w:hAnsi="宋体" w:eastAsia="宋体" w:cs="宋体"/>
                <w:bCs/>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投标文件递交截止</w:t>
            </w:r>
            <w:r>
              <w:rPr>
                <w:rFonts w:hint="eastAsia" w:ascii="宋体" w:hAnsi="宋体" w:eastAsia="宋体" w:cs="宋体"/>
                <w:b/>
                <w:sz w:val="21"/>
                <w:szCs w:val="21"/>
                <w:highlight w:val="none"/>
                <w:lang w:val="zh-CN"/>
              </w:rPr>
              <w:t>时间：</w:t>
            </w:r>
            <w:r>
              <w:rPr>
                <w:rFonts w:hint="eastAsia" w:ascii="宋体" w:hAnsi="宋体" w:eastAsia="宋体" w:cs="宋体"/>
                <w:bCs/>
                <w:sz w:val="21"/>
                <w:szCs w:val="21"/>
                <w:highlight w:val="none"/>
                <w:lang w:val="zh-CN"/>
              </w:rPr>
              <w:t>201</w:t>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lang w:val="zh-CN"/>
              </w:rPr>
              <w:t>年</w:t>
            </w:r>
            <w:r>
              <w:rPr>
                <w:rFonts w:hint="eastAsia" w:ascii="宋体" w:hAnsi="宋体" w:eastAsia="宋体" w:cs="宋体"/>
                <w:bCs/>
                <w:sz w:val="21"/>
                <w:szCs w:val="21"/>
                <w:highlight w:val="none"/>
                <w:lang w:val="en-US" w:eastAsia="zh-CN"/>
              </w:rPr>
              <w:t>08</w:t>
            </w:r>
            <w:r>
              <w:rPr>
                <w:rFonts w:hint="eastAsia" w:ascii="宋体" w:hAnsi="宋体" w:eastAsia="宋体" w:cs="宋体"/>
                <w:bCs/>
                <w:sz w:val="21"/>
                <w:szCs w:val="21"/>
                <w:highlight w:val="none"/>
                <w:lang w:val="zh-CN"/>
              </w:rPr>
              <w:t>月</w:t>
            </w:r>
            <w:r>
              <w:rPr>
                <w:rFonts w:hint="eastAsia" w:ascii="宋体" w:hAnsi="宋体" w:eastAsia="宋体" w:cs="宋体"/>
                <w:bCs/>
                <w:sz w:val="21"/>
                <w:szCs w:val="21"/>
                <w:highlight w:val="none"/>
                <w:lang w:val="en-US" w:eastAsia="zh-CN"/>
              </w:rPr>
              <w:t>21</w:t>
            </w:r>
            <w:r>
              <w:rPr>
                <w:rFonts w:hint="eastAsia" w:ascii="宋体" w:hAnsi="宋体" w:eastAsia="宋体" w:cs="宋体"/>
                <w:bCs/>
                <w:sz w:val="21"/>
                <w:szCs w:val="21"/>
                <w:highlight w:val="none"/>
                <w:lang w:val="zh-CN"/>
              </w:rPr>
              <w:t>日</w:t>
            </w:r>
            <w:r>
              <w:rPr>
                <w:rFonts w:hint="eastAsia" w:ascii="宋体" w:hAnsi="宋体" w:eastAsia="宋体" w:cs="宋体"/>
                <w:bCs/>
                <w:sz w:val="21"/>
                <w:szCs w:val="21"/>
                <w:highlight w:val="none"/>
              </w:rPr>
              <w:t>14</w:t>
            </w:r>
            <w:r>
              <w:rPr>
                <w:rFonts w:hint="eastAsia" w:ascii="宋体" w:hAnsi="宋体" w:eastAsia="宋体" w:cs="宋体"/>
                <w:bCs/>
                <w:sz w:val="21"/>
                <w:szCs w:val="21"/>
                <w:highlight w:val="none"/>
                <w:lang w:val="zh-CN"/>
              </w:rPr>
              <w:t>时</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1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投标文件递交</w:t>
            </w:r>
            <w:r>
              <w:rPr>
                <w:rFonts w:hint="eastAsia" w:ascii="宋体" w:hAnsi="宋体" w:eastAsia="宋体" w:cs="宋体"/>
                <w:b/>
                <w:sz w:val="21"/>
                <w:szCs w:val="21"/>
                <w:highlight w:val="none"/>
                <w:lang w:val="zh-CN"/>
              </w:rPr>
              <w:t>地点：</w:t>
            </w:r>
            <w:r>
              <w:rPr>
                <w:rFonts w:hint="eastAsia" w:ascii="宋体" w:hAnsi="宋体" w:eastAsia="宋体" w:cs="宋体"/>
                <w:b w:val="0"/>
                <w:bCs/>
                <w:sz w:val="21"/>
                <w:szCs w:val="21"/>
                <w:highlight w:val="none"/>
                <w:lang w:val="zh-CN"/>
              </w:rPr>
              <w:t>浙江潮王大酒店5楼会议室（杭州市潮王路208号）</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9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
                <w:sz w:val="21"/>
                <w:szCs w:val="21"/>
                <w:highlight w:val="none"/>
              </w:rPr>
              <w:t>开标时间、地点及流程：</w:t>
            </w:r>
          </w:p>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开标顺序：按照投标文件送达的先后顺序进行开标（后到先开）。</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开标程序：本项目分两阶段开标，具体如下：</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第一阶段：资信商务及技术文件开标；</w:t>
            </w:r>
          </w:p>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时间：</w:t>
            </w:r>
            <w:r>
              <w:rPr>
                <w:rFonts w:hint="eastAsia" w:ascii="宋体" w:hAnsi="宋体" w:eastAsia="宋体" w:cs="宋体"/>
                <w:bCs/>
                <w:sz w:val="21"/>
                <w:szCs w:val="21"/>
                <w:highlight w:val="none"/>
                <w:lang w:val="zh-CN"/>
              </w:rPr>
              <w:t>201</w:t>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lang w:val="zh-CN"/>
              </w:rPr>
              <w:t>年</w:t>
            </w:r>
            <w:r>
              <w:rPr>
                <w:rFonts w:hint="eastAsia" w:ascii="宋体" w:hAnsi="宋体" w:eastAsia="宋体" w:cs="宋体"/>
                <w:bCs/>
                <w:sz w:val="21"/>
                <w:szCs w:val="21"/>
                <w:highlight w:val="none"/>
                <w:lang w:val="en-US" w:eastAsia="zh-CN"/>
              </w:rPr>
              <w:t>08</w:t>
            </w:r>
            <w:r>
              <w:rPr>
                <w:rFonts w:hint="eastAsia" w:ascii="宋体" w:hAnsi="宋体" w:eastAsia="宋体" w:cs="宋体"/>
                <w:bCs/>
                <w:sz w:val="21"/>
                <w:szCs w:val="21"/>
                <w:highlight w:val="none"/>
                <w:lang w:val="zh-CN"/>
              </w:rPr>
              <w:t>月</w:t>
            </w:r>
            <w:r>
              <w:rPr>
                <w:rFonts w:hint="eastAsia" w:ascii="宋体" w:hAnsi="宋体" w:eastAsia="宋体" w:cs="宋体"/>
                <w:bCs/>
                <w:sz w:val="21"/>
                <w:szCs w:val="21"/>
                <w:highlight w:val="none"/>
                <w:lang w:val="en-US" w:eastAsia="zh-CN"/>
              </w:rPr>
              <w:t>21</w:t>
            </w:r>
            <w:r>
              <w:rPr>
                <w:rFonts w:hint="eastAsia" w:ascii="宋体" w:hAnsi="宋体" w:eastAsia="宋体" w:cs="宋体"/>
                <w:bCs/>
                <w:sz w:val="21"/>
                <w:szCs w:val="21"/>
                <w:highlight w:val="none"/>
                <w:lang w:val="zh-CN"/>
              </w:rPr>
              <w:t>日</w:t>
            </w:r>
            <w:r>
              <w:rPr>
                <w:rFonts w:hint="eastAsia" w:ascii="宋体" w:hAnsi="宋体" w:eastAsia="宋体" w:cs="宋体"/>
                <w:bCs/>
                <w:sz w:val="21"/>
                <w:szCs w:val="21"/>
                <w:highlight w:val="none"/>
              </w:rPr>
              <w:t>14</w:t>
            </w:r>
            <w:r>
              <w:rPr>
                <w:rFonts w:hint="eastAsia" w:ascii="宋体" w:hAnsi="宋体" w:eastAsia="宋体" w:cs="宋体"/>
                <w:bCs/>
                <w:sz w:val="21"/>
                <w:szCs w:val="21"/>
                <w:highlight w:val="none"/>
                <w:lang w:val="zh-CN"/>
              </w:rPr>
              <w:t>时</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0分</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Cs/>
                <w:sz w:val="21"/>
                <w:szCs w:val="21"/>
                <w:highlight w:val="none"/>
              </w:rPr>
              <w:t>开标地点：浙江潮王大酒店5楼会议室（杭州市潮王路208号）。</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第二阶段：报价文件开标；</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时间：资信商务及技术文件评审结束后（以采购代理机构通知时间为准）；</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地点：同第一阶段开标地点。</w:t>
            </w:r>
          </w:p>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注：第一阶段评审过程中作无效标处理的，报价文件直接退还供应商。</w:t>
            </w:r>
          </w:p>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供应商法定代表人或其授权委托人须随带开标委托代理书和本人有效身份证原件（居民身份证或护照或港澳台胞证）（复印件或扫描件无效）准时到场参加开标会议。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95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招标文件的澄清、补充、修改的时间：</w:t>
            </w:r>
          </w:p>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澄清、补充、修改的内容影响投标文件编制的，招标人将在投标截止时间15日前，以电子文件/传真形式发给各投标单位，不足15天的，招标人将顺延递交投标文件的截止时间。</w:t>
            </w:r>
          </w:p>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Cs/>
                <w:sz w:val="21"/>
                <w:szCs w:val="21"/>
                <w:highlight w:val="none"/>
              </w:rPr>
              <w:t xml:space="preserve">    澄清、补充、修改的内容不影响投标文件编制的，将在投标文件递交截止时间 5 天前，以上款相同的形式发布。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Cs/>
                <w:sz w:val="21"/>
                <w:szCs w:val="21"/>
                <w:highlight w:val="none"/>
              </w:rPr>
            </w:pPr>
            <w:r>
              <w:rPr>
                <w:rFonts w:hint="eastAsia" w:ascii="宋体" w:hAnsi="宋体" w:eastAsia="宋体" w:cs="宋体"/>
                <w:b/>
                <w:sz w:val="21"/>
                <w:szCs w:val="21"/>
                <w:highlight w:val="none"/>
              </w:rPr>
              <w:t>投标限价：人民币</w:t>
            </w:r>
            <w:r>
              <w:rPr>
                <w:rFonts w:hint="eastAsia" w:ascii="宋体" w:hAnsi="宋体" w:eastAsia="宋体" w:cs="宋体"/>
                <w:b/>
                <w:sz w:val="21"/>
                <w:szCs w:val="21"/>
                <w:highlight w:val="none"/>
                <w:lang w:val="en-US" w:eastAsia="zh-CN"/>
              </w:rPr>
              <w:t>1343910</w:t>
            </w:r>
            <w:r>
              <w:rPr>
                <w:rFonts w:hint="eastAsia" w:ascii="宋体" w:hAnsi="宋体" w:eastAsia="宋体" w:cs="宋体"/>
                <w:b/>
                <w:sz w:val="21"/>
                <w:szCs w:val="21"/>
                <w:highlight w:val="none"/>
              </w:rPr>
              <w:t>元</w:t>
            </w:r>
            <w:r>
              <w:rPr>
                <w:rFonts w:hint="eastAsia" w:ascii="宋体" w:hAnsi="宋体" w:eastAsia="宋体" w:cs="宋体"/>
                <w:bCs/>
                <w:sz w:val="21"/>
                <w:szCs w:val="21"/>
                <w:highlight w:val="none"/>
              </w:rPr>
              <w:t>，</w:t>
            </w:r>
            <w:r>
              <w:rPr>
                <w:rFonts w:hint="eastAsia" w:ascii="宋体" w:hAnsi="宋体" w:eastAsia="宋体" w:cs="宋体"/>
                <w:b/>
                <w:bCs/>
                <w:sz w:val="21"/>
                <w:szCs w:val="21"/>
                <w:highlight w:val="none"/>
              </w:rPr>
              <w:t>超出投标限价的供应商将作无效标处理。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1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投标报价范围：</w:t>
            </w:r>
            <w:r>
              <w:rPr>
                <w:rFonts w:hint="eastAsia" w:ascii="宋体" w:hAnsi="宋体" w:eastAsia="宋体" w:cs="宋体"/>
                <w:bCs/>
                <w:sz w:val="21"/>
                <w:szCs w:val="21"/>
                <w:highlight w:val="none"/>
              </w:rPr>
              <w:t>含税全包价，包括货物、人工、维修、货物的运输、装卸、安装、调试、培训、验收、保修、税费等一切费用（即交钥匙工程）。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6"/>
              <w:spacing w:line="360" w:lineRule="auto"/>
              <w:ind w:left="2"/>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评标办法：</w:t>
            </w:r>
            <w:r>
              <w:rPr>
                <w:rFonts w:hint="eastAsia" w:ascii="宋体" w:hAnsi="宋体" w:eastAsia="宋体" w:cs="宋体"/>
                <w:bCs/>
                <w:sz w:val="21"/>
                <w:szCs w:val="21"/>
                <w:highlight w:val="none"/>
              </w:rPr>
              <w:t>综合评分法、资格后审。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投标文件组成：</w:t>
            </w:r>
            <w:r>
              <w:rPr>
                <w:rFonts w:hint="eastAsia" w:ascii="宋体" w:hAnsi="宋体" w:eastAsia="宋体" w:cs="宋体"/>
                <w:szCs w:val="21"/>
                <w:highlight w:val="none"/>
              </w:rPr>
              <w:t>投标文件由</w:t>
            </w:r>
            <w:r>
              <w:rPr>
                <w:rFonts w:hint="eastAsia" w:ascii="宋体" w:hAnsi="宋体" w:eastAsia="宋体" w:cs="宋体"/>
                <w:b/>
                <w:bCs/>
                <w:szCs w:val="21"/>
                <w:highlight w:val="none"/>
              </w:rPr>
              <w:t>报价文件</w:t>
            </w:r>
            <w:r>
              <w:rPr>
                <w:rFonts w:hint="eastAsia" w:ascii="宋体" w:hAnsi="宋体" w:eastAsia="宋体" w:cs="宋体"/>
                <w:szCs w:val="21"/>
                <w:highlight w:val="none"/>
              </w:rPr>
              <w:t>、</w:t>
            </w:r>
            <w:r>
              <w:rPr>
                <w:rFonts w:hint="eastAsia" w:ascii="宋体" w:hAnsi="宋体" w:eastAsia="宋体" w:cs="宋体"/>
                <w:b/>
                <w:bCs/>
                <w:szCs w:val="21"/>
                <w:highlight w:val="none"/>
              </w:rPr>
              <w:t>资信及商务文件</w:t>
            </w:r>
            <w:r>
              <w:rPr>
                <w:rFonts w:hint="eastAsia" w:ascii="宋体" w:hAnsi="宋体" w:eastAsia="宋体" w:cs="宋体"/>
                <w:szCs w:val="21"/>
                <w:highlight w:val="none"/>
              </w:rPr>
              <w:t>、</w:t>
            </w:r>
            <w:r>
              <w:rPr>
                <w:rFonts w:hint="eastAsia" w:ascii="宋体" w:hAnsi="宋体" w:eastAsia="宋体" w:cs="宋体"/>
                <w:b/>
                <w:bCs/>
                <w:szCs w:val="21"/>
                <w:highlight w:val="none"/>
              </w:rPr>
              <w:t>技术文件</w:t>
            </w:r>
            <w:r>
              <w:rPr>
                <w:rFonts w:hint="eastAsia" w:ascii="宋体" w:hAnsi="宋体" w:eastAsia="宋体" w:cs="宋体"/>
                <w:szCs w:val="21"/>
                <w:highlight w:val="none"/>
              </w:rPr>
              <w:t>正本各1份、副本各5份组成。提供电子文档一份（光盘/u盘）。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评标结果公示：</w:t>
            </w:r>
            <w:r>
              <w:rPr>
                <w:rFonts w:hint="eastAsia" w:ascii="宋体" w:hAnsi="宋体" w:eastAsia="宋体" w:cs="宋体"/>
                <w:szCs w:val="21"/>
                <w:highlight w:val="none"/>
              </w:rPr>
              <w:t>评标结束后7个工作日内，中标公告公示于浙江政府采购网并发出中标通知书。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4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投标保证金：</w:t>
            </w:r>
            <w:r>
              <w:rPr>
                <w:rFonts w:hint="eastAsia" w:ascii="宋体" w:hAnsi="宋体" w:eastAsia="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投标保证金退还：</w:t>
            </w:r>
            <w:r>
              <w:rPr>
                <w:rFonts w:hint="eastAsia" w:ascii="宋体" w:hAnsi="宋体" w:eastAsia="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签订合同时间：</w:t>
            </w:r>
            <w:r>
              <w:rPr>
                <w:rFonts w:hint="eastAsia" w:ascii="宋体" w:hAnsi="宋体" w:eastAsia="宋体" w:cs="宋体"/>
                <w:szCs w:val="21"/>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宋体" w:hAnsi="宋体" w:eastAsia="宋体" w:cs="宋体"/>
                <w:bCs/>
                <w:snapToGrid w:val="0"/>
                <w:kern w:val="0"/>
                <w:szCs w:val="21"/>
                <w:highlight w:val="none"/>
              </w:rPr>
            </w:pPr>
            <w:r>
              <w:rPr>
                <w:rFonts w:hint="eastAsia" w:ascii="宋体" w:hAnsi="宋体" w:eastAsia="宋体" w:cs="宋体"/>
                <w:b/>
                <w:bCs/>
                <w:szCs w:val="21"/>
                <w:highlight w:val="none"/>
              </w:rPr>
              <w:t>履约保证金:</w:t>
            </w:r>
            <w:r>
              <w:rPr>
                <w:rFonts w:hint="eastAsia" w:ascii="宋体" w:hAnsi="宋体" w:eastAsia="宋体" w:cs="宋体"/>
                <w:szCs w:val="21"/>
                <w:highlight w:val="none"/>
              </w:rPr>
              <w:t>合同签订前向采购人缴纳合同金额的5%作为履约保证金</w:t>
            </w:r>
            <w:r>
              <w:rPr>
                <w:rFonts w:hint="eastAsia" w:ascii="宋体" w:hAnsi="宋体" w:eastAsia="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投标文件有效期：</w:t>
            </w:r>
            <w:r>
              <w:rPr>
                <w:rFonts w:hint="eastAsia" w:ascii="宋体" w:hAnsi="宋体" w:eastAsia="宋体" w:cs="宋体"/>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支持小微企业：</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价格扣除：根据工信部等部委发布的《关于印发中小企业划型标准规定的通知》（工信部联企业〔2011〕300号），根据具体品目确定相应标准。符合上述条件的中小微型企业应按照招标文件附件的格式要求提供《中小企业声明函》，《中小企业资格确认意见书》（或者投标截止时间前7日内“国家企业信用信息公示系统—小微企业名录”页面查询结果）。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根据财政部发布的《政府采购促进中小企业发展暂行办法》规定，对于非专门面向此类企业的项目，对小型和微型企业产品的投标价格给予6 %的扣除，用扣除后的价格参与评审。</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是否允许采购进口产品：否。</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投标产品若属于节能环保产品请提供相应依据。</w:t>
            </w:r>
          </w:p>
          <w:p>
            <w:pPr>
              <w:snapToGrid w:val="0"/>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28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解释：</w:t>
            </w:r>
            <w:r>
              <w:rPr>
                <w:rFonts w:hint="eastAsia" w:ascii="宋体" w:hAnsi="宋体" w:eastAsia="宋体" w:cs="宋体"/>
                <w:szCs w:val="21"/>
                <w:highlight w:val="none"/>
              </w:rPr>
              <w:t>本招标文件的解释权属于浙江省公安厅机场公安局（大地工程咨询有限公司）。</w:t>
            </w:r>
          </w:p>
        </w:tc>
      </w:tr>
    </w:tbl>
    <w:p>
      <w:pPr>
        <w:rPr>
          <w:rFonts w:hint="eastAsia" w:ascii="宋体" w:hAnsi="宋体" w:eastAsia="宋体" w:cs="宋体"/>
          <w:b/>
          <w:szCs w:val="21"/>
          <w:highlight w:val="none"/>
        </w:rPr>
      </w:pPr>
      <w:r>
        <w:rPr>
          <w:rFonts w:hint="eastAsia" w:ascii="宋体" w:hAnsi="宋体" w:eastAsia="宋体" w:cs="宋体"/>
          <w:szCs w:val="21"/>
          <w:highlight w:val="none"/>
        </w:rPr>
        <w:t>注：以上内容如有变化将书面通知。如通知其中某一内容发生变化，未提及的将不作变动。</w:t>
      </w:r>
    </w:p>
    <w:p>
      <w:pPr>
        <w:pStyle w:val="21"/>
        <w:snapToGrid w:val="0"/>
        <w:spacing w:before="156" w:after="156" w:line="360" w:lineRule="auto"/>
        <w:outlineLvl w:val="1"/>
        <w:rPr>
          <w:rFonts w:hint="eastAsia" w:hAnsi="宋体" w:eastAsia="宋体" w:cs="宋体"/>
          <w:b/>
          <w:sz w:val="21"/>
          <w:szCs w:val="21"/>
          <w:highlight w:val="none"/>
        </w:rPr>
      </w:pPr>
      <w:r>
        <w:rPr>
          <w:rFonts w:hint="eastAsia" w:hAnsi="宋体" w:eastAsia="宋体" w:cs="宋体"/>
          <w:sz w:val="30"/>
          <w:szCs w:val="30"/>
          <w:highlight w:val="none"/>
        </w:rPr>
        <w:br w:type="page"/>
      </w:r>
      <w:bookmarkStart w:id="4" w:name="_Toc448411046"/>
      <w:bookmarkStart w:id="5" w:name="_Toc482808157"/>
      <w:bookmarkStart w:id="6" w:name="_Toc372790138"/>
      <w:r>
        <w:rPr>
          <w:rFonts w:hint="eastAsia" w:hAnsi="宋体" w:eastAsia="宋体" w:cs="宋体"/>
          <w:b/>
          <w:sz w:val="21"/>
          <w:szCs w:val="21"/>
          <w:highlight w:val="none"/>
        </w:rPr>
        <w:t>一 、总  则</w:t>
      </w:r>
      <w:bookmarkEnd w:id="4"/>
      <w:bookmarkEnd w:id="5"/>
      <w:bookmarkEnd w:id="6"/>
    </w:p>
    <w:p>
      <w:pPr>
        <w:snapToGrid w:val="0"/>
        <w:spacing w:line="360" w:lineRule="auto"/>
        <w:ind w:firstLine="312" w:firstLineChars="148"/>
        <w:jc w:val="left"/>
        <w:rPr>
          <w:rFonts w:hint="eastAsia" w:ascii="宋体" w:hAnsi="宋体" w:eastAsia="宋体" w:cs="宋体"/>
          <w:b/>
          <w:szCs w:val="21"/>
          <w:highlight w:val="none"/>
        </w:rPr>
      </w:pPr>
      <w:r>
        <w:rPr>
          <w:rFonts w:hint="eastAsia" w:ascii="宋体" w:hAnsi="宋体" w:eastAsia="宋体" w:cs="宋体"/>
          <w:b/>
          <w:szCs w:val="21"/>
          <w:highlight w:val="none"/>
        </w:rPr>
        <w:t>（一） 适用范围</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仅适用于本次招标文件中采购项目的的招标、投标、评标、定标、验收、合同履约、付款等行为（法律、法规另有规定的，从其规定）。</w:t>
      </w:r>
    </w:p>
    <w:p>
      <w:pPr>
        <w:snapToGrid w:val="0"/>
        <w:spacing w:before="156" w:beforeLines="50"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（二）定义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1、“招标代理方”系指组织本次招标的大地工程咨询有限公司。</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2、“投标人”系指向招标方提交投标文件的单位。</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3、“采购人”系指委托招标方采购本次项目的浙江省公安厅机场公安局。</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4、“产品”系指供方按招标文件规定，须向采购人提供的一切设备、保险、税金、备品备件、工具、手册及其它有关技术资料和材料。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5、“服务”系指招标文件规定投标人须承担的安装、调试、技术协助、校准、培训、技术指导以及其他类似的义务。</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6、“项目”系指投标人按招标文件规定向采购人提供的产品和服务。</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（三）投标委托</w:t>
      </w:r>
    </w:p>
    <w:p>
      <w:pPr>
        <w:pStyle w:val="19"/>
        <w:snapToGrid w:val="0"/>
        <w:spacing w:line="360" w:lineRule="auto"/>
        <w:ind w:firstLine="420" w:firstLineChars="200"/>
        <w:jc w:val="left"/>
        <w:rPr>
          <w:rFonts w:hint="eastAsia" w:hAnsi="宋体" w:eastAsia="宋体" w:cs="宋体"/>
          <w:spacing w:val="0"/>
          <w:sz w:val="21"/>
          <w:szCs w:val="21"/>
          <w:highlight w:val="none"/>
        </w:rPr>
      </w:pPr>
      <w:r>
        <w:rPr>
          <w:rFonts w:hint="eastAsia" w:hAnsi="宋体" w:eastAsia="宋体" w:cs="宋体"/>
          <w:spacing w:val="0"/>
          <w:sz w:val="21"/>
          <w:szCs w:val="21"/>
          <w:highlight w:val="none"/>
        </w:rPr>
        <w:t>全权代表须携带有效身份证件。如全权代表不是法定代表人，须有法定代表人出具的授权委托书（格式见第四部分附件3）。</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（四）投标费用</w:t>
      </w:r>
    </w:p>
    <w:p>
      <w:pPr>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1、不论投标结果如何，投标人均应自行承担所有与投标有关的全部费用。</w:t>
      </w:r>
    </w:p>
    <w:p>
      <w:pPr>
        <w:snapToGrid w:val="0"/>
        <w:spacing w:before="156" w:beforeLines="50" w:line="360" w:lineRule="auto"/>
        <w:ind w:firstLine="413" w:firstLineChars="196"/>
        <w:jc w:val="left"/>
        <w:rPr>
          <w:rFonts w:hint="eastAsia" w:ascii="宋体" w:hAnsi="宋体" w:eastAsia="宋体" w:cs="宋体"/>
          <w:b/>
          <w:bCs/>
          <w:szCs w:val="21"/>
          <w:highlight w:val="none"/>
        </w:rPr>
      </w:pPr>
      <w:r>
        <w:rPr>
          <w:rFonts w:hint="eastAsia" w:ascii="宋体" w:hAnsi="宋体" w:eastAsia="宋体" w:cs="宋体"/>
          <w:b/>
          <w:bCs/>
          <w:szCs w:val="21"/>
          <w:highlight w:val="none"/>
        </w:rPr>
        <w:t>2、招标代理服务费：参照</w:t>
      </w:r>
      <w:r>
        <w:rPr>
          <w:rFonts w:hint="eastAsia" w:ascii="宋体" w:hAnsi="宋体" w:eastAsia="宋体" w:cs="宋体"/>
          <w:b/>
          <w:bCs/>
          <w:szCs w:val="21"/>
          <w:highlight w:val="none"/>
        </w:rPr>
        <w:fldChar w:fldCharType="begin"/>
      </w:r>
      <w:r>
        <w:rPr>
          <w:rFonts w:hint="eastAsia" w:ascii="宋体" w:hAnsi="宋体" w:eastAsia="宋体" w:cs="宋体"/>
          <w:b/>
          <w:bCs/>
          <w:szCs w:val="21"/>
          <w:highlight w:val="none"/>
        </w:rPr>
        <w:instrText xml:space="preserve"> HYPERLINK "http://www.zmctc.com/dzzw/zcfg/listdoc.asp?tid=501101&amp;page=2&amp;keywords=招标&amp;ZZFGsearch=1" \l "#" </w:instrText>
      </w:r>
      <w:r>
        <w:rPr>
          <w:rFonts w:hint="eastAsia" w:ascii="宋体" w:hAnsi="宋体" w:eastAsia="宋体" w:cs="宋体"/>
          <w:b/>
          <w:bCs/>
          <w:szCs w:val="21"/>
          <w:highlight w:val="none"/>
        </w:rPr>
        <w:fldChar w:fldCharType="separate"/>
      </w:r>
      <w:r>
        <w:rPr>
          <w:rFonts w:hint="eastAsia" w:ascii="宋体" w:hAnsi="宋体" w:eastAsia="宋体" w:cs="宋体"/>
          <w:b/>
          <w:bCs/>
          <w:szCs w:val="21"/>
          <w:highlight w:val="none"/>
        </w:rPr>
        <w:t>国家计委关于印发《招标代理服务收费管理暂行办法》的通知[计价格（2002）1980号]</w:t>
      </w:r>
      <w:r>
        <w:rPr>
          <w:rFonts w:hint="eastAsia" w:ascii="宋体" w:hAnsi="宋体" w:eastAsia="宋体" w:cs="宋体"/>
          <w:b/>
          <w:bCs/>
          <w:szCs w:val="21"/>
          <w:highlight w:val="none"/>
        </w:rPr>
        <w:fldChar w:fldCharType="end"/>
      </w:r>
      <w:r>
        <w:rPr>
          <w:rFonts w:hint="eastAsia" w:ascii="宋体" w:hAnsi="宋体" w:eastAsia="宋体" w:cs="宋体"/>
          <w:b/>
          <w:bCs/>
          <w:szCs w:val="21"/>
          <w:highlight w:val="none"/>
        </w:rPr>
        <w:t>货物类标准计算，计费基数为中标价，由中标供应商在中标通知书发出同时支付给招标代理机构，供应商在报价时应充分考虑。</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（五）特别说明：</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1、单位负责人为同一人或者存在直接控股、管理关系的不同供应商，不得参加同一合同项下的政府采购活动。</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低的原则确定中标人；投标报价相同的采取随机抽取方式确定，其他同品牌投标人不作为中标候选人。</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4、投标人应仔细阅读招标文件的所有内容，按照招标文件的要求提交投标文件，并对所提供的全部资料的真实性承担法律责任。</w:t>
      </w:r>
    </w:p>
    <w:p>
      <w:pPr>
        <w:pStyle w:val="21"/>
        <w:snapToGrid w:val="0"/>
        <w:spacing w:before="156" w:after="156" w:line="360" w:lineRule="auto"/>
        <w:outlineLvl w:val="1"/>
        <w:rPr>
          <w:rFonts w:hint="eastAsia" w:hAnsi="宋体" w:eastAsia="宋体" w:cs="宋体"/>
          <w:b/>
          <w:sz w:val="21"/>
          <w:szCs w:val="21"/>
          <w:highlight w:val="none"/>
        </w:rPr>
      </w:pPr>
      <w:bookmarkStart w:id="7" w:name="_Toc448411047"/>
      <w:bookmarkStart w:id="8" w:name="_Toc482791891"/>
      <w:bookmarkStart w:id="9" w:name="_Toc482808158"/>
      <w:r>
        <w:rPr>
          <w:rFonts w:hint="eastAsia" w:hAnsi="宋体" w:eastAsia="宋体" w:cs="宋体"/>
          <w:b/>
          <w:sz w:val="21"/>
          <w:szCs w:val="21"/>
          <w:highlight w:val="none"/>
        </w:rPr>
        <w:t>（六）质疑和投诉</w:t>
      </w:r>
      <w:bookmarkEnd w:id="7"/>
      <w:bookmarkEnd w:id="8"/>
      <w:bookmarkEnd w:id="9"/>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投标人如认为招标文件、采购过程和中标结果使自身的合法权益受到损害的，可以在知道或者应知其权益受到损害之日起七个工作日内，以书面形式向采购人和采购代理机构提出质疑；投标人对采购人和采购代理机构的质疑答复不满意或者采购人和采购代理机构未在规定时间内作出答复的，可以在答复期满后十五个工作日内向同级政府采购监督管理部门投诉。</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3、质疑和投诉必须满足《中华人民共和国政府采购法实施条例》第五十五条的规定，即“供应商质疑、投诉应当有明确的请求和必要的证明材料。供应商投诉的事项不得超出已质疑事项的范围”。</w:t>
      </w:r>
    </w:p>
    <w:p>
      <w:pPr>
        <w:pStyle w:val="12"/>
        <w:numPr>
          <w:ilvl w:val="0"/>
          <w:numId w:val="0"/>
        </w:numPr>
        <w:tabs>
          <w:tab w:val="left" w:pos="720"/>
        </w:tabs>
        <w:snapToGrid w:val="0"/>
        <w:spacing w:before="156" w:beforeLines="50"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（七）招标文件的澄清与修改 </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投标人应认真阅读本招标文件，发现其中有误或有不合理要求的，投标人应当在投标截止时间五日前以书面形式向浙江省公安厅机场公安局提出。浙江省公安厅机场公安局将在规定的时间内，在财政部门指定的政府采购信息发布媒体上发布更正公告，并以书面形式通知所有招标文件收受人。</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2、招标文件澄清、答复、修改、补充的内容为招标文件的组成部分。当招标文件与招标文件的答复、澄清、修改、补充通知就同一内容的表述不一致时，以最后发出的书面文件为准。</w:t>
      </w:r>
    </w:p>
    <w:p>
      <w:pPr>
        <w:pStyle w:val="21"/>
        <w:snapToGrid w:val="0"/>
        <w:spacing w:before="156" w:after="156" w:line="360" w:lineRule="auto"/>
        <w:outlineLvl w:val="1"/>
        <w:rPr>
          <w:rFonts w:hint="eastAsia" w:hAnsi="宋体" w:eastAsia="宋体" w:cs="宋体"/>
          <w:b/>
          <w:sz w:val="21"/>
          <w:szCs w:val="21"/>
          <w:highlight w:val="none"/>
        </w:rPr>
      </w:pPr>
      <w:bookmarkStart w:id="10" w:name="_Toc372790139"/>
      <w:bookmarkStart w:id="11" w:name="_Toc482808159"/>
      <w:bookmarkStart w:id="12" w:name="_Toc448411048"/>
      <w:r>
        <w:rPr>
          <w:rFonts w:hint="eastAsia" w:hAnsi="宋体" w:eastAsia="宋体" w:cs="宋体"/>
          <w:b/>
          <w:sz w:val="21"/>
          <w:szCs w:val="21"/>
          <w:highlight w:val="none"/>
        </w:rPr>
        <w:t>二、投标文件的编制</w:t>
      </w:r>
      <w:bookmarkEnd w:id="10"/>
      <w:bookmarkEnd w:id="11"/>
      <w:bookmarkEnd w:id="12"/>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（一）投标文件的组成</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投标文件由</w:t>
      </w:r>
      <w:r>
        <w:rPr>
          <w:rFonts w:hint="eastAsia" w:ascii="宋体" w:hAnsi="宋体" w:eastAsia="宋体" w:cs="宋体"/>
          <w:b/>
          <w:bCs/>
          <w:szCs w:val="21"/>
          <w:highlight w:val="none"/>
        </w:rPr>
        <w:t>资信及商务文件</w:t>
      </w:r>
      <w:r>
        <w:rPr>
          <w:rFonts w:hint="eastAsia" w:ascii="宋体" w:hAnsi="宋体" w:eastAsia="宋体" w:cs="宋体"/>
          <w:szCs w:val="21"/>
          <w:highlight w:val="none"/>
        </w:rPr>
        <w:t>、</w:t>
      </w:r>
      <w:r>
        <w:rPr>
          <w:rFonts w:hint="eastAsia" w:ascii="宋体" w:hAnsi="宋体" w:eastAsia="宋体" w:cs="宋体"/>
          <w:b/>
          <w:bCs/>
          <w:szCs w:val="21"/>
          <w:highlight w:val="none"/>
        </w:rPr>
        <w:t>技术文件</w:t>
      </w:r>
      <w:r>
        <w:rPr>
          <w:rFonts w:hint="eastAsia" w:ascii="宋体" w:hAnsi="宋体" w:eastAsia="宋体" w:cs="宋体"/>
          <w:szCs w:val="21"/>
          <w:highlight w:val="none"/>
        </w:rPr>
        <w:t>、</w:t>
      </w:r>
      <w:r>
        <w:rPr>
          <w:rFonts w:hint="eastAsia" w:ascii="宋体" w:hAnsi="宋体" w:eastAsia="宋体" w:cs="宋体"/>
          <w:b/>
          <w:bCs/>
          <w:szCs w:val="21"/>
          <w:highlight w:val="none"/>
        </w:rPr>
        <w:t>报价文件</w:t>
      </w:r>
      <w:r>
        <w:rPr>
          <w:rFonts w:hint="eastAsia" w:ascii="宋体" w:hAnsi="宋体" w:eastAsia="宋体" w:cs="宋体"/>
          <w:szCs w:val="21"/>
          <w:highlight w:val="none"/>
        </w:rPr>
        <w:t>三部分组成。</w:t>
      </w:r>
    </w:p>
    <w:p>
      <w:pPr>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1、资信及商务文件</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A、资信文件：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（1）投标声明书 (格式见附件)；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（2）法定代表人授权委托书(格式见附件)；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（3）提供有效的营业执照副本复印件；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提供由税务部门出具的最近三个月内缴纳增值税和企业所得税的纳税证明、缴纳社会保险的凭据（缴税付款凭证或社会保险缴纳证明）。依法免税或不需要缴纳社会保障资金的供应商，应提供相应文件证明其依法免税或不需要缴纳社会保障资金；</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（6）出具具有履行合同所必需的设备和专业技术能力的《承诺函》（内容及格式由投标人根据项目情况自定）；</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 参加政府采购活动前三年内，在经营活动中没有重大违法记录的书面声明（格式自拟）；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（8）提供供应商及其法定代表人近三年无行</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"http://wenshu.court.gov.cn/"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贿犯罪记录，以中国裁判文书网（http://wenshu.court.gov.cn</w:t>
      </w:r>
      <w:r>
        <w:rPr>
          <w:rFonts w:hint="eastAsia" w:ascii="宋体" w:hAnsi="宋体" w:eastAsia="宋体" w:cs="宋体"/>
          <w:szCs w:val="21"/>
          <w:highlight w:val="none"/>
        </w:rPr>
        <w:fldChar w:fldCharType="end"/>
      </w:r>
      <w:r>
        <w:rPr>
          <w:rFonts w:hint="eastAsia" w:ascii="宋体" w:hAnsi="宋体" w:eastAsia="宋体" w:cs="宋体"/>
          <w:szCs w:val="21"/>
          <w:highlight w:val="none"/>
        </w:rPr>
        <w:t>）查询结果为准（提供网站截图证明）；</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（9）招标公告中所要求的投标人的特定条件及需要说明的其他资质和说明。</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B、商务文件：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（1）投标人情况介绍（业务范围、技术力量、经营规模等）；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（2）自2016年1月1日以来</w:t>
      </w:r>
      <w:r>
        <w:rPr>
          <w:rFonts w:hint="eastAsia" w:ascii="宋体" w:hAnsi="宋体" w:eastAsia="宋体" w:cs="宋体"/>
          <w:szCs w:val="21"/>
          <w:highlight w:val="none"/>
          <w:lang w:val="en-US" w:eastAsia="zh-CN"/>
        </w:rPr>
        <w:t>同类</w:t>
      </w:r>
      <w:r>
        <w:rPr>
          <w:rFonts w:hint="eastAsia" w:ascii="宋体" w:hAnsi="宋体" w:eastAsia="宋体" w:cs="宋体"/>
          <w:szCs w:val="21"/>
          <w:highlight w:val="none"/>
        </w:rPr>
        <w:t>项目成功案例的业绩证明（投标人类似项目实施情况一览表、提供合同复印件，原件备查）；</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（3）资信及商务响应表（格式见附件）；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（4）自主创新、节能环保等的资质证书或文件（如有）；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（5）报价产品为环境标志产品、节能产品的相关证明材料（如有）；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（6）投标单位认为需要的其他文件资料。</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2、技术文件：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（1）综述：对本项目的理解和概述等；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（2）整体分析：阐述对招标文件技术规格书的理解，分析项目的建设目标、建设任务和要求；</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（3）系统集成实施方案：投标人根据本工程的建设范围、建设内容，在现有信息系统技术架构下，提出集成及部署方案，并确保系统运行的性能；</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（4）项目实施方案：给出项目总体进度计划，并从进度管理、质量管理、风险管理等方面说明项目保障体系，对系统测试、项目验收和成果交付方案进行阐述；</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（5）货物配置清单（要求明确产品数量、技术参数、规格型号、品牌；提供产品彩页或其它必要说明，不得体现任何价格信息，格式自拟）；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（6）投入到本项目的项目负责人、其他人员的情况汇总表及业绩、职称、资格证书、以往业绩、能力介绍、资格证明材料及人员到位率的承诺（格式自拟）；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（7）项目维护计划（对用户故障的响应、处理、定期巡检等情况）的有效性和售后服务的响应情况；</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（8）技术服务与培训：对技术支持体系和售后服务体系进行说明，进行必要的服务承诺，给出具体的培训计划和培训方案；</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（9）其它与补充说明：如有未尽事宜或对本技术规格书的技术要求有不同理解可补充说明。</w:t>
      </w:r>
    </w:p>
    <w:p>
      <w:pPr>
        <w:pStyle w:val="2"/>
        <w:spacing w:line="360" w:lineRule="auto"/>
        <w:ind w:firstLine="422" w:firstLineChars="200"/>
        <w:rPr>
          <w:rFonts w:hint="eastAsia" w:eastAsia="宋体" w:cs="宋体"/>
          <w:sz w:val="21"/>
          <w:szCs w:val="21"/>
          <w:highlight w:val="none"/>
        </w:rPr>
      </w:pPr>
      <w:r>
        <w:rPr>
          <w:rFonts w:hint="eastAsia" w:eastAsia="宋体" w:cs="宋体"/>
          <w:b/>
          <w:sz w:val="21"/>
          <w:szCs w:val="21"/>
          <w:highlight w:val="none"/>
          <w:lang w:val="en-US"/>
        </w:rPr>
        <w:t>注：投标单位请结合评分要点编制投标响应文件。</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3、报价文件：</w:t>
      </w:r>
    </w:p>
    <w:p>
      <w:pPr>
        <w:pStyle w:val="22"/>
        <w:snapToGrid w:val="0"/>
        <w:spacing w:line="360" w:lineRule="auto"/>
        <w:ind w:left="-4" w:leftChars="0" w:firstLine="422" w:firstLineChars="20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（1）开标一览表（格式见附件）；</w:t>
      </w:r>
    </w:p>
    <w:p>
      <w:pPr>
        <w:snapToGrid w:val="0"/>
        <w:spacing w:line="360" w:lineRule="auto"/>
        <w:ind w:left="-4" w:firstLine="422" w:firstLineChars="201"/>
        <w:jc w:val="left"/>
        <w:rPr>
          <w:rFonts w:hint="eastAsia" w:ascii="宋体" w:hAnsi="宋体" w:eastAsia="宋体" w:cs="宋体"/>
          <w:szCs w:val="21"/>
          <w:highlight w:val="none"/>
        </w:rPr>
      </w:pPr>
      <w:r>
        <w:rPr>
          <w:rFonts w:hint="eastAsia" w:ascii="宋体" w:hAnsi="宋体" w:eastAsia="宋体" w:cs="宋体"/>
          <w:szCs w:val="21"/>
          <w:highlight w:val="none"/>
        </w:rPr>
        <w:t>（2）投标报价明细表（格式见附件）；</w:t>
      </w:r>
    </w:p>
    <w:p>
      <w:pPr>
        <w:snapToGrid w:val="0"/>
        <w:spacing w:line="360" w:lineRule="auto"/>
        <w:ind w:left="-4" w:firstLine="422" w:firstLineChars="201"/>
        <w:rPr>
          <w:rFonts w:hint="eastAsia" w:ascii="宋体" w:hAnsi="宋体" w:eastAsia="宋体" w:cs="宋体"/>
          <w:szCs w:val="21"/>
          <w:highlight w:val="none"/>
        </w:rPr>
      </w:pPr>
      <w:r>
        <w:rPr>
          <w:rFonts w:hint="eastAsia" w:ascii="宋体" w:hAnsi="宋体" w:eastAsia="宋体" w:cs="宋体"/>
          <w:szCs w:val="21"/>
          <w:highlight w:val="none"/>
        </w:rPr>
        <w:t>（3）投标人针对报价需要说明的其他文件和说明（格式自拟）。</w:t>
      </w:r>
    </w:p>
    <w:p>
      <w:pPr>
        <w:snapToGrid w:val="0"/>
        <w:spacing w:line="360" w:lineRule="auto"/>
        <w:ind w:left="-4" w:firstLine="422" w:firstLineChars="201"/>
        <w:rPr>
          <w:rFonts w:hint="eastAsia" w:ascii="宋体" w:hAnsi="宋体" w:eastAsia="宋体" w:cs="宋体"/>
          <w:szCs w:val="21"/>
          <w:highlight w:val="none"/>
        </w:rPr>
      </w:pPr>
      <w:r>
        <w:rPr>
          <w:rFonts w:hint="eastAsia" w:ascii="宋体" w:hAnsi="宋体" w:eastAsia="宋体" w:cs="宋体"/>
          <w:szCs w:val="21"/>
          <w:highlight w:val="none"/>
        </w:rPr>
        <w:t>（4）中小企业的相关证明材料（如有，格式见附件）</w:t>
      </w:r>
      <w:r>
        <w:rPr>
          <w:rFonts w:hint="eastAsia" w:ascii="宋体" w:hAnsi="宋体" w:eastAsia="宋体" w:cs="宋体"/>
          <w:kern w:val="0"/>
          <w:szCs w:val="21"/>
          <w:highlight w:val="none"/>
          <w:lang w:val="zh-CN"/>
        </w:rPr>
        <w:t>；</w:t>
      </w:r>
      <w:r>
        <w:rPr>
          <w:rFonts w:hint="eastAsia" w:ascii="宋体" w:hAnsi="宋体" w:eastAsia="宋体" w:cs="宋体"/>
          <w:szCs w:val="21"/>
          <w:highlight w:val="none"/>
        </w:rPr>
        <w:t>；</w:t>
      </w:r>
    </w:p>
    <w:p>
      <w:pPr>
        <w:snapToGrid w:val="0"/>
        <w:spacing w:line="360" w:lineRule="auto"/>
        <w:ind w:left="-4" w:firstLine="422" w:firstLineChars="201"/>
        <w:rPr>
          <w:rFonts w:hint="eastAsia" w:ascii="宋体" w:hAnsi="宋体" w:eastAsia="宋体" w:cs="宋体"/>
          <w:szCs w:val="21"/>
          <w:highlight w:val="none"/>
        </w:rPr>
      </w:pPr>
      <w:r>
        <w:rPr>
          <w:rFonts w:hint="eastAsia" w:ascii="宋体" w:hAnsi="宋体" w:eastAsia="宋体" w:cs="宋体"/>
          <w:szCs w:val="21"/>
          <w:highlight w:val="none"/>
        </w:rPr>
        <w:t>（5）投标人的省级以上监狱管理局、戒毒管理局(含新疆生产建设兵团)出具的属于监狱企业的证明文件（如有）；</w:t>
      </w:r>
    </w:p>
    <w:p>
      <w:pPr>
        <w:snapToGrid w:val="0"/>
        <w:spacing w:line="360" w:lineRule="auto"/>
        <w:ind w:left="-4" w:firstLine="422" w:firstLineChars="201"/>
        <w:rPr>
          <w:rFonts w:hint="eastAsia" w:ascii="宋体" w:hAnsi="宋体" w:eastAsia="宋体" w:cs="宋体"/>
          <w:szCs w:val="21"/>
          <w:highlight w:val="none"/>
        </w:rPr>
      </w:pPr>
      <w:r>
        <w:rPr>
          <w:rFonts w:hint="eastAsia" w:ascii="宋体" w:hAnsi="宋体" w:eastAsia="宋体" w:cs="宋体"/>
          <w:szCs w:val="21"/>
          <w:highlight w:val="none"/>
        </w:rPr>
        <w:t>（6）《残疾人福利性单位声明函》（如有，格式见附件）；</w:t>
      </w:r>
    </w:p>
    <w:p>
      <w:pPr>
        <w:pStyle w:val="29"/>
        <w:widowControl w:val="0"/>
        <w:spacing w:before="0" w:afterLines="0" w:line="360" w:lineRule="auto"/>
        <w:ind w:firstLine="422" w:firstLineChars="200"/>
        <w:rPr>
          <w:rFonts w:hint="eastAsia" w:eastAsia="宋体" w:cs="宋体"/>
          <w:b/>
          <w:bCs/>
          <w:color w:val="auto"/>
          <w:sz w:val="21"/>
          <w:szCs w:val="21"/>
          <w:highlight w:val="none"/>
        </w:rPr>
      </w:pPr>
      <w:r>
        <w:rPr>
          <w:rFonts w:hint="eastAsia" w:eastAsia="宋体" w:cs="宋体"/>
          <w:b/>
          <w:bCs/>
          <w:color w:val="auto"/>
          <w:sz w:val="21"/>
          <w:szCs w:val="21"/>
          <w:highlight w:val="none"/>
        </w:rPr>
        <w:t>注：法定代表人授权委托书、投标声明书、开标一览表必须由相应代表人签名并加盖单位公章。</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（二）投标文件的语言及计量</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（三）投标报价</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1、投标文件只允许有一个报价，投标报价应按招标文件中相关附表格式填报；</w:t>
      </w:r>
    </w:p>
    <w:p>
      <w:pPr>
        <w:spacing w:line="360" w:lineRule="auto"/>
        <w:ind w:left="-4" w:leftChars="-2" w:firstLine="464" w:firstLineChars="221"/>
        <w:rPr>
          <w:rFonts w:hint="eastAsia" w:ascii="宋体" w:hAnsi="宋体" w:eastAsia="宋体" w:cs="宋体"/>
          <w:szCs w:val="21"/>
          <w:highlight w:val="none"/>
        </w:rPr>
      </w:pPr>
      <w:r>
        <w:rPr>
          <w:rFonts w:hint="eastAsia" w:ascii="宋体" w:hAnsi="宋体" w:eastAsia="宋体" w:cs="宋体"/>
          <w:szCs w:val="21"/>
          <w:highlight w:val="none"/>
        </w:rPr>
        <w:t>2、投标报价是履行合同的最终价格，应包括服务费、人工费、专用工具、保险、税金、培训、质保等一切税金和费用。</w:t>
      </w:r>
    </w:p>
    <w:p>
      <w:pPr>
        <w:pStyle w:val="12"/>
        <w:numPr>
          <w:ilvl w:val="0"/>
          <w:numId w:val="0"/>
        </w:numPr>
        <w:tabs>
          <w:tab w:val="left" w:pos="720"/>
        </w:tabs>
        <w:snapToGrid w:val="0"/>
        <w:spacing w:before="156" w:beforeLines="50" w:line="360" w:lineRule="auto"/>
        <w:ind w:left="412" w:leftChars="196"/>
        <w:rPr>
          <w:rFonts w:hint="eastAsia" w:ascii="宋体" w:hAnsi="宋体" w:eastAsia="宋体" w:cs="宋体"/>
          <w:b/>
          <w:szCs w:val="21"/>
          <w:highlight w:val="none"/>
        </w:rPr>
      </w:pPr>
      <w:r>
        <w:rPr>
          <w:rFonts w:hint="eastAsia" w:ascii="宋体" w:hAnsi="宋体" w:eastAsia="宋体" w:cs="宋体"/>
          <w:b/>
          <w:szCs w:val="21"/>
          <w:highlight w:val="none"/>
        </w:rPr>
        <w:t>（四）投标文件的有效期</w:t>
      </w:r>
    </w:p>
    <w:p>
      <w:pPr>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1、自投标截止日起90天内投标文件应保持有效。有效期不足的投标文件将被拒绝。</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2、中标人的投标文件自开标之日起至合同履行完毕止均应保持有效。</w:t>
      </w:r>
    </w:p>
    <w:p>
      <w:pPr>
        <w:snapToGrid w:val="0"/>
        <w:spacing w:before="156"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（五）投标保证金</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1、投标人须按规定提交投标保证金。否则，其投标将被拒绝。</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 xml:space="preserve">2、保证金形式：无。                       </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3、中标通知书发出之日起5个工作日内，未中标的投标人自行到招标代理方退还投标保证金。中标人在合同签订之日起五个工作日内自行到招标代理方退还投标保证金。招标代理方以电汇或转账等方式退还投标保证金。（保证金不计息）</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投标保证金不予退还的：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（1）投标人在投标截止时间后撤回投标文件的；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（2）投标人在投标过程中弄虚作假，提供虚假材料的；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（3）中标人无正当理由不与采购人签订合同的；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（4）将中标项目转让给他人或者在投标文件中未说明且未经招标采购单位同意，将中标项目分包给他人的；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（5）其他严重扰乱招投标程序的。</w:t>
      </w:r>
    </w:p>
    <w:p>
      <w:pPr>
        <w:snapToGrid w:val="0"/>
        <w:spacing w:line="360" w:lineRule="auto"/>
        <w:ind w:firstLine="417" w:firstLineChars="198"/>
        <w:rPr>
          <w:rFonts w:hint="eastAsia" w:ascii="宋体" w:hAnsi="宋体" w:eastAsia="宋体" w:cs="宋体"/>
          <w:b/>
          <w:szCs w:val="21"/>
          <w:highlight w:val="none"/>
        </w:rPr>
      </w:pPr>
      <w:r>
        <w:rPr>
          <w:rFonts w:hint="eastAsia" w:ascii="宋体" w:hAnsi="宋体" w:eastAsia="宋体" w:cs="宋体"/>
          <w:b/>
          <w:szCs w:val="21"/>
          <w:highlight w:val="none"/>
        </w:rPr>
        <w:t>履约保证金不予退还的：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（1）拒绝履行合同义务的；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（2）产品质量验收或测试不合格的。</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（六）投标文件的签署和份数</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投标人应按报价文件、资信及商务文件、技术文件正本、副本规定的份数分别编制并按A4纸规格单独装订成册，投标文件的封面应注明“正本”、“副本”字样。投标文件电子文档密封在报价文件封套内。（报价文件（正本、副本）、资信及商务文件（正本、副本）、技术文件（正本、副本）分别密封包装）。</w:t>
      </w:r>
    </w:p>
    <w:p>
      <w:pPr>
        <w:snapToGrid w:val="0"/>
        <w:spacing w:line="360" w:lineRule="auto"/>
        <w:ind w:left="-4" w:leftChars="-2" w:firstLine="466" w:firstLineChars="221"/>
        <w:jc w:val="left"/>
        <w:rPr>
          <w:rFonts w:hint="eastAsia" w:ascii="宋体" w:hAnsi="宋体" w:eastAsia="宋体" w:cs="宋体"/>
          <w:szCs w:val="21"/>
          <w:highlight w:val="none"/>
        </w:rPr>
      </w:pPr>
      <w:r>
        <w:rPr>
          <w:rFonts w:hint="eastAsia" w:ascii="宋体" w:hAnsi="宋体" w:eastAsia="宋体" w:cs="宋体"/>
          <w:b/>
          <w:bCs/>
          <w:szCs w:val="21"/>
          <w:highlight w:val="none"/>
        </w:rPr>
        <w:t>投标人提交的报价文件应单独密封，否则开标时发生报价泄露的，由投标人自行承担相关责任。</w:t>
      </w:r>
    </w:p>
    <w:p>
      <w:pPr>
        <w:snapToGrid w:val="0"/>
        <w:spacing w:line="360" w:lineRule="auto"/>
        <w:ind w:left="-4" w:leftChars="-2" w:firstLine="466" w:firstLineChars="221"/>
        <w:jc w:val="left"/>
        <w:rPr>
          <w:rFonts w:hint="eastAsia" w:ascii="宋体" w:hAnsi="宋体" w:eastAsia="宋体" w:cs="宋体"/>
          <w:b/>
          <w:bCs/>
          <w:szCs w:val="21"/>
          <w:highlight w:val="none"/>
        </w:rPr>
      </w:pPr>
      <w:r>
        <w:rPr>
          <w:rFonts w:hint="eastAsia" w:ascii="宋体" w:hAnsi="宋体" w:eastAsia="宋体" w:cs="宋体"/>
          <w:b/>
          <w:bCs/>
          <w:szCs w:val="21"/>
          <w:highlight w:val="none"/>
        </w:rPr>
        <w:t>活页装订（是指用卡条、抽杆夹、订书机等形式装订，使标书可以拆卸或者在翻动过程中易脱落的一种装订方式）的投标文件按无效标处理。</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3、投标文件的正本需打印或用不褪色的墨水填写，投标文件正本除《投标人须知》中规定的可提供复印件外均须提供原件。副本可以为正本的复印件。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4、投标文件须由投标人在规定位置盖章并由法定代表人或法定代表人的授权委托人签署，投标人应写全称。</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5、投标文件不得涂改，如有修改错漏处，须加盖单位公章或者法定代表人或授权委托人签字或盖章。投标文件因字迹潦草或表达不清所引起的后果由投标人负责。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（七）投标文件的包装</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投标人应按资信及商务文件、技术文件、报价文件分别密封封装。投标文件的包装封面上应注明投标人名称、投标人地址、投标文件名称（资信及商务文件、技术文件、报价文件）、投标项目名称、项目编号及“开标时启封”字样，并加盖投标人公章。</w:t>
      </w:r>
    </w:p>
    <w:p>
      <w:pPr>
        <w:snapToGrid w:val="0"/>
        <w:spacing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（八）投标无效的情形</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实质上没有响应招标文件要求的投标将被视为无效投标。在评审时，如发现下列情形之一的，投标文件将被视为无效：</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1、未按规定密封或标记的投标文件；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2、由于包装不妥，在送交途中严重破损或失散的投标文件；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3、仅以非纸制文本形式的投标文件；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4、投标方未能提供合格的资格证明文件；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5、与招标文件有重大偏离的投标文件；</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6、标项以赠送方式投标的、对一个标项提供两个投标方案或两个报价的且未声明以哪一个为准的；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7、投标文件应盖公章而未盖公章或盖非公司公章、未装订或活页装订、正副本标书数量不足的、未有效授权或法定代表人授权书填写不完整或有涂改的；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8、未按规定办理购买招标文件登记手续的；</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9、投标报价超出预算价的；</w:t>
      </w:r>
    </w:p>
    <w:p>
      <w:pPr>
        <w:snapToGrid w:val="0"/>
        <w:spacing w:line="360" w:lineRule="auto"/>
        <w:ind w:firstLine="480"/>
        <w:jc w:val="left"/>
        <w:rPr>
          <w:rFonts w:hint="eastAsia" w:ascii="宋体" w:hAnsi="宋体" w:eastAsia="宋体" w:cs="宋体"/>
          <w:szCs w:val="21"/>
          <w:highlight w:val="none"/>
        </w:rPr>
      </w:pPr>
      <w:r>
        <w:rPr>
          <w:rFonts w:hint="eastAsia" w:ascii="宋体" w:hAnsi="宋体" w:eastAsia="宋体" w:cs="宋体"/>
          <w:szCs w:val="21"/>
          <w:highlight w:val="none"/>
        </w:rPr>
        <w:t>10、不符合法律、法规和本招标文件规定的其他实质性要求的。</w:t>
      </w:r>
    </w:p>
    <w:p>
      <w:pPr>
        <w:pStyle w:val="2"/>
        <w:spacing w:line="360" w:lineRule="auto"/>
        <w:ind w:firstLine="482"/>
        <w:rPr>
          <w:rFonts w:hint="eastAsia" w:eastAsia="宋体" w:cs="宋体"/>
          <w:b/>
          <w:bCs/>
          <w:sz w:val="21"/>
          <w:szCs w:val="21"/>
          <w:highlight w:val="none"/>
        </w:rPr>
      </w:pPr>
      <w:r>
        <w:rPr>
          <w:rFonts w:hint="eastAsia" w:eastAsia="宋体" w:cs="宋体"/>
          <w:b/>
          <w:sz w:val="21"/>
          <w:szCs w:val="21"/>
          <w:highlight w:val="none"/>
        </w:rPr>
        <w:t>（九）</w:t>
      </w:r>
      <w:r>
        <w:rPr>
          <w:rFonts w:hint="eastAsia" w:eastAsia="宋体" w:cs="宋体"/>
          <w:b/>
          <w:bCs/>
          <w:sz w:val="21"/>
          <w:szCs w:val="21"/>
          <w:highlight w:val="none"/>
        </w:rPr>
        <w:t>废标</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rPr>
        <w:t>根据《中华人民共和国政府采购法》第三十六条之规定，在采购中，出现下列情形之一的，应予废标：</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lang w:val="en-US"/>
        </w:rPr>
        <w:t>1、</w:t>
      </w:r>
      <w:r>
        <w:rPr>
          <w:rFonts w:hint="eastAsia" w:eastAsia="宋体" w:cs="宋体"/>
          <w:sz w:val="21"/>
          <w:szCs w:val="21"/>
          <w:highlight w:val="none"/>
        </w:rPr>
        <w:t>符合专业条件的供应商或者对招标文件作实质响应的供应商不足3家的；</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lang w:val="en-US"/>
        </w:rPr>
        <w:t>2、</w:t>
      </w:r>
      <w:r>
        <w:rPr>
          <w:rFonts w:hint="eastAsia" w:eastAsia="宋体" w:cs="宋体"/>
          <w:sz w:val="21"/>
          <w:szCs w:val="21"/>
          <w:highlight w:val="none"/>
        </w:rPr>
        <w:t>出现影响采购公正的违法、违规行为的；</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lang w:val="en-US"/>
        </w:rPr>
        <w:t>3、</w:t>
      </w:r>
      <w:r>
        <w:rPr>
          <w:rFonts w:hint="eastAsia" w:eastAsia="宋体" w:cs="宋体"/>
          <w:sz w:val="21"/>
          <w:szCs w:val="21"/>
          <w:highlight w:val="none"/>
        </w:rPr>
        <w:t>投标人的报价均超过了采购预算，采购人不能支付的；</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lang w:val="en-US"/>
        </w:rPr>
        <w:t>4、</w:t>
      </w:r>
      <w:r>
        <w:rPr>
          <w:rFonts w:hint="eastAsia" w:eastAsia="宋体" w:cs="宋体"/>
          <w:sz w:val="21"/>
          <w:szCs w:val="21"/>
          <w:highlight w:val="none"/>
        </w:rPr>
        <w:t>因重大变故，采购任务取消的。</w:t>
      </w:r>
    </w:p>
    <w:p>
      <w:pPr>
        <w:pStyle w:val="2"/>
        <w:spacing w:line="360" w:lineRule="auto"/>
        <w:ind w:firstLine="480"/>
        <w:rPr>
          <w:rFonts w:hint="eastAsia" w:eastAsia="宋体" w:cs="宋体"/>
          <w:sz w:val="21"/>
          <w:szCs w:val="21"/>
          <w:highlight w:val="none"/>
        </w:rPr>
      </w:pPr>
      <w:r>
        <w:rPr>
          <w:rFonts w:hint="eastAsia" w:eastAsia="宋体" w:cs="宋体"/>
          <w:sz w:val="21"/>
          <w:szCs w:val="21"/>
          <w:highlight w:val="none"/>
        </w:rPr>
        <w:t>废标后，采购机构应当将废标理由通知所有投标人。</w:t>
      </w:r>
    </w:p>
    <w:p>
      <w:pPr>
        <w:pStyle w:val="21"/>
        <w:snapToGrid w:val="0"/>
        <w:spacing w:beforeLines="0" w:afterLines="0" w:line="360" w:lineRule="auto"/>
        <w:outlineLvl w:val="1"/>
        <w:rPr>
          <w:rFonts w:hint="eastAsia" w:hAnsi="宋体" w:eastAsia="宋体" w:cs="宋体"/>
          <w:b/>
          <w:sz w:val="21"/>
          <w:szCs w:val="21"/>
          <w:highlight w:val="none"/>
        </w:rPr>
      </w:pPr>
      <w:bookmarkStart w:id="13" w:name="_Toc448411049"/>
      <w:r>
        <w:rPr>
          <w:rFonts w:hint="eastAsia" w:hAnsi="宋体" w:eastAsia="宋体" w:cs="宋体"/>
          <w:b/>
          <w:sz w:val="21"/>
          <w:szCs w:val="21"/>
          <w:highlight w:val="none"/>
        </w:rPr>
        <w:t xml:space="preserve">   </w:t>
      </w:r>
      <w:bookmarkStart w:id="14" w:name="_Toc482791893"/>
      <w:bookmarkStart w:id="15" w:name="_Toc482808160"/>
      <w:r>
        <w:rPr>
          <w:rFonts w:hint="eastAsia" w:hAnsi="宋体" w:eastAsia="宋体" w:cs="宋体"/>
          <w:b/>
          <w:sz w:val="21"/>
          <w:szCs w:val="21"/>
          <w:highlight w:val="none"/>
        </w:rPr>
        <w:t>（十）错误修正</w:t>
      </w:r>
      <w:bookmarkEnd w:id="13"/>
      <w:bookmarkEnd w:id="14"/>
      <w:bookmarkEnd w:id="15"/>
    </w:p>
    <w:p>
      <w:pPr>
        <w:pStyle w:val="21"/>
        <w:snapToGrid w:val="0"/>
        <w:spacing w:beforeLines="0" w:afterLines="0" w:line="360" w:lineRule="auto"/>
        <w:ind w:left="689" w:leftChars="228" w:hanging="210" w:hangingChars="100"/>
        <w:rPr>
          <w:rFonts w:hint="eastAsia" w:hAnsi="宋体" w:eastAsia="宋体" w:cs="宋体"/>
          <w:sz w:val="21"/>
          <w:szCs w:val="21"/>
          <w:highlight w:val="none"/>
        </w:rPr>
      </w:pPr>
      <w:r>
        <w:rPr>
          <w:rFonts w:hint="eastAsia" w:hAnsi="宋体" w:eastAsia="宋体" w:cs="宋体"/>
          <w:sz w:val="21"/>
          <w:szCs w:val="21"/>
          <w:highlight w:val="none"/>
        </w:rPr>
        <w:t>投标文件如果出现计算或表达上的错误，修正错误的原则如下：</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1、开标一览表总价与投标报价明细表汇总数不一致的，以开标一览表为准；</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2、投标文件的大写金额和小写金额不一致的，以大写金额为准；</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3、总价金额与按单价汇总金额不一致的，以单价金额计算结果为准；</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4、对不同文字文本投标文件的解释发生异议的，以中文文本为准。</w:t>
      </w:r>
    </w:p>
    <w:p>
      <w:pPr>
        <w:pStyle w:val="21"/>
        <w:snapToGrid w:val="0"/>
        <w:spacing w:beforeLines="0" w:afterLines="0" w:line="360" w:lineRule="auto"/>
        <w:ind w:firstLine="422" w:firstLineChars="200"/>
        <w:rPr>
          <w:rFonts w:hint="eastAsia" w:hAnsi="宋体" w:eastAsia="宋体" w:cs="宋体"/>
          <w:b/>
          <w:bCs/>
          <w:sz w:val="21"/>
          <w:szCs w:val="21"/>
          <w:highlight w:val="none"/>
        </w:rPr>
      </w:pPr>
      <w:r>
        <w:rPr>
          <w:rFonts w:hint="eastAsia" w:hAnsi="宋体" w:eastAsia="宋体" w:cs="宋体"/>
          <w:b/>
          <w:bCs/>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9"/>
        <w:snapToGrid w:val="0"/>
        <w:spacing w:line="360" w:lineRule="auto"/>
        <w:ind w:firstLine="0"/>
        <w:outlineLvl w:val="1"/>
        <w:rPr>
          <w:rFonts w:hint="eastAsia" w:hAnsi="宋体" w:eastAsia="宋体" w:cs="宋体"/>
          <w:b/>
          <w:spacing w:val="0"/>
          <w:sz w:val="21"/>
          <w:szCs w:val="21"/>
          <w:highlight w:val="none"/>
        </w:rPr>
      </w:pPr>
      <w:bookmarkStart w:id="16" w:name="_Toc372790140"/>
      <w:bookmarkStart w:id="17" w:name="_Toc448411050"/>
      <w:bookmarkStart w:id="18" w:name="_Toc482808161"/>
      <w:r>
        <w:rPr>
          <w:rFonts w:hint="eastAsia" w:hAnsi="宋体" w:eastAsia="宋体" w:cs="宋体"/>
          <w:b/>
          <w:spacing w:val="0"/>
          <w:sz w:val="21"/>
          <w:szCs w:val="21"/>
          <w:highlight w:val="none"/>
        </w:rPr>
        <w:t>三、开标</w:t>
      </w:r>
      <w:bookmarkEnd w:id="16"/>
      <w:bookmarkEnd w:id="17"/>
      <w:bookmarkEnd w:id="18"/>
    </w:p>
    <w:p>
      <w:pPr>
        <w:pStyle w:val="21"/>
        <w:snapToGrid w:val="0"/>
        <w:spacing w:beforeLines="0" w:afterLines="0" w:line="360" w:lineRule="auto"/>
        <w:outlineLvl w:val="1"/>
        <w:rPr>
          <w:rFonts w:hint="eastAsia" w:hAnsi="宋体" w:eastAsia="宋体" w:cs="宋体"/>
          <w:b/>
          <w:sz w:val="21"/>
          <w:szCs w:val="21"/>
          <w:highlight w:val="none"/>
        </w:rPr>
      </w:pPr>
      <w:bookmarkStart w:id="19" w:name="_Toc448411051"/>
      <w:bookmarkStart w:id="20" w:name="_Toc482791895"/>
      <w:bookmarkStart w:id="21" w:name="_Toc482808162"/>
      <w:r>
        <w:rPr>
          <w:rFonts w:hint="eastAsia" w:hAnsi="宋体" w:eastAsia="宋体" w:cs="宋体"/>
          <w:b/>
          <w:sz w:val="21"/>
          <w:szCs w:val="21"/>
          <w:highlight w:val="none"/>
        </w:rPr>
        <w:t>（一）开标准备</w:t>
      </w:r>
      <w:bookmarkEnd w:id="19"/>
      <w:bookmarkEnd w:id="20"/>
      <w:bookmarkEnd w:id="21"/>
    </w:p>
    <w:p>
      <w:pPr>
        <w:pStyle w:val="21"/>
        <w:snapToGrid w:val="0"/>
        <w:spacing w:beforeLines="0" w:afterLines="0" w:line="360" w:lineRule="auto"/>
        <w:ind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采购组织机构将在规定的时间和地点进行开标，投标人的法定代表人或其全权代表应参加开标会并签到。</w:t>
      </w:r>
    </w:p>
    <w:p>
      <w:pPr>
        <w:pStyle w:val="21"/>
        <w:snapToGrid w:val="0"/>
        <w:spacing w:beforeLines="0" w:afterLines="0" w:line="360" w:lineRule="auto"/>
        <w:outlineLvl w:val="1"/>
        <w:rPr>
          <w:rFonts w:hint="eastAsia" w:hAnsi="宋体" w:eastAsia="宋体" w:cs="宋体"/>
          <w:b/>
          <w:sz w:val="21"/>
          <w:szCs w:val="21"/>
          <w:highlight w:val="none"/>
        </w:rPr>
      </w:pPr>
      <w:bookmarkStart w:id="22" w:name="_Toc482808163"/>
      <w:bookmarkStart w:id="23" w:name="_Toc482791896"/>
      <w:bookmarkStart w:id="24" w:name="_Toc448411052"/>
      <w:r>
        <w:rPr>
          <w:rFonts w:hint="eastAsia" w:hAnsi="宋体" w:eastAsia="宋体" w:cs="宋体"/>
          <w:b/>
          <w:sz w:val="21"/>
          <w:szCs w:val="21"/>
          <w:highlight w:val="none"/>
        </w:rPr>
        <w:t>（二）开标程序：</w:t>
      </w:r>
      <w:bookmarkEnd w:id="22"/>
      <w:bookmarkEnd w:id="23"/>
      <w:bookmarkEnd w:id="24"/>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1、开标会由采购组织机构主持，主持人宣布开标会议开始；</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 xml:space="preserve">2、主持人介绍参加开标会的人员名单； </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3、主持人宣读递交投标文件的投标人名单，开标纪律，应当回避的情形，组织投标人签署不存在影响公平竞争的《政府采购活动现场确认声明书》；</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4、投标人或其当场推荐的代表（若有公证人员公证的则由委托的公证机构）检查投标文件密封的完整性并签名确认；</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5、工作人员先拆封商务及资信文件和技术文件，后拆封报价文件，打开各投标人提交的商务及资信文件和技术文件外包装，清点投标文件正本、副本数量，送评标地点评审，其中密封的报价文件现场集中封存保管等候拆封；</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6、评标委员会按招标文件要求对各投标人的商务、资信和技术进行评审，评审结束后，主持人宣告商务和技术评审无效投标人名称及理由，同时公布商务和技术评审符合采购需求的投标人名单，并公布其商务和技术得分情况；</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7、主持人拆封通过商务和技术评审的投标人报价文件，宣读《开标一览表》中的投标价格，同时当场制作并打印开标记录表，由投标人代表、常人、记录人和现场监督员在开标记录表上签字确认，投标人全权代表未到场签名确认或者拒绝签名确认的，不影响评标过程和结果；</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8、唱标结束后，工作人员将报价文件及开标记录送至评标地点，由评标委员会对投标人的报价的合理性、准确性等进行审查核实；</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9、评审结束后，由主持人公布中标候选人名单，及采购人最终确认中标供应商名单的时间和公告方式等；</w:t>
      </w:r>
    </w:p>
    <w:p>
      <w:pPr>
        <w:pStyle w:val="21"/>
        <w:snapToGrid w:val="0"/>
        <w:spacing w:before="156" w:after="156" w:line="360" w:lineRule="auto"/>
        <w:outlineLvl w:val="1"/>
        <w:rPr>
          <w:rFonts w:hint="eastAsia" w:hAnsi="宋体" w:eastAsia="宋体" w:cs="宋体"/>
          <w:b/>
          <w:sz w:val="21"/>
          <w:szCs w:val="21"/>
          <w:highlight w:val="none"/>
        </w:rPr>
      </w:pPr>
      <w:bookmarkStart w:id="25" w:name="_Toc448411053"/>
      <w:bookmarkStart w:id="26" w:name="_Toc482808164"/>
      <w:bookmarkStart w:id="27" w:name="_Toc372790141"/>
      <w:r>
        <w:rPr>
          <w:rFonts w:hint="eastAsia" w:hAnsi="宋体" w:eastAsia="宋体" w:cs="宋体"/>
          <w:b/>
          <w:sz w:val="21"/>
          <w:szCs w:val="21"/>
          <w:highlight w:val="none"/>
        </w:rPr>
        <w:t>四、评标</w:t>
      </w:r>
      <w:bookmarkEnd w:id="25"/>
      <w:bookmarkEnd w:id="26"/>
      <w:bookmarkEnd w:id="27"/>
    </w:p>
    <w:p>
      <w:pPr>
        <w:pStyle w:val="21"/>
        <w:snapToGrid w:val="0"/>
        <w:spacing w:before="156" w:after="156" w:line="360" w:lineRule="auto"/>
        <w:outlineLvl w:val="1"/>
        <w:rPr>
          <w:rFonts w:hint="eastAsia" w:hAnsi="宋体" w:eastAsia="宋体" w:cs="宋体"/>
          <w:b/>
          <w:sz w:val="21"/>
          <w:szCs w:val="21"/>
          <w:highlight w:val="none"/>
        </w:rPr>
      </w:pPr>
      <w:bookmarkStart w:id="28" w:name="_Toc482808165"/>
      <w:bookmarkStart w:id="29" w:name="_Toc448411054"/>
      <w:bookmarkStart w:id="30" w:name="_Toc482791898"/>
      <w:r>
        <w:rPr>
          <w:rFonts w:hint="eastAsia" w:hAnsi="宋体" w:eastAsia="宋体" w:cs="宋体"/>
          <w:b/>
          <w:sz w:val="21"/>
          <w:szCs w:val="21"/>
          <w:highlight w:val="none"/>
        </w:rPr>
        <w:t>（一）组建评标委员会</w:t>
      </w:r>
      <w:bookmarkEnd w:id="28"/>
      <w:bookmarkEnd w:id="29"/>
      <w:bookmarkEnd w:id="30"/>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本项目评标委员会由采购代理机构按《中华人民共和国政府采购法》相关要求，在</w:t>
      </w:r>
      <w:r>
        <w:rPr>
          <w:rFonts w:hint="eastAsia" w:hAnsi="宋体" w:eastAsia="宋体" w:cs="宋体"/>
          <w:sz w:val="21"/>
          <w:szCs w:val="21"/>
          <w:highlight w:val="none"/>
          <w:lang w:val="en-US" w:eastAsia="zh-CN"/>
        </w:rPr>
        <w:t>浙江省政府采购评审</w:t>
      </w:r>
      <w:r>
        <w:rPr>
          <w:rFonts w:hint="eastAsia" w:hAnsi="宋体" w:eastAsia="宋体" w:cs="宋体"/>
          <w:sz w:val="21"/>
          <w:szCs w:val="21"/>
          <w:highlight w:val="none"/>
        </w:rPr>
        <w:t>专家库中随机抽取，成员由5人（含）以上奇数组成，其中技术、经济等方面的专家不得少于成员总数的三分之二。</w:t>
      </w:r>
    </w:p>
    <w:p>
      <w:pPr>
        <w:pStyle w:val="21"/>
        <w:snapToGrid w:val="0"/>
        <w:spacing w:before="156" w:after="156" w:line="360" w:lineRule="auto"/>
        <w:outlineLvl w:val="1"/>
        <w:rPr>
          <w:rFonts w:hint="eastAsia" w:hAnsi="宋体" w:eastAsia="宋体" w:cs="宋体"/>
          <w:b/>
          <w:sz w:val="21"/>
          <w:szCs w:val="21"/>
          <w:highlight w:val="none"/>
        </w:rPr>
      </w:pPr>
      <w:bookmarkStart w:id="31" w:name="_Toc482808166"/>
      <w:bookmarkStart w:id="32" w:name="_Toc482791899"/>
      <w:bookmarkStart w:id="33" w:name="_Toc448411055"/>
      <w:r>
        <w:rPr>
          <w:rFonts w:hint="eastAsia" w:hAnsi="宋体" w:eastAsia="宋体" w:cs="宋体"/>
          <w:b/>
          <w:sz w:val="21"/>
          <w:szCs w:val="21"/>
          <w:highlight w:val="none"/>
        </w:rPr>
        <w:t>（二）评标程序</w:t>
      </w:r>
      <w:bookmarkEnd w:id="31"/>
      <w:bookmarkEnd w:id="32"/>
      <w:bookmarkEnd w:id="33"/>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1、现场工作人员核验出席评审活动现场的评标委员会各成员和相关监督人员身份，并要求其分别登记、签到，按规定统一收缴、保存其通讯工具，无关人员一律拒绝其进入评审现场。</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2、主持人介绍评审现场的人员情况，宣布评审工作纪律，告知评审人员应当回避情形；组织推选评标委员会组长。</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3、主持人通报报名参加本项目采购的供应商名单，宣读最终提交采购响应文件的供应商名单，组织评审小组各位成员签订《政府采购评审人员廉洁自律承诺书》。</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4、主持人根据需要简要介绍采购文件（含补充文件）制定及质疑答复情况、按书面陈述项目基本情况及评审工作需注意事项等，让评标委员会尽快知悉和了解所评审项目的采购需求、评审依据、评审标准、工作程序等；提醒评标委员会对客观评审项目应统一评审依据和评审标准，对主观评审项目应确定大致的评审要求和评审尺度；将按规定可由采购组织机构编制发售的非招标采购文件提请评标委员会予以确认；对评审人员提出的有关采购文件、采购响应文件的问题进行必要的说明、解释或讨论。</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5、评标委员会组长组织评审人员独立评审。评审小组对拟认定为采购响应文件无效、供应商资格不符合的，应组织相关供应商代表进行陈述、澄清或申辩；采购组织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6、现场工作人员做好评审现场相关记录，协助评标委员会组长做好评审报告起草、有关内容电脑文字录入等工作，并要求评标委员会各成员签字确认。</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7、评审结束后，采购组织机构应对评标委员会各成员的专业水平、职业道德、遵纪守法等情况进行评价；同时按规定向评审人员发放评审费，并交还评审人员及其他现场相关人员的通讯工具。</w:t>
      </w:r>
    </w:p>
    <w:p>
      <w:pPr>
        <w:pStyle w:val="21"/>
        <w:snapToGrid w:val="0"/>
        <w:spacing w:beforeLines="0" w:afterLines="0" w:line="360" w:lineRule="auto"/>
        <w:rPr>
          <w:rFonts w:hint="eastAsia" w:hAnsi="宋体" w:eastAsia="宋体" w:cs="宋体"/>
          <w:b/>
          <w:sz w:val="21"/>
          <w:szCs w:val="21"/>
          <w:highlight w:val="none"/>
        </w:rPr>
      </w:pPr>
      <w:r>
        <w:rPr>
          <w:rFonts w:hint="eastAsia" w:hAnsi="宋体" w:eastAsia="宋体" w:cs="宋体"/>
          <w:b/>
          <w:sz w:val="21"/>
          <w:szCs w:val="21"/>
          <w:highlight w:val="none"/>
        </w:rPr>
        <w:t>（三）评标原则</w:t>
      </w:r>
    </w:p>
    <w:p>
      <w:pPr>
        <w:pStyle w:val="21"/>
        <w:snapToGrid w:val="0"/>
        <w:spacing w:beforeLines="0" w:afterLines="0"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156" w:after="156" w:line="360" w:lineRule="auto"/>
        <w:outlineLvl w:val="1"/>
        <w:rPr>
          <w:rFonts w:hint="eastAsia" w:hAnsi="宋体" w:eastAsia="宋体" w:cs="宋体"/>
          <w:b/>
          <w:sz w:val="21"/>
          <w:szCs w:val="21"/>
          <w:highlight w:val="none"/>
        </w:rPr>
      </w:pPr>
      <w:bookmarkStart w:id="34" w:name="_Toc372790142"/>
      <w:bookmarkStart w:id="35" w:name="_Toc482808167"/>
      <w:bookmarkStart w:id="36" w:name="_Toc448411056"/>
      <w:r>
        <w:rPr>
          <w:rFonts w:hint="eastAsia" w:hAnsi="宋体" w:eastAsia="宋体" w:cs="宋体"/>
          <w:b/>
          <w:sz w:val="21"/>
          <w:szCs w:val="21"/>
          <w:highlight w:val="none"/>
        </w:rPr>
        <w:t>五、定标</w:t>
      </w:r>
      <w:bookmarkEnd w:id="34"/>
      <w:bookmarkEnd w:id="35"/>
      <w:bookmarkEnd w:id="36"/>
    </w:p>
    <w:p>
      <w:pPr>
        <w:pStyle w:val="21"/>
        <w:snapToGrid w:val="0"/>
        <w:spacing w:beforeLines="0" w:afterLines="0" w:line="360" w:lineRule="auto"/>
        <w:ind w:firstLine="411" w:firstLineChars="196"/>
        <w:rPr>
          <w:rFonts w:hint="eastAsia" w:hAnsi="宋体" w:eastAsia="宋体" w:cs="宋体"/>
          <w:sz w:val="21"/>
          <w:szCs w:val="21"/>
          <w:highlight w:val="none"/>
        </w:rPr>
      </w:pPr>
      <w:r>
        <w:rPr>
          <w:rFonts w:hint="eastAsia" w:hAnsi="宋体" w:eastAsia="宋体" w:cs="宋体"/>
          <w:sz w:val="21"/>
          <w:szCs w:val="21"/>
          <w:highlight w:val="none"/>
        </w:rPr>
        <w:t>1、本项目由评标委员会推荐经评审综合得分前两名的供应商为中标候选人，采购结果由采购人代表签字确认。</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2、采购代理机构自评审结束之日起2个工作日内将评审报告送交采购人。采购人自收到评审报告之日起5个工作日内在评审报告推荐的中标候选人中按顺序确定中标供应商。</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3、采购人或者采购代理机构自中标确定之日起2个工作日内，发出中标通知书，并在浙江政府采购网上公告中标结果。</w:t>
      </w:r>
    </w:p>
    <w:p>
      <w:pPr>
        <w:pStyle w:val="21"/>
        <w:snapToGrid w:val="0"/>
        <w:spacing w:beforeLines="0" w:afterLines="0" w:line="360" w:lineRule="auto"/>
        <w:outlineLvl w:val="1"/>
        <w:rPr>
          <w:rFonts w:hint="eastAsia" w:hAnsi="宋体" w:eastAsia="宋体" w:cs="宋体"/>
          <w:b/>
          <w:sz w:val="21"/>
          <w:szCs w:val="21"/>
          <w:highlight w:val="none"/>
        </w:rPr>
      </w:pPr>
      <w:bookmarkStart w:id="37" w:name="_Toc482808168"/>
      <w:bookmarkStart w:id="38" w:name="_Toc372790143"/>
      <w:bookmarkStart w:id="39" w:name="_Toc448411057"/>
      <w:r>
        <w:rPr>
          <w:rFonts w:hint="eastAsia" w:hAnsi="宋体" w:eastAsia="宋体" w:cs="宋体"/>
          <w:b/>
          <w:sz w:val="21"/>
          <w:szCs w:val="21"/>
          <w:highlight w:val="none"/>
        </w:rPr>
        <w:t>六、合同授予</w:t>
      </w:r>
      <w:bookmarkEnd w:id="37"/>
      <w:bookmarkEnd w:id="38"/>
      <w:bookmarkEnd w:id="39"/>
    </w:p>
    <w:p>
      <w:pPr>
        <w:pStyle w:val="21"/>
        <w:spacing w:beforeLines="0" w:afterLines="0" w:line="360" w:lineRule="auto"/>
        <w:outlineLvl w:val="1"/>
        <w:rPr>
          <w:rFonts w:hint="eastAsia" w:hAnsi="宋体" w:eastAsia="宋体" w:cs="宋体"/>
          <w:b/>
          <w:sz w:val="21"/>
          <w:szCs w:val="21"/>
          <w:highlight w:val="none"/>
        </w:rPr>
      </w:pPr>
      <w:bookmarkStart w:id="40" w:name="_Toc482791902"/>
      <w:bookmarkStart w:id="41" w:name="_Toc448411058"/>
      <w:bookmarkStart w:id="42" w:name="_Toc482808169"/>
      <w:r>
        <w:rPr>
          <w:rFonts w:hint="eastAsia" w:hAnsi="宋体" w:eastAsia="宋体" w:cs="宋体"/>
          <w:b/>
          <w:sz w:val="21"/>
          <w:szCs w:val="21"/>
          <w:highlight w:val="none"/>
        </w:rPr>
        <w:t>（一）签订合同</w:t>
      </w:r>
      <w:bookmarkEnd w:id="40"/>
      <w:bookmarkEnd w:id="41"/>
      <w:bookmarkEnd w:id="42"/>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1、采购人与中标人应当在《中标通知书》发出之日起30日内尽快签订政府采购合同，代理机构作为合同签订的鉴证方。</w:t>
      </w:r>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2、中标人拖延、拒签合同的,将被扣罚投标保证金并取消中标资格。</w:t>
      </w:r>
    </w:p>
    <w:p>
      <w:pPr>
        <w:pStyle w:val="21"/>
        <w:snapToGrid w:val="0"/>
        <w:spacing w:beforeLines="0" w:afterLines="0" w:line="360" w:lineRule="auto"/>
        <w:outlineLvl w:val="1"/>
        <w:rPr>
          <w:rFonts w:hint="eastAsia" w:hAnsi="宋体" w:eastAsia="宋体" w:cs="宋体"/>
          <w:b/>
          <w:sz w:val="21"/>
          <w:szCs w:val="21"/>
          <w:highlight w:val="none"/>
        </w:rPr>
      </w:pPr>
      <w:bookmarkStart w:id="43" w:name="_Toc448411059"/>
      <w:bookmarkStart w:id="44" w:name="_Toc482791903"/>
      <w:bookmarkStart w:id="45" w:name="_Toc482808170"/>
      <w:r>
        <w:rPr>
          <w:rFonts w:hint="eastAsia" w:hAnsi="宋体" w:eastAsia="宋体" w:cs="宋体"/>
          <w:b/>
          <w:sz w:val="21"/>
          <w:szCs w:val="21"/>
          <w:highlight w:val="none"/>
        </w:rPr>
        <w:t>（二）履约保证金</w:t>
      </w:r>
      <w:bookmarkEnd w:id="43"/>
      <w:bookmarkEnd w:id="44"/>
      <w:bookmarkEnd w:id="45"/>
    </w:p>
    <w:p>
      <w:pPr>
        <w:snapToGrid w:val="0"/>
        <w:spacing w:line="360" w:lineRule="auto"/>
        <w:ind w:left="-4" w:leftChars="-2" w:firstLine="464" w:firstLineChars="221"/>
        <w:jc w:val="left"/>
        <w:rPr>
          <w:rFonts w:hint="eastAsia" w:ascii="宋体" w:hAnsi="宋体" w:eastAsia="宋体" w:cs="宋体"/>
          <w:szCs w:val="21"/>
          <w:highlight w:val="none"/>
        </w:rPr>
      </w:pPr>
      <w:bookmarkStart w:id="46" w:name="_Toc448411060"/>
      <w:bookmarkStart w:id="47" w:name="_Toc372790144"/>
      <w:bookmarkStart w:id="48" w:name="_Toc482808171"/>
      <w:r>
        <w:rPr>
          <w:rFonts w:hint="eastAsia" w:ascii="宋体" w:hAnsi="宋体" w:eastAsia="宋体" w:cs="宋体"/>
          <w:szCs w:val="21"/>
          <w:highlight w:val="none"/>
        </w:rPr>
        <w:t>合同签订</w:t>
      </w:r>
      <w:r>
        <w:rPr>
          <w:rFonts w:hint="eastAsia" w:ascii="宋体" w:hAnsi="宋体" w:eastAsia="宋体" w:cs="宋体"/>
          <w:szCs w:val="21"/>
          <w:highlight w:val="none"/>
          <w:lang w:val="en-US" w:eastAsia="zh-CN"/>
        </w:rPr>
        <w:t>后三日内中标单位向</w:t>
      </w:r>
      <w:r>
        <w:rPr>
          <w:rFonts w:hint="eastAsia" w:ascii="宋体" w:hAnsi="宋体" w:eastAsia="宋体" w:cs="宋体"/>
          <w:szCs w:val="21"/>
          <w:highlight w:val="none"/>
        </w:rPr>
        <w:t>采购人缴纳合同金额的5%作为履约保证金。</w:t>
      </w:r>
    </w:p>
    <w:p>
      <w:pPr>
        <w:pStyle w:val="21"/>
        <w:snapToGrid w:val="0"/>
        <w:spacing w:beforeLines="0" w:afterLines="0" w:line="360" w:lineRule="auto"/>
        <w:outlineLvl w:val="1"/>
        <w:rPr>
          <w:rFonts w:hint="eastAsia" w:hAnsi="宋体" w:eastAsia="宋体" w:cs="宋体"/>
          <w:b/>
          <w:sz w:val="21"/>
          <w:szCs w:val="21"/>
          <w:highlight w:val="none"/>
        </w:rPr>
      </w:pPr>
      <w:r>
        <w:rPr>
          <w:rFonts w:hint="eastAsia" w:hAnsi="宋体" w:eastAsia="宋体" w:cs="宋体"/>
          <w:b/>
          <w:sz w:val="21"/>
          <w:szCs w:val="21"/>
          <w:highlight w:val="none"/>
        </w:rPr>
        <w:t>七、货款的结算</w:t>
      </w:r>
      <w:bookmarkEnd w:id="46"/>
      <w:bookmarkEnd w:id="47"/>
      <w:bookmarkEnd w:id="48"/>
    </w:p>
    <w:p>
      <w:pPr>
        <w:snapToGrid w:val="0"/>
        <w:spacing w:line="360" w:lineRule="auto"/>
        <w:ind w:left="-4" w:leftChars="-2" w:firstLine="464" w:firstLineChars="221"/>
        <w:jc w:val="left"/>
        <w:rPr>
          <w:rFonts w:hint="eastAsia" w:ascii="宋体" w:hAnsi="宋体" w:eastAsia="宋体" w:cs="宋体"/>
          <w:szCs w:val="21"/>
          <w:highlight w:val="none"/>
        </w:rPr>
      </w:pPr>
      <w:r>
        <w:rPr>
          <w:rFonts w:hint="eastAsia" w:ascii="宋体" w:hAnsi="宋体" w:eastAsia="宋体" w:cs="宋体"/>
          <w:szCs w:val="21"/>
          <w:highlight w:val="none"/>
        </w:rPr>
        <w:t>硬件设备到货并由用户确认后支付合同金额的30%，所有设备的施工、安装、调试经初验合格后支付合同金额的40%，终验完成后支付剩余合同金额的30%。</w:t>
      </w:r>
    </w:p>
    <w:p>
      <w:pPr>
        <w:spacing w:line="360" w:lineRule="auto"/>
        <w:ind w:left="-4" w:leftChars="-2" w:firstLine="530" w:firstLineChars="221"/>
        <w:jc w:val="left"/>
        <w:rPr>
          <w:rFonts w:hint="eastAsia" w:ascii="宋体" w:hAnsi="宋体" w:eastAsia="宋体" w:cs="宋体"/>
          <w:sz w:val="24"/>
          <w:szCs w:val="24"/>
          <w:highlight w:val="none"/>
        </w:rPr>
      </w:pPr>
    </w:p>
    <w:p>
      <w:pPr>
        <w:pStyle w:val="21"/>
        <w:pageBreakBefore/>
        <w:adjustRightInd w:val="0"/>
        <w:snapToGrid w:val="0"/>
        <w:spacing w:before="156" w:after="156" w:line="360" w:lineRule="auto"/>
        <w:jc w:val="center"/>
        <w:outlineLvl w:val="0"/>
        <w:rPr>
          <w:rFonts w:hint="eastAsia" w:hAnsi="宋体" w:eastAsia="宋体" w:cs="宋体"/>
          <w:b/>
          <w:bCs/>
          <w:sz w:val="32"/>
          <w:szCs w:val="32"/>
          <w:highlight w:val="none"/>
        </w:rPr>
      </w:pPr>
      <w:bookmarkStart w:id="49" w:name="_Toc482808172"/>
      <w:r>
        <w:rPr>
          <w:rFonts w:hint="eastAsia" w:hAnsi="宋体" w:eastAsia="宋体" w:cs="宋体"/>
          <w:b/>
          <w:bCs/>
          <w:sz w:val="32"/>
          <w:szCs w:val="32"/>
          <w:highlight w:val="none"/>
        </w:rPr>
        <w:t>第三章  评标办法及评分标准</w:t>
      </w:r>
      <w:bookmarkEnd w:id="49"/>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根据《中华人民共和国政府采购法》、《中华人民共和国政府采购法实施条例》等有关法律法规，结合本项目的实际需求，制定本办法。</w:t>
      </w:r>
    </w:p>
    <w:p>
      <w:pPr>
        <w:spacing w:before="156" w:beforeLines="50" w:after="156" w:afterLines="50"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一、总则</w:t>
      </w:r>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本次评标采用</w:t>
      </w:r>
      <w:r>
        <w:rPr>
          <w:rFonts w:hint="eastAsia" w:ascii="宋体" w:hAnsi="宋体" w:eastAsia="宋体" w:cs="宋体"/>
          <w:b/>
          <w:szCs w:val="21"/>
          <w:highlight w:val="none"/>
        </w:rPr>
        <w:t>综合评分法</w:t>
      </w:r>
      <w:r>
        <w:rPr>
          <w:rFonts w:hint="eastAsia" w:ascii="宋体" w:hAnsi="宋体" w:eastAsia="宋体" w:cs="宋体"/>
          <w:szCs w:val="21"/>
          <w:highlight w:val="none"/>
        </w:rPr>
        <w:t>，总分为100分。合格投标人的得分为各项目汇总得分，各标项中标候选资格按评标得分由高到低顺序排列，得分相同的，按投标报价由低到高顺序排列；得分且投标报价相同的，按技术得分由高到低顺序排列。评分过程中采用四舍五入法，并保留小数2位。</w:t>
      </w:r>
    </w:p>
    <w:p>
      <w:pPr>
        <w:spacing w:before="156" w:beforeLines="50" w:after="156" w:afterLines="50"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二、分值的计算</w:t>
      </w:r>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资信分由评审小组按照少数服从多数的原则统一打分。</w:t>
      </w:r>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技术分按照评审小组成员的独立评分结果汇总后的算术平均分计算，计算公式为：</w:t>
      </w:r>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技术分=评审小组所有成员评分合计数/评审小组组成人员数</w:t>
      </w:r>
    </w:p>
    <w:p>
      <w:pPr>
        <w:spacing w:before="156" w:beforeLines="50" w:after="156" w:afterLines="50"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投标人评标综合得分=技术分+资信分+价格分</w:t>
      </w:r>
    </w:p>
    <w:p>
      <w:pPr>
        <w:spacing w:before="156" w:beforeLines="50" w:after="156" w:afterLines="5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具体评分内容详见评分细则。</w:t>
      </w:r>
    </w:p>
    <w:p>
      <w:pPr>
        <w:spacing w:before="156" w:beforeLines="50" w:after="156" w:afterLines="50" w:line="360" w:lineRule="auto"/>
        <w:ind w:firstLine="472" w:firstLineChars="196"/>
        <w:rPr>
          <w:rFonts w:hint="eastAsia" w:ascii="宋体" w:hAnsi="宋体" w:eastAsia="宋体" w:cs="宋体"/>
          <w:b/>
          <w:bCs/>
          <w:sz w:val="24"/>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pStyle w:val="2"/>
        <w:rPr>
          <w:rFonts w:hint="eastAsia" w:eastAsia="宋体" w:cs="宋体"/>
          <w:b/>
          <w:bCs/>
          <w:szCs w:val="24"/>
          <w:highlight w:val="none"/>
        </w:rPr>
      </w:pPr>
    </w:p>
    <w:p>
      <w:pPr>
        <w:spacing w:before="156" w:beforeLines="50" w:after="156" w:afterLines="50" w:line="360" w:lineRule="auto"/>
        <w:ind w:firstLine="413" w:firstLineChars="196"/>
        <w:jc w:val="center"/>
        <w:rPr>
          <w:rFonts w:hint="eastAsia" w:ascii="宋体" w:hAnsi="宋体" w:eastAsia="宋体" w:cs="宋体"/>
          <w:b/>
          <w:bCs/>
          <w:szCs w:val="24"/>
          <w:highlight w:val="none"/>
        </w:rPr>
      </w:pPr>
      <w:r>
        <w:rPr>
          <w:rFonts w:hint="eastAsia" w:ascii="宋体" w:hAnsi="宋体" w:eastAsia="宋体" w:cs="宋体"/>
          <w:b/>
          <w:bCs/>
          <w:szCs w:val="24"/>
          <w:highlight w:val="none"/>
        </w:rPr>
        <w:t>评 分 细 则</w:t>
      </w:r>
    </w:p>
    <w:tbl>
      <w:tblPr>
        <w:tblStyle w:val="35"/>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09"/>
        <w:gridCol w:w="68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pPr>
              <w:spacing w:before="156" w:beforeLines="50" w:after="156" w:after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评分项目</w:t>
            </w:r>
          </w:p>
        </w:tc>
        <w:tc>
          <w:tcPr>
            <w:tcW w:w="1109" w:type="dxa"/>
            <w:noWrap w:val="0"/>
            <w:vAlign w:val="center"/>
          </w:tcPr>
          <w:p>
            <w:pPr>
              <w:spacing w:before="156" w:beforeLines="50" w:after="156" w:after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要点</w:t>
            </w:r>
          </w:p>
        </w:tc>
        <w:tc>
          <w:tcPr>
            <w:tcW w:w="680" w:type="dxa"/>
            <w:noWrap w:val="0"/>
            <w:vAlign w:val="center"/>
          </w:tcPr>
          <w:p>
            <w:pPr>
              <w:spacing w:before="156" w:beforeLines="50" w:after="156" w:after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分值</w:t>
            </w:r>
          </w:p>
        </w:tc>
        <w:tc>
          <w:tcPr>
            <w:tcW w:w="6130" w:type="dxa"/>
            <w:noWrap w:val="0"/>
            <w:vAlign w:val="center"/>
          </w:tcPr>
          <w:p>
            <w:pPr>
              <w:spacing w:before="156" w:beforeLines="50" w:after="156" w:afterLines="50" w:line="360" w:lineRule="auto"/>
              <w:ind w:firstLine="413" w:firstLineChars="196"/>
              <w:rPr>
                <w:rFonts w:hint="eastAsia" w:ascii="宋体" w:hAnsi="宋体" w:eastAsia="宋体" w:cs="宋体"/>
                <w:b/>
                <w:szCs w:val="24"/>
                <w:highlight w:val="none"/>
              </w:rPr>
            </w:pPr>
            <w:r>
              <w:rPr>
                <w:rFonts w:hint="eastAsia" w:ascii="宋体" w:hAnsi="宋体" w:eastAsia="宋体" w:cs="宋体"/>
                <w:b/>
                <w:szCs w:val="24"/>
                <w:highlight w:val="none"/>
              </w:rPr>
              <w:t xml:space="preserve">        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277" w:type="dxa"/>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价格分（30）</w:t>
            </w:r>
          </w:p>
        </w:tc>
        <w:tc>
          <w:tcPr>
            <w:tcW w:w="1109" w:type="dxa"/>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投标报价</w:t>
            </w:r>
          </w:p>
        </w:tc>
        <w:tc>
          <w:tcPr>
            <w:tcW w:w="680" w:type="dxa"/>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30</w:t>
            </w:r>
          </w:p>
        </w:tc>
        <w:tc>
          <w:tcPr>
            <w:tcW w:w="6130" w:type="dxa"/>
            <w:noWrap w:val="0"/>
            <w:vAlign w:val="center"/>
          </w:tcPr>
          <w:p>
            <w:pPr>
              <w:spacing w:before="156" w:beforeLines="50" w:after="15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满足招标文件要求且投标报价最低的投标报价为评标基准价，其价格分为满分。其他投标人的价格分统一按照下列公式计算：投标报价得分=（评标基准价/投标报价）*30%*100。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7" w:type="dxa"/>
            <w:vMerge w:val="restart"/>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技术分</w:t>
            </w:r>
          </w:p>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（60分）</w:t>
            </w:r>
          </w:p>
        </w:tc>
        <w:tc>
          <w:tcPr>
            <w:tcW w:w="1109" w:type="dxa"/>
            <w:vMerge w:val="restart"/>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产品性能、技术指标及系统集成</w:t>
            </w:r>
          </w:p>
        </w:tc>
        <w:tc>
          <w:tcPr>
            <w:tcW w:w="680" w:type="dxa"/>
            <w:tcBorders>
              <w:right w:val="single" w:color="auto" w:sz="4" w:space="0"/>
            </w:tcBorders>
            <w:noWrap w:val="0"/>
            <w:vAlign w:val="center"/>
          </w:tcPr>
          <w:p>
            <w:pPr>
              <w:spacing w:before="156" w:beforeLines="50" w:after="156" w:afterLines="50" w:line="360" w:lineRule="auto"/>
              <w:jc w:val="center"/>
              <w:rPr>
                <w:rFonts w:ascii="宋体" w:hAnsi="宋体" w:eastAsia="宋体" w:cs="宋体"/>
                <w:szCs w:val="24"/>
                <w:highlight w:val="none"/>
              </w:rPr>
            </w:pPr>
            <w:r>
              <w:rPr>
                <w:rFonts w:hint="eastAsia" w:ascii="宋体" w:hAnsi="宋体" w:eastAsia="宋体" w:cs="宋体"/>
                <w:szCs w:val="24"/>
                <w:highlight w:val="none"/>
              </w:rPr>
              <w:t>30</w:t>
            </w:r>
          </w:p>
        </w:tc>
        <w:tc>
          <w:tcPr>
            <w:tcW w:w="6130" w:type="dxa"/>
            <w:tcBorders>
              <w:left w:val="single" w:color="auto" w:sz="4" w:space="0"/>
            </w:tcBorders>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按照招标文件技术规格书参数要求，结合系统功能设计、系统部署及产品品牌优劣等方面，综合打分：</w:t>
            </w:r>
          </w:p>
          <w:p>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符合明确指标参数、满足系统功能要求得25分。</w:t>
            </w:r>
          </w:p>
          <w:p>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需求指标属于正偏的、有先进程度的每项加1-2分（最高分为5分）。无实质性意义的正偏离不加分。</w:t>
            </w:r>
          </w:p>
          <w:p>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对性能指标及系统功能属负偏离或缺漏项的每项扣2分。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277" w:type="dxa"/>
            <w:vMerge w:val="continue"/>
            <w:noWrap w:val="0"/>
            <w:vAlign w:val="center"/>
          </w:tcPr>
          <w:p>
            <w:pPr>
              <w:spacing w:before="156" w:beforeLines="50" w:after="156" w:afterLines="50" w:line="360" w:lineRule="auto"/>
              <w:jc w:val="center"/>
              <w:rPr>
                <w:rFonts w:hint="eastAsia" w:ascii="宋体" w:hAnsi="宋体" w:eastAsia="宋体" w:cs="宋体"/>
                <w:szCs w:val="24"/>
                <w:highlight w:val="none"/>
              </w:rPr>
            </w:pPr>
          </w:p>
        </w:tc>
        <w:tc>
          <w:tcPr>
            <w:tcW w:w="1109" w:type="dxa"/>
            <w:vMerge w:val="continue"/>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lang w:val="zh-CN"/>
              </w:rPr>
            </w:pP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10</w:t>
            </w:r>
          </w:p>
        </w:tc>
        <w:tc>
          <w:tcPr>
            <w:tcW w:w="6130" w:type="dxa"/>
            <w:tcBorders>
              <w:left w:val="single" w:color="auto" w:sz="4" w:space="0"/>
            </w:tcBorders>
            <w:noWrap w:val="0"/>
            <w:vAlign w:val="center"/>
          </w:tcPr>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技术解决方案：</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根据投标人对机场公安局现有相关系统的理解程度及状况，要求对各个子系统的部署方式、功能特点存在问题和需求，及对应的改造方案等方面展开分析与描述，系统的改进方案分析到位、原有系统的专项对接方案等。</w:t>
            </w:r>
          </w:p>
          <w:p>
            <w:pPr>
              <w:pStyle w:val="2"/>
              <w:spacing w:line="360" w:lineRule="auto"/>
              <w:rPr>
                <w:rFonts w:hint="eastAsia" w:eastAsia="宋体" w:cs="宋体"/>
                <w:sz w:val="21"/>
                <w:szCs w:val="21"/>
                <w:highlight w:val="none"/>
                <w:lang w:val="en-US"/>
              </w:rPr>
            </w:pPr>
            <w:r>
              <w:rPr>
                <w:rFonts w:hint="eastAsia" w:eastAsia="宋体" w:cs="宋体"/>
                <w:sz w:val="21"/>
                <w:szCs w:val="21"/>
                <w:highlight w:val="none"/>
                <w:lang w:val="en-US"/>
              </w:rPr>
              <w:t>（完全复制招标需求内容的或者评审专家认为抄袭招标文件内容的属于不符合要求）。</w:t>
            </w:r>
          </w:p>
          <w:p>
            <w:pPr>
              <w:pStyle w:val="2"/>
              <w:spacing w:line="360" w:lineRule="auto"/>
              <w:rPr>
                <w:rFonts w:eastAsia="宋体" w:cs="宋体"/>
                <w:sz w:val="21"/>
                <w:szCs w:val="21"/>
                <w:highlight w:val="none"/>
                <w:lang w:val="en-US"/>
              </w:rPr>
            </w:pPr>
            <w:r>
              <w:rPr>
                <w:rFonts w:hint="eastAsia" w:eastAsia="宋体" w:cs="宋体"/>
                <w:sz w:val="21"/>
                <w:szCs w:val="21"/>
                <w:highlight w:val="none"/>
                <w:lang w:val="en-US"/>
              </w:rPr>
              <w:t>优得10分；较好得7-9分；一般得5-6分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7" w:type="dxa"/>
            <w:vMerge w:val="continue"/>
            <w:noWrap w:val="0"/>
            <w:vAlign w:val="center"/>
          </w:tcPr>
          <w:p>
            <w:pPr>
              <w:spacing w:before="156" w:beforeLines="50" w:after="156" w:afterLines="50" w:line="360" w:lineRule="auto"/>
              <w:jc w:val="center"/>
              <w:rPr>
                <w:rFonts w:hint="eastAsia" w:ascii="宋体" w:hAnsi="宋体" w:eastAsia="宋体" w:cs="宋体"/>
                <w:szCs w:val="24"/>
                <w:highlight w:val="none"/>
              </w:rPr>
            </w:pPr>
          </w:p>
        </w:tc>
        <w:tc>
          <w:tcPr>
            <w:tcW w:w="1109" w:type="dxa"/>
            <w:vMerge w:val="continue"/>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6130" w:type="dxa"/>
            <w:tcBorders>
              <w:left w:val="single" w:color="auto" w:sz="4" w:space="0"/>
            </w:tcBorders>
            <w:noWrap w:val="0"/>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项目系统集成具体实施计划：</w:t>
            </w:r>
          </w:p>
          <w:p>
            <w:pPr>
              <w:spacing w:line="360" w:lineRule="auto"/>
              <w:rPr>
                <w:rFonts w:hint="eastAsia" w:ascii="宋体" w:hAnsi="宋体" w:eastAsia="宋体" w:cs="宋体"/>
                <w:highlight w:val="none"/>
              </w:rPr>
            </w:pPr>
            <w:r>
              <w:rPr>
                <w:rFonts w:hint="eastAsia" w:ascii="宋体" w:hAnsi="宋体" w:eastAsia="宋体" w:cs="宋体"/>
                <w:highlight w:val="none"/>
              </w:rPr>
              <w:t>方案计划完整、科学合理、具有可实施性得4分；较好得3分；一般得1-2分。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277" w:type="dxa"/>
            <w:vMerge w:val="continue"/>
            <w:noWrap w:val="0"/>
            <w:vAlign w:val="center"/>
          </w:tcPr>
          <w:p>
            <w:pPr>
              <w:spacing w:before="156" w:beforeLines="50" w:after="156" w:afterLines="50" w:line="360" w:lineRule="auto"/>
              <w:jc w:val="center"/>
              <w:rPr>
                <w:rFonts w:hint="eastAsia" w:ascii="宋体" w:hAnsi="宋体" w:eastAsia="宋体" w:cs="宋体"/>
                <w:szCs w:val="24"/>
                <w:highlight w:val="none"/>
              </w:rPr>
            </w:pPr>
          </w:p>
        </w:tc>
        <w:tc>
          <w:tcPr>
            <w:tcW w:w="1109" w:type="dxa"/>
            <w:vMerge w:val="restart"/>
            <w:tcBorders>
              <w:right w:val="single" w:color="auto" w:sz="4" w:space="0"/>
            </w:tcBorders>
            <w:noWrap w:val="0"/>
            <w:vAlign w:val="center"/>
          </w:tcPr>
          <w:p>
            <w:pPr>
              <w:spacing w:before="156" w:beforeLines="50" w:after="156" w:afterLines="50" w:line="360" w:lineRule="auto"/>
              <w:rPr>
                <w:rFonts w:hint="eastAsia" w:ascii="宋体" w:hAnsi="宋体" w:eastAsia="宋体" w:cs="宋体"/>
                <w:szCs w:val="24"/>
                <w:highlight w:val="none"/>
              </w:rPr>
            </w:pPr>
          </w:p>
          <w:p>
            <w:pPr>
              <w:spacing w:before="156" w:beforeLines="50" w:after="156" w:afterLines="50" w:line="360" w:lineRule="auto"/>
              <w:rPr>
                <w:rFonts w:hint="eastAsia" w:ascii="宋体" w:hAnsi="宋体" w:eastAsia="宋体" w:cs="宋体"/>
                <w:szCs w:val="24"/>
                <w:highlight w:val="none"/>
              </w:rPr>
            </w:pPr>
          </w:p>
          <w:p>
            <w:pPr>
              <w:spacing w:before="156" w:beforeLines="50" w:after="15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施工组织方案及人员技术力量</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6130" w:type="dxa"/>
            <w:tcBorders>
              <w:left w:val="single" w:color="auto" w:sz="4" w:space="0"/>
            </w:tcBorders>
            <w:noWrap w:val="0"/>
            <w:vAlign w:val="center"/>
          </w:tcPr>
          <w:p>
            <w:pPr>
              <w:spacing w:line="360" w:lineRule="auto"/>
              <w:jc w:val="left"/>
              <w:rPr>
                <w:rFonts w:hint="eastAsia" w:ascii="宋体" w:hAnsi="宋体" w:eastAsia="宋体" w:cs="宋体"/>
                <w:szCs w:val="24"/>
                <w:highlight w:val="none"/>
                <w:lang w:val="zh-CN"/>
              </w:rPr>
            </w:pPr>
            <w:r>
              <w:rPr>
                <w:rFonts w:hint="eastAsia" w:ascii="宋体" w:hAnsi="宋体" w:eastAsia="宋体" w:cs="宋体"/>
                <w:szCs w:val="24"/>
                <w:highlight w:val="none"/>
                <w:lang w:val="zh-CN"/>
              </w:rPr>
              <w:t>根据施工组织计划和质量保证措施的合理性、可行性，由评委在0-</w:t>
            </w:r>
            <w:r>
              <w:rPr>
                <w:rFonts w:hint="eastAsia" w:ascii="宋体" w:hAnsi="宋体" w:eastAsia="宋体" w:cs="宋体"/>
                <w:szCs w:val="24"/>
                <w:highlight w:val="none"/>
              </w:rPr>
              <w:t>2</w:t>
            </w:r>
            <w:r>
              <w:rPr>
                <w:rFonts w:hint="eastAsia" w:ascii="宋体" w:hAnsi="宋体" w:eastAsia="宋体" w:cs="宋体"/>
                <w:szCs w:val="24"/>
                <w:highlight w:val="none"/>
                <w:lang w:val="zh-CN"/>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277" w:type="dxa"/>
            <w:vMerge w:val="continue"/>
            <w:noWrap w:val="0"/>
            <w:vAlign w:val="center"/>
          </w:tcPr>
          <w:p>
            <w:pPr>
              <w:spacing w:before="156" w:beforeLines="50" w:after="156" w:afterLines="50" w:line="360" w:lineRule="auto"/>
              <w:rPr>
                <w:rFonts w:hint="eastAsia" w:ascii="宋体" w:hAnsi="宋体" w:eastAsia="宋体" w:cs="宋体"/>
                <w:highlight w:val="none"/>
              </w:rPr>
            </w:pPr>
          </w:p>
        </w:tc>
        <w:tc>
          <w:tcPr>
            <w:tcW w:w="1109" w:type="dxa"/>
            <w:vMerge w:val="continue"/>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highlight w:val="none"/>
              </w:rPr>
            </w:pP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6</w:t>
            </w:r>
          </w:p>
        </w:tc>
        <w:tc>
          <w:tcPr>
            <w:tcW w:w="6130" w:type="dxa"/>
            <w:tcBorders>
              <w:left w:val="single" w:color="auto" w:sz="4" w:space="0"/>
            </w:tcBorders>
            <w:noWrap w:val="0"/>
            <w:vAlign w:val="center"/>
          </w:tcPr>
          <w:p>
            <w:pPr>
              <w:spacing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系统集成项目组实施人员能：</w:t>
            </w:r>
          </w:p>
          <w:p>
            <w:pPr>
              <w:spacing w:line="360" w:lineRule="auto"/>
              <w:rPr>
                <w:rFonts w:hint="default" w:ascii="宋体" w:hAnsi="宋体" w:eastAsia="宋体" w:cs="宋体"/>
                <w:kern w:val="0"/>
                <w:szCs w:val="24"/>
                <w:highlight w:val="none"/>
                <w:lang w:val="en-US" w:eastAsia="zh-CN"/>
              </w:rPr>
            </w:pPr>
            <w:r>
              <w:rPr>
                <w:rFonts w:hint="eastAsia" w:ascii="宋体" w:hAnsi="宋体" w:eastAsia="宋体" w:cs="宋体"/>
                <w:b/>
                <w:bCs/>
                <w:kern w:val="0"/>
                <w:szCs w:val="24"/>
                <w:highlight w:val="none"/>
              </w:rPr>
              <w:t>项目经理：</w:t>
            </w:r>
            <w:r>
              <w:rPr>
                <w:rFonts w:hint="eastAsia" w:ascii="宋体" w:hAnsi="宋体" w:eastAsia="宋体" w:cs="宋体"/>
                <w:kern w:val="0"/>
                <w:szCs w:val="24"/>
                <w:highlight w:val="none"/>
              </w:rPr>
              <w:t>具有数据安全交换系统、</w:t>
            </w:r>
            <w:r>
              <w:rPr>
                <w:rFonts w:ascii="宋体" w:hAnsi="宋体" w:eastAsia="宋体" w:cs="宋体"/>
                <w:kern w:val="0"/>
                <w:szCs w:val="24"/>
                <w:highlight w:val="none"/>
              </w:rPr>
              <w:t>视频安全交换系统原厂技术资格认证证书的</w:t>
            </w:r>
            <w:r>
              <w:rPr>
                <w:rFonts w:hint="eastAsia" w:ascii="宋体" w:hAnsi="宋体" w:eastAsia="宋体" w:cs="宋体"/>
                <w:kern w:val="0"/>
                <w:szCs w:val="24"/>
                <w:highlight w:val="none"/>
              </w:rPr>
              <w:t>，各得1分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lang w:val="en-US" w:eastAsia="zh-CN"/>
              </w:rPr>
              <w:t>总分2分。</w:t>
            </w:r>
          </w:p>
          <w:p>
            <w:pPr>
              <w:spacing w:line="360" w:lineRule="auto"/>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系统集成项目组其它实施人员能力及经验：</w:t>
            </w:r>
          </w:p>
          <w:p>
            <w:pPr>
              <w:spacing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项目组实施人员专业人员素质高、技术能力强、专业分布广、数量充足、配置合理，熟悉类似业务建设内容，具有类似业务建设经验，评价为优得4分；评价为良得3-2分；评价一般得1分。</w:t>
            </w:r>
          </w:p>
          <w:p>
            <w:pPr>
              <w:spacing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（提供以上人员证书复印件以及近三个月在本单位缴纳的社保证明，未提供社保证明的该项不得分）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77" w:type="dxa"/>
            <w:vMerge w:val="continue"/>
            <w:noWrap w:val="0"/>
            <w:vAlign w:val="center"/>
          </w:tcPr>
          <w:p>
            <w:pPr>
              <w:spacing w:before="156" w:beforeLines="50" w:after="156" w:afterLines="50" w:line="360" w:lineRule="auto"/>
              <w:rPr>
                <w:rFonts w:hint="eastAsia" w:ascii="宋体" w:hAnsi="宋体" w:eastAsia="宋体" w:cs="宋体"/>
                <w:highlight w:val="none"/>
              </w:rPr>
            </w:pPr>
          </w:p>
        </w:tc>
        <w:tc>
          <w:tcPr>
            <w:tcW w:w="1109" w:type="dxa"/>
            <w:tcBorders>
              <w:right w:val="single" w:color="auto" w:sz="4" w:space="0"/>
            </w:tcBorders>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售后服务、维保计划</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6130" w:type="dxa"/>
            <w:tcBorders>
              <w:left w:val="single" w:color="auto" w:sz="4" w:space="0"/>
            </w:tcBorders>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项目维护计划（对用户故障的响应、处理、定期巡检、备品备件等情况）的有效性和售后服务的响应情况。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77" w:type="dxa"/>
            <w:vMerge w:val="continue"/>
            <w:noWrap w:val="0"/>
            <w:vAlign w:val="center"/>
          </w:tcPr>
          <w:p>
            <w:pPr>
              <w:spacing w:before="156" w:beforeLines="50" w:after="156" w:afterLines="50" w:line="360" w:lineRule="auto"/>
              <w:rPr>
                <w:rFonts w:hint="eastAsia" w:ascii="宋体" w:hAnsi="宋体" w:eastAsia="宋体" w:cs="宋体"/>
                <w:highlight w:val="none"/>
              </w:rPr>
            </w:pPr>
          </w:p>
        </w:tc>
        <w:tc>
          <w:tcPr>
            <w:tcW w:w="1109"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技术服务</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6130" w:type="dxa"/>
            <w:tcBorders>
              <w:left w:val="single" w:color="auto" w:sz="4" w:space="0"/>
            </w:tcBorders>
            <w:noWrap w:val="0"/>
            <w:vAlign w:val="center"/>
          </w:tcPr>
          <w:p>
            <w:pPr>
              <w:spacing w:before="156" w:beforeLines="50" w:after="15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技术服务、技术支持、技术培训计划的完整性、科学性、合理性。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7" w:type="dxa"/>
            <w:vMerge w:val="continue"/>
            <w:noWrap w:val="0"/>
            <w:vAlign w:val="center"/>
          </w:tcPr>
          <w:p>
            <w:pPr>
              <w:spacing w:before="156" w:beforeLines="50" w:after="156" w:afterLines="50" w:line="360" w:lineRule="auto"/>
              <w:rPr>
                <w:rFonts w:hint="eastAsia" w:ascii="宋体" w:hAnsi="宋体" w:eastAsia="宋体" w:cs="宋体"/>
                <w:highlight w:val="none"/>
              </w:rPr>
            </w:pPr>
          </w:p>
        </w:tc>
        <w:tc>
          <w:tcPr>
            <w:tcW w:w="1109"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售后服务机构</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6130" w:type="dxa"/>
            <w:tcBorders>
              <w:left w:val="single" w:color="auto" w:sz="4" w:space="0"/>
            </w:tcBorders>
            <w:noWrap w:val="0"/>
            <w:vAlign w:val="center"/>
          </w:tcPr>
          <w:p>
            <w:pPr>
              <w:spacing w:before="156" w:beforeLines="50" w:after="15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本地具有售后服务机构或供应商承诺中标公示后在规定时间内能设立本地售后服务机构，确保项目的售后服务。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7" w:type="dxa"/>
            <w:vMerge w:val="restart"/>
            <w:noWrap w:val="0"/>
            <w:vAlign w:val="center"/>
          </w:tcPr>
          <w:p>
            <w:pPr>
              <w:spacing w:before="156" w:beforeLines="50" w:after="156" w:afterLines="50" w:line="360" w:lineRule="auto"/>
              <w:ind w:firstLine="210" w:firstLineChars="100"/>
              <w:rPr>
                <w:rFonts w:hint="eastAsia" w:ascii="宋体" w:hAnsi="宋体" w:eastAsia="宋体" w:cs="宋体"/>
                <w:szCs w:val="24"/>
                <w:highlight w:val="none"/>
              </w:rPr>
            </w:pPr>
            <w:r>
              <w:rPr>
                <w:rFonts w:hint="eastAsia" w:ascii="宋体" w:hAnsi="宋体" w:eastAsia="宋体" w:cs="宋体"/>
                <w:szCs w:val="24"/>
                <w:highlight w:val="none"/>
              </w:rPr>
              <w:t>资信分</w:t>
            </w:r>
          </w:p>
          <w:p>
            <w:pPr>
              <w:spacing w:before="156" w:beforeLines="50" w:after="156" w:afterLines="50" w:line="360" w:lineRule="auto"/>
              <w:jc w:val="center"/>
              <w:rPr>
                <w:rFonts w:hint="eastAsia" w:ascii="宋体" w:hAnsi="宋体" w:eastAsia="宋体" w:cs="宋体"/>
                <w:highlight w:val="none"/>
              </w:rPr>
            </w:pPr>
            <w:r>
              <w:rPr>
                <w:rFonts w:hint="eastAsia" w:ascii="宋体" w:hAnsi="宋体" w:eastAsia="宋体" w:cs="宋体"/>
                <w:szCs w:val="24"/>
                <w:highlight w:val="none"/>
              </w:rPr>
              <w:t>（10分）</w:t>
            </w:r>
          </w:p>
        </w:tc>
        <w:tc>
          <w:tcPr>
            <w:tcW w:w="1109"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业绩</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5</w:t>
            </w:r>
          </w:p>
        </w:tc>
        <w:tc>
          <w:tcPr>
            <w:tcW w:w="6130" w:type="dxa"/>
            <w:tcBorders>
              <w:left w:val="single" w:color="auto" w:sz="4" w:space="0"/>
            </w:tcBorders>
            <w:noWrap w:val="0"/>
            <w:vAlign w:val="center"/>
          </w:tcPr>
          <w:p>
            <w:pPr>
              <w:spacing w:before="156" w:beforeLines="50" w:after="156" w:afterLines="50"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提供2016年1月1日以来</w:t>
            </w:r>
            <w:r>
              <w:rPr>
                <w:rFonts w:hint="eastAsia" w:ascii="宋体" w:hAnsi="宋体" w:eastAsia="宋体" w:cs="宋体"/>
                <w:szCs w:val="24"/>
                <w:highlight w:val="none"/>
                <w:lang w:val="en-US" w:eastAsia="zh-CN"/>
              </w:rPr>
              <w:t>同类项目</w:t>
            </w:r>
            <w:r>
              <w:rPr>
                <w:rFonts w:hint="eastAsia" w:ascii="宋体" w:hAnsi="宋体" w:eastAsia="宋体" w:cs="宋体"/>
                <w:szCs w:val="24"/>
                <w:highlight w:val="none"/>
              </w:rPr>
              <w:t>成功案例。每提供1个得1分，开标时提供原件核查，未提供合同原件不得分。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77" w:type="dxa"/>
            <w:vMerge w:val="continue"/>
            <w:noWrap w:val="0"/>
            <w:vAlign w:val="center"/>
          </w:tcPr>
          <w:p>
            <w:pPr>
              <w:spacing w:before="156" w:beforeLines="50" w:after="156" w:afterLines="50" w:line="360" w:lineRule="auto"/>
              <w:rPr>
                <w:rFonts w:hint="eastAsia" w:ascii="宋体" w:hAnsi="宋体" w:eastAsia="宋体" w:cs="宋体"/>
                <w:highlight w:val="none"/>
              </w:rPr>
            </w:pPr>
          </w:p>
        </w:tc>
        <w:tc>
          <w:tcPr>
            <w:tcW w:w="1109" w:type="dxa"/>
            <w:tcBorders>
              <w:right w:val="single" w:color="auto" w:sz="4" w:space="0"/>
            </w:tcBorders>
            <w:noWrap w:val="0"/>
            <w:vAlign w:val="center"/>
          </w:tcPr>
          <w:p>
            <w:pPr>
              <w:spacing w:before="156" w:beforeLines="50" w:after="156" w:afterLines="50" w:line="360" w:lineRule="auto"/>
              <w:jc w:val="center"/>
              <w:rPr>
                <w:rFonts w:ascii="宋体" w:hAnsi="宋体" w:eastAsia="宋体" w:cs="宋体"/>
                <w:szCs w:val="24"/>
                <w:highlight w:val="none"/>
              </w:rPr>
            </w:pPr>
            <w:r>
              <w:rPr>
                <w:rFonts w:hint="eastAsia" w:ascii="宋体" w:hAnsi="宋体" w:eastAsia="宋体" w:cs="宋体"/>
                <w:szCs w:val="24"/>
                <w:highlight w:val="none"/>
              </w:rPr>
              <w:t>企业信誉</w:t>
            </w:r>
          </w:p>
        </w:tc>
        <w:tc>
          <w:tcPr>
            <w:tcW w:w="680" w:type="dxa"/>
            <w:tcBorders>
              <w:right w:val="single" w:color="auto" w:sz="4" w:space="0"/>
            </w:tcBorders>
            <w:noWrap w:val="0"/>
            <w:vAlign w:val="center"/>
          </w:tcPr>
          <w:p>
            <w:pPr>
              <w:spacing w:before="156" w:beforeLines="50" w:after="156" w:afterLines="50" w:line="360" w:lineRule="auto"/>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5</w:t>
            </w:r>
          </w:p>
        </w:tc>
        <w:tc>
          <w:tcPr>
            <w:tcW w:w="6130" w:type="dxa"/>
            <w:tcBorders>
              <w:left w:val="single" w:color="auto" w:sz="4" w:space="0"/>
            </w:tcBorders>
            <w:noWrap w:val="0"/>
            <w:vAlign w:val="center"/>
          </w:tcPr>
          <w:p>
            <w:pPr>
              <w:numPr>
                <w:ilvl w:val="0"/>
                <w:numId w:val="6"/>
              </w:numPr>
              <w:spacing w:before="156" w:beforeLines="50" w:after="156" w:after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投标人具有</w:t>
            </w:r>
            <w:r>
              <w:rPr>
                <w:rFonts w:hint="eastAsia" w:ascii="宋体" w:hAnsi="宋体" w:eastAsia="宋体" w:cs="宋体"/>
                <w:strike w:val="0"/>
                <w:szCs w:val="21"/>
                <w:highlight w:val="none"/>
              </w:rPr>
              <w:t>信用等级证书</w:t>
            </w:r>
            <w:r>
              <w:rPr>
                <w:rFonts w:hint="eastAsia" w:ascii="宋体" w:hAnsi="宋体" w:eastAsia="宋体" w:cs="宋体"/>
                <w:szCs w:val="21"/>
                <w:highlight w:val="none"/>
              </w:rPr>
              <w:t>AAA级的，得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pPr>
              <w:pStyle w:val="2"/>
              <w:numPr>
                <w:ilvl w:val="0"/>
                <w:numId w:val="6"/>
              </w:numPr>
              <w:spacing w:line="360" w:lineRule="auto"/>
              <w:rPr>
                <w:rFonts w:hint="eastAsia" w:eastAsia="宋体" w:cs="宋体"/>
                <w:sz w:val="21"/>
                <w:szCs w:val="21"/>
                <w:highlight w:val="none"/>
              </w:rPr>
            </w:pPr>
            <w:r>
              <w:rPr>
                <w:rFonts w:hint="eastAsia" w:eastAsia="宋体" w:cs="宋体"/>
                <w:sz w:val="21"/>
                <w:szCs w:val="21"/>
                <w:highlight w:val="none"/>
              </w:rPr>
              <w:t>投标人具有ISO9001质量管理体系认证证书</w:t>
            </w:r>
            <w:r>
              <w:rPr>
                <w:rFonts w:hint="eastAsia" w:eastAsia="宋体" w:cs="宋体"/>
                <w:sz w:val="21"/>
                <w:szCs w:val="21"/>
                <w:highlight w:val="none"/>
                <w:lang w:val="en-US"/>
              </w:rPr>
              <w:t>的，得1分；具有</w:t>
            </w:r>
            <w:r>
              <w:rPr>
                <w:rFonts w:hint="eastAsia" w:eastAsia="宋体" w:cs="宋体"/>
                <w:sz w:val="21"/>
                <w:szCs w:val="21"/>
                <w:highlight w:val="none"/>
              </w:rPr>
              <w:t>ISO14001环境管理体系认证证书</w:t>
            </w:r>
            <w:r>
              <w:rPr>
                <w:rFonts w:hint="eastAsia" w:eastAsia="宋体" w:cs="宋体"/>
                <w:sz w:val="21"/>
                <w:szCs w:val="21"/>
                <w:highlight w:val="none"/>
                <w:lang w:val="en-US"/>
              </w:rPr>
              <w:t>的，</w:t>
            </w:r>
            <w:r>
              <w:rPr>
                <w:rFonts w:hint="eastAsia" w:eastAsia="宋体" w:cs="宋体"/>
                <w:sz w:val="21"/>
                <w:szCs w:val="21"/>
                <w:highlight w:val="none"/>
              </w:rPr>
              <w:t>得</w:t>
            </w:r>
            <w:r>
              <w:rPr>
                <w:rFonts w:hint="eastAsia" w:eastAsia="宋体" w:cs="宋体"/>
                <w:sz w:val="21"/>
                <w:szCs w:val="21"/>
                <w:highlight w:val="none"/>
                <w:lang w:val="en-US"/>
              </w:rPr>
              <w:t>1</w:t>
            </w:r>
            <w:r>
              <w:rPr>
                <w:rFonts w:hint="eastAsia" w:eastAsia="宋体" w:cs="宋体"/>
                <w:sz w:val="21"/>
                <w:szCs w:val="21"/>
                <w:highlight w:val="none"/>
              </w:rPr>
              <w:t>分；</w:t>
            </w:r>
          </w:p>
          <w:p>
            <w:pPr>
              <w:pStyle w:val="2"/>
              <w:numPr>
                <w:ilvl w:val="0"/>
                <w:numId w:val="0"/>
              </w:numPr>
              <w:spacing w:line="360" w:lineRule="auto"/>
              <w:rPr>
                <w:rFonts w:hint="eastAsia" w:eastAsia="宋体" w:cs="宋体"/>
                <w:szCs w:val="21"/>
                <w:highlight w:val="none"/>
              </w:rPr>
            </w:pPr>
            <w:r>
              <w:rPr>
                <w:rFonts w:hint="eastAsia" w:eastAsia="宋体" w:cs="宋体"/>
                <w:kern w:val="2"/>
                <w:sz w:val="21"/>
                <w:szCs w:val="21"/>
                <w:highlight w:val="none"/>
                <w:lang w:val="en-US" w:eastAsia="zh-CN"/>
              </w:rPr>
              <w:t>3、</w:t>
            </w:r>
            <w:r>
              <w:rPr>
                <w:rFonts w:hint="eastAsia" w:eastAsia="宋体" w:cs="宋体"/>
                <w:kern w:val="2"/>
                <w:sz w:val="21"/>
                <w:szCs w:val="21"/>
                <w:highlight w:val="none"/>
                <w:lang w:val="en-US"/>
              </w:rPr>
              <w:t>投标人具有浙江省安全技术防范行业资信等级二级以上（含）证书的，得2分。</w:t>
            </w:r>
          </w:p>
        </w:tc>
      </w:tr>
    </w:tbl>
    <w:p>
      <w:pPr>
        <w:rPr>
          <w:rFonts w:hint="eastAsia" w:ascii="宋体" w:hAnsi="宋体" w:eastAsia="宋体" w:cs="宋体"/>
          <w:b/>
          <w:szCs w:val="21"/>
          <w:highlight w:val="none"/>
        </w:rPr>
      </w:pPr>
      <w:r>
        <w:rPr>
          <w:rFonts w:hint="eastAsia" w:ascii="宋体" w:hAnsi="宋体" w:eastAsia="宋体" w:cs="宋体"/>
          <w:b/>
          <w:szCs w:val="21"/>
          <w:highlight w:val="none"/>
        </w:rPr>
        <w:t>注：合同复印件（必须包括合同首页、含有项目名称的页面以及签章页）</w:t>
      </w:r>
    </w:p>
    <w:p>
      <w:pPr>
        <w:pStyle w:val="21"/>
        <w:snapToGrid w:val="0"/>
        <w:spacing w:before="156" w:after="156" w:line="360" w:lineRule="auto"/>
        <w:rPr>
          <w:rFonts w:hint="eastAsia" w:hAnsi="宋体" w:eastAsia="宋体" w:cs="宋体"/>
          <w:b/>
          <w:sz w:val="21"/>
          <w:szCs w:val="21"/>
          <w:highlight w:val="none"/>
        </w:rPr>
      </w:pPr>
      <w:r>
        <w:rPr>
          <w:rFonts w:hint="eastAsia" w:hAnsi="宋体" w:eastAsia="宋体" w:cs="宋体"/>
          <w:b/>
          <w:bCs/>
          <w:sz w:val="21"/>
          <w:szCs w:val="21"/>
          <w:highlight w:val="none"/>
        </w:rPr>
        <w:t>备注：本项目采用综合评分法分标项确定最终评价得分，并不保证最低投标价格的供应商一定中标。</w:t>
      </w:r>
      <w:r>
        <w:rPr>
          <w:rFonts w:hint="eastAsia" w:hAnsi="宋体" w:eastAsia="宋体" w:cs="宋体"/>
          <w:b/>
          <w:sz w:val="21"/>
          <w:szCs w:val="21"/>
          <w:highlight w:val="none"/>
        </w:rPr>
        <w:t>投标报价超过采购人的预算价的将作废标处理；若全部投标报价均超过预算价的，招标人将重新组织招标。</w:t>
      </w:r>
    </w:p>
    <w:p>
      <w:pPr>
        <w:numPr>
          <w:ilvl w:val="0"/>
          <w:numId w:val="7"/>
        </w:numPr>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其他</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报价得分评审对投标人最终的报价的评标价进行统一计算评分，由评审小组集体判定评分。</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满足招标文件要求且投标报价最低的投标报价为评标基准价，其价格分为满分30分。其他响应单位的价格分统一按照下列公式计算：投标报价得分=（评标基准价/投标报价）×30</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①根据《政府采购促进中小企业发展暂行办法》（财库[2011]181号）的规定，响应单位为小型或微型企业且所投产品为小型或微型企业生产的，其投标报价扣除6%后参与评审。</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响应文件中须同时提供：中小企业声明函及投标人、投标产品制造商的小微企业证明（当地中小企业行政主管部门出具的中小企业资格确认意见书或者投标截止时间前7日内“国家企业信用信息公示系统—小微企业名录”页面查询结果），未按要求提供此二项证明材料的（二者缺一不可）均不被认定为中小企业，即投标报价不予扣减。</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②根据《关于政府采购支持监狱企业发展有关问题的通知》（财库[2014]68号）的规定，响应单位如为监狱企业且所投产品为小型或微型企业生产的，其投标报价扣除6%后参与评审。</w:t>
      </w:r>
    </w:p>
    <w:p>
      <w:pPr>
        <w:tabs>
          <w:tab w:val="left" w:pos="882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响应文件中须同时提供：响应单位的省级以上监狱管理局、戒毒管理局(含新疆生产建设兵团)出具的属于监狱企业的证明文件，投标产品制造商的小微企业证明（当地中小企业行政主管部门出具的中小企业资格确认意见书或者投标截止时间前7日内“国家企业信用信息公示系统—小微企业名录”页面查询结果），未提供完整证明材料的，投标报价不予扣减。</w:t>
      </w:r>
    </w:p>
    <w:p>
      <w:pPr>
        <w:tabs>
          <w:tab w:val="left" w:pos="8820"/>
        </w:tabs>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③根据《财政部、民政部、中国残疾人联合会关于促进残疾人就业政府采购政策的通知》（财库〔2017〕141号）的规定响应单位如为符合条件的残疾人福利性单位，其投标报价扣除6%后参与评审。</w:t>
      </w:r>
      <w:bookmarkStart w:id="50" w:name="_Toc290387327"/>
      <w:bookmarkStart w:id="51" w:name="_Toc372790161"/>
      <w:r>
        <w:rPr>
          <w:rFonts w:hint="eastAsia" w:ascii="宋体" w:hAnsi="宋体" w:eastAsia="宋体" w:cs="宋体"/>
          <w:b/>
          <w:bCs/>
          <w:szCs w:val="21"/>
          <w:highlight w:val="none"/>
        </w:rPr>
        <w:t xml:space="preserve">          </w:t>
      </w:r>
    </w:p>
    <w:p>
      <w:pPr>
        <w:pStyle w:val="21"/>
        <w:pageBreakBefore/>
        <w:numPr>
          <w:ilvl w:val="0"/>
          <w:numId w:val="8"/>
        </w:numPr>
        <w:adjustRightInd w:val="0"/>
        <w:snapToGrid w:val="0"/>
        <w:spacing w:before="156" w:after="156" w:line="360" w:lineRule="auto"/>
        <w:jc w:val="center"/>
        <w:outlineLvl w:val="0"/>
        <w:rPr>
          <w:rFonts w:hint="eastAsia" w:hAnsi="宋体" w:eastAsia="宋体" w:cs="宋体"/>
          <w:b/>
          <w:bCs/>
          <w:sz w:val="32"/>
          <w:szCs w:val="32"/>
          <w:highlight w:val="none"/>
        </w:rPr>
      </w:pPr>
      <w:r>
        <w:rPr>
          <w:rFonts w:hint="eastAsia" w:hAnsi="宋体" w:eastAsia="宋体" w:cs="宋体"/>
          <w:b/>
          <w:bCs/>
          <w:sz w:val="32"/>
          <w:szCs w:val="32"/>
          <w:highlight w:val="none"/>
        </w:rPr>
        <w:t xml:space="preserve"> 招标内容及技术需求（技术规格书）</w:t>
      </w:r>
    </w:p>
    <w:p>
      <w:pPr>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特别说明：</w:t>
      </w:r>
    </w:p>
    <w:p>
      <w:pPr>
        <w:spacing w:line="360" w:lineRule="auto"/>
        <w:ind w:firstLine="442" w:firstLineChars="200"/>
        <w:rPr>
          <w:rFonts w:hint="eastAsia" w:ascii="宋体" w:hAnsi="宋体"/>
          <w:b/>
          <w:bCs/>
          <w:sz w:val="22"/>
          <w:szCs w:val="22"/>
          <w:highlight w:val="none"/>
        </w:rPr>
      </w:pPr>
      <w:r>
        <w:rPr>
          <w:rFonts w:hint="eastAsia" w:ascii="宋体" w:hAnsi="宋体"/>
          <w:b/>
          <w:bCs/>
          <w:sz w:val="22"/>
          <w:szCs w:val="22"/>
          <w:highlight w:val="none"/>
        </w:rPr>
        <w:t>根据浙财采监字[2007]2号文件规定：除采购文件</w:t>
      </w:r>
      <w:r>
        <w:rPr>
          <w:rFonts w:hint="eastAsia" w:ascii="宋体" w:hAnsi="宋体"/>
          <w:b/>
          <w:bCs/>
          <w:sz w:val="22"/>
          <w:szCs w:val="22"/>
          <w:highlight w:val="none"/>
          <w:lang w:val="en-US" w:eastAsia="zh-CN"/>
        </w:rPr>
        <w:t>推荐</w:t>
      </w:r>
      <w:r>
        <w:rPr>
          <w:rFonts w:hint="eastAsia" w:ascii="宋体" w:hAnsi="宋体"/>
          <w:b/>
          <w:bCs/>
          <w:sz w:val="22"/>
          <w:szCs w:val="22"/>
          <w:highlight w:val="none"/>
        </w:rPr>
        <w:t>的</w:t>
      </w:r>
      <w:r>
        <w:rPr>
          <w:rFonts w:hint="eastAsia" w:ascii="宋体" w:hAnsi="宋体"/>
          <w:b/>
          <w:bCs/>
          <w:sz w:val="22"/>
          <w:szCs w:val="22"/>
          <w:highlight w:val="none"/>
          <w:lang w:val="en-US" w:eastAsia="zh-CN"/>
        </w:rPr>
        <w:t>参考</w:t>
      </w:r>
      <w:r>
        <w:rPr>
          <w:rFonts w:hint="eastAsia" w:ascii="宋体" w:hAnsi="宋体"/>
          <w:b/>
          <w:bCs/>
          <w:sz w:val="22"/>
          <w:szCs w:val="22"/>
          <w:highlight w:val="none"/>
        </w:rPr>
        <w:t>品牌外，欢迎其他能满足本项目技术需求且性能与所明确品牌相当的产品参加。</w:t>
      </w:r>
    </w:p>
    <w:p>
      <w:pPr>
        <w:spacing w:line="360" w:lineRule="auto"/>
        <w:ind w:firstLine="422" w:firstLineChars="200"/>
        <w:rPr>
          <w:highlight w:val="none"/>
        </w:rPr>
      </w:pPr>
      <w:r>
        <w:rPr>
          <w:rFonts w:hint="eastAsia" w:ascii="宋体" w:hAnsi="宋体" w:eastAsia="宋体" w:cs="宋体"/>
          <w:b/>
          <w:bCs/>
          <w:color w:val="FF0000"/>
          <w:szCs w:val="21"/>
          <w:highlight w:val="none"/>
        </w:rPr>
        <w:t>2、需求中不允许偏离的实质性要求和条件，以“▲”号标明，如投标人未响应的，将被视为无效。</w:t>
      </w: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一、项目概述</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1、视频、数据安全交换系统：新建视频和数据安全交换系统，实现视频专网监控视频、社会数据资源安全的接入到公安网。</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2、合成作战中心：对机场公安局10楼部分办公室进行改造，建立合成作战中心，立面建设9块55寸液晶拼接墙，同时将前端视频资源、本地电脑信号等上墙显示。</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3、场区***二级作战平台：新建6块55寸液晶拼接墙和拼接处理器，整合视频资源统一接入大屏显示，服务***实战工作。同时拆除原有老旧设备。</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4、特警二级作战平台：航站楼3025室新建4块55寸液晶拼接墙和拼接处理器，整合视频资源统一接入上大屏显示，服务特警实际作战需求。</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5、航站楼***二级作战平台：对原故障电视机进行更换，融合拼接处理器，整合视频资源。</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本项目应符合以下技术标准、规范和要求：</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GB/T22239-2008《信息安全技术信息系统安全等级保护基本要求》</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JGJ/T 16-2015 《民用建筑电气设计规范》；</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GB50174-2008《电子信息系统机房设计规范》；</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GB8898-2011《音频、视频及类似电子设备安全要求》；</w:t>
      </w:r>
    </w:p>
    <w:p>
      <w:pPr>
        <w:widowControl/>
        <w:spacing w:line="360" w:lineRule="auto"/>
        <w:ind w:firstLine="480"/>
        <w:rPr>
          <w:rFonts w:hint="eastAsia" w:ascii="宋体" w:hAnsi="宋体" w:eastAsia="宋体" w:cs="宋体"/>
          <w:szCs w:val="21"/>
          <w:highlight w:val="none"/>
        </w:rPr>
        <w:sectPr>
          <w:footerReference r:id="rId10" w:type="default"/>
          <w:pgSz w:w="11906" w:h="16838"/>
          <w:pgMar w:top="1440" w:right="1797" w:bottom="1440" w:left="1797" w:header="851" w:footer="992" w:gutter="0"/>
          <w:pgNumType w:start="1"/>
          <w:cols w:space="720" w:num="1"/>
          <w:docGrid w:type="lines" w:linePitch="312" w:charSpace="0"/>
        </w:sectPr>
      </w:pPr>
      <w:r>
        <w:rPr>
          <w:rFonts w:hint="eastAsia" w:ascii="宋体" w:hAnsi="宋体" w:eastAsia="宋体" w:cs="宋体"/>
          <w:szCs w:val="21"/>
          <w:highlight w:val="none"/>
        </w:rPr>
        <w:t>GB/T 50525-2010《视频显示系统工程测量规范》。</w:t>
      </w: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二、预算明细</w:t>
      </w:r>
    </w:p>
    <w:tbl>
      <w:tblPr>
        <w:tblStyle w:val="35"/>
        <w:tblW w:w="0" w:type="auto"/>
        <w:tblInd w:w="0" w:type="dxa"/>
        <w:tblLayout w:type="fixed"/>
        <w:tblCellMar>
          <w:top w:w="0" w:type="dxa"/>
          <w:left w:w="108" w:type="dxa"/>
          <w:bottom w:w="0" w:type="dxa"/>
          <w:right w:w="108" w:type="dxa"/>
        </w:tblCellMar>
      </w:tblPr>
      <w:tblGrid>
        <w:gridCol w:w="618"/>
        <w:gridCol w:w="2180"/>
        <w:gridCol w:w="6840"/>
        <w:gridCol w:w="619"/>
        <w:gridCol w:w="770"/>
        <w:gridCol w:w="1110"/>
        <w:gridCol w:w="1830"/>
      </w:tblGrid>
      <w:tr>
        <w:tblPrEx>
          <w:tblCellMar>
            <w:top w:w="0" w:type="dxa"/>
            <w:left w:w="108" w:type="dxa"/>
            <w:bottom w:w="0" w:type="dxa"/>
            <w:right w:w="108" w:type="dxa"/>
          </w:tblCellMar>
        </w:tblPrEx>
        <w:trPr>
          <w:trHeight w:val="499"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bookmarkStart w:id="52" w:name="RANGE!A1:I37"/>
            <w:r>
              <w:rPr>
                <w:rFonts w:hint="eastAsia" w:ascii="宋体" w:hAnsi="宋体" w:eastAsia="宋体" w:cs="宋体"/>
                <w:b/>
                <w:bCs/>
                <w:kern w:val="0"/>
                <w:szCs w:val="21"/>
                <w:highlight w:val="none"/>
              </w:rPr>
              <w:t>序号</w:t>
            </w:r>
            <w:bookmarkEnd w:id="52"/>
          </w:p>
        </w:tc>
        <w:tc>
          <w:tcPr>
            <w:tcW w:w="21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产品类型</w:t>
            </w:r>
          </w:p>
        </w:tc>
        <w:tc>
          <w:tcPr>
            <w:tcW w:w="684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技术指标要求</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数量</w:t>
            </w:r>
          </w:p>
        </w:tc>
        <w:tc>
          <w:tcPr>
            <w:tcW w:w="77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单位</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售后要求</w:t>
            </w:r>
          </w:p>
        </w:tc>
        <w:tc>
          <w:tcPr>
            <w:tcW w:w="183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参考品牌</w:t>
            </w:r>
          </w:p>
        </w:tc>
      </w:tr>
      <w:tr>
        <w:tblPrEx>
          <w:tblCellMar>
            <w:top w:w="0" w:type="dxa"/>
            <w:left w:w="108" w:type="dxa"/>
            <w:bottom w:w="0" w:type="dxa"/>
            <w:right w:w="108" w:type="dxa"/>
          </w:tblCellMar>
        </w:tblPrEx>
        <w:trPr>
          <w:trHeight w:val="444" w:hRule="atLeast"/>
        </w:trPr>
        <w:tc>
          <w:tcPr>
            <w:tcW w:w="1396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1、视频、数据安全交换系统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数据安全交换系统</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1、主要设备包含用户认证服务器、安全隔离与信息交换系统、数据认证服务器。</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2、数据库到数据库交换最大并发数据表≥1,024</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3、数据库到数据库交换记录数（＞100Kb/记录）≥2,500条/秒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4、单个数据表影射最大字段数≥128；</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5、数据文件处理文件数（＞100Kb/记录）≥2,000个/秒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6、数据文件处理吞吐量≥800Mbps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7、应用层数据交换速度（FTP）≥800Mbps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8、最大数据文件≥30G</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9、并发客户端数量≥8000；</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10、最大支持服务≥60</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11、最大传输延时＜30ms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12、数据库数据增量同步传输速率&gt; 600 条/秒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13、FTP 文件（文件大小为1KB）同步传输速率 &gt; 120 个</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14、FTP 文件（文件大小为100MB）同步传输平均传输速率 &gt; 600Mbps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15、支持不同服务器之间数据库256 张数据表的数据的同步操作</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16、支持不同服务器之间数据库512 数据映射字段的同步操作</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17、支持同时完成12 个文件传输任务</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18、支持终端用户数：20W，支持1000个业务</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19、任务调度粒度为秒级；</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20、目录监控触发时间≤1秒；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21、页面需具备性能测试统计及展示（业务统计、规则预警、测试报表）</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套</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国保金泰、上海辰锐，  杭州合众</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视频安全交换系统</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硬件形态：标准机架式机箱，专用安全加固Linux操作系统。</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硬件配置：视频安全隔离设备、视频接入认证服务器、视频用户认证服务器三个设备组成,为同一品牌（必须入围公安部组织测试的接入平台安全产品名单）。</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视频接入认证服务器：≥2个10/100M/1000M电口、≥2个万兆光口；</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视频隔离网闸：采用“2+1”架构，即由两个主机系统和一个隔离交换专用硬件组成，支持冗余电源；接口：≥8个10/100M/1000M电口、内、外网各1个单独的管理接口，≥2个USB接口；</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视频用户认证服务器：≥2个10/100M/1000M电口、≥2个万兆光口；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数据吞吐量≥7Gbps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传输延时&lt;=系统延时&lt;=20μs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并发用户数≥200000个</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视频传输能力≥2000路2Mbps并发（500路8Mbps）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稳定性运行时间(MTBF) &gt;50000小时</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套</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国保金泰、上海辰锐，  杭州合众</w:t>
            </w:r>
          </w:p>
        </w:tc>
      </w:tr>
      <w:tr>
        <w:tblPrEx>
          <w:tblCellMar>
            <w:top w:w="0" w:type="dxa"/>
            <w:left w:w="108" w:type="dxa"/>
            <w:bottom w:w="0" w:type="dxa"/>
            <w:right w:w="108" w:type="dxa"/>
          </w:tblCellMar>
        </w:tblPrEx>
        <w:trPr>
          <w:trHeight w:val="499" w:hRule="atLeast"/>
        </w:trPr>
        <w:tc>
          <w:tcPr>
            <w:tcW w:w="13967"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2、机场公安局合成作战中心</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55寸液晶拼接屏</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kern w:val="0"/>
                <w:szCs w:val="21"/>
                <w:highlight w:val="none"/>
              </w:rPr>
              <w:t>屏幕尺寸55寸，LED光源；分辨率：1920×1080，双边拼缝＜1.8mm，水平可视角度≥178°，垂直可视角度≥178°，响应时间≤8ms；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2、亮度≥700cd/m2，对比度≥4500:1，图像显示清晰度≥950TVL，亮度鉴别等级≥11级；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3、产品出厂时坏点率须为0，且在最大亮度下运行2000小时后产生的坏点率不超过1.3ppm；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4、产品漏光度＜0.004cd/㎡；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5、产品32灰阶切换时间＜3ms；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6、液晶拼接单元外壳符合GB/T2423.17-2008盐雾要求</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7、拼接单元具有便捷的拼接及调整装置，利于装拆和售后维护；</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8、液晶拼接必须采用分体式结构设计，支持屏体与驱动单元分开安装及拆卸，整体美观大方的同时最大程度降低项目后期运营维护成本及难度。</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块</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一体化支架</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配套一体化支架 3.66*2.45米</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视频综合平台</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1、产品为框架式结构，采用无源背板，机箱不小于13个板卡插槽，系统稳定可靠，需与机场视频平台无缝对接。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2、产品具有权威机构出具的CCC、RoHS、CE、FCC检测报告</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3、采用嵌入式非X86架构，主控板不具备X86架构特征元件（CPU、内存条、硬盘、VGA接口），并提供产品主控板照片；</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4、支持在输出通道叠加图片LOGO，图片位置可调。</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5、主控板具有4个串口，每个串口挂载8个RS485控制设备，可将IP数据发送给串口。</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7、解码显示视频无卡顿，编码预览视频无卡顿。</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9、支持虚拟云台控制功能，具备虚拟云台控制按键，可调整球机和云台的运行速度和方向，并且支持多用户云台抢占、云台控制锁定功能。</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10、单板支持128个漫游窗口叠加，支持窗口置顶或置底设置。</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11、支持1、2、4、6、8、9、12、16、32、36、48、64画面分割显示。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12、支持将25帧或30帧的视频转换为50或60帧。</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13、对录像文件解码延时≤110ms。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14、支持4K输出板最大分辨率为4096×2160，其它板卡支持至少8种分辨率输出1920×1080、1680×1050、1600×1200、1400×1050、1280×1024、1280×960、1280×720、1024×768。</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15、支持手动视频切换功能，支持将选定的视频输入切换到选定的视频输出，支持视音频同步切换、异步切换，画面切换时不出现黑屏。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16、具有同一输入通道的视频图像在不同输出端口显示的失步误差小于1ms。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17、可通过无线终端将视音频、图片、PPT等传送到屏幕上显示。</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台</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服务器机柜</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网格门、黑色、尺寸：600*800*1000mm</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只</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图腾、艾默生、昭彰</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高清线缆</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DVI/HDMI线缆 15米/10米</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绿联、秋叶源、野人</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综合布线</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1、六类网线一箱</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2、接线板6位 3只</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3、电源线3*2.5 30米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4、线槽30*10mm 50米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5、水晶头 1盒</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99" w:hRule="atLeast"/>
        </w:trPr>
        <w:tc>
          <w:tcPr>
            <w:tcW w:w="13967"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3、场区***</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55寸液晶拼接屏</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1、屏幕尺寸55寸，LED光源；分辨率：1920×1080，双边拼缝＜3.5mm，水平可视角度≥178°，垂直可视角度≥178°，响应时间≤8ms；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2、亮度≥700cd/m2，对比度≥4500:1，图像显示清晰度≥950TVL，亮度鉴别等级≥11级；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3、产品出厂时坏点率须为0，且在最大亮度下运行2000小时后产生的坏点率不超过1.3ppm；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4、产品漏光度＜0.004cd/㎡；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5、产品32灰阶切换时间＜3ms；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6、液晶拼接单元外壳符合GB/T2423.17-2008盐雾要求</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7、拼接单元具有便捷的拼接及调整装置，利于装拆和售后维护；</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8、液晶拼接必须采用分体式结构设计，支持屏体与驱动单元分开安装及拆卸，整体美观大方的同时最大程度降低项目后期运营维护成本及难度。</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块</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拼接屏支架</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配套壁挂支架</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副</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8路拼接控制器</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1、采用嵌入式架构，专用Linux系统，使用DSP解码。为了设备稳定可靠运行，不得采用工控机或者PC机的X86架构，需与机场视频平台无缝对接。。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2、可通过客户端软件将显示窗口在多个显示屏间进行拖动或跨屏显示，并可调节显示窗口大小。可将视频图像进行轮巡输出显示，并可在客户端软件设置轮巡计划。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3、可分别通过IE浏览器及客户端软件两种方式访问设备。</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4、支持1、2、4、6、8、9、10、12、16、25画面分割显示。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5、可通过客户端软件将1路输入视频图像发送至多个输出接口拼接显示，支持1×2、1×3、1×4、2×1、2×2、3×1、4×1的拼接显示。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6、可通过客户端软件对接入的云台进行控制；可通过RS-485接口连接键盘实现键盘对接入的云台进行控制。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7、设备具备， 20个RJ45网络接口，1路语音输入，1路语音输出，1个RS232接口，1个RS485接口，8路报警输入，8路报警输出，1个VGA视频输入接口，1个DVI-I输入接口。输出口支持8个HDMI接口，支持4路模拟音频输出，支持4路模拟视频输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8、可对客户端电脑桌面解码输出显示。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9、可通过客户端软件导入和导出设备配置参数。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10、可通过客户端软件设置HDMI接口输出分辨率为1024×768（60Hz）、1280×1024（60Hz）、1280×720（60Hz）、1280×720（50Hz）、1920×1080（50Hz）、1920×1080（60Hz）、1600×1200（60Hz）、1680×1050（60Hz）、3840x2160（30Hz）。</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11、可通过客户端软件对设备进行恢复出厂设置。</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12、可将设备当前的解码输出模式设置为一个场景，设备可保存多个场景，并可通过客户端软件切换设备场景。</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13、设备通过高温、低温、恒定湿热试验（高温55±2℃，低温-10±3℃，持续时间2H；相对湿度90%~95%、温度40±2℃，持续时间48H）。</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15、可对以下编码格式的视频图像进行解码后输出：H.264、H.265、Smart264、Smart265、MPEG4视频图像。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16、可对以下分辨率及编码格式的视频图像进行解码后输出：8路分辨率为1920×1080（30fps）的MJPEG视频图像。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可通过VGA视频输入接口接入分辨率为1024×768（60Hz）、800×600（60Hz）、1280×1024（60Hz）、1280×760（60Hz）、1280×720（60Hz）、1280×720（50Hz）、1280×960（60Hz）、1600×1200（60Hz）、1920×1080（50Hz）、1920×1080（60Hz）、1680×1050（60Hz）、1366×768（60Hz）、1280×800（60Hz）、1440×900（60Hz）的视频图像并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18、支持解码音频格式为G.722、G.711A、G.726、G.711U、MPEG2-L2、AAC、PCM的文件。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19、可对输入的视频画面进行90°旋转显示。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20、设备接入具有智能行为分析功能的摄像机，可解码显示智能行为分析信息，包括移动侦测、越界入侵、区域入侵、起身离开等，并上传报警信息。</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台</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1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原立面电视机拆除</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原立面电视机6台拆除、并搬运到指定仓库</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高清线缆</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DVI/HDMI线缆 10米</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绿联、秋叶源、野人</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综合布线</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1、六类网线50米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2、接线板6位 2只</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3、电源线3*2.5 10米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4、线槽30*10mm 20米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5、水晶头 20个</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99" w:hRule="atLeast"/>
        </w:trPr>
        <w:tc>
          <w:tcPr>
            <w:tcW w:w="13967"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
                <w:bCs/>
                <w:kern w:val="0"/>
                <w:szCs w:val="21"/>
                <w:highlight w:val="none"/>
              </w:rPr>
              <w:t>4、特警3025室</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55寸液晶拼接屏</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1、屏幕尺寸55寸，LED光源；分辨率：1920×1080，双边拼缝＜3.5mm，水平可视角度≥178°，垂直可视角度≥178°，响应时间≤8ms；</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2、亮度≥700cd/m2，对比度≥4500:1，图像显示清晰度≥950TVL，亮度鉴别等级≥11级；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3、产品出厂时坏点率须为0，且在最大亮度下运行2000小时后产生的坏点率不超过1.3ppm；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4、产品漏光度＜0.004cd/㎡；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5、产品32灰阶切换时间＜3ms； </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6、液晶拼接单元外壳符合GB/T2423.17-2008盐雾要求</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7、拼接单元具有便捷的拼接及调整装置，利于装拆和售后维护；</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8、液晶拼接必须采用分体式结构设计，支持屏体与驱动单元分开安装及拆卸，整体美观大方的同时最大程度降低项目后期运营维护成本及难度。</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块</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1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拼接屏支架</w:t>
            </w:r>
          </w:p>
        </w:tc>
        <w:tc>
          <w:tcPr>
            <w:tcW w:w="684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配套壁挂支架</w:t>
            </w:r>
          </w:p>
        </w:tc>
        <w:tc>
          <w:tcPr>
            <w:tcW w:w="61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7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副</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4路拼接控制器</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1、采用嵌入式架构，专用Linux系统，使用DSP解码。为了设备稳定可靠运行，不得采用工控机或者PC机的X86架构，需与机场视频平台无缝对接。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2、可通过客户端软件将显示窗口在多个显示屏间进行拖动或跨屏显示，并可调节显示窗口大小。可将视频图像进行轮巡输出显示，并可在客户端软件设置轮巡计划。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3、可分别通过IE浏览器及客户端软件两种方式访问设备。</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4、支持1、2、4、6、8、9、10、12、16、25画面分割显示。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5、可通过客户端软件将1路输入视频图像发送至多个输出接口拼接显示，支持1×2、1×3、1×4、2×1、2×2、3×1、4×1的拼接显示。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6、可通过客户端软件对接入的云台进行控制；可通过RS-485接口连接键盘实现键盘对接入的云台进行控制。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设备具备，20个RJ45网络接口，1路语音输入，1路语音输出，1个RS232接口，1个RS485接口，8路报警输入，8路报警输出，1个VGA视频输入接口，1个DVI-I视频输入接口。输出口支持4个HDMI接口，支持8路模拟音频输出，支持4路模拟CVBS视频输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8、可对客户端电脑桌面解码输出显示。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9、可通过客户端软件导入和导出设备配置参数。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10、可通过客户端软件设置HDMI接口输出分辨率为1024×768（60Hz）、1280×1024（60Hz）、1280×720（60Hz）、1280×720（50Hz）、1920×1080（50Hz）、1920×1080（60Hz）、1600×1200（60Hz）、1680×1050（60Hz）、3840x2160（30Hz）。</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11、可通过客户端软件对设备进行恢复出厂设置。</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12、可将设备当前的解码输出模式设置为一个场景，设备可保存多个场景，并可通过客户端软件切换设备场景。</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13、设备通过高温、低温、恒定湿热试验（高温55±2℃，低温-10±3℃，持续时间2H；相对湿度90%~95%、温度40±2℃，持续时间48H）。</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15、可对以下编码格式的视频图像进行解码后输出：H.264、H.265、Smart264、Smart265、MPEG4视频图像。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16、可对以下分辨率及编码格式的视频图像进行解码后输出：8路分辨率为1920×1080（30fps）的MJPEG视频图像。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可通过VGA视频输入接口接入分辨率为1024×768（60Hz）、800×600（60Hz）、1280×1024（60Hz）、1280×760（60Hz）、1280×720（60Hz）、1280×720（50Hz）、1280×960（60Hz）、1600×1200（60Hz）、1920×1080（50Hz）、1920×1080（60Hz）、1680×1050（60Hz）、1366×768（60Hz）、1280×800（60Hz）、1440×900（60Hz）的视频图像并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18、支持解码音频格式为G.722、G.711A、G.726、G.711U、MPEG2-L2、AAC、PCM的文件。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19、可对输入的视频画面进行90°旋转显示。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20、设备接入具有智能行为分析功能的摄像机，可解码显示智能行为分析信息，包括移动侦测、越界入侵、区域入侵、起身离开等，并上传报警信息。</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台</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1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原立面电视机拆除</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原立面电视机4台拆除、并搬运到指定仓库</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国产</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服务器机柜</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网格门、黑色、尺寸：600*800*1000mm</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只</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图腾、艾默生、昭彰</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高清线缆</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DVI/HDMI线缆 15米/10米</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绿联、秋叶源、野人</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综合布线</w:t>
            </w:r>
          </w:p>
        </w:tc>
        <w:tc>
          <w:tcPr>
            <w:tcW w:w="684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1、六类网线50米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2、接线板6位 2只</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3、电源线3*2.5 10米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4、线槽30*10mm 20米</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5、水晶头 20个</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国产</w:t>
            </w:r>
          </w:p>
        </w:tc>
      </w:tr>
      <w:tr>
        <w:tblPrEx>
          <w:tblCellMar>
            <w:top w:w="0" w:type="dxa"/>
            <w:left w:w="108" w:type="dxa"/>
            <w:bottom w:w="0" w:type="dxa"/>
            <w:right w:w="108" w:type="dxa"/>
          </w:tblCellMar>
        </w:tblPrEx>
        <w:trPr>
          <w:trHeight w:val="499" w:hRule="atLeast"/>
        </w:trPr>
        <w:tc>
          <w:tcPr>
            <w:tcW w:w="13967"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
                <w:bCs/>
                <w:kern w:val="0"/>
                <w:szCs w:val="21"/>
                <w:highlight w:val="none"/>
              </w:rPr>
              <w:t>5、航站楼***</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18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4路拼接控制器</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1、采用嵌入式架构，专用Linux系统，使用DSP解码。为了设备稳定可靠运行，不得采用工控机或者PC机的X86架构，需与机场视频平台无缝对接。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2、可通过客户端软件将显示窗口在多个显示屏间进行拖动或跨屏显示，并可调节显示窗口大小。可将视频图像进行轮巡输出显示，并可在客户端软件设置轮巡计划。</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3、可分别通过IE浏览器及客户端软件两种方式访问设备。</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4、支持1、2、4、6、8、9、10、12、16、25画面分割显示。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5、可通过客户端软件将1路输入视频图像发送至多个输出接口拼接显示，支持1×2、1×3、1×4、2×1、2×2、3×1、4×1的拼接显示。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6、可通过客户端软件对接入的云台进行控制；可通过RS-485接口连接键盘实现键盘对接入的云台进行控制。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设备具备，20个RJ45网络接口，1路语音输入，1路语音输出，1个RS232接口，1个RS485接口，8路报警输入，8路报警输出，1个VGA视频输入接口，1个DVI-I视频输入接口。输出口支持4个HDMI接口，支持8路模拟音频输出，支持4路模拟CVBS视频输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8、可对客户端电脑桌面解码输出显示。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9、可通过客户端软件导入和导出设备配置参数。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10、可通过客户端软件设置HDMI接口输出分辨率为1024×768（60Hz）、1280×1024（60Hz）、1280×720（60Hz）、1280×720（50Hz）、1920×1080（50Hz）、1920×1080（60Hz）、1600×1200（60Hz）、1680×1050（60Hz）、3840x2160（30Hz）。</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11、可通过客户端软件对设备进行恢复出厂设置。</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12、可将设备当前的解码输出模式设置为一个场景，设备可保存多个场景，并可通过客户端软件切换设备场景。</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13、设备通过高温、低温、恒定湿热试验（高温55±2℃，低温-10±3℃，持续时间2H；相对湿度90%~95%、温度40±2℃，持续时间48H）。</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15、可对以下编码格式的视频图像进行解码后输出：H.264、H.265、Smart264、Smart265、MPEG4视频图像。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16、可对以下分辨率及编码格式的视频图像进行解码后输出：8路分辨率为1920×1080（30fps）的MJPEG视频图像。</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可通过VGA视频输入接口接入分辨率为1024×768（60Hz）、800×600（60Hz）、1280×1024（60Hz）、1280×760（60Hz）、1280×720（60Hz）、1280×720（50Hz）、1280×960（60Hz）、1600×1200（60Hz）、1920×1080（50Hz）、1920×1080（60Hz）、1680×1050（60Hz）、1366×768（60Hz）、1280×800（60Hz）、1440×900（60Hz）的视频图像并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18、支持解码音频格式为G.722、G.711A、G.726、G.711U、MPEG2-L2、AAC、PCM的文件。</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19、可对输入的视频画面进行90°旋转显示。</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20、设备接入具有智能行为分析功能的摄像机，可解码显示智能行为分析信息，包括移动侦测、越界入侵、区域入侵、起身离开等，并上传报警信息。</w:t>
            </w:r>
          </w:p>
        </w:tc>
        <w:tc>
          <w:tcPr>
            <w:tcW w:w="61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台</w:t>
            </w:r>
          </w:p>
        </w:tc>
        <w:tc>
          <w:tcPr>
            <w:tcW w:w="111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海康、大华、三星</w:t>
            </w:r>
          </w:p>
        </w:tc>
      </w:tr>
      <w:tr>
        <w:tblPrEx>
          <w:tblCellMar>
            <w:top w:w="0" w:type="dxa"/>
            <w:left w:w="108" w:type="dxa"/>
            <w:bottom w:w="0" w:type="dxa"/>
            <w:right w:w="108" w:type="dxa"/>
          </w:tblCellMar>
        </w:tblPrEx>
        <w:trPr>
          <w:trHeight w:val="499" w:hRule="atLeast"/>
        </w:trPr>
        <w:tc>
          <w:tcPr>
            <w:tcW w:w="61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1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原电视墙拆装及其他</w:t>
            </w:r>
          </w:p>
        </w:tc>
        <w:tc>
          <w:tcPr>
            <w:tcW w:w="684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1、原电视墙拆除及故障电视机1台拆除</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2、重新壁挂安装4台电视机</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3、原会场内设备、桌椅4张搬离</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4、原会场内静电地板25平方米拆除并清理地方卫生。</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w:t>
            </w:r>
          </w:p>
        </w:tc>
        <w:tc>
          <w:tcPr>
            <w:tcW w:w="111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质保3年</w:t>
            </w:r>
          </w:p>
        </w:tc>
        <w:tc>
          <w:tcPr>
            <w:tcW w:w="183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国产</w:t>
            </w:r>
          </w:p>
        </w:tc>
      </w:tr>
    </w:tbl>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sectPr>
          <w:pgSz w:w="16838" w:h="11906" w:orient="landscape"/>
          <w:pgMar w:top="1797" w:right="1440" w:bottom="1797" w:left="1440" w:header="851" w:footer="992" w:gutter="0"/>
          <w:cols w:space="720" w:num="1"/>
          <w:docGrid w:type="lines" w:linePitch="312" w:charSpace="0"/>
        </w:sectPr>
      </w:pP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三、主要产品详细技术要求</w:t>
      </w:r>
      <w:bookmarkStart w:id="53" w:name="_Toc471911271"/>
      <w:r>
        <w:rPr>
          <w:rFonts w:hint="eastAsia" w:ascii="宋体" w:hAnsi="宋体" w:eastAsia="宋体" w:cs="宋体"/>
          <w:sz w:val="21"/>
          <w:szCs w:val="21"/>
          <w:highlight w:val="none"/>
        </w:rPr>
        <w:t xml:space="preserve"> </w:t>
      </w:r>
    </w:p>
    <w:bookmarkEnd w:id="53"/>
    <w:p>
      <w:pPr>
        <w:pStyle w:val="4"/>
        <w:spacing w:before="0" w:after="0" w:line="360" w:lineRule="auto"/>
        <w:ind w:firstLine="211"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（一）数据安全交换系统</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8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1107" w:type="dxa"/>
            <w:vMerge w:val="restart"/>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数据交换系统</w:t>
            </w:r>
          </w:p>
        </w:tc>
        <w:tc>
          <w:tcPr>
            <w:tcW w:w="248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系统架构</w:t>
            </w:r>
          </w:p>
        </w:tc>
        <w:tc>
          <w:tcPr>
            <w:tcW w:w="6037"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主要设备包含用户认证服务器、安全隔离与信息交换系统、数据认证服务器，在安全数据交换系统前端需部署安全监控集控探针，在公安内网之中，需要部署集中安全监控系统。支持常见协议的授权代理功能包括：TCP、HTTP、FTP、TNS、UDP、SOCK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1107" w:type="dxa"/>
            <w:vMerge w:val="continue"/>
            <w:noWrap w:val="0"/>
            <w:vAlign w:val="center"/>
          </w:tcPr>
          <w:p>
            <w:pPr>
              <w:spacing w:line="360" w:lineRule="auto"/>
              <w:rPr>
                <w:rFonts w:hint="eastAsia" w:ascii="宋体" w:hAnsi="宋体" w:eastAsia="宋体" w:cs="宋体"/>
                <w:szCs w:val="21"/>
                <w:highlight w:val="none"/>
              </w:rPr>
            </w:pPr>
          </w:p>
        </w:tc>
        <w:tc>
          <w:tcPr>
            <w:tcW w:w="248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设备</w:t>
            </w:r>
          </w:p>
        </w:tc>
        <w:tc>
          <w:tcPr>
            <w:tcW w:w="6037"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采用标准2U机架式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1107" w:type="dxa"/>
            <w:vMerge w:val="continue"/>
            <w:noWrap w:val="0"/>
            <w:vAlign w:val="center"/>
          </w:tcPr>
          <w:p>
            <w:pPr>
              <w:spacing w:line="360" w:lineRule="auto"/>
              <w:rPr>
                <w:rFonts w:hint="eastAsia" w:ascii="宋体" w:hAnsi="宋体" w:eastAsia="宋体" w:cs="宋体"/>
                <w:szCs w:val="21"/>
                <w:highlight w:val="none"/>
              </w:rPr>
            </w:pPr>
          </w:p>
        </w:tc>
        <w:tc>
          <w:tcPr>
            <w:tcW w:w="248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电源</w:t>
            </w:r>
          </w:p>
        </w:tc>
        <w:tc>
          <w:tcPr>
            <w:tcW w:w="6037"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设备配备标准冗余电源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1107" w:type="dxa"/>
            <w:vMerge w:val="continue"/>
            <w:noWrap w:val="0"/>
            <w:vAlign w:val="center"/>
          </w:tcPr>
          <w:p>
            <w:pPr>
              <w:spacing w:line="360" w:lineRule="auto"/>
              <w:rPr>
                <w:rFonts w:hint="eastAsia" w:ascii="宋体" w:hAnsi="宋体" w:eastAsia="宋体" w:cs="宋体"/>
                <w:szCs w:val="21"/>
                <w:highlight w:val="none"/>
              </w:rPr>
            </w:pPr>
          </w:p>
        </w:tc>
        <w:tc>
          <w:tcPr>
            <w:tcW w:w="248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设备接口</w:t>
            </w:r>
          </w:p>
        </w:tc>
        <w:tc>
          <w:tcPr>
            <w:tcW w:w="6037"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认证服务器：4个千兆电口，4个光纤接口</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数据认证服务器：4个千兆电口，4个光纤接口</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安全隔离与信息交换系统：8个千兆电口，4个光纤接口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1107" w:type="dxa"/>
            <w:vMerge w:val="continue"/>
            <w:noWrap w:val="0"/>
            <w:vAlign w:val="center"/>
          </w:tcPr>
          <w:p>
            <w:pPr>
              <w:spacing w:line="360" w:lineRule="auto"/>
              <w:rPr>
                <w:rFonts w:hint="eastAsia" w:ascii="宋体" w:hAnsi="宋体" w:eastAsia="宋体" w:cs="宋体"/>
                <w:szCs w:val="21"/>
                <w:highlight w:val="none"/>
              </w:rPr>
            </w:pPr>
          </w:p>
        </w:tc>
        <w:tc>
          <w:tcPr>
            <w:tcW w:w="248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状态展示</w:t>
            </w:r>
          </w:p>
        </w:tc>
        <w:tc>
          <w:tcPr>
            <w:tcW w:w="6037"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配备独立液晶显示面板，内外网各配备3个LED指示灯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2408" w:hRule="atLeast"/>
        </w:trPr>
        <w:tc>
          <w:tcPr>
            <w:tcW w:w="1107" w:type="dxa"/>
            <w:vMerge w:val="continue"/>
            <w:noWrap w:val="0"/>
            <w:tcMar>
              <w:top w:w="0" w:type="dxa"/>
              <w:left w:w="108" w:type="dxa"/>
              <w:bottom w:w="0" w:type="dxa"/>
              <w:right w:w="108" w:type="dxa"/>
            </w:tcMar>
            <w:vAlign w:val="center"/>
          </w:tcPr>
          <w:p>
            <w:pPr>
              <w:spacing w:line="360" w:lineRule="auto"/>
              <w:rPr>
                <w:rFonts w:hint="eastAsia" w:ascii="宋体" w:hAnsi="宋体" w:eastAsia="宋体" w:cs="宋体"/>
                <w:szCs w:val="21"/>
                <w:highlight w:val="none"/>
              </w:rPr>
            </w:pPr>
          </w:p>
        </w:tc>
        <w:tc>
          <w:tcPr>
            <w:tcW w:w="8521" w:type="dxa"/>
            <w:gridSpan w:val="2"/>
            <w:noWrap w:val="0"/>
            <w:tcMar>
              <w:top w:w="0" w:type="dxa"/>
              <w:left w:w="108" w:type="dxa"/>
              <w:bottom w:w="0" w:type="dxa"/>
              <w:right w:w="108" w:type="dxa"/>
            </w:tcMar>
            <w:vAlign w:val="top"/>
          </w:tcPr>
          <w:p>
            <w:pPr>
              <w:pStyle w:val="10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性能指标：</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数据库到数据库交换最大并发数据表≥1,024</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数据库到数据库交换记录数（＞100Kb/记录）≥2,500条/秒</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单个数据表影射最大字段数≥128；</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数据文件处理文件数（＞100Kb/记录）≥2,000个/秒</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数据文件处理吞吐量≥800Mbps</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应用层数据交换速度（FTP）≥800Mbps</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最大数据文件≥30G</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并发客户端数量≥8000；</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最大支持服务≥60</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最大传输延时＜30ms</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数据库数据增量同步传输速率&gt; 600 条/秒</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FTP 文件（文件大小为1KB）同步传输速率 &gt; 120 个</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FTP 文件（文件大小为100MB）同步传输平均传输速率 &gt; 600Mbps</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支持不同服务器之间数据库256 张数据表的数据的同步操作</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支持不同服务器之间数据库512 数据映射字段的同步操作</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支持同时完成12 个文件传输任务</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支持终端用户数：20W，支持1000个业务</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任务调度粒度为秒级；</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目录监控触发时间≤1秒；</w:t>
            </w:r>
          </w:p>
          <w:p>
            <w:pPr>
              <w:pStyle w:val="107"/>
              <w:numPr>
                <w:ilvl w:val="0"/>
                <w:numId w:val="9"/>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页面需具备性能测试统计及展示（业务统计、规则预警、测试报表）</w:t>
            </w:r>
          </w:p>
          <w:p>
            <w:pPr>
              <w:pStyle w:val="10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主要功能：</w:t>
            </w:r>
          </w:p>
          <w:p>
            <w:pPr>
              <w:numPr>
                <w:ilvl w:val="0"/>
                <w:numId w:val="1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文件交换功能：由文件探针模块、平台接口包括文件输入（InputPlugin）、文件输出（OutPlugin）接口组成，可实现文件的读取、传输、接收等功能，使用JSP页面设置传输参数。可配置并可在探针上实现多个文件传输应用。参数包括：传输IP地址、传输端口、传输方式、应用名、是否可用、源文件目录、是否删除源目录文件、传输频率、文件目标目录。</w:t>
            </w:r>
          </w:p>
          <w:p>
            <w:pPr>
              <w:numPr>
                <w:ilvl w:val="0"/>
                <w:numId w:val="1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数据库交换功能：由文件传输模块、平台接口包括文件输入（InputPlugin）、文件输出（OutPlugin）接口组成，支持全表复制、触发同步、标记同步等三种同步方式。</w:t>
            </w:r>
          </w:p>
          <w:p>
            <w:pPr>
              <w:numPr>
                <w:ilvl w:val="0"/>
                <w:numId w:val="1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授权访问功能：</w:t>
            </w:r>
          </w:p>
          <w:p>
            <w:pPr>
              <w:pStyle w:val="107"/>
              <w:spacing w:line="360" w:lineRule="auto"/>
              <w:ind w:left="420" w:firstLine="0" w:firstLineChars="0"/>
              <w:rPr>
                <w:rFonts w:hint="eastAsia" w:ascii="宋体" w:hAnsi="宋体" w:eastAsia="宋体" w:cs="宋体"/>
                <w:szCs w:val="21"/>
                <w:highlight w:val="none"/>
              </w:rPr>
            </w:pPr>
            <w:r>
              <w:rPr>
                <w:rFonts w:hint="eastAsia" w:ascii="宋体" w:hAnsi="宋体" w:eastAsia="宋体" w:cs="宋体"/>
                <w:szCs w:val="21"/>
                <w:highlight w:val="none"/>
              </w:rPr>
              <w:t>使用线程池技术及通道复用技术，减少系统资源浪费，有效实现高性能的负载。支持常见协议的授权代理功能包括：TCP、HTTP、FTP、TNS、UDP、SOCKS协议。</w:t>
            </w:r>
          </w:p>
          <w:p>
            <w:pPr>
              <w:pStyle w:val="10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4) 安全访问控制功能：设备能够对访问视频资源的源、目的IP、服务端口、访问时间等进行安全控制。</w:t>
            </w:r>
          </w:p>
          <w:p>
            <w:pPr>
              <w:pStyle w:val="107"/>
              <w:numPr>
                <w:ilvl w:val="2"/>
                <w:numId w:val="11"/>
              </w:numPr>
              <w:spacing w:line="360" w:lineRule="auto"/>
              <w:ind w:firstLineChars="0"/>
              <w:rPr>
                <w:rFonts w:hint="eastAsia" w:ascii="宋体" w:hAnsi="宋体" w:eastAsia="宋体" w:cs="宋体"/>
                <w:b/>
                <w:szCs w:val="21"/>
                <w:highlight w:val="none"/>
              </w:rPr>
            </w:pPr>
            <w:r>
              <w:rPr>
                <w:rFonts w:hint="eastAsia" w:ascii="宋体" w:hAnsi="宋体" w:eastAsia="宋体" w:cs="宋体"/>
                <w:b/>
                <w:szCs w:val="21"/>
                <w:highlight w:val="none"/>
              </w:rPr>
              <w:t>其他功能</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负载均衡：支持多套安全数据交换系统的负载均衡、互为热备模式。</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多网闸模式：支持交换系统中间多网闸模式。在多个网闸的情况下，可以指定某个业务用哪个网闸做交换，无指定时为默认的负载均衡状态。（提供功能配置页面截图）；</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要求对所传输的文件格式进行检查；</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符合等级保护的要求，具有三权分立的管理功能；</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可以实时监控某个业务当前状态，包括：流量、每分钟传输数、运行状态等；</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自负载均衡：需内置负载均衡功能，针对多节点、大批量数据交换需求，通过建立集群来分流数据，以保证负载均衡，保证系统的稳定与安全可靠；</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传输优先级：系统管理员可根据数据的紧急情况设置数据的传输优先级，数据交换能够根据数据的优先级来安排交换次序；数据交换的消息路由都是独立的线程调度，可以调整线程的优先级；</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多模式传输控制功能：以可靠传输协议和多任务管理技术为基础，实现多模式传输、优先级控制和路由自动解析，保障交换过程的稳定、可靠、准确；</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实现一份源数据向多个要求各异的目标交换数据；</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支持定制访问功能：可合作定制开发针对特定协议的安全检测，如黑白名单控制、关键字过滤等。设备能够控制仅能由内网向外网发起访问；</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协议检查功能：具有协议分析与协议检查功能，可全面检测应用层攻击并及时予以阻断，只作裸数据的转发</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支持业务优先级控制，支持业务带宽分配限制，支持业务内存、连接资源数限制，支持任务定时启停调度、频率调度。</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协议扩展功能：能够扩展支持进程绑定和私有协议功能，可扩展支持远程移动用户安全接入应用，提供对远程客户端进行有效认证功能；</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设备能对并发连接数、CPU负载、内存使用率等进行实时监控。</w:t>
            </w:r>
          </w:p>
          <w:p>
            <w:pPr>
              <w:pStyle w:val="107"/>
              <w:numPr>
                <w:ilvl w:val="0"/>
                <w:numId w:val="12"/>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具备通过SNMP、SYSLOG向集中监控系统上报功能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411" w:hRule="atLeast"/>
        </w:trPr>
        <w:tc>
          <w:tcPr>
            <w:tcW w:w="1107" w:type="dxa"/>
            <w:noWrap w:val="0"/>
            <w:tcMar>
              <w:top w:w="0" w:type="dxa"/>
              <w:left w:w="108" w:type="dxa"/>
              <w:bottom w:w="0" w:type="dxa"/>
              <w:right w:w="108" w:type="dxa"/>
            </w:tcMar>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资质要求</w:t>
            </w:r>
          </w:p>
        </w:tc>
        <w:tc>
          <w:tcPr>
            <w:tcW w:w="8521" w:type="dxa"/>
            <w:gridSpan w:val="2"/>
            <w:noWrap w:val="0"/>
            <w:tcMar>
              <w:top w:w="0" w:type="dxa"/>
              <w:left w:w="108" w:type="dxa"/>
              <w:bottom w:w="0" w:type="dxa"/>
              <w:right w:w="108" w:type="dxa"/>
            </w:tcMar>
            <w:vAlign w:val="top"/>
          </w:tcPr>
          <w:p>
            <w:pPr>
              <w:widowControl/>
              <w:numPr>
                <w:ilvl w:val="0"/>
                <w:numId w:val="13"/>
              </w:numPr>
              <w:spacing w:line="360" w:lineRule="auto"/>
              <w:jc w:val="left"/>
              <w:rPr>
                <w:rFonts w:hint="eastAsia" w:ascii="宋体" w:hAnsi="宋体" w:eastAsia="宋体" w:cs="宋体"/>
                <w:kern w:val="0"/>
                <w:szCs w:val="21"/>
                <w:highlight w:val="none"/>
              </w:rPr>
            </w:pPr>
            <w:r>
              <w:rPr>
                <w:rFonts w:hint="eastAsia" w:ascii="宋体" w:hAnsi="宋体" w:eastAsia="宋体" w:cs="宋体"/>
                <w:b/>
                <w:bCs/>
                <w:color w:val="FF0000"/>
                <w:szCs w:val="21"/>
                <w:highlight w:val="none"/>
              </w:rPr>
              <w:t>▲</w:t>
            </w:r>
            <w:r>
              <w:rPr>
                <w:rFonts w:hint="eastAsia" w:ascii="宋体" w:hAnsi="宋体" w:eastAsia="宋体" w:cs="宋体"/>
                <w:szCs w:val="21"/>
                <w:highlight w:val="none"/>
              </w:rPr>
              <w:t>产品原厂商为公安部入围的边界接入平台建设厂商之一，并提供相关证明。</w:t>
            </w:r>
          </w:p>
          <w:p>
            <w:pPr>
              <w:widowControl/>
              <w:numPr>
                <w:ilvl w:val="0"/>
                <w:numId w:val="13"/>
              </w:numPr>
              <w:spacing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产品具备自主知识产权，提供由国家版权局颁发的软件著作权，提供复印件并加盖公章。</w:t>
            </w:r>
          </w:p>
          <w:p>
            <w:pPr>
              <w:widowControl/>
              <w:numPr>
                <w:ilvl w:val="0"/>
                <w:numId w:val="13"/>
              </w:numPr>
              <w:spacing w:line="360" w:lineRule="auto"/>
              <w:jc w:val="left"/>
              <w:rPr>
                <w:rFonts w:hint="eastAsia" w:ascii="宋体" w:hAnsi="宋体" w:eastAsia="宋体" w:cs="宋体"/>
                <w:szCs w:val="21"/>
                <w:highlight w:val="none"/>
              </w:rPr>
            </w:pPr>
            <w:r>
              <w:rPr>
                <w:rFonts w:hint="eastAsia" w:ascii="宋体" w:hAnsi="宋体" w:cs="宋体"/>
                <w:color w:val="000000"/>
                <w:kern w:val="0"/>
                <w:sz w:val="20"/>
                <w:szCs w:val="20"/>
                <w:highlight w:val="none"/>
              </w:rPr>
              <w:t>通过国家保密局技术鉴定，提供鉴定证书复印件并加盖公章。</w:t>
            </w:r>
          </w:p>
        </w:tc>
      </w:tr>
    </w:tbl>
    <w:p>
      <w:pPr>
        <w:pStyle w:val="4"/>
        <w:spacing w:before="0" w:after="0" w:line="360" w:lineRule="auto"/>
        <w:ind w:firstLine="211"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（二）视频安全交换系统</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硬件形态：标准机架式机箱，专用安全加固Linux操作系统。</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硬件配置：视频安全隔离设备、视频接入认证服务器、视频用户认证服务器三个设备组成,为同一品牌（必须入围公安部组织测试的接入平台安全产品名单，并提供检测报告和入围证明）。</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视频接入认证服务器：≥2个10/100M/1000M电口、≥2个万兆光口；</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视频隔离网闸：采用“2+1”架构，即由两个主机系统和一个隔离交换专用硬件组成，支持冗余电源；接口：≥8个10/100M/1000M电口、内、外网各1个单独的管理接口，≥2个USB接口；</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 xml:space="preserve">视频用户认证服务器：≥2个10/100M/1000M电口、≥2个万兆光口； </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b/>
          <w:bCs/>
          <w:color w:val="FF0000"/>
          <w:szCs w:val="21"/>
          <w:highlight w:val="none"/>
        </w:rPr>
        <w:t>▲</w:t>
      </w:r>
      <w:r>
        <w:rPr>
          <w:rFonts w:hint="eastAsia" w:ascii="宋体" w:hAnsi="宋体" w:eastAsia="宋体" w:cs="宋体"/>
          <w:szCs w:val="21"/>
          <w:highlight w:val="none"/>
        </w:rPr>
        <w:t xml:space="preserve">数据吞吐量≥7Gbps </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b/>
          <w:bCs/>
          <w:color w:val="FF0000"/>
          <w:szCs w:val="21"/>
          <w:highlight w:val="none"/>
        </w:rPr>
        <w:t>▲</w:t>
      </w:r>
      <w:r>
        <w:rPr>
          <w:rFonts w:hint="eastAsia" w:ascii="宋体" w:hAnsi="宋体" w:eastAsia="宋体" w:cs="宋体"/>
          <w:szCs w:val="21"/>
          <w:highlight w:val="none"/>
        </w:rPr>
        <w:t>传输延时&lt;=系统延时&lt;=20μs</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并发用户数≥200000个</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视频传输能力≥2000路2Mbps并发（500路8Mbps）</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稳定性运行时间(MTBF) &gt;50000小时</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视频交换系统（三件套）主要功能：</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1、支持主流视频协议类型包括：GB28181,DB33,海康,大华,宇视,立元,信产,科达 ,互信互通，华为等；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2、支持D4、D1、VGA、2/3D1、1/2D1、SIF、3/4D1、CIF、QCIF等视频格式，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3、支持M-JEPG，MPEG4、H.264等编码格式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4、支持视频共享平台SIP控制协议，支持视音频、控制码流同时传输</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5、设备能够识别和分析视频控制信令，并根据控制信令动态开放和关闭视频流传输通道。</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6、能实现视频单向传输控制，视频流由视频专网向公安内网单向传输</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7、能够直接识别各种主流的视频格式，仅允许合法的视频数据通过；</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8、设备能够对访问视频资源的源、目的IP、服务端口、访问时间等进行安全控制。</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9、对视频接入对象进行合法性认证；</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10、具备流量控制功能，能够针对用户、IP提供带宽保障与带宽限制功能</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11、可以直接认证内网用户使用的数字证书；</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12、提供IP/MAC认证设备接入认证功能，具备跨三层交换机不同网段的IP/MAC认证功能。</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13、对用户行为进行审计并且支持日志输出，包括正常登录，非法登录，非法请求，退出等；支持日志信息输出到SysLog、WebTrends外部日志系统，可定义外部服务的接收IP、端口以及0-7级分类日志输出；可通过邮件形式将违反规则的行为发送到管理员报警信箱；提供全面的日志记录，支持日志备份功能；</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14、设备能对并发连接数、CPU负载、内存使用率等进行实时监控。</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15、管理平台采用SSL加密方式实现对设备的安全管理。</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产品资质要求：</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1、产品必须具有计算机信息系统安全专用产品销售许可证；</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color w:val="FF0000"/>
          <w:szCs w:val="21"/>
          <w:highlight w:val="none"/>
        </w:rPr>
        <w:t>▲</w:t>
      </w:r>
      <w:r>
        <w:rPr>
          <w:rFonts w:hint="eastAsia" w:ascii="宋体" w:hAnsi="宋体" w:eastAsia="宋体" w:cs="宋体"/>
          <w:szCs w:val="21"/>
          <w:highlight w:val="none"/>
        </w:rPr>
        <w:t>所选投标产品必须入围公安部组织测试的接入平台安全产品名单，提供检测报告和入围证明。</w:t>
      </w:r>
    </w:p>
    <w:p>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color w:val="auto"/>
          <w:kern w:val="2"/>
          <w:sz w:val="21"/>
          <w:szCs w:val="21"/>
          <w:highlight w:val="none"/>
        </w:rPr>
        <w:t>、“吞吐量”和“延时”技术参数，提供权威第三方检测机构报告复印件</w:t>
      </w:r>
    </w:p>
    <w:p>
      <w:pPr>
        <w:pStyle w:val="4"/>
        <w:spacing w:before="0" w:after="0" w:line="360" w:lineRule="auto"/>
        <w:ind w:firstLine="211" w:firstLineChars="100"/>
        <w:rPr>
          <w:rFonts w:hint="eastAsia" w:ascii="宋体" w:hAnsi="宋体" w:eastAsia="宋体" w:cs="宋体"/>
          <w:sz w:val="21"/>
          <w:szCs w:val="21"/>
          <w:highlight w:val="none"/>
        </w:rPr>
      </w:pPr>
      <w:bookmarkStart w:id="54" w:name="_Toc2780619"/>
      <w:r>
        <w:rPr>
          <w:rFonts w:hint="eastAsia" w:ascii="宋体" w:hAnsi="宋体" w:eastAsia="宋体" w:cs="宋体"/>
          <w:sz w:val="21"/>
          <w:szCs w:val="21"/>
          <w:highlight w:val="none"/>
        </w:rPr>
        <w:t>（三）合成作战中心55寸液晶拼接单元</w:t>
      </w:r>
      <w:bookmarkEnd w:id="54"/>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1、屏幕尺寸55寸，LED光源；分辨率：1920×1080，双边拼缝＜1.8mm，水平可视角度≥178°，垂直可视角度≥178°，响应时间≤8ms；</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2、亮度≥700cd/m2，对比度≥4500:1，图像显示清晰度≥950TVL，亮度鉴别等级≥11级； </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3、显示单元具备3C、CB认证；</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4、产品出厂时坏点率须为0，且在最大亮度下运行2000小时后产生的坏点率不超过1.3ppm； 产品漏光度＜0.004cd/㎡； 产品32灰阶切换时间＜3ms；具备CMA、CAL、CNAS盖章的第三方检测机构出具的检测报告。</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5、具备中国节能产品认证证书（能效等级:1级）且入选节能产品政府采购</w:t>
      </w:r>
      <w:r>
        <w:rPr>
          <w:rFonts w:hint="eastAsia" w:ascii="宋体" w:hAnsi="宋体" w:eastAsia="宋体" w:cs="宋体"/>
          <w:szCs w:val="21"/>
          <w:highlight w:val="none"/>
          <w:lang w:val="en-US" w:eastAsia="zh-CN"/>
        </w:rPr>
        <w:t>品目清单</w:t>
      </w:r>
      <w:r>
        <w:rPr>
          <w:rFonts w:hint="eastAsia" w:ascii="宋体" w:hAnsi="宋体" w:eastAsia="宋体" w:cs="宋体"/>
          <w:szCs w:val="21"/>
          <w:highlight w:val="none"/>
          <w:lang w:val="en-GB"/>
        </w:rPr>
        <w:t>。</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6、液晶拼接单元外壳符合GB/T2423.17-2008盐雾要求</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7、拼接单元具有便捷的拼接及调整装置，利于装拆和售后维护，具有国家知识产权证书；</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8、液晶拼接必须采用分体式结构设计，支持屏体与驱动单元分开安装及拆卸，整体美观大方的同时最大程度降低项目后期运营维护成本及难度。</w:t>
      </w:r>
    </w:p>
    <w:p>
      <w:pPr>
        <w:pStyle w:val="13"/>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GB"/>
        </w:rPr>
        <w:t>9、液晶显示单元符合中华人民共和国环境保护部颁发的环境标志产品技术要求HJ2536-2014。</w:t>
      </w:r>
    </w:p>
    <w:p>
      <w:pPr>
        <w:pStyle w:val="4"/>
        <w:spacing w:before="0" w:after="0" w:line="360" w:lineRule="auto"/>
        <w:rPr>
          <w:rFonts w:hint="eastAsia" w:ascii="宋体" w:hAnsi="宋体" w:eastAsia="宋体" w:cs="宋体"/>
          <w:sz w:val="21"/>
          <w:szCs w:val="21"/>
          <w:highlight w:val="none"/>
        </w:rPr>
      </w:pPr>
      <w:bookmarkStart w:id="55" w:name="_Toc2780620"/>
      <w:r>
        <w:rPr>
          <w:rFonts w:hint="eastAsia" w:ascii="宋体" w:hAnsi="宋体" w:eastAsia="宋体" w:cs="宋体"/>
          <w:sz w:val="21"/>
          <w:szCs w:val="21"/>
          <w:highlight w:val="none"/>
        </w:rPr>
        <w:t>（四）视频综合平台</w:t>
      </w:r>
      <w:bookmarkEnd w:id="55"/>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1、产品为框架式结构，采用无源背板，机箱不小于13个板卡插槽，系统稳定可靠，需与机场视频平台无缝对接。</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2、产品具有权威机构出具的CCC、RoHS、CE、FCC检测报告</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3、采用嵌入式非X86架构，主控板不具备X86架构特征元件（CPU、内存条、硬盘、VGA接口），并提供产品主控板照片；</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以下技术要求需提供公安部出具的型式检验报告复印件加盖原厂商公章</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4、支持在输出通道叠加图片LOGO，图片位置可调。</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5、主控板具有4个串口，每个串口挂载8个RS485控制设备，可将IP数据发送给串口。</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6、支持视频输入通道参数设置功能，可对单个视频输入通道进行分辨率、帧率、码率、亮度、对比度、饱和度、色调、去噪等参数设置，图像显示模式可设定标准、室内、室外、弱光等显示模式进行设置。</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7、解码显示视频无卡顿，编码预览视频无卡顿。</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8、支持显示预案功能，可将样机的视频输出状态保存为场景，可设置多个场景并可对每个场景进行配置、清空、复制、修改、切换等操作，可实现多个场景轮巡切换、（预案）轮巡。</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9、支持虚拟云台控制功能，具备虚拟云台控制按键，可调整球机和云台的运行速度和方向，并且支持多用户云台抢占、云台控制锁定功能。</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10、单板支持128个漫游窗口叠加，支持窗口置顶或置底设置。</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11、支持1、2、4、6、8、9、12、16、32、36、48、64画面分割显示。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12、支持将25帧或30帧的视频转换为50或60帧。</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13、对录像文件解码延时≤110ms。</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14、支持4K输出板最大分辨率为4096×2160，其它板卡支持至少8种分辨率输出1920×1080、1680×1050、1600×1200、1400×1050、1280×1024、1280×960、1280×720、1024×768。</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15、支持手动视频切换功能，支持将选定的视频输入切换到选定的视频输出，支持视音频同步切换、异步切换，画面切换时不出现黑屏。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16、具有同一输入通道的视频图像在不同输出端口显示的失步误差小于1ms。</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17、可通过无线终端将视音频、图片、PPT等传送到屏幕上显示。</w:t>
      </w:r>
    </w:p>
    <w:p>
      <w:pPr>
        <w:pStyle w:val="4"/>
        <w:spacing w:before="0" w:after="0" w:line="360" w:lineRule="auto"/>
        <w:ind w:firstLine="211"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（五）***、特警55寸液晶拼接单元</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1、屏幕尺寸55寸，LED光源；分辨率：1920×1080，双边拼缝＜3.5mm，水平可视角度≥178°，垂直可视角度≥178°，响应时间≤8ms；</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2、亮度≥700cd/m2，对比度≥4500:1，图像显示清晰度≥950TVL，亮度鉴别等级≥11级； </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3、显示单元具备3C、CB认证；</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4、产品出厂时坏点率须为0，且在最大亮度下运行2000小时后产生的坏点率不超过1.3ppm； 产品漏光度＜0.004cd/㎡； 产品32灰阶切换时间＜3ms；具备CMA、CAL、CNAS盖章的第三方检测机构出具的检测报告。</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5、具备中国节能产品认证证书（能效等级:1级）且入选最新一期节能产品政府采购</w:t>
      </w:r>
      <w:r>
        <w:rPr>
          <w:rFonts w:hint="eastAsia" w:ascii="宋体" w:hAnsi="宋体" w:eastAsia="宋体" w:cs="宋体"/>
          <w:szCs w:val="21"/>
          <w:highlight w:val="none"/>
          <w:lang w:val="en-US" w:eastAsia="zh-CN"/>
        </w:rPr>
        <w:t>品目</w:t>
      </w:r>
      <w:r>
        <w:rPr>
          <w:rFonts w:hint="eastAsia" w:ascii="宋体" w:hAnsi="宋体" w:eastAsia="宋体" w:cs="宋体"/>
          <w:szCs w:val="21"/>
          <w:highlight w:val="none"/>
          <w:lang w:val="en-GB"/>
        </w:rPr>
        <w:t>清单。</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6、液晶拼接单元外壳符合GB/T2423.17-2008盐雾要求</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7、拼接单元具有便捷的拼接及调整装置，利于装拆和售后维护，具有国家知识产权证书；</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8、液晶拼接必须采用分体式结构设计，支持屏体与驱动单元分开安装及拆卸，整体美观大方的同时最大程度降低项目后期运营维护成本及难度。</w:t>
      </w:r>
    </w:p>
    <w:p>
      <w:pPr>
        <w:pStyle w:val="13"/>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GB"/>
        </w:rPr>
        <w:t>9、液晶显示单元符合中华人民共和国环境保护部颁发的环境标志产品技术要求HJ2536-2014。</w:t>
      </w:r>
    </w:p>
    <w:p>
      <w:pPr>
        <w:pStyle w:val="4"/>
        <w:spacing w:before="0" w:after="0" w:line="360" w:lineRule="auto"/>
        <w:rPr>
          <w:rFonts w:hint="eastAsia" w:ascii="宋体" w:hAnsi="宋体" w:eastAsia="宋体" w:cs="宋体"/>
          <w:sz w:val="21"/>
          <w:szCs w:val="21"/>
          <w:highlight w:val="none"/>
        </w:rPr>
      </w:pPr>
      <w:bookmarkStart w:id="56" w:name="_Toc2780622"/>
      <w:r>
        <w:rPr>
          <w:rFonts w:hint="eastAsia" w:ascii="宋体" w:hAnsi="宋体" w:eastAsia="宋体" w:cs="宋体"/>
          <w:sz w:val="21"/>
          <w:szCs w:val="21"/>
          <w:highlight w:val="none"/>
        </w:rPr>
        <w:t>（六）8路拼接处理器</w:t>
      </w:r>
      <w:bookmarkEnd w:id="56"/>
    </w:p>
    <w:p>
      <w:pPr>
        <w:pStyle w:val="13"/>
        <w:spacing w:line="360" w:lineRule="auto"/>
        <w:rPr>
          <w:rFonts w:hint="eastAsia" w:ascii="宋体" w:hAnsi="宋体" w:eastAsia="宋体" w:cs="宋体"/>
          <w:szCs w:val="21"/>
          <w:highlight w:val="none"/>
          <w:lang w:val="en-GB"/>
        </w:rPr>
      </w:pPr>
      <w:bookmarkStart w:id="57" w:name="_Toc2780623"/>
      <w:r>
        <w:rPr>
          <w:rFonts w:hint="eastAsia" w:ascii="宋体" w:hAnsi="宋体" w:eastAsia="宋体" w:cs="宋体"/>
          <w:szCs w:val="21"/>
          <w:highlight w:val="none"/>
          <w:lang w:val="en-GB"/>
        </w:rPr>
        <w:t>1、采用嵌入式架构，专用Linux系统，使用DSP解码。为了设备稳定可靠运行，不得采用工控机或者PC机的X86架构，需与机场视频平台无缝对接。。</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2、可通过客户端软件将显示窗口在多个显示屏间进行拖动或跨屏显示，并可调节显示窗口大小。可将视频图像进行轮巡输出显示，并可在客户端软件设置轮巡计划。</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3、可分别通过IE浏览器及客户端软件两种方式访问设备。</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4、支持1、2、4、6、8、9、10、12、16、25画面分割显示。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5、可通过客户端软件将1路输入视频图像发送至多个输出接口拼接显示，支持1×2、1×3、1×4、2×1、2×2、3×1、4×1的拼接显示。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6、可通过客户端软件对接入的云台进行控制；可通过RS-485接口连接键盘实现键盘对接入的云台进行控制。</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以下技术要求提供封面具有CNAS认证标识的公安部报告证明</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7、设备具备， 20个RJ45网络接口，1路语音输入，1路语音输出，1个RS232接口，1个RS485接口，8路报警输入，8路报警输出，1个VGA视频输入接口，1个DVI-I输入接口。输出口支持8个HDMI接口，支持4路模拟音频输出，支持4路模拟视频输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8、可对客户端电脑桌面解码输出显示。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9、可通过客户端软件导入和导出设备配置参数。</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10、可通过客户端软件设置HDMI接口输出分辨率为1024×768（60Hz）、1280×1024（60Hz）、1280×720（60Hz）、1280×720（50Hz）、1920×1080（50Hz）、1920×1080（60Hz）、1600×1200（60Hz）、1680×1050（60Hz）、3840x2160（30Hz）。</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11、可通过客户端软件对设备进行恢复出厂设置。</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12、可将设备当前的解码输出模式设置为一个场景，设备可保存多个场景，并可通过客户端软件切换设备场景。</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13、设备通过高温、低温、恒定湿热试验（高温55±2℃，低温-10±3℃，持续时间2H；相对湿度90%~95%、温度40±2℃，持续时间48H）。</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14、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15、可对以下编码格式的视频图像进行解码后输出：H.264、H.265、Smart264、Smart265、MPEG4视频图像。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16、可对以下分辨率及编码格式的视频图像进行解码后输出：8路分辨率为1920×1080（30fps）的MJPEG视频图像。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17、可通过VGA视频输入接口接入分辨率为1024×768（60Hz）、800×600（60Hz）、1280×1024（60Hz）、1280×760（60Hz）、1280×720（60Hz）、1280×720（50Hz）、1280×960（60Hz）、1600×1200（60Hz）、1920×1080（50Hz）、1920×1080（60Hz）、1680×1050（60Hz）、1366×768（60Hz）、1280×800（60Hz）、1440×900（60Hz）的视频图像并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18、支持解码音频格式为G.722、G.711A、G.726、G.711U、MPEG2-L2、AAC、PCM的文件。</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19、可对输入的视频画面进行90°旋转显示。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20、设备接入具有智能行为分析功能的摄像机，可解码显示智能行为分析信息，包括移动侦测、越界入侵、区域入侵、起身离开等，并上传报警信息。</w:t>
      </w:r>
    </w:p>
    <w:p>
      <w:pPr>
        <w:pStyle w:val="4"/>
        <w:spacing w:before="0"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（七）4路拼接处理器</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1、采用嵌入式架构，专用Linux系统，使用DSP解码。为了设备稳定可靠运行，不得采用工控机或者PC机的X86架构，需与机场视频平台无缝对接。</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2、可通过客户端软件将显示窗口在多个显示屏间进行拖动或跨屏显示，并可调节显示窗口大小。可将视频图像进行轮巡输出显示，并可在客户端软件设置轮巡计划。</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3、可分别通过IE浏览器及客户端软件两种方式访问设备。</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4、支持1、2、4、6、8、9、10、12、16、25画面分割显示。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5、可通过客户端软件将1路输入视频图像发送至多个输出接口拼接显示，支持1×2、1×3、1×4、2×1、2×2、3×1、4×1的拼接显示。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6、可通过客户端软件对接入的云台进行控制；可通过RS-485接口连接键盘实现键盘对接入的云台进行控制。</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以下技术要求提供封面具有CNAS认证标识的公安部报告证明</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7、设备具备，20个RJ45网络接口，1路语音输入，1路语音输出，1个RS232接口，1个RS485接口，8路报警输入，8路报警输出，1个VGA视频输入接口，1个DVI-I视频输入接口。输出口支持4个HDMI接口，支持8路模拟音频输出，支持4路模拟CVBS视频输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8、可对客户端电脑桌面解码输出显示。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9、可通过客户端软件导入和导出设备配置参数。</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10、可通过客户端软件设置HDMI接口输出分辨率为1024×768（60Hz）、1280×1024（60Hz）、1280×720（60Hz）、1280×720（50Hz）、1920×1080（50Hz）、1920×1080（60Hz）、1600×1200（60Hz）、1680×1050（60Hz）、3840x2160（30Hz）。</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11、可通过客户端软件对设备进行恢复出厂设置。</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12、可将设备当前的解码输出模式设置为一个场景，设备可保存多个场景，并可通过客户端软件切换设备场景。</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13、设备通过高温、低温、恒定湿热试验（高温55±2℃，低温-10±3℃，持续时间2H；相对湿度90%~95%、温度40±2℃，持续时间48H）。</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14、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15、可对以下编码格式的视频图像进行解码后输出：H.264、H.265、Smart264、Smart265、MPEG4视频图像。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16、可对以下分辨率及编码格式的视频图像进行解码后输出：8路分辨率为1920×1080（30fps）的MJPEG视频图像。</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17、可通过VGA视频输入接口接入分辨率为1024×768（60Hz）、800×600（60Hz）、1280×1024（60Hz）、1280×760（60Hz）、1280×720（60Hz）、1280×720（50Hz）、1280×960（60Hz）、1600×1200（60Hz）、1920×1080（50Hz）、1920×1080（60Hz）、1680×1050（60Hz）、1366×768（60Hz）、1280×800（60Hz）、1440×900（60Hz）的视频图像并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18、支持解码音频格式为G.722、G.711A、G.726、G.711U、MPEG2-L2、AAC、PCM的文件。</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19、可对输入的视频画面进行90°旋转显示。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20、设备接入具有智能行为分析功能的摄像机，可解码显示智能行为分析信息，包括移动侦测、越界入侵、区域入侵、起身离开等，并上传报警信息。</w:t>
      </w:r>
    </w:p>
    <w:bookmarkEnd w:id="57"/>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四、维保要求</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1、验收合格之日起所有设备和材料3年保修期（包括免费软件升级、故障排除、设备维修、性能调优、技术咨询等，并负责处理、协调与各系统软件、硬件等供应商的关系）。</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在故障申报电话无法解决的情况下，投标人必须在1小时内响应、2小时到场，12小时内解决。若在12小时内无法解决的，必须提供同等性能的、同等配置的设备备件，以确保用户系统的正常运行。供应商需要向用户方提供本项目关键设备LED大屏、板卡及相关零件一定数量的备件，以备维修时及时替换。</w:t>
      </w: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五、集成要求</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1、整合视频资源接入上屏，提供专项对接方案。</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2、提供各场地提供系统图、布局图、立面布置图等。</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GB"/>
        </w:rPr>
        <w:t>3、</w:t>
      </w:r>
      <w:r>
        <w:rPr>
          <w:rFonts w:hint="eastAsia" w:ascii="宋体" w:hAnsi="宋体" w:eastAsia="宋体" w:cs="宋体"/>
          <w:szCs w:val="21"/>
          <w:highlight w:val="none"/>
        </w:rPr>
        <w:t>由于本次项目涉及大屏安装、现有设备搬迁、整改以及和相关装修工程配合，要求参与项目投标的供应商，须派出技术人员在指定的时间与用户相关人员联系现场勘查。勘察人员需持本公司证明和本人身份证并填写现场勘察表。如未到现场勘察，将直接影响项目评分。</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4、项目中如有需要物业或其他单位配合工程而产生的费用，需投标方自行考虑并纳入到投标总金额中。</w:t>
      </w: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六、其他要求</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1、知识产权归属浙江省公安厅机场公安局享有；</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2、涉及的源代码必须遵循标准和规范，并无条件提交给我局；</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3、接口必须遵循标准和规范，向下部署的、在公安网上运行的非涉密信息系统必须无条件开放所有接口。</w:t>
      </w:r>
    </w:p>
    <w:p>
      <w:pPr>
        <w:pStyle w:val="3"/>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七、验收标准</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1、相关硬件产品性能满足上述采购需求，主要产品需提供相关技术检测或其他客观证明。</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2、合成作战中心、各***拼接屏系统可整合视频资源接入上屏显示。</w:t>
      </w:r>
    </w:p>
    <w:p>
      <w:pPr>
        <w:pStyle w:val="13"/>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GB"/>
        </w:rPr>
        <w:t>3、系统设备安装工艺美观、整齐。</w:t>
      </w:r>
    </w:p>
    <w:p>
      <w:pPr>
        <w:pStyle w:val="13"/>
        <w:spacing w:line="360" w:lineRule="auto"/>
        <w:rPr>
          <w:rFonts w:hint="eastAsia" w:ascii="宋体" w:hAnsi="宋体" w:eastAsia="宋体" w:cs="宋体"/>
          <w:szCs w:val="21"/>
          <w:highlight w:val="none"/>
          <w:lang w:val="en-GB"/>
        </w:rPr>
        <w:sectPr>
          <w:headerReference r:id="rId11" w:type="default"/>
          <w:footerReference r:id="rId12" w:type="default"/>
          <w:pgSz w:w="11906" w:h="16838"/>
          <w:pgMar w:top="1558" w:right="1531" w:bottom="468" w:left="1531" w:header="851" w:footer="851" w:gutter="0"/>
          <w:pgNumType w:chapStyle="1" w:chapSep="colon"/>
          <w:cols w:space="720" w:num="1"/>
          <w:docGrid w:linePitch="312" w:charSpace="0"/>
        </w:sectPr>
      </w:pPr>
      <w:r>
        <w:rPr>
          <w:rFonts w:hint="eastAsia" w:ascii="宋体" w:hAnsi="宋体" w:eastAsia="宋体" w:cs="宋体"/>
          <w:szCs w:val="21"/>
          <w:highlight w:val="none"/>
          <w:lang w:val="en-GB"/>
        </w:rPr>
        <w:t>4、按我方要求对原有设备进行拆除及搬迁。</w:t>
      </w:r>
    </w:p>
    <w:p>
      <w:pPr>
        <w:spacing w:line="360" w:lineRule="auto"/>
        <w:ind w:right="210" w:rightChars="100"/>
        <w:rPr>
          <w:rFonts w:hint="eastAsia" w:ascii="宋体" w:hAnsi="宋体" w:eastAsia="宋体" w:cs="宋体"/>
          <w:b/>
          <w:szCs w:val="21"/>
          <w:highlight w:val="none"/>
        </w:rPr>
      </w:pPr>
    </w:p>
    <w:p>
      <w:pPr>
        <w:widowControl/>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商务要求表</w:t>
      </w:r>
    </w:p>
    <w:bookmarkEnd w:id="50"/>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1440"/>
        <w:gridCol w:w="6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highlight w:val="none"/>
              </w:rPr>
            </w:pPr>
            <w:bookmarkStart w:id="58" w:name="_Toc482808221"/>
            <w:r>
              <w:rPr>
                <w:rFonts w:hint="eastAsia" w:ascii="宋体" w:hAnsi="宋体" w:eastAsia="宋体" w:cs="宋体"/>
                <w:szCs w:val="21"/>
                <w:highlight w:val="none"/>
              </w:rPr>
              <w:t>售后服务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具体实施响应要求</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GB"/>
              </w:rPr>
              <w:t>在故障申报电话无法解决的情况下，</w:t>
            </w:r>
            <w:r>
              <w:rPr>
                <w:rFonts w:hint="eastAsia" w:ascii="宋体" w:hAnsi="宋体" w:eastAsia="宋体" w:cs="宋体"/>
                <w:szCs w:val="21"/>
                <w:highlight w:val="none"/>
              </w:rPr>
              <w:t>，投标人必须在1小时内响应、2小时到场，12小时内解决。若在12小时内无法解决的，必须提供同等性能的、同等配置的设备备件，以确保用户系统的正常运行。、</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2、视频及数据安全交换系统、液晶拼接屏、视频综合平台、拼接处理器要求在投标时提供原厂质保证明。</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3、验收合格之日起所有设备和材料3年保修期（包括免费软件升级、故障排除、设备维修、性能调优、技术咨询等，并负责处理、协调与各系统软件、硬件等供应商的关系）。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63" w:hRule="atLeast"/>
        </w:trPr>
        <w:tc>
          <w:tcPr>
            <w:tcW w:w="2881" w:type="dxa"/>
            <w:gridSpan w:val="2"/>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培训</w:t>
            </w:r>
          </w:p>
        </w:tc>
        <w:tc>
          <w:tcPr>
            <w:tcW w:w="6239"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eastAsia="宋体" w:cs="宋体"/>
                <w:szCs w:val="21"/>
                <w:highlight w:val="none"/>
              </w:rPr>
            </w:pPr>
            <w:bookmarkStart w:id="59" w:name="培训"/>
            <w:bookmarkEnd w:id="59"/>
            <w:r>
              <w:rPr>
                <w:rFonts w:hint="eastAsia" w:ascii="宋体" w:hAnsi="宋体" w:eastAsia="宋体" w:cs="宋体"/>
                <w:szCs w:val="21"/>
                <w:highlight w:val="none"/>
              </w:rPr>
              <w:t>中标方提供免费培训：培训内容应包括但不限于系统的架构、操作、维护，会议的操作、维护，时间不小于2天，人数不少于10人。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2" w:hRule="atLeast"/>
        </w:trPr>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备品备件及耗材等要求</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bookmarkStart w:id="60" w:name="备品备件及耗材等要求"/>
            <w:bookmarkEnd w:id="60"/>
            <w:r>
              <w:rPr>
                <w:rFonts w:hint="eastAsia" w:ascii="宋体" w:hAnsi="宋体" w:eastAsia="宋体" w:cs="宋体"/>
                <w:szCs w:val="21"/>
                <w:highlight w:val="none"/>
              </w:rPr>
              <w:t>供应商需要向用户方提供本项目一定数量的备件，以备维修时及时替换。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2" w:hRule="atLeast"/>
        </w:trPr>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交货时间及地点</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bookmarkStart w:id="61" w:name="交货时间及地点"/>
            <w:r>
              <w:rPr>
                <w:rFonts w:hint="eastAsia" w:ascii="宋体" w:hAnsi="宋体" w:eastAsia="宋体" w:cs="宋体"/>
                <w:szCs w:val="21"/>
                <w:highlight w:val="none"/>
              </w:rPr>
              <w:t>硬件设备须在合同签订后3个月内交付，交货地点在浙江省公安厅</w:t>
            </w:r>
            <w:bookmarkEnd w:id="61"/>
            <w:r>
              <w:rPr>
                <w:rFonts w:hint="eastAsia" w:ascii="宋体" w:hAnsi="宋体" w:eastAsia="宋体" w:cs="宋体"/>
                <w:szCs w:val="21"/>
                <w:highlight w:val="none"/>
              </w:rPr>
              <w:t>机场公安局。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2" w:hRule="atLeast"/>
        </w:trPr>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40"/>
              </w:tabs>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szCs w:val="21"/>
                <w:highlight w:val="none"/>
              </w:rPr>
              <w:t>付款条件</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szCs w:val="21"/>
                <w:highlight w:val="none"/>
              </w:rPr>
              <w:t>合同签订</w:t>
            </w:r>
            <w:r>
              <w:rPr>
                <w:rFonts w:hint="eastAsia" w:ascii="宋体" w:hAnsi="宋体" w:eastAsia="宋体" w:cs="宋体"/>
                <w:szCs w:val="21"/>
                <w:highlight w:val="none"/>
                <w:lang w:val="en-US" w:eastAsia="zh-CN"/>
              </w:rPr>
              <w:t>后三日内</w:t>
            </w:r>
            <w:r>
              <w:rPr>
                <w:rFonts w:hint="eastAsia" w:ascii="宋体" w:hAnsi="宋体" w:eastAsia="宋体" w:cs="宋体"/>
                <w:szCs w:val="21"/>
                <w:highlight w:val="none"/>
              </w:rPr>
              <w:t>向采购人缴纳合同金额的5%作为履约保证金，硬件设备到货并由用户确认后支付合同金额的30%，所有设备的施工、安装、调试经初验合格后支付合同金额的40%，终验完成后支付剩余合同金额的30%。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6" w:hRule="atLeast"/>
        </w:trPr>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服务要求</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Cs w:val="21"/>
                <w:highlight w:val="none"/>
              </w:rPr>
            </w:pPr>
            <w:bookmarkStart w:id="62" w:name="经验或业绩要求"/>
            <w:bookmarkEnd w:id="62"/>
            <w:r>
              <w:rPr>
                <w:rFonts w:hint="eastAsia" w:ascii="宋体" w:hAnsi="宋体" w:eastAsia="宋体" w:cs="宋体"/>
                <w:szCs w:val="21"/>
                <w:highlight w:val="none"/>
              </w:rPr>
              <w:t>与中标供应商在签署的合同中添加保密约定（供应商及供应商派遣参与维保相关人员必需遵守保密约定，严禁将涉及相关事宜外传。如违犯涉税保密约定或其他行为导致采购人发生重大事件的，采购人有权对违犯保密约定的供应商及供应商派遣参与维保人员进行相关法律责任的追究）。</w:t>
            </w:r>
          </w:p>
        </w:tc>
      </w:tr>
    </w:tbl>
    <w:p>
      <w:pPr>
        <w:pStyle w:val="110"/>
        <w:numPr>
          <w:ilvl w:val="0"/>
          <w:numId w:val="14"/>
        </w:numPr>
        <w:spacing w:before="156" w:after="156"/>
        <w:ind w:firstLine="1606" w:firstLineChars="5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 xml:space="preserve"> 采购合同主要条款指引（参考样稿）</w:t>
      </w:r>
      <w:bookmarkEnd w:id="51"/>
      <w:bookmarkEnd w:id="58"/>
    </w:p>
    <w:p>
      <w:pPr>
        <w:pStyle w:val="110"/>
        <w:spacing w:before="156" w:after="156"/>
        <w:ind w:firstLine="7350" w:firstLineChars="3500"/>
        <w:rPr>
          <w:rFonts w:hint="eastAsia" w:ascii="宋体" w:hAnsi="宋体" w:eastAsia="宋体" w:cs="宋体"/>
          <w:b/>
          <w:bCs/>
          <w:sz w:val="32"/>
          <w:szCs w:val="32"/>
          <w:highlight w:val="none"/>
        </w:rPr>
      </w:pPr>
      <w:r>
        <w:rPr>
          <w:rFonts w:hint="eastAsia" w:ascii="宋体" w:hAnsi="宋体" w:eastAsia="宋体" w:cs="宋体"/>
          <w:sz w:val="21"/>
          <w:szCs w:val="21"/>
          <w:highlight w:val="none"/>
        </w:rPr>
        <w:t xml:space="preserve"> 采购计划书号：</w:t>
      </w:r>
    </w:p>
    <w:p>
      <w:pPr>
        <w:pStyle w:val="21"/>
        <w:snapToGrid w:val="0"/>
        <w:spacing w:before="120" w:after="120" w:line="360" w:lineRule="auto"/>
        <w:jc w:val="left"/>
        <w:rPr>
          <w:rFonts w:hAnsi="宋体" w:eastAsia="宋体" w:cs="宋体"/>
          <w:sz w:val="21"/>
          <w:szCs w:val="21"/>
          <w:highlight w:val="none"/>
        </w:rPr>
      </w:pPr>
      <w:r>
        <w:rPr>
          <w:rFonts w:hint="eastAsia" w:hAnsi="宋体" w:eastAsia="宋体" w:cs="宋体"/>
          <w:sz w:val="21"/>
          <w:szCs w:val="21"/>
          <w:highlight w:val="none"/>
        </w:rPr>
        <w:t xml:space="preserve">项目名称：浙江省公安厅机场公安局立体防控提升工程项目（二级作战平台及安全交换系统）   </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项目编号：DDZX2019-GK-070</w:t>
      </w:r>
    </w:p>
    <w:p>
      <w:pPr>
        <w:pStyle w:val="21"/>
        <w:snapToGrid w:val="0"/>
        <w:spacing w:before="120" w:after="120" w:line="360" w:lineRule="auto"/>
        <w:rPr>
          <w:rFonts w:hint="eastAsia" w:hAnsi="宋体" w:eastAsia="宋体" w:cs="宋体"/>
          <w:sz w:val="21"/>
          <w:szCs w:val="21"/>
          <w:highlight w:val="none"/>
        </w:rPr>
      </w:pPr>
      <w:r>
        <w:rPr>
          <w:rFonts w:hint="eastAsia" w:hAnsi="宋体" w:eastAsia="宋体" w:cs="宋体"/>
          <w:sz w:val="21"/>
          <w:szCs w:val="21"/>
          <w:highlight w:val="none"/>
        </w:rPr>
        <w:t>甲方：浙江省公安厅机场公安局</w:t>
      </w:r>
    </w:p>
    <w:p>
      <w:pPr>
        <w:pStyle w:val="21"/>
        <w:snapToGrid w:val="0"/>
        <w:spacing w:before="120" w:after="120" w:line="360" w:lineRule="auto"/>
        <w:rPr>
          <w:rFonts w:hint="eastAsia" w:hAnsi="宋体" w:eastAsia="宋体" w:cs="宋体"/>
          <w:sz w:val="21"/>
          <w:szCs w:val="21"/>
          <w:highlight w:val="none"/>
        </w:rPr>
      </w:pPr>
      <w:r>
        <w:rPr>
          <w:rFonts w:hint="eastAsia" w:hAnsi="宋体" w:eastAsia="宋体" w:cs="宋体"/>
          <w:sz w:val="21"/>
          <w:szCs w:val="21"/>
          <w:highlight w:val="none"/>
        </w:rPr>
        <w:t>乙方：</w:t>
      </w:r>
    </w:p>
    <w:p>
      <w:pPr>
        <w:pStyle w:val="21"/>
        <w:snapToGrid w:val="0"/>
        <w:spacing w:before="120" w:after="120" w:line="360" w:lineRule="auto"/>
        <w:rPr>
          <w:rFonts w:hAnsi="宋体" w:eastAsia="宋体" w:cs="宋体"/>
          <w:sz w:val="21"/>
          <w:szCs w:val="21"/>
          <w:highlight w:val="none"/>
        </w:rPr>
      </w:pPr>
      <w:r>
        <w:rPr>
          <w:rFonts w:hint="eastAsia" w:hAnsi="宋体" w:eastAsia="宋体" w:cs="宋体"/>
          <w:sz w:val="21"/>
          <w:szCs w:val="21"/>
          <w:highlight w:val="none"/>
        </w:rPr>
        <w:t>鉴证方：</w:t>
      </w:r>
    </w:p>
    <w:p>
      <w:pPr>
        <w:pStyle w:val="21"/>
        <w:snapToGrid w:val="0"/>
        <w:spacing w:before="120" w:after="120" w:line="360" w:lineRule="auto"/>
        <w:ind w:firstLine="420" w:firstLineChars="200"/>
        <w:jc w:val="left"/>
        <w:rPr>
          <w:rFonts w:hint="eastAsia" w:hAnsi="宋体" w:eastAsia="宋体" w:cs="宋体"/>
          <w:b/>
          <w:sz w:val="21"/>
          <w:szCs w:val="21"/>
          <w:highlight w:val="none"/>
        </w:rPr>
      </w:pPr>
      <w:r>
        <w:rPr>
          <w:rFonts w:hint="eastAsia" w:hAnsi="宋体" w:eastAsia="宋体" w:cs="宋体"/>
          <w:sz w:val="21"/>
          <w:szCs w:val="21"/>
          <w:highlight w:val="none"/>
        </w:rPr>
        <w:t>甲、乙双方根据</w:t>
      </w:r>
      <w:r>
        <w:rPr>
          <w:rFonts w:hint="eastAsia" w:hAnsi="宋体" w:eastAsia="宋体" w:cs="宋体"/>
          <w:sz w:val="21"/>
          <w:szCs w:val="21"/>
          <w:highlight w:val="none"/>
          <w:u w:val="single"/>
        </w:rPr>
        <w:t>浙江省公安厅机场公安局立体防控提升工程项目（二级作战平台及安全交换系统）</w:t>
      </w:r>
      <w:r>
        <w:rPr>
          <w:rFonts w:hint="eastAsia" w:hAnsi="宋体" w:eastAsia="宋体" w:cs="宋体"/>
          <w:sz w:val="21"/>
          <w:szCs w:val="21"/>
          <w:highlight w:val="none"/>
        </w:rPr>
        <w:t xml:space="preserve"> 公开招标 的结果，签署本合同。</w:t>
      </w:r>
    </w:p>
    <w:p>
      <w:pPr>
        <w:pStyle w:val="21"/>
        <w:numPr>
          <w:ilvl w:val="0"/>
          <w:numId w:val="15"/>
        </w:numPr>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合同内容</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5"/>
        <w:gridCol w:w="5620"/>
        <w:gridCol w:w="2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exac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采购内容</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工期</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kern w:val="0"/>
                <w:szCs w:val="21"/>
                <w:highlight w:val="none"/>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eastAsia="宋体" w:cs="宋体"/>
                <w:kern w:val="0"/>
                <w:szCs w:val="21"/>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eastAsia="宋体" w:cs="宋体"/>
                <w:kern w:val="0"/>
                <w:szCs w:val="21"/>
                <w:highlight w:val="none"/>
              </w:rPr>
            </w:pPr>
          </w:p>
        </w:tc>
      </w:tr>
    </w:tbl>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二、合同金额</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本合同金额为（大写）：__________________元（￥____________元）人民币。</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三、技术资料</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1.乙方应按招标文件规定的时间向甲方提供有关技术资料。</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四、知识产权</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乙方应保证提供服务过程中不会侵犯任何第三方的知识产权。</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五、履约保证金</w:t>
      </w:r>
    </w:p>
    <w:p>
      <w:pPr>
        <w:pStyle w:val="21"/>
        <w:spacing w:before="120" w:after="120" w:line="360" w:lineRule="auto"/>
        <w:rPr>
          <w:rFonts w:hint="eastAsia" w:hAnsi="宋体" w:eastAsia="宋体" w:cs="宋体"/>
          <w:bCs/>
          <w:sz w:val="21"/>
          <w:szCs w:val="21"/>
          <w:highlight w:val="none"/>
        </w:rPr>
      </w:pPr>
      <w:r>
        <w:rPr>
          <w:rFonts w:hint="eastAsia" w:hAnsi="宋体" w:eastAsia="宋体" w:cs="宋体"/>
          <w:bCs/>
          <w:sz w:val="21"/>
          <w:szCs w:val="21"/>
          <w:highlight w:val="none"/>
        </w:rPr>
        <w:t>无。</w:t>
      </w:r>
    </w:p>
    <w:p>
      <w:pPr>
        <w:pStyle w:val="21"/>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六、转包或分包</w:t>
      </w:r>
    </w:p>
    <w:p>
      <w:pPr>
        <w:pStyle w:val="21"/>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1.本合同范围的服务，应由乙方直接供应，不得转让他人供应；</w:t>
      </w:r>
    </w:p>
    <w:p>
      <w:pPr>
        <w:pStyle w:val="21"/>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2. 除非得到甲方的书面同意，乙方不得将本合同范围的服务全部或部分分包给他人供应；</w:t>
      </w:r>
    </w:p>
    <w:p>
      <w:pPr>
        <w:pStyle w:val="21"/>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3.如有转让和未经甲方同意的分包行为，甲方有权解除合同，没收履约保证金并追究乙方的违约责任。</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七、服务质量保证期和服务质量保证金(选用)</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1. 服务质量保证期/年。</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2. 服务质量保证金 / 元。（质量保证金在/年质保期满后没有使用单位质量问题索赔，由采购人5日内无息退还供方）</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八、合同履行时间、履行方式及履行地点</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1. 履行时间： </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2. 履行方式：</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3. 履行地点：甲方指定地点。</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九、款项支付</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   硬件设备到货并由用户确认后支付合同金额的30%，所有设备的施工、安装、调试经初验合格后支付合同金额的40%，终验完成后支付剩余合同金额的30%。</w:t>
      </w:r>
    </w:p>
    <w:p>
      <w:pPr>
        <w:pStyle w:val="21"/>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十、税费</w:t>
      </w:r>
    </w:p>
    <w:p>
      <w:pPr>
        <w:pStyle w:val="21"/>
        <w:spacing w:before="120" w:after="120" w:line="360" w:lineRule="auto"/>
        <w:ind w:firstLine="315" w:firstLineChars="150"/>
        <w:jc w:val="left"/>
        <w:rPr>
          <w:rFonts w:hint="eastAsia" w:hAnsi="宋体" w:eastAsia="宋体" w:cs="宋体"/>
          <w:sz w:val="21"/>
          <w:szCs w:val="21"/>
          <w:highlight w:val="none"/>
        </w:rPr>
      </w:pPr>
      <w:r>
        <w:rPr>
          <w:rFonts w:hint="eastAsia" w:hAnsi="宋体" w:eastAsia="宋体" w:cs="宋体"/>
          <w:sz w:val="21"/>
          <w:szCs w:val="21"/>
          <w:highlight w:val="none"/>
        </w:rPr>
        <w:t>本合同执行中相关的一切税费均由乙方负担。</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十一、质量保证及后续服务</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1．乙方应按招标文件规定向甲方提供服务。</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2．乙方提供的服务成果在服务期内发生故障，乙方应负责免费提供后续服务。对达不到要求者，根据实际情况，经双方协商，可按以下办法处理：</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⑴重做：由乙方承担所发生的全部费用。</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⑵贬值处理：由甲乙双方合议定价。</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⑶解除合同。</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3．如在使用过程中发生问题，乙方在接到甲方通知后在1小时内到达甲方现场。</w:t>
      </w:r>
    </w:p>
    <w:p>
      <w:pPr>
        <w:pStyle w:val="21"/>
        <w:snapToGrid w:val="0"/>
        <w:spacing w:before="120" w:after="120" w:line="360" w:lineRule="auto"/>
        <w:ind w:firstLine="319" w:firstLineChars="152"/>
        <w:jc w:val="left"/>
        <w:rPr>
          <w:rFonts w:hint="eastAsia" w:hAnsi="宋体" w:eastAsia="宋体" w:cs="宋体"/>
          <w:sz w:val="21"/>
          <w:szCs w:val="21"/>
          <w:highlight w:val="none"/>
        </w:rPr>
      </w:pPr>
      <w:r>
        <w:rPr>
          <w:rFonts w:hint="eastAsia" w:hAnsi="宋体" w:eastAsia="宋体" w:cs="宋体"/>
          <w:sz w:val="21"/>
          <w:szCs w:val="21"/>
          <w:highlight w:val="none"/>
        </w:rPr>
        <w:t>4．在服务期内，乙方应对出现的质量及安全问题负责处理解决并承担一切费用。</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十二、违约责任</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1．甲方无正当理由拒收接受服务的，甲方向乙方偿付合同款项百分之五作为违约金。</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2．甲方无故逾期验收和办理款项支付手续的,甲方应按逾期付款总额每日万分之五向乙方支付违约金。</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十三、不可抗力事件处理</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1．在合同有效期内，任何一方因不可抗力事件导致不能履行合同，则合同履行期可延长，其延长期与不可抗力影响期相同。</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2．不可抗力事件发生后，应立即通知对方，并寄送有关权威机构出具的证明。</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3．不可抗力事件延续120天以上，双方应通过友好协商，确定是否继续履行合同。</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十四、诉讼</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    双方在执行合同中所发生的一切争议，应通过协商解决。如协商不成，可向甲方所在地法院起诉。</w:t>
      </w:r>
    </w:p>
    <w:p>
      <w:pPr>
        <w:pStyle w:val="21"/>
        <w:snapToGrid w:val="0"/>
        <w:spacing w:before="120" w:after="120" w:line="360" w:lineRule="auto"/>
        <w:rPr>
          <w:rFonts w:hint="eastAsia" w:hAnsi="宋体" w:eastAsia="宋体" w:cs="宋体"/>
          <w:b/>
          <w:sz w:val="21"/>
          <w:szCs w:val="21"/>
          <w:highlight w:val="none"/>
        </w:rPr>
      </w:pPr>
      <w:r>
        <w:rPr>
          <w:rFonts w:hint="eastAsia" w:hAnsi="宋体" w:eastAsia="宋体" w:cs="宋体"/>
          <w:b/>
          <w:sz w:val="21"/>
          <w:szCs w:val="21"/>
          <w:highlight w:val="none"/>
        </w:rPr>
        <w:t>十五、合同生效及其它</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1．合同经双方法定代表人或授权代表签字并加盖单位公章后生效。</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2．本合同未尽事宜，遵照《合同法》有关条文执行。</w:t>
      </w:r>
    </w:p>
    <w:p>
      <w:pPr>
        <w:pStyle w:val="21"/>
        <w:snapToGrid w:val="0"/>
        <w:spacing w:before="120" w:after="120" w:line="360" w:lineRule="auto"/>
        <w:ind w:firstLine="424" w:firstLineChars="202"/>
        <w:jc w:val="left"/>
        <w:rPr>
          <w:rFonts w:hint="eastAsia" w:hAnsi="宋体" w:eastAsia="宋体" w:cs="宋体"/>
          <w:sz w:val="21"/>
          <w:szCs w:val="21"/>
          <w:highlight w:val="none"/>
        </w:rPr>
      </w:pPr>
      <w:r>
        <w:rPr>
          <w:rFonts w:hint="eastAsia" w:hAnsi="宋体" w:eastAsia="宋体" w:cs="宋体"/>
          <w:sz w:val="21"/>
          <w:szCs w:val="21"/>
          <w:highlight w:val="none"/>
        </w:rPr>
        <w:t>3．本合同正本一式两份，具有同等法律效力，甲乙双方各执一份；副本△份。</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  甲方：                                   乙方： </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  地址：                                   地址： </w:t>
      </w:r>
    </w:p>
    <w:p>
      <w:pPr>
        <w:pStyle w:val="21"/>
        <w:snapToGrid w:val="0"/>
        <w:spacing w:before="120" w:after="120" w:line="360" w:lineRule="auto"/>
        <w:jc w:val="left"/>
        <w:rPr>
          <w:rFonts w:hint="eastAsia" w:hAnsi="宋体" w:eastAsia="宋体" w:cs="宋体"/>
          <w:sz w:val="21"/>
          <w:szCs w:val="21"/>
          <w:highlight w:val="none"/>
        </w:rPr>
      </w:pPr>
      <w:r>
        <w:rPr>
          <w:rFonts w:hint="eastAsia" w:hAnsi="宋体" w:eastAsia="宋体" w:cs="宋体"/>
          <w:sz w:val="21"/>
          <w:szCs w:val="21"/>
          <w:highlight w:val="none"/>
        </w:rPr>
        <w:t xml:space="preserve">  法定（授权）代表人：                     法定（授权）代表人：</w:t>
      </w:r>
    </w:p>
    <w:p>
      <w:pPr>
        <w:pStyle w:val="21"/>
        <w:snapToGrid w:val="0"/>
        <w:spacing w:before="120" w:after="120" w:line="360" w:lineRule="auto"/>
        <w:jc w:val="left"/>
        <w:rPr>
          <w:rFonts w:hint="eastAsia" w:hAnsi="宋体" w:eastAsia="宋体" w:cs="宋体"/>
          <w:b/>
          <w:bCs/>
          <w:sz w:val="21"/>
          <w:szCs w:val="21"/>
          <w:highlight w:val="none"/>
        </w:rPr>
      </w:pPr>
      <w:r>
        <w:rPr>
          <w:rFonts w:hint="eastAsia" w:hAnsi="宋体" w:eastAsia="宋体" w:cs="宋体"/>
          <w:sz w:val="21"/>
          <w:szCs w:val="21"/>
          <w:highlight w:val="none"/>
        </w:rPr>
        <w:t xml:space="preserve">  签字日期：      年  月  日               签字日期：      年  月  日</w:t>
      </w:r>
      <w:bookmarkStart w:id="63" w:name="_Toc372790162"/>
    </w:p>
    <w:p>
      <w:pPr>
        <w:pStyle w:val="21"/>
        <w:snapToGrid w:val="0"/>
        <w:spacing w:before="120" w:after="120" w:line="360" w:lineRule="auto"/>
        <w:ind w:firstLine="210" w:firstLineChars="100"/>
        <w:jc w:val="left"/>
        <w:rPr>
          <w:rFonts w:hint="eastAsia" w:hAnsi="宋体" w:eastAsia="宋体" w:cs="宋体"/>
          <w:sz w:val="21"/>
          <w:szCs w:val="21"/>
          <w:highlight w:val="none"/>
        </w:rPr>
      </w:pPr>
      <w:bookmarkStart w:id="64" w:name="_Toc482808222"/>
    </w:p>
    <w:p>
      <w:pPr>
        <w:pStyle w:val="21"/>
        <w:snapToGrid w:val="0"/>
        <w:spacing w:before="120" w:after="120" w:line="360" w:lineRule="auto"/>
        <w:ind w:firstLine="210" w:firstLineChars="100"/>
        <w:jc w:val="left"/>
        <w:rPr>
          <w:rFonts w:hint="eastAsia" w:hAnsi="宋体" w:eastAsia="宋体" w:cs="宋体"/>
          <w:sz w:val="21"/>
          <w:szCs w:val="21"/>
          <w:highlight w:val="none"/>
        </w:rPr>
      </w:pPr>
      <w:r>
        <w:rPr>
          <w:rFonts w:hint="eastAsia" w:hAnsi="宋体" w:eastAsia="宋体" w:cs="宋体"/>
          <w:sz w:val="21"/>
          <w:szCs w:val="21"/>
          <w:highlight w:val="none"/>
        </w:rPr>
        <w:t>鉴证方：</w:t>
      </w:r>
    </w:p>
    <w:p>
      <w:pPr>
        <w:pStyle w:val="21"/>
        <w:snapToGrid w:val="0"/>
        <w:spacing w:before="120" w:after="120" w:line="360" w:lineRule="auto"/>
        <w:ind w:firstLine="210" w:firstLineChars="100"/>
        <w:jc w:val="left"/>
        <w:rPr>
          <w:rFonts w:hint="eastAsia" w:hAnsi="宋体" w:eastAsia="宋体" w:cs="宋体"/>
          <w:sz w:val="21"/>
          <w:szCs w:val="21"/>
          <w:highlight w:val="none"/>
        </w:rPr>
      </w:pPr>
      <w:r>
        <w:rPr>
          <w:rFonts w:hint="eastAsia" w:hAnsi="宋体" w:eastAsia="宋体" w:cs="宋体"/>
          <w:sz w:val="21"/>
          <w:szCs w:val="21"/>
          <w:highlight w:val="none"/>
        </w:rPr>
        <w:t xml:space="preserve">法定（授权）代表人：                     </w:t>
      </w:r>
    </w:p>
    <w:p>
      <w:pPr>
        <w:pStyle w:val="21"/>
        <w:snapToGrid w:val="0"/>
        <w:spacing w:before="120" w:after="120" w:line="360" w:lineRule="auto"/>
        <w:ind w:firstLine="210" w:firstLineChars="100"/>
        <w:jc w:val="left"/>
        <w:rPr>
          <w:rFonts w:hint="eastAsia" w:hAnsi="宋体" w:eastAsia="宋体" w:cs="宋体"/>
          <w:highlight w:val="none"/>
        </w:rPr>
      </w:pPr>
      <w:r>
        <w:rPr>
          <w:rFonts w:hint="eastAsia" w:hAnsi="宋体" w:eastAsia="宋体" w:cs="宋体"/>
          <w:sz w:val="21"/>
          <w:szCs w:val="21"/>
          <w:highlight w:val="none"/>
        </w:rPr>
        <w:t xml:space="preserve">签字日期：      年  月  日               </w:t>
      </w:r>
    </w:p>
    <w:p>
      <w:pPr>
        <w:pStyle w:val="21"/>
        <w:adjustRightInd w:val="0"/>
        <w:snapToGrid w:val="0"/>
        <w:spacing w:before="120" w:after="120" w:line="360" w:lineRule="auto"/>
        <w:jc w:val="center"/>
        <w:outlineLvl w:val="0"/>
        <w:rPr>
          <w:rFonts w:hint="eastAsia" w:hAnsi="宋体" w:eastAsia="宋体" w:cs="宋体"/>
          <w:b/>
          <w:bCs/>
          <w:sz w:val="32"/>
          <w:szCs w:val="32"/>
          <w:highlight w:val="none"/>
        </w:rPr>
      </w:pPr>
      <w:r>
        <w:rPr>
          <w:rFonts w:hint="eastAsia" w:hAnsi="宋体" w:eastAsia="宋体" w:cs="宋体"/>
          <w:b/>
          <w:bCs/>
          <w:sz w:val="32"/>
          <w:szCs w:val="32"/>
          <w:highlight w:val="none"/>
        </w:rPr>
        <w:br w:type="page"/>
      </w:r>
      <w:r>
        <w:rPr>
          <w:rFonts w:hint="eastAsia" w:hAnsi="宋体" w:eastAsia="宋体" w:cs="宋体"/>
          <w:b/>
          <w:bCs/>
          <w:sz w:val="32"/>
          <w:szCs w:val="32"/>
          <w:highlight w:val="none"/>
        </w:rPr>
        <w:t>第六章 投标文件格式附件</w:t>
      </w:r>
      <w:bookmarkEnd w:id="63"/>
      <w:bookmarkEnd w:id="64"/>
    </w:p>
    <w:p>
      <w:pPr>
        <w:snapToGrid w:val="0"/>
        <w:spacing w:before="120" w:beforeLines="50" w:after="50"/>
        <w:rPr>
          <w:rFonts w:hint="eastAsia" w:ascii="宋体" w:hAnsi="宋体" w:eastAsia="宋体" w:cs="宋体"/>
          <w:b/>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b/>
          <w:sz w:val="28"/>
          <w:szCs w:val="28"/>
          <w:highlight w:val="none"/>
        </w:rPr>
        <w:t xml:space="preserve">：                                          </w:t>
      </w:r>
    </w:p>
    <w:p>
      <w:pPr>
        <w:snapToGrid w:val="0"/>
        <w:spacing w:before="120" w:beforeLines="50" w:after="50"/>
        <w:jc w:val="right"/>
        <w:rPr>
          <w:rFonts w:hint="eastAsia" w:ascii="宋体" w:hAnsi="宋体" w:eastAsia="宋体" w:cs="宋体"/>
          <w:b/>
          <w:sz w:val="28"/>
          <w:szCs w:val="28"/>
          <w:highlight w:val="none"/>
        </w:rPr>
      </w:pPr>
      <w:r>
        <w:rPr>
          <w:rFonts w:hint="eastAsia" w:ascii="宋体" w:hAnsi="宋体" w:eastAsia="宋体" w:cs="宋体"/>
          <w:bCs/>
          <w:sz w:val="28"/>
          <w:szCs w:val="28"/>
          <w:highlight w:val="none"/>
        </w:rPr>
        <w:t>正本或副本</w:t>
      </w:r>
    </w:p>
    <w:p>
      <w:pPr>
        <w:snapToGrid w:val="0"/>
        <w:spacing w:before="120" w:beforeLines="50" w:after="50"/>
        <w:ind w:right="600"/>
        <w:jc w:val="center"/>
        <w:rPr>
          <w:rFonts w:hint="eastAsia" w:ascii="宋体" w:hAnsi="宋体" w:eastAsia="宋体" w:cs="宋体"/>
          <w:spacing w:val="40"/>
          <w:sz w:val="36"/>
          <w:szCs w:val="36"/>
          <w:highlight w:val="none"/>
        </w:rPr>
      </w:pPr>
      <w:r>
        <w:rPr>
          <w:rFonts w:hint="eastAsia" w:ascii="宋体" w:hAnsi="宋体" w:eastAsia="宋体" w:cs="宋体"/>
          <w:spacing w:val="40"/>
          <w:sz w:val="36"/>
          <w:szCs w:val="36"/>
          <w:highlight w:val="none"/>
        </w:rPr>
        <w:t xml:space="preserve">   ***项目名称</w:t>
      </w:r>
    </w:p>
    <w:p>
      <w:pPr>
        <w:spacing w:before="240" w:beforeLines="100"/>
        <w:ind w:right="-108"/>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              项目编号：DDZX2019-GK-070</w:t>
      </w:r>
    </w:p>
    <w:p>
      <w:pPr>
        <w:spacing w:before="240" w:beforeLines="100"/>
        <w:ind w:right="-108"/>
        <w:jc w:val="center"/>
        <w:rPr>
          <w:rFonts w:hint="eastAsia" w:ascii="宋体" w:hAnsi="宋体" w:eastAsia="宋体" w:cs="宋体"/>
          <w:sz w:val="36"/>
          <w:szCs w:val="36"/>
          <w:highlight w:val="none"/>
        </w:rPr>
      </w:pPr>
    </w:p>
    <w:p>
      <w:pPr>
        <w:pStyle w:val="2"/>
        <w:rPr>
          <w:rFonts w:hint="eastAsia" w:eastAsia="宋体" w:cs="宋体"/>
          <w:highlight w:val="none"/>
        </w:rPr>
      </w:pP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资</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信</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及</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商</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务</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文</w:t>
      </w:r>
    </w:p>
    <w:p>
      <w:pPr>
        <w:spacing w:after="100" w:afterAutospacing="1"/>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件</w:t>
      </w:r>
    </w:p>
    <w:p>
      <w:pPr>
        <w:ind w:right="532"/>
        <w:jc w:val="center"/>
        <w:rPr>
          <w:rFonts w:hint="eastAsia" w:ascii="宋体" w:hAnsi="宋体" w:eastAsia="宋体" w:cs="宋体"/>
          <w:sz w:val="36"/>
          <w:szCs w:val="36"/>
          <w:highlight w:val="none"/>
        </w:rPr>
      </w:pPr>
    </w:p>
    <w:p>
      <w:pPr>
        <w:pStyle w:val="2"/>
        <w:rPr>
          <w:rFonts w:hint="eastAsia" w:eastAsia="宋体" w:cs="宋体"/>
          <w:sz w:val="36"/>
          <w:szCs w:val="36"/>
          <w:highlight w:val="none"/>
        </w:rPr>
      </w:pPr>
    </w:p>
    <w:p>
      <w:pPr>
        <w:pStyle w:val="2"/>
        <w:rPr>
          <w:rFonts w:hint="eastAsia" w:eastAsia="宋体" w:cs="宋体"/>
          <w:sz w:val="36"/>
          <w:szCs w:val="36"/>
          <w:highlight w:val="none"/>
        </w:rPr>
      </w:pPr>
    </w:p>
    <w:p>
      <w:pPr>
        <w:pStyle w:val="2"/>
        <w:rPr>
          <w:rFonts w:hint="eastAsia" w:eastAsia="宋体" w:cs="宋体"/>
          <w:sz w:val="36"/>
          <w:szCs w:val="36"/>
          <w:highlight w:val="none"/>
        </w:rPr>
      </w:pPr>
    </w:p>
    <w:p>
      <w:pPr>
        <w:ind w:right="532"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单位全称（公章）：</w:t>
      </w:r>
    </w:p>
    <w:p>
      <w:pPr>
        <w:ind w:right="532"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地    址：</w:t>
      </w:r>
    </w:p>
    <w:p>
      <w:pPr>
        <w:ind w:right="532"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时    间：</w:t>
      </w:r>
    </w:p>
    <w:p>
      <w:pPr>
        <w:pStyle w:val="2"/>
        <w:rPr>
          <w:rFonts w:hint="eastAsia" w:eastAsia="宋体" w:cs="宋体"/>
          <w:highlight w:val="none"/>
          <w:lang w:val="en-US"/>
        </w:rPr>
      </w:pPr>
    </w:p>
    <w:p>
      <w:pPr>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1、资信及商务文件目录</w:t>
      </w:r>
    </w:p>
    <w:p>
      <w:pPr>
        <w:snapToGrid w:val="0"/>
        <w:spacing w:before="120" w:beforeLines="50"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A、资信文件：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（1）投标声明书 (格式见附件)；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（2）法定代表人授权委托书(格式见附件)；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（3）提供有效的营业执照副本复印件；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提供由税务部门出具的最近三个月内缴纳增值税和企业所得税的纳税证明、缴纳社会保险的凭据（缴税付款凭证或社会保险缴纳证明）。依法免税或不需要缴纳社会保障资金的供应商，应提供相应文件证明其依法免税或不需要缴纳社会保障资金；</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（6）出具具有履行合同所必需的设备和专业技术能力的《承诺函》（内容及格式由投标人根据项目情况自定）；</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 参加政府采购活动前三年内，在经营活动中没有重大违法记录的书面声明（格式自拟）；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（8）提供供应商及其法定代表人近三年无行</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"http://wenshu.court.gov.cn/"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贿犯罪记录，以中国裁判文书网（http://wenshu.court.gov.cn</w:t>
      </w:r>
      <w:r>
        <w:rPr>
          <w:rFonts w:hint="eastAsia" w:ascii="宋体" w:hAnsi="宋体" w:eastAsia="宋体" w:cs="宋体"/>
          <w:szCs w:val="21"/>
          <w:highlight w:val="none"/>
        </w:rPr>
        <w:fldChar w:fldCharType="end"/>
      </w:r>
      <w:r>
        <w:rPr>
          <w:rFonts w:hint="eastAsia" w:ascii="宋体" w:hAnsi="宋体" w:eastAsia="宋体" w:cs="宋体"/>
          <w:szCs w:val="21"/>
          <w:highlight w:val="none"/>
        </w:rPr>
        <w:t>）查询结果为准（提供网站截图证明）；</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（9）招标公告中所要求的投标人的特定条件及需要说明的其他资质和说明。</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B、商务文件：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（1）投标人情况介绍（业务范围、技术力量、经营规模等）；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（2）自2016年1月1日以来</w:t>
      </w:r>
      <w:r>
        <w:rPr>
          <w:rFonts w:hint="eastAsia" w:ascii="宋体" w:hAnsi="宋体" w:eastAsia="宋体" w:cs="宋体"/>
          <w:szCs w:val="21"/>
          <w:highlight w:val="none"/>
          <w:lang w:val="en-US" w:eastAsia="zh-CN"/>
        </w:rPr>
        <w:t>同类</w:t>
      </w:r>
      <w:r>
        <w:rPr>
          <w:rFonts w:hint="eastAsia" w:ascii="宋体" w:hAnsi="宋体" w:eastAsia="宋体" w:cs="宋体"/>
          <w:szCs w:val="21"/>
          <w:highlight w:val="none"/>
        </w:rPr>
        <w:t>项目成功案例的业绩证明（投标人类似项目实施情况一览表、提供合同复印件，原件备查）；</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（3）资信及商务响应表（格式见附件）；</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（4）自主创新、节能环保等的资质证书或文件（如有）；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（5）报价产品为环境标志产品、节能产品的相关证明材料（如有）；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（6）投标单位认为需要的其他文件资料。</w:t>
      </w:r>
    </w:p>
    <w:p>
      <w:pPr>
        <w:snapToGrid w:val="0"/>
        <w:spacing w:line="360" w:lineRule="auto"/>
        <w:ind w:firstLine="480" w:firstLineChars="200"/>
        <w:jc w:val="left"/>
        <w:rPr>
          <w:rFonts w:hint="eastAsia" w:ascii="宋体" w:hAnsi="宋体" w:eastAsia="宋体" w:cs="宋体"/>
          <w:sz w:val="24"/>
          <w:szCs w:val="24"/>
          <w:highlight w:val="none"/>
        </w:rPr>
      </w:pPr>
    </w:p>
    <w:p>
      <w:pPr>
        <w:snapToGrid w:val="0"/>
        <w:spacing w:before="50" w:after="120" w:afterLines="5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附件：</w:t>
      </w:r>
    </w:p>
    <w:p>
      <w:pPr>
        <w:snapToGrid w:val="0"/>
        <w:spacing w:before="120" w:beforeLines="50" w:after="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 标 声 明 书</w:t>
      </w:r>
    </w:p>
    <w:p>
      <w:pPr>
        <w:snapToGrid w:val="0"/>
        <w:spacing w:before="120" w:beforeLines="50" w:after="50" w:line="360" w:lineRule="auto"/>
        <w:jc w:val="center"/>
        <w:rPr>
          <w:rFonts w:hint="eastAsia" w:ascii="宋体" w:hAnsi="宋体" w:eastAsia="宋体" w:cs="宋体"/>
          <w:b/>
          <w:sz w:val="24"/>
          <w:szCs w:val="24"/>
          <w:highlight w:val="none"/>
        </w:rPr>
      </w:pPr>
    </w:p>
    <w:p>
      <w:pPr>
        <w:snapToGrid w:val="0"/>
        <w:spacing w:before="120" w:beforeLines="50" w:after="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（招标采购单位名称）</w:t>
      </w:r>
      <w:r>
        <w:rPr>
          <w:rFonts w:hint="eastAsia" w:ascii="宋体" w:hAnsi="宋体" w:eastAsia="宋体" w:cs="宋体"/>
          <w:sz w:val="24"/>
          <w:szCs w:val="24"/>
          <w:highlight w:val="none"/>
        </w:rPr>
        <w:t>：</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系中华人民共和国合法企业，经营地址。</w:t>
      </w:r>
    </w:p>
    <w:p>
      <w:pPr>
        <w:spacing w:before="240" w:beforeLines="100" w:line="360" w:lineRule="auto"/>
        <w:ind w:right="-108"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的法定代表人，我方愿意参加贵方组织的</w:t>
      </w:r>
      <w:r>
        <w:rPr>
          <w:rFonts w:hint="eastAsia" w:ascii="宋体" w:hAnsi="宋体" w:eastAsia="宋体" w:cs="宋体"/>
          <w:sz w:val="24"/>
          <w:szCs w:val="24"/>
          <w:highlight w:val="none"/>
          <w:u w:val="single"/>
        </w:rPr>
        <w:t>（招标项目名称）（项目编号：DDZX2019-GK-070）</w:t>
      </w:r>
      <w:r>
        <w:rPr>
          <w:rFonts w:hint="eastAsia" w:ascii="宋体" w:hAnsi="宋体" w:eastAsia="宋体" w:cs="宋体"/>
          <w:sz w:val="24"/>
          <w:szCs w:val="24"/>
          <w:highlight w:val="none"/>
        </w:rPr>
        <w:t>的投标，为此，我方就本次投标有关事项郑重声明如下：</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1、投标方已详细审查全部招标文件，同意招标文件的各项要求。</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2、我方向贵方提交的所有投标文件、资料都是准确的和真实的。</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3、若中标，我方将按招标文件规定履行合同责任和义务。</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5、投标书自开标日起有效期为</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日。</w:t>
      </w:r>
    </w:p>
    <w:p>
      <w:pPr>
        <w:snapToGrid w:val="0"/>
        <w:spacing w:before="120" w:beforeLines="50" w:after="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6.以上事项如有虚假或隐瞒，我方愿意承担一切后果，并不再寻求任何旨在减轻或免除法律责任的辩解。</w:t>
      </w:r>
    </w:p>
    <w:p>
      <w:pPr>
        <w:pStyle w:val="116"/>
        <w:snapToGrid w:val="0"/>
        <w:spacing w:before="120" w:beforeLines="50" w:line="360" w:lineRule="auto"/>
        <w:rPr>
          <w:rFonts w:hint="eastAsia" w:ascii="宋体" w:hAnsi="宋体" w:eastAsia="宋体" w:cs="宋体"/>
          <w:szCs w:val="24"/>
          <w:highlight w:val="none"/>
        </w:rPr>
      </w:pPr>
    </w:p>
    <w:p>
      <w:pPr>
        <w:pStyle w:val="116"/>
        <w:snapToGrid w:val="0"/>
        <w:spacing w:before="120" w:beforeLines="50" w:line="360" w:lineRule="auto"/>
        <w:rPr>
          <w:rFonts w:hint="eastAsia" w:ascii="宋体" w:hAnsi="宋体" w:eastAsia="宋体" w:cs="宋体"/>
          <w:szCs w:val="24"/>
          <w:highlight w:val="none"/>
        </w:rPr>
      </w:pPr>
    </w:p>
    <w:p>
      <w:pPr>
        <w:pStyle w:val="116"/>
        <w:snapToGrid w:val="0"/>
        <w:spacing w:before="120" w:beforeLines="50" w:line="360" w:lineRule="auto"/>
        <w:rPr>
          <w:rFonts w:hint="eastAsia" w:ascii="宋体" w:hAnsi="宋体" w:eastAsia="宋体" w:cs="宋体"/>
          <w:szCs w:val="24"/>
          <w:highlight w:val="none"/>
        </w:rPr>
      </w:pPr>
    </w:p>
    <w:p>
      <w:pPr>
        <w:snapToGrid w:val="0"/>
        <w:spacing w:before="120" w:beforeLines="50" w:after="50" w:line="360" w:lineRule="auto"/>
        <w:ind w:right="600" w:firstLine="120" w:firstLineChars="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法定代表人签字：          日 期：</w:t>
      </w:r>
    </w:p>
    <w:p>
      <w:pPr>
        <w:snapToGrid w:val="0"/>
        <w:spacing w:before="120" w:beforeLines="50" w:after="50"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单位全称（公章）：</w:t>
      </w:r>
    </w:p>
    <w:p>
      <w:pPr>
        <w:snapToGrid w:val="0"/>
        <w:spacing w:before="120" w:beforeLines="50" w:after="50"/>
        <w:ind w:right="600" w:firstLine="2520" w:firstLineChars="900"/>
        <w:rPr>
          <w:rFonts w:hint="eastAsia" w:ascii="宋体" w:hAnsi="宋体" w:eastAsia="宋体" w:cs="宋体"/>
          <w:sz w:val="28"/>
          <w:szCs w:val="28"/>
          <w:highlight w:val="none"/>
        </w:rPr>
      </w:pPr>
    </w:p>
    <w:p>
      <w:pPr>
        <w:snapToGrid w:val="0"/>
        <w:spacing w:before="120" w:beforeLines="50" w:after="50" w:line="460" w:lineRule="exact"/>
        <w:rPr>
          <w:rFonts w:hint="eastAsia" w:ascii="宋体" w:hAnsi="宋体" w:eastAsia="宋体" w:cs="宋体"/>
          <w:sz w:val="28"/>
          <w:szCs w:val="28"/>
          <w:highlight w:val="none"/>
        </w:rPr>
      </w:pPr>
    </w:p>
    <w:p>
      <w:pPr>
        <w:snapToGrid w:val="0"/>
        <w:spacing w:before="120" w:beforeLines="50" w:after="50" w:line="460" w:lineRule="exact"/>
        <w:rPr>
          <w:rFonts w:hint="eastAsia" w:ascii="宋体" w:hAnsi="宋体" w:eastAsia="宋体" w:cs="宋体"/>
          <w:sz w:val="28"/>
          <w:szCs w:val="28"/>
          <w:highlight w:val="none"/>
        </w:rPr>
      </w:pPr>
    </w:p>
    <w:p>
      <w:pPr>
        <w:snapToGrid w:val="0"/>
        <w:spacing w:before="120" w:beforeLines="50" w:after="50" w:line="4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snapToGrid w:val="0"/>
        <w:spacing w:before="120" w:beforeLines="50" w:after="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pPr>
        <w:snapToGrid w:val="0"/>
        <w:spacing w:before="120" w:beforeLines="50" w:after="50" w:line="360" w:lineRule="auto"/>
        <w:jc w:val="center"/>
        <w:rPr>
          <w:rFonts w:hint="eastAsia" w:ascii="宋体" w:hAnsi="宋体" w:eastAsia="宋体" w:cs="宋体"/>
          <w:b/>
          <w:sz w:val="24"/>
          <w:szCs w:val="24"/>
          <w:highlight w:val="none"/>
        </w:rPr>
      </w:pPr>
    </w:p>
    <w:p>
      <w:pPr>
        <w:snapToGrid w:val="0"/>
        <w:spacing w:before="120" w:beforeLines="50" w:after="50"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浙江省公安厅机场公安局</w:t>
      </w:r>
      <w:r>
        <w:rPr>
          <w:rFonts w:hint="eastAsia" w:ascii="宋体" w:hAnsi="宋体" w:eastAsia="宋体" w:cs="宋体"/>
          <w:bCs/>
          <w:sz w:val="24"/>
          <w:szCs w:val="24"/>
          <w:highlight w:val="none"/>
        </w:rPr>
        <w:t>：</w:t>
      </w:r>
    </w:p>
    <w:p>
      <w:pPr>
        <w:snapToGrid w:val="0"/>
        <w:spacing w:before="120" w:beforeLines="50" w:after="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我（姓名）系（投标人名称）的法定代表人，现授权委托本单位在职职工 （姓名）为全权代表，以我方的名义参加项目编号：项目名称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项目的投标活动，并代表我方全权办理针对上述项目的投标、开标、评标、签约等具体事务和签署相关文件。我方对全权代表的签名事项负全部责任。</w:t>
      </w:r>
    </w:p>
    <w:p>
      <w:pPr>
        <w:snapToGrid w:val="0"/>
        <w:spacing w:before="120" w:beforeLines="50" w:after="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全权代表无转委托权，特此委托。</w:t>
      </w:r>
    </w:p>
    <w:p>
      <w:pPr>
        <w:snapToGrid w:val="0"/>
        <w:spacing w:before="120" w:beforeLines="50" w:after="50" w:line="360" w:lineRule="auto"/>
        <w:ind w:firstLine="480"/>
        <w:rPr>
          <w:rFonts w:hint="eastAsia" w:ascii="宋体" w:hAnsi="宋体" w:eastAsia="宋体" w:cs="宋体"/>
          <w:sz w:val="24"/>
          <w:szCs w:val="24"/>
          <w:highlight w:val="none"/>
        </w:rPr>
      </w:pPr>
    </w:p>
    <w:p>
      <w:pPr>
        <w:snapToGrid w:val="0"/>
        <w:spacing w:before="120" w:beforeLines="50" w:after="50" w:line="360" w:lineRule="auto"/>
        <w:rPr>
          <w:rFonts w:hint="eastAsia" w:ascii="宋体" w:hAnsi="宋体" w:eastAsia="宋体" w:cs="宋体"/>
          <w:sz w:val="24"/>
          <w:szCs w:val="24"/>
          <w:highlight w:val="none"/>
        </w:rPr>
      </w:pPr>
    </w:p>
    <w:p>
      <w:pPr>
        <w:snapToGrid w:val="0"/>
        <w:spacing w:before="120" w:beforeLines="50" w:after="5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单位全称（公章）：         日  期：</w:t>
      </w:r>
    </w:p>
    <w:p>
      <w:pPr>
        <w:snapToGrid w:val="0"/>
        <w:spacing w:before="120" w:beforeLines="50" w:after="50" w:line="360" w:lineRule="auto"/>
        <w:ind w:left="432" w:hanging="432" w:hangingChars="180"/>
        <w:rPr>
          <w:rFonts w:hint="eastAsia" w:ascii="宋体" w:hAnsi="宋体" w:eastAsia="宋体" w:cs="宋体"/>
          <w:sz w:val="24"/>
          <w:szCs w:val="24"/>
          <w:highlight w:val="none"/>
        </w:rPr>
      </w:pPr>
      <w:r>
        <w:rPr>
          <w:rFonts w:hint="eastAsia" w:ascii="宋体" w:hAnsi="宋体" w:eastAsia="宋体" w:cs="宋体"/>
          <w:sz w:val="24"/>
          <w:szCs w:val="24"/>
          <w:highlight w:val="none"/>
        </w:rPr>
        <w:t>全权代表签名：             职  务：</w:t>
      </w:r>
    </w:p>
    <w:p>
      <w:pPr>
        <w:snapToGrid w:val="0"/>
        <w:spacing w:before="120" w:beforeLines="50" w:after="50" w:line="360" w:lineRule="auto"/>
        <w:ind w:left="432" w:hanging="432" w:hangingChars="180"/>
        <w:rPr>
          <w:rFonts w:hint="eastAsia" w:ascii="宋体" w:hAnsi="宋体" w:eastAsia="宋体" w:cs="宋体"/>
          <w:sz w:val="24"/>
          <w:szCs w:val="24"/>
          <w:highlight w:val="none"/>
        </w:rPr>
      </w:pPr>
      <w:r>
        <w:rPr>
          <w:rFonts w:hint="eastAsia" w:ascii="宋体" w:hAnsi="宋体" w:eastAsia="宋体" w:cs="宋体"/>
          <w:sz w:val="24"/>
          <w:szCs w:val="24"/>
          <w:highlight w:val="none"/>
        </w:rPr>
        <w:t>全权代表身份证号码：</w:t>
      </w:r>
    </w:p>
    <w:p>
      <w:pPr>
        <w:snapToGrid w:val="0"/>
        <w:spacing w:before="120" w:beforeLines="50" w:after="50" w:line="360" w:lineRule="auto"/>
        <w:ind w:left="432" w:hanging="432" w:hangingChars="18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法定代表人签名：          职务：</w:t>
      </w:r>
    </w:p>
    <w:p>
      <w:pPr>
        <w:snapToGrid w:val="0"/>
        <w:spacing w:before="120" w:beforeLines="50" w:after="50" w:line="360" w:lineRule="auto"/>
        <w:rPr>
          <w:rFonts w:hint="eastAsia" w:ascii="宋体" w:hAnsi="宋体" w:eastAsia="宋体" w:cs="宋体"/>
          <w:sz w:val="24"/>
          <w:szCs w:val="24"/>
          <w:highlight w:val="none"/>
        </w:rPr>
      </w:pPr>
    </w:p>
    <w:p>
      <w:pPr>
        <w:snapToGrid w:val="0"/>
        <w:spacing w:before="120" w:beforeLines="50" w:after="50" w:line="360" w:lineRule="auto"/>
        <w:rPr>
          <w:rFonts w:hint="eastAsia" w:ascii="宋体" w:hAnsi="宋体" w:eastAsia="宋体" w:cs="宋体"/>
          <w:sz w:val="28"/>
          <w:szCs w:val="28"/>
          <w:highlight w:val="none"/>
        </w:rPr>
      </w:pPr>
      <w:r>
        <w:rPr>
          <w:rFonts w:hint="eastAsia" w:ascii="宋体" w:hAnsi="宋体" w:eastAsia="宋体" w:cs="宋体"/>
          <w:sz w:val="24"/>
          <w:szCs w:val="24"/>
          <w:highlight w:val="none"/>
        </w:rPr>
        <w:t>备注：附法定代表人及授权代表身份证正反面复印件并加盖公章</w:t>
      </w:r>
    </w:p>
    <w:p>
      <w:pPr>
        <w:snapToGrid w:val="0"/>
        <w:spacing w:before="120" w:beforeLines="50" w:after="50" w:line="360" w:lineRule="auto"/>
        <w:jc w:val="left"/>
        <w:rPr>
          <w:rFonts w:hint="eastAsia" w:ascii="宋体" w:hAnsi="宋体" w:eastAsia="宋体" w:cs="宋体"/>
          <w:sz w:val="28"/>
          <w:szCs w:val="28"/>
          <w:highlight w:val="none"/>
          <w:u w:val="single"/>
        </w:rPr>
      </w:pPr>
    </w:p>
    <w:p>
      <w:pPr>
        <w:pStyle w:val="2"/>
        <w:rPr>
          <w:rFonts w:hint="eastAsia" w:eastAsia="宋体" w:cs="宋体"/>
          <w:sz w:val="28"/>
          <w:szCs w:val="28"/>
          <w:highlight w:val="none"/>
          <w:u w:val="single"/>
        </w:rPr>
      </w:pPr>
    </w:p>
    <w:p>
      <w:pPr>
        <w:pStyle w:val="2"/>
        <w:rPr>
          <w:rFonts w:hint="eastAsia" w:eastAsia="宋体" w:cs="宋体"/>
          <w:sz w:val="28"/>
          <w:szCs w:val="28"/>
          <w:highlight w:val="none"/>
          <w:u w:val="single"/>
        </w:rPr>
      </w:pPr>
    </w:p>
    <w:p>
      <w:pPr>
        <w:pStyle w:val="2"/>
        <w:rPr>
          <w:rFonts w:hint="eastAsia" w:eastAsia="宋体" w:cs="宋体"/>
          <w:sz w:val="28"/>
          <w:szCs w:val="28"/>
          <w:highlight w:val="none"/>
          <w:u w:val="single"/>
        </w:rPr>
      </w:pPr>
    </w:p>
    <w:p>
      <w:pPr>
        <w:pStyle w:val="2"/>
        <w:rPr>
          <w:rFonts w:hint="eastAsia" w:eastAsia="宋体" w:cs="宋体"/>
          <w:sz w:val="28"/>
          <w:szCs w:val="28"/>
          <w:highlight w:val="none"/>
          <w:u w:val="single"/>
        </w:rPr>
      </w:pPr>
    </w:p>
    <w:p>
      <w:pPr>
        <w:pStyle w:val="2"/>
        <w:rPr>
          <w:rFonts w:hint="eastAsia" w:eastAsia="宋体" w:cs="宋体"/>
          <w:sz w:val="28"/>
          <w:szCs w:val="28"/>
          <w:highlight w:val="none"/>
          <w:u w:val="single"/>
          <w:lang w:val="en-US"/>
        </w:rPr>
      </w:pPr>
    </w:p>
    <w:p>
      <w:pPr>
        <w:pStyle w:val="2"/>
        <w:rPr>
          <w:rFonts w:hint="eastAsia" w:eastAsia="宋体" w:cs="宋体"/>
          <w:sz w:val="28"/>
          <w:szCs w:val="28"/>
          <w:highlight w:val="none"/>
          <w:u w:val="single"/>
          <w:lang w:val="en-US"/>
        </w:rPr>
      </w:pPr>
    </w:p>
    <w:p>
      <w:pPr>
        <w:pStyle w:val="2"/>
        <w:rPr>
          <w:rFonts w:hint="eastAsia" w:eastAsia="宋体" w:cs="宋体"/>
          <w:sz w:val="28"/>
          <w:szCs w:val="28"/>
          <w:highlight w:val="none"/>
          <w:u w:val="single"/>
          <w:lang w:val="en-US"/>
        </w:rPr>
      </w:pPr>
    </w:p>
    <w:p>
      <w:pPr>
        <w:pStyle w:val="2"/>
        <w:rPr>
          <w:rFonts w:hint="eastAsia" w:eastAsia="宋体" w:cs="宋体"/>
          <w:highlight w:val="none"/>
          <w:lang w:val="en-US"/>
        </w:rPr>
      </w:pPr>
    </w:p>
    <w:p>
      <w:pPr>
        <w:pStyle w:val="2"/>
        <w:rPr>
          <w:rFonts w:hint="eastAsia" w:eastAsia="宋体" w:cs="宋体"/>
          <w:szCs w:val="24"/>
          <w:highlight w:val="none"/>
          <w:lang w:val="en-US"/>
        </w:rPr>
      </w:pPr>
      <w:r>
        <w:rPr>
          <w:rFonts w:hint="eastAsia" w:eastAsia="宋体" w:cs="宋体"/>
          <w:szCs w:val="24"/>
          <w:highlight w:val="none"/>
          <w:lang w:val="en-US"/>
        </w:rPr>
        <w:t>附件：</w:t>
      </w:r>
    </w:p>
    <w:p>
      <w:pPr>
        <w:pStyle w:val="2"/>
        <w:rPr>
          <w:rFonts w:hint="eastAsia" w:eastAsia="宋体" w:cs="宋体"/>
          <w:szCs w:val="24"/>
          <w:highlight w:val="none"/>
          <w:u w:val="single"/>
        </w:rPr>
      </w:pPr>
    </w:p>
    <w:p>
      <w:pPr>
        <w:pStyle w:val="2"/>
        <w:ind w:firstLine="2880" w:firstLineChars="1200"/>
        <w:rPr>
          <w:rFonts w:hint="eastAsia" w:eastAsia="宋体" w:cs="宋体"/>
          <w:szCs w:val="24"/>
          <w:highlight w:val="none"/>
        </w:rPr>
      </w:pPr>
      <w:r>
        <w:rPr>
          <w:rFonts w:hint="eastAsia" w:eastAsia="宋体" w:cs="宋体"/>
          <w:szCs w:val="24"/>
          <w:highlight w:val="none"/>
        </w:rPr>
        <w:t>企业营业执照复印件（加盖公章）</w:t>
      </w:r>
    </w:p>
    <w:p>
      <w:pPr>
        <w:pStyle w:val="2"/>
        <w:ind w:firstLine="2160" w:firstLineChars="900"/>
        <w:rPr>
          <w:rFonts w:hint="eastAsia" w:eastAsia="宋体" w:cs="宋体"/>
          <w:szCs w:val="24"/>
          <w:highlight w:val="none"/>
        </w:rPr>
      </w:pPr>
    </w:p>
    <w:p>
      <w:pPr>
        <w:pStyle w:val="2"/>
        <w:rPr>
          <w:rFonts w:hint="eastAsia" w:eastAsia="宋体" w:cs="宋体"/>
          <w:szCs w:val="24"/>
          <w:highlight w:val="none"/>
          <w:lang w:val="en-US"/>
        </w:rPr>
      </w:pPr>
    </w:p>
    <w:p>
      <w:pPr>
        <w:snapToGrid w:val="0"/>
        <w:spacing w:before="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pPr>
        <w:snapToGrid w:val="0"/>
        <w:spacing w:before="50" w:line="360" w:lineRule="auto"/>
        <w:jc w:val="center"/>
        <w:rPr>
          <w:rFonts w:hint="eastAsia" w:ascii="宋体" w:hAnsi="宋体" w:eastAsia="宋体" w:cs="宋体"/>
          <w:spacing w:val="40"/>
          <w:kern w:val="0"/>
          <w:sz w:val="24"/>
          <w:szCs w:val="24"/>
          <w:highlight w:val="none"/>
        </w:rPr>
      </w:pPr>
      <w:r>
        <w:rPr>
          <w:rFonts w:hint="eastAsia" w:ascii="宋体" w:hAnsi="宋体" w:eastAsia="宋体" w:cs="宋体"/>
          <w:sz w:val="24"/>
          <w:szCs w:val="24"/>
          <w:highlight w:val="none"/>
        </w:rPr>
        <w:t>提供由税务部门出具的最近三个月内缴纳增值税和企业所得税的纳税证明、缴纳社会保险的凭据（缴税付款凭证或社会保险缴纳证明）。依法免税或不需要缴纳社会保障资金的供应商，应提供相应文件证明其依法免税或不需要缴纳社会保障资金</w:t>
      </w:r>
      <w:r>
        <w:rPr>
          <w:rFonts w:hint="eastAsia" w:ascii="宋体" w:hAnsi="宋体" w:eastAsia="宋体" w:cs="宋体"/>
          <w:b/>
          <w:bCs/>
          <w:sz w:val="24"/>
          <w:szCs w:val="24"/>
          <w:highlight w:val="none"/>
        </w:rPr>
        <w:t>（格式自拟）</w:t>
      </w:r>
    </w:p>
    <w:p>
      <w:pPr>
        <w:pStyle w:val="2"/>
        <w:rPr>
          <w:rFonts w:hint="eastAsia" w:eastAsia="宋体" w:cs="宋体"/>
          <w:bCs/>
          <w:szCs w:val="24"/>
          <w:highlight w:val="none"/>
        </w:rPr>
      </w:pPr>
    </w:p>
    <w:p>
      <w:pPr>
        <w:pStyle w:val="2"/>
        <w:rPr>
          <w:rFonts w:hint="eastAsia" w:eastAsia="宋体" w:cs="宋体"/>
          <w:bCs/>
          <w:szCs w:val="24"/>
          <w:highlight w:val="none"/>
        </w:rPr>
      </w:pPr>
    </w:p>
    <w:p>
      <w:pPr>
        <w:pStyle w:val="2"/>
        <w:rPr>
          <w:rFonts w:hint="eastAsia" w:eastAsia="宋体" w:cs="宋体"/>
          <w:kern w:val="2"/>
          <w:szCs w:val="24"/>
          <w:highlight w:val="none"/>
          <w:lang w:val="en-US"/>
        </w:rPr>
      </w:pPr>
      <w:r>
        <w:rPr>
          <w:rFonts w:hint="eastAsia" w:eastAsia="宋体" w:cs="宋体"/>
          <w:kern w:val="2"/>
          <w:szCs w:val="24"/>
          <w:highlight w:val="none"/>
          <w:lang w:val="en-US"/>
        </w:rPr>
        <w:t>附件：</w:t>
      </w:r>
    </w:p>
    <w:p>
      <w:pPr>
        <w:pStyle w:val="2"/>
        <w:rPr>
          <w:rFonts w:hint="eastAsia" w:eastAsia="宋体" w:cs="宋体"/>
          <w:kern w:val="2"/>
          <w:szCs w:val="24"/>
          <w:highlight w:val="none"/>
          <w:lang w:val="en-US"/>
        </w:rPr>
      </w:pPr>
    </w:p>
    <w:p>
      <w:pPr>
        <w:pStyle w:val="2"/>
        <w:rPr>
          <w:rFonts w:hint="eastAsia" w:eastAsia="宋体" w:cs="宋体"/>
          <w:szCs w:val="24"/>
          <w:highlight w:val="none"/>
        </w:rPr>
      </w:pPr>
      <w:r>
        <w:rPr>
          <w:rFonts w:hint="eastAsia" w:eastAsia="宋体" w:cs="宋体"/>
          <w:kern w:val="2"/>
          <w:szCs w:val="24"/>
          <w:highlight w:val="none"/>
          <w:lang w:val="en-US"/>
        </w:rPr>
        <w:t>提供最近一个年度经审计的财务报告，包括资产负债表、利润表、现金流量表(执行《小企业会计准则》的提供资产负债表和利润表两张基本报表），未经审计的，提供资产负债表、利润表或损益表。新成立不足一年的公司须出具情况说明</w:t>
      </w:r>
      <w:r>
        <w:rPr>
          <w:rFonts w:hint="eastAsia" w:eastAsia="宋体" w:cs="宋体"/>
          <w:szCs w:val="24"/>
          <w:highlight w:val="none"/>
        </w:rPr>
        <w:t>（格式自拟）</w:t>
      </w:r>
      <w:r>
        <w:rPr>
          <w:rFonts w:hint="eastAsia" w:eastAsia="宋体" w:cs="宋体"/>
          <w:kern w:val="2"/>
          <w:szCs w:val="24"/>
          <w:highlight w:val="none"/>
          <w:lang w:val="en-US"/>
        </w:rPr>
        <w:t>；</w:t>
      </w:r>
    </w:p>
    <w:p>
      <w:pPr>
        <w:pStyle w:val="18"/>
        <w:tabs>
          <w:tab w:val="left" w:pos="1155"/>
        </w:tabs>
        <w:spacing w:before="10" w:after="1"/>
        <w:rPr>
          <w:rFonts w:hint="eastAsia" w:ascii="宋体" w:hAnsi="宋体" w:eastAsia="宋体" w:cs="宋体"/>
          <w:b/>
          <w:sz w:val="24"/>
          <w:szCs w:val="24"/>
          <w:highlight w:val="none"/>
        </w:rPr>
      </w:pPr>
    </w:p>
    <w:p>
      <w:pPr>
        <w:pStyle w:val="18"/>
        <w:tabs>
          <w:tab w:val="left" w:pos="1155"/>
        </w:tabs>
        <w:spacing w:before="10" w:after="1"/>
        <w:rPr>
          <w:rFonts w:hint="eastAsia" w:ascii="宋体" w:hAnsi="宋体" w:eastAsia="宋体" w:cs="宋体"/>
          <w:b/>
          <w:sz w:val="24"/>
          <w:szCs w:val="24"/>
          <w:highlight w:val="none"/>
        </w:rPr>
      </w:pPr>
    </w:p>
    <w:p>
      <w:pPr>
        <w:pStyle w:val="2"/>
        <w:rPr>
          <w:rFonts w:hint="eastAsia" w:eastAsia="宋体" w:cs="宋体"/>
          <w:bCs/>
          <w:szCs w:val="24"/>
          <w:highlight w:val="none"/>
        </w:rPr>
      </w:pPr>
      <w:r>
        <w:rPr>
          <w:rFonts w:hint="eastAsia" w:eastAsia="宋体" w:cs="宋体"/>
          <w:bCs/>
          <w:szCs w:val="24"/>
          <w:highlight w:val="none"/>
        </w:rPr>
        <w:t>附件：</w:t>
      </w:r>
    </w:p>
    <w:p>
      <w:pPr>
        <w:pStyle w:val="2"/>
        <w:rPr>
          <w:rFonts w:hint="eastAsia" w:eastAsia="宋体" w:cs="宋体"/>
          <w:bCs/>
          <w:szCs w:val="24"/>
          <w:highlight w:val="none"/>
        </w:rPr>
      </w:pPr>
    </w:p>
    <w:p>
      <w:pPr>
        <w:pStyle w:val="2"/>
        <w:jc w:val="center"/>
        <w:rPr>
          <w:rFonts w:hint="eastAsia" w:eastAsia="宋体" w:cs="宋体"/>
          <w:bCs/>
          <w:szCs w:val="24"/>
          <w:highlight w:val="none"/>
        </w:rPr>
      </w:pPr>
      <w:r>
        <w:rPr>
          <w:rFonts w:hint="eastAsia" w:eastAsia="宋体" w:cs="宋体"/>
          <w:bCs/>
          <w:szCs w:val="24"/>
          <w:highlight w:val="none"/>
        </w:rPr>
        <w:t>出具具有履行合同所必需的设备和专业技术能力的《承诺函》（内容及格式由投标人根据项目情况自定）；</w:t>
      </w:r>
    </w:p>
    <w:p>
      <w:pPr>
        <w:pStyle w:val="2"/>
        <w:jc w:val="center"/>
        <w:rPr>
          <w:rFonts w:hint="eastAsia" w:eastAsia="宋体" w:cs="宋体"/>
          <w:bCs/>
          <w:szCs w:val="24"/>
          <w:highlight w:val="none"/>
        </w:rPr>
      </w:pPr>
    </w:p>
    <w:p>
      <w:pPr>
        <w:pStyle w:val="2"/>
        <w:jc w:val="center"/>
        <w:rPr>
          <w:rFonts w:hint="eastAsia" w:eastAsia="宋体" w:cs="宋体"/>
          <w:bCs/>
          <w:szCs w:val="24"/>
          <w:highlight w:val="none"/>
        </w:rPr>
      </w:pPr>
    </w:p>
    <w:p>
      <w:pPr>
        <w:pStyle w:val="2"/>
        <w:rPr>
          <w:rFonts w:hint="eastAsia" w:eastAsia="宋体" w:cs="宋体"/>
          <w:bCs/>
          <w:szCs w:val="24"/>
          <w:highlight w:val="none"/>
        </w:rPr>
      </w:pPr>
      <w:r>
        <w:rPr>
          <w:rFonts w:hint="eastAsia" w:eastAsia="宋体" w:cs="宋体"/>
          <w:bCs/>
          <w:szCs w:val="24"/>
          <w:highlight w:val="none"/>
        </w:rPr>
        <w:t>附件：</w:t>
      </w:r>
    </w:p>
    <w:p>
      <w:pPr>
        <w:pStyle w:val="2"/>
        <w:rPr>
          <w:rFonts w:hint="eastAsia" w:eastAsia="宋体" w:cs="宋体"/>
          <w:bCs/>
          <w:szCs w:val="24"/>
          <w:highlight w:val="none"/>
        </w:rPr>
      </w:pPr>
    </w:p>
    <w:p>
      <w:pPr>
        <w:pStyle w:val="2"/>
        <w:ind w:firstLine="240" w:firstLineChars="100"/>
        <w:rPr>
          <w:rFonts w:hint="eastAsia" w:eastAsia="宋体" w:cs="宋体"/>
          <w:bCs/>
          <w:szCs w:val="24"/>
          <w:highlight w:val="none"/>
        </w:rPr>
      </w:pPr>
      <w:r>
        <w:rPr>
          <w:rFonts w:hint="eastAsia" w:eastAsia="宋体" w:cs="宋体"/>
          <w:bCs/>
          <w:szCs w:val="24"/>
          <w:highlight w:val="none"/>
        </w:rPr>
        <w:t>参加政府采购活动前3年内在经营活动中没有重大违法记录的书面声明（格式自拟）；</w:t>
      </w:r>
    </w:p>
    <w:p>
      <w:pPr>
        <w:pStyle w:val="2"/>
        <w:rPr>
          <w:rFonts w:hint="eastAsia" w:eastAsia="宋体" w:cs="宋体"/>
          <w:szCs w:val="24"/>
          <w:highlight w:val="none"/>
          <w:lang w:val="en-US"/>
        </w:rPr>
      </w:pPr>
    </w:p>
    <w:p>
      <w:pPr>
        <w:pStyle w:val="2"/>
        <w:rPr>
          <w:rFonts w:hint="eastAsia" w:eastAsia="宋体" w:cs="宋体"/>
          <w:szCs w:val="24"/>
          <w:highlight w:val="none"/>
          <w:lang w:val="en-US"/>
        </w:rPr>
      </w:pPr>
    </w:p>
    <w:p>
      <w:pPr>
        <w:pStyle w:val="2"/>
        <w:rPr>
          <w:rFonts w:hint="eastAsia" w:eastAsia="宋体" w:cs="宋体"/>
          <w:szCs w:val="24"/>
          <w:highlight w:val="none"/>
          <w:lang w:val="en-US"/>
        </w:rPr>
      </w:pPr>
      <w:r>
        <w:rPr>
          <w:rFonts w:hint="eastAsia" w:eastAsia="宋体" w:cs="宋体"/>
          <w:szCs w:val="24"/>
          <w:highlight w:val="none"/>
        </w:rPr>
        <w:t>附件</w:t>
      </w:r>
      <w:r>
        <w:rPr>
          <w:rFonts w:hint="eastAsia" w:eastAsia="宋体" w:cs="宋体"/>
          <w:szCs w:val="24"/>
          <w:highlight w:val="none"/>
          <w:lang w:val="en-US"/>
        </w:rPr>
        <w:t>：</w:t>
      </w:r>
    </w:p>
    <w:p>
      <w:pPr>
        <w:pStyle w:val="2"/>
        <w:rPr>
          <w:rFonts w:hint="eastAsia" w:eastAsia="宋体" w:cs="宋体"/>
          <w:szCs w:val="24"/>
          <w:highlight w:val="none"/>
          <w:u w:val="single"/>
          <w:lang w:val="en-US"/>
        </w:rPr>
      </w:pPr>
    </w:p>
    <w:p>
      <w:pPr>
        <w:pStyle w:val="2"/>
        <w:ind w:left="420" w:leftChars="200"/>
        <w:rPr>
          <w:rFonts w:hint="eastAsia" w:eastAsia="宋体" w:cs="宋体"/>
          <w:szCs w:val="24"/>
          <w:highlight w:val="none"/>
          <w:lang w:val="en-US"/>
        </w:rPr>
      </w:pPr>
      <w:r>
        <w:rPr>
          <w:rFonts w:hint="eastAsia" w:eastAsia="宋体" w:cs="宋体"/>
          <w:szCs w:val="24"/>
          <w:highlight w:val="none"/>
        </w:rPr>
        <w:t>提供投标截止时间</w:t>
      </w:r>
      <w:r>
        <w:rPr>
          <w:rFonts w:hint="eastAsia" w:eastAsia="宋体" w:cs="宋体"/>
          <w:szCs w:val="24"/>
          <w:highlight w:val="none"/>
          <w:lang w:val="en-US"/>
        </w:rPr>
        <w:t>7</w:t>
      </w:r>
      <w:r>
        <w:rPr>
          <w:rFonts w:hint="eastAsia" w:eastAsia="宋体" w:cs="宋体"/>
          <w:szCs w:val="24"/>
          <w:highlight w:val="none"/>
        </w:rPr>
        <w:t>日前供应商及其法定代表人近三年无行</w:t>
      </w:r>
      <w:r>
        <w:rPr>
          <w:rFonts w:hint="eastAsia" w:eastAsia="宋体" w:cs="宋体"/>
          <w:szCs w:val="24"/>
          <w:highlight w:val="none"/>
        </w:rPr>
        <w:fldChar w:fldCharType="begin"/>
      </w:r>
      <w:r>
        <w:rPr>
          <w:rFonts w:hint="eastAsia" w:eastAsia="宋体" w:cs="宋体"/>
          <w:szCs w:val="24"/>
          <w:highlight w:val="none"/>
          <w:lang w:val="en-US"/>
        </w:rPr>
        <w:instrText xml:space="preserve"> HYPERLINK "http://wenshu.court.gov.cn/" \h </w:instrText>
      </w:r>
      <w:r>
        <w:rPr>
          <w:rFonts w:hint="eastAsia" w:eastAsia="宋体" w:cs="宋体"/>
          <w:szCs w:val="24"/>
          <w:highlight w:val="none"/>
        </w:rPr>
        <w:fldChar w:fldCharType="separate"/>
      </w:r>
      <w:r>
        <w:rPr>
          <w:rFonts w:hint="eastAsia" w:eastAsia="宋体" w:cs="宋体"/>
          <w:szCs w:val="24"/>
          <w:highlight w:val="none"/>
        </w:rPr>
        <w:t>贿犯罪记录</w:t>
      </w:r>
      <w:r>
        <w:rPr>
          <w:rFonts w:hint="eastAsia" w:eastAsia="宋体" w:cs="宋体"/>
          <w:szCs w:val="24"/>
          <w:highlight w:val="none"/>
          <w:lang w:val="en-US"/>
        </w:rPr>
        <w:t>，</w:t>
      </w:r>
      <w:r>
        <w:rPr>
          <w:rFonts w:hint="eastAsia" w:eastAsia="宋体" w:cs="宋体"/>
          <w:szCs w:val="24"/>
          <w:highlight w:val="none"/>
        </w:rPr>
        <w:t>以中国裁判文书网</w:t>
      </w:r>
      <w:r>
        <w:rPr>
          <w:rFonts w:hint="eastAsia" w:eastAsia="宋体" w:cs="宋体"/>
          <w:szCs w:val="24"/>
          <w:highlight w:val="none"/>
          <w:lang w:val="en-US"/>
        </w:rPr>
        <w:t>（http://wenshu.court.gov.cn</w:t>
      </w:r>
      <w:r>
        <w:rPr>
          <w:rFonts w:hint="eastAsia" w:eastAsia="宋体" w:cs="宋体"/>
          <w:szCs w:val="24"/>
          <w:highlight w:val="none"/>
        </w:rPr>
        <w:fldChar w:fldCharType="end"/>
      </w:r>
      <w:r>
        <w:rPr>
          <w:rFonts w:hint="eastAsia" w:eastAsia="宋体" w:cs="宋体"/>
          <w:szCs w:val="24"/>
          <w:highlight w:val="none"/>
          <w:lang w:val="en-US"/>
        </w:rPr>
        <w:t>）</w:t>
      </w:r>
      <w:r>
        <w:rPr>
          <w:rFonts w:hint="eastAsia" w:eastAsia="宋体" w:cs="宋体"/>
          <w:szCs w:val="24"/>
          <w:highlight w:val="none"/>
        </w:rPr>
        <w:t>查询结果为准</w:t>
      </w:r>
      <w:r>
        <w:rPr>
          <w:rFonts w:hint="eastAsia" w:eastAsia="宋体" w:cs="宋体"/>
          <w:szCs w:val="24"/>
          <w:highlight w:val="none"/>
          <w:lang w:val="en-US"/>
        </w:rPr>
        <w:t>（</w:t>
      </w:r>
      <w:r>
        <w:rPr>
          <w:rFonts w:hint="eastAsia" w:eastAsia="宋体" w:cs="宋体"/>
          <w:szCs w:val="24"/>
          <w:highlight w:val="none"/>
        </w:rPr>
        <w:t>提供网站截图证明</w:t>
      </w:r>
      <w:r>
        <w:rPr>
          <w:rFonts w:hint="eastAsia" w:eastAsia="宋体" w:cs="宋体"/>
          <w:szCs w:val="24"/>
          <w:highlight w:val="none"/>
          <w:lang w:val="en-US"/>
        </w:rPr>
        <w:t>）</w:t>
      </w:r>
    </w:p>
    <w:p>
      <w:pPr>
        <w:pStyle w:val="2"/>
        <w:rPr>
          <w:rFonts w:hint="eastAsia" w:eastAsia="宋体" w:cs="宋体"/>
          <w:sz w:val="28"/>
          <w:szCs w:val="28"/>
          <w:highlight w:val="none"/>
          <w:u w:val="single"/>
          <w:lang w:val="en-US"/>
        </w:rPr>
      </w:pPr>
    </w:p>
    <w:p>
      <w:pPr>
        <w:pStyle w:val="2"/>
        <w:rPr>
          <w:rFonts w:hint="eastAsia" w:eastAsia="宋体" w:cs="宋体"/>
          <w:sz w:val="28"/>
          <w:szCs w:val="28"/>
          <w:highlight w:val="none"/>
          <w:u w:val="single"/>
          <w:lang w:val="en-US"/>
        </w:rPr>
      </w:pPr>
    </w:p>
    <w:p>
      <w:pPr>
        <w:pStyle w:val="2"/>
        <w:rPr>
          <w:rFonts w:hint="eastAsia" w:eastAsia="宋体" w:cs="宋体"/>
          <w:sz w:val="28"/>
          <w:szCs w:val="28"/>
          <w:highlight w:val="none"/>
          <w:u w:val="single"/>
          <w:lang w:val="en-US"/>
        </w:rPr>
      </w:pPr>
    </w:p>
    <w:p>
      <w:pPr>
        <w:pStyle w:val="2"/>
        <w:rPr>
          <w:rFonts w:hint="eastAsia" w:eastAsia="宋体" w:cs="宋体"/>
          <w:bCs/>
          <w:szCs w:val="24"/>
          <w:highlight w:val="none"/>
          <w:lang w:val="en-US"/>
        </w:rPr>
      </w:pPr>
      <w:r>
        <w:rPr>
          <w:rFonts w:hint="eastAsia" w:eastAsia="宋体" w:cs="宋体"/>
          <w:bCs/>
          <w:szCs w:val="24"/>
          <w:highlight w:val="none"/>
        </w:rPr>
        <w:t>附件</w:t>
      </w:r>
      <w:r>
        <w:rPr>
          <w:rFonts w:hint="eastAsia" w:eastAsia="宋体" w:cs="宋体"/>
          <w:bCs/>
          <w:szCs w:val="24"/>
          <w:highlight w:val="none"/>
          <w:lang w:val="en-US"/>
        </w:rPr>
        <w:t>：</w:t>
      </w:r>
    </w:p>
    <w:p>
      <w:pPr>
        <w:pStyle w:val="2"/>
        <w:rPr>
          <w:rFonts w:hint="eastAsia" w:eastAsia="宋体" w:cs="宋体"/>
          <w:bCs/>
          <w:szCs w:val="24"/>
          <w:highlight w:val="none"/>
          <w:lang w:val="en-US"/>
        </w:rPr>
      </w:pPr>
    </w:p>
    <w:p>
      <w:pPr>
        <w:pStyle w:val="2"/>
        <w:spacing w:line="360" w:lineRule="auto"/>
        <w:ind w:firstLine="1200" w:firstLineChars="500"/>
        <w:rPr>
          <w:rFonts w:hint="eastAsia" w:eastAsia="宋体" w:cs="宋体"/>
          <w:spacing w:val="40"/>
          <w:szCs w:val="24"/>
          <w:highlight w:val="none"/>
        </w:rPr>
      </w:pPr>
      <w:r>
        <w:rPr>
          <w:rFonts w:hint="eastAsia" w:eastAsia="宋体" w:cs="宋体"/>
          <w:szCs w:val="24"/>
          <w:highlight w:val="none"/>
        </w:rPr>
        <w:t>报价产品为环境标志产品、节能产品的相关证明材料（如有）</w:t>
      </w:r>
    </w:p>
    <w:p>
      <w:pPr>
        <w:pStyle w:val="2"/>
        <w:rPr>
          <w:rFonts w:hint="eastAsia" w:eastAsia="宋体" w:cs="宋体"/>
          <w:sz w:val="28"/>
          <w:szCs w:val="28"/>
          <w:highlight w:val="none"/>
          <w:u w:val="single"/>
        </w:rPr>
        <w:sectPr>
          <w:footerReference r:id="rId15" w:type="first"/>
          <w:headerReference r:id="rId13" w:type="default"/>
          <w:footerReference r:id="rId14" w:type="default"/>
          <w:pgSz w:w="11906" w:h="16838"/>
          <w:pgMar w:top="1418" w:right="1418" w:bottom="1418" w:left="1418" w:header="851" w:footer="851" w:gutter="0"/>
          <w:cols w:space="720" w:num="1"/>
          <w:titlePg/>
          <w:docGrid w:linePitch="312" w:charSpace="0"/>
        </w:sectPr>
      </w:pPr>
    </w:p>
    <w:p>
      <w:pPr>
        <w:snapToGrid w:val="0"/>
        <w:spacing w:before="50" w:after="120" w:afterLines="50"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pStyle w:val="27"/>
        <w:snapToGrid w:val="0"/>
        <w:spacing w:line="360" w:lineRule="auto"/>
        <w:ind w:left="562" w:hanging="562"/>
        <w:jc w:val="center"/>
        <w:rPr>
          <w:rFonts w:hint="eastAsia" w:ascii="宋体" w:hAnsi="宋体" w:eastAsia="宋体" w:cs="宋体"/>
          <w:b/>
          <w:szCs w:val="28"/>
          <w:highlight w:val="none"/>
        </w:rPr>
      </w:pPr>
      <w:r>
        <w:rPr>
          <w:rFonts w:hint="eastAsia" w:ascii="宋体" w:hAnsi="宋体" w:eastAsia="宋体" w:cs="宋体"/>
          <w:b/>
          <w:szCs w:val="28"/>
          <w:highlight w:val="none"/>
        </w:rPr>
        <w:t>自2016年1月1日以来投标人</w:t>
      </w:r>
      <w:r>
        <w:rPr>
          <w:rFonts w:hint="eastAsia" w:ascii="宋体" w:hAnsi="宋体" w:eastAsia="宋体" w:cs="宋体"/>
          <w:b/>
          <w:szCs w:val="28"/>
          <w:highlight w:val="none"/>
          <w:lang w:val="en-US" w:eastAsia="zh-CN"/>
        </w:rPr>
        <w:t>同类</w:t>
      </w:r>
      <w:r>
        <w:rPr>
          <w:rFonts w:hint="eastAsia" w:ascii="宋体" w:hAnsi="宋体" w:eastAsia="宋体" w:cs="宋体"/>
          <w:b/>
          <w:szCs w:val="28"/>
          <w:highlight w:val="none"/>
        </w:rPr>
        <w:t>项目实施情况一览表</w:t>
      </w:r>
    </w:p>
    <w:p>
      <w:pPr>
        <w:pStyle w:val="14"/>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单位全称（公章）：</w:t>
      </w:r>
    </w:p>
    <w:tbl>
      <w:tblPr>
        <w:tblStyle w:val="35"/>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8"/>
        <w:gridCol w:w="3433"/>
        <w:gridCol w:w="1084"/>
        <w:gridCol w:w="1084"/>
        <w:gridCol w:w="1903"/>
        <w:gridCol w:w="1710"/>
        <w:gridCol w:w="2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608" w:hRule="atLeast"/>
        </w:trPr>
        <w:tc>
          <w:tcPr>
            <w:tcW w:w="26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采购单位名称</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710"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附件页码</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7" w:hRule="atLeast"/>
        </w:trPr>
        <w:tc>
          <w:tcPr>
            <w:tcW w:w="2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3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3" w:hRule="atLeast"/>
        </w:trPr>
        <w:tc>
          <w:tcPr>
            <w:tcW w:w="2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3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9" w:hRule="atLeast"/>
        </w:trPr>
        <w:tc>
          <w:tcPr>
            <w:tcW w:w="2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3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9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9" w:hRule="atLeast"/>
        </w:trPr>
        <w:tc>
          <w:tcPr>
            <w:tcW w:w="2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1138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需提供合同复印件或业主证明材料；</w:t>
            </w:r>
          </w:p>
          <w:p>
            <w:pPr>
              <w:snapToGrid w:val="0"/>
              <w:spacing w:before="50" w:after="120"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合同复印件（必须包括合同首页、含有项目名称的页面以及签章页）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原件核查</w:t>
            </w:r>
            <w:r>
              <w:rPr>
                <w:rFonts w:hint="eastAsia" w:ascii="宋体" w:hAnsi="宋体" w:eastAsia="宋体" w:cs="宋体"/>
                <w:sz w:val="24"/>
                <w:szCs w:val="24"/>
                <w:highlight w:val="none"/>
              </w:rPr>
              <w:t>。</w:t>
            </w:r>
          </w:p>
        </w:tc>
      </w:tr>
    </w:tbl>
    <w:p>
      <w:pPr>
        <w:pStyle w:val="14"/>
        <w:snapToGrid w:val="0"/>
        <w:spacing w:before="24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法定代表人（授权委托代理人）签字：</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xml:space="preserve">                          时  间：</w:t>
      </w:r>
    </w:p>
    <w:p>
      <w:pPr>
        <w:snapToGrid w:val="0"/>
        <w:spacing w:before="50" w:after="120" w:afterLines="50" w:line="360" w:lineRule="auto"/>
        <w:jc w:val="left"/>
        <w:rPr>
          <w:rFonts w:hint="eastAsia" w:ascii="宋体" w:hAnsi="宋体" w:eastAsia="宋体" w:cs="宋体"/>
          <w:sz w:val="28"/>
          <w:szCs w:val="28"/>
          <w:highlight w:val="none"/>
        </w:rPr>
        <w:sectPr>
          <w:headerReference r:id="rId16" w:type="default"/>
          <w:pgSz w:w="16838" w:h="11906" w:orient="landscape"/>
          <w:pgMar w:top="1797" w:right="1474" w:bottom="1797" w:left="1247" w:header="851" w:footer="851" w:gutter="0"/>
          <w:cols w:space="720" w:num="1"/>
          <w:docGrid w:linePitch="312" w:charSpace="0"/>
        </w:sectPr>
      </w:pPr>
    </w:p>
    <w:p>
      <w:pPr>
        <w:snapToGrid w:val="0"/>
        <w:spacing w:before="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snapToGrid w:val="0"/>
        <w:spacing w:before="50" w:line="360" w:lineRule="auto"/>
        <w:jc w:val="center"/>
        <w:rPr>
          <w:rFonts w:hint="eastAsia" w:ascii="宋体" w:hAnsi="宋体" w:eastAsia="宋体" w:cs="宋体"/>
          <w:b/>
          <w:spacing w:val="40"/>
          <w:kern w:val="0"/>
          <w:sz w:val="28"/>
          <w:szCs w:val="28"/>
          <w:highlight w:val="none"/>
        </w:rPr>
      </w:pPr>
      <w:r>
        <w:rPr>
          <w:rFonts w:hint="eastAsia" w:ascii="宋体" w:hAnsi="宋体" w:eastAsia="宋体" w:cs="宋体"/>
          <w:b/>
          <w:spacing w:val="40"/>
          <w:kern w:val="0"/>
          <w:sz w:val="28"/>
          <w:szCs w:val="28"/>
          <w:highlight w:val="none"/>
        </w:rPr>
        <w:t>资信及商务响应表</w:t>
      </w:r>
    </w:p>
    <w:p>
      <w:pPr>
        <w:snapToGrid w:val="0"/>
        <w:spacing w:before="50" w:line="360" w:lineRule="auto"/>
        <w:jc w:val="center"/>
        <w:rPr>
          <w:rFonts w:hint="eastAsia" w:ascii="宋体" w:hAnsi="宋体" w:eastAsia="宋体" w:cs="宋体"/>
          <w:b/>
          <w:sz w:val="24"/>
          <w:szCs w:val="24"/>
          <w:highlight w:val="none"/>
        </w:rPr>
      </w:pPr>
    </w:p>
    <w:p>
      <w:pPr>
        <w:pStyle w:val="14"/>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单位全称（公章）：              项目名称：</w:t>
      </w:r>
    </w:p>
    <w:tbl>
      <w:tblPr>
        <w:tblStyle w:val="35"/>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2805"/>
        <w:gridCol w:w="1309"/>
        <w:gridCol w:w="31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315" w:hRule="atLeast"/>
        </w:trPr>
        <w:tc>
          <w:tcPr>
            <w:tcW w:w="16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p>
            <w:pPr>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p>
        </w:tc>
        <w:tc>
          <w:tcPr>
            <w:tcW w:w="31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92"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08"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64"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64"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481"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92"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77" w:hRule="atLeast"/>
        </w:trPr>
        <w:tc>
          <w:tcPr>
            <w:tcW w:w="16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sz w:val="24"/>
                <w:szCs w:val="24"/>
                <w:highlight w:val="none"/>
              </w:rPr>
            </w:pPr>
          </w:p>
        </w:tc>
      </w:tr>
    </w:tbl>
    <w:p>
      <w:pPr>
        <w:snapToGrid w:val="0"/>
        <w:spacing w:before="120" w:beforeLines="5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全权代表签名：               日期：</w:t>
      </w:r>
    </w:p>
    <w:p>
      <w:pPr>
        <w:snapToGrid w:val="0"/>
        <w:spacing w:before="50" w:after="120" w:afterLines="50" w:line="360" w:lineRule="auto"/>
        <w:jc w:val="left"/>
        <w:rPr>
          <w:rFonts w:hint="eastAsia" w:ascii="宋体" w:hAnsi="宋体" w:eastAsia="宋体" w:cs="宋体"/>
          <w:sz w:val="28"/>
          <w:szCs w:val="28"/>
          <w:highlight w:val="none"/>
        </w:rPr>
      </w:pPr>
    </w:p>
    <w:p>
      <w:pPr>
        <w:pStyle w:val="21"/>
        <w:snapToGrid w:val="0"/>
        <w:spacing w:before="120" w:after="120" w:line="360" w:lineRule="auto"/>
        <w:ind w:firstLine="420"/>
        <w:rPr>
          <w:rFonts w:hint="eastAsia" w:hAnsi="宋体" w:eastAsia="宋体" w:cs="宋体"/>
          <w:sz w:val="28"/>
          <w:szCs w:val="28"/>
          <w:highlight w:val="none"/>
        </w:rPr>
      </w:pPr>
    </w:p>
    <w:p>
      <w:pPr>
        <w:pStyle w:val="21"/>
        <w:snapToGrid w:val="0"/>
        <w:spacing w:before="120" w:after="120" w:line="360" w:lineRule="auto"/>
        <w:rPr>
          <w:rFonts w:hint="eastAsia" w:hAnsi="宋体" w:eastAsia="宋体" w:cs="宋体"/>
          <w:sz w:val="28"/>
          <w:szCs w:val="28"/>
          <w:highlight w:val="none"/>
        </w:rPr>
      </w:pPr>
    </w:p>
    <w:p>
      <w:pPr>
        <w:pStyle w:val="21"/>
        <w:snapToGrid w:val="0"/>
        <w:spacing w:before="120" w:after="120" w:line="360" w:lineRule="auto"/>
        <w:rPr>
          <w:rFonts w:hint="eastAsia" w:hAnsi="宋体" w:eastAsia="宋体" w:cs="宋体"/>
          <w:sz w:val="28"/>
          <w:szCs w:val="28"/>
          <w:highlight w:val="none"/>
        </w:rPr>
      </w:pPr>
      <w:r>
        <w:rPr>
          <w:rFonts w:hint="eastAsia" w:hAnsi="宋体" w:eastAsia="宋体" w:cs="宋体"/>
          <w:sz w:val="28"/>
          <w:szCs w:val="28"/>
          <w:highlight w:val="none"/>
        </w:rPr>
        <w:br w:type="page"/>
      </w:r>
      <w:r>
        <w:rPr>
          <w:rFonts w:hint="eastAsia" w:hAnsi="宋体" w:eastAsia="宋体" w:cs="宋体"/>
          <w:sz w:val="28"/>
          <w:szCs w:val="28"/>
          <w:highlight w:val="none"/>
        </w:rPr>
        <w:t>附件：</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投标人（单位）情况表</w:t>
      </w:r>
    </w:p>
    <w:p>
      <w:pPr>
        <w:spacing w:line="360" w:lineRule="auto"/>
        <w:jc w:val="center"/>
        <w:rPr>
          <w:rFonts w:hint="eastAsia" w:ascii="宋体" w:hAnsi="宋体" w:eastAsia="宋体" w:cs="宋体"/>
          <w:b/>
          <w:sz w:val="24"/>
          <w:szCs w:val="24"/>
          <w:highlight w:val="none"/>
        </w:rPr>
      </w:pPr>
    </w:p>
    <w:tbl>
      <w:tblPr>
        <w:tblStyle w:val="3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12"/>
        <w:gridCol w:w="1691"/>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844" w:type="dxa"/>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844" w:type="dxa"/>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844" w:type="dxa"/>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203" w:type="dxa"/>
            <w:gridSpan w:val="2"/>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364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203" w:type="dxa"/>
            <w:gridSpan w:val="2"/>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364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203" w:type="dxa"/>
            <w:gridSpan w:val="2"/>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注册地：</w:t>
            </w:r>
          </w:p>
        </w:tc>
        <w:tc>
          <w:tcPr>
            <w:tcW w:w="364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19"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7844" w:type="dxa"/>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公司的资质等级（请附上有关证书的复印件）</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97"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7844" w:type="dxa"/>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公司（是否通过，何种）质量保证体系认证（如通过请附相关证书复印件，提供认证机构年审监督报告）</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07" w:hRule="atLeast"/>
        </w:trPr>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51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其他需要说明的情况</w:t>
            </w:r>
          </w:p>
        </w:tc>
        <w:tc>
          <w:tcPr>
            <w:tcW w:w="5332" w:type="dxa"/>
            <w:gridSpan w:val="2"/>
            <w:noWrap w:val="0"/>
            <w:vAlign w:val="center"/>
          </w:tcPr>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bl>
    <w:p>
      <w:pPr>
        <w:spacing w:line="360" w:lineRule="auto"/>
        <w:ind w:firstLine="573"/>
        <w:rPr>
          <w:rFonts w:hint="eastAsia" w:ascii="宋体" w:hAnsi="宋体" w:eastAsia="宋体" w:cs="宋体"/>
          <w:sz w:val="24"/>
          <w:szCs w:val="24"/>
          <w:highlight w:val="none"/>
        </w:rPr>
      </w:pPr>
    </w:p>
    <w:p>
      <w:pPr>
        <w:snapToGrid w:val="0"/>
        <w:spacing w:before="120" w:beforeLines="50" w:line="360" w:lineRule="auto"/>
        <w:rPr>
          <w:rFonts w:hint="eastAsia" w:ascii="宋体" w:hAnsi="宋体" w:eastAsia="宋体" w:cs="宋体"/>
          <w:sz w:val="24"/>
          <w:szCs w:val="24"/>
          <w:highlight w:val="none"/>
        </w:rPr>
      </w:pPr>
    </w:p>
    <w:p>
      <w:pPr>
        <w:snapToGrid w:val="0"/>
        <w:spacing w:before="120"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投标人全称（盖章）：</w:t>
      </w:r>
    </w:p>
    <w:p>
      <w:pPr>
        <w:snapToGrid w:val="0"/>
        <w:spacing w:before="120"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法定代表人或授权代表（签字或盖章）：</w:t>
      </w:r>
    </w:p>
    <w:p>
      <w:pPr>
        <w:snapToGrid w:val="0"/>
        <w:spacing w:before="120"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snapToGrid w:val="0"/>
        <w:spacing w:before="120" w:beforeLines="50" w:after="50"/>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附件</w:t>
      </w:r>
      <w:r>
        <w:rPr>
          <w:rFonts w:hint="eastAsia" w:ascii="宋体" w:hAnsi="宋体" w:eastAsia="宋体" w:cs="宋体"/>
          <w:b/>
          <w:sz w:val="28"/>
          <w:szCs w:val="28"/>
          <w:highlight w:val="none"/>
        </w:rPr>
        <w:t xml:space="preserve">：                                     </w:t>
      </w:r>
    </w:p>
    <w:p>
      <w:pPr>
        <w:snapToGrid w:val="0"/>
        <w:spacing w:before="120" w:beforeLines="50" w:after="50"/>
        <w:jc w:val="right"/>
        <w:rPr>
          <w:rFonts w:hint="eastAsia" w:ascii="宋体" w:hAnsi="宋体" w:eastAsia="宋体" w:cs="宋体"/>
          <w:b/>
          <w:sz w:val="28"/>
          <w:szCs w:val="28"/>
          <w:highlight w:val="none"/>
        </w:rPr>
      </w:pPr>
      <w:r>
        <w:rPr>
          <w:rFonts w:hint="eastAsia" w:ascii="宋体" w:hAnsi="宋体" w:eastAsia="宋体" w:cs="宋体"/>
          <w:sz w:val="30"/>
          <w:szCs w:val="30"/>
          <w:highlight w:val="none"/>
        </w:rPr>
        <w:t>正本或副本</w:t>
      </w:r>
    </w:p>
    <w:p>
      <w:pPr>
        <w:ind w:right="-110"/>
        <w:jc w:val="center"/>
        <w:rPr>
          <w:rFonts w:hint="eastAsia" w:ascii="宋体" w:hAnsi="宋体" w:eastAsia="宋体" w:cs="宋体"/>
          <w:spacing w:val="40"/>
          <w:sz w:val="28"/>
          <w:szCs w:val="28"/>
          <w:highlight w:val="none"/>
        </w:rPr>
      </w:pPr>
    </w:p>
    <w:p>
      <w:pPr>
        <w:ind w:right="-110"/>
        <w:jc w:val="center"/>
        <w:rPr>
          <w:rFonts w:hint="eastAsia" w:ascii="宋体" w:hAnsi="宋体" w:eastAsia="宋体" w:cs="宋体"/>
          <w:spacing w:val="40"/>
          <w:sz w:val="36"/>
          <w:szCs w:val="36"/>
          <w:highlight w:val="none"/>
        </w:rPr>
      </w:pPr>
      <w:r>
        <w:rPr>
          <w:rFonts w:hint="eastAsia" w:ascii="宋体" w:hAnsi="宋体" w:eastAsia="宋体" w:cs="宋体"/>
          <w:spacing w:val="40"/>
          <w:sz w:val="36"/>
          <w:szCs w:val="36"/>
          <w:highlight w:val="none"/>
        </w:rPr>
        <w:t>***项目名称</w:t>
      </w:r>
    </w:p>
    <w:p>
      <w:pPr>
        <w:spacing w:before="240" w:beforeLines="100"/>
        <w:ind w:right="-108"/>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            项目编号：DDZX2019-GK-070</w:t>
      </w:r>
    </w:p>
    <w:p>
      <w:pPr>
        <w:spacing w:after="100" w:afterAutospacing="1"/>
        <w:ind w:right="-108"/>
        <w:jc w:val="center"/>
        <w:rPr>
          <w:rFonts w:hint="eastAsia" w:ascii="宋体" w:hAnsi="宋体" w:eastAsia="宋体" w:cs="宋体"/>
          <w:b/>
          <w:spacing w:val="40"/>
          <w:sz w:val="32"/>
          <w:szCs w:val="32"/>
          <w:highlight w:val="none"/>
        </w:rPr>
      </w:pPr>
    </w:p>
    <w:p>
      <w:pPr>
        <w:pStyle w:val="2"/>
        <w:rPr>
          <w:rFonts w:hint="eastAsia" w:eastAsia="宋体" w:cs="宋体"/>
          <w:highlight w:val="none"/>
        </w:rPr>
      </w:pP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技</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术</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文</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件</w:t>
      </w:r>
    </w:p>
    <w:p>
      <w:pPr>
        <w:ind w:right="533"/>
        <w:jc w:val="center"/>
        <w:rPr>
          <w:rFonts w:hint="eastAsia" w:ascii="宋体" w:hAnsi="宋体" w:eastAsia="宋体" w:cs="宋体"/>
          <w:sz w:val="28"/>
          <w:szCs w:val="28"/>
          <w:highlight w:val="none"/>
        </w:rPr>
      </w:pPr>
    </w:p>
    <w:p>
      <w:pPr>
        <w:ind w:right="533"/>
        <w:jc w:val="center"/>
        <w:rPr>
          <w:rFonts w:hint="eastAsia" w:ascii="宋体" w:hAnsi="宋体" w:eastAsia="宋体" w:cs="宋体"/>
          <w:sz w:val="28"/>
          <w:szCs w:val="28"/>
          <w:highlight w:val="none"/>
        </w:rPr>
      </w:pPr>
    </w:p>
    <w:p>
      <w:pPr>
        <w:ind w:right="533"/>
        <w:jc w:val="center"/>
        <w:rPr>
          <w:rFonts w:hint="eastAsia" w:ascii="宋体" w:hAnsi="宋体" w:eastAsia="宋体" w:cs="宋体"/>
          <w:sz w:val="36"/>
          <w:szCs w:val="36"/>
          <w:highlight w:val="none"/>
        </w:rPr>
      </w:pPr>
    </w:p>
    <w:p>
      <w:pPr>
        <w:pStyle w:val="2"/>
        <w:rPr>
          <w:rFonts w:hint="eastAsia" w:eastAsia="宋体" w:cs="宋体"/>
          <w:sz w:val="36"/>
          <w:szCs w:val="36"/>
          <w:highlight w:val="none"/>
        </w:rPr>
      </w:pPr>
    </w:p>
    <w:p>
      <w:pPr>
        <w:pStyle w:val="2"/>
        <w:rPr>
          <w:rFonts w:hint="eastAsia" w:eastAsia="宋体" w:cs="宋体"/>
          <w:sz w:val="36"/>
          <w:szCs w:val="36"/>
          <w:highlight w:val="none"/>
        </w:rPr>
      </w:pPr>
    </w:p>
    <w:p>
      <w:pPr>
        <w:spacing w:line="360" w:lineRule="auto"/>
        <w:ind w:right="532"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单位全称（公章）：</w:t>
      </w:r>
    </w:p>
    <w:p>
      <w:pPr>
        <w:spacing w:line="360" w:lineRule="auto"/>
        <w:ind w:right="-108"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地    址：</w:t>
      </w:r>
    </w:p>
    <w:p>
      <w:pPr>
        <w:spacing w:line="360" w:lineRule="auto"/>
        <w:ind w:right="-108"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时    间：</w:t>
      </w:r>
    </w:p>
    <w:p>
      <w:pPr>
        <w:snapToGrid w:val="0"/>
        <w:spacing w:before="50" w:after="50" w:line="360" w:lineRule="auto"/>
        <w:rPr>
          <w:rFonts w:hint="eastAsia" w:ascii="宋体" w:hAnsi="宋体" w:eastAsia="宋体" w:cs="宋体"/>
          <w:sz w:val="28"/>
          <w:szCs w:val="28"/>
          <w:highlight w:val="none"/>
        </w:rPr>
      </w:pPr>
    </w:p>
    <w:p>
      <w:pPr>
        <w:snapToGrid w:val="0"/>
        <w:spacing w:before="50" w:after="50" w:line="360" w:lineRule="auto"/>
        <w:rPr>
          <w:rFonts w:hint="eastAsia" w:ascii="宋体" w:hAnsi="宋体" w:eastAsia="宋体" w:cs="宋体"/>
          <w:sz w:val="28"/>
          <w:szCs w:val="28"/>
          <w:highlight w:val="none"/>
        </w:rPr>
      </w:pPr>
    </w:p>
    <w:p>
      <w:pPr>
        <w:snapToGrid w:val="0"/>
        <w:spacing w:before="50" w:after="5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rPr>
        <w:t>技术文件目录</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（1）综述：对本项目的理解和概述等；</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（2）整体分析：阐述对招标文件技术规格书的理解，分析项目的建设目标、建设任务和要求；</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（3）系统集成实施方案：投标人根据本工程的建设范围、建设内容，在现有信息系统技术架构下，提出集成及部署方案，并确保系统运行的性能；</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（4）项目实施方案：给出项目总体进度计划，并从进度管理、质量管理、风险管理等方面说明项目保障体系，对系统测试、项目验收和成果交付方案进行阐述；</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（5）货物配置清单（要求明确产品数量、技术参数、规格型号、品牌；提供产品彩页或其它必要说明，不得体现任何价格信息，格式自拟）；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（6）投入到本项目的项目负责人、其他人员的情况汇总表及业绩、职称、资格证书、以往业绩、能力介绍、资格证明材料及人员到位率的承诺（格式自拟）；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（7）项目维护计划（对用户故障的响应、处理、定期巡检等情况）的有效性和售后服务的响应情况；</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（8）技术服务与培训：对技术支持体系和售后服务体系进行说明，进行必要的服务承诺，给出具体的培训计划和培训方案；</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（9）其它与补充说明：如有未尽事宜或对本技术规格书的技术要求有不同理解可补充说明。</w:t>
      </w:r>
    </w:p>
    <w:p>
      <w:pPr>
        <w:pStyle w:val="2"/>
        <w:spacing w:line="360" w:lineRule="auto"/>
        <w:ind w:firstLine="422" w:firstLineChars="200"/>
        <w:rPr>
          <w:rFonts w:hint="eastAsia" w:eastAsia="宋体" w:cs="宋体"/>
          <w:sz w:val="21"/>
          <w:szCs w:val="21"/>
          <w:highlight w:val="none"/>
        </w:rPr>
      </w:pPr>
      <w:r>
        <w:rPr>
          <w:rFonts w:hint="eastAsia" w:eastAsia="宋体" w:cs="宋体"/>
          <w:b/>
          <w:sz w:val="21"/>
          <w:szCs w:val="21"/>
          <w:highlight w:val="none"/>
          <w:lang w:val="en-US"/>
        </w:rPr>
        <w:t>注：投标单位请结合评分要点编制投标响应文件。</w:t>
      </w:r>
    </w:p>
    <w:p>
      <w:pPr>
        <w:pStyle w:val="2"/>
        <w:spacing w:line="360" w:lineRule="auto"/>
        <w:ind w:firstLine="422" w:firstLineChars="200"/>
        <w:rPr>
          <w:rFonts w:hint="eastAsia" w:eastAsia="宋体" w:cs="宋体"/>
          <w:b/>
          <w:sz w:val="21"/>
          <w:szCs w:val="21"/>
          <w:highlight w:val="none"/>
          <w:lang w:val="en-US"/>
        </w:rPr>
      </w:pPr>
    </w:p>
    <w:p>
      <w:pPr>
        <w:pStyle w:val="2"/>
        <w:rPr>
          <w:rFonts w:hint="eastAsia" w:eastAsia="宋体" w:cs="宋体"/>
          <w:highlight w:val="none"/>
        </w:rPr>
      </w:pPr>
    </w:p>
    <w:p>
      <w:pPr>
        <w:snapToGrid w:val="0"/>
        <w:spacing w:line="360" w:lineRule="auto"/>
        <w:ind w:firstLine="480" w:firstLineChars="200"/>
        <w:jc w:val="left"/>
        <w:rPr>
          <w:rFonts w:hint="eastAsia" w:ascii="宋体" w:hAnsi="宋体" w:eastAsia="宋体" w:cs="宋体"/>
          <w:sz w:val="24"/>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pStyle w:val="2"/>
        <w:rPr>
          <w:rFonts w:hint="eastAsia" w:eastAsia="宋体" w:cs="宋体"/>
          <w:szCs w:val="24"/>
          <w:highlight w:val="none"/>
        </w:rPr>
      </w:pPr>
    </w:p>
    <w:p>
      <w:pPr>
        <w:snapToGrid w:val="0"/>
        <w:spacing w:before="50" w:after="50"/>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snapToGrid w:val="0"/>
        <w:spacing w:before="50" w:after="120"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技 术 响 应 表</w:t>
      </w:r>
    </w:p>
    <w:p>
      <w:pPr>
        <w:pStyle w:val="14"/>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单位全称（公章）：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eastAsia="宋体" w:cs="宋体"/>
                <w:highlight w:val="none"/>
              </w:rPr>
            </w:pPr>
            <w:r>
              <w:rPr>
                <w:rFonts w:hint="eastAsia" w:hAnsi="宋体" w:eastAsia="宋体" w:cs="宋体"/>
                <w:highlight w:val="none"/>
              </w:rPr>
              <w:t xml:space="preserve">  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eastAsia="宋体" w:cs="宋体"/>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c>
          <w:tcPr>
            <w:tcW w:w="2423" w:type="dxa"/>
            <w:tcBorders>
              <w:top w:val="single" w:color="auto" w:sz="4" w:space="0"/>
              <w:left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eastAsia="宋体" w:cs="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c>
          <w:tcPr>
            <w:tcW w:w="2423" w:type="dxa"/>
            <w:tcBorders>
              <w:top w:val="single" w:color="auto" w:sz="4" w:space="0"/>
              <w:left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eastAsia="宋体" w:cs="宋体"/>
                <w:highlight w:val="none"/>
              </w:rPr>
            </w:pPr>
          </w:p>
        </w:tc>
      </w:tr>
    </w:tbl>
    <w:p>
      <w:pPr>
        <w:pStyle w:val="17"/>
        <w:spacing w:line="360" w:lineRule="auto"/>
        <w:rPr>
          <w:rFonts w:hint="eastAsia" w:ascii="宋体" w:eastAsia="宋体" w:cs="宋体"/>
          <w:spacing w:val="20"/>
          <w:szCs w:val="24"/>
          <w:highlight w:val="none"/>
        </w:rPr>
      </w:pPr>
      <w:r>
        <w:rPr>
          <w:rFonts w:hint="eastAsia" w:ascii="宋体" w:eastAsia="宋体" w:cs="宋体"/>
          <w:szCs w:val="24"/>
          <w:highlight w:val="none"/>
        </w:rPr>
        <w:t>注：投标人应根据投标设备的性能指标、对照招标文件要求在“偏离情况”栏注明“正偏离”、“负偏离”或“无偏离”。</w:t>
      </w:r>
    </w:p>
    <w:p>
      <w:pPr>
        <w:snapToGrid w:val="0"/>
        <w:spacing w:before="50" w:after="50" w:line="360" w:lineRule="auto"/>
        <w:rPr>
          <w:rFonts w:hint="eastAsia" w:ascii="宋体" w:hAnsi="宋体" w:eastAsia="宋体" w:cs="宋体"/>
          <w:spacing w:val="20"/>
          <w:sz w:val="24"/>
          <w:szCs w:val="24"/>
          <w:highlight w:val="none"/>
        </w:rPr>
      </w:pPr>
    </w:p>
    <w:p>
      <w:pPr>
        <w:snapToGrid w:val="0"/>
        <w:spacing w:before="50" w:after="50" w:line="360" w:lineRule="auto"/>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全权代表签名：          日 期：</w:t>
      </w:r>
    </w:p>
    <w:p>
      <w:pPr>
        <w:snapToGrid w:val="0"/>
        <w:spacing w:before="50" w:after="120" w:afterLines="50" w:line="360" w:lineRule="auto"/>
        <w:jc w:val="left"/>
        <w:rPr>
          <w:rFonts w:hint="eastAsia" w:ascii="宋体" w:hAnsi="宋体" w:eastAsia="宋体" w:cs="宋体"/>
          <w:sz w:val="28"/>
          <w:szCs w:val="28"/>
          <w:highlight w:val="none"/>
        </w:rPr>
      </w:pPr>
    </w:p>
    <w:p>
      <w:pPr>
        <w:snapToGrid w:val="0"/>
        <w:spacing w:before="50" w:after="120" w:afterLines="50" w:line="360" w:lineRule="auto"/>
        <w:jc w:val="left"/>
        <w:rPr>
          <w:rFonts w:hint="eastAsia" w:ascii="宋体" w:hAnsi="宋体" w:eastAsia="宋体" w:cs="宋体"/>
          <w:sz w:val="28"/>
          <w:szCs w:val="28"/>
          <w:highlight w:val="none"/>
        </w:rPr>
      </w:pPr>
    </w:p>
    <w:p>
      <w:pPr>
        <w:snapToGrid w:val="0"/>
        <w:spacing w:before="50" w:after="120" w:afterLines="50" w:line="360" w:lineRule="auto"/>
        <w:jc w:val="left"/>
        <w:rPr>
          <w:rFonts w:hint="eastAsia" w:ascii="宋体" w:hAnsi="宋体" w:eastAsia="宋体" w:cs="宋体"/>
          <w:sz w:val="28"/>
          <w:szCs w:val="28"/>
          <w:highlight w:val="none"/>
        </w:rPr>
      </w:pPr>
    </w:p>
    <w:p>
      <w:pPr>
        <w:snapToGrid w:val="0"/>
        <w:spacing w:before="50" w:after="120" w:afterLines="50" w:line="360" w:lineRule="auto"/>
        <w:jc w:val="left"/>
        <w:rPr>
          <w:rFonts w:hint="eastAsia" w:ascii="宋体" w:hAnsi="宋体"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snapToGrid w:val="0"/>
        <w:spacing w:before="50" w:after="120" w:afterLines="5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snapToGrid w:val="0"/>
        <w:spacing w:before="120" w:beforeLines="50" w:after="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项目实施人员一览表</w:t>
      </w:r>
    </w:p>
    <w:p>
      <w:pPr>
        <w:pStyle w:val="14"/>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单位全称（公章）：</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专业技</w:t>
            </w:r>
          </w:p>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w:t>
            </w:r>
          </w:p>
          <w:p>
            <w:pPr>
              <w:snapToGrid w:val="0"/>
              <w:spacing w:before="120" w:beforeLines="50" w:after="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360" w:lineRule="auto"/>
              <w:ind w:left="5250"/>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szCs w:val="24"/>
                <w:highlight w:val="none"/>
              </w:rPr>
            </w:pPr>
          </w:p>
        </w:tc>
      </w:tr>
    </w:tbl>
    <w:p>
      <w:pPr>
        <w:snapToGrid w:val="0"/>
        <w:spacing w:before="50" w:after="120"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注：在填写时，如本表格不适合投标单位的实际情况，可根据本表格式自行划表填写。 </w:t>
      </w:r>
    </w:p>
    <w:p>
      <w:pPr>
        <w:snapToGrid w:val="0"/>
        <w:spacing w:before="50" w:after="120" w:afterLines="50" w:line="360" w:lineRule="auto"/>
        <w:jc w:val="left"/>
        <w:rPr>
          <w:rFonts w:hint="eastAsia" w:ascii="宋体" w:hAnsi="宋体" w:eastAsia="宋体" w:cs="宋体"/>
          <w:sz w:val="24"/>
          <w:szCs w:val="24"/>
          <w:highlight w:val="none"/>
        </w:rPr>
      </w:pPr>
    </w:p>
    <w:p>
      <w:pPr>
        <w:snapToGrid w:val="0"/>
        <w:spacing w:before="50" w:after="50" w:line="360" w:lineRule="auto"/>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全权代表签名： 日  期：</w:t>
      </w:r>
    </w:p>
    <w:p>
      <w:pPr>
        <w:snapToGrid w:val="0"/>
        <w:spacing w:before="50" w:after="50"/>
        <w:rPr>
          <w:rFonts w:hint="eastAsia" w:ascii="宋体" w:hAnsi="宋体"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pStyle w:val="2"/>
        <w:rPr>
          <w:rFonts w:hint="eastAsia" w:eastAsia="宋体" w:cs="宋体"/>
          <w:sz w:val="28"/>
          <w:szCs w:val="28"/>
          <w:highlight w:val="none"/>
        </w:rPr>
      </w:pPr>
    </w:p>
    <w:p>
      <w:pPr>
        <w:snapToGrid w:val="0"/>
        <w:spacing w:before="50" w:after="50"/>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p>
    <w:p>
      <w:pPr>
        <w:snapToGrid w:val="0"/>
        <w:spacing w:before="50" w:after="120" w:afterLines="50"/>
        <w:jc w:val="center"/>
        <w:rPr>
          <w:rFonts w:hint="eastAsia" w:ascii="宋体" w:hAnsi="宋体" w:eastAsia="宋体" w:cs="宋体"/>
          <w:b/>
          <w:sz w:val="28"/>
          <w:szCs w:val="28"/>
          <w:highlight w:val="none"/>
        </w:rPr>
      </w:pPr>
    </w:p>
    <w:p>
      <w:pPr>
        <w:snapToGrid w:val="0"/>
        <w:spacing w:before="50" w:after="120"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项目服务优惠表（如有）</w:t>
      </w:r>
    </w:p>
    <w:p>
      <w:pPr>
        <w:snapToGrid w:val="0"/>
        <w:spacing w:before="50" w:after="120" w:afterLines="50" w:line="360" w:lineRule="auto"/>
        <w:jc w:val="center"/>
        <w:rPr>
          <w:rFonts w:hint="eastAsia" w:ascii="宋体" w:hAnsi="宋体" w:eastAsia="宋体" w:cs="宋体"/>
          <w:b/>
          <w:sz w:val="24"/>
          <w:szCs w:val="24"/>
          <w:highlight w:val="none"/>
        </w:rPr>
      </w:pPr>
    </w:p>
    <w:p>
      <w:pPr>
        <w:pStyle w:val="14"/>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单位全称（公章）：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7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1392" w:hRule="atLeast"/>
        </w:trPr>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序号</w:t>
            </w:r>
          </w:p>
        </w:tc>
        <w:tc>
          <w:tcPr>
            <w:tcW w:w="7300" w:type="dxa"/>
            <w:tcBorders>
              <w:top w:val="single" w:color="auto" w:sz="4" w:space="0"/>
              <w:left w:val="single" w:color="auto" w:sz="4" w:space="0"/>
              <w:bottom w:val="single" w:color="auto" w:sz="2" w:space="0"/>
              <w:right w:val="single" w:color="auto" w:sz="4" w:space="0"/>
            </w:tcBorders>
            <w:noWrap w:val="0"/>
            <w:vAlign w:val="center"/>
          </w:tcPr>
          <w:p>
            <w:pPr>
              <w:pStyle w:val="21"/>
              <w:snapToGrid w:val="0"/>
              <w:spacing w:beforeLines="0" w:afterLines="0" w:line="360" w:lineRule="auto"/>
              <w:jc w:val="center"/>
              <w:rPr>
                <w:rFonts w:hint="eastAsia" w:hAnsi="宋体" w:eastAsia="宋体" w:cs="宋体"/>
                <w:highlight w:val="none"/>
              </w:rPr>
            </w:pPr>
          </w:p>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优惠服务内容</w:t>
            </w:r>
          </w:p>
          <w:p>
            <w:pPr>
              <w:pStyle w:val="21"/>
              <w:snapToGrid w:val="0"/>
              <w:spacing w:beforeLines="0" w:afterLines="0" w:line="360" w:lineRule="auto"/>
              <w:jc w:val="center"/>
              <w:rPr>
                <w:rFonts w:hint="eastAsia" w:hAnsi="宋体" w:eastAsia="宋体" w:cs="宋体"/>
                <w:highlight w:val="none"/>
              </w:rPr>
            </w:pPr>
          </w:p>
          <w:p>
            <w:pPr>
              <w:pStyle w:val="21"/>
              <w:snapToGrid w:val="0"/>
              <w:spacing w:beforeLines="0" w:afterLines="0" w:line="360" w:lineRule="auto"/>
              <w:jc w:val="center"/>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915" w:type="dxa"/>
            <w:tcBorders>
              <w:top w:val="single" w:color="auto" w:sz="4" w:space="0"/>
              <w:left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1</w:t>
            </w:r>
          </w:p>
        </w:tc>
        <w:tc>
          <w:tcPr>
            <w:tcW w:w="7300" w:type="dxa"/>
            <w:tcBorders>
              <w:top w:val="single" w:color="auto" w:sz="2" w:space="0"/>
              <w:left w:val="single" w:color="auto" w:sz="2" w:space="0"/>
              <w:right w:val="single" w:color="auto" w:sz="2" w:space="0"/>
            </w:tcBorders>
            <w:noWrap w:val="0"/>
            <w:vAlign w:val="center"/>
          </w:tcPr>
          <w:p>
            <w:pPr>
              <w:pStyle w:val="21"/>
              <w:snapToGrid w:val="0"/>
              <w:spacing w:beforeLines="0" w:afterLines="0" w:line="360" w:lineRule="auto"/>
              <w:jc w:val="center"/>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915" w:type="dxa"/>
            <w:tcBorders>
              <w:top w:val="single" w:color="auto" w:sz="4" w:space="0"/>
              <w:left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2</w:t>
            </w:r>
          </w:p>
        </w:tc>
        <w:tc>
          <w:tcPr>
            <w:tcW w:w="7300" w:type="dxa"/>
            <w:tcBorders>
              <w:top w:val="single" w:color="auto" w:sz="6" w:space="0"/>
              <w:left w:val="single" w:color="auto" w:sz="2" w:space="0"/>
              <w:right w:val="single" w:color="auto" w:sz="2" w:space="0"/>
            </w:tcBorders>
            <w:noWrap w:val="0"/>
            <w:vAlign w:val="center"/>
          </w:tcPr>
          <w:p>
            <w:pPr>
              <w:pStyle w:val="21"/>
              <w:snapToGrid w:val="0"/>
              <w:spacing w:beforeLines="0" w:afterLines="0" w:line="360" w:lineRule="auto"/>
              <w:jc w:val="center"/>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Lines="0" w:afterLines="0" w:line="360" w:lineRule="auto"/>
              <w:jc w:val="center"/>
              <w:rPr>
                <w:rFonts w:hint="eastAsia" w:hAnsi="宋体" w:eastAsia="宋体" w:cs="宋体"/>
                <w:highlight w:val="none"/>
              </w:rPr>
            </w:pPr>
            <w:r>
              <w:rPr>
                <w:rFonts w:hint="eastAsia" w:hAnsi="宋体" w:eastAsia="宋体" w:cs="宋体"/>
                <w:highlight w:val="none"/>
              </w:rPr>
              <w:t>3</w:t>
            </w:r>
          </w:p>
        </w:tc>
        <w:tc>
          <w:tcPr>
            <w:tcW w:w="7300" w:type="dxa"/>
            <w:tcBorders>
              <w:top w:val="single" w:color="auto" w:sz="6" w:space="0"/>
              <w:left w:val="single" w:color="auto" w:sz="2" w:space="0"/>
              <w:bottom w:val="single" w:color="auto" w:sz="6" w:space="0"/>
              <w:right w:val="single" w:color="auto" w:sz="2" w:space="0"/>
            </w:tcBorders>
            <w:noWrap w:val="0"/>
            <w:vAlign w:val="center"/>
          </w:tcPr>
          <w:p>
            <w:pPr>
              <w:pStyle w:val="21"/>
              <w:snapToGrid w:val="0"/>
              <w:spacing w:beforeLines="0" w:afterLines="0" w:line="360" w:lineRule="auto"/>
              <w:jc w:val="center"/>
              <w:rPr>
                <w:rFonts w:hint="eastAsia"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915" w:type="dxa"/>
            <w:tcBorders>
              <w:top w:val="single" w:color="auto" w:sz="4" w:space="0"/>
              <w:left w:val="single" w:color="auto" w:sz="4" w:space="0"/>
              <w:right w:val="single" w:color="auto" w:sz="2" w:space="0"/>
            </w:tcBorders>
            <w:noWrap w:val="0"/>
            <w:tcMar>
              <w:top w:w="15" w:type="dxa"/>
              <w:left w:w="15" w:type="dxa"/>
              <w:bottom w:w="0" w:type="dxa"/>
              <w:right w:w="15" w:type="dxa"/>
            </w:tcMar>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300" w:type="dxa"/>
            <w:tcBorders>
              <w:top w:val="single" w:color="auto" w:sz="6" w:space="0"/>
              <w:left w:val="single" w:color="auto" w:sz="2" w:space="0"/>
              <w:right w:val="single" w:color="auto" w:sz="2" w:space="0"/>
            </w:tcBorders>
            <w:noWrap w:val="0"/>
            <w:vAlign w:val="center"/>
          </w:tcPr>
          <w:p>
            <w:pPr>
              <w:pStyle w:val="21"/>
              <w:snapToGrid w:val="0"/>
              <w:spacing w:beforeLines="0" w:afterLines="0" w:line="360" w:lineRule="auto"/>
              <w:jc w:val="center"/>
              <w:rPr>
                <w:rFonts w:hint="eastAsia" w:hAnsi="宋体" w:eastAsia="宋体" w:cs="宋体"/>
                <w:highlight w:val="none"/>
              </w:rPr>
            </w:pPr>
          </w:p>
        </w:tc>
      </w:tr>
    </w:tbl>
    <w:p>
      <w:pPr>
        <w:snapToGrid w:val="0"/>
        <w:spacing w:before="50" w:after="50" w:line="360" w:lineRule="auto"/>
        <w:rPr>
          <w:rFonts w:hint="eastAsia" w:ascii="宋体" w:hAnsi="宋体" w:eastAsia="宋体" w:cs="宋体"/>
          <w:spacing w:val="20"/>
          <w:sz w:val="24"/>
          <w:szCs w:val="24"/>
          <w:highlight w:val="none"/>
        </w:rPr>
      </w:pPr>
    </w:p>
    <w:p>
      <w:pPr>
        <w:snapToGrid w:val="0"/>
        <w:spacing w:before="50" w:after="50" w:line="360" w:lineRule="auto"/>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全权代表签名：       日 期：</w:t>
      </w:r>
    </w:p>
    <w:p>
      <w:pPr>
        <w:snapToGrid w:val="0"/>
        <w:spacing w:before="120" w:beforeLines="50" w:after="50" w:line="360" w:lineRule="auto"/>
        <w:jc w:val="center"/>
        <w:rPr>
          <w:rFonts w:hint="eastAsia" w:ascii="宋体" w:hAnsi="宋体" w:eastAsia="宋体" w:cs="宋体"/>
          <w:sz w:val="28"/>
          <w:szCs w:val="28"/>
          <w:highlight w:val="none"/>
        </w:rPr>
      </w:pPr>
    </w:p>
    <w:p>
      <w:pPr>
        <w:snapToGrid w:val="0"/>
        <w:spacing w:before="120" w:beforeLines="50" w:after="50" w:line="360" w:lineRule="auto"/>
        <w:jc w:val="center"/>
        <w:rPr>
          <w:rFonts w:hint="eastAsia" w:ascii="宋体" w:hAnsi="宋体" w:eastAsia="宋体" w:cs="宋体"/>
          <w:sz w:val="28"/>
          <w:szCs w:val="28"/>
          <w:highlight w:val="none"/>
        </w:rPr>
      </w:pPr>
    </w:p>
    <w:p>
      <w:pPr>
        <w:snapToGrid w:val="0"/>
        <w:spacing w:before="120" w:beforeLines="50" w:after="50" w:line="360" w:lineRule="auto"/>
        <w:jc w:val="center"/>
        <w:rPr>
          <w:rFonts w:hint="eastAsia" w:ascii="宋体" w:hAnsi="宋体" w:eastAsia="宋体" w:cs="宋体"/>
          <w:sz w:val="28"/>
          <w:szCs w:val="28"/>
          <w:highlight w:val="none"/>
        </w:rPr>
      </w:pPr>
    </w:p>
    <w:p>
      <w:pPr>
        <w:snapToGrid w:val="0"/>
        <w:spacing w:before="120" w:beforeLines="50" w:after="50" w:line="360" w:lineRule="auto"/>
        <w:rPr>
          <w:rFonts w:hint="eastAsia" w:ascii="宋体" w:hAnsi="宋体" w:eastAsia="宋体" w:cs="宋体"/>
          <w:sz w:val="28"/>
          <w:szCs w:val="28"/>
          <w:highlight w:val="none"/>
        </w:rPr>
      </w:pPr>
    </w:p>
    <w:p>
      <w:pPr>
        <w:snapToGrid w:val="0"/>
        <w:spacing w:before="120" w:beforeLines="50" w:after="50" w:line="360" w:lineRule="auto"/>
        <w:rPr>
          <w:rFonts w:hint="eastAsia" w:ascii="宋体" w:hAnsi="宋体" w:eastAsia="宋体" w:cs="宋体"/>
          <w:sz w:val="28"/>
          <w:szCs w:val="28"/>
          <w:highlight w:val="none"/>
        </w:rPr>
      </w:pPr>
    </w:p>
    <w:p>
      <w:pPr>
        <w:snapToGrid w:val="0"/>
        <w:spacing w:before="120" w:beforeLines="50" w:after="50" w:line="360" w:lineRule="auto"/>
        <w:rPr>
          <w:rFonts w:hint="eastAsia" w:ascii="宋体" w:hAnsi="宋体" w:eastAsia="宋体" w:cs="宋体"/>
          <w:sz w:val="28"/>
          <w:szCs w:val="28"/>
          <w:highlight w:val="none"/>
        </w:rPr>
      </w:pPr>
    </w:p>
    <w:p>
      <w:pPr>
        <w:snapToGrid w:val="0"/>
        <w:spacing w:before="120" w:beforeLines="50" w:after="50" w:line="360" w:lineRule="auto"/>
        <w:rPr>
          <w:rFonts w:hint="eastAsia" w:ascii="宋体" w:hAnsi="宋体" w:eastAsia="宋体" w:cs="宋体"/>
          <w:sz w:val="28"/>
          <w:szCs w:val="28"/>
          <w:highlight w:val="none"/>
        </w:rPr>
      </w:pPr>
    </w:p>
    <w:p>
      <w:pPr>
        <w:snapToGrid w:val="0"/>
        <w:spacing w:before="120" w:beforeLines="50" w:after="50" w:line="360" w:lineRule="auto"/>
        <w:rPr>
          <w:rFonts w:hint="eastAsia" w:ascii="宋体" w:hAnsi="宋体" w:eastAsia="宋体" w:cs="宋体"/>
          <w:sz w:val="28"/>
          <w:szCs w:val="28"/>
          <w:highlight w:val="none"/>
        </w:rPr>
      </w:pPr>
    </w:p>
    <w:p>
      <w:pPr>
        <w:snapToGrid w:val="0"/>
        <w:spacing w:before="120" w:beforeLines="50" w:after="50"/>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b/>
          <w:sz w:val="28"/>
          <w:szCs w:val="28"/>
          <w:highlight w:val="none"/>
        </w:rPr>
        <w:t xml:space="preserve">：                                    </w:t>
      </w:r>
    </w:p>
    <w:p>
      <w:pPr>
        <w:snapToGrid w:val="0"/>
        <w:spacing w:before="120" w:beforeLines="50" w:after="50"/>
        <w:jc w:val="right"/>
        <w:rPr>
          <w:rFonts w:hint="eastAsia" w:ascii="宋体" w:hAnsi="宋体" w:eastAsia="宋体" w:cs="宋体"/>
          <w:b/>
          <w:sz w:val="28"/>
          <w:szCs w:val="28"/>
          <w:highlight w:val="none"/>
        </w:rPr>
      </w:pPr>
      <w:r>
        <w:rPr>
          <w:rFonts w:hint="eastAsia" w:ascii="宋体" w:hAnsi="宋体" w:eastAsia="宋体" w:cs="宋体"/>
          <w:sz w:val="28"/>
          <w:szCs w:val="28"/>
          <w:highlight w:val="none"/>
        </w:rPr>
        <w:t>正本或副本</w:t>
      </w:r>
    </w:p>
    <w:p>
      <w:pPr>
        <w:ind w:right="-110"/>
        <w:jc w:val="center"/>
        <w:rPr>
          <w:rFonts w:hint="eastAsia" w:ascii="宋体" w:hAnsi="宋体" w:eastAsia="宋体" w:cs="宋体"/>
          <w:spacing w:val="40"/>
          <w:sz w:val="28"/>
          <w:szCs w:val="28"/>
          <w:highlight w:val="none"/>
        </w:rPr>
      </w:pPr>
    </w:p>
    <w:p>
      <w:pPr>
        <w:ind w:right="-110"/>
        <w:jc w:val="center"/>
        <w:rPr>
          <w:rFonts w:hint="eastAsia" w:ascii="宋体" w:hAnsi="宋体" w:eastAsia="宋体" w:cs="宋体"/>
          <w:spacing w:val="40"/>
          <w:sz w:val="36"/>
          <w:szCs w:val="36"/>
          <w:highlight w:val="none"/>
        </w:rPr>
      </w:pPr>
      <w:r>
        <w:rPr>
          <w:rFonts w:hint="eastAsia" w:ascii="宋体" w:hAnsi="宋体" w:eastAsia="宋体" w:cs="宋体"/>
          <w:spacing w:val="40"/>
          <w:sz w:val="36"/>
          <w:szCs w:val="36"/>
          <w:highlight w:val="none"/>
        </w:rPr>
        <w:t>***项目名称</w:t>
      </w:r>
    </w:p>
    <w:p>
      <w:pPr>
        <w:spacing w:before="240" w:beforeLines="100"/>
        <w:ind w:right="-108"/>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项目编号：DDZX2019-GK-070</w:t>
      </w:r>
    </w:p>
    <w:p>
      <w:pPr>
        <w:spacing w:after="100" w:afterAutospacing="1" w:line="360" w:lineRule="auto"/>
        <w:ind w:right="-108"/>
        <w:jc w:val="center"/>
        <w:rPr>
          <w:rFonts w:hint="eastAsia" w:ascii="宋体" w:hAnsi="宋体" w:eastAsia="宋体" w:cs="宋体"/>
          <w:b/>
          <w:spacing w:val="40"/>
          <w:sz w:val="44"/>
          <w:szCs w:val="44"/>
          <w:highlight w:val="none"/>
        </w:rPr>
      </w:pP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报</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价</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文</w:t>
      </w:r>
    </w:p>
    <w:p>
      <w:pPr>
        <w:spacing w:after="100" w:afterAutospacing="1" w:line="360" w:lineRule="auto"/>
        <w:ind w:right="-108"/>
        <w:jc w:val="center"/>
        <w:rPr>
          <w:rFonts w:hint="eastAsia" w:ascii="宋体" w:hAnsi="宋体" w:eastAsia="宋体" w:cs="宋体"/>
          <w:b/>
          <w:spacing w:val="40"/>
          <w:sz w:val="52"/>
          <w:szCs w:val="52"/>
          <w:highlight w:val="none"/>
        </w:rPr>
      </w:pPr>
      <w:r>
        <w:rPr>
          <w:rFonts w:hint="eastAsia" w:ascii="宋体" w:hAnsi="宋体" w:eastAsia="宋体" w:cs="宋体"/>
          <w:b/>
          <w:spacing w:val="40"/>
          <w:sz w:val="52"/>
          <w:szCs w:val="52"/>
          <w:highlight w:val="none"/>
        </w:rPr>
        <w:t>件</w:t>
      </w:r>
    </w:p>
    <w:p>
      <w:pPr>
        <w:pStyle w:val="2"/>
        <w:rPr>
          <w:rFonts w:hint="eastAsia" w:eastAsia="宋体" w:cs="宋体"/>
          <w:b/>
          <w:spacing w:val="40"/>
          <w:sz w:val="44"/>
          <w:szCs w:val="44"/>
          <w:highlight w:val="none"/>
        </w:rPr>
      </w:pPr>
    </w:p>
    <w:p>
      <w:pPr>
        <w:pStyle w:val="2"/>
        <w:rPr>
          <w:rFonts w:hint="eastAsia" w:eastAsia="宋体" w:cs="宋体"/>
          <w:b/>
          <w:spacing w:val="40"/>
          <w:sz w:val="44"/>
          <w:szCs w:val="44"/>
          <w:highlight w:val="none"/>
        </w:rPr>
      </w:pPr>
    </w:p>
    <w:p>
      <w:pPr>
        <w:pStyle w:val="2"/>
        <w:rPr>
          <w:rFonts w:hint="eastAsia" w:eastAsia="宋体" w:cs="宋体"/>
          <w:b/>
          <w:spacing w:val="40"/>
          <w:sz w:val="44"/>
          <w:szCs w:val="44"/>
          <w:highlight w:val="none"/>
        </w:rPr>
      </w:pPr>
    </w:p>
    <w:p>
      <w:pPr>
        <w:ind w:right="532"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单位全称（公章）：</w:t>
      </w:r>
    </w:p>
    <w:p>
      <w:pPr>
        <w:ind w:right="-108"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地    址：</w:t>
      </w:r>
    </w:p>
    <w:p>
      <w:pPr>
        <w:ind w:right="-108"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时    间：</w:t>
      </w:r>
    </w:p>
    <w:p>
      <w:pPr>
        <w:spacing w:line="360" w:lineRule="auto"/>
        <w:rPr>
          <w:rFonts w:hint="eastAsia" w:ascii="宋体" w:hAnsi="宋体" w:eastAsia="宋体" w:cs="宋体"/>
          <w:sz w:val="32"/>
          <w:szCs w:val="32"/>
          <w:highlight w:val="none"/>
        </w:rPr>
      </w:pPr>
    </w:p>
    <w:p>
      <w:pPr>
        <w:pStyle w:val="22"/>
        <w:snapToGrid w:val="0"/>
        <w:spacing w:line="360" w:lineRule="auto"/>
        <w:ind w:left="0" w:leftChars="0"/>
        <w:rPr>
          <w:rFonts w:hint="eastAsia" w:ascii="宋体" w:hAnsi="宋体" w:eastAsia="宋体" w:cs="宋体"/>
          <w:sz w:val="24"/>
          <w:szCs w:val="24"/>
          <w:highlight w:val="none"/>
        </w:rPr>
      </w:pPr>
    </w:p>
    <w:p>
      <w:pPr>
        <w:pStyle w:val="22"/>
        <w:snapToGrid w:val="0"/>
        <w:spacing w:line="360" w:lineRule="auto"/>
        <w:ind w:left="0" w:leftChars="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eastAsia="宋体" w:cs="宋体"/>
          <w:szCs w:val="24"/>
          <w:highlight w:val="none"/>
        </w:rPr>
      </w:pPr>
    </w:p>
    <w:p>
      <w:pPr>
        <w:pStyle w:val="22"/>
        <w:snapToGrid w:val="0"/>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sz w:val="24"/>
          <w:szCs w:val="24"/>
          <w:highlight w:val="none"/>
        </w:rPr>
        <w:t>报价文件目录</w:t>
      </w:r>
    </w:p>
    <w:p>
      <w:pPr>
        <w:pStyle w:val="22"/>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（1）开标一览表（见附件）；</w:t>
      </w:r>
    </w:p>
    <w:p>
      <w:pPr>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（2）投标报价明细表（见附件）；</w:t>
      </w:r>
    </w:p>
    <w:p>
      <w:pPr>
        <w:pStyle w:val="22"/>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（3）投标人针对报价需要说明的其他文件和说明（格式自拟）。</w:t>
      </w:r>
    </w:p>
    <w:p>
      <w:pPr>
        <w:pStyle w:val="22"/>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（4）中小企业的相关证明材料（如有，格式见附件）</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w:t>
      </w:r>
    </w:p>
    <w:p>
      <w:pPr>
        <w:pStyle w:val="22"/>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（5）投标人的省级以上监狱管理局、戒毒管理局(含新疆生产建设兵团)出具的属于监狱企业的证明文件（如有）；</w:t>
      </w:r>
    </w:p>
    <w:p>
      <w:pPr>
        <w:pStyle w:val="22"/>
        <w:snapToGrid w:val="0"/>
        <w:spacing w:line="360" w:lineRule="auto"/>
        <w:ind w:left="218" w:leftChars="104" w:firstLine="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（6）《残疾人福利性单位声明函》（如有，格式见附件）；</w:t>
      </w:r>
    </w:p>
    <w:p>
      <w:pPr>
        <w:pStyle w:val="22"/>
        <w:snapToGrid w:val="0"/>
        <w:spacing w:line="360" w:lineRule="auto"/>
        <w:ind w:left="-21" w:leftChars="-46" w:hanging="76" w:hangingChars="32"/>
        <w:jc w:val="left"/>
        <w:rPr>
          <w:rFonts w:hint="eastAsia" w:ascii="宋体" w:hAnsi="宋体" w:eastAsia="宋体" w:cs="宋体"/>
          <w:sz w:val="24"/>
          <w:szCs w:val="24"/>
          <w:highlight w:val="none"/>
        </w:rPr>
      </w:pPr>
    </w:p>
    <w:p>
      <w:pPr>
        <w:pStyle w:val="29"/>
        <w:widowControl w:val="0"/>
        <w:spacing w:before="0" w:afterLines="0" w:line="360" w:lineRule="auto"/>
        <w:ind w:left="-20" w:leftChars="-46" w:hanging="77" w:hangingChars="32"/>
        <w:rPr>
          <w:rFonts w:hint="eastAsia" w:eastAsia="宋体" w:cs="宋体"/>
          <w:b/>
          <w:bCs/>
          <w:color w:val="auto"/>
          <w:highlight w:val="none"/>
        </w:rPr>
      </w:pPr>
    </w:p>
    <w:p>
      <w:pPr>
        <w:pStyle w:val="29"/>
        <w:widowControl w:val="0"/>
        <w:spacing w:before="0" w:afterLines="0" w:line="360" w:lineRule="auto"/>
        <w:ind w:left="-20" w:leftChars="-46" w:hanging="77" w:hangingChars="32"/>
        <w:rPr>
          <w:rFonts w:hint="eastAsia" w:eastAsia="宋体" w:cs="宋体"/>
          <w:color w:val="auto"/>
          <w:highlight w:val="none"/>
        </w:rPr>
      </w:pPr>
      <w:r>
        <w:rPr>
          <w:rFonts w:hint="eastAsia" w:eastAsia="宋体" w:cs="宋体"/>
          <w:b/>
          <w:bCs/>
          <w:color w:val="auto"/>
          <w:highlight w:val="none"/>
        </w:rPr>
        <w:t>注：法定代表人授权委托书、投标声明书、开标一览表必须由相应代表人签名并加盖单位公章。</w:t>
      </w:r>
    </w:p>
    <w:p>
      <w:pPr>
        <w:ind w:left="-30" w:leftChars="-46" w:hanging="67" w:hangingChars="32"/>
        <w:jc w:val="left"/>
        <w:rPr>
          <w:rFonts w:hint="eastAsia" w:ascii="宋体" w:hAnsi="宋体" w:eastAsia="宋体" w:cs="宋体"/>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pPr>
    </w:p>
    <w:p>
      <w:pPr>
        <w:pStyle w:val="21"/>
        <w:snapToGrid w:val="0"/>
        <w:spacing w:beforeLines="0" w:afterLines="0" w:line="360" w:lineRule="auto"/>
        <w:rPr>
          <w:rFonts w:hint="eastAsia" w:hAnsi="宋体" w:eastAsia="宋体" w:cs="宋体"/>
          <w:sz w:val="28"/>
          <w:szCs w:val="28"/>
          <w:highlight w:val="none"/>
        </w:rPr>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cols w:space="720" w:num="1"/>
          <w:docGrid w:linePitch="312" w:charSpace="0"/>
        </w:sectPr>
      </w:pPr>
    </w:p>
    <w:p>
      <w:pPr>
        <w:pStyle w:val="21"/>
        <w:snapToGrid w:val="0"/>
        <w:spacing w:beforeLines="0" w:afterLines="0"/>
        <w:rPr>
          <w:rFonts w:hint="eastAsia" w:hAnsi="宋体" w:eastAsia="宋体" w:cs="宋体"/>
          <w:sz w:val="28"/>
          <w:szCs w:val="28"/>
          <w:highlight w:val="none"/>
        </w:rPr>
      </w:pPr>
      <w:r>
        <w:rPr>
          <w:rFonts w:hint="eastAsia" w:hAnsi="宋体" w:eastAsia="宋体" w:cs="宋体"/>
          <w:sz w:val="28"/>
          <w:szCs w:val="28"/>
          <w:highlight w:val="none"/>
        </w:rPr>
        <w:t>附件：</w:t>
      </w:r>
    </w:p>
    <w:p>
      <w:pPr>
        <w:snapToGrid w:val="0"/>
        <w:spacing w:before="50" w:after="24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开 标 一 览 表</w:t>
      </w:r>
    </w:p>
    <w:p>
      <w:pPr>
        <w:snapToGrid w:val="0"/>
        <w:spacing w:before="50" w:after="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单位全称（公章）：</w:t>
      </w:r>
    </w:p>
    <w:p>
      <w:pPr>
        <w:snapToGrid w:val="0"/>
        <w:spacing w:before="50" w:after="50"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2546"/>
        <w:gridCol w:w="1756"/>
        <w:gridCol w:w="1829"/>
        <w:gridCol w:w="2524"/>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915" w:hRule="atLeast"/>
          <w:jc w:val="center"/>
        </w:trPr>
        <w:tc>
          <w:tcPr>
            <w:tcW w:w="1196"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46"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56"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报价（元）</w:t>
            </w:r>
          </w:p>
        </w:tc>
        <w:tc>
          <w:tcPr>
            <w:tcW w:w="1829"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2524"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2760"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762" w:hRule="atLeast"/>
          <w:jc w:val="center"/>
        </w:trPr>
        <w:tc>
          <w:tcPr>
            <w:tcW w:w="1196" w:type="dxa"/>
            <w:noWrap w:val="0"/>
            <w:vAlign w:val="center"/>
          </w:tcPr>
          <w:p>
            <w:pPr>
              <w:spacing w:line="360"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46" w:type="dxa"/>
            <w:noWrap w:val="0"/>
            <w:vAlign w:val="center"/>
          </w:tcPr>
          <w:p>
            <w:pPr>
              <w:spacing w:line="360" w:lineRule="auto"/>
              <w:ind w:right="-21" w:rightChars="-10"/>
              <w:rPr>
                <w:rFonts w:hint="eastAsia" w:ascii="宋体" w:hAnsi="宋体" w:eastAsia="宋体" w:cs="宋体"/>
                <w:sz w:val="24"/>
                <w:szCs w:val="24"/>
                <w:highlight w:val="none"/>
              </w:rPr>
            </w:pPr>
          </w:p>
        </w:tc>
        <w:tc>
          <w:tcPr>
            <w:tcW w:w="1756" w:type="dxa"/>
            <w:noWrap w:val="0"/>
            <w:vAlign w:val="center"/>
          </w:tcPr>
          <w:p>
            <w:pPr>
              <w:pStyle w:val="2"/>
              <w:rPr>
                <w:rFonts w:hint="eastAsia" w:eastAsia="宋体" w:cs="宋体"/>
                <w:highlight w:val="none"/>
              </w:rPr>
            </w:pPr>
          </w:p>
        </w:tc>
        <w:tc>
          <w:tcPr>
            <w:tcW w:w="1829" w:type="dxa"/>
            <w:noWrap w:val="0"/>
            <w:vAlign w:val="top"/>
          </w:tcPr>
          <w:p>
            <w:pPr>
              <w:spacing w:line="360" w:lineRule="auto"/>
              <w:ind w:right="-21" w:rightChars="-10"/>
              <w:jc w:val="center"/>
              <w:rPr>
                <w:rFonts w:hint="eastAsia" w:ascii="宋体" w:hAnsi="宋体" w:eastAsia="宋体" w:cs="宋体"/>
                <w:sz w:val="24"/>
                <w:szCs w:val="24"/>
                <w:highlight w:val="none"/>
              </w:rPr>
            </w:pPr>
          </w:p>
        </w:tc>
        <w:tc>
          <w:tcPr>
            <w:tcW w:w="2524" w:type="dxa"/>
            <w:noWrap w:val="0"/>
            <w:vAlign w:val="top"/>
          </w:tcPr>
          <w:p>
            <w:pPr>
              <w:spacing w:line="360" w:lineRule="auto"/>
              <w:ind w:right="-21" w:rightChars="-10"/>
              <w:jc w:val="center"/>
              <w:rPr>
                <w:rFonts w:hint="eastAsia" w:ascii="宋体" w:hAnsi="宋体" w:eastAsia="宋体" w:cs="宋体"/>
                <w:sz w:val="24"/>
                <w:szCs w:val="24"/>
                <w:highlight w:val="none"/>
              </w:rPr>
            </w:pPr>
          </w:p>
        </w:tc>
        <w:tc>
          <w:tcPr>
            <w:tcW w:w="2760" w:type="dxa"/>
            <w:noWrap w:val="0"/>
            <w:vAlign w:val="top"/>
          </w:tcPr>
          <w:p>
            <w:pPr>
              <w:spacing w:line="360" w:lineRule="auto"/>
              <w:ind w:right="-21" w:rightChars="-10"/>
              <w:jc w:val="center"/>
              <w:rPr>
                <w:rFonts w:hint="eastAsia" w:ascii="宋体" w:hAnsi="宋体" w:eastAsia="宋体" w:cs="宋体"/>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737" w:hRule="atLeast"/>
          <w:jc w:val="center"/>
        </w:trPr>
        <w:tc>
          <w:tcPr>
            <w:tcW w:w="12611" w:type="dxa"/>
            <w:gridSpan w:val="6"/>
            <w:noWrap w:val="0"/>
            <w:vAlign w:val="top"/>
          </w:tcPr>
          <w:p>
            <w:pPr>
              <w:spacing w:line="360" w:lineRule="auto"/>
              <w:ind w:right="-21" w:rightChars="-10"/>
              <w:rPr>
                <w:rFonts w:hint="eastAsia" w:ascii="宋体" w:hAnsi="宋体" w:eastAsia="宋体" w:cs="宋体"/>
                <w:sz w:val="24"/>
                <w:szCs w:val="24"/>
                <w:highlight w:val="none"/>
              </w:rPr>
            </w:pPr>
            <w:r>
              <w:rPr>
                <w:rFonts w:hint="eastAsia" w:ascii="宋体" w:hAnsi="宋体" w:eastAsia="宋体" w:cs="宋体"/>
                <w:sz w:val="24"/>
                <w:szCs w:val="24"/>
                <w:highlight w:val="none"/>
              </w:rPr>
              <w:t>报价合计（大写）：</w:t>
            </w:r>
          </w:p>
        </w:tc>
      </w:tr>
    </w:tbl>
    <w:p>
      <w:pPr>
        <w:snapToGrid w:val="0"/>
        <w:spacing w:before="50" w:after="50" w:line="360" w:lineRule="auto"/>
        <w:ind w:left="1121" w:leftChars="134" w:hanging="840" w:hangingChars="350"/>
        <w:jc w:val="left"/>
        <w:rPr>
          <w:rFonts w:hint="eastAsia" w:ascii="宋体" w:hAnsi="宋体" w:eastAsia="宋体" w:cs="宋体"/>
          <w:sz w:val="24"/>
          <w:szCs w:val="24"/>
          <w:highlight w:val="none"/>
        </w:rPr>
      </w:pPr>
    </w:p>
    <w:p>
      <w:pPr>
        <w:snapToGrid w:val="0"/>
        <w:spacing w:before="50" w:after="50" w:line="360" w:lineRule="auto"/>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 1、此表报价单不得涂改，请按规定要求填报，否则其投标作无效标处理。</w:t>
      </w:r>
    </w:p>
    <w:p>
      <w:pPr>
        <w:snapToGrid w:val="0"/>
        <w:spacing w:before="50" w:after="50" w:line="360" w:lineRule="auto"/>
        <w:ind w:left="1200" w:leftChars="400" w:hanging="360" w:hangingChars="15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2、以上报价应包含“投标报价明细表”中的“合计”数。</w:t>
      </w:r>
    </w:p>
    <w:p>
      <w:pPr>
        <w:snapToGrid w:val="0"/>
        <w:spacing w:before="50" w:after="50" w:line="360" w:lineRule="auto"/>
        <w:ind w:left="1200" w:leftChars="400" w:hanging="360" w:hanging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3、项目费用包括项目实施所需的人工费、设备费、安装、运输、调试、验收、税费及其他一切费用。</w:t>
      </w:r>
    </w:p>
    <w:p>
      <w:pPr>
        <w:snapToGrid w:val="0"/>
        <w:spacing w:before="240" w:after="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全权代表（签字）：                              日期：</w:t>
      </w:r>
    </w:p>
    <w:p>
      <w:pPr>
        <w:snapToGrid w:val="0"/>
        <w:spacing w:before="50" w:after="50" w:line="360" w:lineRule="auto"/>
        <w:ind w:left="-3" w:leftChars="-72" w:right="-817" w:rightChars="-389" w:hanging="148" w:hangingChars="62"/>
        <w:rPr>
          <w:rFonts w:hint="eastAsia" w:ascii="宋体" w:hAnsi="宋体" w:eastAsia="宋体" w:cs="宋体"/>
          <w:sz w:val="24"/>
          <w:szCs w:val="24"/>
          <w:highlight w:val="none"/>
        </w:rPr>
        <w:sectPr>
          <w:pgSz w:w="16838" w:h="11906" w:orient="landscape"/>
          <w:pgMar w:top="1558" w:right="1474" w:bottom="1797" w:left="1247" w:header="851" w:footer="851" w:gutter="0"/>
          <w:cols w:space="720" w:num="1"/>
          <w:titlePg/>
          <w:docGrid w:linePitch="312" w:charSpace="0"/>
        </w:sectPr>
      </w:pPr>
    </w:p>
    <w:p>
      <w:pPr>
        <w:tabs>
          <w:tab w:val="left" w:pos="606"/>
        </w:tabs>
        <w:spacing w:line="500" w:lineRule="exact"/>
        <w:rPr>
          <w:rFonts w:hint="eastAsia" w:ascii="宋体" w:hAnsi="宋体" w:eastAsia="宋体" w:cs="宋体"/>
          <w:spacing w:val="20"/>
          <w:sz w:val="28"/>
          <w:szCs w:val="28"/>
          <w:highlight w:val="none"/>
        </w:rPr>
      </w:pPr>
      <w:r>
        <w:rPr>
          <w:rFonts w:hint="eastAsia" w:ascii="宋体" w:hAnsi="宋体" w:eastAsia="宋体" w:cs="宋体"/>
          <w:sz w:val="28"/>
          <w:szCs w:val="28"/>
          <w:highlight w:val="none"/>
        </w:rPr>
        <w:t>附件：</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投标报价明细表</w:t>
      </w:r>
    </w:p>
    <w:p>
      <w:pPr>
        <w:spacing w:line="360" w:lineRule="auto"/>
        <w:jc w:val="center"/>
        <w:rPr>
          <w:rFonts w:hint="eastAsia" w:ascii="宋体" w:hAnsi="宋体" w:eastAsia="宋体" w:cs="宋体"/>
          <w:b/>
          <w:sz w:val="24"/>
          <w:szCs w:val="24"/>
          <w:highlight w:val="none"/>
        </w:rPr>
      </w:pP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3"/>
        <w:gridCol w:w="2715"/>
        <w:gridCol w:w="903"/>
        <w:gridCol w:w="854"/>
        <w:gridCol w:w="15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013" w:hRule="atLeast"/>
        </w:trPr>
        <w:tc>
          <w:tcPr>
            <w:tcW w:w="81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73"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271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903"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543"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27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75"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817" w:type="dxa"/>
            <w:noWrap w:val="0"/>
            <w:vAlign w:val="top"/>
          </w:tcPr>
          <w:p>
            <w:pPr>
              <w:spacing w:line="360" w:lineRule="auto"/>
              <w:rPr>
                <w:rFonts w:hint="eastAsia" w:ascii="宋体" w:hAnsi="宋体" w:eastAsia="宋体" w:cs="宋体"/>
                <w:sz w:val="24"/>
                <w:szCs w:val="24"/>
                <w:highlight w:val="none"/>
              </w:rPr>
            </w:pPr>
          </w:p>
        </w:tc>
        <w:tc>
          <w:tcPr>
            <w:tcW w:w="1073" w:type="dxa"/>
            <w:noWrap w:val="0"/>
            <w:vAlign w:val="top"/>
          </w:tcPr>
          <w:p>
            <w:pPr>
              <w:spacing w:line="360" w:lineRule="auto"/>
              <w:rPr>
                <w:rFonts w:hint="eastAsia" w:ascii="宋体" w:hAnsi="宋体" w:eastAsia="宋体" w:cs="宋体"/>
                <w:sz w:val="24"/>
                <w:szCs w:val="24"/>
                <w:highlight w:val="none"/>
              </w:rPr>
            </w:pPr>
          </w:p>
        </w:tc>
        <w:tc>
          <w:tcPr>
            <w:tcW w:w="2715" w:type="dxa"/>
            <w:noWrap w:val="0"/>
            <w:vAlign w:val="top"/>
          </w:tcPr>
          <w:p>
            <w:pPr>
              <w:spacing w:line="360" w:lineRule="auto"/>
              <w:rPr>
                <w:rFonts w:hint="eastAsia" w:ascii="宋体" w:hAnsi="宋体" w:eastAsia="宋体" w:cs="宋体"/>
                <w:sz w:val="24"/>
                <w:szCs w:val="24"/>
                <w:highlight w:val="none"/>
              </w:rPr>
            </w:pPr>
          </w:p>
        </w:tc>
        <w:tc>
          <w:tcPr>
            <w:tcW w:w="903" w:type="dxa"/>
            <w:noWrap w:val="0"/>
            <w:vAlign w:val="top"/>
          </w:tcPr>
          <w:p>
            <w:pPr>
              <w:spacing w:line="360" w:lineRule="auto"/>
              <w:rPr>
                <w:rFonts w:hint="eastAsia" w:ascii="宋体" w:hAnsi="宋体" w:eastAsia="宋体" w:cs="宋体"/>
                <w:sz w:val="24"/>
                <w:szCs w:val="24"/>
                <w:highlight w:val="none"/>
              </w:rPr>
            </w:pPr>
          </w:p>
        </w:tc>
        <w:tc>
          <w:tcPr>
            <w:tcW w:w="854" w:type="dxa"/>
            <w:noWrap w:val="0"/>
            <w:vAlign w:val="top"/>
          </w:tcPr>
          <w:p>
            <w:pPr>
              <w:spacing w:line="360" w:lineRule="auto"/>
              <w:rPr>
                <w:rFonts w:hint="eastAsia" w:ascii="宋体" w:hAnsi="宋体" w:eastAsia="宋体" w:cs="宋体"/>
                <w:sz w:val="24"/>
                <w:szCs w:val="24"/>
                <w:highlight w:val="none"/>
              </w:rPr>
            </w:pPr>
          </w:p>
        </w:tc>
        <w:tc>
          <w:tcPr>
            <w:tcW w:w="1543" w:type="dxa"/>
            <w:noWrap w:val="0"/>
            <w:vAlign w:val="top"/>
          </w:tcPr>
          <w:p>
            <w:pPr>
              <w:spacing w:line="360" w:lineRule="auto"/>
              <w:rPr>
                <w:rFonts w:hint="eastAsia" w:ascii="宋体" w:hAnsi="宋体" w:eastAsia="宋体" w:cs="宋体"/>
                <w:sz w:val="24"/>
                <w:szCs w:val="24"/>
                <w:highlight w:val="none"/>
              </w:rPr>
            </w:pPr>
          </w:p>
        </w:tc>
        <w:tc>
          <w:tcPr>
            <w:tcW w:w="1275"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cantSplit/>
          <w:trHeight w:val="496" w:hRule="atLeast"/>
        </w:trPr>
        <w:tc>
          <w:tcPr>
            <w:tcW w:w="5508" w:type="dxa"/>
            <w:gridSpan w:val="4"/>
            <w:noWrap w:val="0"/>
            <w:vAlign w:val="top"/>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投标报价费用合计</w:t>
            </w:r>
          </w:p>
        </w:tc>
        <w:tc>
          <w:tcPr>
            <w:tcW w:w="3672" w:type="dxa"/>
            <w:gridSpan w:val="3"/>
            <w:noWrap w:val="0"/>
            <w:vAlign w:val="top"/>
          </w:tcPr>
          <w:p>
            <w:pPr>
              <w:spacing w:line="360" w:lineRule="auto"/>
              <w:rPr>
                <w:rFonts w:hint="eastAsia" w:ascii="宋体" w:hAnsi="宋体" w:eastAsia="宋体" w:cs="宋体"/>
                <w:sz w:val="24"/>
                <w:szCs w:val="24"/>
                <w:highlight w:val="none"/>
              </w:rPr>
            </w:pPr>
          </w:p>
        </w:tc>
      </w:tr>
    </w:tbl>
    <w:p>
      <w:pPr>
        <w:tabs>
          <w:tab w:val="left" w:pos="1418"/>
        </w:tabs>
        <w:snapToGrid w:val="0"/>
        <w:spacing w:before="50" w:after="50" w:line="360" w:lineRule="auto"/>
        <w:ind w:left="1418" w:hanging="567"/>
        <w:jc w:val="center"/>
        <w:rPr>
          <w:rFonts w:hint="eastAsia" w:ascii="宋体" w:hAnsi="宋体" w:eastAsia="宋体" w:cs="宋体"/>
          <w:spacing w:val="20"/>
          <w:sz w:val="24"/>
          <w:szCs w:val="24"/>
          <w:highlight w:val="none"/>
          <w:u w:val="single"/>
        </w:rPr>
      </w:pPr>
    </w:p>
    <w:p>
      <w:pPr>
        <w:snapToGrid w:val="0"/>
        <w:spacing w:before="50" w:after="50" w:line="360" w:lineRule="auto"/>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全权代表签名：     日  期：</w:t>
      </w:r>
    </w:p>
    <w:p>
      <w:pPr>
        <w:snapToGrid w:val="0"/>
        <w:spacing w:before="50" w:after="50" w:line="360" w:lineRule="auto"/>
        <w:rPr>
          <w:rFonts w:hint="eastAsia" w:ascii="宋体" w:hAnsi="宋体" w:eastAsia="宋体" w:cs="宋体"/>
          <w:spacing w:val="20"/>
          <w:sz w:val="30"/>
          <w:szCs w:val="30"/>
          <w:highlight w:val="none"/>
          <w:u w:val="single"/>
        </w:rPr>
      </w:pPr>
    </w:p>
    <w:p>
      <w:pPr>
        <w:rPr>
          <w:rFonts w:hint="eastAsia" w:ascii="宋体" w:hAnsi="宋体" w:eastAsia="宋体" w:cs="宋体"/>
          <w:highlight w:val="none"/>
        </w:rPr>
      </w:pPr>
    </w:p>
    <w:p>
      <w:pPr>
        <w:pStyle w:val="2"/>
        <w:rPr>
          <w:rFonts w:hint="eastAsia" w:eastAsia="宋体" w:cs="宋体"/>
          <w:szCs w:val="24"/>
          <w:highlight w:val="none"/>
          <w:lang w:val="en-US"/>
        </w:rPr>
      </w:pPr>
      <w:r>
        <w:rPr>
          <w:rFonts w:hint="eastAsia" w:eastAsia="宋体" w:cs="宋体"/>
          <w:highlight w:val="none"/>
        </w:rPr>
        <w:br w:type="page"/>
      </w:r>
      <w:r>
        <w:rPr>
          <w:rFonts w:hint="eastAsia" w:eastAsia="宋体" w:cs="宋体"/>
          <w:szCs w:val="24"/>
          <w:highlight w:val="none"/>
          <w:lang w:val="en-US"/>
        </w:rPr>
        <w:t>附件1-1：</w:t>
      </w:r>
    </w:p>
    <w:p>
      <w:pPr>
        <w:pStyle w:val="2"/>
        <w:jc w:val="center"/>
        <w:rPr>
          <w:rFonts w:hint="eastAsia" w:eastAsia="宋体" w:cs="宋体"/>
          <w:b/>
          <w:bCs/>
          <w:szCs w:val="24"/>
          <w:highlight w:val="none"/>
        </w:rPr>
      </w:pPr>
      <w:r>
        <w:rPr>
          <w:rFonts w:hint="eastAsia" w:eastAsia="宋体" w:cs="宋体"/>
          <w:b/>
          <w:bCs/>
          <w:szCs w:val="24"/>
          <w:highlight w:val="none"/>
        </w:rPr>
        <w:t>中小企业声明函（</w:t>
      </w:r>
      <w:r>
        <w:rPr>
          <w:rFonts w:hint="eastAsia" w:eastAsia="宋体" w:cs="宋体"/>
          <w:b/>
          <w:bCs/>
          <w:szCs w:val="24"/>
          <w:highlight w:val="none"/>
          <w:lang w:val="en-US"/>
        </w:rPr>
        <w:t>如有，选填</w:t>
      </w:r>
      <w:r>
        <w:rPr>
          <w:rFonts w:hint="eastAsia" w:eastAsia="宋体" w:cs="宋体"/>
          <w:b/>
          <w:bCs/>
          <w:szCs w:val="24"/>
          <w:highlight w:val="none"/>
        </w:rPr>
        <w:t>）</w:t>
      </w:r>
    </w:p>
    <w:p>
      <w:pPr>
        <w:pStyle w:val="2"/>
        <w:rPr>
          <w:rFonts w:hint="eastAsia" w:eastAsia="宋体" w:cs="宋体"/>
          <w:szCs w:val="24"/>
          <w:highlight w:val="none"/>
          <w:lang w:val="en-US"/>
        </w:rPr>
      </w:pPr>
    </w:p>
    <w:p>
      <w:pPr>
        <w:pStyle w:val="2"/>
        <w:spacing w:line="360" w:lineRule="auto"/>
        <w:ind w:firstLine="480" w:firstLineChars="200"/>
        <w:rPr>
          <w:rFonts w:hint="eastAsia" w:eastAsia="宋体" w:cs="宋体"/>
          <w:szCs w:val="24"/>
          <w:highlight w:val="none"/>
          <w:lang w:val="en-US"/>
        </w:rPr>
      </w:pPr>
      <w:r>
        <w:rPr>
          <w:rFonts w:hint="eastAsia" w:eastAsia="宋体" w:cs="宋体"/>
          <w:szCs w:val="24"/>
          <w:highlight w:val="none"/>
          <w:lang w:val="en-US"/>
        </w:rPr>
        <w:t>本公司郑重声明，根据《政府采购促进中小企业发展暂行办法》（财库[2011]181号）的规定，本公司为</w:t>
      </w:r>
      <w:r>
        <w:rPr>
          <w:rFonts w:hint="eastAsia" w:eastAsia="宋体" w:cs="宋体"/>
          <w:szCs w:val="24"/>
          <w:highlight w:val="none"/>
          <w:u w:val="single"/>
          <w:lang w:val="en-US"/>
        </w:rPr>
        <w:t xml:space="preserve">      </w:t>
      </w:r>
      <w:r>
        <w:rPr>
          <w:rFonts w:hint="eastAsia" w:eastAsia="宋体" w:cs="宋体"/>
          <w:szCs w:val="24"/>
          <w:highlight w:val="none"/>
          <w:lang w:val="en-US"/>
        </w:rPr>
        <w:t>（请填写：中型、小型、微型）企业。即，本公司同时满足以下条件：</w:t>
      </w:r>
    </w:p>
    <w:p>
      <w:pPr>
        <w:pStyle w:val="2"/>
        <w:spacing w:line="360" w:lineRule="auto"/>
        <w:ind w:firstLine="480" w:firstLineChars="200"/>
        <w:rPr>
          <w:rFonts w:hint="eastAsia" w:eastAsia="宋体" w:cs="宋体"/>
          <w:szCs w:val="24"/>
          <w:highlight w:val="none"/>
          <w:lang w:val="en-US"/>
        </w:rPr>
      </w:pPr>
      <w:r>
        <w:rPr>
          <w:rFonts w:hint="eastAsia" w:eastAsia="宋体" w:cs="宋体"/>
          <w:szCs w:val="24"/>
          <w:highlight w:val="none"/>
          <w:lang w:val="en-US"/>
        </w:rPr>
        <w:t xml:space="preserve">根据《工业和信息化部、国家统计局、国家发展和改革委员会、财政部关于印发中小企业划型标准规定的通知》（工信部联企业[2011]300号）规定的划分标准，本公司为  </w:t>
      </w:r>
      <w:r>
        <w:rPr>
          <w:rFonts w:hint="eastAsia" w:eastAsia="宋体" w:cs="宋体"/>
          <w:szCs w:val="24"/>
          <w:highlight w:val="none"/>
          <w:u w:val="single"/>
          <w:lang w:val="en-US"/>
        </w:rPr>
        <w:t xml:space="preserve">    </w:t>
      </w:r>
      <w:r>
        <w:rPr>
          <w:rFonts w:hint="eastAsia" w:eastAsia="宋体" w:cs="宋体"/>
          <w:szCs w:val="24"/>
          <w:highlight w:val="none"/>
          <w:lang w:val="en-US"/>
        </w:rPr>
        <w:t>（请填写：中型、小型、微型）企业。</w:t>
      </w:r>
    </w:p>
    <w:p>
      <w:pPr>
        <w:pStyle w:val="2"/>
        <w:spacing w:line="360" w:lineRule="auto"/>
        <w:ind w:firstLine="480" w:firstLineChars="200"/>
        <w:rPr>
          <w:rFonts w:hint="eastAsia" w:eastAsia="宋体" w:cs="宋体"/>
          <w:szCs w:val="24"/>
          <w:highlight w:val="none"/>
          <w:lang w:val="en-US"/>
        </w:rPr>
      </w:pPr>
      <w:r>
        <w:rPr>
          <w:rFonts w:hint="eastAsia" w:eastAsia="宋体" w:cs="宋体"/>
          <w:szCs w:val="24"/>
          <w:highlight w:val="none"/>
          <w:lang w:val="en-US"/>
        </w:rPr>
        <w:t xml:space="preserve">本公司参加 </w:t>
      </w:r>
      <w:r>
        <w:rPr>
          <w:rFonts w:hint="eastAsia" w:eastAsia="宋体" w:cs="宋体"/>
          <w:szCs w:val="24"/>
          <w:highlight w:val="none"/>
          <w:u w:val="single"/>
          <w:lang w:val="en-US"/>
        </w:rPr>
        <w:t xml:space="preserve">        </w:t>
      </w:r>
      <w:r>
        <w:rPr>
          <w:rFonts w:hint="eastAsia" w:eastAsia="宋体" w:cs="宋体"/>
          <w:szCs w:val="24"/>
          <w:highlight w:val="none"/>
          <w:lang w:val="en-US"/>
        </w:rPr>
        <w:t xml:space="preserve">单位的 </w:t>
      </w:r>
      <w:r>
        <w:rPr>
          <w:rFonts w:hint="eastAsia" w:eastAsia="宋体" w:cs="宋体"/>
          <w:szCs w:val="24"/>
          <w:highlight w:val="none"/>
          <w:u w:val="single"/>
          <w:lang w:val="en-US"/>
        </w:rPr>
        <w:t xml:space="preserve">      </w:t>
      </w:r>
      <w:r>
        <w:rPr>
          <w:rFonts w:hint="eastAsia" w:eastAsia="宋体" w:cs="宋体"/>
          <w:szCs w:val="24"/>
          <w:highlight w:val="none"/>
          <w:lang w:val="en-US"/>
        </w:rPr>
        <w:t>项目采购活动提供本企业制造的货物，由本企业承担工程、提供服务，或者提供其他</w:t>
      </w:r>
      <w:r>
        <w:rPr>
          <w:rFonts w:hint="eastAsia" w:eastAsia="宋体" w:cs="宋体"/>
          <w:szCs w:val="24"/>
          <w:highlight w:val="none"/>
          <w:u w:val="single"/>
          <w:lang w:val="en-US"/>
        </w:rPr>
        <w:t xml:space="preserve">         </w:t>
      </w:r>
      <w:r>
        <w:rPr>
          <w:rFonts w:hint="eastAsia" w:eastAsia="宋体" w:cs="宋体"/>
          <w:szCs w:val="24"/>
          <w:highlight w:val="none"/>
          <w:lang w:val="en-US"/>
        </w:rPr>
        <w:t>（请填写：中型、小型、微型）企业制造的货物。本条所称货物不包括使用大型企业注册商标的货物。</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本公司对上述声明的真实性负责。如有虚假，将依法承担相应责任。</w:t>
      </w:r>
    </w:p>
    <w:p>
      <w:pPr>
        <w:pStyle w:val="2"/>
        <w:spacing w:line="360" w:lineRule="auto"/>
        <w:rPr>
          <w:rFonts w:hint="eastAsia" w:eastAsia="宋体" w:cs="宋体"/>
          <w:szCs w:val="24"/>
          <w:highlight w:val="none"/>
          <w:lang w:val="en-US"/>
        </w:rPr>
      </w:pP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企业名称（盖章）：                                 </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日期：     年     月     日              </w:t>
      </w:r>
    </w:p>
    <w:p>
      <w:pPr>
        <w:pStyle w:val="2"/>
        <w:spacing w:line="360" w:lineRule="auto"/>
        <w:rPr>
          <w:rFonts w:hint="eastAsia" w:eastAsia="宋体" w:cs="宋体"/>
          <w:szCs w:val="24"/>
          <w:highlight w:val="none"/>
          <w:lang w:val="en-US"/>
        </w:rPr>
      </w:pPr>
    </w:p>
    <w:p>
      <w:pPr>
        <w:pStyle w:val="2"/>
        <w:spacing w:line="360" w:lineRule="auto"/>
        <w:rPr>
          <w:rFonts w:eastAsia="宋体" w:cs="宋体"/>
          <w:szCs w:val="24"/>
          <w:highlight w:val="none"/>
          <w:lang w:val="en-US"/>
        </w:rPr>
      </w:pPr>
      <w:r>
        <w:rPr>
          <w:rFonts w:hint="eastAsia" w:eastAsia="宋体" w:cs="宋体"/>
          <w:szCs w:val="24"/>
          <w:highlight w:val="none"/>
          <w:lang w:val="en-US"/>
        </w:rPr>
        <w:t>附件1-2：</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   根据《工业和信息化部、国家统计局、国家发展和改革委员会、财政部关于印发中小企业划型标准的通知》（工信部联企业（2011）300号）规定的划分标准，兹确认</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 </w:t>
      </w:r>
      <w:r>
        <w:rPr>
          <w:rFonts w:hint="eastAsia" w:eastAsia="宋体" w:cs="宋体"/>
          <w:szCs w:val="24"/>
          <w:highlight w:val="none"/>
          <w:u w:val="single"/>
          <w:lang w:val="en-US"/>
        </w:rPr>
        <w:t xml:space="preserve">       </w:t>
      </w:r>
      <w:r>
        <w:rPr>
          <w:rFonts w:hint="eastAsia" w:eastAsia="宋体" w:cs="宋体"/>
          <w:szCs w:val="24"/>
          <w:highlight w:val="none"/>
          <w:lang w:val="en-US"/>
        </w:rPr>
        <w:t>公司为</w:t>
      </w:r>
      <w:r>
        <w:rPr>
          <w:rFonts w:hint="eastAsia" w:eastAsia="宋体" w:cs="宋体"/>
          <w:szCs w:val="24"/>
          <w:highlight w:val="none"/>
          <w:u w:val="single"/>
          <w:lang w:val="en-US"/>
        </w:rPr>
        <w:t xml:space="preserve">       </w:t>
      </w:r>
      <w:r>
        <w:rPr>
          <w:rFonts w:hint="eastAsia" w:eastAsia="宋体" w:cs="宋体"/>
          <w:szCs w:val="24"/>
          <w:highlight w:val="none"/>
          <w:lang w:val="en-US"/>
        </w:rPr>
        <w:t xml:space="preserve"> 行业的</w:t>
      </w:r>
      <w:r>
        <w:rPr>
          <w:rFonts w:hint="eastAsia" w:eastAsia="宋体" w:cs="宋体"/>
          <w:szCs w:val="24"/>
          <w:highlight w:val="none"/>
          <w:u w:val="single"/>
          <w:lang w:val="en-US"/>
        </w:rPr>
        <w:t xml:space="preserve">       </w:t>
      </w:r>
      <w:r>
        <w:rPr>
          <w:rFonts w:hint="eastAsia" w:eastAsia="宋体" w:cs="宋体"/>
          <w:szCs w:val="24"/>
          <w:highlight w:val="none"/>
          <w:lang w:val="en-US"/>
        </w:rPr>
        <w:t>（请填写：中型、小型、微型）企业。</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                        省（市、县、区）中小企业局或经济和信息化委员会</w:t>
      </w:r>
    </w:p>
    <w:p>
      <w:pPr>
        <w:pStyle w:val="2"/>
        <w:spacing w:line="360" w:lineRule="auto"/>
        <w:rPr>
          <w:rFonts w:hint="eastAsia" w:eastAsia="宋体" w:cs="宋体"/>
          <w:szCs w:val="24"/>
          <w:highlight w:val="none"/>
          <w:lang w:val="en-US"/>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附件1-3：</w:t>
      </w:r>
    </w:p>
    <w:p>
      <w:pPr>
        <w:pStyle w:val="2"/>
        <w:rPr>
          <w:rFonts w:hint="eastAsia" w:eastAsia="宋体" w:cs="宋体"/>
          <w:highlight w:val="none"/>
          <w:lang w:val="en-US"/>
        </w:rPr>
      </w:pPr>
    </w:p>
    <w:p>
      <w:pPr>
        <w:pStyle w:val="2"/>
        <w:rPr>
          <w:rFonts w:hint="eastAsia" w:eastAsia="宋体" w:cs="宋体"/>
          <w:szCs w:val="24"/>
          <w:highlight w:val="none"/>
        </w:rPr>
      </w:pPr>
      <w:r>
        <w:rPr>
          <w:rFonts w:hint="eastAsia" w:eastAsia="宋体" w:cs="宋体"/>
          <w:szCs w:val="24"/>
          <w:highlight w:val="none"/>
        </w:rPr>
        <w:t>投标截止时间前7日内“国家企业信用信息公示系统—小微企业名录”页面查询结果</w:t>
      </w:r>
    </w:p>
    <w:p>
      <w:pPr>
        <w:pStyle w:val="2"/>
        <w:rPr>
          <w:rFonts w:hint="eastAsia" w:eastAsia="宋体" w:cs="宋体"/>
          <w:szCs w:val="24"/>
          <w:highlight w:val="none"/>
          <w:lang w:val="en-US"/>
        </w:rPr>
      </w:pPr>
    </w:p>
    <w:p>
      <w:pPr>
        <w:pStyle w:val="2"/>
        <w:rPr>
          <w:rFonts w:hint="eastAsia" w:eastAsia="宋体" w:cs="宋体"/>
          <w:szCs w:val="24"/>
          <w:highlight w:val="none"/>
        </w:rPr>
      </w:pPr>
      <w:r>
        <w:rPr>
          <w:rFonts w:hint="eastAsia" w:eastAsia="宋体" w:cs="宋体"/>
          <w:b/>
          <w:bCs/>
          <w:szCs w:val="24"/>
          <w:highlight w:val="none"/>
          <w:lang w:val="en-US"/>
        </w:rPr>
        <w:t>备注：以上小微企业证明材料附件1-1必须提供，同时附件1-2、附件1-3至少提供一项证明。</w:t>
      </w:r>
    </w:p>
    <w:p>
      <w:pPr>
        <w:pStyle w:val="2"/>
        <w:rPr>
          <w:rFonts w:hint="eastAsia" w:eastAsia="宋体" w:cs="宋体"/>
          <w:szCs w:val="24"/>
          <w:highlight w:val="none"/>
          <w:lang w:val="en-US"/>
        </w:rPr>
      </w:pPr>
    </w:p>
    <w:p>
      <w:pPr>
        <w:pStyle w:val="2"/>
        <w:rPr>
          <w:rFonts w:hint="eastAsia" w:eastAsia="宋体" w:cs="宋体"/>
          <w:szCs w:val="24"/>
          <w:highlight w:val="none"/>
          <w:lang w:val="en-US"/>
        </w:rPr>
      </w:pPr>
    </w:p>
    <w:p>
      <w:pPr>
        <w:pStyle w:val="2"/>
        <w:rPr>
          <w:rFonts w:hint="eastAsia" w:eastAsia="宋体" w:cs="宋体"/>
          <w:szCs w:val="24"/>
          <w:highlight w:val="none"/>
          <w:lang w:val="en-US"/>
        </w:rPr>
      </w:pPr>
    </w:p>
    <w:p>
      <w:pPr>
        <w:pStyle w:val="2"/>
        <w:rPr>
          <w:rFonts w:hint="eastAsia" w:eastAsia="宋体" w:cs="宋体"/>
          <w:szCs w:val="24"/>
          <w:highlight w:val="none"/>
          <w:lang w:val="en-US"/>
        </w:rPr>
      </w:pPr>
    </w:p>
    <w:p>
      <w:pPr>
        <w:pStyle w:val="2"/>
        <w:rPr>
          <w:rFonts w:hint="eastAsia" w:eastAsia="宋体" w:cs="宋体"/>
          <w:szCs w:val="24"/>
          <w:highlight w:val="none"/>
          <w:lang w:val="en-US"/>
        </w:rPr>
      </w:pP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附件：</w:t>
      </w:r>
    </w:p>
    <w:p>
      <w:pPr>
        <w:pStyle w:val="2"/>
        <w:spacing w:line="360" w:lineRule="auto"/>
        <w:jc w:val="center"/>
        <w:rPr>
          <w:rFonts w:hint="eastAsia" w:eastAsia="宋体" w:cs="宋体"/>
          <w:b/>
          <w:bCs/>
          <w:szCs w:val="24"/>
          <w:highlight w:val="none"/>
          <w:lang w:val="en-US"/>
        </w:rPr>
      </w:pPr>
      <w:r>
        <w:rPr>
          <w:rFonts w:hint="eastAsia" w:eastAsia="宋体" w:cs="宋体"/>
          <w:b/>
          <w:bCs/>
          <w:szCs w:val="24"/>
          <w:highlight w:val="none"/>
          <w:lang w:val="en-US"/>
        </w:rPr>
        <w:t>残疾人福利性单位声明函</w:t>
      </w:r>
    </w:p>
    <w:p>
      <w:pPr>
        <w:pStyle w:val="2"/>
        <w:spacing w:line="360" w:lineRule="auto"/>
        <w:rPr>
          <w:rFonts w:hint="eastAsia" w:eastAsia="宋体" w:cs="宋体"/>
          <w:szCs w:val="24"/>
          <w:highlight w:val="none"/>
          <w:lang w:val="en-US"/>
        </w:rPr>
      </w:pPr>
    </w:p>
    <w:p>
      <w:pPr>
        <w:pStyle w:val="2"/>
        <w:spacing w:line="360" w:lineRule="auto"/>
        <w:ind w:firstLine="480" w:firstLineChars="200"/>
        <w:rPr>
          <w:rFonts w:hint="eastAsia" w:eastAsia="宋体" w:cs="宋体"/>
          <w:szCs w:val="24"/>
          <w:highlight w:val="none"/>
          <w:lang w:val="en-US"/>
        </w:rPr>
      </w:pPr>
      <w:r>
        <w:rPr>
          <w:rFonts w:hint="eastAsia" w:eastAsia="宋体" w:cs="宋体"/>
          <w:szCs w:val="24"/>
          <w:highlight w:val="none"/>
          <w:lang w:val="en-U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
        <w:spacing w:line="360" w:lineRule="auto"/>
        <w:ind w:firstLine="480" w:firstLineChars="200"/>
        <w:rPr>
          <w:rFonts w:hint="eastAsia" w:eastAsia="宋体" w:cs="宋体"/>
          <w:szCs w:val="24"/>
          <w:highlight w:val="none"/>
          <w:lang w:val="en-US"/>
        </w:rPr>
      </w:pPr>
      <w:r>
        <w:rPr>
          <w:rFonts w:hint="eastAsia" w:eastAsia="宋体" w:cs="宋体"/>
          <w:szCs w:val="24"/>
          <w:highlight w:val="none"/>
          <w:lang w:val="en-US"/>
        </w:rPr>
        <w:t>本单位对上述声明的真实性负责。如有虚假，将依法承担相应责任。</w:t>
      </w:r>
    </w:p>
    <w:p>
      <w:pPr>
        <w:pStyle w:val="2"/>
        <w:spacing w:line="360" w:lineRule="auto"/>
        <w:rPr>
          <w:rFonts w:hint="eastAsia" w:eastAsia="宋体" w:cs="宋体"/>
          <w:szCs w:val="24"/>
          <w:highlight w:val="none"/>
          <w:lang w:val="en-US"/>
        </w:rPr>
      </w:pPr>
    </w:p>
    <w:p>
      <w:pPr>
        <w:pStyle w:val="2"/>
        <w:spacing w:line="360" w:lineRule="auto"/>
        <w:rPr>
          <w:rFonts w:hint="eastAsia" w:eastAsia="宋体" w:cs="宋体"/>
          <w:szCs w:val="24"/>
          <w:highlight w:val="none"/>
          <w:lang w:val="en-US"/>
        </w:rPr>
      </w:pP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                                                      单位名称（盖章）：</w:t>
      </w:r>
    </w:p>
    <w:p>
      <w:pPr>
        <w:pStyle w:val="2"/>
        <w:spacing w:line="360" w:lineRule="auto"/>
        <w:rPr>
          <w:rFonts w:hint="eastAsia" w:eastAsia="宋体" w:cs="宋体"/>
          <w:szCs w:val="24"/>
          <w:highlight w:val="none"/>
          <w:lang w:val="en-US"/>
        </w:rPr>
      </w:pPr>
      <w:r>
        <w:rPr>
          <w:rFonts w:hint="eastAsia" w:eastAsia="宋体" w:cs="宋体"/>
          <w:szCs w:val="24"/>
          <w:highlight w:val="none"/>
          <w:lang w:val="en-US"/>
        </w:rPr>
        <w:t xml:space="preserve">                                                      日  期：</w:t>
      </w:r>
    </w:p>
    <w:p>
      <w:pPr>
        <w:pStyle w:val="2"/>
        <w:rPr>
          <w:rFonts w:hint="eastAsia" w:eastAsia="宋体" w:cs="宋体"/>
          <w:sz w:val="28"/>
          <w:szCs w:val="28"/>
          <w:highlight w:val="none"/>
          <w:u w:val="single"/>
        </w:rPr>
      </w:pPr>
    </w:p>
    <w:p>
      <w:pPr>
        <w:pStyle w:val="2"/>
        <w:rPr>
          <w:rFonts w:hint="eastAsia" w:eastAsia="宋体" w:cs="宋体"/>
          <w:sz w:val="28"/>
          <w:szCs w:val="28"/>
          <w:highlight w:val="none"/>
          <w:u w:val="single"/>
        </w:rPr>
      </w:pPr>
    </w:p>
    <w:p>
      <w:pPr>
        <w:pStyle w:val="2"/>
        <w:rPr>
          <w:rFonts w:hint="eastAsia" w:eastAsia="宋体" w:cs="宋体"/>
          <w:b/>
          <w:sz w:val="28"/>
          <w:szCs w:val="28"/>
          <w:highlight w:val="none"/>
        </w:rPr>
      </w:pPr>
      <w:r>
        <w:rPr>
          <w:rFonts w:hint="eastAsia" w:eastAsia="宋体" w:cs="宋体"/>
          <w:bCs/>
          <w:szCs w:val="24"/>
          <w:highlight w:val="none"/>
        </w:rPr>
        <w:t>附件：</w:t>
      </w:r>
    </w:p>
    <w:p>
      <w:pPr>
        <w:ind w:right="-110"/>
        <w:jc w:val="center"/>
        <w:rPr>
          <w:rFonts w:hint="eastAsia" w:ascii="宋体" w:hAnsi="宋体" w:eastAsia="宋体" w:cs="宋体"/>
          <w:spacing w:val="40"/>
          <w:sz w:val="24"/>
          <w:szCs w:val="24"/>
          <w:highlight w:val="none"/>
        </w:rPr>
      </w:pPr>
    </w:p>
    <w:p>
      <w:pPr>
        <w:ind w:right="-110"/>
        <w:jc w:val="center"/>
        <w:rPr>
          <w:rFonts w:hint="eastAsia" w:ascii="宋体" w:hAnsi="宋体" w:eastAsia="宋体" w:cs="宋体"/>
          <w:spacing w:val="40"/>
          <w:sz w:val="24"/>
          <w:szCs w:val="24"/>
          <w:highlight w:val="none"/>
        </w:rPr>
      </w:pPr>
      <w:r>
        <w:rPr>
          <w:rFonts w:hint="eastAsia" w:ascii="宋体" w:hAnsi="宋体" w:eastAsia="宋体" w:cs="宋体"/>
          <w:spacing w:val="40"/>
          <w:sz w:val="24"/>
          <w:szCs w:val="24"/>
          <w:highlight w:val="none"/>
        </w:rPr>
        <w:t>由省级以上监狱管理局、戒毒管理局（含新疆生产建设兵团）出具的属于监狱企业的证明文件（如有）</w:t>
      </w:r>
    </w:p>
    <w:p>
      <w:pPr>
        <w:rPr>
          <w:rFonts w:hint="eastAsia" w:ascii="宋体" w:hAnsi="宋体" w:eastAsia="宋体" w:cs="宋体"/>
          <w:highlight w:val="none"/>
        </w:rPr>
      </w:pPr>
    </w:p>
    <w:p>
      <w:pPr>
        <w:rPr>
          <w:rFonts w:hint="eastAsia" w:ascii="宋体" w:hAnsi="宋体" w:eastAsia="宋体" w:cs="宋体"/>
          <w:highlight w:val="none"/>
        </w:rPr>
      </w:pPr>
    </w:p>
    <w:sectPr>
      <w:headerReference r:id="rId23" w:type="first"/>
      <w:footerReference r:id="rId26" w:type="first"/>
      <w:headerReference r:id="rId22" w:type="default"/>
      <w:footerReference r:id="rId24" w:type="default"/>
      <w:footerReference r:id="rId25" w:type="even"/>
      <w:pgSz w:w="11906" w:h="16838"/>
      <w:pgMar w:top="1474" w:right="1531" w:bottom="1247"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1"/>
      </w:pBd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9"/>
      </w:rPr>
      <w:instrText xml:space="preserve"> PAGE </w:instrText>
    </w:r>
    <w:r>
      <w:fldChar w:fldCharType="separate"/>
    </w:r>
    <w:r>
      <w:rPr>
        <w:rStyle w:val="39"/>
        <w:lang/>
      </w:rPr>
      <w:t>67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70</w:t>
                          </w:r>
                          <w:r>
                            <w:rPr>
                              <w:rFonts w:hint="eastAsia"/>
                              <w:sz w:val="18"/>
                            </w:rP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4ksbMsBAACcAwAADgAAAGRycy9lMm9Eb2MueG1srVPNjtMwEL4j7TtY vm+dVguKoqYrULUrJARIyz6A6ziNJf/J4zbpC8AbcOLCnefqczB2ki4slz1wccYz42/m+2ayvh2M JkcZQDlb0+WioERa4Rpl9zV9/HJ3XVICkduGa2dlTU8S6O3m6tW695Vcuc7pRgaCIBaq3te0i9FX jIHopOGwcF5aDLYuGB7xGvasCbxHdKPZqijesN6FxgcnJAB6t2OQTojhJYCubZWQWycORto4ogap eURK0CkPdJO7bVsp4qe2BRmJrikyjfnEImjv0sk2a17tA/edElML/CUtPONkuLJY9AK15ZGTQ1D/ QBklggPXxoVwho1EsiLIYlk80+ah415mLig1+Ivo8P9gxcfj50BUU9PXlFhucODn79/OP36df34l y+KmTAr1HipMfPCYGod3bsC9mf2AzkR8aINJX6REMI76ni76yiESkR6Vq7IsMCQwNl8Qnz099wHi vXSGJKOmAQeYdeXHDxDH1DklVbPuTmmdh6jtXw7ETB6Weh97TFYcdsNEaOeaE/LpcfY1tbjqlOj3 FqVNazIbYTZ2s3HwQe27vEepHvi3h4hN5N5ShRF2KoxDy+ymBUtb8ec9Zz39VJv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OJLGzLAQAAnAMAAA4AAAAAAAAAAQAgAAAAHgEAAGRycy9lMm9E b2MueG1sUEsFBgAAAAAGAAYAWQEAAFs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70</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68</w:t>
                          </w:r>
                          <w:r>
                            <w:rPr>
                              <w:rFonts w:hint="eastAsia"/>
                              <w:sz w:val="18"/>
                            </w:rP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hNWWssBAACcAwAADgAAAGRycy9lMm9Eb2MueG1srVPNjtMwEL4j8Q6W 79RphVYl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tuG3lDiuMWBX75/u/z4dfn5lSyr l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B4TVlrLAQAAnAMAAA4AAAAAAAAAAQAgAAAAHgEAAGRycy9lMm9E b2MueG1sUEsFBgAAAAAGAAYAWQEAAFs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1"/>
      </w:pBdr>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I</w:t>
                          </w:r>
                          <w:r>
                            <w:rPr>
                              <w:rFonts w:hint="eastAsia"/>
                              <w:sz w:val="18"/>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IgEbMgBAACc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BY3gRLHLQ788v3b5cevy8+vZFm9 LAr1AWpMfAiYmoY3fsjZqFz2Azoz8UFFm79IiWAc9T1f9ZVDIiI/Wq/W6wpDAmPzBXHY7XmIkN5K b0k2GhpxgEVXfnoPaUydU3I15++1MWWIxv3lQMzsYbces5WG/TA1vvftGfn0OPuGOlx1Ssw7h9Lm NZmNOBv72TiGqA9d2aNcD8LrY8ImSm+5wgg7FcahFXbTguWt+PNesm4/1fY3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BGzIAQAAnA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I</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38</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42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57</w:t>
                          </w:r>
                          <w:r>
                            <w:rPr>
                              <w:rFonts w:hint="eastAsia"/>
                              <w:sz w:val="18"/>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YzN8oBAACcAwAADgAAAGRycy9lMm9Eb2MueG1srVPNjtMwEL4j8Q6W 79RpB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rihx3OLAL9+/XX78uvz8SpbV y1d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QYzN8oBAACcAwAADgAAAAAAAAABACAAAAAeAQAAZHJzL2Uyb0Rv Yy54bWxQSwUGAAAAAAYABgBZAQAAWg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57</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YEOt8sBAACcAwAADgAAAGRycy9lMm9Eb2MueG1srVPNjtMwEL4j8Q6W 79RpQasq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tuGvqTEcYsDv3z/dvnx6/LzK1lW r2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WBDrfLAQAAnAMAAA4AAAAAAAAAAQAgAAAAHgEAAGRycy9lMm9E b2MueG1sUEsFBgAAAAAGAAYAWQEAAFs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leplE4AgAAcAQAAA4AAABkcnMvZTJvRG9jLnhtbK1UzY7TMBC+I/EO lu80adGuStV0VbYqQqrYlRbE2XWcJpL/ZLtNygPAG3Diwp3n6nPw2Wm6aOGwBy7p2DP+Zr5vZjq/ 6ZQkB+F8Y3RBx6OcEqG5KRu9K+inj+tXU0p8YLpk0mhR0KPw9Gbx8sW8tTMxMbWRpXAEINrPWlvQ OgQ7yzLPa6GYHxkrNJyVcYoFHN0uKx1rga5kNsnz66w1rrTOcOE9ble9k54R3XMATVU1XKwM3yuh Q4/qhGQBlHzdWE8XqdqqEjzcVZUXgciCgmlIXySBvY3fbDFns51jtm74uQT2nBKecFKs0Uh6gVqx wMjeNX9BqYY7400VRtyorCeSFAGLcf5Em4eaWZG4QGpvL6L7/wfLPxzuHWlKTMIVJZopdPz0/dvp x6/Tz6/kTdSntX6GsAeLwNC9NR1ih3uPy0i7q5yKvyBE4Ie6x4u6oguEx0fTyXSaw8XhGw7Azx6f W+fDO2EUiUZBHdqXVGWHjQ996BASs2mzbqRMLZSatAW9fn2VpwcXD8CljrEiDcMZJlLqS49W6Lbd mefWlEfQdKYfFG/5ukEpG+bDPXOYDJSP3Ql3+FTSIKU5W5TUxn35132MR8PgpaTFpBVUY7Eoke81 GgnAMBhuMLaDoffq1mB0x9hJy5OJBy7IwaycUZ+xUMuYAy6mOTIVNAzmbeinHQvJxXKZgvbWNbu6 f4AxtCxs9IPlMU2UytvlPkDapHgUqFcFnYoHDGLq2Xlp4qT/eU5Rj38U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WV6mUTgCAABwBAAADgAAAAAAAAABACAAAAAfAQAAZHJzL2Uyb0RvYy54 bWxQSwUGAAAAAAYABgBZAQAAyQUAAAAA ">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66</w:t>
                          </w:r>
                          <w:r>
                            <w:rPr>
                              <w:rFonts w:hint="eastAsia"/>
                              <w:sz w:val="18"/>
                            </w:rP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zLGW8sBAACcAwAADgAAAGRycy9lMm9Eb2MueG1srVPNjtMwEL4j8Q6W 79RptYIqaroCVYuQECAtPIDr2I0l/8njNukLwBtw4sKd5+pzMHaSLiyXPXBxxjPjb+b7ZrK5Hawh JxlBe9fQ5aKiRDrhW+0ODf3y+e7FmhJI3LXceCcbepZAb7fPn236UMuV77xpZSQI4qDuQ0O7lELN GIhOWg4LH6TDoPLR8oTXeGBt5D2iW8NWVfWS9T62IXohAdC7G4N0QoxPAfRKaSF3XhytdGlEjdLw hJSg0wHotnSrlBTpo1IgEzENRaapnFgE7X0+2XbD60PkodNiaoE/pYVHnCzXDoteoXY8cXKM+h8o q0X04FVaCG/ZSKQogiyW1SNt7jseZOGCUkO4ig7/D1Z8OH2KRLcNvaHEcYsDv3z/dvnx6/LzK1lW N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cyxlvLAQAAnAMAAA4AAAAAAAAAAQAgAAAAHgEAAGRycy9lMm9E b2MueG1sUEsFBgAAAAAGAAYAWQEAAFs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简体" w:eastAsia="方正仿宋简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rPr>
        <w:rFonts w:hint="eastAsia" w:ascii="方正仿宋简体" w:hAnsi="仿宋" w:eastAsia="方正仿宋简体" w:cs="仿宋"/>
        <w:sz w:val="21"/>
        <w:szCs w:val="21"/>
        <w:lang w:val="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方正仿宋简体" w:hAnsi="华文中宋" w:eastAsia="方正仿宋简体"/>
        <w:color w:val="000000"/>
        <w:szCs w:val="21"/>
        <w:lang w:val="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方正仿宋简体" w:hAnsi="华文中宋" w:eastAsia="方正仿宋简体"/>
        <w:color w:val="000000"/>
        <w:szCs w:val="21"/>
        <w:lang w:val="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简体" w:eastAsia="方正仿宋简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E38A"/>
    <w:multiLevelType w:val="singleLevel"/>
    <w:tmpl w:val="EF3FE38A"/>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130"/>
      <w:lvlText w:val="表%1 "/>
      <w:lvlJc w:val="center"/>
      <w:pPr>
        <w:tabs>
          <w:tab w:val="left" w:pos="2410"/>
        </w:tabs>
        <w:ind w:left="2830" w:hanging="420"/>
      </w:pPr>
      <w:rPr>
        <w:rFonts w:hint="default" w:ascii="宋体" w:hAnsi="宋体" w:eastAsia="宋体"/>
      </w:rPr>
    </w:lvl>
    <w:lvl w:ilvl="1" w:tentative="0">
      <w:start w:val="1"/>
      <w:numFmt w:val="decimal"/>
      <w:lvlText w:val="（%2）"/>
      <w:lvlJc w:val="left"/>
      <w:pPr>
        <w:ind w:left="1140" w:hanging="720"/>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935" w:hanging="675"/>
      </w:pPr>
      <w:rPr>
        <w:rFonts w:hint="default"/>
      </w:rPr>
    </w:lvl>
    <w:lvl w:ilvl="4" w:tentative="0">
      <w:start w:val="1"/>
      <w:numFmt w:val="decimal"/>
      <w:lvlText w:val="%5、"/>
      <w:lvlJc w:val="left"/>
      <w:pPr>
        <w:ind w:left="2535" w:hanging="855"/>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3"/>
    <w:multiLevelType w:val="multilevel"/>
    <w:tmpl w:val="00000013"/>
    <w:lvl w:ilvl="0" w:tentative="0">
      <w:start w:val="1"/>
      <w:numFmt w:val="chineseCountingThousand"/>
      <w:pStyle w:val="122"/>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BA49BF"/>
    <w:multiLevelType w:val="singleLevel"/>
    <w:tmpl w:val="2DBA49BF"/>
    <w:lvl w:ilvl="0" w:tentative="0">
      <w:start w:val="5"/>
      <w:numFmt w:val="chineseCounting"/>
      <w:suff w:val="space"/>
      <w:lvlText w:val="第%1章"/>
      <w:lvlJc w:val="left"/>
      <w:rPr>
        <w:rFonts w:hint="eastAsia"/>
      </w:rPr>
    </w:lvl>
  </w:abstractNum>
  <w:abstractNum w:abstractNumId="4">
    <w:nsid w:val="3D82835C"/>
    <w:multiLevelType w:val="singleLevel"/>
    <w:tmpl w:val="3D82835C"/>
    <w:lvl w:ilvl="0" w:tentative="0">
      <w:start w:val="4"/>
      <w:numFmt w:val="chineseCounting"/>
      <w:suff w:val="space"/>
      <w:lvlText w:val="第%1章"/>
      <w:lvlJc w:val="left"/>
      <w:rPr>
        <w:rFonts w:hint="eastAsia"/>
      </w:rPr>
    </w:lvl>
  </w:abstractNum>
  <w:abstractNum w:abstractNumId="5">
    <w:nsid w:val="468D52AC"/>
    <w:multiLevelType w:val="multilevel"/>
    <w:tmpl w:val="468D52AC"/>
    <w:lvl w:ilvl="0" w:tentative="0">
      <w:start w:val="1"/>
      <w:numFmt w:val="decimal"/>
      <w:lvlText w:val="%1)"/>
      <w:lvlJc w:val="left"/>
      <w:pPr>
        <w:ind w:left="600" w:hanging="420"/>
      </w:pPr>
      <w:rPr>
        <w:rFonts w:hint="default"/>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6">
    <w:nsid w:val="4BD5648F"/>
    <w:multiLevelType w:val="multilevel"/>
    <w:tmpl w:val="4BD5648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38EAC0"/>
    <w:multiLevelType w:val="singleLevel"/>
    <w:tmpl w:val="5338EAC0"/>
    <w:lvl w:ilvl="0" w:tentative="0">
      <w:start w:val="1"/>
      <w:numFmt w:val="decimal"/>
      <w:suff w:val="nothing"/>
      <w:lvlText w:val="%1、"/>
      <w:lvlJc w:val="left"/>
      <w:rPr>
        <w:sz w:val="21"/>
        <w:szCs w:val="21"/>
      </w:rPr>
    </w:lvl>
  </w:abstractNum>
  <w:abstractNum w:abstractNumId="8">
    <w:nsid w:val="578C335D"/>
    <w:multiLevelType w:val="singleLevel"/>
    <w:tmpl w:val="578C335D"/>
    <w:lvl w:ilvl="0" w:tentative="0">
      <w:start w:val="1"/>
      <w:numFmt w:val="decimal"/>
      <w:pStyle w:val="12"/>
      <w:lvlText w:val="%1."/>
      <w:lvlJc w:val="left"/>
      <w:pPr>
        <w:tabs>
          <w:tab w:val="left" w:pos="360"/>
        </w:tabs>
        <w:ind w:left="360" w:hanging="360"/>
      </w:pPr>
    </w:lvl>
  </w:abstractNum>
  <w:abstractNum w:abstractNumId="9">
    <w:nsid w:val="581EBA6D"/>
    <w:multiLevelType w:val="singleLevel"/>
    <w:tmpl w:val="581EBA6D"/>
    <w:lvl w:ilvl="0" w:tentative="0">
      <w:start w:val="1"/>
      <w:numFmt w:val="chineseCounting"/>
      <w:suff w:val="nothing"/>
      <w:lvlText w:val="%1、"/>
      <w:lvlJc w:val="left"/>
    </w:lvl>
  </w:abstractNum>
  <w:abstractNum w:abstractNumId="10">
    <w:nsid w:val="5822FBF8"/>
    <w:multiLevelType w:val="multilevel"/>
    <w:tmpl w:val="5822FBF8"/>
    <w:lvl w:ilvl="0" w:tentative="0">
      <w:start w:val="2"/>
      <w:numFmt w:val="decimal"/>
      <w:suff w:val="nothing"/>
      <w:lvlText w:val="%1."/>
      <w:lvlJc w:val="left"/>
    </w:lvl>
    <w:lvl w:ilvl="1" w:tentative="0">
      <w:start w:val="1"/>
      <w:numFmt w:val="decimal"/>
      <w:isLgl/>
      <w:lvlText w:val="%1.%2"/>
      <w:lvlJc w:val="left"/>
      <w:pPr>
        <w:ind w:left="720" w:hanging="720"/>
      </w:pPr>
      <w:rPr>
        <w:rFonts w:hint="default"/>
        <w:sz w:val="28"/>
        <w:szCs w:val="28"/>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1">
    <w:nsid w:val="58E3054B"/>
    <w:multiLevelType w:val="singleLevel"/>
    <w:tmpl w:val="58E3054B"/>
    <w:lvl w:ilvl="0" w:tentative="0">
      <w:start w:val="3"/>
      <w:numFmt w:val="chineseCounting"/>
      <w:suff w:val="nothing"/>
      <w:lvlText w:val="%1、"/>
      <w:lvlJc w:val="left"/>
    </w:lvl>
  </w:abstractNum>
  <w:abstractNum w:abstractNumId="12">
    <w:nsid w:val="5EEC5180"/>
    <w:multiLevelType w:val="multilevel"/>
    <w:tmpl w:val="5EEC5180"/>
    <w:lvl w:ilvl="0" w:tentative="0">
      <w:start w:val="1"/>
      <w:numFmt w:val="upperLetter"/>
      <w:lvlText w:val="%1."/>
      <w:lvlJc w:val="left"/>
      <w:pPr>
        <w:ind w:left="631" w:hanging="420"/>
      </w:pPr>
    </w:lvl>
    <w:lvl w:ilvl="1" w:tentative="0">
      <w:start w:val="1"/>
      <w:numFmt w:val="lowerLetter"/>
      <w:lvlText w:val="%2)"/>
      <w:lvlJc w:val="left"/>
      <w:pPr>
        <w:ind w:left="1051" w:hanging="420"/>
      </w:pPr>
    </w:lvl>
    <w:lvl w:ilvl="2" w:tentative="0">
      <w:start w:val="1"/>
      <w:numFmt w:val="lowerLetter"/>
      <w:lvlText w:val="%3)"/>
      <w:lvlJc w:val="lef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13">
    <w:nsid w:val="6E4071EA"/>
    <w:multiLevelType w:val="multilevel"/>
    <w:tmpl w:val="6E4071EA"/>
    <w:lvl w:ilvl="0" w:tentative="0">
      <w:start w:val="9"/>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FA37E7E"/>
    <w:multiLevelType w:val="multilevel"/>
    <w:tmpl w:val="6FA37E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
  </w:num>
  <w:num w:numId="4">
    <w:abstractNumId w:val="10"/>
  </w:num>
  <w:num w:numId="5">
    <w:abstractNumId w:val="13"/>
  </w:num>
  <w:num w:numId="6">
    <w:abstractNumId w:val="0"/>
  </w:num>
  <w:num w:numId="7">
    <w:abstractNumId w:val="11"/>
  </w:num>
  <w:num w:numId="8">
    <w:abstractNumId w:val="4"/>
  </w:num>
  <w:num w:numId="9">
    <w:abstractNumId w:val="14"/>
  </w:num>
  <w:num w:numId="10">
    <w:abstractNumId w:val="6"/>
  </w:num>
  <w:num w:numId="11">
    <w:abstractNumId w:val="12"/>
  </w:num>
  <w:num w:numId="12">
    <w:abstractNumId w:val="5"/>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53"/>
    <w:rsid w:val="00000D7C"/>
    <w:rsid w:val="00002F51"/>
    <w:rsid w:val="00013396"/>
    <w:rsid w:val="00020DE7"/>
    <w:rsid w:val="00026103"/>
    <w:rsid w:val="000278CB"/>
    <w:rsid w:val="0003112D"/>
    <w:rsid w:val="00031F44"/>
    <w:rsid w:val="00040C29"/>
    <w:rsid w:val="000534B6"/>
    <w:rsid w:val="00060420"/>
    <w:rsid w:val="00060BF4"/>
    <w:rsid w:val="00070338"/>
    <w:rsid w:val="00072489"/>
    <w:rsid w:val="000737B1"/>
    <w:rsid w:val="000816A0"/>
    <w:rsid w:val="000844F9"/>
    <w:rsid w:val="00086A7A"/>
    <w:rsid w:val="0009076D"/>
    <w:rsid w:val="00090B5F"/>
    <w:rsid w:val="000A2BAF"/>
    <w:rsid w:val="000B314F"/>
    <w:rsid w:val="000B397F"/>
    <w:rsid w:val="000B6E4D"/>
    <w:rsid w:val="000B7820"/>
    <w:rsid w:val="000C3AAB"/>
    <w:rsid w:val="000C4E40"/>
    <w:rsid w:val="000D21B5"/>
    <w:rsid w:val="000D71AD"/>
    <w:rsid w:val="000E12A5"/>
    <w:rsid w:val="000E1CEC"/>
    <w:rsid w:val="000F5F03"/>
    <w:rsid w:val="000F7392"/>
    <w:rsid w:val="00100483"/>
    <w:rsid w:val="001012EB"/>
    <w:rsid w:val="00103F03"/>
    <w:rsid w:val="00105A79"/>
    <w:rsid w:val="00114CE3"/>
    <w:rsid w:val="001174E7"/>
    <w:rsid w:val="00123389"/>
    <w:rsid w:val="00135C2E"/>
    <w:rsid w:val="0014152F"/>
    <w:rsid w:val="00151D9C"/>
    <w:rsid w:val="0017381E"/>
    <w:rsid w:val="001746F6"/>
    <w:rsid w:val="00174966"/>
    <w:rsid w:val="00180DAA"/>
    <w:rsid w:val="00182F40"/>
    <w:rsid w:val="0018448C"/>
    <w:rsid w:val="00192001"/>
    <w:rsid w:val="001946A4"/>
    <w:rsid w:val="001A082B"/>
    <w:rsid w:val="001A33A5"/>
    <w:rsid w:val="001B51D0"/>
    <w:rsid w:val="001B7FBD"/>
    <w:rsid w:val="001C09B5"/>
    <w:rsid w:val="001C5B42"/>
    <w:rsid w:val="001C5BB5"/>
    <w:rsid w:val="001D4595"/>
    <w:rsid w:val="001E1A32"/>
    <w:rsid w:val="001E454E"/>
    <w:rsid w:val="001E689D"/>
    <w:rsid w:val="001E718D"/>
    <w:rsid w:val="00201149"/>
    <w:rsid w:val="00206B9E"/>
    <w:rsid w:val="002079BA"/>
    <w:rsid w:val="00215699"/>
    <w:rsid w:val="002157EF"/>
    <w:rsid w:val="002158C0"/>
    <w:rsid w:val="00220B5B"/>
    <w:rsid w:val="00220E39"/>
    <w:rsid w:val="00224BBE"/>
    <w:rsid w:val="0023065E"/>
    <w:rsid w:val="00230BE7"/>
    <w:rsid w:val="00230F87"/>
    <w:rsid w:val="00231FEB"/>
    <w:rsid w:val="00235CC9"/>
    <w:rsid w:val="00241762"/>
    <w:rsid w:val="002422A6"/>
    <w:rsid w:val="00245313"/>
    <w:rsid w:val="00245CD5"/>
    <w:rsid w:val="00247301"/>
    <w:rsid w:val="00256048"/>
    <w:rsid w:val="00263113"/>
    <w:rsid w:val="00270E1E"/>
    <w:rsid w:val="00271560"/>
    <w:rsid w:val="0027257D"/>
    <w:rsid w:val="0027585C"/>
    <w:rsid w:val="00280F8D"/>
    <w:rsid w:val="00294B47"/>
    <w:rsid w:val="0029524E"/>
    <w:rsid w:val="00297587"/>
    <w:rsid w:val="002B3407"/>
    <w:rsid w:val="002C5980"/>
    <w:rsid w:val="002D01F3"/>
    <w:rsid w:val="002D33DB"/>
    <w:rsid w:val="002D3E9D"/>
    <w:rsid w:val="002E0547"/>
    <w:rsid w:val="002E21FE"/>
    <w:rsid w:val="002E6A31"/>
    <w:rsid w:val="002E7058"/>
    <w:rsid w:val="002F2B61"/>
    <w:rsid w:val="002F3F97"/>
    <w:rsid w:val="002F51A1"/>
    <w:rsid w:val="002F7E42"/>
    <w:rsid w:val="00307731"/>
    <w:rsid w:val="003235F1"/>
    <w:rsid w:val="00323FB6"/>
    <w:rsid w:val="003324BE"/>
    <w:rsid w:val="00344CC6"/>
    <w:rsid w:val="00346583"/>
    <w:rsid w:val="00347A48"/>
    <w:rsid w:val="00350C4F"/>
    <w:rsid w:val="003526C5"/>
    <w:rsid w:val="00355697"/>
    <w:rsid w:val="00361269"/>
    <w:rsid w:val="0036252F"/>
    <w:rsid w:val="003626FA"/>
    <w:rsid w:val="00366B09"/>
    <w:rsid w:val="003768FB"/>
    <w:rsid w:val="003770E1"/>
    <w:rsid w:val="00381288"/>
    <w:rsid w:val="003819CE"/>
    <w:rsid w:val="00381C84"/>
    <w:rsid w:val="003824C6"/>
    <w:rsid w:val="00386EAB"/>
    <w:rsid w:val="003874CB"/>
    <w:rsid w:val="00395C8D"/>
    <w:rsid w:val="00396ABC"/>
    <w:rsid w:val="003A216E"/>
    <w:rsid w:val="003A3DEA"/>
    <w:rsid w:val="003A4962"/>
    <w:rsid w:val="003A6E41"/>
    <w:rsid w:val="003C34F4"/>
    <w:rsid w:val="003C3886"/>
    <w:rsid w:val="003C4673"/>
    <w:rsid w:val="003C6130"/>
    <w:rsid w:val="003D117C"/>
    <w:rsid w:val="003D7DB2"/>
    <w:rsid w:val="003E2081"/>
    <w:rsid w:val="003E450A"/>
    <w:rsid w:val="003E64A9"/>
    <w:rsid w:val="003E6566"/>
    <w:rsid w:val="003F561E"/>
    <w:rsid w:val="003F7A3C"/>
    <w:rsid w:val="004036D0"/>
    <w:rsid w:val="00404647"/>
    <w:rsid w:val="00405C0D"/>
    <w:rsid w:val="00422067"/>
    <w:rsid w:val="004261A1"/>
    <w:rsid w:val="00430F12"/>
    <w:rsid w:val="00444B60"/>
    <w:rsid w:val="004543C1"/>
    <w:rsid w:val="00457479"/>
    <w:rsid w:val="004577D5"/>
    <w:rsid w:val="00461840"/>
    <w:rsid w:val="004669AC"/>
    <w:rsid w:val="00476A37"/>
    <w:rsid w:val="00480533"/>
    <w:rsid w:val="004852A9"/>
    <w:rsid w:val="00491B6C"/>
    <w:rsid w:val="00495A32"/>
    <w:rsid w:val="004A63AD"/>
    <w:rsid w:val="004B6285"/>
    <w:rsid w:val="004B6566"/>
    <w:rsid w:val="004B7180"/>
    <w:rsid w:val="004C3D4E"/>
    <w:rsid w:val="004C40EB"/>
    <w:rsid w:val="004D09E3"/>
    <w:rsid w:val="004D468E"/>
    <w:rsid w:val="004D70B5"/>
    <w:rsid w:val="004E00F3"/>
    <w:rsid w:val="004E1709"/>
    <w:rsid w:val="004E71C2"/>
    <w:rsid w:val="004F2775"/>
    <w:rsid w:val="004F2F1D"/>
    <w:rsid w:val="004F4B0A"/>
    <w:rsid w:val="004F71C9"/>
    <w:rsid w:val="00500732"/>
    <w:rsid w:val="00504F3F"/>
    <w:rsid w:val="0050529F"/>
    <w:rsid w:val="00512085"/>
    <w:rsid w:val="005147C1"/>
    <w:rsid w:val="005170AF"/>
    <w:rsid w:val="00520DC8"/>
    <w:rsid w:val="00521477"/>
    <w:rsid w:val="0052270F"/>
    <w:rsid w:val="0053783E"/>
    <w:rsid w:val="00545DB5"/>
    <w:rsid w:val="005473E5"/>
    <w:rsid w:val="00550BD8"/>
    <w:rsid w:val="00551B52"/>
    <w:rsid w:val="00551D74"/>
    <w:rsid w:val="00561E1F"/>
    <w:rsid w:val="00571D8A"/>
    <w:rsid w:val="005720CB"/>
    <w:rsid w:val="00574083"/>
    <w:rsid w:val="00576205"/>
    <w:rsid w:val="005825AE"/>
    <w:rsid w:val="00585661"/>
    <w:rsid w:val="0058625C"/>
    <w:rsid w:val="00592DDF"/>
    <w:rsid w:val="005958CA"/>
    <w:rsid w:val="005964C9"/>
    <w:rsid w:val="005A3EA4"/>
    <w:rsid w:val="005A5BFF"/>
    <w:rsid w:val="005A61CA"/>
    <w:rsid w:val="005A663F"/>
    <w:rsid w:val="005C1567"/>
    <w:rsid w:val="005C162A"/>
    <w:rsid w:val="005C3EE8"/>
    <w:rsid w:val="005C53CD"/>
    <w:rsid w:val="005D28AE"/>
    <w:rsid w:val="005D4262"/>
    <w:rsid w:val="005D6043"/>
    <w:rsid w:val="005E36D7"/>
    <w:rsid w:val="005F2A55"/>
    <w:rsid w:val="005F2BF9"/>
    <w:rsid w:val="005F7604"/>
    <w:rsid w:val="006023E5"/>
    <w:rsid w:val="006116A1"/>
    <w:rsid w:val="00613307"/>
    <w:rsid w:val="00615E51"/>
    <w:rsid w:val="0061698E"/>
    <w:rsid w:val="00621226"/>
    <w:rsid w:val="006232CD"/>
    <w:rsid w:val="00627427"/>
    <w:rsid w:val="00627C65"/>
    <w:rsid w:val="00635057"/>
    <w:rsid w:val="00637777"/>
    <w:rsid w:val="00641589"/>
    <w:rsid w:val="00642DF7"/>
    <w:rsid w:val="00647A52"/>
    <w:rsid w:val="00666091"/>
    <w:rsid w:val="00672C6A"/>
    <w:rsid w:val="00676C2B"/>
    <w:rsid w:val="0068012D"/>
    <w:rsid w:val="006806E4"/>
    <w:rsid w:val="006846D1"/>
    <w:rsid w:val="0069529C"/>
    <w:rsid w:val="00696965"/>
    <w:rsid w:val="006A316E"/>
    <w:rsid w:val="006C411A"/>
    <w:rsid w:val="006D454A"/>
    <w:rsid w:val="006E07BD"/>
    <w:rsid w:val="006E07E9"/>
    <w:rsid w:val="006E246E"/>
    <w:rsid w:val="006E25F0"/>
    <w:rsid w:val="006E3FB7"/>
    <w:rsid w:val="006E62BD"/>
    <w:rsid w:val="006F3E12"/>
    <w:rsid w:val="007049BF"/>
    <w:rsid w:val="00706173"/>
    <w:rsid w:val="00706997"/>
    <w:rsid w:val="00706BDC"/>
    <w:rsid w:val="007119CD"/>
    <w:rsid w:val="00722201"/>
    <w:rsid w:val="00727767"/>
    <w:rsid w:val="00732073"/>
    <w:rsid w:val="00732626"/>
    <w:rsid w:val="0074043E"/>
    <w:rsid w:val="00741D4C"/>
    <w:rsid w:val="007448D3"/>
    <w:rsid w:val="00750C7D"/>
    <w:rsid w:val="00754DC9"/>
    <w:rsid w:val="007640E4"/>
    <w:rsid w:val="00764A77"/>
    <w:rsid w:val="007654A7"/>
    <w:rsid w:val="00766C3F"/>
    <w:rsid w:val="00773CFF"/>
    <w:rsid w:val="007775BF"/>
    <w:rsid w:val="00780507"/>
    <w:rsid w:val="00780838"/>
    <w:rsid w:val="00783F5F"/>
    <w:rsid w:val="00784ADF"/>
    <w:rsid w:val="007872FC"/>
    <w:rsid w:val="00787646"/>
    <w:rsid w:val="0079326E"/>
    <w:rsid w:val="007A2FFE"/>
    <w:rsid w:val="007A31F2"/>
    <w:rsid w:val="007A73BA"/>
    <w:rsid w:val="007C0E0C"/>
    <w:rsid w:val="007C3E53"/>
    <w:rsid w:val="007D15D1"/>
    <w:rsid w:val="007E0B5A"/>
    <w:rsid w:val="008005E3"/>
    <w:rsid w:val="00803E57"/>
    <w:rsid w:val="008059C5"/>
    <w:rsid w:val="00810C41"/>
    <w:rsid w:val="00811C35"/>
    <w:rsid w:val="00812E84"/>
    <w:rsid w:val="00815D72"/>
    <w:rsid w:val="00817FF0"/>
    <w:rsid w:val="0082635E"/>
    <w:rsid w:val="00831E93"/>
    <w:rsid w:val="00833DE8"/>
    <w:rsid w:val="00837616"/>
    <w:rsid w:val="00841C0B"/>
    <w:rsid w:val="008428FC"/>
    <w:rsid w:val="00843172"/>
    <w:rsid w:val="0084527D"/>
    <w:rsid w:val="00845CD8"/>
    <w:rsid w:val="0084720C"/>
    <w:rsid w:val="00856CEE"/>
    <w:rsid w:val="008610CE"/>
    <w:rsid w:val="008672EB"/>
    <w:rsid w:val="00871D1B"/>
    <w:rsid w:val="00885A13"/>
    <w:rsid w:val="00894787"/>
    <w:rsid w:val="00897990"/>
    <w:rsid w:val="008B1231"/>
    <w:rsid w:val="008B457A"/>
    <w:rsid w:val="008C08F8"/>
    <w:rsid w:val="008C5781"/>
    <w:rsid w:val="008C6576"/>
    <w:rsid w:val="008D0DFD"/>
    <w:rsid w:val="008E374D"/>
    <w:rsid w:val="008E683D"/>
    <w:rsid w:val="008F31F5"/>
    <w:rsid w:val="00913871"/>
    <w:rsid w:val="00922581"/>
    <w:rsid w:val="009257CF"/>
    <w:rsid w:val="00934710"/>
    <w:rsid w:val="009347C6"/>
    <w:rsid w:val="009423B5"/>
    <w:rsid w:val="00944B77"/>
    <w:rsid w:val="00946D71"/>
    <w:rsid w:val="0094754E"/>
    <w:rsid w:val="009475F7"/>
    <w:rsid w:val="00950AEF"/>
    <w:rsid w:val="0095596C"/>
    <w:rsid w:val="00963CBF"/>
    <w:rsid w:val="00964DAD"/>
    <w:rsid w:val="00981351"/>
    <w:rsid w:val="00984604"/>
    <w:rsid w:val="00987DEF"/>
    <w:rsid w:val="00994DAD"/>
    <w:rsid w:val="009A0093"/>
    <w:rsid w:val="009B0EFA"/>
    <w:rsid w:val="009B1B2A"/>
    <w:rsid w:val="009B4ACC"/>
    <w:rsid w:val="009C2848"/>
    <w:rsid w:val="009C4686"/>
    <w:rsid w:val="009D09B0"/>
    <w:rsid w:val="009E063A"/>
    <w:rsid w:val="009E2F5B"/>
    <w:rsid w:val="009E667F"/>
    <w:rsid w:val="009E67C9"/>
    <w:rsid w:val="009F2ABB"/>
    <w:rsid w:val="009F2E18"/>
    <w:rsid w:val="009F70C4"/>
    <w:rsid w:val="00A062B1"/>
    <w:rsid w:val="00A06D8E"/>
    <w:rsid w:val="00A10532"/>
    <w:rsid w:val="00A11188"/>
    <w:rsid w:val="00A14F3E"/>
    <w:rsid w:val="00A16666"/>
    <w:rsid w:val="00A21FF9"/>
    <w:rsid w:val="00A24EB0"/>
    <w:rsid w:val="00A250A5"/>
    <w:rsid w:val="00A312A3"/>
    <w:rsid w:val="00A3677D"/>
    <w:rsid w:val="00A36845"/>
    <w:rsid w:val="00A43C17"/>
    <w:rsid w:val="00A452C2"/>
    <w:rsid w:val="00A50998"/>
    <w:rsid w:val="00A543BE"/>
    <w:rsid w:val="00A616FF"/>
    <w:rsid w:val="00A64D45"/>
    <w:rsid w:val="00A7001A"/>
    <w:rsid w:val="00A72228"/>
    <w:rsid w:val="00A72C57"/>
    <w:rsid w:val="00A73F36"/>
    <w:rsid w:val="00A87B63"/>
    <w:rsid w:val="00AA71E8"/>
    <w:rsid w:val="00AB43E0"/>
    <w:rsid w:val="00AB5DC2"/>
    <w:rsid w:val="00AC64C7"/>
    <w:rsid w:val="00AC765A"/>
    <w:rsid w:val="00AD5E13"/>
    <w:rsid w:val="00AD6036"/>
    <w:rsid w:val="00AE0BB6"/>
    <w:rsid w:val="00AE3866"/>
    <w:rsid w:val="00AE5588"/>
    <w:rsid w:val="00AE7193"/>
    <w:rsid w:val="00B00379"/>
    <w:rsid w:val="00B03DE6"/>
    <w:rsid w:val="00B04791"/>
    <w:rsid w:val="00B04BB5"/>
    <w:rsid w:val="00B12971"/>
    <w:rsid w:val="00B12C32"/>
    <w:rsid w:val="00B13A94"/>
    <w:rsid w:val="00B15293"/>
    <w:rsid w:val="00B307FE"/>
    <w:rsid w:val="00B348A8"/>
    <w:rsid w:val="00B34912"/>
    <w:rsid w:val="00B35F4F"/>
    <w:rsid w:val="00B40666"/>
    <w:rsid w:val="00B464CA"/>
    <w:rsid w:val="00B4717F"/>
    <w:rsid w:val="00B47B43"/>
    <w:rsid w:val="00B47CF8"/>
    <w:rsid w:val="00B61E77"/>
    <w:rsid w:val="00B62883"/>
    <w:rsid w:val="00B641CE"/>
    <w:rsid w:val="00B67381"/>
    <w:rsid w:val="00B708B3"/>
    <w:rsid w:val="00B73FF0"/>
    <w:rsid w:val="00B80784"/>
    <w:rsid w:val="00B8350A"/>
    <w:rsid w:val="00B8720A"/>
    <w:rsid w:val="00BA770A"/>
    <w:rsid w:val="00BA7A07"/>
    <w:rsid w:val="00BC41FB"/>
    <w:rsid w:val="00BC44B8"/>
    <w:rsid w:val="00BD7202"/>
    <w:rsid w:val="00BE73F0"/>
    <w:rsid w:val="00BF23E5"/>
    <w:rsid w:val="00BF593D"/>
    <w:rsid w:val="00C03A15"/>
    <w:rsid w:val="00C044A4"/>
    <w:rsid w:val="00C066B7"/>
    <w:rsid w:val="00C06E8D"/>
    <w:rsid w:val="00C1084A"/>
    <w:rsid w:val="00C16F22"/>
    <w:rsid w:val="00C179E4"/>
    <w:rsid w:val="00C233F8"/>
    <w:rsid w:val="00C24A65"/>
    <w:rsid w:val="00C272A6"/>
    <w:rsid w:val="00C27361"/>
    <w:rsid w:val="00C32C84"/>
    <w:rsid w:val="00C3379D"/>
    <w:rsid w:val="00C34340"/>
    <w:rsid w:val="00C36122"/>
    <w:rsid w:val="00C36877"/>
    <w:rsid w:val="00C41E09"/>
    <w:rsid w:val="00C43B69"/>
    <w:rsid w:val="00C464A8"/>
    <w:rsid w:val="00C4674F"/>
    <w:rsid w:val="00C553E0"/>
    <w:rsid w:val="00C67374"/>
    <w:rsid w:val="00C7391D"/>
    <w:rsid w:val="00C73C2D"/>
    <w:rsid w:val="00C834FE"/>
    <w:rsid w:val="00C8676F"/>
    <w:rsid w:val="00C90BCF"/>
    <w:rsid w:val="00C937D4"/>
    <w:rsid w:val="00C94A31"/>
    <w:rsid w:val="00C94DC4"/>
    <w:rsid w:val="00CA0005"/>
    <w:rsid w:val="00CA0B74"/>
    <w:rsid w:val="00CA0FC5"/>
    <w:rsid w:val="00CA11D6"/>
    <w:rsid w:val="00CA1516"/>
    <w:rsid w:val="00CB0C06"/>
    <w:rsid w:val="00CC01FB"/>
    <w:rsid w:val="00CC0DFF"/>
    <w:rsid w:val="00CC110E"/>
    <w:rsid w:val="00CC2CC7"/>
    <w:rsid w:val="00CC3244"/>
    <w:rsid w:val="00CC35CA"/>
    <w:rsid w:val="00CE023E"/>
    <w:rsid w:val="00CE766D"/>
    <w:rsid w:val="00CF4485"/>
    <w:rsid w:val="00CF72E2"/>
    <w:rsid w:val="00CF7AF4"/>
    <w:rsid w:val="00D02293"/>
    <w:rsid w:val="00D10762"/>
    <w:rsid w:val="00D12550"/>
    <w:rsid w:val="00D1555C"/>
    <w:rsid w:val="00D22C7E"/>
    <w:rsid w:val="00D30672"/>
    <w:rsid w:val="00D47BBC"/>
    <w:rsid w:val="00D53793"/>
    <w:rsid w:val="00D53C43"/>
    <w:rsid w:val="00D56DCA"/>
    <w:rsid w:val="00D63A22"/>
    <w:rsid w:val="00D77190"/>
    <w:rsid w:val="00D853ED"/>
    <w:rsid w:val="00D94588"/>
    <w:rsid w:val="00D94A55"/>
    <w:rsid w:val="00DA185E"/>
    <w:rsid w:val="00DA27C4"/>
    <w:rsid w:val="00DA2A3F"/>
    <w:rsid w:val="00DA4754"/>
    <w:rsid w:val="00DB20FF"/>
    <w:rsid w:val="00DC2F0C"/>
    <w:rsid w:val="00DC5A03"/>
    <w:rsid w:val="00DD1DD9"/>
    <w:rsid w:val="00DD6CBB"/>
    <w:rsid w:val="00DE334D"/>
    <w:rsid w:val="00DE49D3"/>
    <w:rsid w:val="00DE55BF"/>
    <w:rsid w:val="00DF0B0C"/>
    <w:rsid w:val="00DF67A2"/>
    <w:rsid w:val="00E02D4A"/>
    <w:rsid w:val="00E02FCA"/>
    <w:rsid w:val="00E0580B"/>
    <w:rsid w:val="00E05F58"/>
    <w:rsid w:val="00E108FC"/>
    <w:rsid w:val="00E14711"/>
    <w:rsid w:val="00E17EB1"/>
    <w:rsid w:val="00E207D9"/>
    <w:rsid w:val="00E23E00"/>
    <w:rsid w:val="00E24B08"/>
    <w:rsid w:val="00E324CB"/>
    <w:rsid w:val="00E373FB"/>
    <w:rsid w:val="00E377C7"/>
    <w:rsid w:val="00E43723"/>
    <w:rsid w:val="00E45462"/>
    <w:rsid w:val="00E4564D"/>
    <w:rsid w:val="00E45B8F"/>
    <w:rsid w:val="00E53A3B"/>
    <w:rsid w:val="00E55572"/>
    <w:rsid w:val="00E55692"/>
    <w:rsid w:val="00E6589A"/>
    <w:rsid w:val="00E671B6"/>
    <w:rsid w:val="00E67DCE"/>
    <w:rsid w:val="00E7306F"/>
    <w:rsid w:val="00E74DAB"/>
    <w:rsid w:val="00E87C6E"/>
    <w:rsid w:val="00E91870"/>
    <w:rsid w:val="00EB75F7"/>
    <w:rsid w:val="00EC52E7"/>
    <w:rsid w:val="00EC5CAF"/>
    <w:rsid w:val="00ED4AAB"/>
    <w:rsid w:val="00ED4FFE"/>
    <w:rsid w:val="00EE2B17"/>
    <w:rsid w:val="00EE689E"/>
    <w:rsid w:val="00EF5310"/>
    <w:rsid w:val="00EF58C6"/>
    <w:rsid w:val="00F05D42"/>
    <w:rsid w:val="00F10E0B"/>
    <w:rsid w:val="00F11DA3"/>
    <w:rsid w:val="00F12FCB"/>
    <w:rsid w:val="00F13C8C"/>
    <w:rsid w:val="00F2266F"/>
    <w:rsid w:val="00F25174"/>
    <w:rsid w:val="00F43635"/>
    <w:rsid w:val="00F449B0"/>
    <w:rsid w:val="00F50A92"/>
    <w:rsid w:val="00F53F92"/>
    <w:rsid w:val="00F64C83"/>
    <w:rsid w:val="00F76CBF"/>
    <w:rsid w:val="00F82954"/>
    <w:rsid w:val="00F85C9D"/>
    <w:rsid w:val="00F86698"/>
    <w:rsid w:val="00F97823"/>
    <w:rsid w:val="00FA4C69"/>
    <w:rsid w:val="00FB267C"/>
    <w:rsid w:val="00FB2C21"/>
    <w:rsid w:val="00FB310E"/>
    <w:rsid w:val="00FD2C77"/>
    <w:rsid w:val="00FD72DA"/>
    <w:rsid w:val="00FE1458"/>
    <w:rsid w:val="00FE566C"/>
    <w:rsid w:val="00FE64E8"/>
    <w:rsid w:val="00FF211C"/>
    <w:rsid w:val="00FF21FC"/>
    <w:rsid w:val="014842AF"/>
    <w:rsid w:val="06DB1FA2"/>
    <w:rsid w:val="06DD700E"/>
    <w:rsid w:val="070C3089"/>
    <w:rsid w:val="08887D96"/>
    <w:rsid w:val="0B9B2A2F"/>
    <w:rsid w:val="0C7F1BFD"/>
    <w:rsid w:val="0CA5209D"/>
    <w:rsid w:val="0E1F4925"/>
    <w:rsid w:val="0ECF5646"/>
    <w:rsid w:val="157D2822"/>
    <w:rsid w:val="17B770A1"/>
    <w:rsid w:val="17D16AC7"/>
    <w:rsid w:val="18314C90"/>
    <w:rsid w:val="1A6E1BEC"/>
    <w:rsid w:val="1CA76965"/>
    <w:rsid w:val="1FE002E5"/>
    <w:rsid w:val="21630731"/>
    <w:rsid w:val="254F4540"/>
    <w:rsid w:val="2569714B"/>
    <w:rsid w:val="293740AA"/>
    <w:rsid w:val="298D2BC5"/>
    <w:rsid w:val="2C7A7355"/>
    <w:rsid w:val="2D700F34"/>
    <w:rsid w:val="2E073411"/>
    <w:rsid w:val="2F264072"/>
    <w:rsid w:val="2F7B476D"/>
    <w:rsid w:val="32332B5F"/>
    <w:rsid w:val="381D0A3A"/>
    <w:rsid w:val="38EE03C0"/>
    <w:rsid w:val="3970242C"/>
    <w:rsid w:val="3A9D1AC3"/>
    <w:rsid w:val="3C707199"/>
    <w:rsid w:val="40F75F6D"/>
    <w:rsid w:val="425C3842"/>
    <w:rsid w:val="43842FD4"/>
    <w:rsid w:val="44BB4186"/>
    <w:rsid w:val="46CA2EF5"/>
    <w:rsid w:val="48882009"/>
    <w:rsid w:val="48C53751"/>
    <w:rsid w:val="491E490A"/>
    <w:rsid w:val="4A8405CE"/>
    <w:rsid w:val="4DFB7A46"/>
    <w:rsid w:val="4EC124A4"/>
    <w:rsid w:val="51B51D5F"/>
    <w:rsid w:val="528C2CB4"/>
    <w:rsid w:val="55E349F5"/>
    <w:rsid w:val="578B3024"/>
    <w:rsid w:val="5B210DE7"/>
    <w:rsid w:val="5FB122F5"/>
    <w:rsid w:val="60C87E30"/>
    <w:rsid w:val="62E73509"/>
    <w:rsid w:val="63822FC4"/>
    <w:rsid w:val="66895DC9"/>
    <w:rsid w:val="67E40376"/>
    <w:rsid w:val="6E2208A1"/>
    <w:rsid w:val="6E4F138F"/>
    <w:rsid w:val="703A3541"/>
    <w:rsid w:val="72887925"/>
    <w:rsid w:val="732B74E1"/>
    <w:rsid w:val="75F952CE"/>
    <w:rsid w:val="778C520B"/>
    <w:rsid w:val="7D303FA9"/>
    <w:rsid w:val="7D596A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qFormat="1" w:uiPriority="99" w:semiHidden="0" w:name="HTML Cite"/>
    <w:lsdException w:uiPriority="99" w:semiHidden="0" w:name="HTML Code"/>
    <w:lsdException w:qFormat="1" w:uiPriority="99" w:semiHidden="0" w:name="HTML Definition"/>
    <w:lsdException w:qFormat="1" w:uiPriority="99" w:semiHidden="0" w:name="HTML Keyboard"/>
    <w:lsdException w:uiPriority="99"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55"/>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9"/>
    <w:qFormat/>
    <w:uiPriority w:val="9"/>
    <w:pPr>
      <w:keepNext/>
      <w:keepLines/>
      <w:spacing w:before="260" w:after="260" w:line="413" w:lineRule="auto"/>
      <w:outlineLvl w:val="2"/>
    </w:pPr>
    <w:rPr>
      <w:b/>
      <w:sz w:val="32"/>
    </w:rPr>
  </w:style>
  <w:style w:type="paragraph" w:styleId="6">
    <w:name w:val="heading 4"/>
    <w:basedOn w:val="1"/>
    <w:next w:val="1"/>
    <w:link w:val="89"/>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91"/>
    <w:qFormat/>
    <w:uiPriority w:val="9"/>
    <w:pPr>
      <w:keepNext/>
      <w:keepLines/>
      <w:spacing w:before="280" w:after="290" w:line="372" w:lineRule="auto"/>
      <w:outlineLvl w:val="4"/>
    </w:pPr>
    <w:rPr>
      <w:b/>
      <w:sz w:val="28"/>
    </w:rPr>
  </w:style>
  <w:style w:type="paragraph" w:styleId="8">
    <w:name w:val="heading 6"/>
    <w:basedOn w:val="1"/>
    <w:next w:val="1"/>
    <w:link w:val="60"/>
    <w:qFormat/>
    <w:uiPriority w:val="9"/>
    <w:pPr>
      <w:keepNext/>
      <w:keepLines/>
      <w:tabs>
        <w:tab w:val="left" w:pos="0"/>
      </w:tabs>
      <w:adjustRightInd w:val="0"/>
      <w:spacing w:before="240" w:after="64" w:line="320" w:lineRule="auto"/>
      <w:textAlignment w:val="baseline"/>
      <w:outlineLvl w:val="5"/>
    </w:pPr>
    <w:rPr>
      <w:rFonts w:ascii="Arial" w:hAnsi="Arial" w:eastAsia="黑体"/>
      <w:b/>
      <w:kern w:val="0"/>
      <w:sz w:val="28"/>
      <w:szCs w:val="20"/>
    </w:rPr>
  </w:style>
  <w:style w:type="paragraph" w:styleId="9">
    <w:name w:val="heading 7"/>
    <w:basedOn w:val="1"/>
    <w:next w:val="1"/>
    <w:link w:val="85"/>
    <w:qFormat/>
    <w:uiPriority w:val="9"/>
    <w:pPr>
      <w:keepNext/>
      <w:keepLines/>
      <w:tabs>
        <w:tab w:val="left" w:pos="0"/>
      </w:tabs>
      <w:adjustRightInd w:val="0"/>
      <w:spacing w:before="240" w:after="64" w:line="320" w:lineRule="auto"/>
      <w:textAlignment w:val="baseline"/>
      <w:outlineLvl w:val="6"/>
    </w:pPr>
    <w:rPr>
      <w:b/>
      <w:kern w:val="0"/>
      <w:sz w:val="28"/>
      <w:szCs w:val="20"/>
    </w:rPr>
  </w:style>
  <w:style w:type="paragraph" w:styleId="10">
    <w:name w:val="heading 8"/>
    <w:basedOn w:val="1"/>
    <w:next w:val="1"/>
    <w:link w:val="77"/>
    <w:qFormat/>
    <w:uiPriority w:val="9"/>
    <w:pPr>
      <w:keepNext/>
      <w:keepLines/>
      <w:tabs>
        <w:tab w:val="left" w:pos="0"/>
      </w:tabs>
      <w:adjustRightInd w:val="0"/>
      <w:spacing w:before="240" w:after="64" w:line="320" w:lineRule="auto"/>
      <w:textAlignment w:val="baseline"/>
      <w:outlineLvl w:val="7"/>
    </w:pPr>
    <w:rPr>
      <w:rFonts w:ascii="Arial" w:hAnsi="Arial" w:eastAsia="黑体"/>
      <w:kern w:val="0"/>
      <w:sz w:val="28"/>
      <w:szCs w:val="20"/>
    </w:rPr>
  </w:style>
  <w:style w:type="paragraph" w:styleId="11">
    <w:name w:val="heading 9"/>
    <w:basedOn w:val="1"/>
    <w:next w:val="1"/>
    <w:link w:val="62"/>
    <w:qFormat/>
    <w:uiPriority w:val="9"/>
    <w:pPr>
      <w:keepNext/>
      <w:keepLines/>
      <w:tabs>
        <w:tab w:val="left" w:pos="0"/>
      </w:tabs>
      <w:adjustRightInd w:val="0"/>
      <w:spacing w:before="240" w:after="64" w:line="320" w:lineRule="auto"/>
      <w:textAlignment w:val="baseline"/>
      <w:outlineLvl w:val="8"/>
    </w:pPr>
    <w:rPr>
      <w:rFonts w:ascii="Arial" w:hAnsi="Arial" w:eastAsia="黑体"/>
      <w:kern w:val="0"/>
      <w:sz w:val="28"/>
      <w:szCs w:val="20"/>
    </w:rPr>
  </w:style>
  <w:style w:type="character" w:default="1" w:styleId="37">
    <w:name w:val="Default Paragraph Font"/>
    <w:unhideWhenUsed/>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customStyle="1" w:styleId="2">
    <w:name w:val="[Normal]"/>
    <w:qFormat/>
    <w:uiPriority w:val="0"/>
    <w:rPr>
      <w:rFonts w:ascii="宋体" w:hAnsi="宋体"/>
      <w:sz w:val="24"/>
      <w:szCs w:val="22"/>
      <w:lang w:val="zh-CN" w:eastAsia="zh-CN" w:bidi="ar-SA"/>
    </w:rPr>
  </w:style>
  <w:style w:type="paragraph" w:styleId="12">
    <w:name w:val="List Number"/>
    <w:basedOn w:val="1"/>
    <w:qFormat/>
    <w:uiPriority w:val="0"/>
    <w:pPr>
      <w:numPr>
        <w:ilvl w:val="0"/>
        <w:numId w:val="1"/>
      </w:numPr>
    </w:pPr>
  </w:style>
  <w:style w:type="paragraph" w:styleId="13">
    <w:name w:val="Normal Indent"/>
    <w:basedOn w:val="1"/>
    <w:link w:val="82"/>
    <w:unhideWhenUsed/>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7"/>
    <w:unhideWhenUsed/>
    <w:qFormat/>
    <w:uiPriority w:val="99"/>
    <w:rPr>
      <w:rFonts w:ascii="宋体"/>
      <w:sz w:val="18"/>
      <w:szCs w:val="18"/>
    </w:rPr>
  </w:style>
  <w:style w:type="paragraph" w:styleId="16">
    <w:name w:val="annotation text"/>
    <w:basedOn w:val="1"/>
    <w:link w:val="56"/>
    <w:unhideWhenUsed/>
    <w:qFormat/>
    <w:uiPriority w:val="99"/>
    <w:pPr>
      <w:jc w:val="left"/>
    </w:pPr>
    <w:rPr>
      <w:szCs w:val="24"/>
    </w:rPr>
  </w:style>
  <w:style w:type="paragraph" w:styleId="17">
    <w:name w:val="Body Text 3"/>
    <w:basedOn w:val="1"/>
    <w:link w:val="66"/>
    <w:qFormat/>
    <w:uiPriority w:val="0"/>
    <w:pPr>
      <w:snapToGrid w:val="0"/>
      <w:spacing w:before="50" w:after="50"/>
    </w:pPr>
    <w:rPr>
      <w:rFonts w:hAnsi="宋体" w:eastAsia="仿宋_GB2312"/>
      <w:b/>
      <w:bCs/>
      <w:sz w:val="24"/>
      <w:szCs w:val="20"/>
    </w:rPr>
  </w:style>
  <w:style w:type="paragraph" w:styleId="18">
    <w:name w:val="Body Text"/>
    <w:basedOn w:val="1"/>
    <w:link w:val="99"/>
    <w:qFormat/>
    <w:uiPriority w:val="0"/>
    <w:pPr>
      <w:spacing w:after="120"/>
    </w:pPr>
  </w:style>
  <w:style w:type="paragraph" w:styleId="19">
    <w:name w:val="Body Text Indent"/>
    <w:basedOn w:val="1"/>
    <w:link w:val="79"/>
    <w:qFormat/>
    <w:uiPriority w:val="0"/>
    <w:pPr>
      <w:spacing w:line="200" w:lineRule="exact"/>
      <w:ind w:firstLine="301"/>
    </w:pPr>
    <w:rPr>
      <w:rFonts w:ascii="宋体" w:hAnsi="Courier New"/>
      <w:spacing w:val="-4"/>
      <w:sz w:val="18"/>
      <w:szCs w:val="20"/>
    </w:rPr>
  </w:style>
  <w:style w:type="paragraph" w:styleId="20">
    <w:name w:val="toc 3"/>
    <w:basedOn w:val="1"/>
    <w:next w:val="1"/>
    <w:uiPriority w:val="39"/>
    <w:pPr>
      <w:ind w:left="840" w:leftChars="400"/>
    </w:pPr>
  </w:style>
  <w:style w:type="paragraph" w:styleId="21">
    <w:name w:val="Plain Text"/>
    <w:basedOn w:val="1"/>
    <w:link w:val="68"/>
    <w:qFormat/>
    <w:uiPriority w:val="0"/>
    <w:pPr>
      <w:spacing w:beforeLines="50" w:afterLines="50" w:line="400" w:lineRule="exact"/>
    </w:pPr>
    <w:rPr>
      <w:rFonts w:ascii="宋体" w:hAnsi="Courier New"/>
      <w:sz w:val="24"/>
      <w:szCs w:val="24"/>
    </w:rPr>
  </w:style>
  <w:style w:type="paragraph" w:styleId="22">
    <w:name w:val="Date"/>
    <w:basedOn w:val="1"/>
    <w:next w:val="1"/>
    <w:link w:val="76"/>
    <w:qFormat/>
    <w:uiPriority w:val="0"/>
    <w:pPr>
      <w:ind w:left="2500" w:leftChars="2500"/>
    </w:pPr>
    <w:rPr>
      <w:rFonts w:eastAsia="楷体_GB2312"/>
      <w:sz w:val="32"/>
      <w:szCs w:val="20"/>
    </w:rPr>
  </w:style>
  <w:style w:type="paragraph" w:styleId="23">
    <w:name w:val="Balloon Text"/>
    <w:basedOn w:val="1"/>
    <w:link w:val="67"/>
    <w:unhideWhenUsed/>
    <w:qFormat/>
    <w:uiPriority w:val="99"/>
    <w:rPr>
      <w:sz w:val="18"/>
      <w:szCs w:val="18"/>
    </w:rPr>
  </w:style>
  <w:style w:type="paragraph" w:styleId="24">
    <w:name w:val="footer"/>
    <w:basedOn w:val="1"/>
    <w:link w:val="57"/>
    <w:unhideWhenUsed/>
    <w:qFormat/>
    <w:uiPriority w:val="0"/>
    <w:pPr>
      <w:tabs>
        <w:tab w:val="center" w:pos="4153"/>
        <w:tab w:val="right" w:pos="8306"/>
      </w:tabs>
      <w:snapToGrid w:val="0"/>
      <w:jc w:val="left"/>
    </w:pPr>
    <w:rPr>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jc w:val="center"/>
    </w:pPr>
    <w:rPr>
      <w:rFonts w:ascii="Times New Roman" w:hAnsi="Times New Roman"/>
      <w:szCs w:val="24"/>
    </w:rPr>
  </w:style>
  <w:style w:type="paragraph" w:styleId="27">
    <w:name w:val="List"/>
    <w:basedOn w:val="1"/>
    <w:qFormat/>
    <w:uiPriority w:val="0"/>
    <w:pPr>
      <w:ind w:left="200" w:hanging="200" w:hangingChars="200"/>
    </w:pPr>
    <w:rPr>
      <w:rFonts w:ascii="Times New Roman" w:hAnsi="Times New Roman"/>
      <w:sz w:val="28"/>
      <w:szCs w:val="24"/>
    </w:rPr>
  </w:style>
  <w:style w:type="paragraph" w:styleId="28">
    <w:name w:val="toc 2"/>
    <w:basedOn w:val="1"/>
    <w:next w:val="1"/>
    <w:unhideWhenUsed/>
    <w:qFormat/>
    <w:uiPriority w:val="39"/>
    <w:pPr>
      <w:tabs>
        <w:tab w:val="left" w:pos="764"/>
        <w:tab w:val="right" w:leader="dot" w:pos="8296"/>
      </w:tabs>
      <w:ind w:left="210"/>
      <w:jc w:val="left"/>
    </w:pPr>
    <w:rPr>
      <w:rFonts w:cs="Calibri"/>
      <w:smallCaps/>
      <w:sz w:val="20"/>
      <w:szCs w:val="20"/>
    </w:rPr>
  </w:style>
  <w:style w:type="paragraph" w:styleId="29">
    <w:name w:val="Body Text 2"/>
    <w:basedOn w:val="1"/>
    <w:link w:val="72"/>
    <w:qFormat/>
    <w:uiPriority w:val="0"/>
    <w:pPr>
      <w:widowControl/>
      <w:snapToGrid w:val="0"/>
      <w:spacing w:before="50" w:afterLines="50" w:line="400" w:lineRule="exact"/>
      <w:jc w:val="left"/>
    </w:pPr>
    <w:rPr>
      <w:rFonts w:ascii="宋体" w:hAnsi="宋体"/>
      <w:color w:val="000000"/>
      <w:sz w:val="24"/>
      <w:szCs w:val="24"/>
    </w:rPr>
  </w:style>
  <w:style w:type="paragraph" w:styleId="30">
    <w:name w:val="HTML Preformatted"/>
    <w:basedOn w:val="1"/>
    <w:link w:val="9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1">
    <w:name w:val="Normal (Web)"/>
    <w:basedOn w:val="1"/>
    <w:unhideWhenUsed/>
    <w:qFormat/>
    <w:uiPriority w:val="99"/>
    <w:rPr>
      <w:sz w:val="24"/>
    </w:rPr>
  </w:style>
  <w:style w:type="paragraph" w:styleId="32">
    <w:name w:val="annotation subject"/>
    <w:basedOn w:val="16"/>
    <w:next w:val="16"/>
    <w:link w:val="105"/>
    <w:uiPriority w:val="0"/>
    <w:rPr>
      <w:b/>
      <w:bCs/>
      <w:szCs w:val="22"/>
    </w:rPr>
  </w:style>
  <w:style w:type="paragraph" w:styleId="33">
    <w:name w:val="Body Text First Indent"/>
    <w:basedOn w:val="18"/>
    <w:link w:val="98"/>
    <w:unhideWhenUsed/>
    <w:qFormat/>
    <w:uiPriority w:val="99"/>
    <w:pPr>
      <w:ind w:firstLine="420" w:firstLineChars="100"/>
    </w:pPr>
  </w:style>
  <w:style w:type="paragraph" w:styleId="34">
    <w:name w:val="Body Text First Indent 2"/>
    <w:basedOn w:val="1"/>
    <w:uiPriority w:val="0"/>
    <w:pPr>
      <w:spacing w:line="360" w:lineRule="auto"/>
      <w:ind w:firstLine="200" w:firstLineChars="200"/>
    </w:pPr>
    <w:rPr>
      <w:sz w:val="24"/>
    </w:rPr>
  </w:style>
  <w:style w:type="table" w:styleId="36">
    <w:name w:val="Table Grid"/>
    <w:basedOn w:val="35"/>
    <w:qFormat/>
    <w:uiPriority w:val="59"/>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rPr>
  </w:style>
  <w:style w:type="character" w:styleId="39">
    <w:name w:val="page number"/>
    <w:basedOn w:val="37"/>
    <w:qFormat/>
    <w:uiPriority w:val="0"/>
  </w:style>
  <w:style w:type="character" w:styleId="40">
    <w:name w:val="FollowedHyperlink"/>
    <w:unhideWhenUsed/>
    <w:qFormat/>
    <w:uiPriority w:val="99"/>
    <w:rPr>
      <w:color w:val="555555"/>
      <w:u w:val="none"/>
    </w:rPr>
  </w:style>
  <w:style w:type="character" w:styleId="41">
    <w:name w:val="Emphasis"/>
    <w:qFormat/>
    <w:uiPriority w:val="20"/>
    <w:rPr>
      <w:i/>
    </w:rPr>
  </w:style>
  <w:style w:type="character" w:styleId="42">
    <w:name w:val="HTML Definition"/>
    <w:basedOn w:val="37"/>
    <w:unhideWhenUsed/>
    <w:qFormat/>
    <w:uiPriority w:val="99"/>
  </w:style>
  <w:style w:type="character" w:styleId="43">
    <w:name w:val="HTML Acronym"/>
    <w:basedOn w:val="37"/>
    <w:unhideWhenUsed/>
    <w:qFormat/>
    <w:uiPriority w:val="99"/>
  </w:style>
  <w:style w:type="character" w:styleId="44">
    <w:name w:val="HTML Variable"/>
    <w:basedOn w:val="37"/>
    <w:unhideWhenUsed/>
    <w:qFormat/>
    <w:uiPriority w:val="99"/>
  </w:style>
  <w:style w:type="character" w:styleId="45">
    <w:name w:val="Hyperlink"/>
    <w:qFormat/>
    <w:uiPriority w:val="99"/>
    <w:rPr>
      <w:color w:val="0000FF"/>
      <w:u w:val="single"/>
    </w:rPr>
  </w:style>
  <w:style w:type="character" w:styleId="46">
    <w:name w:val="HTML Code"/>
    <w:unhideWhenUsed/>
    <w:uiPriority w:val="99"/>
    <w:rPr>
      <w:rFonts w:hint="default" w:ascii="monospace" w:hAnsi="monospace" w:eastAsia="monospace" w:cs="monospace"/>
      <w:sz w:val="24"/>
      <w:szCs w:val="24"/>
    </w:rPr>
  </w:style>
  <w:style w:type="character" w:styleId="47">
    <w:name w:val="annotation reference"/>
    <w:uiPriority w:val="99"/>
    <w:rPr>
      <w:sz w:val="21"/>
      <w:szCs w:val="21"/>
    </w:rPr>
  </w:style>
  <w:style w:type="character" w:styleId="48">
    <w:name w:val="HTML Cite"/>
    <w:basedOn w:val="37"/>
    <w:unhideWhenUsed/>
    <w:qFormat/>
    <w:uiPriority w:val="99"/>
  </w:style>
  <w:style w:type="character" w:styleId="49">
    <w:name w:val="HTML Keyboard"/>
    <w:unhideWhenUsed/>
    <w:qFormat/>
    <w:uiPriority w:val="99"/>
    <w:rPr>
      <w:rFonts w:ascii="monospace" w:hAnsi="monospace" w:eastAsia="monospace" w:cs="monospace"/>
      <w:sz w:val="24"/>
      <w:szCs w:val="24"/>
    </w:rPr>
  </w:style>
  <w:style w:type="character" w:styleId="50">
    <w:name w:val="HTML Sample"/>
    <w:unhideWhenUsed/>
    <w:qFormat/>
    <w:uiPriority w:val="99"/>
    <w:rPr>
      <w:rFonts w:hint="default" w:ascii="monospace" w:hAnsi="monospace" w:eastAsia="monospace" w:cs="monospace"/>
      <w:sz w:val="24"/>
      <w:szCs w:val="24"/>
    </w:rPr>
  </w:style>
  <w:style w:type="character" w:customStyle="1" w:styleId="51">
    <w:name w:val="bds_more1"/>
    <w:basedOn w:val="37"/>
    <w:qFormat/>
    <w:uiPriority w:val="0"/>
  </w:style>
  <w:style w:type="character" w:customStyle="1" w:styleId="52">
    <w:name w:val="tip8"/>
    <w:qFormat/>
    <w:uiPriority w:val="0"/>
    <w:rPr>
      <w:vanish/>
      <w:color w:val="FF0000"/>
      <w:sz w:val="18"/>
      <w:szCs w:val="18"/>
    </w:rPr>
  </w:style>
  <w:style w:type="character" w:customStyle="1" w:styleId="53">
    <w:name w:val="文档正文 Char"/>
    <w:link w:val="54"/>
    <w:uiPriority w:val="0"/>
    <w:rPr>
      <w:rFonts w:hAnsi="Calibri"/>
      <w:sz w:val="28"/>
      <w:szCs w:val="22"/>
    </w:rPr>
  </w:style>
  <w:style w:type="paragraph" w:customStyle="1" w:styleId="54">
    <w:name w:val="文档正文"/>
    <w:basedOn w:val="1"/>
    <w:link w:val="53"/>
    <w:qFormat/>
    <w:uiPriority w:val="0"/>
    <w:pPr>
      <w:adjustRightInd w:val="0"/>
      <w:spacing w:line="312" w:lineRule="atLeast"/>
      <w:ind w:firstLine="567"/>
      <w:textAlignment w:val="baseline"/>
    </w:pPr>
    <w:rPr>
      <w:kern w:val="0"/>
      <w:sz w:val="28"/>
    </w:rPr>
  </w:style>
  <w:style w:type="character" w:customStyle="1" w:styleId="55">
    <w:name w:val="标题 1 Char"/>
    <w:link w:val="3"/>
    <w:uiPriority w:val="9"/>
    <w:rPr>
      <w:rFonts w:ascii="Calibri" w:hAnsi="Calibri"/>
      <w:b/>
      <w:bCs/>
      <w:kern w:val="44"/>
      <w:sz w:val="44"/>
      <w:szCs w:val="44"/>
    </w:rPr>
  </w:style>
  <w:style w:type="character" w:customStyle="1" w:styleId="56">
    <w:name w:val="批注文字 Char"/>
    <w:link w:val="16"/>
    <w:uiPriority w:val="99"/>
    <w:rPr>
      <w:rFonts w:hAnsi="Calibri"/>
      <w:kern w:val="2"/>
      <w:sz w:val="21"/>
      <w:szCs w:val="24"/>
    </w:rPr>
  </w:style>
  <w:style w:type="character" w:customStyle="1" w:styleId="57">
    <w:name w:val="页脚 Char"/>
    <w:link w:val="24"/>
    <w:qFormat/>
    <w:uiPriority w:val="0"/>
    <w:rPr>
      <w:rFonts w:ascii="Calibri" w:hAnsi="Calibri"/>
      <w:kern w:val="2"/>
      <w:sz w:val="18"/>
      <w:szCs w:val="18"/>
    </w:rPr>
  </w:style>
  <w:style w:type="character" w:customStyle="1" w:styleId="58">
    <w:name w:val="my-notice1"/>
    <w:basedOn w:val="37"/>
    <w:qFormat/>
    <w:uiPriority w:val="0"/>
  </w:style>
  <w:style w:type="character" w:customStyle="1" w:styleId="59">
    <w:name w:val="no52"/>
    <w:basedOn w:val="37"/>
    <w:qFormat/>
    <w:uiPriority w:val="0"/>
  </w:style>
  <w:style w:type="character" w:customStyle="1" w:styleId="60">
    <w:name w:val="标题 6 Char"/>
    <w:link w:val="8"/>
    <w:uiPriority w:val="9"/>
    <w:rPr>
      <w:rFonts w:ascii="Arial" w:hAnsi="Arial" w:eastAsia="黑体"/>
      <w:b/>
      <w:sz w:val="28"/>
    </w:rPr>
  </w:style>
  <w:style w:type="character" w:customStyle="1" w:styleId="61">
    <w:name w:val="my-class"/>
    <w:basedOn w:val="37"/>
    <w:qFormat/>
    <w:uiPriority w:val="0"/>
  </w:style>
  <w:style w:type="character" w:customStyle="1" w:styleId="62">
    <w:name w:val="标题 9 Char"/>
    <w:link w:val="11"/>
    <w:uiPriority w:val="9"/>
    <w:rPr>
      <w:rFonts w:ascii="Arial" w:hAnsi="Arial" w:eastAsia="黑体"/>
      <w:sz w:val="28"/>
    </w:rPr>
  </w:style>
  <w:style w:type="character" w:customStyle="1" w:styleId="63">
    <w:name w:val="no72"/>
    <w:basedOn w:val="37"/>
    <w:qFormat/>
    <w:uiPriority w:val="0"/>
  </w:style>
  <w:style w:type="character" w:customStyle="1" w:styleId="64">
    <w:name w:val="页眉 Char"/>
    <w:link w:val="25"/>
    <w:qFormat/>
    <w:uiPriority w:val="0"/>
    <w:rPr>
      <w:rFonts w:ascii="Calibri" w:hAnsi="Calibri"/>
      <w:kern w:val="2"/>
      <w:sz w:val="18"/>
      <w:szCs w:val="18"/>
    </w:rPr>
  </w:style>
  <w:style w:type="character" w:customStyle="1" w:styleId="65">
    <w:name w:val="bds_more2"/>
    <w:qFormat/>
    <w:uiPriority w:val="0"/>
    <w:rPr>
      <w:rFonts w:hint="eastAsia" w:ascii="宋体" w:hAnsi="宋体" w:eastAsia="宋体" w:cs="宋体"/>
    </w:rPr>
  </w:style>
  <w:style w:type="character" w:customStyle="1" w:styleId="66">
    <w:name w:val="正文文本 3 Char"/>
    <w:link w:val="17"/>
    <w:qFormat/>
    <w:uiPriority w:val="0"/>
    <w:rPr>
      <w:rFonts w:ascii="Calibri" w:hAnsi="宋体" w:eastAsia="仿宋_GB2312"/>
      <w:b/>
      <w:bCs/>
      <w:kern w:val="2"/>
      <w:sz w:val="24"/>
    </w:rPr>
  </w:style>
  <w:style w:type="character" w:customStyle="1" w:styleId="67">
    <w:name w:val="批注框文本 Char"/>
    <w:link w:val="23"/>
    <w:qFormat/>
    <w:uiPriority w:val="99"/>
    <w:rPr>
      <w:rFonts w:ascii="Calibri" w:hAnsi="Calibri"/>
      <w:kern w:val="2"/>
      <w:sz w:val="18"/>
      <w:szCs w:val="18"/>
    </w:rPr>
  </w:style>
  <w:style w:type="character" w:customStyle="1" w:styleId="68">
    <w:name w:val="纯文本 Char"/>
    <w:link w:val="21"/>
    <w:qFormat/>
    <w:uiPriority w:val="0"/>
    <w:rPr>
      <w:rFonts w:ascii="宋体" w:hAnsi="Courier New"/>
      <w:kern w:val="2"/>
      <w:sz w:val="24"/>
      <w:szCs w:val="24"/>
    </w:rPr>
  </w:style>
  <w:style w:type="character" w:customStyle="1" w:styleId="69">
    <w:name w:val="标题 3 Char"/>
    <w:link w:val="5"/>
    <w:uiPriority w:val="9"/>
    <w:rPr>
      <w:rFonts w:ascii="Calibri" w:hAnsi="Calibri"/>
      <w:b/>
      <w:kern w:val="2"/>
      <w:sz w:val="32"/>
      <w:szCs w:val="22"/>
    </w:rPr>
  </w:style>
  <w:style w:type="character" w:customStyle="1" w:styleId="70">
    <w:name w:val="ui-bz-bg-hover1"/>
    <w:basedOn w:val="37"/>
    <w:qFormat/>
    <w:uiPriority w:val="0"/>
  </w:style>
  <w:style w:type="character" w:customStyle="1" w:styleId="71">
    <w:name w:val="标题 2 Char"/>
    <w:link w:val="4"/>
    <w:qFormat/>
    <w:uiPriority w:val="0"/>
    <w:rPr>
      <w:rFonts w:ascii="Arial" w:hAnsi="Arial" w:eastAsia="黑体"/>
      <w:b/>
      <w:bCs/>
      <w:kern w:val="2"/>
      <w:sz w:val="32"/>
      <w:szCs w:val="32"/>
    </w:rPr>
  </w:style>
  <w:style w:type="character" w:customStyle="1" w:styleId="72">
    <w:name w:val="正文文本 2 Char"/>
    <w:link w:val="29"/>
    <w:qFormat/>
    <w:uiPriority w:val="0"/>
    <w:rPr>
      <w:rFonts w:ascii="宋体" w:hAnsi="宋体"/>
      <w:color w:val="000000"/>
      <w:kern w:val="2"/>
      <w:sz w:val="24"/>
      <w:szCs w:val="24"/>
    </w:rPr>
  </w:style>
  <w:style w:type="character" w:customStyle="1" w:styleId="73">
    <w:name w:val="纯文本 Char2"/>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0"/>
    <w:rPr>
      <w:rFonts w:ascii="宋体" w:hAnsi="Courier New"/>
      <w:kern w:val="2"/>
      <w:sz w:val="24"/>
      <w:szCs w:val="24"/>
    </w:rPr>
  </w:style>
  <w:style w:type="character" w:customStyle="1" w:styleId="74">
    <w:name w:val="ico-jiang"/>
    <w:basedOn w:val="37"/>
    <w:qFormat/>
    <w:uiPriority w:val="0"/>
  </w:style>
  <w:style w:type="character" w:customStyle="1" w:styleId="75">
    <w:name w:val="bds_nopic"/>
    <w:basedOn w:val="37"/>
    <w:qFormat/>
    <w:uiPriority w:val="0"/>
  </w:style>
  <w:style w:type="character" w:customStyle="1" w:styleId="76">
    <w:name w:val="日期 Char"/>
    <w:link w:val="22"/>
    <w:qFormat/>
    <w:uiPriority w:val="0"/>
    <w:rPr>
      <w:rFonts w:ascii="Calibri" w:hAnsi="Calibri" w:eastAsia="楷体_GB2312"/>
      <w:kern w:val="2"/>
      <w:sz w:val="32"/>
    </w:rPr>
  </w:style>
  <w:style w:type="character" w:customStyle="1" w:styleId="77">
    <w:name w:val="标题 8 Char"/>
    <w:link w:val="10"/>
    <w:uiPriority w:val="9"/>
    <w:rPr>
      <w:rFonts w:ascii="Arial" w:hAnsi="Arial" w:eastAsia="黑体"/>
      <w:sz w:val="28"/>
    </w:rPr>
  </w:style>
  <w:style w:type="character" w:customStyle="1" w:styleId="78">
    <w:name w:val="org_name"/>
    <w:basedOn w:val="37"/>
    <w:qFormat/>
    <w:uiPriority w:val="0"/>
  </w:style>
  <w:style w:type="character" w:customStyle="1" w:styleId="79">
    <w:name w:val="正文文本缩进 Char"/>
    <w:link w:val="19"/>
    <w:qFormat/>
    <w:uiPriority w:val="0"/>
    <w:rPr>
      <w:rFonts w:ascii="宋体" w:hAnsi="Courier New"/>
      <w:spacing w:val="-4"/>
      <w:kern w:val="2"/>
      <w:sz w:val="18"/>
    </w:rPr>
  </w:style>
  <w:style w:type="character" w:customStyle="1" w:styleId="80">
    <w:name w:val="org_name2"/>
    <w:basedOn w:val="37"/>
    <w:qFormat/>
    <w:uiPriority w:val="0"/>
  </w:style>
  <w:style w:type="character" w:customStyle="1" w:styleId="81">
    <w:name w:val="f-star"/>
    <w:qFormat/>
    <w:uiPriority w:val="0"/>
    <w:rPr>
      <w:color w:val="999999"/>
      <w:sz w:val="21"/>
      <w:szCs w:val="21"/>
    </w:rPr>
  </w:style>
  <w:style w:type="character" w:customStyle="1" w:styleId="82">
    <w:name w:val="正文缩进 Char"/>
    <w:link w:val="13"/>
    <w:uiPriority w:val="0"/>
    <w:rPr>
      <w:rFonts w:ascii="Calibri" w:hAnsi="Calibri"/>
      <w:kern w:val="2"/>
      <w:sz w:val="21"/>
      <w:szCs w:val="22"/>
    </w:rPr>
  </w:style>
  <w:style w:type="character" w:customStyle="1" w:styleId="83">
    <w:name w:val="bds_nopic1"/>
    <w:qFormat/>
    <w:uiPriority w:val="0"/>
    <w:rPr>
      <w:rFonts w:ascii="宋体 ! important" w:hAnsi="宋体 ! important" w:eastAsia="宋体 ! important" w:cs="宋体 ! important"/>
      <w:color w:val="454545"/>
      <w:sz w:val="21"/>
      <w:szCs w:val="21"/>
    </w:rPr>
  </w:style>
  <w:style w:type="character" w:customStyle="1" w:styleId="84">
    <w:name w:val="标题 1 Char Char"/>
    <w:qFormat/>
    <w:uiPriority w:val="0"/>
    <w:rPr>
      <w:rFonts w:eastAsia="宋体"/>
      <w:b/>
      <w:spacing w:val="-2"/>
      <w:sz w:val="24"/>
      <w:lang w:val="en-US" w:eastAsia="zh-CN" w:bidi="ar-SA"/>
    </w:rPr>
  </w:style>
  <w:style w:type="character" w:customStyle="1" w:styleId="85">
    <w:name w:val="标题 7 Char"/>
    <w:link w:val="9"/>
    <w:uiPriority w:val="9"/>
    <w:rPr>
      <w:b/>
      <w:sz w:val="28"/>
    </w:rPr>
  </w:style>
  <w:style w:type="character" w:customStyle="1" w:styleId="86">
    <w:name w:val="no62"/>
    <w:basedOn w:val="37"/>
    <w:qFormat/>
    <w:uiPriority w:val="0"/>
  </w:style>
  <w:style w:type="character" w:customStyle="1" w:styleId="87">
    <w:name w:val="文档结构图 Char"/>
    <w:link w:val="15"/>
    <w:qFormat/>
    <w:uiPriority w:val="99"/>
    <w:rPr>
      <w:rFonts w:ascii="宋体" w:hAnsi="Calibri"/>
      <w:kern w:val="2"/>
      <w:sz w:val="18"/>
      <w:szCs w:val="18"/>
    </w:rPr>
  </w:style>
  <w:style w:type="character" w:customStyle="1" w:styleId="88">
    <w:name w:val="t-tag"/>
    <w:qFormat/>
    <w:uiPriority w:val="0"/>
    <w:rPr>
      <w:color w:val="FFFFFF"/>
      <w:sz w:val="18"/>
      <w:szCs w:val="18"/>
      <w:shd w:val="clear" w:color="auto" w:fill="FE8833"/>
    </w:rPr>
  </w:style>
  <w:style w:type="character" w:customStyle="1" w:styleId="89">
    <w:name w:val="标题 4 Char"/>
    <w:link w:val="6"/>
    <w:uiPriority w:val="9"/>
    <w:rPr>
      <w:rFonts w:ascii="Arial" w:hAnsi="Arial" w:eastAsia="黑体"/>
      <w:b/>
      <w:kern w:val="2"/>
      <w:sz w:val="28"/>
      <w:szCs w:val="22"/>
    </w:rPr>
  </w:style>
  <w:style w:type="character" w:customStyle="1" w:styleId="90">
    <w:name w:val="bds_nopic2"/>
    <w:basedOn w:val="37"/>
    <w:qFormat/>
    <w:uiPriority w:val="0"/>
  </w:style>
  <w:style w:type="character" w:customStyle="1" w:styleId="91">
    <w:name w:val="标题 5 Char"/>
    <w:link w:val="7"/>
    <w:uiPriority w:val="9"/>
    <w:rPr>
      <w:rFonts w:ascii="Calibri" w:hAnsi="Calibri"/>
      <w:b/>
      <w:kern w:val="2"/>
      <w:sz w:val="28"/>
      <w:szCs w:val="22"/>
    </w:rPr>
  </w:style>
  <w:style w:type="character" w:customStyle="1" w:styleId="92">
    <w:name w:val="no42"/>
    <w:basedOn w:val="37"/>
    <w:uiPriority w:val="0"/>
  </w:style>
  <w:style w:type="character" w:customStyle="1" w:styleId="93">
    <w:name w:val="ico-jiang1"/>
    <w:basedOn w:val="37"/>
    <w:qFormat/>
    <w:uiPriority w:val="0"/>
  </w:style>
  <w:style w:type="character" w:customStyle="1" w:styleId="94">
    <w:name w:val="ui-bz-bg-hover"/>
    <w:qFormat/>
    <w:uiPriority w:val="0"/>
    <w:rPr>
      <w:shd w:val="clear" w:color="auto" w:fill="000000"/>
    </w:rPr>
  </w:style>
  <w:style w:type="character" w:customStyle="1" w:styleId="95">
    <w:name w:val="orange5"/>
    <w:qFormat/>
    <w:uiPriority w:val="0"/>
    <w:rPr>
      <w:color w:val="3FB58F"/>
    </w:rPr>
  </w:style>
  <w:style w:type="character" w:customStyle="1" w:styleId="96">
    <w:name w:val="HTML 预设格式 Char"/>
    <w:link w:val="30"/>
    <w:uiPriority w:val="99"/>
    <w:rPr>
      <w:rFonts w:ascii="宋体" w:hAnsi="宋体" w:cs="宋体"/>
      <w:sz w:val="24"/>
      <w:szCs w:val="24"/>
    </w:rPr>
  </w:style>
  <w:style w:type="character" w:customStyle="1" w:styleId="97">
    <w:name w:val="no5"/>
    <w:basedOn w:val="37"/>
    <w:qFormat/>
    <w:uiPriority w:val="0"/>
  </w:style>
  <w:style w:type="character" w:customStyle="1" w:styleId="98">
    <w:name w:val="正文首行缩进 Char"/>
    <w:basedOn w:val="99"/>
    <w:link w:val="33"/>
    <w:uiPriority w:val="99"/>
  </w:style>
  <w:style w:type="character" w:customStyle="1" w:styleId="99">
    <w:name w:val="正文文本 Char"/>
    <w:link w:val="18"/>
    <w:uiPriority w:val="0"/>
    <w:rPr>
      <w:rFonts w:ascii="Calibri" w:hAnsi="Calibri"/>
      <w:kern w:val="2"/>
      <w:sz w:val="21"/>
      <w:szCs w:val="22"/>
    </w:rPr>
  </w:style>
  <w:style w:type="character" w:customStyle="1" w:styleId="100">
    <w:name w:val="bds_more"/>
    <w:basedOn w:val="37"/>
    <w:qFormat/>
    <w:uiPriority w:val="0"/>
  </w:style>
  <w:style w:type="character" w:customStyle="1" w:styleId="101">
    <w:name w:val="top-icon"/>
    <w:basedOn w:val="37"/>
    <w:qFormat/>
    <w:uiPriority w:val="0"/>
  </w:style>
  <w:style w:type="character" w:customStyle="1" w:styleId="102">
    <w:name w:val="orange"/>
    <w:qFormat/>
    <w:uiPriority w:val="0"/>
    <w:rPr>
      <w:color w:val="3FB58F"/>
    </w:rPr>
  </w:style>
  <w:style w:type="character" w:customStyle="1" w:styleId="103">
    <w:name w:val="初设正文 Char"/>
    <w:link w:val="104"/>
    <w:uiPriority w:val="0"/>
    <w:rPr>
      <w:rFonts w:hAnsi="Calibri"/>
      <w:kern w:val="2"/>
      <w:sz w:val="28"/>
      <w:szCs w:val="24"/>
    </w:rPr>
  </w:style>
  <w:style w:type="paragraph" w:customStyle="1" w:styleId="104">
    <w:name w:val="初设正文"/>
    <w:basedOn w:val="1"/>
    <w:link w:val="103"/>
    <w:qFormat/>
    <w:uiPriority w:val="0"/>
    <w:pPr>
      <w:ind w:firstLine="200" w:firstLineChars="200"/>
    </w:pPr>
    <w:rPr>
      <w:sz w:val="28"/>
      <w:szCs w:val="24"/>
    </w:rPr>
  </w:style>
  <w:style w:type="character" w:customStyle="1" w:styleId="105">
    <w:name w:val="批注主题 Char"/>
    <w:link w:val="32"/>
    <w:uiPriority w:val="0"/>
    <w:rPr>
      <w:rFonts w:ascii="Calibri" w:hAnsi="Calibri"/>
      <w:b/>
      <w:bCs/>
      <w:kern w:val="2"/>
      <w:sz w:val="21"/>
      <w:szCs w:val="22"/>
    </w:rPr>
  </w:style>
  <w:style w:type="paragraph" w:customStyle="1" w:styleId="106">
    <w:name w:val="_Style 11"/>
    <w:basedOn w:val="1"/>
    <w:qFormat/>
    <w:uiPriority w:val="34"/>
    <w:pPr>
      <w:ind w:firstLine="420" w:firstLineChars="200"/>
    </w:pPr>
    <w:rPr>
      <w:rFonts w:ascii="Calibri" w:hAnsi="Calibri" w:eastAsia="宋体" w:cs="Times New Roman"/>
      <w:kern w:val="0"/>
      <w:sz w:val="20"/>
    </w:rPr>
  </w:style>
  <w:style w:type="paragraph" w:customStyle="1" w:styleId="107">
    <w:name w:val="List Paragraph"/>
    <w:basedOn w:val="1"/>
    <w:qFormat/>
    <w:uiPriority w:val="99"/>
    <w:pPr>
      <w:ind w:firstLine="420" w:firstLineChars="200"/>
    </w:pPr>
  </w:style>
  <w:style w:type="paragraph" w:customStyle="1" w:styleId="108">
    <w:name w:val="_Style 13"/>
    <w:basedOn w:val="1"/>
    <w:qFormat/>
    <w:uiPriority w:val="34"/>
    <w:pPr>
      <w:ind w:firstLine="420" w:firstLineChars="200"/>
    </w:pPr>
  </w:style>
  <w:style w:type="paragraph" w:customStyle="1" w:styleId="109">
    <w:name w:val="列出段落4"/>
    <w:basedOn w:val="1"/>
    <w:qFormat/>
    <w:uiPriority w:val="0"/>
    <w:pPr>
      <w:ind w:firstLine="420" w:firstLineChars="200"/>
    </w:pPr>
    <w:rPr>
      <w:rFonts w:ascii="Calibri" w:hAnsi="Calibri" w:eastAsia="宋体" w:cs="黑体"/>
    </w:rPr>
  </w:style>
  <w:style w:type="paragraph" w:customStyle="1" w:styleId="110">
    <w:name w:val="报告正文"/>
    <w:basedOn w:val="1"/>
    <w:qFormat/>
    <w:uiPriority w:val="0"/>
    <w:pPr>
      <w:spacing w:line="360" w:lineRule="auto"/>
      <w:ind w:firstLine="200" w:firstLineChars="200"/>
    </w:pPr>
    <w:rPr>
      <w:sz w:val="28"/>
    </w:rPr>
  </w:style>
  <w:style w:type="paragraph" w:customStyle="1" w:styleId="111">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112">
    <w:name w:val="_Style 14"/>
    <w:basedOn w:val="1"/>
    <w:qFormat/>
    <w:uiPriority w:val="34"/>
    <w:pPr>
      <w:ind w:firstLine="420" w:firstLineChars="200"/>
    </w:pPr>
  </w:style>
  <w:style w:type="paragraph" w:customStyle="1" w:styleId="113">
    <w:name w:val="二级标题"/>
    <w:basedOn w:val="4"/>
    <w:next w:val="110"/>
    <w:qFormat/>
    <w:uiPriority w:val="0"/>
    <w:pPr>
      <w:tabs>
        <w:tab w:val="left" w:pos="680"/>
      </w:tabs>
      <w:spacing w:before="0" w:after="0" w:line="480" w:lineRule="auto"/>
      <w:ind w:left="567" w:hanging="567"/>
      <w:jc w:val="left"/>
    </w:pPr>
    <w:rPr>
      <w:rFonts w:ascii="Times New Roman" w:hAnsi="Times New Roman" w:eastAsia="华文中宋" w:cs="Times New Roman"/>
      <w:sz w:val="28"/>
    </w:rPr>
  </w:style>
  <w:style w:type="paragraph" w:customStyle="1" w:styleId="114">
    <w:name w:val="列出段落3"/>
    <w:basedOn w:val="1"/>
    <w:qFormat/>
    <w:uiPriority w:val="34"/>
    <w:pPr>
      <w:ind w:firstLine="420" w:firstLineChars="200"/>
    </w:pPr>
  </w:style>
  <w:style w:type="paragraph" w:customStyle="1" w:styleId="115">
    <w:name w:val="my正文"/>
    <w:basedOn w:val="1"/>
    <w:qFormat/>
    <w:uiPriority w:val="0"/>
    <w:pPr>
      <w:spacing w:line="360" w:lineRule="auto"/>
      <w:ind w:firstLine="480" w:firstLineChars="200"/>
    </w:pPr>
    <w:rPr>
      <w:kern w:val="0"/>
      <w:sz w:val="24"/>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_Style 7"/>
    <w:basedOn w:val="1"/>
    <w:qFormat/>
    <w:uiPriority w:val="34"/>
    <w:pPr>
      <w:ind w:firstLine="420" w:firstLineChars="200"/>
    </w:pPr>
  </w:style>
  <w:style w:type="paragraph" w:customStyle="1" w:styleId="118">
    <w:name w:val="三级标题"/>
    <w:basedOn w:val="5"/>
    <w:next w:val="110"/>
    <w:qFormat/>
    <w:uiPriority w:val="0"/>
    <w:pPr>
      <w:tabs>
        <w:tab w:val="left" w:pos="851"/>
        <w:tab w:val="left" w:pos="993"/>
      </w:tabs>
      <w:spacing w:before="0" w:after="0" w:line="415" w:lineRule="auto"/>
      <w:ind w:left="993" w:hanging="709"/>
      <w:jc w:val="left"/>
    </w:pPr>
    <w:rPr>
      <w:rFonts w:ascii="Calibri" w:hAnsi="Calibri" w:eastAsia="华文中宋" w:cs="Times New Roman"/>
      <w:sz w:val="24"/>
    </w:rPr>
  </w:style>
  <w:style w:type="paragraph" w:customStyle="1" w:styleId="119">
    <w:name w:val="本文正文"/>
    <w:basedOn w:val="1"/>
    <w:uiPriority w:val="99"/>
    <w:pPr>
      <w:spacing w:line="360" w:lineRule="auto"/>
    </w:pPr>
    <w:rPr>
      <w:rFonts w:ascii="仿宋" w:hAnsi="仿宋" w:eastAsia="仿宋" w:cs="Times New Roman"/>
      <w:kern w:val="0"/>
      <w:sz w:val="20"/>
      <w:szCs w:val="20"/>
    </w:rPr>
  </w:style>
  <w:style w:type="paragraph" w:customStyle="1" w:styleId="120">
    <w:name w:val="a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1">
    <w:name w:val="toc 7"/>
    <w:next w:val="1"/>
    <w:qFormat/>
    <w:uiPriority w:val="0"/>
    <w:pPr>
      <w:wordWrap w:val="0"/>
      <w:ind w:left="2550"/>
      <w:jc w:val="both"/>
    </w:pPr>
    <w:rPr>
      <w:sz w:val="21"/>
      <w:lang w:val="en-US" w:eastAsia="zh-CN" w:bidi="ar-SA"/>
    </w:rPr>
  </w:style>
  <w:style w:type="paragraph" w:customStyle="1" w:styleId="122">
    <w:name w:val="hjxuhao"/>
    <w:basedOn w:val="1"/>
    <w:qFormat/>
    <w:uiPriority w:val="0"/>
    <w:pPr>
      <w:numPr>
        <w:ilvl w:val="0"/>
        <w:numId w:val="2"/>
      </w:numPr>
      <w:tabs>
        <w:tab w:val="left" w:pos="360"/>
      </w:tabs>
      <w:spacing w:line="360" w:lineRule="auto"/>
    </w:pPr>
    <w:rPr>
      <w:rFonts w:ascii="Times New Roman" w:hAnsi="Times New Roman"/>
      <w:snapToGrid w:val="0"/>
      <w:kern w:val="0"/>
      <w:sz w:val="24"/>
      <w:szCs w:val="24"/>
    </w:rPr>
  </w:style>
  <w:style w:type="paragraph" w:customStyle="1" w:styleId="12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纯文本1"/>
    <w:basedOn w:val="1"/>
    <w:qFormat/>
    <w:uiPriority w:val="0"/>
    <w:pPr>
      <w:widowControl/>
      <w:jc w:val="left"/>
    </w:pPr>
    <w:rPr>
      <w:rFonts w:ascii="宋体" w:hAnsi="Courier New"/>
      <w:kern w:val="0"/>
      <w:sz w:val="20"/>
      <w:szCs w:val="20"/>
      <w:lang w:eastAsia="en-US" w:bidi="en-US"/>
    </w:rPr>
  </w:style>
  <w:style w:type="paragraph" w:customStyle="1" w:styleId="125">
    <w:name w:val="列出段落2"/>
    <w:basedOn w:val="1"/>
    <w:qFormat/>
    <w:uiPriority w:val="99"/>
    <w:pPr>
      <w:ind w:firstLine="420" w:firstLineChars="200"/>
    </w:pPr>
    <w:rPr>
      <w:rFonts w:ascii="Times New Roman" w:hAnsi="Times New Roman"/>
      <w:szCs w:val="24"/>
    </w:rPr>
  </w:style>
  <w:style w:type="paragraph" w:customStyle="1" w:styleId="126">
    <w:name w:val="_Style 9"/>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127">
    <w:name w:val="样式 行距: 固定值 25 磅 首行缩进:  2 字符"/>
    <w:basedOn w:val="1"/>
    <w:qFormat/>
    <w:uiPriority w:val="0"/>
    <w:pPr>
      <w:adjustRightInd w:val="0"/>
      <w:spacing w:line="500" w:lineRule="exact"/>
      <w:ind w:firstLine="560" w:firstLineChars="200"/>
      <w:textAlignment w:val="baseline"/>
    </w:pPr>
    <w:rPr>
      <w:rFonts w:ascii="Times New Roman" w:cs="宋体"/>
      <w:kern w:val="0"/>
      <w:sz w:val="28"/>
    </w:rPr>
  </w:style>
  <w:style w:type="paragraph" w:customStyle="1" w:styleId="128">
    <w:name w:val="a应急方案正文"/>
    <w:basedOn w:val="1"/>
    <w:uiPriority w:val="0"/>
    <w:pPr>
      <w:widowControl/>
      <w:spacing w:line="360" w:lineRule="auto"/>
      <w:ind w:firstLine="200" w:firstLineChars="200"/>
      <w:jc w:val="left"/>
    </w:pPr>
    <w:rPr>
      <w:rFonts w:ascii="Arial" w:hAnsi="Arial" w:eastAsia="仿宋_GB2312"/>
      <w:kern w:val="0"/>
      <w:sz w:val="28"/>
      <w:szCs w:val="28"/>
      <w:lang w:eastAsia="en-US"/>
    </w:rPr>
  </w:style>
  <w:style w:type="paragraph" w:customStyle="1" w:styleId="129">
    <w:name w:val="正文2"/>
    <w:basedOn w:val="1"/>
    <w:qFormat/>
    <w:uiPriority w:val="0"/>
    <w:pPr>
      <w:spacing w:line="360" w:lineRule="auto"/>
      <w:ind w:firstLine="510" w:firstLineChars="200"/>
    </w:pPr>
    <w:rPr>
      <w:sz w:val="24"/>
      <w:szCs w:val="20"/>
    </w:rPr>
  </w:style>
  <w:style w:type="paragraph" w:customStyle="1" w:styleId="130">
    <w:name w:val="表编号"/>
    <w:basedOn w:val="1"/>
    <w:qFormat/>
    <w:uiPriority w:val="0"/>
    <w:pPr>
      <w:numPr>
        <w:ilvl w:val="0"/>
        <w:numId w:val="3"/>
      </w:numPr>
      <w:spacing w:line="360" w:lineRule="auto"/>
    </w:pPr>
    <w:rPr>
      <w:rFonts w:eastAsia="黑体"/>
      <w:b/>
      <w:sz w:val="24"/>
    </w:rPr>
  </w:style>
  <w:style w:type="paragraph" w:customStyle="1" w:styleId="131">
    <w:name w:val="列出段落1"/>
    <w:basedOn w:val="1"/>
    <w:qFormat/>
    <w:uiPriority w:val="34"/>
    <w:pPr>
      <w:ind w:firstLine="420" w:firstLineChars="200"/>
    </w:pPr>
    <w:rPr>
      <w:rFonts w:ascii="Times New Roman" w:hAnsi="Times New Roman"/>
      <w:szCs w:val="24"/>
    </w:rPr>
  </w:style>
  <w:style w:type="paragraph" w:customStyle="1" w:styleId="132">
    <w:name w:val="工可正文"/>
    <w:basedOn w:val="1"/>
    <w:qFormat/>
    <w:uiPriority w:val="0"/>
    <w:pPr>
      <w:adjustRightInd w:val="0"/>
      <w:ind w:firstLine="560" w:firstLineChars="200"/>
    </w:pPr>
    <w:rPr>
      <w:rFonts w:ascii="Times New Roman" w:hAnsi="Arial" w:eastAsia="宋体" w:cs="Times New Roman"/>
      <w:kern w:val="0"/>
      <w:sz w:val="28"/>
      <w:szCs w:val="28"/>
    </w:rPr>
  </w:style>
  <w:style w:type="paragraph" w:customStyle="1" w:styleId="133">
    <w:name w:val="样式2222"/>
    <w:basedOn w:val="1"/>
    <w:qFormat/>
    <w:uiPriority w:val="0"/>
    <w:pPr>
      <w:ind w:firstLine="200" w:firstLineChars="200"/>
    </w:pPr>
    <w:rPr>
      <w:rFonts w:ascii="Arial" w:hAnsi="Arial" w:eastAsia="华文中宋" w:cs="宋体"/>
      <w:sz w:val="24"/>
      <w:szCs w:val="24"/>
      <w:lang w:val="zh-CN"/>
    </w:rPr>
  </w:style>
  <w:style w:type="paragraph" w:customStyle="1" w:styleId="13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35">
    <w:name w:val="论文正文"/>
    <w:basedOn w:val="1"/>
    <w:qFormat/>
    <w:uiPriority w:val="0"/>
    <w:pPr>
      <w:spacing w:line="360" w:lineRule="auto"/>
      <w:ind w:firstLine="200" w:firstLineChars="200"/>
    </w:pPr>
    <w:rPr>
      <w:rFonts w:ascii="Times New Roman" w:hAnsi="Times New Roman" w:eastAsia="宋体" w:cs="Times New Roman"/>
      <w:bCs/>
      <w:color w:val="000000"/>
      <w:sz w:val="28"/>
      <w:szCs w:val="36"/>
    </w:rPr>
  </w:style>
  <w:style w:type="paragraph" w:customStyle="1" w:styleId="136">
    <w:name w:val="_Style 5"/>
    <w:basedOn w:val="1"/>
    <w:qFormat/>
    <w:uiPriority w:val="34"/>
    <w:pPr>
      <w:ind w:firstLine="420" w:firstLineChars="200"/>
    </w:pPr>
  </w:style>
  <w:style w:type="paragraph" w:customStyle="1" w:styleId="137">
    <w:name w:val="_Style 10"/>
    <w:basedOn w:val="1"/>
    <w:qFormat/>
    <w:uiPriority w:val="34"/>
    <w:pPr>
      <w:ind w:firstLine="420" w:firstLineChars="200"/>
    </w:pPr>
  </w:style>
  <w:style w:type="paragraph" w:customStyle="1" w:styleId="138">
    <w:name w:val="Default"/>
    <w:next w:val="121"/>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139">
    <w:name w:val="表中文字"/>
    <w:basedOn w:val="13"/>
    <w:qFormat/>
    <w:uiPriority w:val="0"/>
    <w:pPr>
      <w:topLinePunct w:val="0"/>
      <w:adjustRightInd/>
      <w:spacing w:line="400" w:lineRule="exact"/>
      <w:ind w:firstLine="0" w:firstLineChars="0"/>
      <w:jc w:val="both"/>
    </w:pPr>
    <w:rPr>
      <w:rFonts w:ascii="Times New Roman" w:hAnsi="Times New Roman" w:eastAsia="仿宋_GB2312"/>
      <w:kern w:val="2"/>
      <w:sz w:val="28"/>
      <w:szCs w:val="20"/>
    </w:rPr>
  </w:style>
  <w:style w:type="paragraph" w:customStyle="1" w:styleId="140">
    <w:name w:val="项目符号"/>
    <w:basedOn w:val="1"/>
    <w:uiPriority w:val="0"/>
    <w:pPr>
      <w:widowControl/>
      <w:tabs>
        <w:tab w:val="left" w:pos="0"/>
        <w:tab w:val="left" w:pos="1200"/>
      </w:tabs>
      <w:overflowPunct w:val="0"/>
      <w:autoSpaceDE w:val="0"/>
      <w:autoSpaceDN w:val="0"/>
      <w:adjustRightInd w:val="0"/>
      <w:spacing w:before="20" w:after="20" w:line="360" w:lineRule="auto"/>
      <w:textAlignment w:val="baseline"/>
    </w:pPr>
    <w:rPr>
      <w:rFonts w:ascii="Arial" w:hAnsi="Arial"/>
      <w:kern w:val="0"/>
      <w:sz w:val="24"/>
      <w:szCs w:val="20"/>
    </w:rPr>
  </w:style>
  <w:style w:type="paragraph" w:customStyle="1" w:styleId="141">
    <w:name w:val="一级标题"/>
    <w:basedOn w:val="3"/>
    <w:next w:val="110"/>
    <w:qFormat/>
    <w:uiPriority w:val="0"/>
    <w:pPr>
      <w:tabs>
        <w:tab w:val="left" w:pos="425"/>
      </w:tabs>
      <w:spacing w:before="0" w:after="0" w:line="480" w:lineRule="auto"/>
      <w:ind w:left="425" w:hanging="137"/>
      <w:jc w:val="center"/>
    </w:pPr>
    <w:rPr>
      <w:rFonts w:ascii="Calibri" w:hAnsi="Calibri" w:eastAsia="华文中宋" w:cs="Times New Roman"/>
      <w:sz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footer14.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6136</Words>
  <Characters>34979</Characters>
  <Lines>291</Lines>
  <Paragraphs>82</Paragraphs>
  <TotalTime>0</TotalTime>
  <ScaleCrop>false</ScaleCrop>
  <LinksUpToDate>false</LinksUpToDate>
  <CharactersWithSpaces>41033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2019-05-13T06:24:00Z</dcterms:created>
  <dc:creator>陈熹</dc:creator>
  <cp:lastModifiedBy>WPS_1701756769</cp:lastModifiedBy>
  <cp:lastPrinted>2019-05-13T03:42:00Z</cp:lastPrinted>
  <dcterms:modified xsi:type="dcterms:W3CDTF">2024-02-26T03:46:23Z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763BA0B5B47A478ABEC1F799E0CD1668_13</vt:lpwstr>
  </property>
</Properties>
</file>