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360" w:lineRule="auto"/>
        <w:jc w:val="center"/>
        <w:textAlignment w:val="bottom"/>
        <w:rPr>
          <w:rFonts w:ascii="宋体"/>
          <w:b/>
          <w:color w:val="auto"/>
          <w:kern w:val="0"/>
          <w:sz w:val="52"/>
          <w:szCs w:val="52"/>
          <w:highlight w:val="none"/>
        </w:rPr>
      </w:pPr>
      <w:bookmarkStart w:id="3" w:name="_GoBack"/>
    </w:p>
    <w:p>
      <w:pPr>
        <w:shd w:val="clear"/>
        <w:jc w:val="center"/>
        <w:rPr>
          <w:rFonts w:ascii="宋体" w:cs="宋体"/>
          <w:color w:val="auto"/>
          <w:sz w:val="36"/>
          <w:szCs w:val="36"/>
          <w:highlight w:val="none"/>
        </w:rPr>
      </w:pPr>
      <w:r>
        <w:rPr>
          <w:color w:val="auto"/>
          <w:highlight w:val="none"/>
        </w:rPr>
        <w:drawing>
          <wp:anchor distT="0" distB="0" distL="0" distR="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6" cstate="print">
                      <a:lum contrast="10000"/>
                    </a:blip>
                    <a:srcRect/>
                    <a:stretch>
                      <a:fillRect/>
                    </a:stretch>
                  </pic:blipFill>
                  <pic:spPr>
                    <a:xfrm>
                      <a:off x="0" y="0"/>
                      <a:ext cx="2971800" cy="2091688"/>
                    </a:xfrm>
                    <a:prstGeom prst="rect">
                      <a:avLst/>
                    </a:prstGeom>
                    <a:ln>
                      <a:noFill/>
                    </a:ln>
                  </pic:spPr>
                </pic:pic>
              </a:graphicData>
            </a:graphic>
          </wp:anchor>
        </w:drawing>
      </w:r>
    </w:p>
    <w:p>
      <w:pPr>
        <w:shd w:val="clear"/>
        <w:jc w:val="center"/>
        <w:rPr>
          <w:rFonts w:hint="eastAsia" w:ascii="宋体" w:eastAsia="宋体" w:cs="宋体"/>
          <w:color w:val="auto"/>
          <w:sz w:val="52"/>
          <w:szCs w:val="52"/>
          <w:highlight w:val="none"/>
          <w:lang w:eastAsia="zh-CN"/>
        </w:rPr>
      </w:pPr>
    </w:p>
    <w:p>
      <w:pPr>
        <w:shd w:val="clear"/>
        <w:ind w:left="0" w:leftChars="0" w:firstLine="0" w:firstLineChars="0"/>
        <w:jc w:val="center"/>
        <w:rPr>
          <w:rFonts w:ascii="宋体" w:cs="宋体"/>
          <w:color w:val="auto"/>
          <w:sz w:val="72"/>
          <w:szCs w:val="72"/>
          <w:highlight w:val="none"/>
        </w:rPr>
      </w:pPr>
      <w:r>
        <w:rPr>
          <w:rFonts w:hint="eastAsia" w:ascii="宋体" w:hAnsi="宋体" w:cs="宋体"/>
          <w:color w:val="auto"/>
          <w:sz w:val="72"/>
          <w:szCs w:val="72"/>
          <w:highlight w:val="none"/>
          <w:lang w:val="en-US" w:eastAsia="zh-CN"/>
        </w:rPr>
        <w:t xml:space="preserve">         </w:t>
      </w:r>
      <w:r>
        <w:rPr>
          <w:rFonts w:ascii="宋体" w:hAnsi="宋体" w:cs="宋体"/>
          <w:color w:val="auto"/>
          <w:sz w:val="72"/>
          <w:szCs w:val="72"/>
          <w:highlight w:val="none"/>
        </w:rPr>
        <w:t>F-STONE</w:t>
      </w:r>
    </w:p>
    <w:p>
      <w:pPr>
        <w:shd w:val="clear"/>
        <w:jc w:val="center"/>
        <w:rPr>
          <w:rFonts w:ascii="宋体" w:cs="宋体"/>
          <w:color w:val="auto"/>
          <w:sz w:val="36"/>
          <w:szCs w:val="36"/>
          <w:highlight w:val="none"/>
        </w:rPr>
      </w:pPr>
    </w:p>
    <w:p>
      <w:pPr>
        <w:shd w:val="clear"/>
        <w:jc w:val="center"/>
        <w:rPr>
          <w:rFonts w:hint="eastAsia" w:ascii="宋体" w:eastAsia="宋体" w:cs="宋体"/>
          <w:b/>
          <w:color w:val="auto"/>
          <w:sz w:val="72"/>
          <w:szCs w:val="72"/>
          <w:highlight w:val="none"/>
          <w:lang w:eastAsia="zh-CN"/>
        </w:rPr>
      </w:pPr>
    </w:p>
    <w:p>
      <w:pPr>
        <w:shd w:val="clear" w:color="auto"/>
        <w:spacing w:line="360" w:lineRule="auto"/>
        <w:jc w:val="center"/>
        <w:textAlignment w:val="bottom"/>
        <w:rPr>
          <w:rFonts w:ascii="宋体"/>
          <w:b/>
          <w:color w:val="auto"/>
          <w:kern w:val="0"/>
          <w:sz w:val="52"/>
          <w:szCs w:val="52"/>
          <w:highlight w:val="none"/>
        </w:rPr>
      </w:pPr>
      <w:r>
        <w:rPr>
          <w:rFonts w:hint="eastAsia" w:ascii="宋体"/>
          <w:b/>
          <w:color w:val="auto"/>
          <w:kern w:val="0"/>
          <w:sz w:val="52"/>
          <w:szCs w:val="52"/>
          <w:highlight w:val="none"/>
        </w:rPr>
        <w:t>政府采购</w:t>
      </w:r>
      <w:r>
        <w:rPr>
          <w:rFonts w:hint="eastAsia" w:ascii="宋体"/>
          <w:b/>
          <w:color w:val="auto"/>
          <w:kern w:val="0"/>
          <w:sz w:val="52"/>
          <w:szCs w:val="52"/>
          <w:highlight w:val="none"/>
          <w:lang w:val="en-US" w:eastAsia="zh-CN"/>
        </w:rPr>
        <w:t>电子</w:t>
      </w:r>
      <w:r>
        <w:rPr>
          <w:rFonts w:hint="eastAsia" w:ascii="宋体"/>
          <w:b/>
          <w:color w:val="auto"/>
          <w:kern w:val="0"/>
          <w:sz w:val="52"/>
          <w:szCs w:val="52"/>
          <w:highlight w:val="none"/>
        </w:rPr>
        <w:t>招标文件</w:t>
      </w:r>
    </w:p>
    <w:p>
      <w:pPr>
        <w:shd w:val="clear" w:color="auto"/>
        <w:spacing w:line="360" w:lineRule="auto"/>
        <w:textAlignment w:val="bottom"/>
        <w:rPr>
          <w:rFonts w:hint="eastAsia" w:ascii="宋体"/>
          <w:color w:val="auto"/>
          <w:kern w:val="0"/>
          <w:sz w:val="28"/>
          <w:highlight w:val="none"/>
          <w:lang w:eastAsia="zh-CN"/>
        </w:rPr>
      </w:pPr>
    </w:p>
    <w:p>
      <w:pPr>
        <w:shd w:val="clear" w:color="auto"/>
        <w:spacing w:line="360" w:lineRule="auto"/>
        <w:jc w:val="center"/>
        <w:textAlignment w:val="bottom"/>
        <w:rPr>
          <w:rFonts w:hint="eastAsia" w:ascii="宋体" w:hAnsi="宋体" w:cs="Times New Roman"/>
          <w:color w:val="auto"/>
          <w:sz w:val="28"/>
          <w:szCs w:val="28"/>
          <w:highlight w:val="none"/>
          <w:lang w:eastAsia="zh-CN"/>
        </w:rPr>
      </w:pPr>
      <w:r>
        <w:rPr>
          <w:rFonts w:hint="eastAsia" w:ascii="宋体" w:hAnsi="宋体" w:cs="Times New Roman"/>
          <w:color w:val="auto"/>
          <w:sz w:val="28"/>
          <w:szCs w:val="28"/>
          <w:highlight w:val="none"/>
          <w:lang w:eastAsia="zh-CN"/>
        </w:rPr>
        <w:t>项目编号：ZJWS2023-JJ109</w:t>
      </w:r>
    </w:p>
    <w:p>
      <w:pPr>
        <w:shd w:val="clear" w:color="auto"/>
        <w:spacing w:line="360" w:lineRule="auto"/>
        <w:textAlignment w:val="bottom"/>
        <w:rPr>
          <w:rFonts w:ascii="宋体"/>
          <w:color w:val="auto"/>
          <w:kern w:val="0"/>
          <w:sz w:val="28"/>
          <w:highlight w:val="none"/>
        </w:rPr>
      </w:pPr>
    </w:p>
    <w:p>
      <w:pPr>
        <w:shd w:val="clear" w:color="auto"/>
        <w:spacing w:line="360" w:lineRule="auto"/>
        <w:textAlignment w:val="bottom"/>
        <w:rPr>
          <w:rFonts w:ascii="宋体"/>
          <w:color w:val="auto"/>
          <w:kern w:val="0"/>
          <w:sz w:val="28"/>
          <w:highlight w:val="none"/>
        </w:rPr>
      </w:pPr>
    </w:p>
    <w:p>
      <w:pPr>
        <w:shd w:val="clear"/>
        <w:autoSpaceDE w:val="0"/>
        <w:autoSpaceDN w:val="0"/>
        <w:adjustRightInd w:val="0"/>
        <w:spacing w:line="360" w:lineRule="auto"/>
        <w:ind w:firstLine="1120" w:firstLineChars="400"/>
        <w:jc w:val="both"/>
        <w:rPr>
          <w:rFonts w:hint="eastAsia" w:ascii="宋体"/>
          <w:color w:val="auto"/>
          <w:kern w:val="0"/>
          <w:sz w:val="28"/>
          <w:highlight w:val="none"/>
          <w:lang w:eastAsia="zh-CN"/>
        </w:rPr>
      </w:pPr>
      <w:r>
        <w:rPr>
          <w:rFonts w:hint="eastAsia" w:ascii="宋体"/>
          <w:color w:val="auto"/>
          <w:kern w:val="0"/>
          <w:sz w:val="28"/>
          <w:highlight w:val="none"/>
          <w:lang w:eastAsia="zh-CN"/>
        </w:rPr>
        <w:t>采购项目：台州市立医院呼吸机采购项目</w:t>
      </w:r>
    </w:p>
    <w:p>
      <w:pPr>
        <w:shd w:val="clear"/>
        <w:autoSpaceDE w:val="0"/>
        <w:autoSpaceDN w:val="0"/>
        <w:adjustRightInd w:val="0"/>
        <w:spacing w:line="360" w:lineRule="auto"/>
        <w:ind w:firstLine="1120" w:firstLineChars="400"/>
        <w:jc w:val="both"/>
        <w:rPr>
          <w:rFonts w:hint="eastAsia" w:ascii="宋体" w:eastAsia="宋体"/>
          <w:color w:val="auto"/>
          <w:kern w:val="0"/>
          <w:sz w:val="28"/>
          <w:highlight w:val="none"/>
          <w:lang w:eastAsia="zh-CN"/>
        </w:rPr>
      </w:pPr>
      <w:r>
        <w:rPr>
          <w:rFonts w:hint="eastAsia" w:ascii="宋体"/>
          <w:color w:val="auto"/>
          <w:kern w:val="0"/>
          <w:sz w:val="28"/>
          <w:highlight w:val="none"/>
        </w:rPr>
        <w:t>采购</w:t>
      </w:r>
      <w:r>
        <w:rPr>
          <w:rFonts w:hint="eastAsia" w:ascii="宋体"/>
          <w:color w:val="auto"/>
          <w:kern w:val="0"/>
          <w:sz w:val="28"/>
          <w:highlight w:val="none"/>
          <w:lang w:val="en-US" w:eastAsia="zh-CN"/>
        </w:rPr>
        <w:t>单位</w:t>
      </w:r>
      <w:r>
        <w:rPr>
          <w:rFonts w:hint="eastAsia" w:ascii="宋体"/>
          <w:color w:val="auto"/>
          <w:kern w:val="0"/>
          <w:sz w:val="28"/>
          <w:highlight w:val="none"/>
        </w:rPr>
        <w:t>：</w:t>
      </w:r>
      <w:r>
        <w:rPr>
          <w:rFonts w:hint="eastAsia" w:ascii="宋体"/>
          <w:color w:val="auto"/>
          <w:kern w:val="0"/>
          <w:sz w:val="28"/>
          <w:highlight w:val="none"/>
          <w:lang w:eastAsia="zh-CN"/>
        </w:rPr>
        <w:t>台州市立医院</w:t>
      </w:r>
    </w:p>
    <w:p>
      <w:pPr>
        <w:shd w:val="clear"/>
        <w:autoSpaceDE w:val="0"/>
        <w:autoSpaceDN w:val="0"/>
        <w:adjustRightInd w:val="0"/>
        <w:spacing w:line="360" w:lineRule="auto"/>
        <w:jc w:val="center"/>
        <w:rPr>
          <w:rFonts w:ascii="宋体"/>
          <w:color w:val="auto"/>
          <w:kern w:val="0"/>
          <w:sz w:val="28"/>
          <w:highlight w:val="none"/>
        </w:rPr>
      </w:pPr>
    </w:p>
    <w:p>
      <w:pPr>
        <w:shd w:val="clear"/>
        <w:autoSpaceDE w:val="0"/>
        <w:autoSpaceDN w:val="0"/>
        <w:adjustRightInd w:val="0"/>
        <w:spacing w:line="360" w:lineRule="auto"/>
        <w:jc w:val="center"/>
        <w:rPr>
          <w:rFonts w:ascii="宋体"/>
          <w:color w:val="auto"/>
          <w:kern w:val="0"/>
          <w:sz w:val="28"/>
          <w:highlight w:val="none"/>
        </w:rPr>
      </w:pPr>
    </w:p>
    <w:p>
      <w:pPr>
        <w:shd w:val="clear"/>
        <w:autoSpaceDE w:val="0"/>
        <w:autoSpaceDN w:val="0"/>
        <w:adjustRightInd w:val="0"/>
        <w:spacing w:line="360" w:lineRule="auto"/>
        <w:jc w:val="center"/>
        <w:rPr>
          <w:rFonts w:hint="eastAsia" w:ascii="宋体" w:eastAsia="宋体"/>
          <w:color w:val="auto"/>
          <w:kern w:val="0"/>
          <w:sz w:val="28"/>
          <w:highlight w:val="none"/>
          <w:lang w:eastAsia="zh-CN"/>
        </w:rPr>
      </w:pPr>
      <w:r>
        <w:rPr>
          <w:rFonts w:hint="eastAsia" w:ascii="宋体"/>
          <w:color w:val="auto"/>
          <w:kern w:val="0"/>
          <w:sz w:val="28"/>
          <w:highlight w:val="none"/>
          <w:lang w:eastAsia="zh-CN"/>
        </w:rPr>
        <w:t>采购代理机构：浙江五石中正工程咨询有限公司</w:t>
      </w:r>
    </w:p>
    <w:p>
      <w:pPr>
        <w:shd w:val="clear"/>
        <w:autoSpaceDE w:val="0"/>
        <w:autoSpaceDN w:val="0"/>
        <w:adjustRightInd w:val="0"/>
        <w:spacing w:line="360" w:lineRule="auto"/>
        <w:jc w:val="center"/>
        <w:rPr>
          <w:rFonts w:hint="eastAsia" w:ascii="宋体" w:cs="Times New Roman"/>
          <w:color w:val="auto"/>
          <w:kern w:val="0"/>
          <w:sz w:val="28"/>
          <w:highlight w:val="none"/>
          <w:lang w:val="en-US" w:eastAsia="zh-CN"/>
        </w:rPr>
      </w:pPr>
    </w:p>
    <w:p>
      <w:pPr>
        <w:shd w:val="clear"/>
        <w:autoSpaceDE w:val="0"/>
        <w:autoSpaceDN w:val="0"/>
        <w:adjustRightInd w:val="0"/>
        <w:spacing w:line="360" w:lineRule="auto"/>
        <w:jc w:val="center"/>
        <w:rPr>
          <w:rFonts w:hint="eastAsia" w:ascii="宋体" w:hAnsi="Times New Roman" w:cs="Times New Roman"/>
          <w:color w:val="auto"/>
          <w:kern w:val="0"/>
          <w:sz w:val="28"/>
          <w:highlight w:val="none"/>
        </w:rPr>
      </w:pPr>
      <w:r>
        <w:rPr>
          <w:rFonts w:hint="eastAsia" w:ascii="宋体" w:cs="Times New Roman"/>
          <w:color w:val="auto"/>
          <w:kern w:val="0"/>
          <w:sz w:val="28"/>
          <w:highlight w:val="none"/>
          <w:lang w:val="en-US" w:eastAsia="zh-CN"/>
        </w:rPr>
        <w:t>2023年5月</w:t>
      </w:r>
    </w:p>
    <w:p>
      <w:pPr>
        <w:shd w:val="clear"/>
        <w:bidi w:val="0"/>
        <w:spacing w:line="360" w:lineRule="auto"/>
        <w:rPr>
          <w:rFonts w:hint="eastAsia" w:ascii="宋体" w:hAnsi="宋体" w:eastAsia="宋体" w:cs="宋体"/>
          <w:color w:val="auto"/>
          <w:sz w:val="24"/>
          <w:szCs w:val="32"/>
          <w:highlight w:val="none"/>
        </w:rPr>
      </w:pPr>
    </w:p>
    <w:p>
      <w:pPr>
        <w:shd w:val="clear"/>
        <w:bidi w:val="0"/>
        <w:spacing w:line="360" w:lineRule="auto"/>
        <w:rPr>
          <w:rFonts w:hint="eastAsia" w:ascii="宋体" w:hAnsi="宋体" w:eastAsia="宋体" w:cs="宋体"/>
          <w:color w:val="auto"/>
          <w:sz w:val="24"/>
          <w:szCs w:val="32"/>
          <w:highlight w:val="none"/>
        </w:rPr>
      </w:pPr>
    </w:p>
    <w:p>
      <w:pPr>
        <w:shd w:val="clear"/>
        <w:bidi w:val="0"/>
        <w:spacing w:line="360" w:lineRule="auto"/>
        <w:rPr>
          <w:rFonts w:hint="eastAsia" w:ascii="宋体" w:hAnsi="宋体" w:eastAsia="宋体" w:cs="宋体"/>
          <w:color w:val="auto"/>
          <w:sz w:val="24"/>
          <w:szCs w:val="32"/>
          <w:highlight w:val="none"/>
        </w:rPr>
      </w:pPr>
    </w:p>
    <w:p>
      <w:pPr>
        <w:shd w:val="clear"/>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目</w:t>
      </w:r>
      <w:r>
        <w:rPr>
          <w:rFonts w:hint="eastAsia" w:ascii="宋体" w:hAnsi="宋体" w:cs="Arial"/>
          <w:b/>
          <w:bCs/>
          <w:color w:val="auto"/>
          <w:sz w:val="36"/>
          <w:szCs w:val="36"/>
          <w:highlight w:val="none"/>
          <w:lang w:val="en-US" w:eastAsia="zh-CN"/>
        </w:rPr>
        <w:t xml:space="preserve">  </w:t>
      </w:r>
      <w:r>
        <w:rPr>
          <w:rFonts w:hint="eastAsia" w:ascii="宋体" w:hAnsi="宋体" w:cs="Arial"/>
          <w:b/>
          <w:bCs/>
          <w:color w:val="auto"/>
          <w:sz w:val="36"/>
          <w:szCs w:val="36"/>
          <w:highlight w:val="none"/>
        </w:rPr>
        <w:t>录</w:t>
      </w:r>
    </w:p>
    <w:p>
      <w:pPr>
        <w:shd w:val="clear"/>
        <w:spacing w:line="360" w:lineRule="auto"/>
        <w:rPr>
          <w:rFonts w:hint="eastAsia" w:ascii="宋体" w:hAnsi="宋体" w:eastAsia="宋体" w:cs="宋体"/>
          <w:color w:val="auto"/>
          <w:sz w:val="28"/>
          <w:szCs w:val="28"/>
          <w:highlight w:val="none"/>
        </w:rPr>
      </w:pP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第一章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公开招标采购公告</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第二章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须知</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第三章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评标办法及评分标准</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第四章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公开招标需求</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第五章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政府采购合同主要条款指引</w:t>
      </w:r>
    </w:p>
    <w:p>
      <w:pPr>
        <w:shd w:val="clea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第六章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投标文件格式附件</w:t>
      </w: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pStyle w:val="13"/>
        <w:shd w:val="clear"/>
        <w:rPr>
          <w:color w:val="auto"/>
          <w:highlight w:val="none"/>
        </w:rPr>
      </w:pPr>
    </w:p>
    <w:p>
      <w:pPr>
        <w:shd w:val="clear"/>
        <w:spacing w:line="360" w:lineRule="auto"/>
        <w:rPr>
          <w:rFonts w:ascii="Times New Roman" w:hAnsi="Times New Roman" w:eastAsia="宋体" w:cs="Times New Roman"/>
          <w:color w:val="auto"/>
          <w:sz w:val="24"/>
          <w:szCs w:val="32"/>
          <w:highlight w:val="none"/>
        </w:rPr>
      </w:pPr>
    </w:p>
    <w:p>
      <w:pPr>
        <w:shd w:val="clear"/>
        <w:spacing w:line="360" w:lineRule="auto"/>
        <w:rPr>
          <w:rFonts w:ascii="Times New Roman" w:hAnsi="Times New Roman" w:eastAsia="宋体" w:cs="Times New Roman"/>
          <w:color w:val="auto"/>
          <w:sz w:val="24"/>
          <w:szCs w:val="32"/>
          <w:highlight w:val="none"/>
        </w:rPr>
      </w:pPr>
    </w:p>
    <w:p>
      <w:pPr>
        <w:pStyle w:val="10"/>
        <w:shd w:val="clear"/>
        <w:ind w:left="0" w:leftChars="0" w:firstLine="0" w:firstLineChars="0"/>
        <w:rPr>
          <w:color w:val="auto"/>
          <w:highlight w:val="none"/>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公开招标采购公告</w:t>
      </w:r>
    </w:p>
    <w:p>
      <w:pPr>
        <w:shd w:val="clear"/>
        <w:bidi w:val="0"/>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根据《中华人民共和国政府采购法》、《中华人民共和国政府采购法实施条例》和财政部令第87号《政府采购货物和服务招标投标管理办法》等有关规定</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rPr>
        <w:t xml:space="preserve"> </w:t>
      </w:r>
      <w:r>
        <w:rPr>
          <w:rFonts w:hint="eastAsia" w:ascii="宋体" w:hAnsi="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cs="宋体"/>
          <w:b/>
          <w:bCs/>
          <w:color w:val="auto"/>
          <w:sz w:val="24"/>
          <w:szCs w:val="32"/>
          <w:highlight w:val="none"/>
          <w:lang w:eastAsia="zh-CN"/>
        </w:rPr>
        <w:t>台州市立医院</w:t>
      </w:r>
      <w:r>
        <w:rPr>
          <w:rFonts w:hint="eastAsia" w:ascii="宋体" w:hAnsi="宋体" w:eastAsia="宋体" w:cs="宋体"/>
          <w:color w:val="auto"/>
          <w:sz w:val="24"/>
          <w:szCs w:val="32"/>
          <w:highlight w:val="none"/>
        </w:rPr>
        <w:t>委托，现就</w:t>
      </w:r>
      <w:r>
        <w:rPr>
          <w:rFonts w:hint="eastAsia" w:ascii="宋体" w:hAnsi="宋体" w:cs="宋体"/>
          <w:color w:val="auto"/>
          <w:sz w:val="24"/>
          <w:szCs w:val="32"/>
          <w:highlight w:val="none"/>
          <w:lang w:eastAsia="zh-CN"/>
        </w:rPr>
        <w:t>其</w:t>
      </w:r>
      <w:r>
        <w:rPr>
          <w:rFonts w:hint="eastAsia" w:ascii="宋体" w:hAnsi="宋体" w:cs="宋体"/>
          <w:b/>
          <w:bCs/>
          <w:color w:val="auto"/>
          <w:sz w:val="24"/>
          <w:szCs w:val="32"/>
          <w:highlight w:val="none"/>
          <w:lang w:eastAsia="zh-CN"/>
        </w:rPr>
        <w:t>台州市立医院呼吸机采购项目</w:t>
      </w:r>
      <w:r>
        <w:rPr>
          <w:rFonts w:hint="eastAsia" w:ascii="宋体" w:hAnsi="宋体" w:eastAsia="宋体" w:cs="宋体"/>
          <w:color w:val="auto"/>
          <w:sz w:val="24"/>
          <w:szCs w:val="32"/>
          <w:highlight w:val="none"/>
        </w:rPr>
        <w:t>进行公开招标采购，欢迎合格供应商前来投标。</w:t>
      </w:r>
    </w:p>
    <w:p>
      <w:pPr>
        <w:shd w:val="clear"/>
        <w:bidi w:val="0"/>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lang w:eastAsia="zh-CN"/>
        </w:rPr>
        <w:t>一、</w:t>
      </w:r>
      <w:r>
        <w:rPr>
          <w:rFonts w:hint="eastAsia" w:ascii="宋体" w:hAnsi="宋体" w:eastAsia="宋体" w:cs="宋体"/>
          <w:b/>
          <w:bCs/>
          <w:color w:val="auto"/>
          <w:sz w:val="24"/>
          <w:szCs w:val="32"/>
          <w:highlight w:val="none"/>
        </w:rPr>
        <w:t>项目编号：</w:t>
      </w:r>
      <w:r>
        <w:rPr>
          <w:rFonts w:hint="eastAsia" w:ascii="宋体" w:hAnsi="宋体" w:cs="宋体"/>
          <w:color w:val="auto"/>
          <w:sz w:val="24"/>
          <w:szCs w:val="32"/>
          <w:highlight w:val="none"/>
          <w:lang w:eastAsia="zh-CN"/>
        </w:rPr>
        <w:t>ZJWS2023-JJ109</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二、</w:t>
      </w:r>
      <w:r>
        <w:rPr>
          <w:rFonts w:hint="eastAsia" w:ascii="宋体" w:hAnsi="宋体" w:eastAsia="宋体" w:cs="宋体"/>
          <w:b/>
          <w:bCs/>
          <w:color w:val="auto"/>
          <w:sz w:val="24"/>
          <w:szCs w:val="32"/>
          <w:highlight w:val="none"/>
        </w:rPr>
        <w:t>招标项目概况：</w:t>
      </w:r>
    </w:p>
    <w:tbl>
      <w:tblPr>
        <w:tblStyle w:val="28"/>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032"/>
        <w:gridCol w:w="1034"/>
        <w:gridCol w:w="1320"/>
        <w:gridCol w:w="202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9" w:type="dxa"/>
            <w:vAlign w:val="center"/>
          </w:tcPr>
          <w:p>
            <w:pPr>
              <w:widowControl/>
              <w:shd w:val="clear"/>
              <w:jc w:val="center"/>
              <w:textAlignment w:val="top"/>
              <w:rPr>
                <w:rFonts w:hint="eastAsia" w:ascii="宋体" w:hAnsi="宋体"/>
                <w:b/>
                <w:color w:val="auto"/>
                <w:sz w:val="24"/>
                <w:szCs w:val="24"/>
                <w:highlight w:val="none"/>
              </w:rPr>
            </w:pPr>
            <w:bookmarkStart w:id="0" w:name="EBc3c9f0bc06b6413d849824fe98ba274c"/>
            <w:r>
              <w:rPr>
                <w:rFonts w:hint="eastAsia" w:ascii="宋体" w:hAnsi="宋体"/>
                <w:b/>
                <w:color w:val="auto"/>
                <w:sz w:val="24"/>
                <w:szCs w:val="24"/>
                <w:highlight w:val="none"/>
              </w:rPr>
              <w:t>标段</w:t>
            </w:r>
          </w:p>
        </w:tc>
        <w:tc>
          <w:tcPr>
            <w:tcW w:w="2032" w:type="dxa"/>
            <w:vAlign w:val="center"/>
          </w:tcPr>
          <w:p>
            <w:pPr>
              <w:widowControl/>
              <w:shd w:val="clear"/>
              <w:jc w:val="center"/>
              <w:textAlignment w:val="top"/>
              <w:rPr>
                <w:rFonts w:hint="eastAsia" w:ascii="宋体" w:hAnsi="宋体"/>
                <w:b/>
                <w:color w:val="auto"/>
                <w:sz w:val="24"/>
                <w:szCs w:val="24"/>
                <w:highlight w:val="none"/>
              </w:rPr>
            </w:pPr>
            <w:r>
              <w:rPr>
                <w:rFonts w:hint="eastAsia" w:ascii="宋体" w:hAnsi="宋体" w:eastAsia="宋体" w:cs="宋体"/>
                <w:b/>
                <w:bCs/>
                <w:color w:val="auto"/>
                <w:kern w:val="0"/>
                <w:sz w:val="24"/>
                <w:szCs w:val="24"/>
                <w:highlight w:val="none"/>
                <w:lang w:val="en-US" w:eastAsia="zh-CN" w:bidi="ar"/>
              </w:rPr>
              <w:t>项目</w:t>
            </w:r>
            <w:r>
              <w:rPr>
                <w:rFonts w:hint="eastAsia" w:ascii="宋体" w:hAnsi="宋体" w:eastAsia="宋体" w:cs="宋体"/>
                <w:b/>
                <w:bCs/>
                <w:color w:val="auto"/>
                <w:kern w:val="0"/>
                <w:sz w:val="24"/>
                <w:szCs w:val="24"/>
                <w:highlight w:val="none"/>
                <w:lang w:bidi="ar"/>
              </w:rPr>
              <w:t>名称</w:t>
            </w:r>
          </w:p>
        </w:tc>
        <w:tc>
          <w:tcPr>
            <w:tcW w:w="1034" w:type="dxa"/>
            <w:vAlign w:val="center"/>
          </w:tcPr>
          <w:p>
            <w:pPr>
              <w:widowControl/>
              <w:shd w:val="clear"/>
              <w:jc w:val="center"/>
              <w:textAlignment w:val="top"/>
              <w:rPr>
                <w:rFonts w:hint="eastAsia" w:ascii="宋体" w:hAnsi="宋体"/>
                <w:b/>
                <w:color w:val="auto"/>
                <w:sz w:val="24"/>
                <w:szCs w:val="24"/>
                <w:highlight w:val="none"/>
              </w:rPr>
            </w:pPr>
            <w:r>
              <w:rPr>
                <w:rFonts w:hint="eastAsia" w:ascii="宋体" w:hAnsi="宋体" w:eastAsia="宋体" w:cs="宋体"/>
                <w:b/>
                <w:bCs/>
                <w:color w:val="auto"/>
                <w:kern w:val="0"/>
                <w:sz w:val="24"/>
                <w:szCs w:val="24"/>
                <w:highlight w:val="none"/>
                <w:lang w:bidi="ar"/>
              </w:rPr>
              <w:t>数量</w:t>
            </w:r>
          </w:p>
        </w:tc>
        <w:tc>
          <w:tcPr>
            <w:tcW w:w="1320" w:type="dxa"/>
            <w:vAlign w:val="center"/>
          </w:tcPr>
          <w:p>
            <w:pPr>
              <w:widowControl/>
              <w:shd w:val="clear"/>
              <w:jc w:val="center"/>
              <w:textAlignment w:val="top"/>
              <w:rPr>
                <w:rFonts w:hint="eastAsia" w:ascii="宋体" w:hAnsi="宋体" w:eastAsia="宋体"/>
                <w:b/>
                <w:color w:val="auto"/>
                <w:sz w:val="24"/>
                <w:szCs w:val="24"/>
                <w:highlight w:val="none"/>
                <w:lang w:val="en-US" w:eastAsia="zh-CN"/>
              </w:rPr>
            </w:pPr>
            <w:r>
              <w:rPr>
                <w:rFonts w:hint="eastAsia" w:ascii="宋体" w:hAnsi="宋体" w:eastAsia="宋体" w:cs="宋体"/>
                <w:b/>
                <w:bCs/>
                <w:color w:val="auto"/>
                <w:sz w:val="24"/>
                <w:szCs w:val="24"/>
                <w:highlight w:val="none"/>
              </w:rPr>
              <w:t>预算</w:t>
            </w:r>
            <w:r>
              <w:rPr>
                <w:rFonts w:hint="eastAsia" w:ascii="宋体" w:hAnsi="宋体" w:eastAsia="宋体" w:cs="宋体"/>
                <w:b/>
                <w:bCs/>
                <w:color w:val="auto"/>
                <w:sz w:val="24"/>
                <w:szCs w:val="24"/>
                <w:highlight w:val="none"/>
                <w:lang w:val="en-US" w:eastAsia="zh-CN"/>
              </w:rPr>
              <w:t>金额</w:t>
            </w:r>
          </w:p>
        </w:tc>
        <w:tc>
          <w:tcPr>
            <w:tcW w:w="2025" w:type="dxa"/>
            <w:vAlign w:val="center"/>
          </w:tcPr>
          <w:p>
            <w:pPr>
              <w:widowControl/>
              <w:shd w:val="clear"/>
              <w:jc w:val="center"/>
              <w:textAlignment w:val="top"/>
              <w:rPr>
                <w:rFonts w:hint="eastAsia" w:ascii="宋体"/>
                <w:color w:val="auto"/>
                <w:sz w:val="24"/>
                <w:szCs w:val="24"/>
                <w:highlight w:val="none"/>
                <w:lang w:val="en-US" w:eastAsia="zh-CN"/>
              </w:rPr>
            </w:pPr>
            <w:r>
              <w:rPr>
                <w:rFonts w:hint="eastAsia" w:ascii="宋体" w:hAnsi="宋体" w:eastAsia="宋体" w:cs="宋体"/>
                <w:b/>
                <w:bCs/>
                <w:color w:val="auto"/>
                <w:kern w:val="0"/>
                <w:sz w:val="24"/>
                <w:szCs w:val="24"/>
                <w:highlight w:val="none"/>
                <w:lang w:bidi="ar"/>
              </w:rPr>
              <w:t>交货期</w:t>
            </w:r>
          </w:p>
        </w:tc>
        <w:tc>
          <w:tcPr>
            <w:tcW w:w="1461" w:type="dxa"/>
            <w:vAlign w:val="center"/>
          </w:tcPr>
          <w:p>
            <w:pPr>
              <w:shd w:val="clear"/>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 w:type="dxa"/>
            <w:vAlign w:val="center"/>
          </w:tcPr>
          <w:p>
            <w:pPr>
              <w:widowControl/>
              <w:shd w:val="clear"/>
              <w:jc w:val="center"/>
              <w:textAlignment w:val="top"/>
              <w:rPr>
                <w:rFonts w:ascii="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2032" w:type="dxa"/>
            <w:vAlign w:val="center"/>
          </w:tcPr>
          <w:p>
            <w:pPr>
              <w:widowControl/>
              <w:shd w:val="clear"/>
              <w:jc w:val="center"/>
              <w:textAlignment w:val="top"/>
              <w:rPr>
                <w:rFonts w:hint="eastAsia" w:ascii="宋体" w:eastAsia="宋体"/>
                <w:color w:val="auto"/>
                <w:sz w:val="24"/>
                <w:szCs w:val="24"/>
                <w:highlight w:val="none"/>
                <w:lang w:eastAsia="zh-CN"/>
              </w:rPr>
            </w:pPr>
            <w:r>
              <w:rPr>
                <w:rFonts w:hint="eastAsia" w:ascii="宋体" w:hAnsi="宋体"/>
                <w:color w:val="auto"/>
                <w:kern w:val="0"/>
                <w:sz w:val="24"/>
                <w:szCs w:val="24"/>
                <w:highlight w:val="none"/>
                <w:lang w:eastAsia="zh-CN"/>
              </w:rPr>
              <w:t>台州市立医院呼吸机采购项目</w:t>
            </w:r>
          </w:p>
        </w:tc>
        <w:tc>
          <w:tcPr>
            <w:tcW w:w="1034" w:type="dxa"/>
            <w:vAlign w:val="center"/>
          </w:tcPr>
          <w:p>
            <w:pPr>
              <w:widowControl/>
              <w:shd w:val="clear"/>
              <w:jc w:val="center"/>
              <w:textAlignment w:val="top"/>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一批</w:t>
            </w:r>
          </w:p>
        </w:tc>
        <w:tc>
          <w:tcPr>
            <w:tcW w:w="1320" w:type="dxa"/>
            <w:vAlign w:val="center"/>
          </w:tcPr>
          <w:p>
            <w:pPr>
              <w:widowControl/>
              <w:shd w:val="clear"/>
              <w:jc w:val="center"/>
              <w:textAlignment w:val="top"/>
              <w:rPr>
                <w:rFonts w:hint="default" w:ascii="宋体"/>
                <w:color w:val="auto"/>
                <w:sz w:val="24"/>
                <w:szCs w:val="24"/>
                <w:highlight w:val="none"/>
                <w:lang w:val="en-US" w:eastAsia="zh-CN"/>
              </w:rPr>
            </w:pPr>
            <w:r>
              <w:rPr>
                <w:rFonts w:hint="eastAsia" w:ascii="宋体"/>
                <w:color w:val="auto"/>
                <w:sz w:val="24"/>
                <w:szCs w:val="24"/>
                <w:highlight w:val="none"/>
                <w:lang w:val="en-US" w:eastAsia="zh-CN"/>
              </w:rPr>
              <w:t>500万元</w:t>
            </w:r>
          </w:p>
        </w:tc>
        <w:tc>
          <w:tcPr>
            <w:tcW w:w="2025" w:type="dxa"/>
            <w:vAlign w:val="center"/>
          </w:tcPr>
          <w:p>
            <w:pPr>
              <w:widowControl/>
              <w:shd w:val="clear"/>
              <w:jc w:val="center"/>
              <w:textAlignment w:val="top"/>
              <w:rPr>
                <w:rFonts w:hint="eastAsia" w:ascii="宋体"/>
                <w:color w:val="auto"/>
                <w:sz w:val="24"/>
                <w:szCs w:val="24"/>
                <w:highlight w:val="none"/>
                <w:lang w:val="en-US" w:eastAsia="zh-CN"/>
              </w:rPr>
            </w:pPr>
            <w:r>
              <w:rPr>
                <w:rFonts w:hint="eastAsia" w:ascii="宋体" w:hAnsi="宋体" w:eastAsia="宋体" w:cs="宋体"/>
                <w:color w:val="auto"/>
                <w:kern w:val="0"/>
                <w:sz w:val="24"/>
                <w:szCs w:val="24"/>
                <w:highlight w:val="none"/>
                <w:lang w:bidi="ar"/>
              </w:rPr>
              <w:t>合同签订后</w:t>
            </w:r>
            <w:r>
              <w:rPr>
                <w:rFonts w:hint="eastAsia" w:ascii="宋体" w:hAnsi="宋体" w:cs="宋体"/>
                <w:color w:val="auto"/>
                <w:kern w:val="0"/>
                <w:sz w:val="24"/>
                <w:szCs w:val="24"/>
                <w:highlight w:val="none"/>
                <w:lang w:val="en-US" w:eastAsia="zh-CN" w:bidi="ar"/>
              </w:rPr>
              <w:t>两</w:t>
            </w:r>
            <w:r>
              <w:rPr>
                <w:rFonts w:hint="eastAsia" w:ascii="宋体" w:hAnsi="宋体" w:eastAsia="宋体" w:cs="宋体"/>
                <w:color w:val="auto"/>
                <w:kern w:val="0"/>
                <w:sz w:val="24"/>
                <w:szCs w:val="24"/>
                <w:highlight w:val="none"/>
                <w:lang w:eastAsia="zh-CN" w:bidi="ar"/>
              </w:rPr>
              <w:t>个月内</w:t>
            </w:r>
            <w:r>
              <w:rPr>
                <w:rFonts w:hint="eastAsia" w:ascii="宋体" w:hAnsi="宋体" w:eastAsia="宋体" w:cs="宋体"/>
                <w:b w:val="0"/>
                <w:bCs w:val="0"/>
                <w:color w:val="auto"/>
                <w:sz w:val="24"/>
                <w:szCs w:val="24"/>
                <w:highlight w:val="none"/>
                <w:lang w:val="en-US" w:eastAsia="zh-CN"/>
              </w:rPr>
              <w:t>送货到市立医院指定地点</w:t>
            </w:r>
          </w:p>
        </w:tc>
        <w:tc>
          <w:tcPr>
            <w:tcW w:w="1461" w:type="dxa"/>
            <w:vAlign w:val="center"/>
          </w:tcPr>
          <w:p>
            <w:pPr>
              <w:shd w:val="clear"/>
              <w:jc w:val="center"/>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highlight w:val="none"/>
              </w:rPr>
              <w:t>具体详见招标需求</w:t>
            </w:r>
          </w:p>
        </w:tc>
      </w:tr>
      <w:bookmarkEnd w:id="0"/>
    </w:tbl>
    <w:p>
      <w:pPr>
        <w:shd w:val="clear"/>
        <w:bidi w:val="0"/>
        <w:spacing w:line="360" w:lineRule="auto"/>
        <w:ind w:firstLine="482" w:firstLineChars="200"/>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本次采购产品允许进口产品（已完成进口论证）。</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三、</w:t>
      </w:r>
      <w:r>
        <w:rPr>
          <w:rFonts w:hint="eastAsia" w:ascii="宋体" w:hAnsi="宋体" w:eastAsia="宋体" w:cs="宋体"/>
          <w:b/>
          <w:bCs/>
          <w:color w:val="auto"/>
          <w:sz w:val="24"/>
          <w:szCs w:val="32"/>
          <w:highlight w:val="none"/>
        </w:rPr>
        <w:t>合格投标人的资格条件：</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①满足《中华人民共和国政府采购法》第二十二条规定；未被“信用中国”（www.creditchina.gov.cn)、中国政府采购网（www.ccgp.gov.cn）列入失信被执行人、重大税收违法失信主体、政府采购严重违法失信行为记录名单；</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②本项目接受联合体投标。</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w:t>
      </w:r>
      <w:r>
        <w:rPr>
          <w:rFonts w:hint="eastAsia" w:ascii="宋体" w:hAnsi="宋体" w:cs="宋体"/>
          <w:b/>
          <w:bCs/>
          <w:color w:val="auto"/>
          <w:sz w:val="24"/>
          <w:szCs w:val="32"/>
          <w:highlight w:val="none"/>
          <w:lang w:eastAsia="zh-CN"/>
        </w:rPr>
        <w:t>时间</w:t>
      </w:r>
      <w:r>
        <w:rPr>
          <w:rFonts w:hint="eastAsia" w:ascii="宋体" w:hAnsi="宋体" w:eastAsia="宋体" w:cs="宋体"/>
          <w:b/>
          <w:bCs/>
          <w:color w:val="auto"/>
          <w:sz w:val="24"/>
          <w:szCs w:val="32"/>
          <w:highlight w:val="none"/>
        </w:rPr>
        <w:t>、</w:t>
      </w:r>
      <w:r>
        <w:rPr>
          <w:rFonts w:hint="eastAsia" w:ascii="宋体" w:hAnsi="宋体" w:cs="宋体"/>
          <w:b/>
          <w:bCs/>
          <w:color w:val="auto"/>
          <w:sz w:val="24"/>
          <w:szCs w:val="32"/>
          <w:highlight w:val="none"/>
          <w:lang w:eastAsia="zh-CN"/>
        </w:rPr>
        <w:t>方式</w:t>
      </w:r>
      <w:r>
        <w:rPr>
          <w:rFonts w:hint="eastAsia" w:ascii="宋体" w:hAnsi="宋体" w:eastAsia="宋体" w:cs="宋体"/>
          <w:b/>
          <w:bCs/>
          <w:color w:val="auto"/>
          <w:sz w:val="24"/>
          <w:szCs w:val="32"/>
          <w:highlight w:val="none"/>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3、地点：</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政采云平台（</w:t>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"http://zfcg.czt.zj.gov.cn/"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供应商网上报名操作指南：“浙江政府采购网-办事指南-省采中心-网上报名”（http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//zfcg.czt.zj.gov.cn/bs_other/2018-03-30/12002.html</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eastAsia="zh-CN"/>
        </w:rPr>
        <w:t>五</w:t>
      </w:r>
      <w:r>
        <w:rPr>
          <w:rFonts w:hint="eastAsia" w:ascii="宋体" w:hAnsi="宋体" w:eastAsia="宋体" w:cs="宋体"/>
          <w:b/>
          <w:bCs/>
          <w:color w:val="auto"/>
          <w:sz w:val="24"/>
          <w:szCs w:val="32"/>
          <w:highlight w:val="none"/>
          <w:lang w:eastAsia="zh-CN"/>
        </w:rPr>
        <w:t>、投标说明：</w:t>
      </w:r>
    </w:p>
    <w:p>
      <w:pPr>
        <w:shd w:val="clea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hd w:val="clea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2.投标人通过政采云平台电子投标工具制作投标文件，电子投标工具请供应商自行前往浙江政府采购网下载并安装（下载网址：http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//www.zjzfcg.gov.cn/bidClientTemplate/2019-05-27/12946.html</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t>
      </w:r>
    </w:p>
    <w:p>
      <w:pPr>
        <w:shd w:val="clear"/>
        <w:spacing w:line="360" w:lineRule="auto"/>
        <w:ind w:firstLine="480" w:firstLineChars="200"/>
        <w:rPr>
          <w:rFonts w:hint="eastAsia" w:ascii="宋体" w:hAnsi="宋体" w:eastAsia="宋体" w:cs="宋体"/>
          <w:color w:val="auto"/>
          <w:kern w:val="0"/>
          <w:sz w:val="24"/>
          <w:highlight w:val="none"/>
          <w:u w:val="single"/>
          <w:lang w:eastAsia="zh-CN"/>
        </w:rPr>
      </w:pPr>
      <w:r>
        <w:rPr>
          <w:rFonts w:hint="eastAsia" w:ascii="宋体" w:hAnsi="宋体" w:cs="宋体"/>
          <w:color w:val="auto"/>
          <w:kern w:val="0"/>
          <w:sz w:val="24"/>
          <w:highlight w:val="none"/>
          <w:u w:val="single"/>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rPr>
        <w:t>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//www.zjzfcg.gov.cn/bidClientTemplate/2019-05-27/12945.html</w:t>
      </w:r>
      <w:r>
        <w:rPr>
          <w:rFonts w:hint="eastAsia"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，完成CA数字证书办理预计一周左右，请各投标人自行把握时间</w:t>
      </w:r>
      <w:r>
        <w:rPr>
          <w:rFonts w:hint="eastAsia" w:ascii="宋体" w:hAnsi="宋体" w:cs="宋体"/>
          <w:color w:val="auto"/>
          <w:kern w:val="0"/>
          <w:sz w:val="24"/>
          <w:highlight w:val="none"/>
          <w:u w:val="single"/>
          <w:lang w:eastAsia="zh-CN"/>
        </w:rPr>
        <w:t>）</w:t>
      </w:r>
    </w:p>
    <w:p>
      <w:pPr>
        <w:shd w:val="clea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single"/>
          <w:lang w:val="en-GB"/>
        </w:rPr>
        <w:t>在开标后规定的投标有效期内，投标人不能撤销投标文件。</w:t>
      </w:r>
    </w:p>
    <w:p>
      <w:pPr>
        <w:shd w:val="clea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5.投标文件的组成、份数、密封、效力</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存储的数据电文形式、纸质备份投标文件三类：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5.1电子投标文件，按政采云平台项目采购--电子招投标操作指南及本招标文件要求编制。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w:t>
      </w:r>
      <w:bookmarkStart w:id="1" w:name="_Hlk34638143"/>
      <w:r>
        <w:rPr>
          <w:rFonts w:hint="eastAsia" w:ascii="宋体" w:hAnsi="宋体" w:cs="宋体"/>
          <w:color w:val="auto"/>
          <w:sz w:val="24"/>
          <w:highlight w:val="none"/>
        </w:rPr>
        <w:t>纸质</w:t>
      </w:r>
      <w:bookmarkEnd w:id="1"/>
      <w:r>
        <w:rPr>
          <w:rFonts w:hint="eastAsia" w:ascii="宋体" w:hAnsi="宋体" w:cs="宋体"/>
          <w:color w:val="auto"/>
          <w:sz w:val="24"/>
          <w:highlight w:val="none"/>
        </w:rPr>
        <w:t>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highlight w:val="none"/>
        </w:rPr>
        <w:t>。资格证明文件、商务技术文件、报价文件三部分须分别密封封装，</w:t>
      </w:r>
      <w:r>
        <w:rPr>
          <w:rFonts w:hint="eastAsia" w:ascii="宋体" w:hAnsi="宋体" w:cs="宋体"/>
          <w:color w:val="auto"/>
          <w:sz w:val="24"/>
          <w:highlight w:val="none"/>
          <w:u w:val="single"/>
        </w:rPr>
        <w:t>资格证明文件、商务技术文件、报价文件三部分未分别密封的投标文件将为无效。</w:t>
      </w:r>
    </w:p>
    <w:p>
      <w:pPr>
        <w:shd w:val="clear"/>
        <w:spacing w:line="360" w:lineRule="auto"/>
        <w:ind w:firstLine="480" w:firstLineChars="200"/>
        <w:rPr>
          <w:rFonts w:ascii="宋体" w:hAnsi="宋体" w:cs="宋体"/>
          <w:color w:val="auto"/>
          <w:sz w:val="24"/>
          <w:highlight w:val="none"/>
          <w:u w:val="single"/>
        </w:rPr>
      </w:pPr>
      <w:bookmarkStart w:id="2" w:name="_Hlk34639647"/>
      <w:r>
        <w:rPr>
          <w:rFonts w:hint="eastAsia" w:ascii="宋体" w:hAnsi="宋体" w:cs="宋体"/>
          <w:color w:val="auto"/>
          <w:sz w:val="24"/>
          <w:highlight w:val="none"/>
        </w:rPr>
        <w:t>5.3</w:t>
      </w:r>
      <w:r>
        <w:rPr>
          <w:rFonts w:hint="eastAsia" w:ascii="宋体" w:hAnsi="宋体" w:cs="宋体"/>
          <w:color w:val="auto"/>
          <w:sz w:val="24"/>
          <w:highlight w:val="none"/>
          <w:u w:val="single"/>
        </w:rPr>
        <w:t>投标供应商在“政府采购云平台”完成“电子加密投标文件”的上传递交后，还可以在投标截止时间前递交以介质（U盘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存储的数据电文形式和纸质形式的“备份投标文件”，“备份投标文件”应当密封包装并在包装上标注投标项目名称、投标单位名称并加盖公章。以介质（U盘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存储的数据电文形式和纸质形式的“备份投标文件”需分别密封，可采用以下两种方式其中一种送达（逾期送达或未密封将被拒收</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w:t>
      </w:r>
      <w:r>
        <w:rPr>
          <w:rFonts w:hint="eastAsia" w:ascii="宋体" w:hAnsi="宋体" w:cs="宋体"/>
          <w:color w:val="auto"/>
          <w:sz w:val="24"/>
          <w:highlight w:val="none"/>
          <w:lang w:eastAsia="zh-CN"/>
        </w:rPr>
        <w:t>）</w:t>
      </w:r>
      <w:r>
        <w:rPr>
          <w:rFonts w:hint="eastAsia" w:ascii="宋体" w:hAnsi="宋体" w:cs="宋体"/>
          <w:color w:val="auto"/>
          <w:sz w:val="24"/>
          <w:highlight w:val="none"/>
        </w:rPr>
        <w:t>，邮寄接收截止时间为投标截止时间（邮寄地址：</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（浙江省台州市椒江区东环大道576号二楼，联系人：金老师，电话：0576-88781913。</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bookmarkEnd w:id="2"/>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hd w:val="clear"/>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5.5投标文件启用顺序和效力：投标文件的启用，按先后顺位分别为电子投标文件、以介质（U盘）存储的数据电文形式的备份投标文件。</w:t>
      </w:r>
    </w:p>
    <w:p>
      <w:pPr>
        <w:shd w:val="clea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highlight w:val="none"/>
          <w:u w:val="single"/>
        </w:rPr>
        <w:t>5.6▲未传输递交电子投标文件的，投标无效。</w:t>
      </w:r>
    </w:p>
    <w:p>
      <w:pPr>
        <w:shd w:val="clear"/>
        <w:spacing w:line="360" w:lineRule="auto"/>
        <w:ind w:firstLine="482" w:firstLineChars="200"/>
        <w:rPr>
          <w:rFonts w:hint="default" w:ascii="宋体" w:hAnsi="宋体" w:eastAsia="宋体" w:cs="宋体"/>
          <w:color w:val="auto"/>
          <w:sz w:val="24"/>
          <w:szCs w:val="32"/>
          <w:highlight w:val="none"/>
          <w:lang w:val="en-US" w:eastAsia="zh-CN"/>
        </w:rPr>
      </w:pPr>
      <w:r>
        <w:rPr>
          <w:rFonts w:hint="eastAsia" w:ascii="宋体" w:hAnsi="宋体" w:cs="宋体"/>
          <w:b/>
          <w:bCs/>
          <w:color w:val="auto"/>
          <w:sz w:val="24"/>
          <w:szCs w:val="32"/>
          <w:highlight w:val="none"/>
        </w:rPr>
        <w:t>六、投标截止时间及开标时间：</w:t>
      </w:r>
      <w:r>
        <w:rPr>
          <w:rFonts w:hint="eastAsia" w:ascii="宋体" w:hAnsi="宋体" w:cs="宋体"/>
          <w:b w:val="0"/>
          <w:bCs w:val="0"/>
          <w:color w:val="auto"/>
          <w:sz w:val="24"/>
          <w:szCs w:val="32"/>
          <w:highlight w:val="none"/>
          <w:lang w:val="en-US" w:eastAsia="zh-CN"/>
        </w:rPr>
        <w:t>北京时间2023年6月1日上午9:00整</w:t>
      </w:r>
    </w:p>
    <w:p>
      <w:pPr>
        <w:shd w:val="clear"/>
        <w:spacing w:line="360" w:lineRule="auto"/>
        <w:ind w:firstLine="482" w:firstLineChars="200"/>
        <w:rPr>
          <w:rFonts w:ascii="宋体" w:hAnsi="宋体" w:cs="宋体"/>
          <w:b w:val="0"/>
          <w:bCs w:val="0"/>
          <w:color w:val="auto"/>
          <w:sz w:val="24"/>
          <w:szCs w:val="32"/>
          <w:highlight w:val="none"/>
        </w:rPr>
      </w:pPr>
      <w:r>
        <w:rPr>
          <w:rFonts w:hint="eastAsia" w:ascii="宋体" w:hAnsi="宋体" w:cs="宋体"/>
          <w:b/>
          <w:bCs/>
          <w:color w:val="auto"/>
          <w:sz w:val="24"/>
          <w:szCs w:val="32"/>
          <w:highlight w:val="none"/>
        </w:rPr>
        <w:t>七、开标地址：</w:t>
      </w:r>
      <w:r>
        <w:rPr>
          <w:rFonts w:hint="eastAsia" w:ascii="宋体" w:hAnsi="宋体" w:cs="宋体"/>
          <w:b w:val="0"/>
          <w:bCs w:val="0"/>
          <w:color w:val="auto"/>
          <w:sz w:val="24"/>
          <w:szCs w:val="32"/>
          <w:highlight w:val="none"/>
        </w:rPr>
        <w:t>浙江省台州市椒江区椒江区市府大道777号民泰大楼3楼一号开标室</w:t>
      </w:r>
      <w:r>
        <w:rPr>
          <w:rFonts w:hint="eastAsia" w:ascii="宋体" w:hAnsi="宋体" w:cs="宋体"/>
          <w:b w:val="0"/>
          <w:bCs w:val="0"/>
          <w:color w:val="auto"/>
          <w:sz w:val="24"/>
          <w:szCs w:val="32"/>
          <w:highlight w:val="none"/>
          <w:lang w:val="en-US" w:eastAsia="zh-CN"/>
        </w:rPr>
        <w:t>B场地</w:t>
      </w:r>
      <w:r>
        <w:rPr>
          <w:rFonts w:hint="eastAsia" w:ascii="宋体" w:hAnsi="宋体" w:cs="宋体"/>
          <w:b w:val="0"/>
          <w:bCs w:val="0"/>
          <w:color w:val="auto"/>
          <w:sz w:val="24"/>
          <w:szCs w:val="32"/>
          <w:highlight w:val="none"/>
        </w:rPr>
        <w:t>。</w:t>
      </w:r>
    </w:p>
    <w:p>
      <w:pPr>
        <w:shd w:val="clear"/>
        <w:spacing w:line="360" w:lineRule="auto"/>
        <w:ind w:firstLine="482" w:firstLineChars="200"/>
        <w:outlineLvl w:val="0"/>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hd w:val="clear"/>
        <w:spacing w:line="360" w:lineRule="auto"/>
        <w:ind w:firstLine="480" w:firstLineChars="200"/>
        <w:outlineLvl w:val="9"/>
        <w:rPr>
          <w:rFonts w:hint="eastAsia" w:ascii="宋体" w:hAnsi="宋体" w:cs="宋体"/>
          <w:b w:val="0"/>
          <w:bCs w:val="0"/>
          <w:color w:val="auto"/>
          <w:sz w:val="24"/>
          <w:szCs w:val="32"/>
          <w:highlight w:val="none"/>
        </w:rPr>
      </w:pPr>
      <w:r>
        <w:rPr>
          <w:rFonts w:hint="eastAsia" w:ascii="宋体" w:hAnsi="宋体" w:cs="宋体"/>
          <w:color w:val="auto"/>
          <w:sz w:val="24"/>
          <w:szCs w:val="32"/>
          <w:highlight w:val="none"/>
        </w:rPr>
        <w:t>供应商如对</w:t>
      </w:r>
      <w:r>
        <w:rPr>
          <w:rFonts w:hint="eastAsia" w:ascii="宋体" w:hAnsi="宋体" w:cs="宋体"/>
          <w:color w:val="auto"/>
          <w:sz w:val="24"/>
          <w:szCs w:val="32"/>
          <w:highlight w:val="none"/>
          <w:lang w:val="en-US" w:eastAsia="zh-CN"/>
        </w:rPr>
        <w:t>招标文件</w:t>
      </w:r>
      <w:r>
        <w:rPr>
          <w:rFonts w:hint="eastAsia" w:ascii="宋体" w:hAnsi="宋体" w:cs="宋体"/>
          <w:color w:val="auto"/>
          <w:sz w:val="24"/>
          <w:szCs w:val="32"/>
          <w:highlight w:val="none"/>
        </w:rPr>
        <w:t>有异议应按规定的时间提出，逾期提出的，采购组织机构不予受理、答复。</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highlight w:val="none"/>
        </w:rPr>
        <w:t>潜在供应商认为采购文件使自己的权益受到损害的，可以在依法获取采购文件之日或采购文件公告期限届满之日</w:t>
      </w:r>
      <w:r>
        <w:rPr>
          <w:rFonts w:hint="eastAsia" w:ascii="宋体" w:hAnsi="宋体" w:cs="宋体"/>
          <w:color w:val="auto"/>
          <w:sz w:val="24"/>
          <w:highlight w:val="none"/>
          <w:lang w:eastAsia="zh-CN"/>
        </w:rPr>
        <w:t>（</w:t>
      </w:r>
      <w:r>
        <w:rPr>
          <w:rFonts w:hint="eastAsia" w:ascii="宋体" w:hAnsi="宋体" w:cs="宋体"/>
          <w:color w:val="auto"/>
          <w:sz w:val="24"/>
          <w:highlight w:val="none"/>
        </w:rPr>
        <w:t>公告期限届满后获取采购文件的，以公告期限届满之日为准</w:t>
      </w:r>
      <w:r>
        <w:rPr>
          <w:rFonts w:hint="eastAsia" w:ascii="宋体" w:hAnsi="宋体" w:cs="宋体"/>
          <w:color w:val="auto"/>
          <w:sz w:val="24"/>
          <w:highlight w:val="none"/>
          <w:lang w:eastAsia="zh-CN"/>
        </w:rPr>
        <w:t>）</w:t>
      </w:r>
      <w:r>
        <w:rPr>
          <w:rFonts w:hint="eastAsia" w:ascii="宋体" w:hAnsi="宋体" w:cs="宋体"/>
          <w:color w:val="auto"/>
          <w:sz w:val="24"/>
          <w:highlight w:val="none"/>
        </w:rPr>
        <w:t>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.根据财库[2016]125号《关于在政府采购活动中查询及使用信用记录有关问题的通知》要求，采购代理机构会对供应商信用记录进行查询并甄别。</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信用信息查询的截止时点：开标后评标前；</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信用信息查询记录和证据留存具体方式：采购代理机构经办人将查询网页打印与其他项目相关文件文件一并保存；</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信用信息的使用规则：投标人存在不良信用记录的，其投标将被作为无效投标被拒绝。</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rPr>
        <w:t>.不良信用记录指：被列入失信被执行人、重大税收违法案件当事人名单、政府采购严重违法失信行为记录名单或浙江政府采购网曝光台中尚在行政处罚期内的。</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val="en-US" w:eastAsia="zh-CN"/>
        </w:rPr>
        <w:t>4</w:t>
      </w:r>
      <w:r>
        <w:rPr>
          <w:rFonts w:hint="eastAsia" w:ascii="宋体" w:hAnsi="宋体" w:cs="宋体"/>
          <w:b/>
          <w:bCs/>
          <w:color w:val="auto"/>
          <w:sz w:val="24"/>
          <w:szCs w:val="32"/>
          <w:highlight w:val="none"/>
        </w:rPr>
        <w:t>.开标时间后30分钟内，供应商须登录“政采云”平台，用“项目采购-开标评标”功能解密投标文件，投标人未按时解密或解密失败的，其上传的电子投标文件自动失效。电脑及CA解密设备自备。</w:t>
      </w:r>
    </w:p>
    <w:p>
      <w:pPr>
        <w:shd w:val="clea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cs="宋体"/>
          <w:b/>
          <w:bCs/>
          <w:color w:val="auto"/>
          <w:sz w:val="24"/>
          <w:szCs w:val="32"/>
          <w:highlight w:val="none"/>
          <w:lang w:val="en-US" w:eastAsia="zh-CN"/>
        </w:rPr>
        <w:t>九</w:t>
      </w:r>
      <w:r>
        <w:rPr>
          <w:rFonts w:hint="eastAsia" w:ascii="宋体" w:hAnsi="宋体" w:eastAsia="宋体" w:cs="宋体"/>
          <w:b/>
          <w:bCs/>
          <w:color w:val="auto"/>
          <w:sz w:val="24"/>
          <w:szCs w:val="32"/>
          <w:highlight w:val="none"/>
        </w:rPr>
        <w:t>、联系方式：</w:t>
      </w:r>
    </w:p>
    <w:p>
      <w:pPr>
        <w:shd w:val="clea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1、采购代理机构：</w:t>
      </w:r>
      <w:r>
        <w:rPr>
          <w:rFonts w:hint="eastAsia" w:ascii="宋体" w:hAnsi="宋体" w:cs="宋体"/>
          <w:color w:val="auto"/>
          <w:sz w:val="24"/>
          <w:szCs w:val="32"/>
          <w:highlight w:val="none"/>
          <w:lang w:eastAsia="zh-CN"/>
        </w:rPr>
        <w:t>浙江五石中正工程咨询有限公司；</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项目负责人：徐</w:t>
      </w:r>
      <w:r>
        <w:rPr>
          <w:rFonts w:hint="eastAsia" w:ascii="宋体" w:hAnsi="宋体" w:cs="宋体"/>
          <w:color w:val="auto"/>
          <w:sz w:val="24"/>
          <w:szCs w:val="32"/>
          <w:highlight w:val="none"/>
          <w:lang w:val="en-US" w:eastAsia="zh-CN"/>
        </w:rPr>
        <w:t>名峰、石晓林、邹正英、王芳、高琳</w:t>
      </w:r>
      <w:r>
        <w:rPr>
          <w:rFonts w:hint="eastAsia" w:ascii="宋体" w:hAnsi="宋体" w:eastAsia="宋体" w:cs="宋体"/>
          <w:color w:val="auto"/>
          <w:sz w:val="24"/>
          <w:szCs w:val="32"/>
          <w:highlight w:val="none"/>
          <w:lang w:eastAsia="zh-CN"/>
        </w:rPr>
        <w:t>；</w:t>
      </w:r>
    </w:p>
    <w:p>
      <w:pPr>
        <w:shd w:val="clear"/>
        <w:bidi w:val="0"/>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eastAsia="zh-CN"/>
        </w:rPr>
        <w:t>联系电话：</w:t>
      </w:r>
      <w:r>
        <w:rPr>
          <w:rFonts w:hint="eastAsia" w:ascii="宋体" w:hAnsi="宋体" w:cs="宋体"/>
          <w:color w:val="auto"/>
          <w:sz w:val="24"/>
          <w:szCs w:val="32"/>
          <w:highlight w:val="none"/>
          <w:lang w:val="en-US" w:eastAsia="zh-CN"/>
        </w:rPr>
        <w:t>15088711407、</w:t>
      </w:r>
      <w:r>
        <w:rPr>
          <w:rFonts w:hint="eastAsia" w:ascii="宋体" w:hAnsi="宋体" w:eastAsia="宋体" w:cs="宋体"/>
          <w:color w:val="auto"/>
          <w:sz w:val="24"/>
          <w:szCs w:val="32"/>
          <w:highlight w:val="none"/>
          <w:lang w:eastAsia="zh-CN"/>
        </w:rPr>
        <w:t>057</w:t>
      </w:r>
      <w:r>
        <w:rPr>
          <w:rFonts w:hint="eastAsia" w:ascii="宋体" w:hAnsi="宋体" w:cs="宋体"/>
          <w:color w:val="auto"/>
          <w:sz w:val="24"/>
          <w:szCs w:val="32"/>
          <w:highlight w:val="none"/>
          <w:lang w:val="en-US" w:eastAsia="zh-CN"/>
        </w:rPr>
        <w:t>6-88781913</w:t>
      </w:r>
    </w:p>
    <w:p>
      <w:pPr>
        <w:shd w:val="clear"/>
        <w:bidi w:val="0"/>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质疑接收人：徐少媚；联系电话：0576-88785265；</w:t>
      </w:r>
    </w:p>
    <w:p>
      <w:pPr>
        <w:shd w:val="clear"/>
        <w:bidi w:val="0"/>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传真：0571-85342190；</w:t>
      </w:r>
    </w:p>
    <w:p>
      <w:pPr>
        <w:shd w:val="clea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地点：杭州市</w:t>
      </w:r>
      <w:r>
        <w:rPr>
          <w:rFonts w:hint="eastAsia" w:ascii="宋体" w:hAnsi="宋体" w:cs="宋体"/>
          <w:color w:val="auto"/>
          <w:sz w:val="24"/>
          <w:szCs w:val="32"/>
          <w:highlight w:val="none"/>
          <w:lang w:val="en-US" w:eastAsia="zh-CN"/>
        </w:rPr>
        <w:t>拱墅</w:t>
      </w:r>
      <w:r>
        <w:rPr>
          <w:rFonts w:hint="eastAsia" w:ascii="宋体" w:hAnsi="宋体" w:eastAsia="宋体" w:cs="宋体"/>
          <w:color w:val="auto"/>
          <w:sz w:val="24"/>
          <w:szCs w:val="32"/>
          <w:highlight w:val="none"/>
          <w:lang w:eastAsia="zh-CN"/>
        </w:rPr>
        <w:t>区白石路318号中国（杭州</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lang w:eastAsia="zh-CN"/>
        </w:rPr>
        <w:t>人力资源服务产业园北楼</w:t>
      </w:r>
      <w:r>
        <w:rPr>
          <w:rFonts w:hint="eastAsia" w:ascii="宋体" w:hAnsi="宋体" w:cs="宋体"/>
          <w:color w:val="auto"/>
          <w:sz w:val="24"/>
          <w:szCs w:val="32"/>
          <w:highlight w:val="none"/>
          <w:lang w:val="en-US" w:eastAsia="zh-CN"/>
        </w:rPr>
        <w:t>512</w:t>
      </w:r>
      <w:r>
        <w:rPr>
          <w:rFonts w:hint="eastAsia" w:ascii="宋体" w:hAnsi="宋体" w:eastAsia="宋体" w:cs="宋体"/>
          <w:color w:val="auto"/>
          <w:sz w:val="24"/>
          <w:szCs w:val="32"/>
          <w:highlight w:val="none"/>
          <w:lang w:eastAsia="zh-CN"/>
        </w:rPr>
        <w:t>室</w:t>
      </w:r>
      <w:r>
        <w:rPr>
          <w:rFonts w:hint="eastAsia" w:ascii="宋体" w:hAnsi="宋体" w:cs="宋体"/>
          <w:color w:val="auto"/>
          <w:sz w:val="24"/>
          <w:szCs w:val="32"/>
          <w:highlight w:val="none"/>
          <w:lang w:eastAsia="zh-CN"/>
        </w:rPr>
        <w:t>；</w:t>
      </w:r>
    </w:p>
    <w:p>
      <w:pPr>
        <w:shd w:val="clea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2、采购人：</w:t>
      </w:r>
      <w:r>
        <w:rPr>
          <w:rFonts w:hint="eastAsia" w:ascii="宋体" w:hAnsi="宋体" w:cs="宋体"/>
          <w:color w:val="auto"/>
          <w:sz w:val="24"/>
          <w:szCs w:val="32"/>
          <w:highlight w:val="none"/>
          <w:lang w:eastAsia="zh-CN"/>
        </w:rPr>
        <w:t>台州市立医院；</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eastAsia="zh-CN"/>
        </w:rPr>
        <w:t>项目</w:t>
      </w:r>
      <w:r>
        <w:rPr>
          <w:rFonts w:hint="eastAsia" w:ascii="宋体" w:hAnsi="宋体" w:cs="宋体"/>
          <w:color w:val="auto"/>
          <w:sz w:val="24"/>
          <w:szCs w:val="32"/>
          <w:highlight w:val="none"/>
        </w:rPr>
        <w:t>联系人：</w:t>
      </w:r>
      <w:r>
        <w:rPr>
          <w:rFonts w:hint="eastAsia" w:ascii="宋体" w:hAnsi="宋体" w:cs="Arial"/>
          <w:color w:val="auto"/>
          <w:sz w:val="24"/>
          <w:highlight w:val="none"/>
          <w:lang w:val="en-US" w:eastAsia="zh-CN"/>
        </w:rPr>
        <w:t>陈</w:t>
      </w:r>
      <w:r>
        <w:rPr>
          <w:rFonts w:hint="eastAsia" w:ascii="宋体" w:hAnsi="宋体" w:cs="Arial"/>
          <w:color w:val="auto"/>
          <w:sz w:val="24"/>
          <w:highlight w:val="none"/>
        </w:rPr>
        <w:t>先生</w:t>
      </w:r>
      <w:r>
        <w:rPr>
          <w:rFonts w:hint="eastAsia" w:ascii="宋体" w:hAnsi="宋体" w:cs="Arial"/>
          <w:color w:val="auto"/>
          <w:sz w:val="24"/>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0576-88598031</w:t>
      </w:r>
      <w:r>
        <w:rPr>
          <w:rFonts w:hint="eastAsia" w:ascii="宋体" w:hAnsi="宋体" w:cs="宋体"/>
          <w:color w:val="auto"/>
          <w:sz w:val="24"/>
          <w:szCs w:val="32"/>
          <w:highlight w:val="none"/>
        </w:rPr>
        <w:t>；</w:t>
      </w:r>
    </w:p>
    <w:p>
      <w:pPr>
        <w:shd w:val="clear"/>
        <w:spacing w:line="360" w:lineRule="auto"/>
        <w:ind w:firstLine="480" w:firstLineChars="200"/>
        <w:rPr>
          <w:color w:val="auto"/>
          <w:highlight w:val="none"/>
        </w:rPr>
      </w:pPr>
      <w:r>
        <w:rPr>
          <w:rFonts w:hint="eastAsia" w:ascii="宋体" w:hAnsi="宋体" w:cs="宋体"/>
          <w:color w:val="auto"/>
          <w:sz w:val="24"/>
          <w:szCs w:val="32"/>
          <w:highlight w:val="none"/>
        </w:rPr>
        <w:t>质疑接收人</w:t>
      </w:r>
      <w:r>
        <w:rPr>
          <w:rFonts w:hint="eastAsia" w:ascii="宋体" w:hAnsi="宋体" w:cs="宋体"/>
          <w:color w:val="auto"/>
          <w:sz w:val="24"/>
          <w:szCs w:val="32"/>
          <w:highlight w:val="none"/>
          <w:lang w:eastAsia="zh-CN"/>
        </w:rPr>
        <w:t>：</w:t>
      </w:r>
      <w:r>
        <w:rPr>
          <w:rFonts w:hint="eastAsia" w:ascii="宋体" w:hAnsi="宋体" w:cs="Arial"/>
          <w:color w:val="auto"/>
          <w:sz w:val="24"/>
          <w:highlight w:val="none"/>
          <w:lang w:val="en-US" w:eastAsia="zh-CN"/>
        </w:rPr>
        <w:t>朱女士</w:t>
      </w:r>
      <w:r>
        <w:rPr>
          <w:rFonts w:hint="eastAsia" w:ascii="宋体" w:hAnsi="宋体" w:cs="宋体"/>
          <w:color w:val="auto"/>
          <w:sz w:val="24"/>
          <w:szCs w:val="32"/>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0576-88858038</w:t>
      </w:r>
      <w:r>
        <w:rPr>
          <w:rFonts w:hint="eastAsia" w:ascii="宋体" w:hAnsi="宋体" w:cs="宋体"/>
          <w:color w:val="auto"/>
          <w:sz w:val="24"/>
          <w:szCs w:val="32"/>
          <w:highlight w:val="none"/>
        </w:rPr>
        <w:t>；</w:t>
      </w:r>
    </w:p>
    <w:p>
      <w:pPr>
        <w:shd w:val="clear"/>
        <w:spacing w:line="360" w:lineRule="auto"/>
        <w:ind w:firstLine="480" w:firstLineChars="200"/>
        <w:rPr>
          <w:rFonts w:hint="default"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地址：</w:t>
      </w:r>
      <w:r>
        <w:rPr>
          <w:rFonts w:hint="eastAsia" w:ascii="宋体" w:hAnsi="宋体" w:cs="宋体"/>
          <w:color w:val="auto"/>
          <w:sz w:val="24"/>
          <w:szCs w:val="32"/>
          <w:highlight w:val="none"/>
        </w:rPr>
        <w:t>台州市椒江区中山东路381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号</w:t>
      </w:r>
      <w:r>
        <w:rPr>
          <w:rFonts w:hint="eastAsia" w:ascii="宋体" w:hAnsi="宋体" w:cs="宋体"/>
          <w:color w:val="auto"/>
          <w:sz w:val="24"/>
          <w:szCs w:val="32"/>
          <w:highlight w:val="none"/>
          <w:lang w:val="en-US" w:eastAsia="zh-CN"/>
        </w:rPr>
        <w:t>；</w:t>
      </w:r>
    </w:p>
    <w:p>
      <w:pPr>
        <w:shd w:val="clea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cs="宋体"/>
          <w:b/>
          <w:bCs/>
          <w:color w:val="auto"/>
          <w:sz w:val="24"/>
          <w:szCs w:val="32"/>
          <w:highlight w:val="none"/>
        </w:rPr>
        <w:t>3、同级政府采购监管管理部门：</w:t>
      </w:r>
      <w:r>
        <w:rPr>
          <w:rFonts w:hint="eastAsia" w:ascii="宋体" w:hAnsi="宋体" w:cs="宋体"/>
          <w:b w:val="0"/>
          <w:bCs w:val="0"/>
          <w:color w:val="auto"/>
          <w:sz w:val="24"/>
          <w:szCs w:val="32"/>
          <w:highlight w:val="none"/>
        </w:rPr>
        <w:t>台州市财政局政府采购监督管理办公室</w:t>
      </w:r>
      <w:r>
        <w:rPr>
          <w:rFonts w:hint="eastAsia" w:ascii="宋体" w:hAnsi="宋体" w:cs="宋体"/>
          <w:b w:val="0"/>
          <w:bCs w:val="0"/>
          <w:color w:val="auto"/>
          <w:sz w:val="24"/>
          <w:szCs w:val="32"/>
          <w:highlight w:val="none"/>
          <w:lang w:eastAsia="zh-CN"/>
        </w:rPr>
        <w:t>；</w:t>
      </w:r>
    </w:p>
    <w:p>
      <w:pPr>
        <w:shd w:val="clea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联系人：陈工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李工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联系电话：0576-88206705</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0576-88206731；</w:t>
      </w:r>
    </w:p>
    <w:p>
      <w:pPr>
        <w:shd w:val="clea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地址：台州市椒江区纬一路66号天元大厦。</w:t>
      </w:r>
    </w:p>
    <w:p>
      <w:pPr>
        <w:shd w:val="clea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bCs/>
          <w:color w:val="auto"/>
          <w:sz w:val="24"/>
          <w:szCs w:val="32"/>
          <w:highlight w:val="none"/>
          <w:lang w:val="en-US" w:eastAsia="zh-CN"/>
        </w:rPr>
        <w:t>4、</w:t>
      </w:r>
      <w:r>
        <w:rPr>
          <w:rFonts w:hint="eastAsia" w:ascii="宋体" w:hAnsi="宋体" w:cs="宋体"/>
          <w:b/>
          <w:bCs/>
          <w:color w:val="auto"/>
          <w:sz w:val="24"/>
          <w:szCs w:val="32"/>
          <w:highlight w:val="none"/>
          <w:lang w:val="en-US" w:eastAsia="zh-CN"/>
        </w:rPr>
        <w:t>其余事项：</w:t>
      </w:r>
      <w:r>
        <w:rPr>
          <w:rFonts w:hint="eastAsia" w:ascii="宋体" w:hAnsi="宋体" w:eastAsia="宋体" w:cs="宋体"/>
          <w:b w:val="0"/>
          <w:bCs w:val="0"/>
          <w:color w:val="auto"/>
          <w:sz w:val="24"/>
          <w:szCs w:val="32"/>
          <w:highlight w:val="none"/>
          <w:lang w:eastAsia="zh-CN"/>
        </w:rPr>
        <w:t>中标供应商如有融资需求，可使用以下银行的政采贷服务。</w:t>
      </w:r>
    </w:p>
    <w:tbl>
      <w:tblPr>
        <w:tblStyle w:val="29"/>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8"/>
        <w:gridCol w:w="1548"/>
        <w:gridCol w:w="1217"/>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贷款年利率</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28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中国工商银行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王霖</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88588246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中国农业银行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龚盛</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中国建设银行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梅晶晶</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88</w:t>
            </w:r>
            <w:r>
              <w:rPr>
                <w:rFonts w:hint="eastAsia" w:ascii="宋体" w:hAnsi="宋体" w:eastAsia="宋体" w:cs="宋体"/>
                <w:color w:val="auto"/>
                <w:sz w:val="24"/>
                <w:szCs w:val="24"/>
                <w:highlight w:val="none"/>
                <w:lang w:val="en-US" w:eastAsia="zh-CN"/>
              </w:rPr>
              <w:t>525339/</w:t>
            </w:r>
            <w:r>
              <w:rPr>
                <w:rFonts w:hint="eastAsia" w:ascii="宋体" w:hAnsi="宋体" w:eastAsia="宋体" w:cs="宋体"/>
                <w:color w:val="auto"/>
                <w:sz w:val="24"/>
                <w:szCs w:val="24"/>
                <w:highlight w:val="none"/>
                <w:lang w:eastAsia="zh-CN"/>
              </w:rPr>
              <w:t>13</w:t>
            </w:r>
            <w:r>
              <w:rPr>
                <w:rFonts w:hint="eastAsia" w:ascii="宋体" w:hAnsi="宋体" w:eastAsia="宋体" w:cs="宋体"/>
                <w:color w:val="auto"/>
                <w:sz w:val="24"/>
                <w:szCs w:val="24"/>
                <w:highlight w:val="none"/>
                <w:lang w:val="en-US" w:eastAsia="zh-CN"/>
              </w:rPr>
              <w:t>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3.75%起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任茜</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王渊</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浦发银行椒江分行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孙瑞华</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交通银行台州分行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周翔宇</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招商银行台州分行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4.32%起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王海玲</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浙商银行台州分行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5.01%起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章涉漪</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中信银行台州分行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陈金园</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华夏银行台州分行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邱明达</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泰隆银行开发区支行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梁宛莉</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民泰银行椒江支行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5.8%起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陈慧珠</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绍兴银行台州分行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郭庭斌</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温州银行台州分行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王晓波</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平安银行台州分行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6.53%起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李俊丽</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宁波银行台州分行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戴莉丽</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金华银行台州分行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金雪婷</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台州银行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洪婷</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邮储银行台州分行</w:t>
            </w:r>
          </w:p>
        </w:tc>
        <w:tc>
          <w:tcPr>
            <w:tcW w:w="1548"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3.85%起</w:t>
            </w:r>
          </w:p>
        </w:tc>
        <w:tc>
          <w:tcPr>
            <w:tcW w:w="1217" w:type="dxa"/>
            <w:vAlign w:val="center"/>
          </w:tcPr>
          <w:p>
            <w:pPr>
              <w:shd w:val="clea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董庆</w:t>
            </w:r>
          </w:p>
        </w:tc>
        <w:tc>
          <w:tcPr>
            <w:tcW w:w="2815" w:type="dxa"/>
            <w:vAlign w:val="center"/>
          </w:tcPr>
          <w:p>
            <w:pPr>
              <w:shd w:val="clea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81888982/18957683735</w:t>
            </w:r>
          </w:p>
        </w:tc>
      </w:tr>
    </w:tbl>
    <w:p>
      <w:pPr>
        <w:shd w:val="clear"/>
        <w:spacing w:line="360" w:lineRule="auto"/>
        <w:jc w:val="center"/>
        <w:rPr>
          <w:rFonts w:hint="eastAsia" w:ascii="宋体" w:hAnsi="宋体" w:cs="宋体"/>
          <w:b w:val="0"/>
          <w:bCs w:val="0"/>
          <w:color w:val="auto"/>
          <w:sz w:val="24"/>
          <w:szCs w:val="32"/>
          <w:highlight w:val="none"/>
          <w:lang w:eastAsia="zh-CN"/>
        </w:rPr>
      </w:pPr>
    </w:p>
    <w:p>
      <w:pPr>
        <w:shd w:val="clea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合同履约保函联系方式</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48"/>
        <w:gridCol w:w="2130"/>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永诚财产保险股份有限公司台州分公司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尹刚强</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华泰财产保险有限公司台州中心支公司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年费率0.5%，最低保费1000元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王灵芳</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中国大地财产保险股份有限公司台州中心支公司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年费率1.5%，最低保费1000元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徐小明</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中华联合财产保险股份有限公司台州中心支公司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年费率2%，最低保费500元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王仙高</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中国人民财产保险股份有限公司台州中心支公司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王仙春</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永安财产保险股份有限公司台州中心支公司</w:t>
            </w:r>
          </w:p>
        </w:tc>
        <w:tc>
          <w:tcPr>
            <w:tcW w:w="213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王春宇</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13676675331</w:t>
            </w:r>
          </w:p>
        </w:tc>
      </w:tr>
    </w:tbl>
    <w:p>
      <w:pPr>
        <w:shd w:val="clear"/>
        <w:spacing w:line="360" w:lineRule="auto"/>
        <w:jc w:val="center"/>
        <w:rPr>
          <w:rFonts w:hint="eastAsia" w:ascii="宋体" w:hAnsi="宋体" w:cs="宋体"/>
          <w:b w:val="0"/>
          <w:bCs w:val="0"/>
          <w:color w:val="auto"/>
          <w:sz w:val="24"/>
          <w:szCs w:val="32"/>
          <w:highlight w:val="none"/>
          <w:lang w:eastAsia="zh-CN"/>
        </w:rPr>
      </w:pPr>
    </w:p>
    <w:p>
      <w:pPr>
        <w:shd w:val="clea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预付款保函联系方式</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93"/>
        <w:gridCol w:w="2115"/>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年费率3%，最低保费500元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天安财产保险股份有限公司台州中心支公司</w:t>
            </w:r>
          </w:p>
        </w:tc>
        <w:tc>
          <w:tcPr>
            <w:tcW w:w="211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年费率1%-2%，最低保费500元</w:t>
            </w:r>
          </w:p>
        </w:tc>
        <w:tc>
          <w:tcPr>
            <w:tcW w:w="1275"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罗赛</w:t>
            </w:r>
          </w:p>
        </w:tc>
        <w:tc>
          <w:tcPr>
            <w:tcW w:w="1590" w:type="dxa"/>
            <w:vAlign w:val="center"/>
          </w:tcPr>
          <w:p>
            <w:pPr>
              <w:shd w:val="clea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13736605643</w:t>
            </w:r>
          </w:p>
        </w:tc>
      </w:tr>
    </w:tbl>
    <w:p>
      <w:pPr>
        <w:shd w:val="clear"/>
        <w:spacing w:line="360" w:lineRule="auto"/>
        <w:jc w:val="righ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浙江五石中正工程咨询有限公司</w:t>
      </w:r>
    </w:p>
    <w:p>
      <w:pPr>
        <w:shd w:val="clear"/>
        <w:spacing w:line="360" w:lineRule="auto"/>
        <w:ind w:firstLine="6240" w:firstLineChars="26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2023年</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月</w:t>
      </w: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spacing w:line="360" w:lineRule="auto"/>
        <w:rPr>
          <w:rFonts w:hint="eastAsia" w:ascii="宋体" w:hAnsi="宋体" w:eastAsia="宋体" w:cs="宋体"/>
          <w:b w:val="0"/>
          <w:bCs w:val="0"/>
          <w:color w:val="auto"/>
          <w:sz w:val="24"/>
          <w:szCs w:val="32"/>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第二章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投标人须知</w:t>
      </w:r>
    </w:p>
    <w:p>
      <w:pPr>
        <w:shd w:val="clear"/>
        <w:bidi w:val="0"/>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8"/>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019"/>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序号</w:t>
            </w:r>
          </w:p>
        </w:tc>
        <w:tc>
          <w:tcPr>
            <w:tcW w:w="2019"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项</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目</w:t>
            </w:r>
          </w:p>
        </w:tc>
        <w:tc>
          <w:tcPr>
            <w:tcW w:w="7062"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ascii="宋体" w:cs="宋体"/>
                <w:color w:val="auto"/>
                <w:sz w:val="24"/>
                <w:szCs w:val="24"/>
                <w:highlight w:val="none"/>
              </w:rPr>
            </w:pPr>
            <w:r>
              <w:rPr>
                <w:rFonts w:ascii="宋体" w:hAnsi="宋体" w:cs="宋体"/>
                <w:color w:val="auto"/>
                <w:sz w:val="24"/>
                <w:szCs w:val="24"/>
                <w:highlight w:val="none"/>
              </w:rPr>
              <w:t>1</w:t>
            </w:r>
          </w:p>
        </w:tc>
        <w:tc>
          <w:tcPr>
            <w:tcW w:w="2019" w:type="dxa"/>
            <w:vAlign w:val="center"/>
          </w:tcPr>
          <w:p>
            <w:pPr>
              <w:shd w:val="clea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供应商特定资格要求</w:t>
            </w:r>
          </w:p>
        </w:tc>
        <w:tc>
          <w:tcPr>
            <w:tcW w:w="7062" w:type="dxa"/>
            <w:vAlign w:val="center"/>
          </w:tcPr>
          <w:p>
            <w:pPr>
              <w:shd w:val="clear"/>
              <w:spacing w:line="240" w:lineRule="auto"/>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符合招标公告资格要求的供应商</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2</w:t>
            </w:r>
          </w:p>
        </w:tc>
        <w:tc>
          <w:tcPr>
            <w:tcW w:w="2019"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7062" w:type="dxa"/>
            <w:vAlign w:val="center"/>
          </w:tcPr>
          <w:p>
            <w:pPr>
              <w:shd w:val="clea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p>
        </w:tc>
        <w:tc>
          <w:tcPr>
            <w:tcW w:w="2019" w:type="dxa"/>
            <w:vAlign w:val="center"/>
          </w:tcPr>
          <w:p>
            <w:pPr>
              <w:shd w:val="clear"/>
              <w:spacing w:line="240" w:lineRule="auto"/>
              <w:jc w:val="center"/>
              <w:rPr>
                <w:rFonts w:hint="eastAsia"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rPr>
              <w:t>投标文件的组成、份数、效力</w:t>
            </w:r>
          </w:p>
        </w:tc>
        <w:tc>
          <w:tcPr>
            <w:tcW w:w="7062" w:type="dxa"/>
            <w:vAlign w:val="center"/>
          </w:tcPr>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本项目实行</w:t>
            </w:r>
            <w:r>
              <w:rPr>
                <w:rFonts w:hint="eastAsia" w:ascii="宋体" w:hAnsi="宋体" w:eastAsia="宋体" w:cs="宋体"/>
                <w:b/>
                <w:bCs/>
                <w:color w:val="auto"/>
                <w:sz w:val="24"/>
                <w:szCs w:val="24"/>
                <w:highlight w:val="none"/>
                <w:lang w:val="en-US" w:eastAsia="zh-CN"/>
              </w:rPr>
              <w:t>电子投标</w:t>
            </w:r>
            <w:r>
              <w:rPr>
                <w:rFonts w:hint="eastAsia" w:ascii="宋体" w:hAnsi="宋体" w:eastAsia="宋体" w:cs="宋体"/>
                <w:color w:val="auto"/>
                <w:sz w:val="24"/>
                <w:szCs w:val="24"/>
                <w:highlight w:val="none"/>
                <w:lang w:val="en-US" w:eastAsia="zh-CN"/>
              </w:rPr>
              <w:t>，供应商应准备电子投标文件、以介质（U盘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存储的数据电文形式的备份投标文件、纸质备份投标文件三类：</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1.电子投标文件，按政采云平台项目采购--电子招投标操作指南及本招标文件要求编制、递交。</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存储的数据电文形式的备份投标文件，按政采云平台项目采购-电子招投标操作指南中上传的电子投标文件格式，以U盘形式提供。</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szCs w:val="24"/>
                <w:highlight w:val="none"/>
                <w:lang w:val="en-US" w:eastAsia="zh-CN"/>
              </w:rPr>
              <w:t>数量均为2份（一正一副</w:t>
            </w:r>
            <w:r>
              <w:rPr>
                <w:rFonts w:hint="eastAsia" w:ascii="宋体" w:hAnsi="宋体" w:cs="宋体"/>
                <w:b/>
                <w:bCs/>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。资格证明文件、商务技术文件、报价文件三部分须分别密封封装，资格证明文件、商务技术文件、报价文件三部分未分别密封的投标文件将为无效。</w:t>
            </w:r>
          </w:p>
          <w:p>
            <w:pPr>
              <w:shd w:val="clea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4.投标文件启用顺序和效力：投标文件的启用，按先后顺位分别为电子投标文件、以介质（U盘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顺位在先的投标文件已按时解密的，备份投标文件自动失效。在下一顺位的投标文件启用时，前一顺位的投标文件自动失效。</w:t>
            </w:r>
          </w:p>
          <w:p>
            <w:pPr>
              <w:shd w:val="clear"/>
              <w:spacing w:line="240" w:lineRule="auto"/>
              <w:ind w:firstLine="480" w:firstLineChars="200"/>
              <w:rPr>
                <w:rFonts w:hint="eastAsia" w:ascii="宋体" w:hAnsi="宋体" w:cs="Arial"/>
                <w:color w:val="auto"/>
                <w:sz w:val="24"/>
                <w:szCs w:val="24"/>
                <w:highlight w:val="none"/>
              </w:rPr>
            </w:pPr>
            <w:r>
              <w:rPr>
                <w:rFonts w:hint="eastAsia" w:ascii="宋体" w:hAnsi="宋体" w:eastAsia="宋体" w:cs="宋体"/>
                <w:color w:val="auto"/>
                <w:sz w:val="24"/>
                <w:szCs w:val="24"/>
                <w:highlight w:val="none"/>
                <w:lang w:val="en-US" w:eastAsia="zh-CN"/>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4</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w:t>
            </w:r>
          </w:p>
        </w:tc>
        <w:tc>
          <w:tcPr>
            <w:tcW w:w="7062" w:type="dxa"/>
            <w:vAlign w:val="center"/>
          </w:tcPr>
          <w:p>
            <w:pPr>
              <w:shd w:val="clea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投标有效期为开标后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5</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投标文件递交</w:t>
            </w:r>
          </w:p>
        </w:tc>
        <w:tc>
          <w:tcPr>
            <w:tcW w:w="7062" w:type="dxa"/>
            <w:vAlign w:val="center"/>
          </w:tcPr>
          <w:p>
            <w:pPr>
              <w:shd w:val="clear"/>
              <w:spacing w:line="240" w:lineRule="auto"/>
              <w:rPr>
                <w:rFonts w:hint="eastAsia" w:ascii="宋体" w:eastAsia="宋体" w:cs="宋体"/>
                <w:color w:val="auto"/>
                <w:sz w:val="24"/>
                <w:highlight w:val="none"/>
                <w:lang w:eastAsia="zh-CN"/>
              </w:rPr>
            </w:pPr>
            <w:r>
              <w:rPr>
                <w:rFonts w:hint="eastAsia" w:ascii="宋体" w:hAnsi="宋体" w:cs="宋体"/>
                <w:color w:val="auto"/>
                <w:sz w:val="24"/>
                <w:highlight w:val="none"/>
              </w:rPr>
              <w:t>截止时间：</w:t>
            </w:r>
            <w:r>
              <w:rPr>
                <w:rFonts w:hint="eastAsia" w:ascii="宋体" w:hAnsi="宋体" w:cs="宋体"/>
                <w:b w:val="0"/>
                <w:bCs w:val="0"/>
                <w:color w:val="auto"/>
                <w:sz w:val="24"/>
                <w:szCs w:val="32"/>
                <w:highlight w:val="none"/>
                <w:lang w:val="en-US" w:eastAsia="zh-CN"/>
              </w:rPr>
              <w:t>北京时间2023年6月1日上午9:00整</w:t>
            </w:r>
          </w:p>
          <w:p>
            <w:pPr>
              <w:shd w:val="clear"/>
              <w:spacing w:line="240" w:lineRule="auto"/>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投标供应商应当在投标截止时间前将生成的</w:t>
            </w:r>
            <w:r>
              <w:rPr>
                <w:rFonts w:ascii="宋体" w:hAnsi="宋体" w:cs="宋体"/>
                <w:color w:val="auto"/>
                <w:sz w:val="24"/>
                <w:highlight w:val="none"/>
              </w:rPr>
              <w:t>“</w:t>
            </w:r>
            <w:r>
              <w:rPr>
                <w:rFonts w:hint="eastAsia" w:ascii="宋体" w:hAnsi="宋体" w:cs="宋体"/>
                <w:color w:val="auto"/>
                <w:sz w:val="24"/>
                <w:highlight w:val="none"/>
              </w:rPr>
              <w:t>电子加密投标文件</w:t>
            </w:r>
            <w:r>
              <w:rPr>
                <w:rFonts w:ascii="宋体" w:hAnsi="宋体" w:cs="宋体"/>
                <w:color w:val="auto"/>
                <w:sz w:val="24"/>
                <w:highlight w:val="none"/>
              </w:rPr>
              <w:t>”</w:t>
            </w:r>
            <w:r>
              <w:rPr>
                <w:rFonts w:hint="eastAsia" w:ascii="宋体" w:hAnsi="宋体" w:cs="宋体"/>
                <w:color w:val="auto"/>
                <w:sz w:val="24"/>
                <w:highlight w:val="none"/>
              </w:rPr>
              <w:t>上传递交至</w:t>
            </w:r>
            <w:r>
              <w:rPr>
                <w:rFonts w:ascii="宋体" w:hAnsi="宋体" w:cs="宋体"/>
                <w:color w:val="auto"/>
                <w:sz w:val="24"/>
                <w:highlight w:val="none"/>
              </w:rPr>
              <w:t>“</w:t>
            </w:r>
            <w:r>
              <w:rPr>
                <w:rFonts w:hint="eastAsia" w:ascii="宋体" w:hAnsi="宋体" w:cs="宋体"/>
                <w:color w:val="auto"/>
                <w:sz w:val="24"/>
                <w:highlight w:val="none"/>
              </w:rPr>
              <w:t>政府采购云平台</w:t>
            </w:r>
            <w:r>
              <w:rPr>
                <w:rFonts w:ascii="宋体" w:hAnsi="宋体" w:cs="宋体"/>
                <w:color w:val="auto"/>
                <w:sz w:val="24"/>
                <w:highlight w:val="none"/>
              </w:rPr>
              <w:t>”</w:t>
            </w:r>
            <w:r>
              <w:rPr>
                <w:rFonts w:hint="eastAsia" w:ascii="宋体" w:hAnsi="宋体" w:cs="宋体"/>
                <w:color w:val="auto"/>
                <w:sz w:val="24"/>
                <w:highlight w:val="none"/>
              </w:rPr>
              <w:t>，并在开标当日投标截止时间前提交纸质备份投标文件。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6</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开标时间及地点</w:t>
            </w:r>
          </w:p>
        </w:tc>
        <w:tc>
          <w:tcPr>
            <w:tcW w:w="7062" w:type="dxa"/>
            <w:vAlign w:val="center"/>
          </w:tcPr>
          <w:p>
            <w:pPr>
              <w:shd w:val="clear"/>
              <w:spacing w:line="240" w:lineRule="auto"/>
              <w:rPr>
                <w:rFonts w:hint="eastAsia" w:ascii="宋体" w:hAnsi="宋体" w:eastAsia="宋体" w:cs="宋体"/>
                <w:color w:val="auto"/>
                <w:sz w:val="24"/>
                <w:szCs w:val="32"/>
                <w:highlight w:val="none"/>
                <w:lang w:eastAsia="zh-CN"/>
              </w:rPr>
            </w:pPr>
            <w:r>
              <w:rPr>
                <w:rFonts w:hint="eastAsia" w:ascii="宋体" w:hAnsi="宋体" w:cs="宋体"/>
                <w:color w:val="auto"/>
                <w:sz w:val="24"/>
                <w:highlight w:val="none"/>
              </w:rPr>
              <w:t>时间：</w:t>
            </w:r>
            <w:r>
              <w:rPr>
                <w:rFonts w:hint="eastAsia" w:ascii="宋体" w:hAnsi="宋体" w:cs="宋体"/>
                <w:b w:val="0"/>
                <w:bCs w:val="0"/>
                <w:color w:val="auto"/>
                <w:sz w:val="24"/>
                <w:szCs w:val="32"/>
                <w:highlight w:val="none"/>
                <w:lang w:val="en-US" w:eastAsia="zh-CN"/>
              </w:rPr>
              <w:t>北京时间2023年6月1日上午9:00整</w:t>
            </w:r>
          </w:p>
          <w:p>
            <w:pPr>
              <w:shd w:val="clea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地点：</w:t>
            </w:r>
            <w:r>
              <w:rPr>
                <w:rFonts w:hint="eastAsia" w:ascii="宋体" w:hAnsi="宋体" w:cs="宋体"/>
                <w:color w:val="auto"/>
                <w:sz w:val="24"/>
                <w:szCs w:val="32"/>
                <w:highlight w:val="none"/>
                <w:lang w:eastAsia="zh-CN"/>
              </w:rPr>
              <w:t>浙江省台州市椒江区椒江区市府大道777号民泰大楼3楼一号开标室</w:t>
            </w:r>
            <w:r>
              <w:rPr>
                <w:rFonts w:hint="eastAsia" w:ascii="宋体" w:hAnsi="宋体" w:cs="宋体"/>
                <w:b w:val="0"/>
                <w:bCs w:val="0"/>
                <w:color w:val="auto"/>
                <w:sz w:val="24"/>
                <w:szCs w:val="32"/>
                <w:highlight w:val="none"/>
                <w:lang w:val="en-US" w:eastAsia="zh-CN"/>
              </w:rPr>
              <w:t>B场地</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7</w:t>
            </w:r>
          </w:p>
        </w:tc>
        <w:tc>
          <w:tcPr>
            <w:tcW w:w="2019" w:type="dxa"/>
            <w:vAlign w:val="center"/>
          </w:tcPr>
          <w:p>
            <w:pPr>
              <w:shd w:val="clea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履约保证金</w:t>
            </w:r>
          </w:p>
        </w:tc>
        <w:tc>
          <w:tcPr>
            <w:tcW w:w="7062" w:type="dxa"/>
            <w:vAlign w:val="center"/>
          </w:tcPr>
          <w:p>
            <w:pPr>
              <w:shd w:val="clear"/>
              <w:spacing w:line="240" w:lineRule="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hd w:val="clea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8</w:t>
            </w:r>
          </w:p>
        </w:tc>
        <w:tc>
          <w:tcPr>
            <w:tcW w:w="2019" w:type="dxa"/>
            <w:vAlign w:val="center"/>
          </w:tcPr>
          <w:p>
            <w:pPr>
              <w:shd w:val="clear"/>
              <w:autoSpaceDE w:val="0"/>
              <w:autoSpaceDN w:val="0"/>
              <w:adjustRightInd w:val="0"/>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实质性条款</w:t>
            </w:r>
          </w:p>
        </w:tc>
        <w:tc>
          <w:tcPr>
            <w:tcW w:w="7062" w:type="dxa"/>
            <w:vAlign w:val="center"/>
          </w:tcPr>
          <w:p>
            <w:pPr>
              <w:shd w:val="clear"/>
              <w:spacing w:line="24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带“</w:t>
            </w:r>
            <w:r>
              <w:rPr>
                <w:rFonts w:hint="eastAsia" w:asciiTheme="minorEastAsia" w:hAnsiTheme="minorEastAsia" w:eastAsiaTheme="minorEastAsia"/>
                <w:color w:val="auto"/>
                <w:sz w:val="24"/>
                <w:highlight w:val="none"/>
              </w:rPr>
              <w:t>▲</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dxa"/>
            <w:vAlign w:val="center"/>
          </w:tcPr>
          <w:p>
            <w:pPr>
              <w:shd w:val="clear"/>
              <w:spacing w:line="24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9</w:t>
            </w:r>
          </w:p>
        </w:tc>
        <w:tc>
          <w:tcPr>
            <w:tcW w:w="2019" w:type="dxa"/>
            <w:vAlign w:val="center"/>
          </w:tcPr>
          <w:p>
            <w:pPr>
              <w:shd w:val="clea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样品</w:t>
            </w:r>
            <w:r>
              <w:rPr>
                <w:rFonts w:hint="eastAsia" w:ascii="宋体" w:hAnsi="宋体" w:cs="宋体"/>
                <w:color w:val="auto"/>
                <w:sz w:val="24"/>
                <w:highlight w:val="none"/>
                <w:lang w:eastAsia="zh-CN"/>
              </w:rPr>
              <w:t>及</w:t>
            </w:r>
            <w:r>
              <w:rPr>
                <w:rFonts w:hint="eastAsia" w:ascii="宋体" w:hAnsi="宋体" w:cs="宋体"/>
                <w:color w:val="auto"/>
                <w:sz w:val="24"/>
                <w:highlight w:val="none"/>
              </w:rPr>
              <w:t>演示</w:t>
            </w:r>
          </w:p>
        </w:tc>
        <w:tc>
          <w:tcPr>
            <w:tcW w:w="7062" w:type="dxa"/>
            <w:vAlign w:val="center"/>
          </w:tcPr>
          <w:p>
            <w:pPr>
              <w:shd w:val="clear"/>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0" w:type="dxa"/>
            <w:vAlign w:val="center"/>
          </w:tcPr>
          <w:p>
            <w:pPr>
              <w:shd w:val="clea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2019" w:type="dxa"/>
            <w:vAlign w:val="center"/>
          </w:tcPr>
          <w:p>
            <w:pPr>
              <w:shd w:val="clea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节能环保</w:t>
            </w:r>
          </w:p>
        </w:tc>
        <w:tc>
          <w:tcPr>
            <w:tcW w:w="7062" w:type="dxa"/>
            <w:vAlign w:val="center"/>
          </w:tcPr>
          <w:p>
            <w:pPr>
              <w:shd w:val="clea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hd w:val="clea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11</w:t>
            </w:r>
          </w:p>
        </w:tc>
        <w:tc>
          <w:tcPr>
            <w:tcW w:w="2019" w:type="dxa"/>
            <w:tcBorders>
              <w:top w:val="single" w:color="auto" w:sz="4" w:space="0"/>
              <w:left w:val="single" w:color="auto" w:sz="4" w:space="0"/>
              <w:bottom w:val="single" w:color="auto" w:sz="4" w:space="0"/>
              <w:right w:val="single" w:color="auto" w:sz="4" w:space="0"/>
            </w:tcBorders>
            <w:vAlign w:val="center"/>
          </w:tcPr>
          <w:p>
            <w:pPr>
              <w:widowControl/>
              <w:shd w:val="clear" w:color="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是否专门面向中小微企业采购</w:t>
            </w:r>
          </w:p>
        </w:tc>
        <w:tc>
          <w:tcPr>
            <w:tcW w:w="7062" w:type="dxa"/>
            <w:tcBorders>
              <w:top w:val="single" w:color="auto" w:sz="4" w:space="0"/>
              <w:left w:val="single" w:color="auto" w:sz="4" w:space="0"/>
              <w:bottom w:val="single" w:color="auto" w:sz="4" w:space="0"/>
              <w:right w:val="single" w:color="auto" w:sz="4" w:space="0"/>
            </w:tcBorders>
            <w:vAlign w:val="center"/>
          </w:tcPr>
          <w:p>
            <w:pPr>
              <w:widowControl/>
              <w:shd w:val="clear" w:color="auto"/>
              <w:spacing w:line="240" w:lineRule="auto"/>
              <w:jc w:val="left"/>
              <w:rPr>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 xml:space="preserve">是 </w:t>
            </w:r>
          </w:p>
          <w:p>
            <w:pPr>
              <w:widowControl/>
              <w:shd w:val="clear" w:color="auto"/>
              <w:spacing w:line="240" w:lineRule="auto"/>
              <w:jc w:val="left"/>
              <w:rPr>
                <w:rFonts w:hint="eastAsia" w:ascii="宋体" w:hAnsi="宋体" w:eastAsia="宋体" w:cs="宋体"/>
                <w:color w:val="auto"/>
                <w:kern w:val="2"/>
                <w:sz w:val="21"/>
                <w:szCs w:val="24"/>
                <w:highlight w:val="none"/>
                <w:lang w:val="en-US" w:eastAsia="zh-CN" w:bidi="ar-SA"/>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hd w:val="clea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2019"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中小企业划分标准所属行业</w:t>
            </w:r>
          </w:p>
        </w:tc>
        <w:tc>
          <w:tcPr>
            <w:tcW w:w="7062"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所属行业：</w:t>
            </w:r>
            <w:r>
              <w:rPr>
                <w:rFonts w:hint="eastAsia" w:ascii="宋体" w:hAnsi="宋体" w:cs="宋体"/>
                <w:color w:val="auto"/>
                <w:sz w:val="24"/>
                <w:highlight w:val="none"/>
                <w:lang w:eastAsia="zh-CN"/>
              </w:rPr>
              <w:t>工业</w:t>
            </w:r>
            <w:r>
              <w:rPr>
                <w:rFonts w:hint="eastAsia" w:ascii="宋体" w:hAnsi="宋体" w:cs="宋体"/>
                <w:color w:val="auto"/>
                <w:sz w:val="24"/>
                <w:highlight w:val="none"/>
                <w:lang w:val="en-US" w:eastAsia="zh-CN"/>
              </w:rPr>
              <w:t>-制造业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hd w:val="clea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2019"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其他</w:t>
            </w:r>
          </w:p>
        </w:tc>
        <w:tc>
          <w:tcPr>
            <w:tcW w:w="7062" w:type="dxa"/>
            <w:tcBorders>
              <w:top w:val="single" w:color="auto" w:sz="4" w:space="0"/>
              <w:left w:val="single" w:color="auto" w:sz="4" w:space="0"/>
              <w:bottom w:val="single" w:color="auto" w:sz="4" w:space="0"/>
              <w:right w:val="single" w:color="auto" w:sz="4" w:space="0"/>
            </w:tcBorders>
            <w:vAlign w:val="center"/>
          </w:tcPr>
          <w:p>
            <w:pPr>
              <w:shd w:val="clear" w:color="auto"/>
              <w:spacing w:line="240" w:lineRule="auto"/>
              <w:rPr>
                <w:rFonts w:hint="eastAsia"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shd w:val="clear" w:color="auto"/>
              <w:spacing w:line="240" w:lineRule="auto"/>
              <w:rPr>
                <w:rFonts w:hint="eastAsia"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p>
            <w:pPr>
              <w:shd w:val="clear" w:color="auto"/>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hd w:val="clea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 、总  则</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 xml:space="preserve"> 适用范围</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本招标文件适用于本次项目的招标、投标、评标、定标、验收、合同履约、付款等行为（法律、法规另有规定的，从其规定</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定义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eastAsia="宋体" w:cs="宋体"/>
          <w:b w:val="0"/>
          <w:bCs w:val="0"/>
          <w:color w:val="auto"/>
          <w:sz w:val="24"/>
          <w:szCs w:val="32"/>
          <w:highlight w:val="none"/>
          <w:lang w:val="zh-CN" w:eastAsia="zh-CN"/>
        </w:rPr>
        <w:t>“采购组织机构”指采购人委托组织招标的采购代理机构。</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2、采购人：是指委托采购代理机构采购本次项目的国家机关、事业单位和团体组织。</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3、投标人：是指向采购</w:t>
      </w:r>
      <w:r>
        <w:rPr>
          <w:rFonts w:hint="eastAsia" w:ascii="宋体" w:hAnsi="宋体" w:eastAsia="宋体" w:cs="宋体"/>
          <w:b w:val="0"/>
          <w:bCs w:val="0"/>
          <w:color w:val="auto"/>
          <w:sz w:val="24"/>
          <w:szCs w:val="32"/>
          <w:highlight w:val="none"/>
          <w:lang w:val="zh-CN" w:eastAsia="zh-CN"/>
        </w:rPr>
        <w:t>组织</w:t>
      </w:r>
      <w:r>
        <w:rPr>
          <w:rFonts w:hint="eastAsia" w:ascii="宋体" w:hAnsi="宋体" w:eastAsia="宋体" w:cs="宋体"/>
          <w:b w:val="0"/>
          <w:bCs w:val="0"/>
          <w:color w:val="auto"/>
          <w:sz w:val="24"/>
          <w:szCs w:val="32"/>
          <w:highlight w:val="none"/>
          <w:lang w:eastAsia="zh-CN"/>
        </w:rPr>
        <w:t>机构提交投标文件的单位或个人。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4、货物：是指各种形态和种类的物品，包括原材料、燃料、设备、产品等。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5、服务：是指除货物和工程以外的政府采购对象，包括各类专业服务、信息网络开发服务、金融保险服务、运输服务，以及维修与维护服务等。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6、“书面形式”包括信函、传真等。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7、“▲”系指实质性要求条款。</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投标费用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不论投标结果如何，投标人均应自行承担所有与投标有关的全部费用（招标文件有相关规定除外</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（四</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特别说明</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b w:val="0"/>
          <w:bCs w:val="0"/>
          <w:color w:val="auto"/>
          <w:sz w:val="24"/>
          <w:szCs w:val="32"/>
          <w:highlight w:val="none"/>
          <w:lang w:eastAsia="zh-CN"/>
        </w:rPr>
        <w:tab/>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eastAsia="zh-CN"/>
        </w:rPr>
        <w:t>、投标人在投标活动中提供任何虚假材料</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其投标无效，并报监管部门查处；中标后发现的</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eastAsia="zh-CN"/>
        </w:rPr>
        <w:t>、投标人不得相互串通投标报价，不得妨碍其他投标人的公平竞争，不得损害采购人或其他投标人的合法权益，投标人不得以向采购人、评标委员会成员行贿或者采取其他不正当手段谋取中标。</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eastAsia="zh-CN"/>
        </w:rPr>
        <w:t>、为采购项目提供整体设计、规范编制或者项目管理、监理、检测等服务的供应商，不得再参加该采购项目的其他采购活动。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、投标文件格式中的表格式样可以根据项目差别做适当调整</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但应当保持表格样式基本形态不变。</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eastAsia="zh-CN"/>
        </w:rPr>
        <w:t>、单位负责人为同一人或者存在直接控股、管理关系的不同供应商，不得参加同一合同项下的政府采购活动。</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、本项目不允许</w:t>
      </w:r>
      <w:r>
        <w:rPr>
          <w:rFonts w:hint="eastAsia" w:ascii="宋体" w:hAnsi="宋体" w:cs="宋体"/>
          <w:color w:val="auto"/>
          <w:sz w:val="24"/>
          <w:highlight w:val="none"/>
          <w:lang w:val="en-US" w:eastAsia="zh-CN"/>
        </w:rPr>
        <w:t>转让</w:t>
      </w:r>
      <w:r>
        <w:rPr>
          <w:rFonts w:hint="eastAsia" w:ascii="宋体" w:hAnsi="宋体" w:eastAsia="宋体" w:cs="宋体"/>
          <w:color w:val="auto"/>
          <w:sz w:val="24"/>
          <w:highlight w:val="none"/>
          <w:lang w:val="en-US" w:eastAsia="zh-CN"/>
        </w:rPr>
        <w:t>。</w:t>
      </w:r>
    </w:p>
    <w:p>
      <w:pPr>
        <w:shd w:val="clea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二、招标文件</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招标文件由招标文件总目录所列内容组成。</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招标文件的澄清或修改</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hd w:val="clea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三、投标文件</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val="zh-CN" w:eastAsia="zh-CN"/>
        </w:rPr>
        <w:t>（</w:t>
      </w:r>
      <w:r>
        <w:rPr>
          <w:rFonts w:hint="eastAsia" w:ascii="宋体" w:hAnsi="宋体" w:cs="宋体"/>
          <w:b/>
          <w:bCs/>
          <w:color w:val="auto"/>
          <w:sz w:val="24"/>
          <w:szCs w:val="32"/>
          <w:highlight w:val="none"/>
          <w:lang w:val="zh-CN" w:eastAsia="zh-CN"/>
        </w:rPr>
        <w:t>一）</w:t>
      </w:r>
      <w:r>
        <w:rPr>
          <w:rFonts w:hint="eastAsia" w:ascii="宋体" w:hAnsi="宋体" w:eastAsia="宋体" w:cs="宋体"/>
          <w:b/>
          <w:bCs/>
          <w:color w:val="auto"/>
          <w:sz w:val="24"/>
          <w:szCs w:val="32"/>
          <w:highlight w:val="none"/>
          <w:lang w:eastAsia="zh-CN"/>
        </w:rPr>
        <w:t>投标文件的组成</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投标人接到招标文件后，按照采购组织机构的要求提供：资格证明文件、商务与技术文件和报价文件。</w:t>
      </w:r>
      <w:r>
        <w:rPr>
          <w:rFonts w:hint="eastAsia" w:ascii="宋体" w:hAnsi="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1、资格证明文件的组成：</w:t>
      </w:r>
    </w:p>
    <w:p>
      <w:pPr>
        <w:shd w:val="clear"/>
        <w:bidi w:val="0"/>
        <w:spacing w:line="360" w:lineRule="auto"/>
        <w:ind w:firstLine="480" w:firstLineChars="200"/>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eastAsia="zh-CN"/>
        </w:rPr>
        <w:t>）</w:t>
      </w:r>
      <w:r>
        <w:rPr>
          <w:rFonts w:hint="eastAsia" w:ascii="宋体" w:hAnsi="宋体" w:cs="宋体"/>
          <w:b w:val="0"/>
          <w:bCs w:val="0"/>
          <w:color w:val="auto"/>
          <w:sz w:val="24"/>
          <w:szCs w:val="32"/>
          <w:highlight w:val="none"/>
          <w:lang w:val="en-US" w:eastAsia="zh-CN"/>
        </w:rPr>
        <w:t>联合体协议（以联合体形式投标的，提供联合体协议；投标人不以联合体形式投标的，</w:t>
      </w:r>
      <w:r>
        <w:rPr>
          <w:rFonts w:hint="eastAsia" w:ascii="宋体" w:hAnsi="宋体" w:eastAsia="宋体" w:cs="宋体"/>
          <w:b w:val="0"/>
          <w:bCs w:val="0"/>
          <w:color w:val="auto"/>
          <w:sz w:val="24"/>
          <w:szCs w:val="32"/>
          <w:highlight w:val="none"/>
          <w:lang w:val="en-US" w:eastAsia="zh-CN"/>
        </w:rPr>
        <w:t>则无需提交</w:t>
      </w:r>
      <w:r>
        <w:rPr>
          <w:rFonts w:hint="eastAsia" w:ascii="宋体" w:hAnsi="宋体" w:cs="宋体"/>
          <w:b w:val="0"/>
          <w:bCs w:val="0"/>
          <w:color w:val="auto"/>
          <w:sz w:val="24"/>
          <w:szCs w:val="32"/>
          <w:highlight w:val="none"/>
          <w:lang w:val="en-US"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US" w:eastAsia="zh-CN"/>
        </w:rPr>
        <w:t>）投标声明书；</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en-US" w:eastAsia="zh-CN"/>
        </w:rPr>
        <w:t>）授权委托书（法定代表人亲自办理投标事宜的，则无需提交）；</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val="en-US" w:eastAsia="zh-CN"/>
        </w:rPr>
        <w:t>）法人或者其他组织的营业执照等证明文件，自然人的身份证明；</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val="en-US" w:eastAsia="zh-CN"/>
        </w:rPr>
        <w:t>）具有良好的商业信誉和健全的财务会计制度的承诺；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val="en-US" w:eastAsia="zh-CN"/>
        </w:rPr>
        <w:t>）依法缴纳税收和社会保障资金的承诺；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7</w:t>
      </w:r>
      <w:r>
        <w:rPr>
          <w:rFonts w:hint="eastAsia" w:ascii="宋体" w:hAnsi="宋体" w:eastAsia="宋体" w:cs="宋体"/>
          <w:b w:val="0"/>
          <w:bCs w:val="0"/>
          <w:color w:val="auto"/>
          <w:sz w:val="24"/>
          <w:szCs w:val="32"/>
          <w:highlight w:val="none"/>
          <w:lang w:val="en-US" w:eastAsia="zh-CN"/>
        </w:rPr>
        <w:t>）参加政府采购活动前三年内，在经营活动中没有重大违法记录；</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8</w:t>
      </w:r>
      <w:r>
        <w:rPr>
          <w:rFonts w:hint="eastAsia" w:ascii="宋体" w:hAnsi="宋体" w:eastAsia="宋体" w:cs="宋体"/>
          <w:b w:val="0"/>
          <w:bCs w:val="0"/>
          <w:color w:val="auto"/>
          <w:sz w:val="24"/>
          <w:szCs w:val="32"/>
          <w:highlight w:val="none"/>
          <w:lang w:val="en-US" w:eastAsia="zh-CN"/>
        </w:rPr>
        <w:t>）需要说明的其他资料。</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2、商务与技术文件的组成：</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（1）投标人情况介绍。</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（2）投标方案描述：</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A.项目需求的理解与分析</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投标人对项目现状及需求的理解情况，对项目现状和需求描述的全面性、准确性、针对性，项目功能设计完备、对系统各组成部分等功能进行准确的分析，对项目重点、难点的把握，解决方案及合理化建议</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B.项目组织实施方案（包括项目工期、确保项目供货的措施或方案、项目实施进度安排、项目实施人员及项目负责人的资质、类似经验及社保证明等）。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C.安装、调试及验收方案（包括项目验收标准和验收方法等）和措施；</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（3）投标产品描述及相关资料：</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A.设备配置清单</w:t>
      </w:r>
      <w:r>
        <w:rPr>
          <w:rFonts w:hint="eastAsia" w:ascii="宋体" w:hAnsi="宋体" w:eastAsia="宋体" w:cs="宋体"/>
          <w:b/>
          <w:bCs/>
          <w:color w:val="auto"/>
          <w:sz w:val="24"/>
          <w:szCs w:val="32"/>
          <w:highlight w:val="none"/>
          <w:lang w:eastAsia="zh-CN"/>
        </w:rPr>
        <w:t>（均不含报价）</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B.产品品牌及型号、技术参数指标、性能特点、图片资料以及所遵循的技术规范、产品质保期、出厂标准、产品质量相关检测报告等内容。</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C.商务及技术响应表。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【特别提示：节能和环境标志产品最新一期政府采购清单，可在“中国政府采购网”中查看】</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（4）投标人通过的质量管理和质量保证体系、环保体系、自主创新相关证书、软件著作权证等等与本项目相关的认证证书或文件；</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（5）近三年来类似项目的成功案例；</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（6）如是代理商需提供代理证明（或制造商出具的授权书）；</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（7）供应商为医疗器械生产企业的：第二类、第三类医疗器械生产企业提供《医疗器械生产许可证》、第一类医疗器械生产企业提供第一类医疗器械生产备案凭证；</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供应商为医疗器械经营企业的：第三类医疗器械经营企业提供《医疗器械经营许可证》、第二类医疗器械经营企业提供第二类医疗器械经营备案凭证；（适用于按医疗器械管理的货物）；</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食品药品监督管理部门核发的完整有效的医疗器械注册或备案证明；（适用于按医疗器械管理的设备）；</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（8）投标人认为需要提供的其他资料（包括可能影响投标人商务与技术文件评分的各类证明材料）；</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（9）售后服务描述及承诺：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A.距采购人最近的服务网点详细介绍（包括地理位置、资质资格、技术力量、工作业绩、服务内容及联系电话等）。</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B.针对本项目的售后服务措施及承诺（售后技术服务方案、人员配备、故障响应时间、技术培训方案等）。</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3、报价文件的组成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报价文件由开标一览表、报价明细表、</w:t>
      </w:r>
      <w:r>
        <w:rPr>
          <w:rFonts w:hint="eastAsia" w:ascii="宋体" w:hAnsi="宋体" w:cs="宋体"/>
          <w:color w:val="auto"/>
          <w:sz w:val="24"/>
          <w:szCs w:val="32"/>
          <w:highlight w:val="none"/>
          <w:lang w:val="en-US" w:eastAsia="zh-CN"/>
        </w:rPr>
        <w:t>中小企业等</w:t>
      </w:r>
      <w:r>
        <w:rPr>
          <w:rFonts w:hint="eastAsia" w:ascii="宋体" w:hAnsi="宋体" w:cs="宋体"/>
          <w:color w:val="auto"/>
          <w:sz w:val="24"/>
          <w:szCs w:val="32"/>
          <w:highlight w:val="none"/>
        </w:rPr>
        <w:t>声明函（不符合</w:t>
      </w:r>
      <w:r>
        <w:rPr>
          <w:rFonts w:hint="eastAsia" w:ascii="宋体" w:hAnsi="宋体" w:cs="宋体"/>
          <w:color w:val="auto"/>
          <w:sz w:val="24"/>
          <w:szCs w:val="32"/>
          <w:highlight w:val="none"/>
          <w:lang w:val="en-US" w:eastAsia="zh-CN"/>
        </w:rPr>
        <w:t>中小</w:t>
      </w:r>
      <w:r>
        <w:rPr>
          <w:rFonts w:hint="eastAsia" w:ascii="宋体" w:hAnsi="宋体" w:cs="宋体"/>
          <w:color w:val="auto"/>
          <w:sz w:val="24"/>
          <w:szCs w:val="32"/>
          <w:highlight w:val="none"/>
        </w:rPr>
        <w:t>企业要求的无需提供</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以及投标人认为其他需要说明的内容组成。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此报价为投标人一次性报出唯一的最终价格，包含其它一切所要涉及到的费用，有选择的报价将被拒绝。</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相关报价单需打印或用不退色的墨水填写， 投标报价单不得涂改和增删，如有错漏必须修改，修改处须由同一签署人签字或盖章。由于字迹模糊或表达不清引起的后果由投标人负责。</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投标报价应按招标文件中相关附表格式填写。</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（7）设备配置清单</w:t>
      </w:r>
      <w:r>
        <w:rPr>
          <w:rFonts w:hint="eastAsia" w:ascii="宋体" w:hAnsi="宋体" w:cs="宋体"/>
          <w:b/>
          <w:bCs/>
          <w:color w:val="auto"/>
          <w:sz w:val="24"/>
          <w:szCs w:val="32"/>
          <w:highlight w:val="none"/>
        </w:rPr>
        <w:t>（含报价）投标单位供货过程中配件价格不高于报价。</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投标文件的制作及递交要求</w:t>
      </w:r>
    </w:p>
    <w:p>
      <w:pPr>
        <w:shd w:val="clea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1、投标文件的制作要求</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投标人应按照投标文件组成内容及项目招标需求制作投标文件，不按招标文件要求制作投标文件的将视情处理（拒收、扣分等</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，由此产生的责任由投标人自行承担。</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（2</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投标人应对所提供的全部资料的真实性承担法律责任，</w:t>
      </w:r>
      <w:r>
        <w:rPr>
          <w:rFonts w:hint="eastAsia" w:ascii="宋体" w:hAnsi="宋体" w:eastAsia="宋体" w:cs="宋体"/>
          <w:b w:val="0"/>
          <w:bCs w:val="0"/>
          <w:color w:val="auto"/>
          <w:sz w:val="24"/>
          <w:szCs w:val="32"/>
          <w:highlight w:val="none"/>
          <w:lang w:val="zh-CN" w:eastAsia="zh-CN"/>
        </w:rPr>
        <w:t>投标文件内容中有要求盖章或签字的地方，必须加盖投标人的公章以及法定代表人或</w:t>
      </w:r>
      <w:r>
        <w:rPr>
          <w:rFonts w:hint="eastAsia" w:ascii="宋体" w:hAnsi="宋体" w:cs="宋体"/>
          <w:b w:val="0"/>
          <w:bCs w:val="0"/>
          <w:color w:val="auto"/>
          <w:sz w:val="24"/>
          <w:szCs w:val="32"/>
          <w:highlight w:val="none"/>
          <w:lang w:val="zh-CN" w:eastAsia="zh-CN"/>
        </w:rPr>
        <w:t>授权委托代理人</w:t>
      </w:r>
      <w:r>
        <w:rPr>
          <w:rFonts w:hint="eastAsia" w:ascii="宋体" w:hAnsi="宋体" w:eastAsia="宋体" w:cs="宋体"/>
          <w:b w:val="0"/>
          <w:bCs w:val="0"/>
          <w:color w:val="auto"/>
          <w:sz w:val="24"/>
          <w:szCs w:val="32"/>
          <w:highlight w:val="none"/>
          <w:lang w:val="zh-CN" w:eastAsia="zh-CN"/>
        </w:rPr>
        <w:t>盖章或签字。</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投标文件以及投标人与采购组织机构就有关投标事宜的所有来往函电，均应以中文汉语书写。除签字、盖章、专用名称等特殊情形外，以中文汉语以外的文字表述的投标文件视同未提供。</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投标计量单位，招标文件已有明确规定的，使用招标文件规定的计量单位；招标文件没有规定的，应采用中华人民共和国法定计量单位（货币单位：人民币元</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若投标人不按招标文件的要求提供资格审查材料，其风险由投标人自行承担。</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与本次投标无关的内容请不要制作在内，确保投标文件有针对性、简洁明了。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存储的数据电文形式的备份投标文件、纸质备份投标文件三类</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32"/>
          <w:highlight w:val="none"/>
        </w:rPr>
        <w:t>资格证明文件</w:t>
      </w:r>
      <w:r>
        <w:rPr>
          <w:rFonts w:hint="eastAsia" w:ascii="宋体" w:hAnsi="宋体" w:cs="宋体"/>
          <w:color w:val="auto"/>
          <w:sz w:val="24"/>
          <w:szCs w:val="32"/>
          <w:highlight w:val="none"/>
          <w:lang w:val="en-GB"/>
        </w:rPr>
        <w:t>》和《</w:t>
      </w:r>
      <w:r>
        <w:rPr>
          <w:rFonts w:hint="eastAsia" w:ascii="宋体" w:hAnsi="宋体" w:cs="宋体"/>
          <w:color w:val="auto"/>
          <w:sz w:val="24"/>
          <w:szCs w:val="32"/>
          <w:highlight w:val="none"/>
        </w:rPr>
        <w:t>商务技术文件</w:t>
      </w:r>
      <w:r>
        <w:rPr>
          <w:rFonts w:hint="eastAsia" w:ascii="宋体" w:hAnsi="宋体" w:cs="宋体"/>
          <w:color w:val="auto"/>
          <w:sz w:val="24"/>
          <w:szCs w:val="32"/>
          <w:highlight w:val="none"/>
          <w:lang w:val="en-GB"/>
        </w:rPr>
        <w:t>》中不得出现本项目投标报价，如因投标人原因提前泄露投标报价，是投标人的责任。</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lang w:val="en-GB"/>
        </w:rPr>
        <w:t>2</w:t>
      </w:r>
      <w:r>
        <w:rPr>
          <w:rFonts w:hint="eastAsia" w:ascii="宋体" w:hAnsi="宋体" w:cs="宋体"/>
          <w:color w:val="auto"/>
          <w:sz w:val="24"/>
          <w:szCs w:val="32"/>
          <w:highlight w:val="none"/>
          <w:lang w:val="zh-CN"/>
        </w:rPr>
        <w:t>投标文件分为</w:t>
      </w:r>
      <w:r>
        <w:rPr>
          <w:rFonts w:hint="eastAsia" w:ascii="宋体" w:hAnsi="宋体" w:cs="宋体"/>
          <w:color w:val="auto"/>
          <w:sz w:val="24"/>
          <w:szCs w:val="32"/>
          <w:highlight w:val="none"/>
          <w:lang w:val="en-GB"/>
        </w:rPr>
        <w:t>资格证明文件、商务技术文件、报价文件三部分</w:t>
      </w:r>
      <w:r>
        <w:rPr>
          <w:rFonts w:hint="eastAsia" w:ascii="宋体" w:hAnsi="宋体" w:cs="宋体"/>
          <w:color w:val="auto"/>
          <w:sz w:val="24"/>
          <w:szCs w:val="32"/>
          <w:highlight w:val="none"/>
          <w:lang w:val="zh-CN"/>
        </w:rPr>
        <w:t>。各投标人在编制投标文件时请按照采购文件第六章规定的格式进行，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，否则视为未提供。</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1.3《投标文件》内容不完整、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存储的数据电文形式的备份投标文件，按政采云平台项目采购-电子招投标操作指南中上传的电子投标文件格式，以U盘形式提供。数量为1份。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纸质备份投标文件以纸质文件的形式编制，按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szCs w:val="32"/>
          <w:highlight w:val="none"/>
        </w:rPr>
        <w:t>。</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未分别密封的投标文件将为无效。除报价文件外其余一律不准出现数字报价。如有不同标段，请按标段号分别装订，密封要求同上。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2.温馨提醒：CA签章上目前没有法人或授权代表签字信息，需要投标人联系</w:t>
      </w:r>
      <w:r>
        <w:rPr>
          <w:rFonts w:hint="eastAsia" w:ascii="宋体" w:hAnsi="宋体" w:cs="宋体"/>
          <w:b/>
          <w:bCs/>
          <w:color w:val="auto"/>
          <w:sz w:val="24"/>
          <w:szCs w:val="32"/>
          <w:highlight w:val="none"/>
        </w:rPr>
        <w:t>浙江杭州汇信科技有限公司（400-8884636</w:t>
      </w:r>
      <w:r>
        <w:rPr>
          <w:rFonts w:hint="eastAsia" w:ascii="宋体" w:hAnsi="宋体" w:cs="宋体"/>
          <w:b/>
          <w:bCs/>
          <w:color w:val="auto"/>
          <w:sz w:val="24"/>
          <w:szCs w:val="32"/>
          <w:highlight w:val="none"/>
          <w:lang w:eastAsia="zh-CN"/>
        </w:rPr>
        <w:t>）、杭州天谷信息科技有限公司（400</w:t>
      </w:r>
      <w:r>
        <w:rPr>
          <w:rFonts w:hint="eastAsia" w:ascii="宋体" w:hAnsi="宋体" w:cs="宋体"/>
          <w:b/>
          <w:bCs/>
          <w:color w:val="auto"/>
          <w:sz w:val="24"/>
          <w:szCs w:val="32"/>
          <w:highlight w:val="none"/>
          <w:lang w:val="en-US" w:eastAsia="zh-CN"/>
        </w:rPr>
        <w:t>-</w:t>
      </w:r>
      <w:r>
        <w:rPr>
          <w:rFonts w:hint="eastAsia" w:ascii="宋体" w:hAnsi="宋体" w:cs="宋体"/>
          <w:b/>
          <w:bCs/>
          <w:color w:val="auto"/>
          <w:sz w:val="24"/>
          <w:szCs w:val="32"/>
          <w:highlight w:val="none"/>
          <w:lang w:eastAsia="zh-CN"/>
        </w:rPr>
        <w:t>0878198）</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以介质（U盘</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分别编制并单独装订成册，活页装订的投标文件将被拒绝。投标文件需打印或用不褪色的墨水填写。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zh-CN"/>
        </w:rPr>
        <w:t>资格证明文件、商务技术文件、报价文件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”、“开标时启封”字样，未按上述要求密封及加写标记，采购组织机构对投标文件的误投和提前启封不负责任。</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。原件仅作为核查复印件真实性之用，如仅提供了原件，投标文件中未提供复印件，不予认定投标文件中具备该份资料。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签署或盖章。投标截止时间后，投标人不得撤回、修改投标文件。修改后重新递交的投标文件应当按本招标文件的要求签署、盖章和密封。</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hd w:val="clea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2、投标文件的递交要求</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“投标文件”的上传、递交：见《前附表》。▲未传输递交电子投标文件的，投标无效。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r>
        <w:rPr>
          <w:rFonts w:hint="eastAsia" w:ascii="宋体" w:hAnsi="宋体" w:cs="宋体"/>
          <w:color w:val="auto"/>
          <w:sz w:val="24"/>
          <w:highlight w:val="none"/>
          <w:lang w:val="en-GB"/>
        </w:rPr>
        <w:t>▲未按规定提供相应的备份投标文件，造成项目开评标活动无法进行下去的，投标无效。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如有特殊情况，采购组织机构延长截止时间和开标时间，采购组织机构和投标人的权利和义务将受到新的截止时间和开标时间的约束。</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投标文件的备选方案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方案，否则其投标文件将作无效标处理。与“电子加密投标文件”同时生成的“备份投标文件”不是投标备选（替代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投标文件的有效期</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hd w:val="clea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shd w:val="clear"/>
        <w:spacing w:line="360" w:lineRule="auto"/>
        <w:rPr>
          <w:rFonts w:ascii="宋体" w:hAnsi="宋体" w:cs="宋体"/>
          <w:color w:val="auto"/>
          <w:sz w:val="24"/>
          <w:szCs w:val="32"/>
          <w:highlight w:val="none"/>
        </w:rPr>
      </w:pPr>
      <w:r>
        <w:rPr>
          <w:rFonts w:hint="eastAsia" w:ascii="宋体" w:hAnsi="宋体"/>
          <w:b/>
          <w:color w:val="auto"/>
          <w:kern w:val="0"/>
          <w:sz w:val="24"/>
          <w:highlight w:val="none"/>
        </w:rPr>
        <w:t>四、</w:t>
      </w:r>
      <w:r>
        <w:rPr>
          <w:rFonts w:hint="eastAsia" w:ascii="宋体" w:hAnsi="宋体" w:cs="宋体"/>
          <w:b/>
          <w:bCs/>
          <w:color w:val="auto"/>
          <w:sz w:val="24"/>
          <w:szCs w:val="32"/>
          <w:highlight w:val="none"/>
        </w:rPr>
        <w:t>开标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开标事项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电子交易平台发生故障而无法登录访问的；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电子交易平台应用或数据库出现错误，不能进行正常操作的；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电子交易平台发现严重安全漏洞，有潜在泄密危险的；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病毒导致不能进行正常操作的；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其他无法保证电子交易的公平、公正和安全的情况。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 开标程序：</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提请有关人员回避；对投标人进行签到验证。</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资格证明文件和商务技术文件</w:t>
      </w:r>
      <w:r>
        <w:rPr>
          <w:rFonts w:hint="eastAsia" w:ascii="宋体" w:hAnsi="宋体" w:cs="宋体"/>
          <w:color w:val="auto"/>
          <w:sz w:val="24"/>
          <w:szCs w:val="32"/>
          <w:highlight w:val="none"/>
        </w:rPr>
        <w:t>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hd w:val="clear" w:color="auto"/>
        <w:spacing w:line="360" w:lineRule="auto"/>
        <w:jc w:val="left"/>
        <w:rPr>
          <w:rFonts w:hint="eastAsia" w:ascii="宋体" w:hAnsi="宋体" w:cs="宋体"/>
          <w:b/>
          <w:bCs/>
          <w:color w:val="auto"/>
          <w:sz w:val="24"/>
          <w:szCs w:val="32"/>
          <w:highlight w:val="none"/>
        </w:rPr>
      </w:pPr>
      <w:r>
        <w:rPr>
          <w:rFonts w:hint="eastAsia" w:ascii="宋体" w:hAnsi="宋体" w:eastAsia="宋体" w:cs="宋体"/>
          <w:b/>
          <w:bCs/>
          <w:color w:val="auto"/>
          <w:sz w:val="24"/>
          <w:szCs w:val="32"/>
          <w:highlight w:val="none"/>
          <w:lang w:val="en-US" w:eastAsia="zh-CN"/>
        </w:rPr>
        <w:t>特别说明：如遇政采云平台电子化开标或评审程序调整的，按调整后程序执行。</w:t>
      </w: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五、评标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本项目采用电子评审方法。</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组建评标委员会</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评标程序</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对于投标文件中含义不明确、同类问题表述不一致或者有明显文字和计算错误的内容，评标委员会应当以书面形式要求投标人作出必要的澄清、说明或者补正。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评标时，评标委员会各成员应当独立对每个投标人的投标文件进行评价，并汇总每个投标人的得分。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评标委员会对报价文件进行复核，对于系统计算出的价格分及总得分进行确认；</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评标委员会按评标原则及得分情况编写评审报告。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澄清问题的形式</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错误修正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内容与投标文件中相应内容不一致的，以开标一览表（报价表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2、大写金额和小写金额不一致的，以大写金额为准</w:t>
      </w:r>
      <w:r>
        <w:rPr>
          <w:rFonts w:hint="eastAsia" w:ascii="宋体" w:hAnsi="宋体" w:cs="宋体"/>
          <w:color w:val="auto"/>
          <w:sz w:val="24"/>
          <w:szCs w:val="32"/>
          <w:highlight w:val="none"/>
          <w:lang w:eastAsia="zh-CN"/>
        </w:rPr>
        <w:t>。</w:t>
      </w:r>
    </w:p>
    <w:p>
      <w:pPr>
        <w:shd w:val="clea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3、单价金额小数点或者百分比有明显错位的，以开标一览表的总价为准，并修改单价</w:t>
      </w:r>
      <w:r>
        <w:rPr>
          <w:rFonts w:hint="eastAsia" w:ascii="宋体" w:hAnsi="宋体" w:cs="宋体"/>
          <w:color w:val="auto"/>
          <w:sz w:val="24"/>
          <w:szCs w:val="32"/>
          <w:highlight w:val="none"/>
          <w:lang w:eastAsia="zh-CN"/>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投标人存在下列情况之一的，投标无效：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中的投标货物出现重大偏差的。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ascii="宋体" w:hAnsi="宋体" w:cs="宋体"/>
          <w:color w:val="auto"/>
          <w:sz w:val="24"/>
          <w:szCs w:val="32"/>
          <w:highlight w:val="none"/>
        </w:rPr>
        <w:tab/>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8、投标参数未如实填写，完全复制粘贴招标参数的。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9、投标文件提供虚假材料的。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0</w:t>
      </w:r>
      <w:r>
        <w:rPr>
          <w:rFonts w:hint="eastAsia" w:ascii="宋体" w:hAnsi="宋体" w:cs="宋体"/>
          <w:color w:val="auto"/>
          <w:sz w:val="24"/>
          <w:szCs w:val="32"/>
          <w:highlight w:val="none"/>
        </w:rPr>
        <w:t>、不符合中华人民共和国财政部令第87号《政府采购货物和服务招标投标管理办法》第三十七条情形之一的，视为投标人串通投标，其投标无效，并移送采购监管部门：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不同投标人的投标文件由同一单位或者个人编制；不同投标人的投标文件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由同一台电脑编制；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不同投标人委托同一单位或者个人办理投标事宜；</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不同投标人的投标文件载明的项目管理成员或者联系人员为同一人；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不同投标人的投标文件异常一致或者投标报价呈规律性差异；</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不同投标人的投标文件相互混装。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、不符合法律、法规和招标文件中规定的其他实质性要求的（招标文件中打“▲”内容及被拒绝的条款</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、未传输递交电子投标文件的或者未按规定提供相应的备份投标文件，造成项目开评标活动无法进行下去的。</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有下列情况之一的，本次招标作为废标处理：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2、评标委员会发现招标文件存在歧义、重大缺陷导致评标工作无法进行，或者招标文件内容违反国家有关强制性规定的；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评标原则和评标办法</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 评标方法及评分标准》。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评标过程的监控</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5、招标代理费用：招标代理费用按照</w:t>
      </w:r>
      <w:r>
        <w:rPr>
          <w:rFonts w:hint="eastAsia" w:ascii="宋体" w:hAnsi="宋体" w:cs="宋体"/>
          <w:color w:val="auto"/>
          <w:sz w:val="24"/>
          <w:szCs w:val="32"/>
          <w:highlight w:val="none"/>
          <w:lang w:val="zh-CN"/>
        </w:rPr>
        <w:t>《国家发展改革委关于进一步放开建设项目专业服务价格的通知》（发改价格2015 299号）执行，</w:t>
      </w:r>
      <w:r>
        <w:rPr>
          <w:rFonts w:hint="eastAsia" w:ascii="宋体" w:hAnsi="宋体" w:cs="宋体"/>
          <w:color w:val="auto"/>
          <w:sz w:val="24"/>
          <w:szCs w:val="32"/>
          <w:highlight w:val="none"/>
        </w:rPr>
        <w:t>按照下列表格中类别标准</w:t>
      </w:r>
      <w:r>
        <w:rPr>
          <w:rFonts w:hint="eastAsia" w:ascii="宋体" w:hAnsi="宋体" w:cs="宋体"/>
          <w:color w:val="auto"/>
          <w:sz w:val="24"/>
          <w:szCs w:val="32"/>
          <w:highlight w:val="none"/>
          <w:lang w:val="en-US" w:eastAsia="zh-CN"/>
        </w:rPr>
        <w:t>下浮20%</w:t>
      </w:r>
      <w:r>
        <w:rPr>
          <w:rFonts w:hint="eastAsia" w:ascii="宋体" w:hAnsi="宋体" w:cs="宋体"/>
          <w:color w:val="auto"/>
          <w:sz w:val="24"/>
          <w:szCs w:val="32"/>
          <w:highlight w:val="none"/>
        </w:rPr>
        <w:t>向中标单位收取招标代理费，中标方须在中标通知书发出5日内一次性付清。（户名：</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；账号：1202003209900014176；开户银行：中国工商银行杭州市潮王路支行）财务电话：0571-88271625。</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shd w:val="clear"/>
              <w:jc w:val="center"/>
              <w:rPr>
                <w:rFonts w:hint="eastAsia" w:ascii="宋体" w:hAnsi="宋体" w:cs="宋体"/>
                <w:color w:val="auto"/>
                <w:sz w:val="24"/>
                <w:highlight w:val="none"/>
              </w:rPr>
            </w:pPr>
            <w:r>
              <w:rPr>
                <w:rFonts w:hint="eastAsia" w:ascii="宋体" w:hAnsi="宋体" w:cs="宋体"/>
                <w:color w:val="auto"/>
                <w:sz w:val="24"/>
                <w:highlight w:val="none"/>
              </w:rPr>
              <w:t>0.01%</w:t>
            </w:r>
          </w:p>
        </w:tc>
      </w:tr>
    </w:tbl>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七、合同签订及公告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签订合同</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w:t>
      </w:r>
      <w:r>
        <w:rPr>
          <w:rFonts w:hint="eastAsia" w:ascii="宋体" w:hAnsi="宋体" w:cs="宋体"/>
          <w:color w:val="auto"/>
          <w:sz w:val="24"/>
          <w:szCs w:val="32"/>
          <w:highlight w:val="none"/>
          <w:lang w:val="en-US" w:eastAsia="zh-CN"/>
        </w:rPr>
        <w:t>30天</w:t>
      </w:r>
      <w:r>
        <w:rPr>
          <w:rFonts w:hint="eastAsia" w:ascii="宋体" w:hAnsi="宋体" w:cs="宋体"/>
          <w:color w:val="auto"/>
          <w:sz w:val="24"/>
          <w:szCs w:val="32"/>
          <w:highlight w:val="none"/>
        </w:rPr>
        <w:t>内，按照招标文件和中标人投标文件的规定，与中标人签订书面合同。所签订的合同不得对招标文件确定的事项和中标人投标文件作实质性修改。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3、中标供应商无故拖延、拒签合同的</w:t>
      </w:r>
      <w:r>
        <w:rPr>
          <w:rFonts w:hint="eastAsia" w:ascii="宋体" w:hAnsi="宋体" w:cs="宋体"/>
          <w:color w:val="auto"/>
          <w:sz w:val="24"/>
          <w:highlight w:val="none"/>
          <w:lang w:eastAsia="zh-CN"/>
        </w:rPr>
        <w:t>，</w:t>
      </w:r>
      <w:r>
        <w:rPr>
          <w:rFonts w:hint="eastAsia" w:ascii="宋体" w:hAnsi="宋体" w:cs="宋体"/>
          <w:color w:val="auto"/>
          <w:sz w:val="24"/>
          <w:highlight w:val="none"/>
        </w:rPr>
        <w:t>取消中标资格。</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合同公告及备案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shd w:val="clear"/>
        <w:bidi w:val="0"/>
        <w:spacing w:line="360" w:lineRule="auto"/>
        <w:rPr>
          <w:rFonts w:hint="eastAsia" w:ascii="宋体" w:hAnsi="宋体" w:eastAsia="宋体" w:cs="宋体"/>
          <w:color w:val="auto"/>
          <w:sz w:val="24"/>
          <w:szCs w:val="32"/>
          <w:highlight w:val="none"/>
          <w:lang w:eastAsia="zh-CN"/>
        </w:rPr>
      </w:pPr>
    </w:p>
    <w:p>
      <w:pPr>
        <w:pStyle w:val="2"/>
        <w:rPr>
          <w:rFonts w:hint="eastAsia" w:ascii="宋体" w:hAnsi="宋体" w:eastAsia="宋体" w:cs="宋体"/>
          <w:color w:val="auto"/>
          <w:sz w:val="24"/>
          <w:szCs w:val="32"/>
          <w:highlight w:val="none"/>
          <w:lang w:eastAsia="zh-CN"/>
        </w:rPr>
      </w:pPr>
    </w:p>
    <w:p>
      <w:pPr>
        <w:rPr>
          <w:rFonts w:hint="eastAsia"/>
          <w:color w:val="auto"/>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第三章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评标办法及评分标准</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一、采购组织机构将组织评标委员会，对投标人提供的投标文件进行综合评审。</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二、本次招标项目的评标方法为综合评分法，总计100分。</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（一</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商务与技术文件中的客观分由评标委员会讨论后统一打分；其余在规定的分值内单独评定打分。</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（二</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各投标人商务与技术文件得分按照评标委员会成员的独立评分结果汇总后的算术平均分计算，计算公式为：</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商务与技术文件得分</w:t>
      </w:r>
      <w:r>
        <w:rPr>
          <w:rFonts w:hint="eastAsia" w:ascii="宋体" w:hAnsi="宋体" w:eastAsia="宋体" w:cs="宋体"/>
          <w:b w:val="0"/>
          <w:bCs w:val="0"/>
          <w:color w:val="auto"/>
          <w:sz w:val="24"/>
          <w:szCs w:val="32"/>
          <w:highlight w:val="none"/>
          <w:lang w:val="zh-CN" w:eastAsia="zh-CN"/>
        </w:rPr>
        <w:t>=评标委员会所有成员评分合计数/评标委员会组成人员数。</w:t>
      </w:r>
    </w:p>
    <w:p>
      <w:pPr>
        <w:shd w:val="clea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投标报价得分采用低价优先法计算，即满足招标文件要求且投标价格最低的投标报价为评标基准价，其报价得满分。其他投标人的投标报价得分按下列公式计算：</w:t>
      </w:r>
    </w:p>
    <w:p>
      <w:pPr>
        <w:shd w:val="clear"/>
        <w:bidi w:val="0"/>
        <w:spacing w:line="360" w:lineRule="auto"/>
        <w:ind w:firstLine="480" w:firstLineChars="200"/>
        <w:rPr>
          <w:rFonts w:hint="eastAsia" w:ascii="宋体" w:hAnsi="宋体" w:eastAsia="宋体" w:cs="宋体"/>
          <w:b w:val="0"/>
          <w:bCs w:val="0"/>
          <w:color w:val="auto"/>
          <w:sz w:val="24"/>
          <w:szCs w:val="32"/>
          <w:highlight w:val="none"/>
          <w:u w:val="single"/>
          <w:lang w:eastAsia="zh-CN"/>
        </w:rPr>
      </w:pPr>
      <w:r>
        <w:rPr>
          <w:rFonts w:hint="eastAsia" w:ascii="宋体" w:hAnsi="宋体" w:eastAsia="宋体" w:cs="宋体"/>
          <w:b w:val="0"/>
          <w:bCs w:val="0"/>
          <w:color w:val="auto"/>
          <w:sz w:val="24"/>
          <w:szCs w:val="32"/>
          <w:highlight w:val="none"/>
          <w:u w:val="single"/>
          <w:lang w:eastAsia="zh-CN"/>
        </w:rPr>
        <w:t>投标报价得分=</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评标基准价／投标报价</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w:t>
      </w:r>
      <w:r>
        <w:rPr>
          <w:rFonts w:hint="eastAsia" w:ascii="宋体" w:hAnsi="宋体" w:cs="宋体"/>
          <w:b w:val="0"/>
          <w:bCs w:val="0"/>
          <w:color w:val="auto"/>
          <w:sz w:val="24"/>
          <w:szCs w:val="32"/>
          <w:highlight w:val="none"/>
          <w:u w:val="single"/>
          <w:lang w:val="en-US" w:eastAsia="zh-CN"/>
        </w:rPr>
        <w:t>3</w:t>
      </w:r>
      <w:r>
        <w:rPr>
          <w:rFonts w:hint="eastAsia" w:ascii="宋体" w:hAnsi="宋体" w:eastAsia="宋体" w:cs="宋体"/>
          <w:b w:val="0"/>
          <w:bCs w:val="0"/>
          <w:color w:val="auto"/>
          <w:sz w:val="24"/>
          <w:szCs w:val="32"/>
          <w:highlight w:val="none"/>
          <w:u w:val="single"/>
          <w:lang w:eastAsia="zh-CN"/>
        </w:rPr>
        <w:t>0%×100 。</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（四）投标人综合得分＝资格证明文件、商务技术文件得分＋投标报价得分。</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szCs w:val="32"/>
          <w:highlight w:val="none"/>
          <w:lang w:val="zh-CN"/>
        </w:rPr>
        <w:t>（五）</w:t>
      </w:r>
      <w:r>
        <w:rPr>
          <w:rFonts w:hint="eastAsia" w:ascii="宋体" w:hAnsi="宋体" w:cs="宋体"/>
          <w:color w:val="auto"/>
          <w:sz w:val="24"/>
          <w:highlight w:val="none"/>
        </w:rPr>
        <w:t>政府采购政策及优惠：</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10%的扣除，用扣除后的价格参加评审。</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6%的扣除，用扣除后的价格参加评审。</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组成联合体或者接受分包的小微企业与联合体内其他企业、分包企业之间存在直接控股、管理关系的，不享受价格扣除优惠政策。</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投标文件中须同时出具《政府采购促进中小企业发展管理办法》【财库（2020）46号】规定的《中小企业声明函》，否则不得享受价格扣除。</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本项目对符合规定的小微企业（含小型企业）报价给予10%的扣除。</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（2）根据《关于政府采购支持监狱企业发展有关问题的通知》（财库[2014]68号）的规定，供应商如为监狱企业且所投产品为小型或微型企业生产的，其投标报价扣除10%后参与评审。</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投标文件中须同时提供：供应商的省级以上监狱管理局、戒毒管理局（含新疆生产建设兵团）出具的属于监狱企业的证明文件，未提供完整证明材料的，投标报价不予扣减。</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享受政府采购支持政策的残疾人福利性单位应当同时满足以下条件：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①安置的残疾人占本单位在职职工人数的比例不低于25%（含25%），并且安置的残疾人人数不少于10人（含10人）；</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②依法与安置的每位残疾人签订了一年以上（含一年）的劳动合同或服务协议；</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③为安置的每位残疾人按月足额缴纳了基本养老保险、基本医疗保险、失业保险、工伤保险和生育保险等社会保险费；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④通过银行等金融机构向安置的每位残疾人，按月支付了不低于单位所在区县适用的经省级人民政府批准的月最低工资标准的工资；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⑤提供本单位制造的货物、承担的工程或者服务（以下简称产品），或者提供其他残疾人福利性单位制造的货物（不包括使用非残疾人福利性单位注册商标的货物）。</w:t>
      </w:r>
    </w:p>
    <w:p>
      <w:pPr>
        <w:shd w:val="clear"/>
        <w:spacing w:line="360" w:lineRule="auto"/>
        <w:ind w:firstLine="480" w:firstLineChars="200"/>
        <w:rPr>
          <w:rFonts w:hint="eastAsia" w:ascii="宋体" w:hAnsi="宋体" w:cs="宋体"/>
          <w:color w:val="auto"/>
          <w:sz w:val="24"/>
          <w:szCs w:val="32"/>
          <w:highlight w:val="none"/>
          <w:lang w:val="zh-CN"/>
        </w:rPr>
      </w:pPr>
      <w:r>
        <w:rPr>
          <w:rFonts w:hint="eastAsia" w:ascii="宋体" w:hAnsi="宋体" w:cs="宋体"/>
          <w:color w:val="auto"/>
          <w:sz w:val="24"/>
          <w:highlight w:val="none"/>
        </w:rPr>
        <w:t>前款所称残疾人是指法定劳动年龄内，持有《中华人民共和国残疾人证》或者《中华人民共和国残疾军人证（1至8级）》的自然人，包括具有劳动条件和</w:t>
      </w:r>
      <w:r>
        <w:rPr>
          <w:rFonts w:hint="eastAsia" w:ascii="宋体" w:hAnsi="宋体" w:cs="宋体"/>
          <w:color w:val="auto"/>
          <w:sz w:val="24"/>
          <w:szCs w:val="32"/>
          <w:highlight w:val="none"/>
          <w:lang w:val="zh-CN"/>
        </w:rPr>
        <w:t>劳动意愿的精神残疾人。在职职工人数是指与残疾人福利性单位建立劳动关系并依法签订劳动合同或者服务协议的雇员人数。</w:t>
      </w:r>
    </w:p>
    <w:p>
      <w:pPr>
        <w:shd w:val="clear"/>
        <w:spacing w:line="360" w:lineRule="auto"/>
        <w:ind w:firstLine="480" w:firstLineChars="200"/>
        <w:rPr>
          <w:rFonts w:hint="eastAsia" w:ascii="宋体" w:hAnsi="宋体" w:cs="宋体"/>
          <w:color w:val="auto"/>
          <w:sz w:val="24"/>
          <w:szCs w:val="32"/>
          <w:highlight w:val="none"/>
          <w:lang w:val="zh-CN" w:eastAsia="zh-CN"/>
        </w:rPr>
      </w:pPr>
      <w:r>
        <w:rPr>
          <w:rFonts w:hint="eastAsia" w:ascii="宋体" w:hAnsi="宋体" w:cs="宋体"/>
          <w:color w:val="auto"/>
          <w:sz w:val="24"/>
          <w:szCs w:val="32"/>
          <w:highlight w:val="none"/>
          <w:lang w:val="zh-CN" w:eastAsia="zh-CN"/>
        </w:rPr>
        <w:t>注：得分以系统计算为准，保留2位小数。</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五、提供相同品牌产品的不同投标人参加同一合同项下投标的，按一家供应商认定：</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hd w:val="clear"/>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color w:val="auto"/>
          <w:sz w:val="24"/>
          <w:szCs w:val="32"/>
          <w:highlight w:val="none"/>
          <w:lang w:val="zh-CN"/>
        </w:rPr>
        <w:t>六、本次评分具体分值细化条款如下表：</w:t>
      </w:r>
    </w:p>
    <w:tbl>
      <w:tblPr>
        <w:tblStyle w:val="2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8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评分细则</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技术功能符合度：对应于采购文件技术指标的符合度，</w:t>
            </w:r>
            <w:r>
              <w:rPr>
                <w:rFonts w:hint="eastAsia" w:ascii="宋体" w:hAnsi="宋体" w:cs="宋体"/>
                <w:color w:val="auto"/>
                <w:sz w:val="24"/>
                <w:szCs w:val="24"/>
                <w:highlight w:val="none"/>
                <w:lang w:val="en-US" w:eastAsia="zh-CN"/>
              </w:rPr>
              <w:t>一般参数</w:t>
            </w:r>
            <w:r>
              <w:rPr>
                <w:rFonts w:hint="eastAsia" w:ascii="宋体" w:hAnsi="宋体" w:eastAsia="宋体" w:cs="宋体"/>
                <w:color w:val="auto"/>
                <w:sz w:val="24"/>
                <w:szCs w:val="24"/>
                <w:highlight w:val="none"/>
              </w:rPr>
              <w:t>每条不满足要求扣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★参数每条不满足扣5分，</w:t>
            </w:r>
            <w:r>
              <w:rPr>
                <w:rFonts w:hint="eastAsia" w:ascii="宋体" w:hAnsi="宋体" w:eastAsia="宋体" w:cs="宋体"/>
                <w:color w:val="auto"/>
                <w:sz w:val="24"/>
                <w:szCs w:val="24"/>
                <w:highlight w:val="none"/>
              </w:rPr>
              <w:t>扣完为止。</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投标产品技术参数有实质性优于采购文件要求，每1条加1分，最多加</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投标产品功能有实质性优于采购文件要求，每1条加1分，最多加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具有售后服务团队、服务响应时间、故障解决方案等，有详细的售后服务方案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包括具体的人员配置，响应时间短，故障解决方案符合实际</w:t>
            </w:r>
            <w:r>
              <w:rPr>
                <w:rFonts w:hint="eastAsia"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3-4</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售后服务方案内容较具体但内容未详细描述，响应时间较长得0-2.9分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业绩</w:t>
            </w:r>
            <w:r>
              <w:rPr>
                <w:rFonts w:hint="eastAsia" w:ascii="宋体" w:hAnsi="宋体" w:eastAsia="宋体" w:cs="宋体"/>
                <w:color w:val="auto"/>
                <w:sz w:val="24"/>
                <w:szCs w:val="24"/>
                <w:highlight w:val="none"/>
              </w:rPr>
              <w:t>：评委以</w:t>
            </w:r>
            <w:r>
              <w:rPr>
                <w:rFonts w:hint="eastAsia" w:ascii="宋体" w:hAnsi="宋体" w:eastAsia="宋体" w:cs="宋体"/>
                <w:color w:val="auto"/>
                <w:sz w:val="24"/>
                <w:szCs w:val="24"/>
                <w:highlight w:val="none"/>
                <w:lang w:eastAsia="zh-CN"/>
              </w:rPr>
              <w:t>投标货物</w:t>
            </w:r>
            <w:r>
              <w:rPr>
                <w:rFonts w:hint="eastAsia" w:ascii="宋体" w:hAnsi="宋体" w:eastAsia="宋体" w:cs="宋体"/>
                <w:color w:val="auto"/>
                <w:sz w:val="24"/>
                <w:szCs w:val="24"/>
                <w:highlight w:val="none"/>
              </w:rPr>
              <w:t>2017年1月1日起签订</w:t>
            </w:r>
            <w:r>
              <w:rPr>
                <w:rFonts w:hint="eastAsia" w:ascii="宋体" w:hAnsi="宋体" w:eastAsia="宋体" w:cs="宋体"/>
                <w:color w:val="auto"/>
                <w:sz w:val="24"/>
                <w:szCs w:val="24"/>
                <w:highlight w:val="none"/>
                <w:lang w:val="en-US" w:eastAsia="zh-CN"/>
              </w:rPr>
              <w:t>的同类项目业绩</w:t>
            </w:r>
            <w:r>
              <w:rPr>
                <w:rFonts w:hint="eastAsia" w:ascii="宋体" w:hAnsi="宋体" w:eastAsia="宋体" w:cs="宋体"/>
                <w:color w:val="auto"/>
                <w:sz w:val="24"/>
                <w:szCs w:val="24"/>
                <w:highlight w:val="none"/>
                <w:lang w:eastAsia="zh-CN"/>
              </w:rPr>
              <w:t>评分，每提供一个合同复印件得</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lang w:val="en-US" w:eastAsia="zh-CN"/>
              </w:rPr>
              <w:t>分，最高</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环境标志产品、节能产品评审：投标产品主体列入节能产品目录清单得1分、投标产品主体列入环境标志产品目录清单得1分</w:t>
            </w:r>
            <w:r>
              <w:rPr>
                <w:rFonts w:hint="eastAsia" w:ascii="宋体" w:hAnsi="宋体" w:eastAsia="宋体" w:cs="宋体"/>
                <w:color w:val="auto"/>
                <w:sz w:val="24"/>
                <w:szCs w:val="24"/>
                <w:highlight w:val="none"/>
                <w:lang w:val="en-US" w:eastAsia="zh-CN"/>
              </w:rPr>
              <w:t>。</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在满足招标文件要求的保修期基础上，延长质保1年加</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分，最多得</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分。</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7811"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优惠条件：评委对投标文件中是否有超出采购文件的优惠条件进行评价，没有实质性优惠条件得0分；有优惠条件的</w:t>
            </w:r>
            <w:r>
              <w:rPr>
                <w:rFonts w:hint="eastAsia" w:ascii="宋体" w:hAnsi="宋体" w:eastAsia="宋体" w:cs="宋体"/>
                <w:color w:val="auto"/>
                <w:sz w:val="24"/>
                <w:szCs w:val="24"/>
                <w:highlight w:val="none"/>
                <w:lang w:eastAsia="zh-CN"/>
              </w:rPr>
              <w:t>，每一条加</w:t>
            </w:r>
            <w:r>
              <w:rPr>
                <w:rFonts w:hint="eastAsia" w:ascii="宋体" w:hAnsi="宋体" w:eastAsia="宋体" w:cs="宋体"/>
                <w:color w:val="auto"/>
                <w:sz w:val="24"/>
                <w:szCs w:val="24"/>
                <w:highlight w:val="none"/>
                <w:lang w:val="en-US" w:eastAsia="zh-CN"/>
              </w:rPr>
              <w:t>1分，最多2分。</w:t>
            </w:r>
          </w:p>
        </w:tc>
        <w:tc>
          <w:tcPr>
            <w:tcW w:w="709"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bl>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both"/>
        <w:rPr>
          <w:rFonts w:hint="eastAsia" w:ascii="宋体" w:hAnsi="宋体" w:eastAsia="宋体" w:cs="宋体"/>
          <w:b/>
          <w:bCs/>
          <w:color w:val="auto"/>
          <w:sz w:val="36"/>
          <w:szCs w:val="44"/>
          <w:highlight w:val="none"/>
          <w:lang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第四章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公开招标需求</w:t>
      </w:r>
    </w:p>
    <w:p>
      <w:pPr>
        <w:shd w:val="clea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一、招标项目一览表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本次招标共</w:t>
      </w:r>
      <w:r>
        <w:rPr>
          <w:rFonts w:hint="eastAsia" w:ascii="宋体" w:hAnsi="宋体" w:eastAsia="宋体" w:cs="宋体"/>
          <w:b w:val="0"/>
          <w:bCs w:val="0"/>
          <w:color w:val="auto"/>
          <w:sz w:val="24"/>
          <w:szCs w:val="32"/>
          <w:highlight w:val="none"/>
          <w:u w:val="single"/>
          <w:lang w:eastAsia="zh-CN"/>
        </w:rPr>
        <w:t xml:space="preserve"> </w:t>
      </w:r>
      <w:r>
        <w:rPr>
          <w:rFonts w:hint="eastAsia" w:ascii="宋体" w:hAnsi="宋体" w:eastAsia="宋体" w:cs="宋体"/>
          <w:b w:val="0"/>
          <w:bCs w:val="0"/>
          <w:color w:val="auto"/>
          <w:sz w:val="24"/>
          <w:szCs w:val="32"/>
          <w:highlight w:val="none"/>
          <w:u w:val="single"/>
          <w:lang w:val="en-US" w:eastAsia="zh-CN"/>
        </w:rPr>
        <w:t xml:space="preserve">1 </w:t>
      </w:r>
      <w:r>
        <w:rPr>
          <w:rFonts w:hint="eastAsia" w:ascii="宋体" w:hAnsi="宋体" w:eastAsia="宋体" w:cs="宋体"/>
          <w:b w:val="0"/>
          <w:bCs w:val="0"/>
          <w:color w:val="auto"/>
          <w:sz w:val="24"/>
          <w:szCs w:val="32"/>
          <w:highlight w:val="none"/>
          <w:lang w:eastAsia="zh-CN"/>
        </w:rPr>
        <w:t>个标段，具体内容如下表：</w:t>
      </w:r>
    </w:p>
    <w:tbl>
      <w:tblPr>
        <w:tblStyle w:val="28"/>
        <w:tblW w:w="9085"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742"/>
        <w:gridCol w:w="2408"/>
        <w:gridCol w:w="1053"/>
        <w:gridCol w:w="1250"/>
        <w:gridCol w:w="1900"/>
        <w:gridCol w:w="1732"/>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742" w:type="dxa"/>
            <w:noWrap w:val="0"/>
            <w:vAlign w:val="center"/>
          </w:tcPr>
          <w:p>
            <w:pPr>
              <w:widowControl/>
              <w:shd w:val="clear"/>
              <w:jc w:val="center"/>
              <w:textAlignment w:val="top"/>
              <w:rPr>
                <w:rFonts w:hint="eastAsia" w:ascii="宋体" w:hAnsi="宋体" w:eastAsia="宋体" w:cs="宋体"/>
                <w:b/>
                <w:bCs/>
                <w:color w:val="auto"/>
                <w:kern w:val="0"/>
                <w:sz w:val="24"/>
                <w:szCs w:val="24"/>
                <w:highlight w:val="none"/>
                <w:lang w:bidi="ar"/>
              </w:rPr>
            </w:pPr>
            <w:r>
              <w:rPr>
                <w:rFonts w:hint="eastAsia" w:ascii="宋体" w:hAnsi="宋体"/>
                <w:b/>
                <w:color w:val="auto"/>
                <w:sz w:val="24"/>
                <w:szCs w:val="24"/>
                <w:highlight w:val="none"/>
              </w:rPr>
              <w:t>标段</w:t>
            </w:r>
          </w:p>
        </w:tc>
        <w:tc>
          <w:tcPr>
            <w:tcW w:w="2408" w:type="dxa"/>
            <w:noWrap w:val="0"/>
            <w:vAlign w:val="center"/>
          </w:tcPr>
          <w:p>
            <w:pPr>
              <w:widowControl/>
              <w:shd w:val="clear"/>
              <w:jc w:val="center"/>
              <w:textAlignment w:val="top"/>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val="en-US" w:eastAsia="zh-CN" w:bidi="ar"/>
              </w:rPr>
              <w:t>项目</w:t>
            </w:r>
            <w:r>
              <w:rPr>
                <w:rFonts w:hint="eastAsia" w:ascii="宋体" w:hAnsi="宋体" w:eastAsia="宋体" w:cs="宋体"/>
                <w:b/>
                <w:bCs/>
                <w:color w:val="auto"/>
                <w:kern w:val="0"/>
                <w:sz w:val="24"/>
                <w:szCs w:val="24"/>
                <w:highlight w:val="none"/>
                <w:lang w:bidi="ar"/>
              </w:rPr>
              <w:t>名称</w:t>
            </w:r>
          </w:p>
        </w:tc>
        <w:tc>
          <w:tcPr>
            <w:tcW w:w="1053" w:type="dxa"/>
            <w:noWrap w:val="0"/>
            <w:vAlign w:val="center"/>
          </w:tcPr>
          <w:p>
            <w:pPr>
              <w:widowControl/>
              <w:shd w:val="clear"/>
              <w:jc w:val="center"/>
              <w:textAlignment w:val="top"/>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数量</w:t>
            </w:r>
          </w:p>
        </w:tc>
        <w:tc>
          <w:tcPr>
            <w:tcW w:w="1250" w:type="dxa"/>
            <w:noWrap w:val="0"/>
            <w:vAlign w:val="center"/>
          </w:tcPr>
          <w:p>
            <w:pPr>
              <w:widowControl/>
              <w:shd w:val="clear"/>
              <w:jc w:val="center"/>
              <w:textAlignment w:val="top"/>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预算</w:t>
            </w:r>
            <w:r>
              <w:rPr>
                <w:rFonts w:hint="eastAsia" w:ascii="宋体" w:hAnsi="宋体" w:eastAsia="宋体" w:cs="宋体"/>
                <w:b/>
                <w:bCs/>
                <w:color w:val="auto"/>
                <w:sz w:val="24"/>
                <w:szCs w:val="24"/>
                <w:highlight w:val="none"/>
                <w:lang w:val="en-US" w:eastAsia="zh-CN"/>
              </w:rPr>
              <w:t>金额</w:t>
            </w:r>
          </w:p>
        </w:tc>
        <w:tc>
          <w:tcPr>
            <w:tcW w:w="1900" w:type="dxa"/>
            <w:noWrap w:val="0"/>
            <w:vAlign w:val="center"/>
          </w:tcPr>
          <w:p>
            <w:pPr>
              <w:widowControl/>
              <w:shd w:val="clear"/>
              <w:jc w:val="center"/>
              <w:textAlignment w:val="top"/>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交货期</w:t>
            </w:r>
          </w:p>
        </w:tc>
        <w:tc>
          <w:tcPr>
            <w:tcW w:w="1732" w:type="dxa"/>
            <w:noWrap w:val="0"/>
            <w:vAlign w:val="center"/>
          </w:tcPr>
          <w:p>
            <w:pPr>
              <w:shd w:val="clear"/>
              <w:jc w:val="center"/>
              <w:rPr>
                <w:rFonts w:hint="eastAsia" w:ascii="宋体" w:hAnsi="宋体" w:eastAsia="宋体" w:cs="宋体"/>
                <w:b/>
                <w:bCs/>
                <w:color w:val="auto"/>
                <w:kern w:val="0"/>
                <w:sz w:val="24"/>
                <w:szCs w:val="24"/>
                <w:highlight w:val="none"/>
                <w:lang w:bidi="ar"/>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708" w:hRule="atLeast"/>
          <w:jc w:val="center"/>
        </w:trPr>
        <w:tc>
          <w:tcPr>
            <w:tcW w:w="742" w:type="dxa"/>
            <w:noWrap w:val="0"/>
            <w:vAlign w:val="center"/>
          </w:tcPr>
          <w:p>
            <w:pPr>
              <w:widowControl/>
              <w:shd w:val="clear"/>
              <w:jc w:val="center"/>
              <w:textAlignment w:val="top"/>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p>
        </w:tc>
        <w:tc>
          <w:tcPr>
            <w:tcW w:w="2408" w:type="dxa"/>
            <w:noWrap w:val="0"/>
            <w:vAlign w:val="center"/>
          </w:tcPr>
          <w:p>
            <w:pPr>
              <w:widowControl/>
              <w:shd w:val="clear"/>
              <w:jc w:val="center"/>
              <w:textAlignment w:val="top"/>
              <w:rPr>
                <w:rFonts w:hint="eastAsia" w:ascii="宋体" w:hAnsi="宋体" w:eastAsia="宋体" w:cs="宋体"/>
                <w:color w:val="auto"/>
                <w:kern w:val="0"/>
                <w:sz w:val="24"/>
                <w:szCs w:val="24"/>
                <w:highlight w:val="none"/>
                <w:lang w:bidi="ar"/>
              </w:rPr>
            </w:pPr>
            <w:r>
              <w:rPr>
                <w:rFonts w:hint="eastAsia" w:ascii="宋体" w:hAnsi="宋体"/>
                <w:color w:val="auto"/>
                <w:kern w:val="0"/>
                <w:sz w:val="24"/>
                <w:szCs w:val="24"/>
                <w:highlight w:val="none"/>
                <w:lang w:eastAsia="zh-CN"/>
              </w:rPr>
              <w:t>台州市立医院呼吸机采购项目</w:t>
            </w:r>
          </w:p>
        </w:tc>
        <w:tc>
          <w:tcPr>
            <w:tcW w:w="1053" w:type="dxa"/>
            <w:noWrap w:val="0"/>
            <w:vAlign w:val="center"/>
          </w:tcPr>
          <w:p>
            <w:pPr>
              <w:widowControl/>
              <w:shd w:val="clear"/>
              <w:jc w:val="center"/>
              <w:textAlignment w:val="top"/>
              <w:rPr>
                <w:rFonts w:hint="default" w:ascii="宋体" w:hAnsi="宋体" w:eastAsia="宋体" w:cs="宋体"/>
                <w:color w:val="auto"/>
                <w:kern w:val="0"/>
                <w:sz w:val="24"/>
                <w:szCs w:val="24"/>
                <w:highlight w:val="none"/>
                <w:lang w:val="en-US" w:eastAsia="zh-CN" w:bidi="ar"/>
              </w:rPr>
            </w:pPr>
            <w:r>
              <w:rPr>
                <w:rFonts w:hint="eastAsia" w:ascii="宋体"/>
                <w:color w:val="auto"/>
                <w:sz w:val="24"/>
                <w:szCs w:val="24"/>
                <w:highlight w:val="none"/>
                <w:lang w:val="en-US" w:eastAsia="zh-CN"/>
              </w:rPr>
              <w:t>33台</w:t>
            </w:r>
          </w:p>
        </w:tc>
        <w:tc>
          <w:tcPr>
            <w:tcW w:w="1250" w:type="dxa"/>
            <w:noWrap w:val="0"/>
            <w:vAlign w:val="center"/>
          </w:tcPr>
          <w:p>
            <w:pPr>
              <w:widowControl/>
              <w:shd w:val="clear"/>
              <w:jc w:val="center"/>
              <w:textAlignment w:val="top"/>
              <w:rPr>
                <w:rFonts w:hint="default" w:ascii="宋体" w:hAnsi="宋体" w:eastAsia="宋体" w:cs="宋体"/>
                <w:color w:val="auto"/>
                <w:sz w:val="24"/>
                <w:szCs w:val="24"/>
                <w:highlight w:val="none"/>
                <w:lang w:val="en-US" w:eastAsia="zh-CN"/>
              </w:rPr>
            </w:pPr>
            <w:r>
              <w:rPr>
                <w:rFonts w:hint="eastAsia" w:ascii="宋体"/>
                <w:color w:val="auto"/>
                <w:sz w:val="24"/>
                <w:szCs w:val="24"/>
                <w:highlight w:val="none"/>
                <w:lang w:val="en-US" w:eastAsia="zh-CN"/>
              </w:rPr>
              <w:t>500万元</w:t>
            </w:r>
          </w:p>
        </w:tc>
        <w:tc>
          <w:tcPr>
            <w:tcW w:w="1900" w:type="dxa"/>
            <w:noWrap w:val="0"/>
            <w:vAlign w:val="center"/>
          </w:tcPr>
          <w:p>
            <w:pPr>
              <w:widowControl/>
              <w:shd w:val="clear"/>
              <w:jc w:val="center"/>
              <w:textAlignment w:val="top"/>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合同签订后</w:t>
            </w:r>
            <w:r>
              <w:rPr>
                <w:rFonts w:hint="eastAsia" w:ascii="宋体" w:hAnsi="宋体" w:cs="宋体"/>
                <w:color w:val="auto"/>
                <w:kern w:val="0"/>
                <w:sz w:val="24"/>
                <w:szCs w:val="24"/>
                <w:highlight w:val="none"/>
                <w:lang w:val="en-US" w:eastAsia="zh-CN" w:bidi="ar"/>
              </w:rPr>
              <w:t>两</w:t>
            </w:r>
            <w:r>
              <w:rPr>
                <w:rFonts w:hint="eastAsia" w:ascii="宋体" w:hAnsi="宋体" w:eastAsia="宋体" w:cs="宋体"/>
                <w:color w:val="auto"/>
                <w:kern w:val="0"/>
                <w:sz w:val="24"/>
                <w:szCs w:val="24"/>
                <w:highlight w:val="none"/>
                <w:lang w:eastAsia="zh-CN" w:bidi="ar"/>
              </w:rPr>
              <w:t>个月内</w:t>
            </w:r>
            <w:r>
              <w:rPr>
                <w:rFonts w:hint="eastAsia" w:ascii="宋体" w:hAnsi="宋体" w:eastAsia="宋体" w:cs="宋体"/>
                <w:b w:val="0"/>
                <w:bCs w:val="0"/>
                <w:color w:val="auto"/>
                <w:sz w:val="24"/>
                <w:szCs w:val="24"/>
                <w:highlight w:val="none"/>
                <w:lang w:val="en-US" w:eastAsia="zh-CN"/>
              </w:rPr>
              <w:t>送货到市立医院指定地点</w:t>
            </w:r>
          </w:p>
        </w:tc>
        <w:tc>
          <w:tcPr>
            <w:tcW w:w="1732" w:type="dxa"/>
            <w:noWrap w:val="0"/>
            <w:vAlign w:val="center"/>
          </w:tcPr>
          <w:p>
            <w:pPr>
              <w:shd w:val="clear"/>
              <w:jc w:val="center"/>
              <w:rPr>
                <w:rFonts w:hint="eastAsia" w:ascii="宋体" w:hAnsi="宋体" w:eastAsia="宋体" w:cs="宋体"/>
                <w:color w:val="auto"/>
                <w:kern w:val="0"/>
                <w:sz w:val="24"/>
                <w:szCs w:val="24"/>
                <w:highlight w:val="none"/>
                <w:lang w:val="en-US" w:eastAsia="zh-CN" w:bidi="ar"/>
              </w:rPr>
            </w:pPr>
            <w:r>
              <w:rPr>
                <w:rFonts w:hint="eastAsia" w:ascii="宋体"/>
                <w:color w:val="auto"/>
                <w:sz w:val="24"/>
                <w:highlight w:val="none"/>
              </w:rPr>
              <w:t>具体详见招标需求</w:t>
            </w:r>
          </w:p>
        </w:tc>
      </w:tr>
    </w:tbl>
    <w:p>
      <w:pPr>
        <w:numPr>
          <w:ilvl w:val="0"/>
          <w:numId w:val="3"/>
        </w:numPr>
        <w:spacing w:line="440" w:lineRule="exact"/>
        <w:jc w:val="both"/>
        <w:outlineLvl w:val="2"/>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技术需求</w:t>
      </w:r>
    </w:p>
    <w:tbl>
      <w:tblPr>
        <w:tblStyle w:val="28"/>
        <w:tblW w:w="9300" w:type="dxa"/>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746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04" w:type="dxa"/>
            <w:tcBorders>
              <w:top w:val="doub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7465" w:type="dxa"/>
            <w:tcBorders>
              <w:top w:val="double" w:color="auto" w:sz="4" w:space="0"/>
              <w:left w:val="single" w:color="auto" w:sz="4" w:space="0"/>
              <w:bottom w:val="doub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招标要求</w:t>
            </w:r>
          </w:p>
        </w:tc>
        <w:tc>
          <w:tcPr>
            <w:tcW w:w="831" w:type="dxa"/>
            <w:tcBorders>
              <w:top w:val="double" w:color="auto" w:sz="4" w:space="0"/>
              <w:left w:val="single" w:color="auto" w:sz="4" w:space="0"/>
              <w:bottom w:val="double" w:color="auto" w:sz="4" w:space="0"/>
              <w:right w:val="doub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04" w:type="dxa"/>
            <w:tcBorders>
              <w:top w:val="doub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p>
        </w:tc>
        <w:tc>
          <w:tcPr>
            <w:tcW w:w="7465" w:type="dxa"/>
            <w:tcBorders>
              <w:top w:val="double" w:color="auto" w:sz="4" w:space="0"/>
              <w:left w:val="single" w:color="auto" w:sz="4" w:space="0"/>
              <w:bottom w:val="doub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呼吸机1</w:t>
            </w:r>
          </w:p>
        </w:tc>
        <w:tc>
          <w:tcPr>
            <w:tcW w:w="831" w:type="dxa"/>
            <w:tcBorders>
              <w:top w:val="double" w:color="auto" w:sz="4" w:space="0"/>
              <w:left w:val="single" w:color="auto" w:sz="4" w:space="0"/>
              <w:bottom w:val="double" w:color="auto" w:sz="4" w:space="0"/>
              <w:right w:val="doub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b/>
                <w:color w:val="auto"/>
                <w:sz w:val="24"/>
                <w:szCs w:val="24"/>
                <w:highlight w:val="none"/>
              </w:rPr>
              <w:t>数量：</w:t>
            </w:r>
            <w:r>
              <w:rPr>
                <w:rFonts w:hint="eastAsia" w:ascii="宋体" w:hAnsi="宋体"/>
                <w:b/>
                <w:color w:val="auto"/>
                <w:sz w:val="24"/>
                <w:szCs w:val="24"/>
                <w:highlight w:val="none"/>
                <w:lang w:val="en-US" w:eastAsia="zh-CN"/>
              </w:rPr>
              <w:t>19</w:t>
            </w:r>
            <w:r>
              <w:rPr>
                <w:rFonts w:hint="eastAsia" w:ascii="宋体" w:hAnsi="宋体"/>
                <w:b/>
                <w:color w:val="auto"/>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一</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基本特征</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适用于对成人、小儿和婴幼儿患者进行通气辅助及呼吸支持的呼吸机，机型新颖。</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1.2</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采用≥</w:t>
            </w:r>
            <w:r>
              <w:rPr>
                <w:rFonts w:ascii="宋体" w:hAnsi="宋体" w:cs="宋体"/>
                <w:color w:val="auto"/>
                <w:sz w:val="24"/>
                <w:szCs w:val="24"/>
                <w:highlight w:val="none"/>
              </w:rPr>
              <w:t>12</w:t>
            </w:r>
            <w:r>
              <w:rPr>
                <w:rFonts w:hint="eastAsia" w:ascii="宋体" w:hAnsi="宋体" w:cs="宋体"/>
                <w:color w:val="auto"/>
                <w:sz w:val="24"/>
                <w:szCs w:val="24"/>
                <w:highlight w:val="none"/>
              </w:rPr>
              <w:t>英寸电容触摸屏幕，分辨率1280*800。</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屏幕显示：多至4道波形可同屏显示，波形的颜色可调，支持波形、动态肺视图、监测值同屏显示。</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1.4</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具备开机自检，可进行系统顺应性补偿并检测系统泄漏量，检查系统管道阻力，测试流量传感器、呼气阀和安全阀等部件，具有图形化和文字提示功能。</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不小于</w:t>
            </w:r>
            <w:r>
              <w:rPr>
                <w:rFonts w:ascii="宋体" w:hAnsi="宋体" w:cs="宋体"/>
                <w:color w:val="auto"/>
                <w:sz w:val="24"/>
                <w:szCs w:val="24"/>
                <w:highlight w:val="none"/>
              </w:rPr>
              <w:t>100</w:t>
            </w:r>
            <w:r>
              <w:rPr>
                <w:rFonts w:hint="eastAsia" w:ascii="宋体" w:hAnsi="宋体" w:cs="宋体"/>
                <w:color w:val="auto"/>
                <w:sz w:val="24"/>
                <w:szCs w:val="24"/>
                <w:highlight w:val="none"/>
              </w:rPr>
              <w:t>分钟内置后备可充电电池（1块电池），可选配电池延长至不小于</w:t>
            </w:r>
            <w:r>
              <w:rPr>
                <w:rFonts w:ascii="宋体" w:hAnsi="宋体" w:cs="宋体"/>
                <w:color w:val="auto"/>
                <w:sz w:val="24"/>
                <w:szCs w:val="24"/>
                <w:highlight w:val="none"/>
              </w:rPr>
              <w:t>200</w:t>
            </w:r>
            <w:r>
              <w:rPr>
                <w:rFonts w:hint="eastAsia" w:ascii="宋体" w:hAnsi="宋体" w:cs="宋体"/>
                <w:color w:val="auto"/>
                <w:sz w:val="24"/>
                <w:szCs w:val="24"/>
                <w:highlight w:val="none"/>
              </w:rPr>
              <w:t>分钟（2块电池）。电池总剩余电量能显示在屏幕上。</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1.6</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电动电控呼吸机（涡轮驱动产生空气气源），方便进行转运。</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1.7</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病人信息，当前的设置参数、报警限和趋势等数据可导出。</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1.8</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病人数据、屏幕截图、机器设置等数据可通过USB接口导出。</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1.9</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吸气安全阀组件可拆卸，并能高温高压蒸汽消毒（134℃），以防止交叉感染。</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1.10</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呼气阀组件一体化设计，内置金属膜片压差流量传感器，精度高，寿命长，并能高温高压蒸汽消毒（134℃），以防止交叉感染。</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1.11</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呼吸机整机重量约小于11 kg（不包括台车），方便手提移动。</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1.12</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可提供旁流CO2监测。</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1.13</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可提供主流CO2监测，同时监测容积-CO2环图、气道死腔VDaw 和肺泡通气量Vtalv 等参数。 </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1.14</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中文操作界面、中文报警、操作提示信息、参数调节防错确认。具备便利的锁屏功能。</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1.15</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具备智能吸痰功能，吸痰前后能自动增氧，自动识别吸痰并具备计时功能。</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二</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呼吸模式及功能</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2.1</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常规模式：容量控制通气下的辅助控制通气A/C和同步间歇指令通气SIMV（容量模式流速波形可调方波、50%或100%递减波）、压力控制通气下的辅助控制通气A/C和同步间歇指令通气SIMV、持续气道正压通气和压力支持CPAP/PSV、窒息通气模式及SIGH叹息模式。</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2.2</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高级模式：双相气道正压通气（例如BIPAP或Bi-vent或Bilevel），压力调节容量控制通气（例如AUTOFLOW或PRVC或VC+）及其压力调节容量控制同步间歇指令通气SIMV（例如SIMV-PRVC）、压力释放通气APRV，智能通气模式（如自适应分钟通气AMV，自适应支持通气ASV等）。</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2.3</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其他功能：具备手动呼吸、吸气保持、呼气保持、同步雾化、纯氧灌注、智能吸痰、内源性PEEP、口腔闭合压P0.1和最大吸气负压NIF的测定。</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2.4</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可选配低流速P-V工具，帮助确定最佳PEEP值。</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2.5</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具备自动气管插管阻力补偿功能（例如TRC或ATRC或ATC），插管孔径和补偿百分比可设，使插管末端的压力与呼吸机压力设置值一致。</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2.6</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具有智能同步技术提高病人自主呼吸时的舒适度和人机同步性，具备吸气触发、压力上升时间、呼气触发自动调节功能，无需医护人员频繁手动调节上述参数。</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▲2.7</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高流速氧疗功能，氧疗流速不低于80L/min，并具有氧疗计时功能。</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2.8</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具有单位理想体重输送的潮气量 （例如TVe/IBW或VT/PBW）监测功能。</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2.9</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无创通气模式，包含P-A/C、P-SIMV、CPAP/PSV、DuoLevel和 PSV-S/T等模式。</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2.10</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具备通气模式自定义显示功能，方便用户个性化配置常用通气模式。</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2.11</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具备低流速P-V工具，帮助确定最佳PEEP设置值。</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三</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 设置参数</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3.1</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潮气量：20ml—</w:t>
            </w:r>
            <w:r>
              <w:rPr>
                <w:rFonts w:ascii="宋体" w:hAnsi="宋体" w:cs="宋体"/>
                <w:color w:val="auto"/>
                <w:sz w:val="24"/>
                <w:szCs w:val="24"/>
                <w:highlight w:val="none"/>
              </w:rPr>
              <w:t>18</w:t>
            </w:r>
            <w:r>
              <w:rPr>
                <w:rFonts w:hint="eastAsia" w:ascii="宋体" w:hAnsi="宋体" w:cs="宋体"/>
                <w:color w:val="auto"/>
                <w:sz w:val="24"/>
                <w:szCs w:val="24"/>
                <w:highlight w:val="none"/>
              </w:rPr>
              <w:t>00ml</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3.2</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呼吸频率：1-100次/min</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3.3</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SIMV频率：1-60次/min</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3.4</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吸/呼比：1:10—4:1</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3.5</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最大峰值流速：≥210L/min</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3.6</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吸气压力：5--</w:t>
            </w:r>
            <w:r>
              <w:rPr>
                <w:rFonts w:ascii="宋体" w:hAnsi="宋体" w:cs="宋体"/>
                <w:color w:val="auto"/>
                <w:sz w:val="24"/>
                <w:szCs w:val="24"/>
                <w:highlight w:val="none"/>
              </w:rPr>
              <w:t>75</w:t>
            </w:r>
            <w:r>
              <w:rPr>
                <w:rFonts w:hint="eastAsia" w:ascii="宋体" w:hAnsi="宋体" w:cs="宋体"/>
                <w:color w:val="auto"/>
                <w:sz w:val="24"/>
                <w:szCs w:val="24"/>
                <w:highlight w:val="none"/>
              </w:rPr>
              <w:t xml:space="preserve"> cmH2O</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3.7</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压力支持：0—</w:t>
            </w:r>
            <w:r>
              <w:rPr>
                <w:rFonts w:ascii="宋体" w:hAnsi="宋体" w:cs="宋体"/>
                <w:color w:val="auto"/>
                <w:sz w:val="24"/>
                <w:szCs w:val="24"/>
                <w:highlight w:val="none"/>
              </w:rPr>
              <w:t>75</w:t>
            </w:r>
            <w:r>
              <w:rPr>
                <w:rFonts w:hint="eastAsia" w:ascii="宋体" w:hAnsi="宋体" w:cs="宋体"/>
                <w:color w:val="auto"/>
                <w:sz w:val="24"/>
                <w:szCs w:val="24"/>
                <w:highlight w:val="none"/>
              </w:rPr>
              <w:t>cmH2O</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PEEP：OFF,</w:t>
            </w:r>
            <w:r>
              <w:rPr>
                <w:rFonts w:ascii="宋体" w:hAnsi="宋体" w:cs="宋体"/>
                <w:color w:val="auto"/>
                <w:sz w:val="24"/>
                <w:szCs w:val="24"/>
                <w:highlight w:val="none"/>
              </w:rPr>
              <w:t>0</w:t>
            </w:r>
            <w:r>
              <w:rPr>
                <w:rFonts w:hint="eastAsia" w:ascii="宋体" w:hAnsi="宋体" w:cs="宋体"/>
                <w:color w:val="auto"/>
                <w:sz w:val="24"/>
                <w:szCs w:val="24"/>
                <w:highlight w:val="none"/>
              </w:rPr>
              <w:t>--</w:t>
            </w:r>
            <w:r>
              <w:rPr>
                <w:rFonts w:ascii="宋体" w:hAnsi="宋体" w:cs="宋体"/>
                <w:color w:val="auto"/>
                <w:sz w:val="24"/>
                <w:szCs w:val="24"/>
                <w:highlight w:val="none"/>
              </w:rPr>
              <w:t>50</w:t>
            </w:r>
            <w:r>
              <w:rPr>
                <w:rFonts w:hint="eastAsia" w:ascii="宋体" w:hAnsi="宋体" w:cs="宋体"/>
                <w:color w:val="auto"/>
                <w:sz w:val="24"/>
                <w:szCs w:val="24"/>
                <w:highlight w:val="none"/>
              </w:rPr>
              <w:t xml:space="preserve"> cmH2O</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3.9</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压力触发灵敏度： -</w:t>
            </w:r>
            <w:r>
              <w:rPr>
                <w:rFonts w:ascii="宋体" w:hAnsi="宋体" w:cs="宋体"/>
                <w:color w:val="auto"/>
                <w:sz w:val="24"/>
                <w:szCs w:val="24"/>
                <w:highlight w:val="none"/>
              </w:rPr>
              <w:t>2</w:t>
            </w:r>
            <w:r>
              <w:rPr>
                <w:rFonts w:hint="eastAsia" w:ascii="宋体" w:hAnsi="宋体" w:cs="宋体"/>
                <w:color w:val="auto"/>
                <w:sz w:val="24"/>
                <w:szCs w:val="24"/>
                <w:highlight w:val="none"/>
              </w:rPr>
              <w:t>0 - 0.5cmH2O</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3.10</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流速触发灵敏度：0.5—20L/ min</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3.11</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氧浓度：21—100%</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3.12</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叹息功能：有</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.13</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呼气触发灵敏度：Auto, 1-85%</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.14</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吸气时间：0.1-10s  (0.2-30s @ DuoLevel)</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四</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监测参数</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4.1</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气道压力：PEEP、气道峰压、平台压、平均压、</w:t>
            </w:r>
            <w:r>
              <w:rPr>
                <w:color w:val="auto"/>
                <w:sz w:val="24"/>
                <w:szCs w:val="24"/>
                <w:highlight w:val="none"/>
              </w:rPr>
              <w:t>呼气末正压</w:t>
            </w:r>
            <w:r>
              <w:rPr>
                <w:rFonts w:hint="eastAsia" w:ascii="宋体" w:hAnsi="宋体" w:cs="宋体"/>
                <w:color w:val="auto"/>
                <w:sz w:val="24"/>
                <w:szCs w:val="24"/>
                <w:highlight w:val="none"/>
              </w:rPr>
              <w:t>。</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4.2</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分钟通气量监测：</w:t>
            </w:r>
            <w:r>
              <w:rPr>
                <w:rFonts w:hint="eastAsia"/>
                <w:color w:val="auto"/>
                <w:sz w:val="24"/>
                <w:szCs w:val="24"/>
                <w:highlight w:val="none"/>
              </w:rPr>
              <w:t>呼气分钟通气量、吸气分钟通气量、自主呼吸分钟通气量</w:t>
            </w:r>
            <w:r>
              <w:rPr>
                <w:rFonts w:hint="eastAsia" w:ascii="宋体" w:hAnsi="宋体" w:cs="宋体"/>
                <w:color w:val="auto"/>
                <w:sz w:val="24"/>
                <w:szCs w:val="24"/>
                <w:highlight w:val="none"/>
              </w:rPr>
              <w:t>、</w:t>
            </w:r>
            <w:r>
              <w:rPr>
                <w:rFonts w:hint="eastAsia"/>
                <w:color w:val="auto"/>
                <w:sz w:val="24"/>
                <w:szCs w:val="24"/>
                <w:highlight w:val="none"/>
              </w:rPr>
              <w:t>气体泄漏</w:t>
            </w:r>
            <w:r>
              <w:rPr>
                <w:color w:val="auto"/>
                <w:sz w:val="24"/>
                <w:szCs w:val="24"/>
                <w:highlight w:val="none"/>
              </w:rPr>
              <w:t>百分比</w:t>
            </w:r>
            <w:r>
              <w:rPr>
                <w:rFonts w:hint="eastAsia" w:ascii="宋体" w:hAnsi="宋体" w:cs="宋体"/>
                <w:color w:val="auto"/>
                <w:sz w:val="24"/>
                <w:szCs w:val="24"/>
                <w:highlight w:val="none"/>
              </w:rPr>
              <w:t>。</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4.3</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潮气量参数：吸入潮气量、呼出潮气量、单位理想体重输送的潮气量（例如TVe/IBW或VT/PBW）。</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4.4</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呼吸频率监测：总的呼吸频率、自主呼吸频率、机控呼吸频率的监测。</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4.5</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具备压力/容量、容量/流速、流速/压力环3种呼吸环监测，最多可同屏显示2种环图。</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4.6</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吸入的氧浓度的监测。</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4.7</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趋势图和趋势表显示。</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4.8</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肺的力学：吸气阻力、呼气阻力、静态顺应性、动态顺应性和时间常数的监测。</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4.9</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趋势记录：提供72小时的全部监测参数的趋势图、表分析。</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4.10</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日志记录：提供最多</w:t>
            </w:r>
            <w:r>
              <w:rPr>
                <w:rFonts w:ascii="宋体" w:hAnsi="宋体" w:cs="宋体"/>
                <w:color w:val="auto"/>
                <w:sz w:val="24"/>
                <w:szCs w:val="24"/>
                <w:highlight w:val="none"/>
              </w:rPr>
              <w:t>3</w:t>
            </w:r>
            <w:r>
              <w:rPr>
                <w:rFonts w:hint="eastAsia" w:ascii="宋体" w:hAnsi="宋体" w:cs="宋体"/>
                <w:color w:val="auto"/>
                <w:sz w:val="24"/>
                <w:szCs w:val="24"/>
                <w:highlight w:val="none"/>
              </w:rPr>
              <w:t>000条历史事件信息的记录。</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五</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 其他功能</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5.1</w:t>
            </w:r>
          </w:p>
        </w:tc>
        <w:tc>
          <w:tcPr>
            <w:tcW w:w="74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灵活的电源方案：提供交流和直流（12V）两种供电方式。</w:t>
            </w:r>
          </w:p>
        </w:tc>
        <w:tc>
          <w:tcPr>
            <w:tcW w:w="831"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5.2</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漏气自动补偿：最大漏气补偿流速可达65 L/min（成人） , 45 L/min （儿童）</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5.3</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提供高压氧气气源和低压氧气气源两种方式。</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szCs w:val="24"/>
                <w:highlight w:val="none"/>
              </w:rPr>
            </w:pP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呼吸机2</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b/>
                <w:color w:val="auto"/>
                <w:sz w:val="24"/>
                <w:szCs w:val="24"/>
                <w:highlight w:val="none"/>
              </w:rPr>
            </w:pPr>
            <w:r>
              <w:rPr>
                <w:rFonts w:hint="eastAsia" w:ascii="宋体" w:hAnsi="宋体"/>
                <w:b/>
                <w:color w:val="auto"/>
                <w:sz w:val="24"/>
                <w:szCs w:val="24"/>
                <w:highlight w:val="none"/>
              </w:rPr>
              <w:t>数量：</w:t>
            </w:r>
            <w:r>
              <w:rPr>
                <w:rFonts w:hint="eastAsia" w:ascii="宋体" w:hAnsi="宋体"/>
                <w:b/>
                <w:color w:val="auto"/>
                <w:sz w:val="24"/>
                <w:szCs w:val="24"/>
                <w:highlight w:val="none"/>
                <w:lang w:val="en-US" w:eastAsia="zh-CN"/>
              </w:rPr>
              <w:t>12</w:t>
            </w:r>
            <w:r>
              <w:rPr>
                <w:rFonts w:hint="eastAsia" w:ascii="宋体" w:hAnsi="宋体"/>
                <w:b/>
                <w:color w:val="auto"/>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一</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基本特征</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适用于对成人、小儿和婴幼儿患者进行通气辅助及呼吸支持的呼吸机，机型新颖，中文操作界面。</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olor w:val="auto"/>
                <w:sz w:val="24"/>
                <w:szCs w:val="24"/>
                <w:highlight w:val="none"/>
              </w:rPr>
              <w:t>1.2</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color w:val="auto"/>
                <w:sz w:val="24"/>
                <w:szCs w:val="24"/>
                <w:highlight w:val="none"/>
              </w:rPr>
              <w:t>≥15.6英寸彩色电容触摸屏，分辨率1920*1080，支持手势滑动操作，支持无菌手套操作，用户触摸操作更流畅反馈更灵敏，有效解决传统触摸屏模糊可视性差，支持176度广视角查看。</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1.3</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屏幕显示：多至5道波形同屏显示，可提供4种环图，支持呼吸环、波形和监测参数同屏显示；支持短趋势、波形、监测值同屏显示。</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1.4</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自检功能，检查系统管道阻力、泄漏量和顺应性，测试流量传感器、呼气阀和安全阀等部件</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≥90分钟内置后备可充电电池（1块电池），电池总剩余电量能显示在屏幕上。</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1.6</w:t>
            </w:r>
          </w:p>
        </w:tc>
        <w:tc>
          <w:tcPr>
            <w:tcW w:w="7465"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气动电控呼吸机，</w:t>
            </w:r>
            <w:r>
              <w:rPr>
                <w:rFonts w:hint="eastAsia"/>
                <w:color w:val="auto"/>
                <w:sz w:val="24"/>
                <w:szCs w:val="24"/>
                <w:highlight w:val="none"/>
              </w:rPr>
              <w:t>可选配一体化</w:t>
            </w:r>
            <w:r>
              <w:rPr>
                <w:color w:val="auto"/>
                <w:sz w:val="24"/>
                <w:szCs w:val="24"/>
                <w:highlight w:val="none"/>
              </w:rPr>
              <w:t>集成</w:t>
            </w:r>
            <w:r>
              <w:rPr>
                <w:rFonts w:hint="eastAsia"/>
                <w:color w:val="auto"/>
                <w:sz w:val="24"/>
                <w:szCs w:val="24"/>
                <w:highlight w:val="none"/>
              </w:rPr>
              <w:t>式</w:t>
            </w:r>
            <w:r>
              <w:rPr>
                <w:color w:val="auto"/>
                <w:sz w:val="24"/>
                <w:szCs w:val="24"/>
                <w:highlight w:val="none"/>
              </w:rPr>
              <w:t>备用</w:t>
            </w:r>
            <w:r>
              <w:rPr>
                <w:rFonts w:hint="eastAsia"/>
                <w:color w:val="auto"/>
                <w:sz w:val="24"/>
                <w:szCs w:val="24"/>
                <w:highlight w:val="none"/>
              </w:rPr>
              <w:t>空气气源，可在断气断电状态下继续工作</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1.7</w:t>
            </w:r>
          </w:p>
        </w:tc>
        <w:tc>
          <w:tcPr>
            <w:tcW w:w="74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具有有创通气模式、可选配无创通气模式。</w:t>
            </w:r>
          </w:p>
        </w:tc>
        <w:tc>
          <w:tcPr>
            <w:tcW w:w="831"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7465" w:type="dxa"/>
            <w:tcBorders>
              <w:top w:val="single" w:color="auto" w:sz="4" w:space="0"/>
              <w:left w:val="sing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color w:val="auto"/>
                <w:sz w:val="24"/>
                <w:szCs w:val="24"/>
                <w:highlight w:val="none"/>
              </w:rPr>
              <w:t>标配实时气源压力电子显示。</w:t>
            </w:r>
          </w:p>
        </w:tc>
        <w:tc>
          <w:tcPr>
            <w:tcW w:w="831" w:type="dxa"/>
            <w:tcBorders>
              <w:top w:val="single" w:color="auto" w:sz="4" w:space="0"/>
              <w:left w:val="single" w:color="auto" w:sz="4" w:space="0"/>
              <w:bottom w:val="double" w:color="auto" w:sz="4" w:space="0"/>
              <w:right w:val="doub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1.9</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病人信息，当前的设置参数、报警限和趋势等数据可导出。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呼吸波形及呼吸环可截图，屏幕导出保存U盘，</w:t>
            </w:r>
            <w:r>
              <w:rPr>
                <w:rFonts w:hint="eastAsia"/>
                <w:color w:val="auto"/>
                <w:sz w:val="24"/>
                <w:szCs w:val="24"/>
                <w:highlight w:val="none"/>
              </w:rPr>
              <w:t>可缓存≥50张屏幕文件</w:t>
            </w:r>
            <w:r>
              <w:rPr>
                <w:rFonts w:hint="eastAsia" w:ascii="宋体" w:hAnsi="宋体"/>
                <w:color w:val="auto"/>
                <w:sz w:val="24"/>
                <w:szCs w:val="24"/>
                <w:highlight w:val="none"/>
              </w:rPr>
              <w:t>。</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1.11</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吸气安全阀组件可拆卸，并能高温高压蒸汽消毒（134℃），以防止交叉感染。</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1.12</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呼气阀组件一体化设计，内置金属膜片压差流量传感器，精度高，寿命长，并能高温高压蒸汽消毒（134℃），以防止交叉感染。</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1.13</w:t>
            </w:r>
          </w:p>
        </w:tc>
        <w:tc>
          <w:tcPr>
            <w:tcW w:w="7465" w:type="dxa"/>
            <w:vAlign w:val="center"/>
          </w:tcPr>
          <w:p>
            <w:pPr>
              <w:spacing w:line="360" w:lineRule="auto"/>
              <w:rPr>
                <w:rFonts w:ascii="宋体" w:hAnsi="宋体"/>
                <w:color w:val="auto"/>
                <w:sz w:val="24"/>
                <w:szCs w:val="24"/>
                <w:highlight w:val="none"/>
              </w:rPr>
            </w:pPr>
            <w:r>
              <w:rPr>
                <w:rFonts w:hint="eastAsia"/>
                <w:color w:val="auto"/>
                <w:sz w:val="24"/>
                <w:szCs w:val="24"/>
                <w:highlight w:val="none"/>
              </w:rPr>
              <w:t>可</w:t>
            </w:r>
            <w:r>
              <w:rPr>
                <w:rFonts w:hint="eastAsia" w:ascii="宋体" w:hAnsi="宋体" w:cs="宋体"/>
                <w:color w:val="auto"/>
                <w:sz w:val="24"/>
                <w:szCs w:val="24"/>
                <w:highlight w:val="none"/>
              </w:rPr>
              <w:t>选配（原装同品牌）旁流CO2模块监测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可选配主流CO2模块监测，同时监测气道死腔VDaw 和肺泡通气量Vtalv 等参数，可以监测容积-二氧化碳图；可进行氧合指数OI和P/F值的计算</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1.15</w:t>
            </w:r>
          </w:p>
        </w:tc>
        <w:tc>
          <w:tcPr>
            <w:tcW w:w="7465" w:type="dxa"/>
            <w:vAlign w:val="center"/>
          </w:tcPr>
          <w:p>
            <w:pPr>
              <w:spacing w:line="360" w:lineRule="auto"/>
              <w:rPr>
                <w:rFonts w:ascii="宋体" w:hAnsi="宋体"/>
                <w:color w:val="auto"/>
                <w:sz w:val="24"/>
                <w:szCs w:val="24"/>
                <w:highlight w:val="none"/>
              </w:rPr>
            </w:pPr>
            <w:r>
              <w:rPr>
                <w:rFonts w:hint="eastAsia"/>
                <w:color w:val="auto"/>
                <w:sz w:val="24"/>
                <w:szCs w:val="24"/>
                <w:highlight w:val="none"/>
              </w:rPr>
              <w:t>可选配（原装</w:t>
            </w:r>
            <w:r>
              <w:rPr>
                <w:color w:val="auto"/>
                <w:sz w:val="24"/>
                <w:szCs w:val="24"/>
                <w:highlight w:val="none"/>
              </w:rPr>
              <w:t>同品牌</w:t>
            </w:r>
            <w:r>
              <w:rPr>
                <w:rFonts w:hint="eastAsia"/>
                <w:color w:val="auto"/>
                <w:sz w:val="24"/>
                <w:szCs w:val="24"/>
                <w:highlight w:val="none"/>
              </w:rPr>
              <w:t>）SpO2模块监测，提供SpO2和PR监测值，提供脉搏波</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▲1.16</w:t>
            </w:r>
          </w:p>
        </w:tc>
        <w:tc>
          <w:tcPr>
            <w:tcW w:w="7465" w:type="dxa"/>
            <w:vAlign w:val="center"/>
          </w:tcPr>
          <w:p>
            <w:pPr>
              <w:spacing w:line="360" w:lineRule="auto"/>
              <w:rPr>
                <w:rFonts w:ascii="宋体" w:hAnsi="宋体"/>
                <w:color w:val="auto"/>
                <w:sz w:val="24"/>
                <w:szCs w:val="24"/>
                <w:highlight w:val="none"/>
              </w:rPr>
            </w:pPr>
            <w:r>
              <w:rPr>
                <w:rFonts w:hint="eastAsia"/>
                <w:color w:val="auto"/>
                <w:sz w:val="24"/>
                <w:szCs w:val="24"/>
                <w:highlight w:val="none"/>
              </w:rPr>
              <w:t>具备图形化显示功能</w:t>
            </w:r>
            <w:r>
              <w:rPr>
                <w:color w:val="auto"/>
                <w:sz w:val="24"/>
                <w:szCs w:val="24"/>
                <w:highlight w:val="none"/>
              </w:rPr>
              <w:t>，能实时动态</w:t>
            </w:r>
            <w:r>
              <w:rPr>
                <w:rFonts w:hint="eastAsia"/>
                <w:color w:val="auto"/>
                <w:sz w:val="24"/>
                <w:szCs w:val="24"/>
                <w:highlight w:val="none"/>
              </w:rPr>
              <w:t>图形化</w:t>
            </w:r>
            <w:r>
              <w:rPr>
                <w:color w:val="auto"/>
                <w:sz w:val="24"/>
                <w:szCs w:val="24"/>
                <w:highlight w:val="none"/>
              </w:rPr>
              <w:t>显示患者</w:t>
            </w:r>
            <w:r>
              <w:rPr>
                <w:rFonts w:hint="eastAsia"/>
                <w:color w:val="auto"/>
                <w:sz w:val="24"/>
                <w:szCs w:val="24"/>
                <w:highlight w:val="none"/>
              </w:rPr>
              <w:t>气道阻力、肺顺应性、自主呼吸和</w:t>
            </w:r>
            <w:r>
              <w:rPr>
                <w:color w:val="auto"/>
                <w:sz w:val="24"/>
                <w:szCs w:val="24"/>
                <w:highlight w:val="none"/>
              </w:rPr>
              <w:t>分钟通气量</w:t>
            </w:r>
            <w:r>
              <w:rPr>
                <w:rFonts w:hint="eastAsia"/>
                <w:color w:val="auto"/>
                <w:sz w:val="24"/>
                <w:szCs w:val="24"/>
                <w:highlight w:val="none"/>
              </w:rPr>
              <w:t>等肺部</w:t>
            </w:r>
            <w:r>
              <w:rPr>
                <w:color w:val="auto"/>
                <w:sz w:val="24"/>
                <w:szCs w:val="24"/>
                <w:highlight w:val="none"/>
              </w:rPr>
              <w:t>力学</w:t>
            </w:r>
            <w:r>
              <w:rPr>
                <w:rFonts w:hint="eastAsia"/>
                <w:color w:val="auto"/>
                <w:sz w:val="24"/>
                <w:szCs w:val="24"/>
                <w:highlight w:val="none"/>
              </w:rPr>
              <w:t>参数，动态肺视图包含肺损伤、肺塌陷风险提示。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二</w:t>
            </w:r>
          </w:p>
        </w:tc>
        <w:tc>
          <w:tcPr>
            <w:tcW w:w="7465" w:type="dxa"/>
            <w:vAlign w:val="center"/>
          </w:tcPr>
          <w:p>
            <w:pPr>
              <w:spacing w:line="360" w:lineRule="auto"/>
              <w:ind w:left="23" w:right="210"/>
              <w:rPr>
                <w:rFonts w:ascii="宋体" w:hAnsi="宋体"/>
                <w:b/>
                <w:color w:val="auto"/>
                <w:sz w:val="24"/>
                <w:szCs w:val="24"/>
                <w:highlight w:val="none"/>
              </w:rPr>
            </w:pPr>
            <w:r>
              <w:rPr>
                <w:rFonts w:hint="eastAsia" w:ascii="宋体" w:hAnsi="宋体"/>
                <w:b/>
                <w:color w:val="auto"/>
                <w:sz w:val="24"/>
                <w:szCs w:val="24"/>
                <w:highlight w:val="none"/>
              </w:rPr>
              <w:t>呼吸模式及功能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模式配置：容量控制通气下的辅助控制通气A/C和同步间歇指令通气SIMV、压力控制通气下的A/C和SIMV、CPAP/PSV、窒息通气模式，双水平气道正压通气模式，</w:t>
            </w:r>
            <w:r>
              <w:rPr>
                <w:rFonts w:hint="eastAsia"/>
                <w:color w:val="auto"/>
                <w:sz w:val="24"/>
                <w:szCs w:val="24"/>
                <w:highlight w:val="none"/>
              </w:rPr>
              <w:t>容量模式流速波形可调方波、50%和100%递减波：</w:t>
            </w:r>
            <w:r>
              <w:rPr>
                <w:rFonts w:ascii="宋体" w:hAnsi="宋体"/>
                <w:color w:val="auto"/>
                <w:sz w:val="24"/>
                <w:szCs w:val="24"/>
                <w:highlight w:val="none"/>
              </w:rPr>
              <w:t xml:space="preserve"> </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高级模式配置：具备心肺复苏通气模式，具备自动适应性压力调整容量控制功能（如AUTOFLOW或者PRVC等），具备自适应分钟通气量通气AMV</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s="宋体"/>
                <w:color w:val="auto"/>
                <w:sz w:val="24"/>
                <w:szCs w:val="24"/>
                <w:highlight w:val="none"/>
              </w:rPr>
              <w:t>其他功能：叹息功能、手动呼吸、吸气保持、呼气保持、一体化雾化功能、智能增氧吸痰功能，具有NIF、RSBi及P0. 1等脱机参数监测和测量</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可选配置低流速P-V工具，帮助确定最佳PEEP值。</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2.5</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可选配具有自动插管阻力补偿功能，选择不同孔径的气管插管，呼吸机可以自动调节送气压力，使插管末端的压力与呼吸机压力设置值保持一致。</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2.6</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s="宋体"/>
                <w:color w:val="auto"/>
                <w:sz w:val="24"/>
                <w:szCs w:val="24"/>
                <w:highlight w:val="none"/>
              </w:rPr>
              <w:t>先进的智能同步技术，自动调节吸气触发/呼气触发灵敏度，自动调节压力上升时间，提高病人自主呼吸时的舒适度和人机同步性，无需医护人员频繁手动调节参数。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2.7</w:t>
            </w:r>
          </w:p>
        </w:tc>
        <w:tc>
          <w:tcPr>
            <w:tcW w:w="7465" w:type="dxa"/>
            <w:vAlign w:val="center"/>
          </w:tcPr>
          <w:p>
            <w:pPr>
              <w:spacing w:line="360" w:lineRule="auto"/>
              <w:ind w:right="210"/>
              <w:rPr>
                <w:rFonts w:ascii="宋体" w:hAnsi="宋体"/>
                <w:color w:val="auto"/>
                <w:sz w:val="24"/>
                <w:szCs w:val="24"/>
                <w:highlight w:val="none"/>
              </w:rPr>
            </w:pPr>
            <w:r>
              <w:rPr>
                <w:rFonts w:hint="eastAsia"/>
                <w:color w:val="auto"/>
                <w:sz w:val="24"/>
                <w:szCs w:val="24"/>
                <w:highlight w:val="none"/>
              </w:rPr>
              <w:t>氧疗模式 ：具备高流速氧疗功能，氧疗流速（最大80L/min）和氧浓度可设，并具有氧疗计时功能。经湿化器加湿加温后氧疗效果更佳。</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2.8</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具有单位理想体重输送的潮气量 （TVe/IBW）监测功能。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2.9</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s="宋体"/>
                <w:color w:val="auto"/>
                <w:sz w:val="24"/>
                <w:szCs w:val="24"/>
                <w:highlight w:val="none"/>
              </w:rPr>
              <w:t>可选配脱机辅助工具，用户可定制脱机指征并设定报警范围，提供全面的脱机信息看板，一键启动SBT（自主呼吸实验），规范脱机流程。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可选配婴幼儿模块，最小潮气量达2</w:t>
            </w:r>
            <w:r>
              <w:rPr>
                <w:rFonts w:ascii="宋体" w:hAnsi="宋体"/>
                <w:color w:val="auto"/>
                <w:sz w:val="24"/>
                <w:szCs w:val="24"/>
                <w:highlight w:val="none"/>
              </w:rPr>
              <w:t>ml</w:t>
            </w:r>
            <w:r>
              <w:rPr>
                <w:rFonts w:hint="eastAsia" w:ascii="宋体" w:hAnsi="宋体"/>
                <w:color w:val="auto"/>
                <w:sz w:val="24"/>
                <w:szCs w:val="24"/>
                <w:highlight w:val="none"/>
              </w:rPr>
              <w:t>。</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基础流速可自动调节，范围：3-40L/min（有创）；10-65L/min（无创）</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2.12</w:t>
            </w:r>
          </w:p>
        </w:tc>
        <w:tc>
          <w:tcPr>
            <w:tcW w:w="7465" w:type="dxa"/>
            <w:vAlign w:val="center"/>
          </w:tcPr>
          <w:p>
            <w:pPr>
              <w:pStyle w:val="52"/>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具有自动插管阻力补偿（如ATRC，TRC）功能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2.13</w:t>
            </w:r>
          </w:p>
        </w:tc>
        <w:tc>
          <w:tcPr>
            <w:tcW w:w="7465" w:type="dxa"/>
            <w:vAlign w:val="center"/>
          </w:tcPr>
          <w:p>
            <w:pPr>
              <w:pStyle w:val="52"/>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可选配肺复张工具，提供控制性肺膨胀法（SI）进行肺复张，可一键启动并能提供历史数据回顾</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三</w:t>
            </w:r>
          </w:p>
        </w:tc>
        <w:tc>
          <w:tcPr>
            <w:tcW w:w="7465" w:type="dxa"/>
            <w:vAlign w:val="center"/>
          </w:tcPr>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设置参数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3.1</w:t>
            </w:r>
          </w:p>
        </w:tc>
        <w:tc>
          <w:tcPr>
            <w:tcW w:w="7465" w:type="dxa"/>
            <w:vAlign w:val="center"/>
          </w:tcPr>
          <w:p>
            <w:pPr>
              <w:pStyle w:val="52"/>
              <w:spacing w:line="360" w:lineRule="auto"/>
              <w:ind w:firstLine="0" w:firstLineChars="0"/>
              <w:rPr>
                <w:rFonts w:ascii="宋体" w:hAnsi="宋体"/>
                <w:color w:val="auto"/>
                <w:sz w:val="24"/>
                <w:szCs w:val="24"/>
                <w:highlight w:val="none"/>
              </w:rPr>
            </w:pPr>
            <w:r>
              <w:rPr>
                <w:rFonts w:hint="eastAsia" w:ascii="宋体" w:hAnsi="宋体"/>
                <w:color w:val="auto"/>
                <w:sz w:val="24"/>
                <w:szCs w:val="24"/>
                <w:highlight w:val="none"/>
              </w:rPr>
              <w:t>潮气量：20ml—4000ml</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呼吸频率：1-100次/min</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SIMV频率：1-60次/min</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吸/呼比：4:1—1:10</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3.5</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最大峰值流速：≥180L/min</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3.6</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吸气压力：1--100 cmH2O</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3.7</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压力支持：0—100cmH2O</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3.8</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PEEP：0-50 cmH2O</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3.9</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压力触发灵敏度：-20 —- 0.5cmH2O，或OFF</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流速触发灵敏度：0.5—20L/ min，或OFF</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.11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呼气触发灵敏度：Auto, 1—85%</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3.1</w:t>
            </w:r>
            <w:r>
              <w:rPr>
                <w:rFonts w:ascii="宋体" w:hAnsi="宋体"/>
                <w:color w:val="auto"/>
                <w:sz w:val="24"/>
                <w:szCs w:val="24"/>
                <w:highlight w:val="none"/>
              </w:rPr>
              <w:t>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氧浓度：21—100%</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四</w:t>
            </w:r>
          </w:p>
        </w:tc>
        <w:tc>
          <w:tcPr>
            <w:tcW w:w="7465" w:type="dxa"/>
            <w:vAlign w:val="center"/>
          </w:tcPr>
          <w:p>
            <w:pPr>
              <w:spacing w:line="360" w:lineRule="auto"/>
              <w:ind w:right="210"/>
              <w:rPr>
                <w:rFonts w:ascii="宋体" w:hAnsi="宋体"/>
                <w:b/>
                <w:color w:val="auto"/>
                <w:sz w:val="24"/>
                <w:szCs w:val="24"/>
                <w:highlight w:val="none"/>
              </w:rPr>
            </w:pPr>
            <w:r>
              <w:rPr>
                <w:rFonts w:hint="eastAsia" w:ascii="宋体" w:hAnsi="宋体"/>
                <w:b/>
                <w:color w:val="auto"/>
                <w:sz w:val="24"/>
                <w:szCs w:val="24"/>
                <w:highlight w:val="none"/>
              </w:rPr>
              <w:t>监测参数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气道压力：PEEP、气道峰压、平台压、平均压、</w:t>
            </w:r>
            <w:r>
              <w:rPr>
                <w:rFonts w:hint="eastAsia"/>
                <w:color w:val="auto"/>
                <w:sz w:val="24"/>
                <w:szCs w:val="24"/>
                <w:highlight w:val="none"/>
              </w:rPr>
              <w:t>驱动压</w:t>
            </w:r>
            <w:r>
              <w:rPr>
                <w:rFonts w:hint="eastAsia" w:ascii="宋体" w:hAnsi="宋体"/>
                <w:color w:val="auto"/>
                <w:sz w:val="24"/>
                <w:szCs w:val="24"/>
                <w:highlight w:val="none"/>
              </w:rPr>
              <w:t>等监测。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每分钟呼出通气量：呼气分钟通气量、吸气分钟通气量、自主呼吸分钟通气量、泄漏分钟通气量的监测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潮气量的监测：吸入潮气量、呼出潮气量、自主呼吸潮气量</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呼吸频率监测：总的呼吸频率、自主呼吸频率、机控呼吸频率的监测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4.5</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波形显示：压力/时间、流速/时间、容量/时间。</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4.6</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吸入的氧浓度的监测。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4.7</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趋势图和趋势表显示。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4.8</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具有压力/容积、流速/容积、流速/压力环3种呼吸环监测。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4.9</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肺的力学：吸气阻力、呼气阻力、静态顺应性、动态顺应性和时间常数的监测。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olor w:val="auto"/>
                <w:sz w:val="24"/>
                <w:szCs w:val="24"/>
                <w:highlight w:val="none"/>
              </w:rPr>
              <w:t>4.10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可支持实时监测压力-时间曲线形态，并量化为牵张指数Stress Index以提示肺损伤风险</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4.11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可支持实时监测压力/容积环形态，并量化为肺过度膨胀系数C20/C以提示肺损伤风险</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.12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可监测参数≥96小时的趋势图、表分析，5000条报警和操作日志记录。</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五</w:t>
            </w:r>
          </w:p>
        </w:tc>
        <w:tc>
          <w:tcPr>
            <w:tcW w:w="7465" w:type="dxa"/>
            <w:vAlign w:val="center"/>
          </w:tcPr>
          <w:p>
            <w:pPr>
              <w:spacing w:line="360" w:lineRule="auto"/>
              <w:ind w:right="210"/>
              <w:rPr>
                <w:rFonts w:ascii="宋体" w:hAnsi="宋体"/>
                <w:b/>
                <w:color w:val="auto"/>
                <w:sz w:val="24"/>
                <w:szCs w:val="24"/>
                <w:highlight w:val="none"/>
              </w:rPr>
            </w:pPr>
            <w:r>
              <w:rPr>
                <w:rFonts w:hint="eastAsia" w:ascii="宋体" w:hAnsi="宋体"/>
                <w:b/>
                <w:color w:val="auto"/>
                <w:sz w:val="24"/>
                <w:szCs w:val="24"/>
                <w:highlight w:val="none"/>
              </w:rPr>
              <w:t>其他功能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便利的锁屏功能。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具有智能逻辑判断及报警链管理，报警可采用图形化指引进行故障提示。能够智能识别呼吸管路脱落、泄露、阻塞，关键器件故障。</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漏气自动补偿，管道的顺应性和BTPS补偿功能。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能够和同一品牌模块化监护仪连接，把呼吸机的监测信息实时显示到监护上，满足科室信息化的需求。</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p>
        </w:tc>
        <w:tc>
          <w:tcPr>
            <w:tcW w:w="7465" w:type="dxa"/>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呼吸机3</w:t>
            </w:r>
          </w:p>
        </w:tc>
        <w:tc>
          <w:tcPr>
            <w:tcW w:w="831" w:type="dxa"/>
            <w:vAlign w:val="center"/>
          </w:tcPr>
          <w:p>
            <w:pPr>
              <w:spacing w:line="360" w:lineRule="auto"/>
              <w:jc w:val="center"/>
              <w:rPr>
                <w:rFonts w:ascii="宋体" w:hAnsi="宋体" w:cs="宋体"/>
                <w:b/>
                <w:color w:val="auto"/>
                <w:sz w:val="24"/>
                <w:szCs w:val="24"/>
                <w:highlight w:val="none"/>
              </w:rPr>
            </w:pPr>
            <w:r>
              <w:rPr>
                <w:rFonts w:hint="eastAsia" w:ascii="宋体" w:hAnsi="宋体"/>
                <w:b/>
                <w:color w:val="auto"/>
                <w:sz w:val="24"/>
                <w:szCs w:val="24"/>
                <w:highlight w:val="none"/>
              </w:rPr>
              <w:t>数量：</w:t>
            </w:r>
            <w:r>
              <w:rPr>
                <w:rFonts w:hint="eastAsia" w:ascii="宋体" w:hAnsi="宋体"/>
                <w:b/>
                <w:color w:val="auto"/>
                <w:sz w:val="24"/>
                <w:szCs w:val="24"/>
                <w:highlight w:val="none"/>
                <w:lang w:val="en-US" w:eastAsia="zh-CN"/>
              </w:rPr>
              <w:t>2</w:t>
            </w:r>
            <w:r>
              <w:rPr>
                <w:rFonts w:hint="eastAsia" w:ascii="宋体" w:hAnsi="宋体"/>
                <w:b/>
                <w:color w:val="auto"/>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一</w:t>
            </w:r>
          </w:p>
        </w:tc>
        <w:tc>
          <w:tcPr>
            <w:tcW w:w="7465" w:type="dxa"/>
            <w:vAlign w:val="center"/>
          </w:tcPr>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基本特征</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适用于对成人、小儿和婴幼儿患者进行通气辅助及呼吸支持的呼吸机，机型新颖，中文操作界面。</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采用≥</w:t>
            </w:r>
            <w:r>
              <w:rPr>
                <w:rFonts w:ascii="宋体" w:hAnsi="宋体"/>
                <w:color w:val="auto"/>
                <w:sz w:val="24"/>
                <w:szCs w:val="24"/>
                <w:highlight w:val="none"/>
              </w:rPr>
              <w:t>18.5</w:t>
            </w:r>
            <w:r>
              <w:rPr>
                <w:rFonts w:hint="eastAsia" w:ascii="宋体" w:hAnsi="宋体"/>
                <w:color w:val="auto"/>
                <w:sz w:val="24"/>
                <w:szCs w:val="24"/>
                <w:highlight w:val="none"/>
              </w:rPr>
              <w:t>英寸彩色电容触摸屏，分辨率1920</w:t>
            </w:r>
            <w:r>
              <w:rPr>
                <w:rFonts w:ascii="宋体" w:hAnsi="宋体"/>
                <w:color w:val="auto"/>
                <w:sz w:val="24"/>
                <w:szCs w:val="24"/>
                <w:highlight w:val="none"/>
              </w:rPr>
              <w:t>*</w:t>
            </w:r>
            <w:r>
              <w:rPr>
                <w:rFonts w:hint="eastAsia" w:ascii="宋体" w:hAnsi="宋体"/>
                <w:color w:val="auto"/>
                <w:sz w:val="24"/>
                <w:szCs w:val="24"/>
                <w:highlight w:val="none"/>
              </w:rPr>
              <w:t>1080。</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1.3</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屏幕显示：多至5道波形同屏显示，可提供4种环图，支持呼吸环、波形和监测参数同屏显示；支持短趋势、波形、监测值同屏显示。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1.4</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自检功能，检查系统管道阻力、泄漏量和顺应性，测试流量传感器、呼气阀和安全阀等部件</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≥90分钟内置后备可充电电池（1块电池），电池总剩余电量能显示在屏幕上。</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1.6</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气动电控呼吸机，可选配备用空气气源，可在断气断电状态下继续工作</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1.7</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具有有创通气模式、可选配无创通气模式。</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具备实时气源压力电子显示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1.9</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病人信息，当前的设置参数、报警限和趋势等数据可导出。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呼吸波形及呼吸环可截图，屏幕导出保存U盘。</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1.11</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吸气安全阀组件可拆卸，并能高温高压蒸汽消毒（134℃），以防止交叉感染。</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1.12</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呼气阀组件一体化设计，内置金属膜片压差流量传感器，精度高，寿命长，并能高温高压蒸汽消毒（134℃），以防止交叉感染。</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可选配（原装同品牌）主流/旁流CO2监测。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1.14</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可选配（原装同品牌）SpO2监测，提供SpO2和PR监测值，提供脉搏波</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1.15</w:t>
            </w:r>
          </w:p>
        </w:tc>
        <w:tc>
          <w:tcPr>
            <w:tcW w:w="7465"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具备图形化显示阻力、顺应性和自主呼吸等生理参数变化，并实时显示其趋势</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二</w:t>
            </w:r>
          </w:p>
        </w:tc>
        <w:tc>
          <w:tcPr>
            <w:tcW w:w="7465" w:type="dxa"/>
            <w:vAlign w:val="center"/>
          </w:tcPr>
          <w:p>
            <w:pPr>
              <w:spacing w:line="360" w:lineRule="auto"/>
              <w:ind w:left="23" w:right="210"/>
              <w:rPr>
                <w:rFonts w:ascii="宋体" w:hAnsi="宋体"/>
                <w:b/>
                <w:color w:val="auto"/>
                <w:sz w:val="24"/>
                <w:szCs w:val="24"/>
                <w:highlight w:val="none"/>
              </w:rPr>
            </w:pPr>
            <w:r>
              <w:rPr>
                <w:rFonts w:hint="eastAsia" w:ascii="宋体" w:hAnsi="宋体"/>
                <w:b/>
                <w:color w:val="auto"/>
                <w:sz w:val="24"/>
                <w:szCs w:val="24"/>
                <w:highlight w:val="none"/>
              </w:rPr>
              <w:t>呼吸模式及功能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模式配置：容量控制通气下的辅助控制通气A/C和同步间歇指令通气SIMV、压力控制通气下的A/C和SIMV、CPAP/PSV、窒息通气模式，双水平气道正压通气模式，</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olor w:val="auto"/>
                <w:sz w:val="24"/>
                <w:szCs w:val="24"/>
                <w:highlight w:val="none"/>
              </w:rPr>
              <w:t>2.2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高级模式配置：具备心肺复苏通气模式，具备自动适应性压力调整容量控制功能（如AUTOFLOW或者PRVC等），具备自适应分钟通气量通气AMV</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其他功能：</w:t>
            </w:r>
            <w:r>
              <w:rPr>
                <w:rFonts w:hint="eastAsia" w:ascii="宋体" w:hAnsi="宋体" w:cs="宋体"/>
                <w:color w:val="auto"/>
                <w:sz w:val="24"/>
                <w:szCs w:val="24"/>
                <w:highlight w:val="none"/>
              </w:rPr>
              <w:t>叹息功能、手动呼吸、吸气保持、呼气保持、一体化雾化功能、智能增氧吸痰功能，具有NIF及P0. 1等脱机参数监测和测量</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可选配置低流速P-V工具，帮助确定最佳PEEP值。</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2.5</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可具有自动插管阻力补偿功能，选择不同孔径的气管插管，呼吸机可以自动调节送气压力，使插管末端的压力与呼吸机压力设置值保持一致。</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2.6</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有智能同步技术，可以将【呼气触发】设置为【Auto】，通过对波形特征的抽取和分析，自适应算法动态调节【呼气触发】至最佳值，提高人机同步，使病人呼吸更加舒适，可以减少治疗过程中频繁的呼吸机设置值调节。</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2.7</w:t>
            </w:r>
          </w:p>
        </w:tc>
        <w:tc>
          <w:tcPr>
            <w:tcW w:w="7465" w:type="dxa"/>
            <w:vAlign w:val="center"/>
          </w:tcPr>
          <w:p>
            <w:pPr>
              <w:spacing w:line="360" w:lineRule="auto"/>
              <w:ind w:right="210"/>
              <w:rPr>
                <w:rFonts w:ascii="宋体" w:hAnsi="宋体"/>
                <w:color w:val="auto"/>
                <w:sz w:val="24"/>
                <w:szCs w:val="24"/>
                <w:highlight w:val="none"/>
              </w:rPr>
            </w:pPr>
            <w:r>
              <w:rPr>
                <w:rFonts w:hint="eastAsia"/>
                <w:color w:val="auto"/>
                <w:sz w:val="24"/>
                <w:szCs w:val="24"/>
                <w:highlight w:val="none"/>
              </w:rPr>
              <w:t>氧疗模式 ：具备高流速氧疗功能，氧疗流速（最大80L/min）和氧浓度可设，并具有氧疗计时功能。经湿化器加湿加温后氧疗效果更佳。</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2.8</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具有单位理想体重输送的潮气量 （TVe/IBW）监测功能。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2.9</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可选配脱机功能，用户可定制脱机指征，提供信息全面的脱机功能看板，一键启动SBT，规范脱机流程。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可选配婴幼儿模块，最小潮气量达2</w:t>
            </w:r>
            <w:r>
              <w:rPr>
                <w:rFonts w:ascii="宋体" w:hAnsi="宋体"/>
                <w:color w:val="auto"/>
                <w:sz w:val="24"/>
                <w:szCs w:val="24"/>
                <w:highlight w:val="none"/>
              </w:rPr>
              <w:t>ml</w:t>
            </w:r>
            <w:r>
              <w:rPr>
                <w:rFonts w:hint="eastAsia" w:ascii="宋体" w:hAnsi="宋体"/>
                <w:color w:val="auto"/>
                <w:sz w:val="24"/>
                <w:szCs w:val="24"/>
                <w:highlight w:val="none"/>
              </w:rPr>
              <w:t>。</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olor w:val="auto"/>
                <w:sz w:val="24"/>
                <w:szCs w:val="24"/>
                <w:highlight w:val="none"/>
              </w:rPr>
              <w:t>2.11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具备辅助压监测，提供两个辅助压采样口，可同时监测双通道辅助压。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2.12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基础流速可自动调节，范围：3-40L/min（有创）；10-65L/min（无创）</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三</w:t>
            </w:r>
          </w:p>
        </w:tc>
        <w:tc>
          <w:tcPr>
            <w:tcW w:w="7465" w:type="dxa"/>
            <w:vAlign w:val="center"/>
          </w:tcPr>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设置参数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潮气量：20ml—2000ml</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呼吸频率：1-100次/min</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SIMV频率：1-60次/min</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吸/呼比：4:1—1:10</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3.5</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最大峰值流速：≥180L/min</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3.6</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吸气压力：1--100 cmH2O</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3.7</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压力支持：0—100cmH2O</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3.8</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PEEP：0-50 cmH2O</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3.9</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压力触发灵敏度：-20 —- 0.5cmH2O，或OFF</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流速触发灵敏度：0.5—20L/ min，或OFF</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3.11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氧浓度：21—100%</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3.12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叹息功能：有</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四</w:t>
            </w:r>
          </w:p>
        </w:tc>
        <w:tc>
          <w:tcPr>
            <w:tcW w:w="7465" w:type="dxa"/>
            <w:vAlign w:val="center"/>
          </w:tcPr>
          <w:p>
            <w:pPr>
              <w:spacing w:line="360" w:lineRule="auto"/>
              <w:ind w:right="210"/>
              <w:rPr>
                <w:rFonts w:ascii="宋体" w:hAnsi="宋体"/>
                <w:b/>
                <w:color w:val="auto"/>
                <w:sz w:val="24"/>
                <w:szCs w:val="24"/>
                <w:highlight w:val="none"/>
              </w:rPr>
            </w:pPr>
            <w:r>
              <w:rPr>
                <w:rFonts w:hint="eastAsia" w:ascii="宋体" w:hAnsi="宋体"/>
                <w:b/>
                <w:color w:val="auto"/>
                <w:sz w:val="24"/>
                <w:szCs w:val="24"/>
                <w:highlight w:val="none"/>
              </w:rPr>
              <w:t>监测参数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气道压力：PEEP、气道峰压、平台压、平均压等监测。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每分钟呼出通气量：呼气分钟通气量、吸气分钟通气量、自主呼吸分钟通气量、泄漏分钟通气量的监测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潮气量的监测：吸入潮气量、呼出潮气量、自主呼吸潮气量</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呼吸频率监测：总的呼吸频率、自主呼吸频率、机控呼吸频率的监测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4.5</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波形显示：压力/时间、流速/时间、容量/时间。</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4.6</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吸入的氧浓度的监测。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4.7</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趋势图和趋势表显示。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4.8</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具有压力/容积、流速/容积、流速/压力环3种呼吸环监测。</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▲4.9</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肺的力学：吸气阻力、呼气阻力、静态顺应性、动态顺应性和时间常数的监测。动态肺且有肺损伤提示。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4.10</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可支持实时监测压力-时间曲线形态，并量化为牵张指数Stress Index以提示肺损伤风险</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4.11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可支持实时监测压力/容积环形态，并量化为肺过度膨胀系数C20/C以提示肺损伤风险</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4.12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可监测参数≥96小时的趋势图、表分析，5000条报警和操作日志记录。</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4.13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可支持波形显示：辅助压/时间波形</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五</w:t>
            </w:r>
          </w:p>
        </w:tc>
        <w:tc>
          <w:tcPr>
            <w:tcW w:w="7465" w:type="dxa"/>
            <w:vAlign w:val="center"/>
          </w:tcPr>
          <w:p>
            <w:pPr>
              <w:spacing w:line="360" w:lineRule="auto"/>
              <w:ind w:right="210"/>
              <w:rPr>
                <w:rFonts w:ascii="宋体" w:hAnsi="宋体"/>
                <w:b/>
                <w:color w:val="auto"/>
                <w:sz w:val="24"/>
                <w:szCs w:val="24"/>
                <w:highlight w:val="none"/>
              </w:rPr>
            </w:pPr>
            <w:r>
              <w:rPr>
                <w:rFonts w:hint="eastAsia" w:ascii="宋体" w:hAnsi="宋体"/>
                <w:b/>
                <w:color w:val="auto"/>
                <w:sz w:val="24"/>
                <w:szCs w:val="24"/>
                <w:highlight w:val="none"/>
              </w:rPr>
              <w:t>其他功能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5.1</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便利的锁屏功能。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5.2</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具有智能逻辑判断及报警链管理，报警可采用图形化指引进行故障提示</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5.3</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漏气自动补偿，管道的顺应性和BTPS补偿功能。</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.4</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Exp%范围：1-</w:t>
            </w:r>
            <w:r>
              <w:rPr>
                <w:rFonts w:ascii="宋体" w:hAnsi="宋体"/>
                <w:color w:val="auto"/>
                <w:sz w:val="24"/>
                <w:szCs w:val="24"/>
                <w:highlight w:val="none"/>
              </w:rPr>
              <w:t>85</w:t>
            </w:r>
            <w:r>
              <w:rPr>
                <w:rFonts w:hint="eastAsia" w:ascii="宋体" w:hAnsi="宋体"/>
                <w:color w:val="auto"/>
                <w:sz w:val="24"/>
                <w:szCs w:val="24"/>
                <w:highlight w:val="none"/>
              </w:rPr>
              <w:t>%。</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olor w:val="auto"/>
                <w:sz w:val="24"/>
                <w:szCs w:val="24"/>
                <w:highlight w:val="none"/>
              </w:rPr>
              <w:t>5.</w:t>
            </w:r>
            <w:r>
              <w:rPr>
                <w:rFonts w:ascii="宋体" w:hAnsi="宋体"/>
                <w:color w:val="auto"/>
                <w:sz w:val="24"/>
                <w:szCs w:val="24"/>
                <w:highlight w:val="none"/>
              </w:rPr>
              <w:t>5</w:t>
            </w:r>
          </w:p>
        </w:tc>
        <w:tc>
          <w:tcPr>
            <w:tcW w:w="7465" w:type="dxa"/>
            <w:vAlign w:val="center"/>
          </w:tcPr>
          <w:p>
            <w:pPr>
              <w:spacing w:line="360" w:lineRule="auto"/>
              <w:ind w:right="210"/>
              <w:rPr>
                <w:rFonts w:ascii="宋体" w:hAnsi="宋体"/>
                <w:color w:val="auto"/>
                <w:sz w:val="24"/>
                <w:szCs w:val="24"/>
                <w:highlight w:val="none"/>
              </w:rPr>
            </w:pPr>
            <w:r>
              <w:rPr>
                <w:rFonts w:hint="eastAsia" w:ascii="宋体" w:hAnsi="宋体"/>
                <w:color w:val="auto"/>
                <w:sz w:val="24"/>
                <w:szCs w:val="24"/>
                <w:highlight w:val="none"/>
              </w:rPr>
              <w:t>能够和同一品牌模块化监护仪连接，把呼吸机的监测信息实时显示到监护上，满足科室信息化的需求。</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cs="宋体"/>
                <w:b/>
                <w:color w:val="auto"/>
                <w:sz w:val="24"/>
                <w:szCs w:val="24"/>
                <w:highlight w:val="none"/>
              </w:rPr>
              <w:t>六</w:t>
            </w:r>
          </w:p>
        </w:tc>
        <w:tc>
          <w:tcPr>
            <w:tcW w:w="7465" w:type="dxa"/>
            <w:vAlign w:val="center"/>
          </w:tcPr>
          <w:p>
            <w:pPr>
              <w:spacing w:line="360" w:lineRule="auto"/>
              <w:rPr>
                <w:rFonts w:hint="default" w:ascii="宋体" w:hAnsi="宋体" w:eastAsia="宋体" w:cs="宋体"/>
                <w:b/>
                <w:color w:val="auto"/>
                <w:kern w:val="2"/>
                <w:sz w:val="24"/>
                <w:szCs w:val="24"/>
                <w:highlight w:val="none"/>
                <w:lang w:val="en-US" w:eastAsia="zh-CN" w:bidi="ar-SA"/>
              </w:rPr>
            </w:pPr>
            <w:r>
              <w:rPr>
                <w:rFonts w:hint="eastAsia" w:ascii="宋体" w:hAnsi="宋体" w:cs="宋体"/>
                <w:b/>
                <w:color w:val="auto"/>
                <w:sz w:val="24"/>
                <w:szCs w:val="24"/>
                <w:highlight w:val="none"/>
                <w:lang w:val="en-US" w:eastAsia="zh-CN"/>
              </w:rPr>
              <w:t>配置清单（每台）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7465" w:type="dxa"/>
            <w:vAlign w:val="center"/>
          </w:tcPr>
          <w:p>
            <w:pPr>
              <w:spacing w:line="360" w:lineRule="auto"/>
              <w:ind w:right="21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主机1台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7465" w:type="dxa"/>
            <w:vAlign w:val="center"/>
          </w:tcPr>
          <w:p>
            <w:pPr>
              <w:spacing w:line="360" w:lineRule="auto"/>
              <w:ind w:right="210"/>
              <w:rPr>
                <w:rFonts w:hint="default" w:ascii="宋体" w:hAnsi="宋体"/>
                <w:color w:val="auto"/>
                <w:sz w:val="24"/>
                <w:szCs w:val="24"/>
                <w:highlight w:val="none"/>
                <w:lang w:val="en-US"/>
              </w:rPr>
            </w:pPr>
            <w:r>
              <w:rPr>
                <w:rFonts w:hint="eastAsia" w:ascii="宋体" w:hAnsi="宋体"/>
                <w:color w:val="auto"/>
                <w:sz w:val="24"/>
                <w:szCs w:val="24"/>
                <w:highlight w:val="none"/>
                <w:lang w:val="en-US" w:eastAsia="zh-CN"/>
              </w:rPr>
              <w:t>反复呼吸管路2套</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w:t>
            </w:r>
          </w:p>
        </w:tc>
        <w:tc>
          <w:tcPr>
            <w:tcW w:w="7465" w:type="dxa"/>
            <w:vAlign w:val="center"/>
          </w:tcPr>
          <w:p>
            <w:pPr>
              <w:spacing w:line="360" w:lineRule="auto"/>
              <w:ind w:right="210"/>
              <w:jc w:val="left"/>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夹板模拟肺 2只</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4</w:t>
            </w:r>
          </w:p>
        </w:tc>
        <w:tc>
          <w:tcPr>
            <w:tcW w:w="7465" w:type="dxa"/>
            <w:vAlign w:val="center"/>
          </w:tcPr>
          <w:p>
            <w:pPr>
              <w:spacing w:line="360" w:lineRule="auto"/>
              <w:ind w:right="210"/>
              <w:jc w:val="left"/>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MR850湿化器1台</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5</w:t>
            </w:r>
          </w:p>
        </w:tc>
        <w:tc>
          <w:tcPr>
            <w:tcW w:w="7465" w:type="dxa"/>
            <w:vAlign w:val="center"/>
          </w:tcPr>
          <w:p>
            <w:pPr>
              <w:spacing w:line="360" w:lineRule="auto"/>
              <w:ind w:right="210"/>
              <w:jc w:val="left"/>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湿化罐2只</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6</w:t>
            </w:r>
          </w:p>
        </w:tc>
        <w:tc>
          <w:tcPr>
            <w:tcW w:w="7465" w:type="dxa"/>
            <w:vAlign w:val="center"/>
          </w:tcPr>
          <w:p>
            <w:pPr>
              <w:spacing w:line="360" w:lineRule="auto"/>
              <w:ind w:right="210"/>
              <w:jc w:val="left"/>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推车1辆</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7</w:t>
            </w:r>
          </w:p>
        </w:tc>
        <w:tc>
          <w:tcPr>
            <w:tcW w:w="7465" w:type="dxa"/>
            <w:vAlign w:val="center"/>
          </w:tcPr>
          <w:p>
            <w:pPr>
              <w:spacing w:line="360" w:lineRule="auto"/>
              <w:ind w:right="210"/>
              <w:jc w:val="left"/>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后备电池 1套</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ind w:right="210"/>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8</w:t>
            </w:r>
          </w:p>
        </w:tc>
        <w:tc>
          <w:tcPr>
            <w:tcW w:w="7465" w:type="dxa"/>
            <w:vAlign w:val="center"/>
          </w:tcPr>
          <w:p>
            <w:pPr>
              <w:spacing w:line="360" w:lineRule="auto"/>
              <w:ind w:right="210"/>
              <w:jc w:val="left"/>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呼入、呼出过滤器 2套</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七</w:t>
            </w:r>
          </w:p>
        </w:tc>
        <w:tc>
          <w:tcPr>
            <w:tcW w:w="7465" w:type="dxa"/>
            <w:vAlign w:val="center"/>
          </w:tcPr>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其他资料：</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6.1</w:t>
            </w:r>
          </w:p>
        </w:tc>
        <w:tc>
          <w:tcPr>
            <w:tcW w:w="7465"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提供医疗器械注册证及产品注册登记表；</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6.2</w:t>
            </w:r>
          </w:p>
        </w:tc>
        <w:tc>
          <w:tcPr>
            <w:tcW w:w="7465"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提供配置清单及选配件报价单；</w:t>
            </w:r>
          </w:p>
        </w:tc>
        <w:tc>
          <w:tcPr>
            <w:tcW w:w="831" w:type="dxa"/>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6.3</w:t>
            </w:r>
          </w:p>
        </w:tc>
        <w:tc>
          <w:tcPr>
            <w:tcW w:w="7465"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提供用户操作手册；</w:t>
            </w:r>
          </w:p>
        </w:tc>
        <w:tc>
          <w:tcPr>
            <w:tcW w:w="831" w:type="dxa"/>
          </w:tcPr>
          <w:p>
            <w:pPr>
              <w:spacing w:line="360" w:lineRule="auto"/>
              <w:jc w:val="center"/>
              <w:rPr>
                <w:rFonts w:ascii="宋体" w:hAnsi="宋体" w:cs="宋体"/>
                <w:color w:val="auto"/>
                <w:sz w:val="24"/>
                <w:szCs w:val="24"/>
                <w:highlight w:val="none"/>
              </w:rPr>
            </w:pPr>
          </w:p>
        </w:tc>
      </w:tr>
    </w:tbl>
    <w:p>
      <w:pPr>
        <w:pStyle w:val="2"/>
        <w:rPr>
          <w:rFonts w:hint="eastAsia"/>
          <w:color w:val="auto"/>
          <w:highlight w:val="none"/>
          <w:lang w:eastAsia="zh-CN"/>
        </w:rPr>
      </w:pPr>
    </w:p>
    <w:p>
      <w:pPr>
        <w:numPr>
          <w:ilvl w:val="0"/>
          <w:numId w:val="0"/>
        </w:numPr>
        <w:shd w:val="clear" w:color="auto"/>
        <w:bidi w:val="0"/>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三、商务条款</w:t>
      </w:r>
    </w:p>
    <w:p>
      <w:pPr>
        <w:numPr>
          <w:ilvl w:val="0"/>
          <w:numId w:val="0"/>
        </w:num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1、售后服务：</w:t>
      </w:r>
    </w:p>
    <w:p>
      <w:pPr>
        <w:numPr>
          <w:ilvl w:val="0"/>
          <w:numId w:val="0"/>
        </w:num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1.1.在设备使用期内，中标方应确保设备的正常使用，在接到用户维修要求后应立即做出回应，通过电话联系无法解决的，须24小时赶赴现场处理，在24小时内对设备无法修复的，须提供性能相当的产品供用户使用。</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1.2.每台设备都应提供完整的中英文技术资料，包括操作手册2套、维修手册2台等，同时应提供设备操作维护规程。</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1.3.</w:t>
      </w:r>
      <w:r>
        <w:rPr>
          <w:rFonts w:hint="eastAsia" w:ascii="宋体" w:hAnsi="宋体" w:eastAsia="宋体" w:cs="宋体"/>
          <w:color w:val="auto"/>
          <w:sz w:val="24"/>
          <w:szCs w:val="24"/>
          <w:highlight w:val="none"/>
        </w:rPr>
        <w:t>设备验收合格后免费保修≥</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年，质保期外不收取任何维修、差旅费等，仅收取配件费并提供更换配件价格的折扣率，终身维护</w:t>
      </w:r>
      <w:r>
        <w:rPr>
          <w:rFonts w:hint="eastAsia" w:ascii="宋体" w:hAnsi="宋体"/>
          <w:b w:val="0"/>
          <w:bCs w:val="0"/>
          <w:color w:val="auto"/>
          <w:sz w:val="24"/>
          <w:szCs w:val="24"/>
          <w:highlight w:val="none"/>
          <w:lang w:val="en-US" w:eastAsia="zh-CN"/>
        </w:rPr>
        <w:t>。</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2、培训：</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2.1.中标方提供免费培训，直至用户熟练操作。包括：培训讲师和培训资料。</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2.2.提供集中培训：培训时间半天，培训人数10人。</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2.3.制定操作维护规程</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3、交货、安装及验收：</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3.1.交货时间：合同签订后两个月内送货到市立医院指定地点。</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3.2.安装地点：医院指定地点。</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3.3.安装完成时间：接到院方通知后7天内安装完毕。</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3.4.安装、验收前所产生的一切费用（包括卸货、搬运费等）由供方负责提供。</w:t>
      </w:r>
    </w:p>
    <w:p>
      <w:pPr>
        <w:shd w:val="clea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3.5.安装、验收标准：应与产品原始样本技术数据及标书技术文件一致；还应符合我国有关技术规范和技术标准。</w:t>
      </w:r>
    </w:p>
    <w:p>
      <w:pPr>
        <w:shd w:val="clear"/>
        <w:bidi w:val="0"/>
        <w:spacing w:line="360" w:lineRule="auto"/>
        <w:ind w:firstLine="480" w:firstLineChars="200"/>
        <w:jc w:val="left"/>
        <w:rPr>
          <w:rFonts w:hint="eastAsia" w:ascii="宋体" w:hAnsi="宋体" w:eastAsia="宋体" w:cs="Times New Roman"/>
          <w:b w:val="0"/>
          <w:bCs w:val="0"/>
          <w:color w:val="auto"/>
          <w:sz w:val="24"/>
          <w:szCs w:val="24"/>
          <w:highlight w:val="none"/>
          <w:lang w:val="en-US" w:eastAsia="zh-CN"/>
        </w:rPr>
      </w:pPr>
      <w:r>
        <w:rPr>
          <w:rFonts w:hint="eastAsia" w:ascii="宋体" w:hAnsi="宋体" w:eastAsia="宋体" w:cs="Times New Roman"/>
          <w:b w:val="0"/>
          <w:bCs w:val="0"/>
          <w:color w:val="auto"/>
          <w:sz w:val="24"/>
          <w:szCs w:val="24"/>
          <w:highlight w:val="none"/>
          <w:lang w:val="en-US" w:eastAsia="zh-CN"/>
        </w:rPr>
        <w:t>4、付款方式：合同签订后医院向中标单位支付合同金额40%预付款，货到医院并验收合格30天内付合同金额60%。（开票时需完整填写开票信息）</w:t>
      </w:r>
    </w:p>
    <w:p>
      <w:pPr>
        <w:shd w:val="clear"/>
        <w:bidi w:val="0"/>
        <w:spacing w:line="360" w:lineRule="auto"/>
        <w:ind w:firstLine="420" w:firstLineChars="200"/>
        <w:jc w:val="left"/>
        <w:rPr>
          <w:rFonts w:hint="eastAsia"/>
          <w:color w:val="auto"/>
          <w:highlight w:val="none"/>
          <w:lang w:eastAsia="zh-CN"/>
        </w:rPr>
      </w:pPr>
    </w:p>
    <w:p>
      <w:pPr>
        <w:shd w:val="clear"/>
        <w:bidi w:val="0"/>
        <w:spacing w:line="360" w:lineRule="auto"/>
        <w:rPr>
          <w:rFonts w:hint="eastAsia" w:ascii="宋体" w:hAnsi="宋体" w:eastAsia="宋体" w:cs="宋体"/>
          <w:color w:val="auto"/>
          <w:sz w:val="24"/>
          <w:szCs w:val="32"/>
          <w:highlight w:val="none"/>
          <w:lang w:val="en-US" w:eastAsia="zh-CN"/>
        </w:rPr>
      </w:pPr>
    </w:p>
    <w:p>
      <w:pPr>
        <w:shd w:val="clear"/>
        <w:bidi w:val="0"/>
        <w:spacing w:line="360" w:lineRule="auto"/>
        <w:rPr>
          <w:rFonts w:hint="eastAsia" w:ascii="宋体" w:hAnsi="宋体" w:eastAsia="宋体" w:cs="宋体"/>
          <w:color w:val="auto"/>
          <w:sz w:val="24"/>
          <w:szCs w:val="32"/>
          <w:highlight w:val="none"/>
          <w:lang w:val="en-US" w:eastAsia="zh-CN"/>
        </w:rPr>
      </w:pPr>
    </w:p>
    <w:p>
      <w:pPr>
        <w:shd w:val="clea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第五章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合同主要条款</w:t>
      </w:r>
    </w:p>
    <w:p>
      <w:pPr>
        <w:shd w:val="clear"/>
        <w:bidi w:val="0"/>
        <w:spacing w:line="360" w:lineRule="auto"/>
        <w:jc w:val="center"/>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医疗设备购销合同</w:t>
      </w:r>
    </w:p>
    <w:p>
      <w:pPr>
        <w:shd w:val="clea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合同编号：                               签约地  ：台州市椒江区</w:t>
      </w:r>
    </w:p>
    <w:p>
      <w:pPr>
        <w:shd w:val="clear"/>
        <w:bidi w:val="0"/>
        <w:spacing w:line="360" w:lineRule="auto"/>
        <w:rPr>
          <w:rFonts w:hint="default"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甲方（买方）：</w:t>
      </w:r>
      <w:r>
        <w:rPr>
          <w:rFonts w:hint="eastAsia" w:ascii="宋体" w:hAnsi="宋体" w:eastAsia="宋体" w:cs="宋体"/>
          <w:b/>
          <w:bCs/>
          <w:color w:val="auto"/>
          <w:sz w:val="24"/>
          <w:szCs w:val="32"/>
          <w:highlight w:val="none"/>
          <w:u w:val="single"/>
          <w:lang w:val="en-US" w:eastAsia="zh-CN"/>
        </w:rPr>
        <w:t>台州市立医院</w:t>
      </w:r>
      <w:r>
        <w:rPr>
          <w:rFonts w:hint="eastAsia" w:ascii="宋体" w:hAnsi="宋体" w:eastAsia="宋体" w:cs="宋体"/>
          <w:b/>
          <w:bCs/>
          <w:color w:val="auto"/>
          <w:sz w:val="24"/>
          <w:szCs w:val="32"/>
          <w:highlight w:val="none"/>
          <w:lang w:val="en-US" w:eastAsia="zh-CN"/>
        </w:rPr>
        <w:t xml:space="preserve">               乙方（卖方）：</w:t>
      </w:r>
      <w:r>
        <w:rPr>
          <w:rFonts w:hint="eastAsia" w:ascii="宋体" w:hAnsi="宋体" w:eastAsia="宋体" w:cs="宋体"/>
          <w:b/>
          <w:bCs/>
          <w:color w:val="auto"/>
          <w:sz w:val="24"/>
          <w:szCs w:val="32"/>
          <w:highlight w:val="none"/>
          <w:u w:val="single"/>
          <w:lang w:val="en-US" w:eastAsia="zh-CN"/>
        </w:rPr>
        <w:t xml:space="preserve">                </w:t>
      </w:r>
    </w:p>
    <w:p>
      <w:pPr>
        <w:shd w:val="clear"/>
        <w:bidi w:val="0"/>
        <w:spacing w:line="360" w:lineRule="auto"/>
        <w:ind w:firstLine="241" w:firstLineChars="100"/>
        <w:rPr>
          <w:rFonts w:hint="eastAsia" w:ascii="宋体" w:hAnsi="宋体" w:eastAsia="宋体" w:cs="宋体"/>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w:t>
      </w:r>
      <w:r>
        <w:rPr>
          <w:rFonts w:hint="eastAsia" w:ascii="宋体" w:hAnsi="宋体" w:eastAsia="宋体" w:cs="宋体"/>
          <w:color w:val="auto"/>
          <w:sz w:val="24"/>
          <w:szCs w:val="32"/>
          <w:highlight w:val="none"/>
          <w:lang w:val="en-US" w:eastAsia="zh-CN"/>
        </w:rPr>
        <w:t>甲乙双方根据《中华人民共和国民法典》，在平等互利、协商一致的基础上，甲方同意向乙方购买同时乙方同意授予甲方以下设备（以下设备器械均简称设备）：</w:t>
      </w:r>
    </w:p>
    <w:tbl>
      <w:tblPr>
        <w:tblStyle w:val="28"/>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635"/>
        <w:gridCol w:w="1080"/>
        <w:gridCol w:w="900"/>
        <w:gridCol w:w="750"/>
        <w:gridCol w:w="1970"/>
        <w:gridCol w:w="87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设备名称</w:t>
            </w:r>
          </w:p>
        </w:tc>
        <w:tc>
          <w:tcPr>
            <w:tcW w:w="1635"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规格型号</w:t>
            </w:r>
          </w:p>
        </w:tc>
        <w:tc>
          <w:tcPr>
            <w:tcW w:w="108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品牌</w:t>
            </w:r>
          </w:p>
        </w:tc>
        <w:tc>
          <w:tcPr>
            <w:tcW w:w="90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产地</w:t>
            </w:r>
          </w:p>
        </w:tc>
        <w:tc>
          <w:tcPr>
            <w:tcW w:w="75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数量</w:t>
            </w:r>
          </w:p>
        </w:tc>
        <w:tc>
          <w:tcPr>
            <w:tcW w:w="197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医疗器械注册证</w:t>
            </w:r>
          </w:p>
        </w:tc>
        <w:tc>
          <w:tcPr>
            <w:tcW w:w="877"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单价（元）</w:t>
            </w:r>
          </w:p>
        </w:tc>
        <w:tc>
          <w:tcPr>
            <w:tcW w:w="91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390" w:type="dxa"/>
            <w:gridSpan w:val="8"/>
            <w:vAlign w:val="center"/>
          </w:tcPr>
          <w:p>
            <w:pPr>
              <w:shd w:val="clea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合计成交金额（RMB）：           元（大写：               ）</w:t>
            </w:r>
          </w:p>
        </w:tc>
      </w:tr>
    </w:tbl>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2、设备的交付期</w:t>
      </w:r>
      <w:r>
        <w:rPr>
          <w:rFonts w:hint="eastAsia" w:ascii="宋体" w:hAnsi="宋体" w:eastAsia="宋体" w:cs="宋体"/>
          <w:b w:val="0"/>
          <w:bCs w:val="0"/>
          <w:color w:val="auto"/>
          <w:sz w:val="24"/>
          <w:szCs w:val="32"/>
          <w:highlight w:val="none"/>
          <w:lang w:val="en-US" w:eastAsia="zh-CN"/>
        </w:rPr>
        <w:t>：乙方在合同生效的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b w:val="0"/>
          <w:bCs w:val="0"/>
          <w:color w:val="auto"/>
          <w:sz w:val="24"/>
          <w:szCs w:val="32"/>
          <w:highlight w:val="none"/>
          <w:lang w:val="en-US" w:eastAsia="zh-CN"/>
        </w:rPr>
        <w:t>天内向甲方交付上述设备，逾期将按照第7条规定执行。</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3、设备运输、安装和验收</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3.1本项目为台州市立医院</w:t>
      </w:r>
      <w:r>
        <w:rPr>
          <w:rFonts w:hint="eastAsia" w:ascii="宋体" w:hAnsi="宋体" w:cs="宋体"/>
          <w:color w:val="auto"/>
          <w:sz w:val="24"/>
          <w:szCs w:val="32"/>
          <w:highlight w:val="none"/>
          <w:lang w:val="en-US" w:eastAsia="zh-CN"/>
        </w:rPr>
        <w:t>定点医院</w:t>
      </w:r>
      <w:r>
        <w:rPr>
          <w:rFonts w:hint="eastAsia" w:ascii="宋体" w:hAnsi="宋体" w:eastAsia="宋体" w:cs="宋体"/>
          <w:color w:val="auto"/>
          <w:sz w:val="24"/>
          <w:szCs w:val="32"/>
          <w:highlight w:val="none"/>
          <w:lang w:val="en-US" w:eastAsia="zh-CN"/>
        </w:rPr>
        <w:t>配套设备，乙方确保设备安全无损地运抵甲方指定现场,并承担设备的运费、保险费等费用，装卸费由</w:t>
      </w:r>
      <w:r>
        <w:rPr>
          <w:rFonts w:hint="eastAsia" w:ascii="宋体" w:hAnsi="宋体" w:eastAsia="宋体" w:cs="宋体"/>
          <w:color w:val="auto"/>
          <w:sz w:val="24"/>
          <w:szCs w:val="32"/>
          <w:highlight w:val="none"/>
          <w:u w:val="single"/>
          <w:lang w:val="en-US" w:eastAsia="zh-CN"/>
        </w:rPr>
        <w:t xml:space="preserve"> 乙方 </w:t>
      </w:r>
      <w:r>
        <w:rPr>
          <w:rFonts w:hint="eastAsia" w:ascii="宋体" w:hAnsi="宋体" w:eastAsia="宋体" w:cs="宋体"/>
          <w:color w:val="auto"/>
          <w:sz w:val="24"/>
          <w:szCs w:val="32"/>
          <w:highlight w:val="none"/>
          <w:lang w:val="en-US" w:eastAsia="zh-CN"/>
        </w:rPr>
        <w:t xml:space="preserve">承担，落地交货。 </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3.2甲乙双方对设备进行开箱清点检查验收，如果发现数量不足或有质量、技术等问题，乙方应在</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天内，按照甲方的要求，采取补足、更换或退货等处理措施，并承担由此发生的一切损失和费用及赔偿。</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3.3设备到货后，乙方应在接到甲方通知后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天内安装调试完成。</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3.4甲、乙双方在符合国家相关技术标准的基础上，根据合同的配置清单、技术标准进行验收，验收合格后，双方在甲方《验收合格单》上签字确认。</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 xml:space="preserve">4、付款方式    </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合同签订后甲方向乙方支付合同金额40%预付款，货到医院并验收合格30天内付合同金额60%。（开票时需完整填写开票信息）</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5、伴随服务</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5.1乙方应提供设备的技术文件，包括相应的图纸、操作手册、维护手册、质量保证文件、服务指南等，这些文件应随同设备一起发运至甲方。</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5.2乙方还应免费提供下列服务：</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（1）设备的现场安装和调试</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（2）提供设备安装和维修所需的专用工具和辅助材料</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（3）乙方应派专业技术人员在项目现场对甲方使用人员进行培训或指导，在使用一段时间后可根据甲方的要求另行安排培训计划。</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6、质量保证及售后服务</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6.1乙方应保证所供设备是在交付前1年内生产的全新的、未使用过的，并符合国家有关标准、制造厂标准及合同技术标准要求。乙方承诺提供的产品是准许在中国市场销售的合法产品。如果设备的质量或规格与合同不符，或证实设备是有缺陷的，包括潜在的缺陷或使用不符合要求的材料等，乙方应在接到甲方通知后7天内进行退货并按7.1.1条款执行，或根据7.1.2、7.1.3负责采用符合合同规定的规格、质量和性能要求的新零件、部件或设备来更换有缺陷的部分或修补缺陷部分，其费用由乙方负担并赔偿相应的损失。同时，乙方应按本合同规定，相应延长修补或更换件的质量保证期。</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6.2乙方应提供整机保修</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月，保修期的期限应从设备验收合格之日起计算，保修期内免人工费，免费更换零配件。乙方在保修期内应确保开机率为95%以上，年度定期预防性维护保养次数，不少于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次，在支付设备余款时公司需提交相应报告，如达不到此要求，即相应延长保修期。</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6.3报修响应时间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小时，到场时间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小时（不可抗力因素除外）。</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6.4保修期满后，乙方负责设备的终身维修，人工费为单次故障不高于</w:t>
      </w:r>
    </w:p>
    <w:p>
      <w:pPr>
        <w:shd w:val="clea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元，并以投标文件或承诺书</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折的优惠价供应维修零配件。</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6.5 保修期满后，如甲方购买保修服务合同，则年度整机保修合同价最高为</w:t>
      </w:r>
    </w:p>
    <w:p>
      <w:pPr>
        <w:shd w:val="clea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元或不高于设备总价的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6.6 消耗品的供应价格可作为合同附件或由双方另设协议约定。</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7、索赔条款</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 如经医疗器械监督管理部门检验确认货物不符合本合同约定，甲方有权选择下列方式之一要求乙方进行补救：</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7.1.1同意甲方退货，将全额货款偿还甲方，并负担因退货而发生的一切直接损失和费用，同时按合同货款总价的10%向甲方赔偿。</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7.1.2按照货物的疵劣程度、损坏的范围和甲方所遭受的损失，将货物贬值处理。</w:t>
      </w:r>
    </w:p>
    <w:p>
      <w:pPr>
        <w:shd w:val="clea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7.1.3调换有瑕疵的货物，更换为全新并符合本合同规定的规格，质量和性能，乙方负责因此产生的一切费用和甲方的一切直接损失。</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7.2如果乙方没有按照合同规定的时间交货和提供服务，甲方应从货款中扣除误期赔偿费，但不影响合同项下的其他补救办法。延期交货和延期服务的赔偿费均按每周迟交仪器的合同价的百分之零点五（0.5%）计收，直至交货或提供服务为止。但误期赔偿费的最高限额不超过合同价的百分之十（10%）。一周按7天计算，不足7天按一周计算。一旦达到误期赔偿的最高限额，甲方有权终止合同。</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7.3乙方应保证甲方和使用单位在使用该设备或其任何一部分时免受第三方提出侵犯其专利权、商标权或工业产权的起诉。</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8、争端的解决</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双方如在履行合同中发生纠纷，首先应友好协商，协商不成，双方均应向合同签订地法院起诉。</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9、合同生效</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9.1本合同在甲、乙双方签字盖章后生效。</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9.2本合同一式四份，以中文书就，甲方执叁份、乙方执壹份，具有相同的法律效应。招、投文件及招标谈判现场承诺书作为合同的有效组成部分，与合同具有同样的法律效力，如有冲突，以本合同为准。</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10、合同附件 合同附件是合同的不可分割的组成部分，与合同具有同等法律效力，附件包含但不限于以下内容：</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 xml:space="preserve">10.1 配置清单     □ 设备的配置清单       </w:t>
      </w:r>
    </w:p>
    <w:p>
      <w:pPr>
        <w:shd w:val="clear"/>
        <w:bidi w:val="0"/>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10.2 耗材清单     □ 耗材采购清单           □ 维修配件价格清单</w:t>
      </w:r>
    </w:p>
    <w:p>
      <w:pPr>
        <w:shd w:val="clea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10.3 技术标准     □ 投标文件的技术响应     □ 设备技术说明</w:t>
      </w:r>
    </w:p>
    <w:p>
      <w:pPr>
        <w:shd w:val="clea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11、特别约定</w:t>
      </w:r>
    </w:p>
    <w:p>
      <w:pPr>
        <w:shd w:val="clea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p>
      <w:pPr>
        <w:shd w:val="clea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tbl>
      <w:tblPr>
        <w:tblStyle w:val="28"/>
        <w:tblW w:w="9028" w:type="dxa"/>
        <w:jc w:val="center"/>
        <w:tblLayout w:type="fixed"/>
        <w:tblCellMar>
          <w:top w:w="0" w:type="dxa"/>
          <w:left w:w="108" w:type="dxa"/>
          <w:bottom w:w="0" w:type="dxa"/>
          <w:right w:w="108" w:type="dxa"/>
        </w:tblCellMar>
      </w:tblPr>
      <w:tblGrid>
        <w:gridCol w:w="4514"/>
        <w:gridCol w:w="4514"/>
      </w:tblGrid>
      <w:tr>
        <w:tblPrEx>
          <w:tblCellMar>
            <w:top w:w="0" w:type="dxa"/>
            <w:left w:w="108" w:type="dxa"/>
            <w:bottom w:w="0" w:type="dxa"/>
            <w:right w:w="108" w:type="dxa"/>
          </w:tblCellMar>
        </w:tblPrEx>
        <w:trPr>
          <w:cantSplit/>
          <w:trHeight w:val="0" w:hRule="atLeast"/>
          <w:jc w:val="center"/>
        </w:trPr>
        <w:tc>
          <w:tcPr>
            <w:tcW w:w="4514" w:type="dxa"/>
            <w:tcBorders>
              <w:top w:val="single" w:color="auto" w:sz="4" w:space="0"/>
              <w:left w:val="single" w:color="auto" w:sz="4" w:space="0"/>
              <w:bottom w:val="single" w:color="auto" w:sz="4" w:space="0"/>
              <w:right w:val="single" w:color="auto" w:sz="4" w:space="0"/>
            </w:tcBorders>
          </w:tcPr>
          <w:p>
            <w:pPr>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甲方：台州市立医院</w:t>
            </w:r>
          </w:p>
          <w:p>
            <w:pPr>
              <w:shd w:val="clea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r>
              <w:rPr>
                <w:rFonts w:hint="eastAsia" w:ascii="宋体" w:hAnsi="宋体" w:eastAsia="宋体" w:cs="宋体"/>
                <w:b/>
                <w:color w:val="auto"/>
                <w:sz w:val="24"/>
                <w:szCs w:val="24"/>
                <w:highlight w:val="none"/>
                <w:lang w:val="en-US" w:eastAsia="zh-CN"/>
              </w:rPr>
              <w:t>12331002472630676D</w:t>
            </w:r>
          </w:p>
          <w:p>
            <w:pPr>
              <w:shd w:val="clea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开户行：工商银行椒江支行</w:t>
            </w:r>
          </w:p>
          <w:p>
            <w:pPr>
              <w:shd w:val="clea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账号：1207011109049121110</w:t>
            </w:r>
          </w:p>
          <w:p>
            <w:pPr>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联系电话：0576</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88598031</w:t>
            </w:r>
          </w:p>
          <w:p>
            <w:pPr>
              <w:shd w:val="clea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地址：台州市椒江区中山东路381</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号</w:t>
            </w:r>
          </w:p>
          <w:p>
            <w:pPr>
              <w:shd w:val="clear"/>
              <w:spacing w:line="36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甲方法定代表人或授权委托人</w:t>
            </w:r>
          </w:p>
          <w:p>
            <w:pPr>
              <w:shd w:val="clea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hd w:val="clear"/>
              <w:spacing w:line="48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c>
          <w:tcPr>
            <w:tcW w:w="4514" w:type="dxa"/>
            <w:tcBorders>
              <w:top w:val="single" w:color="auto" w:sz="4" w:space="0"/>
              <w:left w:val="single" w:color="auto" w:sz="4" w:space="0"/>
              <w:bottom w:val="single" w:color="auto" w:sz="4" w:space="0"/>
              <w:right w:val="single" w:color="auto" w:sz="4" w:space="0"/>
            </w:tcBorders>
          </w:tcPr>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w:t>
            </w:r>
          </w:p>
          <w:p>
            <w:pPr>
              <w:shd w:val="clear"/>
              <w:spacing w:line="360" w:lineRule="auto"/>
              <w:ind w:left="1" w:firstLine="36" w:firstLineChars="15"/>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地址：</w:t>
            </w:r>
          </w:p>
          <w:p>
            <w:pPr>
              <w:shd w:val="clea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乙方法定代表人或授权委托人</w:t>
            </w:r>
          </w:p>
          <w:p>
            <w:pPr>
              <w:shd w:val="clea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hd w:val="clear"/>
              <w:spacing w:line="480" w:lineRule="auto"/>
              <w:ind w:left="0" w:firstLine="0" w:firstLineChars="0"/>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r>
    </w:tbl>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rPr>
          <w:rFonts w:hint="eastAsia" w:ascii="宋体" w:hAnsi="宋体" w:eastAsia="宋体" w:cs="宋体"/>
          <w:color w:val="auto"/>
          <w:sz w:val="24"/>
          <w:szCs w:val="32"/>
          <w:highlight w:val="none"/>
          <w:u w:val="none"/>
          <w:lang w:val="en-US" w:eastAsia="zh-CN"/>
        </w:rPr>
      </w:pPr>
    </w:p>
    <w:p>
      <w:pPr>
        <w:shd w:val="clear"/>
        <w:bidi w:val="0"/>
        <w:spacing w:line="360" w:lineRule="auto"/>
        <w:jc w:val="center"/>
        <w:rPr>
          <w:rFonts w:hint="eastAsia" w:ascii="宋体" w:hAnsi="宋体" w:eastAsia="宋体" w:cs="宋体"/>
          <w:b/>
          <w:bCs/>
          <w:color w:val="auto"/>
          <w:sz w:val="36"/>
          <w:szCs w:val="44"/>
          <w:highlight w:val="none"/>
          <w:lang w:eastAsia="zh-CN"/>
        </w:rPr>
      </w:pPr>
      <w:r>
        <w:rPr>
          <w:rFonts w:hint="eastAsia" w:ascii="宋体" w:hAnsi="宋体" w:eastAsia="宋体" w:cs="宋体"/>
          <w:b/>
          <w:bCs/>
          <w:color w:val="auto"/>
          <w:sz w:val="36"/>
          <w:szCs w:val="44"/>
          <w:highlight w:val="none"/>
          <w:lang w:eastAsia="zh-CN"/>
        </w:rPr>
        <w:t>第六章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lang w:eastAsia="zh-CN"/>
        </w:rPr>
        <w:t>投标文件格式附件</w:t>
      </w:r>
    </w:p>
    <w:p>
      <w:pPr>
        <w:shd w:val="clea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numPr>
          <w:ilvl w:val="0"/>
          <w:numId w:val="0"/>
        </w:numPr>
        <w:shd w:val="clear"/>
        <w:spacing w:line="360" w:lineRule="auto"/>
        <w:jc w:val="both"/>
        <w:rPr>
          <w:rFonts w:hint="eastAsia" w:ascii="宋体" w:hAnsi="宋体" w:eastAsia="宋体" w:cs="宋体"/>
          <w:b/>
          <w:color w:val="auto"/>
          <w:sz w:val="30"/>
          <w:szCs w:val="30"/>
          <w:highlight w:val="none"/>
        </w:rPr>
      </w:pPr>
    </w:p>
    <w:p>
      <w:pPr>
        <w:shd w:val="clear"/>
        <w:bidi w:val="0"/>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hd w:val="clear"/>
        <w:bidi w:val="0"/>
        <w:spacing w:line="360" w:lineRule="auto"/>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shd w:val="clear"/>
        <w:autoSpaceDE w:val="0"/>
        <w:autoSpaceDN w:val="0"/>
        <w:adjustRightInd w:val="0"/>
        <w:spacing w:line="360" w:lineRule="auto"/>
        <w:jc w:val="center"/>
        <w:rPr>
          <w:rFonts w:ascii="宋体" w:hAnsi="宋体" w:cs="宋体"/>
          <w:color w:val="auto"/>
          <w:sz w:val="84"/>
          <w:szCs w:val="84"/>
          <w:highlight w:val="none"/>
          <w:lang w:val="zh-CN"/>
        </w:rPr>
      </w:pP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shd w:val="clea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hd w:val="clear"/>
        <w:autoSpaceDE w:val="0"/>
        <w:autoSpaceDN w:val="0"/>
        <w:adjustRightInd w:val="0"/>
        <w:spacing w:line="360" w:lineRule="auto"/>
        <w:jc w:val="center"/>
        <w:rPr>
          <w:rFonts w:hint="eastAsia" w:ascii="宋体" w:hAnsi="宋体" w:eastAsia="宋体"/>
          <w:b/>
          <w:color w:val="auto"/>
          <w:spacing w:val="40"/>
          <w:sz w:val="28"/>
          <w:szCs w:val="28"/>
          <w:highlight w:val="none"/>
          <w:lang w:eastAsia="zh-CN"/>
        </w:rPr>
      </w:pPr>
      <w:r>
        <w:rPr>
          <w:rFonts w:hint="eastAsia" w:ascii="宋体" w:hAnsi="宋体" w:cs="宋体"/>
          <w:color w:val="auto"/>
          <w:sz w:val="28"/>
          <w:szCs w:val="28"/>
          <w:highlight w:val="none"/>
          <w:lang w:val="zh-CN"/>
        </w:rPr>
        <w:t>（</w:t>
      </w:r>
      <w:r>
        <w:rPr>
          <w:rFonts w:hint="eastAsia" w:ascii="宋体" w:hAnsi="宋体"/>
          <w:b/>
          <w:color w:val="auto"/>
          <w:spacing w:val="40"/>
          <w:sz w:val="28"/>
          <w:szCs w:val="28"/>
          <w:highlight w:val="none"/>
        </w:rPr>
        <w:t>资格证明文件</w:t>
      </w:r>
      <w:r>
        <w:rPr>
          <w:rFonts w:hint="eastAsia" w:ascii="宋体" w:hAnsi="宋体"/>
          <w:b/>
          <w:color w:val="auto"/>
          <w:spacing w:val="40"/>
          <w:sz w:val="28"/>
          <w:szCs w:val="28"/>
          <w:highlight w:val="none"/>
          <w:lang w:eastAsia="zh-CN"/>
        </w:rPr>
        <w:t>）</w:t>
      </w:r>
    </w:p>
    <w:p>
      <w:pPr>
        <w:shd w:val="clear"/>
        <w:autoSpaceDE w:val="0"/>
        <w:autoSpaceDN w:val="0"/>
        <w:adjustRightInd w:val="0"/>
        <w:spacing w:line="360" w:lineRule="auto"/>
        <w:jc w:val="both"/>
        <w:rPr>
          <w:rFonts w:hint="eastAsia" w:ascii="宋体" w:hAnsi="宋体"/>
          <w:color w:val="auto"/>
          <w:sz w:val="36"/>
          <w:szCs w:val="36"/>
          <w:highlight w:val="none"/>
        </w:rPr>
      </w:pPr>
    </w:p>
    <w:p>
      <w:pPr>
        <w:shd w:val="clea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shd w:val="clea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地址：</w:t>
      </w:r>
    </w:p>
    <w:p>
      <w:pPr>
        <w:shd w:val="clea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时间：</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center"/>
        <w:rPr>
          <w:b/>
          <w:bCs/>
          <w:color w:val="auto"/>
          <w:sz w:val="36"/>
          <w:szCs w:val="44"/>
          <w:highlight w:val="none"/>
        </w:rPr>
      </w:pPr>
      <w:r>
        <w:rPr>
          <w:rFonts w:hint="eastAsia"/>
          <w:b/>
          <w:bCs/>
          <w:color w:val="auto"/>
          <w:sz w:val="36"/>
          <w:szCs w:val="44"/>
          <w:highlight w:val="none"/>
        </w:rPr>
        <w:t>资格证明文件目录</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spacing w:line="360" w:lineRule="auto"/>
        <w:ind w:firstLine="560" w:firstLineChars="200"/>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1</w:t>
      </w:r>
      <w:r>
        <w:rPr>
          <w:rFonts w:hint="eastAsia" w:ascii="宋体" w:hAnsi="宋体" w:eastAsia="宋体" w:cs="宋体"/>
          <w:color w:val="auto"/>
          <w:sz w:val="28"/>
          <w:szCs w:val="36"/>
          <w:highlight w:val="none"/>
          <w:lang w:eastAsia="zh-CN"/>
        </w:rPr>
        <w:t>、</w:t>
      </w:r>
      <w:r>
        <w:rPr>
          <w:rFonts w:hint="eastAsia" w:ascii="宋体" w:hAnsi="宋体" w:cs="宋体"/>
          <w:color w:val="auto"/>
          <w:sz w:val="28"/>
          <w:szCs w:val="36"/>
          <w:highlight w:val="none"/>
          <w:lang w:eastAsia="zh-CN"/>
        </w:rPr>
        <w:t>联合体协议</w:t>
      </w:r>
      <w:r>
        <w:rPr>
          <w:rFonts w:hint="eastAsia" w:ascii="宋体" w:hAnsi="宋体" w:eastAsia="宋体" w:cs="宋体"/>
          <w:color w:val="auto"/>
          <w:sz w:val="28"/>
          <w:szCs w:val="36"/>
          <w:highlight w:val="none"/>
        </w:rPr>
        <w:t>（以联合体形式投标的，提供</w:t>
      </w:r>
      <w:r>
        <w:rPr>
          <w:rFonts w:hint="eastAsia" w:ascii="宋体" w:hAnsi="宋体" w:cs="宋体"/>
          <w:color w:val="auto"/>
          <w:sz w:val="28"/>
          <w:szCs w:val="36"/>
          <w:highlight w:val="none"/>
          <w:lang w:eastAsia="zh-CN"/>
        </w:rPr>
        <w:t>联合体协议</w:t>
      </w:r>
      <w:r>
        <w:rPr>
          <w:rFonts w:hint="eastAsia" w:ascii="宋体" w:hAnsi="宋体" w:eastAsia="宋体" w:cs="宋体"/>
          <w:color w:val="auto"/>
          <w:sz w:val="28"/>
          <w:szCs w:val="36"/>
          <w:highlight w:val="none"/>
        </w:rPr>
        <w:t>；投标人不以联合体形式投标的，则无需提交）；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rPr>
        <w:t>投标声明书；</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rPr>
        <w:t>授权委托书（法定代表人亲自办理投标事宜的，则无需提交）；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rPr>
        <w:t>法人或者其他组织的营业执照等证明文件，自然人的身份证明；</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rPr>
        <w:t>具有良好的商业信誉和健全的财务会计制度的承诺；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rPr>
        <w:t>依法缴纳税收和社会保障资金的承诺；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rPr>
        <w:t>参加政府采购活动前三年内，在经营活动中没有重大违法记录；</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lang w:eastAsia="zh-CN"/>
        </w:rPr>
        <w:t>）</w:t>
      </w:r>
    </w:p>
    <w:p>
      <w:pPr>
        <w:shd w:val="clea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rPr>
        <w:t>需要说明的其他资料。</w:t>
      </w: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color w:val="auto"/>
          <w:sz w:val="24"/>
          <w:szCs w:val="32"/>
          <w:highlight w:val="none"/>
        </w:rPr>
      </w:pPr>
    </w:p>
    <w:p>
      <w:pPr>
        <w:shd w:val="clear"/>
        <w:spacing w:line="360" w:lineRule="auto"/>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rPr>
        <w:t>附件2</w:t>
      </w:r>
      <w:r>
        <w:rPr>
          <w:rFonts w:hint="eastAsia" w:ascii="宋体" w:hAnsi="宋体" w:eastAsia="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zh-CN"/>
        </w:rPr>
        <w:t>联合体协议</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eastAsia="zh-CN"/>
        </w:rPr>
        <w:t>台州市立医院呼吸机采购项目</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sz w:val="24"/>
          <w:highlight w:val="none"/>
        </w:rPr>
        <w:t>（项目名称）【招标编号：</w:t>
      </w:r>
      <w:r>
        <w:rPr>
          <w:rFonts w:hint="eastAsia" w:ascii="宋体" w:hAnsi="宋体" w:cs="宋体"/>
          <w:color w:val="auto"/>
          <w:sz w:val="24"/>
          <w:highlight w:val="none"/>
          <w:u w:val="single"/>
          <w:lang w:eastAsia="zh-CN"/>
        </w:rPr>
        <w:t>ZJWS2023-JJ109</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%，小微企业合同金额达到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hd w:val="clea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hd w:val="clear"/>
        <w:snapToGrid w:val="0"/>
        <w:spacing w:line="360" w:lineRule="auto"/>
        <w:rPr>
          <w:color w:val="auto"/>
          <w:highlight w:val="none"/>
        </w:rPr>
      </w:pPr>
      <w:r>
        <w:rPr>
          <w:rFonts w:hint="eastAsia" w:ascii="宋体" w:hAnsi="宋体" w:eastAsia="宋体" w:cs="宋体"/>
          <w:color w:val="auto"/>
          <w:kern w:val="0"/>
          <w:sz w:val="24"/>
          <w:highlight w:val="none"/>
          <w:lang w:val="zh-CN"/>
        </w:rPr>
        <w:t xml:space="preserve">                                               日期：  年  月   日</w:t>
      </w:r>
    </w:p>
    <w:p>
      <w:pPr>
        <w:keepNext w:val="0"/>
        <w:keepLines w:val="0"/>
        <w:pageBreakBefore w:val="0"/>
        <w:widowControl w:val="0"/>
        <w:shd w:val="clear"/>
        <w:kinsoku/>
        <w:wordWrap/>
        <w:overflowPunct/>
        <w:topLinePunct w:val="0"/>
        <w:autoSpaceDE/>
        <w:autoSpaceDN/>
        <w:bidi w:val="0"/>
        <w:adjustRightInd/>
        <w:snapToGrid/>
        <w:spacing w:line="380" w:lineRule="exact"/>
        <w:ind w:firstLine="3120" w:firstLineChars="1300"/>
        <w:textAlignment w:val="auto"/>
        <w:rPr>
          <w:rFonts w:hint="eastAsia" w:ascii="宋体" w:hAnsi="宋体" w:eastAsia="宋体" w:cs="宋体"/>
          <w:color w:val="auto"/>
          <w:sz w:val="24"/>
          <w:szCs w:val="32"/>
          <w:highlight w:val="none"/>
        </w:rPr>
      </w:pPr>
    </w:p>
    <w:p>
      <w:pPr>
        <w:shd w:val="clear"/>
        <w:bidi w:val="0"/>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注：协议书中须明确联合体各方在项目招投标、项目合同签订、项目实施等所有阶段中涉及到的工作分工。</w:t>
      </w:r>
    </w:p>
    <w:p>
      <w:pPr>
        <w:shd w:val="clear"/>
        <w:spacing w:line="360" w:lineRule="auto"/>
        <w:rPr>
          <w:rFonts w:hint="eastAsia" w:ascii="宋体" w:hAnsi="宋体" w:eastAsia="宋体" w:cs="宋体"/>
          <w:b/>
          <w:bCs/>
          <w:color w:val="auto"/>
          <w:sz w:val="28"/>
          <w:szCs w:val="36"/>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3</w:t>
      </w:r>
    </w:p>
    <w:p>
      <w:pPr>
        <w:shd w:val="clear"/>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投标声明书</w:t>
      </w:r>
    </w:p>
    <w:p>
      <w:pPr>
        <w:keepNext w:val="0"/>
        <w:keepLines w:val="0"/>
        <w:pageBreakBefore w:val="0"/>
        <w:widowControl w:val="0"/>
        <w:shd w:val="clear"/>
        <w:kinsoku/>
        <w:wordWrap/>
        <w:overflowPunct/>
        <w:topLinePunct w:val="0"/>
        <w:autoSpaceDE/>
        <w:autoSpaceDN/>
        <w:bidi w:val="0"/>
        <w:adjustRightInd/>
        <w:snapToGrid/>
        <w:spacing w:line="460" w:lineRule="exact"/>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（采购代理机构名称）：</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lang w:eastAsia="zh-CN"/>
        </w:rPr>
        <w:t>台州市立医院呼吸机采购项目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ZJWS2023-JJ109</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eastAsia="zh-CN"/>
        </w:rPr>
        <w:t>公开招标</w:t>
      </w:r>
      <w:r>
        <w:rPr>
          <w:rFonts w:hint="eastAsia" w:ascii="宋体" w:hAnsi="宋体" w:cs="宋体"/>
          <w:color w:val="auto"/>
          <w:sz w:val="24"/>
          <w:szCs w:val="32"/>
          <w:highlight w:val="none"/>
        </w:rPr>
        <w:t>，为此，我公司就本次</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有关事项郑重声明如下：</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1、我公司声明截止</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时间近三年以来：在参加政府采购活动过程中无任何不良行为记录；无重大违法记录（重大违法记录是指供应商因违法经营受到刑事处罚或者责令停产停业、吊销许可证或者执照、较大数额罚款等行政处罚）。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2、我公司在参与</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前已详细审查了</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和所有相关资料，我方完全明白并认为此</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没有倾向性，也没有存在排斥潜在供应商的内容，我方同意</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文件的相关条款，放弃对</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文件提出误解和质疑的一切权利。</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eastAsia="zh-CN"/>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keepNext w:val="0"/>
        <w:keepLines w:val="0"/>
        <w:pageBreakBefore w:val="0"/>
        <w:widowControl w:val="0"/>
        <w:shd w:val="clear"/>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p>
    <w:p>
      <w:pPr>
        <w:keepNext w:val="0"/>
        <w:keepLines w:val="0"/>
        <w:pageBreakBefore w:val="0"/>
        <w:widowControl w:val="0"/>
        <w:shd w:val="clear"/>
        <w:kinsoku/>
        <w:wordWrap/>
        <w:overflowPunct/>
        <w:topLinePunct w:val="0"/>
        <w:autoSpaceDE/>
        <w:autoSpaceDN/>
        <w:bidi w:val="0"/>
        <w:adjustRightInd/>
        <w:snapToGrid/>
        <w:spacing w:line="460" w:lineRule="exact"/>
        <w:ind w:firstLine="2640" w:firstLineChars="1100"/>
        <w:jc w:val="both"/>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投标人名称（公章）：</w:t>
      </w:r>
      <w:r>
        <w:rPr>
          <w:rFonts w:hint="eastAsia" w:ascii="宋体" w:hAnsi="宋体" w:eastAsia="宋体" w:cs="宋体"/>
          <w:color w:val="auto"/>
          <w:sz w:val="24"/>
          <w:szCs w:val="32"/>
          <w:highlight w:val="none"/>
          <w:u w:val="single"/>
          <w:lang w:val="zh-CN"/>
        </w:rPr>
        <w:t xml:space="preserve">       </w:t>
      </w:r>
      <w:r>
        <w:rPr>
          <w:rFonts w:hint="eastAsia" w:ascii="宋体" w:hAnsi="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shd w:val="clear"/>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w:t>
      </w:r>
      <w:r>
        <w:rPr>
          <w:rFonts w:hint="eastAsia" w:ascii="宋体" w:hAnsi="宋体" w:eastAsia="宋体" w:cs="宋体"/>
          <w:color w:val="auto"/>
          <w:sz w:val="24"/>
          <w:szCs w:val="32"/>
          <w:highlight w:val="none"/>
        </w:rPr>
        <w:t>签字或盖章</w:t>
      </w:r>
      <w:r>
        <w:rPr>
          <w:rFonts w:hint="eastAsia" w:ascii="宋体" w:hAnsi="宋体" w:eastAsia="宋体" w:cs="宋体"/>
          <w:color w:val="auto"/>
          <w:sz w:val="24"/>
          <w:szCs w:val="32"/>
          <w:highlight w:val="none"/>
          <w:lang w:val="zh-CN"/>
        </w:rPr>
        <w:t>）或授权委托代理人（签字）：</w:t>
      </w:r>
      <w:r>
        <w:rPr>
          <w:rFonts w:hint="eastAsia" w:ascii="宋体" w:hAnsi="宋体" w:eastAsia="宋体" w:cs="宋体"/>
          <w:color w:val="auto"/>
          <w:sz w:val="24"/>
          <w:szCs w:val="32"/>
          <w:highlight w:val="none"/>
          <w:u w:val="single"/>
          <w:lang w:val="zh-CN"/>
        </w:rPr>
        <w:t xml:space="preserve"> </w:t>
      </w:r>
      <w:r>
        <w:rPr>
          <w:rFonts w:hint="eastAsia" w:ascii="宋体" w:hAnsi="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shd w:val="clear"/>
        <w:kinsoku/>
        <w:wordWrap/>
        <w:overflowPunct/>
        <w:topLinePunct w:val="0"/>
        <w:autoSpaceDE/>
        <w:autoSpaceDN/>
        <w:bidi w:val="0"/>
        <w:adjustRightInd/>
        <w:snapToGrid/>
        <w:spacing w:line="460" w:lineRule="exact"/>
        <w:jc w:val="righ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日</w:t>
      </w: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4</w:t>
      </w:r>
    </w:p>
    <w:p>
      <w:pPr>
        <w:shd w:val="clear"/>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授权委托书</w:t>
      </w:r>
    </w:p>
    <w:p>
      <w:pPr>
        <w:shd w:val="clea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浙江五石中正工程咨询有限公司</w:t>
      </w:r>
      <w:r>
        <w:rPr>
          <w:rFonts w:hint="eastAsia" w:ascii="宋体" w:hAnsi="宋体" w:eastAsia="宋体" w:cs="宋体"/>
          <w:color w:val="auto"/>
          <w:sz w:val="24"/>
          <w:szCs w:val="24"/>
          <w:highlight w:val="none"/>
        </w:rPr>
        <w:t>（采购代理机构名称）：</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（投标人全称）</w:t>
      </w:r>
      <w:r>
        <w:rPr>
          <w:rFonts w:hint="eastAsia" w:ascii="宋体" w:hAnsi="宋体" w:eastAsia="宋体" w:cs="宋体"/>
          <w:color w:val="auto"/>
          <w:sz w:val="24"/>
          <w:szCs w:val="24"/>
          <w:highlight w:val="none"/>
        </w:rPr>
        <w:t>法定代表人（或营业执照中单位负责人）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（法定代表人或营业执照中单位负责人姓名）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（授权委托代理人姓名） </w:t>
      </w:r>
      <w:r>
        <w:rPr>
          <w:rFonts w:hint="eastAsia" w:ascii="宋体" w:hAnsi="宋体" w:eastAsia="宋体" w:cs="宋体"/>
          <w:color w:val="auto"/>
          <w:sz w:val="24"/>
          <w:szCs w:val="24"/>
          <w:highlight w:val="none"/>
        </w:rPr>
        <w:t>为授权委托代理人，参加贵单位组织的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台州市立医院呼吸机采购项目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在撤销授权的书面通知以前，本授权书一直有效。授权委托代理人在授权委托书有效期内签署的所有文件不因授权的撤销而失效。</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授权委托代理人无转委托权，特此委托。</w:t>
      </w:r>
    </w:p>
    <w:p>
      <w:pPr>
        <w:shd w:val="clear"/>
        <w:spacing w:line="360" w:lineRule="auto"/>
        <w:ind w:firstLine="480" w:firstLineChars="200"/>
        <w:rPr>
          <w:rFonts w:hint="eastAsia" w:ascii="宋体" w:hAnsi="宋体" w:eastAsia="宋体" w:cs="宋体"/>
          <w:color w:val="auto"/>
          <w:sz w:val="24"/>
          <w:szCs w:val="24"/>
          <w:highlight w:val="none"/>
        </w:rPr>
      </w:pP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hd w:val="clear"/>
        <w:spacing w:line="360" w:lineRule="auto"/>
        <w:ind w:firstLine="480" w:firstLineChars="200"/>
        <w:rPr>
          <w:rFonts w:hint="eastAsia" w:ascii="宋体" w:hAnsi="宋体" w:eastAsia="宋体" w:cs="宋体"/>
          <w:color w:val="auto"/>
          <w:sz w:val="24"/>
          <w:szCs w:val="24"/>
          <w:highlight w:val="none"/>
        </w:rPr>
      </w:pP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投标人全称（公章）：                      </w:t>
      </w: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日</w:t>
      </w:r>
    </w:p>
    <w:p>
      <w:pPr>
        <w:shd w:val="clear"/>
        <w:spacing w:line="360" w:lineRule="auto"/>
        <w:ind w:firstLine="480" w:firstLineChars="200"/>
        <w:rPr>
          <w:rFonts w:hint="eastAsia" w:ascii="宋体" w:hAnsi="宋体" w:eastAsia="宋体" w:cs="宋体"/>
          <w:color w:val="auto"/>
          <w:sz w:val="24"/>
          <w:szCs w:val="24"/>
          <w:highlight w:val="none"/>
        </w:rPr>
      </w:pPr>
    </w:p>
    <w:p>
      <w:pPr>
        <w:shd w:val="clea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法定代表身份证复印件粘帖处</w:t>
            </w:r>
          </w:p>
        </w:tc>
      </w:tr>
    </w:tbl>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spacing w:line="360" w:lineRule="auto"/>
        <w:rPr>
          <w:rFonts w:hint="eastAsia" w:ascii="宋体" w:hAnsi="宋体" w:eastAsia="宋体" w:cs="宋体"/>
          <w:b/>
          <w:color w:val="auto"/>
          <w:sz w:val="24"/>
          <w:szCs w:val="24"/>
          <w:highlight w:val="none"/>
        </w:rPr>
      </w:pP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授权委托代理人身份证复印件粘帖处</w:t>
            </w:r>
          </w:p>
        </w:tc>
      </w:tr>
    </w:tbl>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hd w:val="clea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有效的法人或者其他组织的营业执照等证明文件（复印件），自然人的身份证明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6</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无税收缴纳、社会保障等方面的失信记录的承诺函</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我公司参加</w:t>
      </w:r>
      <w:r>
        <w:rPr>
          <w:rFonts w:hint="eastAsia" w:ascii="宋体" w:hAnsi="宋体" w:cs="宋体"/>
          <w:b w:val="0"/>
          <w:bCs w:val="0"/>
          <w:color w:val="auto"/>
          <w:sz w:val="24"/>
          <w:szCs w:val="32"/>
          <w:highlight w:val="none"/>
          <w:u w:val="single"/>
          <w:lang w:eastAsia="zh-CN"/>
        </w:rPr>
        <w:t>台州市立医院呼吸机采购项目</w:t>
      </w:r>
      <w:r>
        <w:rPr>
          <w:rFonts w:hint="eastAsia" w:ascii="宋体" w:hAnsi="宋体" w:eastAsia="宋体" w:cs="宋体"/>
          <w:b w:val="0"/>
          <w:bCs w:val="0"/>
          <w:color w:val="auto"/>
          <w:sz w:val="24"/>
          <w:szCs w:val="32"/>
          <w:highlight w:val="none"/>
        </w:rPr>
        <w:t>（编号为</w:t>
      </w:r>
      <w:r>
        <w:rPr>
          <w:rFonts w:hint="eastAsia" w:ascii="宋体" w:hAnsi="宋体" w:cs="宋体"/>
          <w:b w:val="0"/>
          <w:bCs w:val="0"/>
          <w:color w:val="auto"/>
          <w:sz w:val="24"/>
          <w:szCs w:val="32"/>
          <w:highlight w:val="none"/>
          <w:u w:val="single"/>
          <w:lang w:eastAsia="zh-CN"/>
        </w:rPr>
        <w:t>ZJWS2023-JJ109</w:t>
      </w:r>
      <w:r>
        <w:rPr>
          <w:rFonts w:hint="eastAsia" w:ascii="宋体" w:hAnsi="宋体" w:eastAsia="宋体" w:cs="宋体"/>
          <w:b w:val="0"/>
          <w:bCs w:val="0"/>
          <w:color w:val="auto"/>
          <w:sz w:val="24"/>
          <w:szCs w:val="32"/>
          <w:highlight w:val="none"/>
        </w:rPr>
        <w:t>）的投标活动，作如下承诺：</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如违反以上承诺，本公司愿承担一切法律责任。</w:t>
      </w: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具备健全的财务会计制度的承诺函</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我公司参加</w:t>
      </w:r>
      <w:r>
        <w:rPr>
          <w:rFonts w:hint="eastAsia" w:ascii="宋体" w:hAnsi="宋体" w:cs="宋体"/>
          <w:b w:val="0"/>
          <w:bCs w:val="0"/>
          <w:color w:val="auto"/>
          <w:sz w:val="24"/>
          <w:szCs w:val="32"/>
          <w:highlight w:val="none"/>
          <w:u w:val="single"/>
          <w:lang w:eastAsia="zh-CN"/>
        </w:rPr>
        <w:t>台州市立医院呼吸机采购项目</w:t>
      </w:r>
      <w:r>
        <w:rPr>
          <w:rFonts w:hint="eastAsia" w:ascii="宋体" w:hAnsi="宋体" w:eastAsia="宋体" w:cs="宋体"/>
          <w:b w:val="0"/>
          <w:bCs w:val="0"/>
          <w:color w:val="auto"/>
          <w:sz w:val="24"/>
          <w:szCs w:val="32"/>
          <w:highlight w:val="none"/>
          <w:u w:val="none"/>
        </w:rPr>
        <w:t>（编号为</w:t>
      </w:r>
      <w:r>
        <w:rPr>
          <w:rFonts w:hint="eastAsia" w:ascii="宋体" w:hAnsi="宋体" w:cs="宋体"/>
          <w:b w:val="0"/>
          <w:bCs w:val="0"/>
          <w:color w:val="auto"/>
          <w:sz w:val="24"/>
          <w:szCs w:val="32"/>
          <w:highlight w:val="none"/>
          <w:u w:val="none"/>
          <w:lang w:eastAsia="zh-CN"/>
        </w:rPr>
        <w:t>ZJWS2023-JJ109</w:t>
      </w:r>
      <w:r>
        <w:rPr>
          <w:rFonts w:hint="eastAsia" w:ascii="宋体" w:hAnsi="宋体" w:eastAsia="宋体" w:cs="宋体"/>
          <w:b w:val="0"/>
          <w:bCs w:val="0"/>
          <w:color w:val="auto"/>
          <w:sz w:val="24"/>
          <w:szCs w:val="32"/>
          <w:highlight w:val="none"/>
          <w:u w:val="none"/>
        </w:rPr>
        <w:t>）的投标活动，作如下承诺：</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我公司在参加本项目政府采购活动前，没有处于被责令停产、财产被接管、冻结或破产状态，具有足够的流动资金，有能力履行合同；我公司具有良好的商业信誉和健全的财务会计制度。</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如违反以上承诺，本公司愿承担一切法律责任。</w:t>
      </w:r>
    </w:p>
    <w:p>
      <w:pPr>
        <w:shd w:val="clear" w:color="auto"/>
        <w:spacing w:line="360" w:lineRule="auto"/>
        <w:jc w:val="both"/>
        <w:rPr>
          <w:rFonts w:hint="eastAsia" w:ascii="宋体" w:hAnsi="宋体" w:eastAsia="宋体" w:cs="宋体"/>
          <w:b w:val="0"/>
          <w:bCs w:val="0"/>
          <w:color w:val="auto"/>
          <w:sz w:val="24"/>
          <w:szCs w:val="32"/>
          <w:highlight w:val="none"/>
          <w:u w:val="singl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lang w:val="zh-CN"/>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8</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参加政府采购活动前3年内在经营活动中没有重大违法记录的</w:t>
      </w: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书面声明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声明函</w:t>
      </w: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我公司郑重承诺在参加本项目政府采购活动前三年内，在经营活动中</w:t>
      </w: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u w:val="single"/>
        </w:rPr>
        <w:t xml:space="preserve">     </w:t>
      </w:r>
      <w:r>
        <w:rPr>
          <w:rFonts w:hint="eastAsia" w:ascii="宋体" w:hAnsi="宋体" w:eastAsia="宋体" w:cs="宋体"/>
          <w:b w:val="0"/>
          <w:bCs w:val="0"/>
          <w:color w:val="auto"/>
          <w:sz w:val="24"/>
          <w:szCs w:val="32"/>
          <w:highlight w:val="none"/>
        </w:rPr>
        <w:t>（</w:t>
      </w:r>
      <w:r>
        <w:rPr>
          <w:rFonts w:hint="eastAsia" w:ascii="宋体" w:hAnsi="宋体" w:eastAsia="宋体" w:cs="宋体"/>
          <w:b/>
          <w:bCs/>
          <w:color w:val="auto"/>
          <w:sz w:val="24"/>
          <w:szCs w:val="32"/>
          <w:highlight w:val="none"/>
        </w:rPr>
        <w:t>填写“有”或“没有”，如实填写，如不填写视同未提供本声明函</w:t>
      </w:r>
      <w:r>
        <w:rPr>
          <w:rFonts w:hint="eastAsia" w:ascii="宋体" w:hAnsi="宋体" w:eastAsia="宋体" w:cs="宋体"/>
          <w:b w:val="0"/>
          <w:bCs w:val="0"/>
          <w:color w:val="auto"/>
          <w:sz w:val="24"/>
          <w:szCs w:val="32"/>
          <w:highlight w:val="none"/>
        </w:rPr>
        <w:t>）重大违法记录，重大违法记录是指供应商因违法经营受到刑事处罚或者责令停产停业、吊销许可证或者执照、较大数额罚款等行政处罚。</w:t>
      </w: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以上事项如有虚假或隐瞒，我方愿意承担一切后果和责任。</w:t>
      </w:r>
    </w:p>
    <w:p>
      <w:pPr>
        <w:shd w:val="clear" w:color="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特此声明。</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color="auto"/>
        <w:spacing w:line="360" w:lineRule="auto"/>
        <w:jc w:val="both"/>
        <w:rPr>
          <w:rFonts w:hint="eastAsia" w:ascii="宋体" w:hAnsi="宋体" w:eastAsia="宋体" w:cs="宋体"/>
          <w:b w:val="0"/>
          <w:bCs w:val="0"/>
          <w:color w:val="auto"/>
          <w:sz w:val="24"/>
          <w:szCs w:val="32"/>
          <w:highlight w:val="none"/>
        </w:rPr>
      </w:pPr>
    </w:p>
    <w:p>
      <w:pPr>
        <w:shd w:val="clea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9</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u w:val="single"/>
        </w:rPr>
        <w:t xml:space="preserve">    </w:t>
      </w:r>
      <w:r>
        <w:rPr>
          <w:rFonts w:hint="eastAsia" w:ascii="宋体" w:hAnsi="宋体" w:eastAsia="宋体" w:cs="宋体"/>
          <w:b/>
          <w:bCs/>
          <w:color w:val="auto"/>
          <w:sz w:val="28"/>
          <w:szCs w:val="36"/>
          <w:highlight w:val="none"/>
        </w:rPr>
        <w:t>本</w:t>
      </w:r>
    </w:p>
    <w:p>
      <w:pPr>
        <w:shd w:val="clear"/>
        <w:spacing w:line="360" w:lineRule="auto"/>
        <w:rPr>
          <w:rFonts w:hint="eastAsia" w:ascii="宋体" w:hAnsi="宋体" w:cs="宋体"/>
          <w:color w:val="auto"/>
          <w:sz w:val="24"/>
          <w:szCs w:val="32"/>
          <w:highlight w:val="none"/>
        </w:rPr>
      </w:pPr>
    </w:p>
    <w:p>
      <w:pPr>
        <w:shd w:val="clea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hd w:val="clea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shd w:val="clear"/>
        <w:autoSpaceDE w:val="0"/>
        <w:autoSpaceDN w:val="0"/>
        <w:adjustRightInd w:val="0"/>
        <w:spacing w:line="360" w:lineRule="auto"/>
        <w:jc w:val="center"/>
        <w:rPr>
          <w:rFonts w:ascii="宋体" w:hAnsi="宋体" w:cs="宋体"/>
          <w:color w:val="auto"/>
          <w:sz w:val="84"/>
          <w:szCs w:val="84"/>
          <w:highlight w:val="none"/>
          <w:lang w:val="zh-CN"/>
        </w:rPr>
      </w:pP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shd w:val="clea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hd w:val="clea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shd w:val="clear"/>
        <w:autoSpaceDE w:val="0"/>
        <w:autoSpaceDN w:val="0"/>
        <w:adjustRightInd w:val="0"/>
        <w:spacing w:line="360" w:lineRule="auto"/>
        <w:rPr>
          <w:rFonts w:hint="eastAsia" w:ascii="宋体" w:hAnsi="宋体"/>
          <w:color w:val="auto"/>
          <w:sz w:val="36"/>
          <w:szCs w:val="36"/>
          <w:highlight w:val="none"/>
        </w:rPr>
      </w:pPr>
    </w:p>
    <w:p>
      <w:pPr>
        <w:shd w:val="clea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shd w:val="clea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地址：</w:t>
      </w:r>
    </w:p>
    <w:p>
      <w:pPr>
        <w:shd w:val="clea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时间：</w:t>
      </w:r>
    </w:p>
    <w:p>
      <w:pPr>
        <w:shd w:val="clear"/>
        <w:spacing w:line="360" w:lineRule="auto"/>
        <w:rPr>
          <w:rFonts w:hint="eastAsia" w:ascii="宋体" w:hAnsi="宋体" w:cs="宋体"/>
          <w:color w:val="auto"/>
          <w:sz w:val="24"/>
          <w:szCs w:val="32"/>
          <w:highlight w:val="none"/>
        </w:rPr>
      </w:pPr>
    </w:p>
    <w:p>
      <w:pPr>
        <w:shd w:val="clear"/>
        <w:spacing w:line="360" w:lineRule="auto"/>
        <w:rPr>
          <w:rFonts w:hint="eastAsia" w:ascii="宋体" w:hAnsi="宋体" w:cs="宋体"/>
          <w:color w:val="auto"/>
          <w:sz w:val="24"/>
          <w:szCs w:val="32"/>
          <w:highlight w:val="none"/>
        </w:rPr>
      </w:pPr>
    </w:p>
    <w:p>
      <w:pPr>
        <w:shd w:val="clear"/>
        <w:spacing w:line="360" w:lineRule="auto"/>
        <w:rPr>
          <w:rFonts w:hint="eastAsia" w:ascii="宋体" w:hAnsi="宋体" w:cs="宋体"/>
          <w:color w:val="auto"/>
          <w:sz w:val="24"/>
          <w:szCs w:val="32"/>
          <w:highlight w:val="none"/>
        </w:rPr>
      </w:pPr>
    </w:p>
    <w:p>
      <w:pPr>
        <w:shd w:val="clear"/>
        <w:spacing w:line="360" w:lineRule="auto"/>
        <w:rPr>
          <w:rFonts w:hint="eastAsia" w:ascii="宋体" w:hAnsi="宋体" w:cs="宋体"/>
          <w:color w:val="auto"/>
          <w:sz w:val="24"/>
          <w:szCs w:val="32"/>
          <w:highlight w:val="none"/>
        </w:rPr>
      </w:pPr>
    </w:p>
    <w:p>
      <w:pPr>
        <w:shd w:val="clear" w:color="auto"/>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shd w:val="clear" w:color="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第一部分  技术方案描述部分</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1、投标人情况介绍（附件</w:t>
      </w:r>
      <w:r>
        <w:rPr>
          <w:rFonts w:hint="eastAsia" w:ascii="宋体" w:hAnsi="宋体" w:cs="宋体"/>
          <w:color w:val="auto"/>
          <w:sz w:val="24"/>
          <w:szCs w:val="32"/>
          <w:highlight w:val="none"/>
          <w:lang w:val="en-US" w:eastAsia="zh-CN"/>
        </w:rPr>
        <w:t>10</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2、项目需求的理解与分析；</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3、项目组织实施方案（附件</w:t>
      </w:r>
      <w:r>
        <w:rPr>
          <w:rFonts w:hint="eastAsia" w:ascii="宋体" w:hAnsi="宋体" w:cs="宋体"/>
          <w:color w:val="auto"/>
          <w:sz w:val="24"/>
          <w:szCs w:val="32"/>
          <w:highlight w:val="none"/>
          <w:lang w:val="en-US" w:eastAsia="zh-CN"/>
        </w:rPr>
        <w:t>11</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12</w:t>
      </w:r>
      <w:r>
        <w:rPr>
          <w:rFonts w:hint="eastAsia" w:ascii="宋体" w:hAnsi="宋体" w:eastAsia="宋体" w:cs="宋体"/>
          <w:color w:val="auto"/>
          <w:sz w:val="24"/>
          <w:szCs w:val="32"/>
          <w:highlight w:val="none"/>
          <w:lang w:val="en-US" w:eastAsia="zh-CN"/>
        </w:rPr>
        <w:t xml:space="preserve">）； </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4、安装、调试及验收方案；</w:t>
      </w:r>
    </w:p>
    <w:p>
      <w:pPr>
        <w:shd w:val="clear" w:color="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第二部分  投标产品描述部分</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1、投标产品描述及相关资料（附件</w:t>
      </w:r>
      <w:r>
        <w:rPr>
          <w:rFonts w:hint="eastAsia" w:ascii="宋体" w:hAnsi="宋体" w:cs="宋体"/>
          <w:color w:val="auto"/>
          <w:sz w:val="24"/>
          <w:szCs w:val="32"/>
          <w:highlight w:val="none"/>
          <w:lang w:val="en-US" w:eastAsia="zh-CN"/>
        </w:rPr>
        <w:t>13</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14</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2、投标人需要说明的其他内容；（包括可能影响投标人技术性能评分项的各类证明材料）</w:t>
      </w:r>
    </w:p>
    <w:p>
      <w:pPr>
        <w:shd w:val="clear" w:color="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第三部分  商务响应部分</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1、证书一览表（附件1</w:t>
      </w: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2、近三年来类似项目的成功案例（附件1</w:t>
      </w: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3、售后服务描述及承诺（附件1</w:t>
      </w:r>
      <w:r>
        <w:rPr>
          <w:rFonts w:hint="eastAsia" w:ascii="宋体" w:hAnsi="宋体" w:cs="宋体"/>
          <w:color w:val="auto"/>
          <w:sz w:val="24"/>
          <w:szCs w:val="32"/>
          <w:highlight w:val="none"/>
          <w:lang w:val="en-US" w:eastAsia="zh-CN"/>
        </w:rPr>
        <w:t>7</w:t>
      </w:r>
      <w:r>
        <w:rPr>
          <w:rFonts w:hint="eastAsia" w:ascii="宋体" w:hAnsi="宋体" w:eastAsia="宋体" w:cs="宋体"/>
          <w:color w:val="auto"/>
          <w:sz w:val="24"/>
          <w:szCs w:val="32"/>
          <w:highlight w:val="none"/>
          <w:lang w:val="en-US" w:eastAsia="zh-CN"/>
        </w:rPr>
        <w:t>，附件1</w:t>
      </w:r>
      <w:r>
        <w:rPr>
          <w:rFonts w:hint="eastAsia" w:ascii="宋体" w:hAnsi="宋体" w:cs="宋体"/>
          <w:color w:val="auto"/>
          <w:sz w:val="24"/>
          <w:szCs w:val="32"/>
          <w:highlight w:val="none"/>
          <w:lang w:val="en-US" w:eastAsia="zh-CN"/>
        </w:rPr>
        <w:t>8</w:t>
      </w:r>
      <w:r>
        <w:rPr>
          <w:rFonts w:hint="eastAsia" w:ascii="宋体" w:hAnsi="宋体" w:eastAsia="宋体" w:cs="宋体"/>
          <w:color w:val="auto"/>
          <w:sz w:val="24"/>
          <w:szCs w:val="32"/>
          <w:highlight w:val="none"/>
          <w:lang w:val="en-US" w:eastAsia="zh-CN"/>
        </w:rPr>
        <w:t>）；</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4、</w:t>
      </w:r>
      <w:r>
        <w:rPr>
          <w:rFonts w:hint="eastAsia" w:ascii="宋体" w:hAnsi="宋体" w:eastAsia="宋体" w:cs="宋体"/>
          <w:color w:val="auto"/>
          <w:sz w:val="24"/>
          <w:szCs w:val="32"/>
          <w:highlight w:val="none"/>
          <w:lang w:val="en-US" w:eastAsia="zh-CN"/>
        </w:rPr>
        <w:t>代理证明（或制造商出具的授权书）；</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供应商为医疗器械生产企业的：第二类、第三类医疗器械生产企业提供《医疗器械生产许可证》、第一类医疗器械生产企业提供第一类医疗器械生产备案凭证；</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供应商为医疗器械经营企业的：第三类医疗器械经营企业提供《医疗器械经营许可证》、第二类医疗器械经营企业提供第二类医疗器械经营备案凭证；（适用于按医疗器械管理的货物）；</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食品药品监督管理部门核发的完整有效的医疗器械注册或备案证明；（适用于按医疗器械管理的设备）；</w:t>
      </w:r>
    </w:p>
    <w:p>
      <w:pPr>
        <w:shd w:val="clear" w:color="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、投标人需要说明的其他内容。（包括可能影响投标人企业实力及信誉评分项以及售后服务评分项的各类证明材料）</w:t>
      </w:r>
    </w:p>
    <w:p>
      <w:pPr>
        <w:shd w:val="clear" w:color="auto"/>
        <w:bidi w:val="0"/>
        <w:spacing w:line="360" w:lineRule="auto"/>
        <w:jc w:val="both"/>
        <w:rPr>
          <w:rFonts w:hint="eastAsia" w:ascii="宋体" w:hAnsi="宋体" w:eastAsia="宋体" w:cs="宋体"/>
          <w:b w:val="0"/>
          <w:bCs w:val="0"/>
          <w:color w:val="auto"/>
          <w:sz w:val="24"/>
          <w:szCs w:val="32"/>
          <w:highlight w:val="none"/>
          <w:lang w:eastAsia="zh-CN"/>
        </w:rPr>
      </w:pPr>
    </w:p>
    <w:p>
      <w:pPr>
        <w:shd w:val="clear" w:color="auto"/>
        <w:bidi w:val="0"/>
        <w:spacing w:line="360" w:lineRule="auto"/>
        <w:jc w:val="both"/>
        <w:rPr>
          <w:rFonts w:hint="eastAsia" w:ascii="宋体" w:hAnsi="宋体" w:eastAsia="宋体" w:cs="宋体"/>
          <w:b w:val="0"/>
          <w:bCs w:val="0"/>
          <w:color w:val="auto"/>
          <w:sz w:val="24"/>
          <w:szCs w:val="32"/>
          <w:highlight w:val="none"/>
          <w:lang w:eastAsia="zh-CN"/>
        </w:rPr>
      </w:pPr>
    </w:p>
    <w:p>
      <w:pPr>
        <w:shd w:val="clear"/>
        <w:rPr>
          <w:rFonts w:hint="eastAsia"/>
          <w:color w:val="auto"/>
          <w:highlight w:val="none"/>
          <w:lang w:eastAsia="zh-CN"/>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10</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8"/>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880"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80" w:type="dxa"/>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6"/>
                <w:sz w:val="24"/>
                <w:szCs w:val="24"/>
                <w:highlight w:val="none"/>
              </w:rPr>
              <w:t>股权结构（%</w:t>
            </w:r>
            <w:r>
              <w:rPr>
                <w:rFonts w:hint="eastAsia" w:cs="宋体"/>
                <w:bCs/>
                <w:color w:val="auto"/>
                <w:spacing w:val="16"/>
                <w:sz w:val="24"/>
                <w:szCs w:val="24"/>
                <w:highlight w:val="none"/>
                <w:lang w:eastAsia="zh-CN"/>
              </w:rPr>
              <w:t>）</w:t>
            </w:r>
          </w:p>
        </w:tc>
        <w:tc>
          <w:tcPr>
            <w:tcW w:w="2115" w:type="dxa"/>
            <w:gridSpan w:val="3"/>
            <w:tcBorders>
              <w:bottom w:val="single" w:color="auto" w:sz="4" w:space="0"/>
            </w:tcBorders>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5"/>
              <w:shd w:val="clear" w:color="auto"/>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5"/>
              <w:shd w:val="clear" w:color="auto"/>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5"/>
              <w:shd w:val="clear" w:color="auto"/>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5"/>
              <w:shd w:val="clear" w:color="auto"/>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hd w:val="clear"/>
              <w:spacing w:line="360" w:lineRule="auto"/>
              <w:jc w:val="both"/>
              <w:rPr>
                <w:rFonts w:hint="eastAsia" w:ascii="宋体" w:hAnsi="宋体" w:eastAsia="宋体" w:cs="宋体"/>
                <w:bCs/>
                <w:color w:val="auto"/>
                <w:spacing w:val="16"/>
                <w:kern w:val="0"/>
                <w:sz w:val="24"/>
                <w:szCs w:val="24"/>
                <w:highlight w:val="none"/>
              </w:rPr>
            </w:pPr>
          </w:p>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5"/>
              <w:shd w:val="clear" w:color="auto"/>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cs="宋体"/>
                <w:bCs/>
                <w:color w:val="auto"/>
                <w:spacing w:val="16"/>
                <w:sz w:val="24"/>
                <w:szCs w:val="24"/>
                <w:highlight w:val="none"/>
                <w:lang w:eastAsia="zh-CN"/>
              </w:rPr>
              <w:t>赁</w:t>
            </w:r>
          </w:p>
        </w:tc>
        <w:tc>
          <w:tcPr>
            <w:tcW w:w="1560" w:type="dxa"/>
            <w:shd w:val="clear" w:color="auto" w:fill="auto"/>
            <w:vAlign w:val="center"/>
          </w:tcPr>
          <w:p>
            <w:pPr>
              <w:pStyle w:val="55"/>
              <w:shd w:val="clear" w:color="auto"/>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5"/>
              <w:shd w:val="clear" w:color="auto"/>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hd w:val="clear"/>
              <w:spacing w:line="360" w:lineRule="auto"/>
              <w:jc w:val="both"/>
              <w:rPr>
                <w:rFonts w:hint="eastAsia" w:ascii="宋体" w:hAnsi="宋体" w:eastAsia="宋体" w:cs="宋体"/>
                <w:bCs/>
                <w:color w:val="auto"/>
                <w:kern w:val="0"/>
                <w:sz w:val="24"/>
                <w:szCs w:val="24"/>
                <w:highlight w:val="none"/>
              </w:rPr>
            </w:pPr>
          </w:p>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5"/>
              <w:shd w:val="clear" w:color="auto"/>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5"/>
              <w:shd w:val="clear" w:color="auto"/>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5"/>
              <w:shd w:val="clear" w:color="auto"/>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r>
              <w:rPr>
                <w:rFonts w:hint="eastAsia" w:cs="宋体"/>
                <w:bCs/>
                <w:color w:val="auto"/>
                <w:spacing w:val="11"/>
                <w:sz w:val="24"/>
                <w:szCs w:val="24"/>
                <w:highlight w:val="none"/>
                <w:lang w:eastAsia="zh-CN"/>
              </w:rPr>
              <w:t>）</w:t>
            </w:r>
          </w:p>
        </w:tc>
        <w:tc>
          <w:tcPr>
            <w:tcW w:w="1333" w:type="dxa"/>
            <w:gridSpan w:val="3"/>
            <w:shd w:val="clear" w:color="auto" w:fill="auto"/>
            <w:vAlign w:val="center"/>
          </w:tcPr>
          <w:p>
            <w:pPr>
              <w:pStyle w:val="55"/>
              <w:shd w:val="clear" w:color="auto"/>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5"/>
              <w:shd w:val="clear" w:color="auto"/>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5"/>
              <w:shd w:val="clear" w:color="auto"/>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5"/>
              <w:shd w:val="clear" w:color="auto"/>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5"/>
              <w:shd w:val="clear" w:color="auto"/>
              <w:spacing w:line="360" w:lineRule="auto"/>
              <w:jc w:val="both"/>
              <w:rPr>
                <w:rFonts w:hint="eastAsia" w:ascii="宋体" w:hAnsi="宋体" w:eastAsia="宋体" w:cs="宋体"/>
                <w:bCs/>
                <w:color w:val="auto"/>
                <w:spacing w:val="16"/>
                <w:sz w:val="24"/>
                <w:szCs w:val="24"/>
                <w:highlight w:val="none"/>
              </w:rPr>
            </w:pPr>
          </w:p>
        </w:tc>
      </w:tr>
    </w:tbl>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rPr>
          <w:rFonts w:hint="eastAsia"/>
          <w:b/>
          <w:bCs/>
          <w:color w:val="auto"/>
          <w:sz w:val="24"/>
          <w:szCs w:val="32"/>
          <w:highlight w:val="none"/>
        </w:rPr>
      </w:pPr>
      <w:r>
        <w:rPr>
          <w:rFonts w:hint="eastAsia"/>
          <w:b/>
          <w:bCs/>
          <w:color w:val="auto"/>
          <w:sz w:val="24"/>
          <w:szCs w:val="32"/>
          <w:highlight w:val="none"/>
        </w:rPr>
        <w:t>要求：</w:t>
      </w:r>
    </w:p>
    <w:p>
      <w:pPr>
        <w:shd w:val="clea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无需填写；</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pStyle w:val="10"/>
        <w:shd w:val="clear"/>
        <w:rPr>
          <w:rFonts w:hint="eastAsia"/>
          <w:color w:val="auto"/>
          <w:highlight w:val="none"/>
          <w:lang w:eastAsia="zh-CN"/>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11</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w:t>
      </w:r>
      <w:r>
        <w:rPr>
          <w:rFonts w:hint="eastAsia" w:ascii="宋体" w:hAnsi="宋体" w:cs="宋体"/>
          <w:b/>
          <w:bCs/>
          <w:color w:val="auto"/>
          <w:sz w:val="32"/>
          <w:szCs w:val="40"/>
          <w:highlight w:val="none"/>
          <w:lang w:val="zh-CN"/>
        </w:rPr>
        <w:t>（标段）</w:t>
      </w:r>
    </w:p>
    <w:p>
      <w:pPr>
        <w:shd w:val="clear"/>
        <w:spacing w:line="360" w:lineRule="auto"/>
        <w:jc w:val="center"/>
        <w:rPr>
          <w:rFonts w:hint="eastAsia" w:eastAsia="宋体"/>
          <w:color w:val="auto"/>
          <w:sz w:val="24"/>
          <w:szCs w:val="32"/>
          <w:highlight w:val="none"/>
          <w:lang w:eastAsia="zh-CN"/>
        </w:rPr>
      </w:pPr>
      <w:r>
        <w:rPr>
          <w:rFonts w:hint="eastAsia"/>
          <w:color w:val="auto"/>
          <w:sz w:val="24"/>
          <w:szCs w:val="32"/>
          <w:highlight w:val="none"/>
        </w:rPr>
        <w:t>（主要从业人员及其技术资格</w:t>
      </w:r>
      <w:r>
        <w:rPr>
          <w:rFonts w:hint="eastAsia"/>
          <w:color w:val="auto"/>
          <w:sz w:val="24"/>
          <w:szCs w:val="32"/>
          <w:highlight w:val="none"/>
          <w:lang w:eastAsia="zh-CN"/>
        </w:rPr>
        <w:t>）</w:t>
      </w:r>
    </w:p>
    <w:tbl>
      <w:tblPr>
        <w:tblStyle w:val="28"/>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660"/>
        <w:gridCol w:w="18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66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188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8"/>
              <w:shd w:val="clear"/>
              <w:snapToGrid w:val="0"/>
              <w:spacing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8"/>
              <w:shd w:val="clear"/>
              <w:snapToGrid w:val="0"/>
              <w:spacing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8"/>
              <w:shd w:val="clear"/>
              <w:spacing w:line="360" w:lineRule="auto"/>
              <w:ind w:left="5250"/>
              <w:rPr>
                <w:rFonts w:ascii="宋体" w:hAnsi="宋体"/>
                <w:color w:val="auto"/>
                <w:sz w:val="24"/>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660"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c>
          <w:tcPr>
            <w:tcW w:w="1884" w:type="dxa"/>
            <w:tcBorders>
              <w:top w:val="single" w:color="auto" w:sz="4" w:space="0"/>
              <w:left w:val="single" w:color="auto" w:sz="4" w:space="0"/>
              <w:bottom w:val="single" w:color="auto" w:sz="4" w:space="0"/>
              <w:right w:val="single" w:color="auto" w:sz="4" w:space="0"/>
            </w:tcBorders>
          </w:tcPr>
          <w:p>
            <w:pPr>
              <w:shd w:val="clear"/>
              <w:snapToGrid w:val="0"/>
              <w:spacing w:beforeLines="50" w:after="50" w:line="360" w:lineRule="auto"/>
              <w:rPr>
                <w:rFonts w:ascii="宋体" w:hAnsi="宋体"/>
                <w:b/>
                <w:color w:val="auto"/>
                <w:kern w:val="44"/>
                <w:sz w:val="24"/>
                <w:szCs w:val="20"/>
                <w:highlight w:val="none"/>
              </w:rPr>
            </w:pPr>
          </w:p>
        </w:tc>
      </w:tr>
    </w:tbl>
    <w:p>
      <w:pPr>
        <w:shd w:val="clear"/>
        <w:spacing w:line="360" w:lineRule="auto"/>
        <w:jc w:val="left"/>
        <w:rPr>
          <w:b/>
          <w:bCs/>
          <w:color w:val="auto"/>
          <w:sz w:val="24"/>
          <w:szCs w:val="32"/>
          <w:highlight w:val="none"/>
        </w:rPr>
      </w:pPr>
      <w:r>
        <w:rPr>
          <w:rFonts w:hint="eastAsia"/>
          <w:b/>
          <w:bCs/>
          <w:color w:val="auto"/>
          <w:sz w:val="24"/>
          <w:szCs w:val="32"/>
          <w:highlight w:val="none"/>
        </w:rPr>
        <w:t>要求：</w:t>
      </w:r>
    </w:p>
    <w:p>
      <w:pPr>
        <w:shd w:val="clea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hd w:val="clea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hd w:val="clea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w:t>
      </w:r>
      <w:r>
        <w:rPr>
          <w:rFonts w:hint="eastAsia" w:ascii="宋体" w:hAnsi="宋体" w:cs="宋体"/>
          <w:b w:val="0"/>
          <w:bCs w:val="0"/>
          <w:color w:val="auto"/>
          <w:sz w:val="24"/>
          <w:szCs w:val="32"/>
          <w:highlight w:val="none"/>
          <w:lang w:eastAsia="zh-CN"/>
        </w:rPr>
        <w:t>或</w:t>
      </w:r>
      <w:r>
        <w:rPr>
          <w:rFonts w:hint="eastAsia" w:ascii="宋体" w:hAnsi="宋体" w:eastAsia="宋体" w:cs="宋体"/>
          <w:b w:val="0"/>
          <w:bCs w:val="0"/>
          <w:color w:val="auto"/>
          <w:sz w:val="24"/>
          <w:szCs w:val="32"/>
          <w:highlight w:val="none"/>
        </w:rPr>
        <w:t>参加社会保险的《投保单》或《社会保险参保人员证明》等。</w:t>
      </w:r>
    </w:p>
    <w:p>
      <w:pPr>
        <w:shd w:val="clear"/>
        <w:bidi w:val="0"/>
        <w:spacing w:line="360" w:lineRule="auto"/>
        <w:rPr>
          <w:rFonts w:hint="eastAsia" w:ascii="宋体" w:hAnsi="宋体" w:eastAsia="宋体" w:cs="宋体"/>
          <w:b w:val="0"/>
          <w:bCs w:val="0"/>
          <w:color w:val="auto"/>
          <w:sz w:val="24"/>
          <w:szCs w:val="32"/>
          <w:highlight w:val="none"/>
        </w:rPr>
      </w:pPr>
    </w:p>
    <w:p>
      <w:pPr>
        <w:shd w:val="clea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36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b/>
          <w:color w:val="auto"/>
          <w:sz w:val="28"/>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12</w:t>
      </w:r>
    </w:p>
    <w:p>
      <w:pPr>
        <w:shd w:val="clear"/>
        <w:spacing w:beforeLines="50"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hd w:val="clear"/>
        <w:spacing w:line="360" w:lineRule="auto"/>
        <w:rPr>
          <w:rFonts w:ascii="宋体" w:hAnsi="宋体"/>
          <w:color w:val="auto"/>
          <w:sz w:val="24"/>
          <w:szCs w:val="32"/>
          <w:highlight w:val="none"/>
        </w:rPr>
      </w:pPr>
      <w:r>
        <w:rPr>
          <w:rFonts w:hint="eastAsia" w:ascii="宋体" w:hAnsi="宋体"/>
          <w:color w:val="auto"/>
          <w:sz w:val="24"/>
          <w:szCs w:val="32"/>
          <w:highlight w:val="none"/>
        </w:rPr>
        <w:t>采购项目：</w:t>
      </w:r>
      <w:r>
        <w:rPr>
          <w:rFonts w:hint="eastAsia" w:ascii="宋体" w:hAnsi="宋体"/>
          <w:color w:val="auto"/>
          <w:sz w:val="24"/>
          <w:szCs w:val="32"/>
          <w:highlight w:val="none"/>
          <w:lang w:val="en-US" w:eastAsia="zh-CN"/>
        </w:rPr>
        <w:t xml:space="preserve">                                        </w:t>
      </w:r>
      <w:r>
        <w:rPr>
          <w:rFonts w:hint="eastAsia" w:ascii="宋体" w:hAnsi="宋体"/>
          <w:color w:val="auto"/>
          <w:sz w:val="24"/>
          <w:szCs w:val="32"/>
          <w:highlight w:val="none"/>
        </w:rPr>
        <w:t>采购编号：</w:t>
      </w:r>
    </w:p>
    <w:tbl>
      <w:tblPr>
        <w:tblStyle w:val="28"/>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rPr>
            </w:pPr>
            <w:r>
              <w:rPr>
                <w:rFonts w:hint="eastAsia"/>
                <w:b/>
                <w:bCs/>
                <w:color w:val="auto"/>
                <w:sz w:val="24"/>
                <w:szCs w:val="24"/>
                <w:highlight w:val="none"/>
              </w:rPr>
              <w:t>注：业绩证明应提供旁证材料</w:t>
            </w:r>
          </w:p>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rPr>
              <w:t>（供货合同或中标通知书</w:t>
            </w:r>
            <w:r>
              <w:rPr>
                <w:rFonts w:hint="eastAsia"/>
                <w:b/>
                <w:bCs/>
                <w:color w:val="auto"/>
                <w:sz w:val="24"/>
                <w:szCs w:val="24"/>
                <w:highlight w:val="none"/>
                <w:lang w:eastAsia="zh-CN"/>
              </w:rPr>
              <w:t>）</w:t>
            </w:r>
            <w:r>
              <w:rPr>
                <w:rFonts w:hint="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shd w:val="clea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shd w:val="clear"/>
              <w:bidi w:val="0"/>
              <w:spacing w:line="240" w:lineRule="auto"/>
              <w:jc w:val="center"/>
              <w:rPr>
                <w:b/>
                <w:bCs/>
                <w:color w:val="auto"/>
                <w:sz w:val="24"/>
                <w:szCs w:val="24"/>
                <w:highlight w:val="none"/>
                <w:lang w:val="zh-CN"/>
              </w:rPr>
            </w:pPr>
          </w:p>
        </w:tc>
      </w:tr>
    </w:tbl>
    <w:p>
      <w:pPr>
        <w:shd w:val="clear"/>
        <w:spacing w:line="360" w:lineRule="auto"/>
        <w:rPr>
          <w:rFonts w:hint="eastAsia"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rPr>
          <w:rFonts w:hint="eastAsia" w:ascii="宋体" w:hAnsi="宋体" w:eastAsia="宋体" w:cs="宋体"/>
          <w:b w:val="0"/>
          <w:bCs w:val="0"/>
          <w:color w:val="auto"/>
          <w:sz w:val="24"/>
          <w:szCs w:val="32"/>
          <w:highlight w:val="none"/>
        </w:rPr>
      </w:pPr>
    </w:p>
    <w:p>
      <w:pPr>
        <w:shd w:val="clear"/>
        <w:bidi w:val="0"/>
        <w:spacing w:line="360" w:lineRule="auto"/>
        <w:rPr>
          <w:rFonts w:hint="eastAsia" w:ascii="宋体" w:hAnsi="宋体" w:eastAsia="宋体" w:cs="宋体"/>
          <w:b w:val="0"/>
          <w:bCs w:val="0"/>
          <w:color w:val="auto"/>
          <w:sz w:val="24"/>
          <w:szCs w:val="32"/>
          <w:highlight w:val="none"/>
        </w:rPr>
      </w:pPr>
    </w:p>
    <w:p>
      <w:pPr>
        <w:shd w:val="clear"/>
        <w:bidi w:val="0"/>
        <w:spacing w:line="360" w:lineRule="auto"/>
        <w:rPr>
          <w:rFonts w:hint="eastAsia" w:ascii="宋体" w:hAnsi="宋体" w:eastAsia="宋体" w:cs="宋体"/>
          <w:b w:val="0"/>
          <w:bCs w:val="0"/>
          <w:color w:val="auto"/>
          <w:sz w:val="24"/>
          <w:szCs w:val="32"/>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13</w:t>
      </w:r>
    </w:p>
    <w:p>
      <w:pPr>
        <w:shd w:val="clea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w:t>
      </w:r>
    </w:p>
    <w:p>
      <w:pPr>
        <w:shd w:val="clea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8"/>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bl>
    <w:p>
      <w:pPr>
        <w:shd w:val="clear"/>
        <w:spacing w:line="360" w:lineRule="auto"/>
        <w:rPr>
          <w:rFonts w:ascii="宋体" w:hAnsi="宋体"/>
          <w:color w:val="auto"/>
          <w:sz w:val="24"/>
          <w:highlight w:val="none"/>
        </w:rPr>
      </w:pPr>
    </w:p>
    <w:p>
      <w:pPr>
        <w:shd w:val="clea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hd w:val="clear"/>
        <w:spacing w:line="360" w:lineRule="auto"/>
        <w:rPr>
          <w:rFonts w:ascii="宋体" w:hAnsi="宋体"/>
          <w:color w:val="auto"/>
          <w:sz w:val="24"/>
          <w:highlight w:val="none"/>
        </w:rPr>
      </w:pPr>
    </w:p>
    <w:p>
      <w:pPr>
        <w:shd w:val="clea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ascii="宋体" w:hAnsi="宋体"/>
          <w:color w:val="auto"/>
          <w:sz w:val="24"/>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14</w:t>
      </w:r>
    </w:p>
    <w:p>
      <w:pPr>
        <w:shd w:val="clea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hd w:val="clear"/>
        <w:spacing w:line="360" w:lineRule="auto"/>
        <w:rPr>
          <w:rFonts w:ascii="宋体"/>
          <w:color w:val="auto"/>
          <w:sz w:val="24"/>
          <w:highlight w:val="none"/>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hd w:val="clea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hd w:val="clea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hd w:val="clea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spacing w:line="360" w:lineRule="auto"/>
              <w:rPr>
                <w:rFonts w:ascii="宋体"/>
                <w:color w:val="auto"/>
                <w:sz w:val="24"/>
                <w:highlight w:val="none"/>
              </w:rPr>
            </w:pPr>
          </w:p>
        </w:tc>
        <w:tc>
          <w:tcPr>
            <w:tcW w:w="1785" w:type="dxa"/>
            <w:vAlign w:val="center"/>
          </w:tcPr>
          <w:p>
            <w:pPr>
              <w:shd w:val="clear"/>
              <w:spacing w:line="360" w:lineRule="auto"/>
              <w:rPr>
                <w:rFonts w:ascii="宋体"/>
                <w:color w:val="auto"/>
                <w:sz w:val="24"/>
                <w:highlight w:val="none"/>
              </w:rPr>
            </w:pPr>
          </w:p>
        </w:tc>
        <w:tc>
          <w:tcPr>
            <w:tcW w:w="1449" w:type="dxa"/>
            <w:vAlign w:val="center"/>
          </w:tcPr>
          <w:p>
            <w:pPr>
              <w:shd w:val="clear"/>
              <w:spacing w:line="360" w:lineRule="auto"/>
              <w:rPr>
                <w:rFonts w:ascii="宋体"/>
                <w:color w:val="auto"/>
                <w:sz w:val="24"/>
                <w:highlight w:val="none"/>
              </w:rPr>
            </w:pPr>
          </w:p>
        </w:tc>
        <w:tc>
          <w:tcPr>
            <w:tcW w:w="1560" w:type="dxa"/>
            <w:vAlign w:val="center"/>
          </w:tcPr>
          <w:p>
            <w:pPr>
              <w:shd w:val="clear"/>
              <w:spacing w:line="360" w:lineRule="auto"/>
              <w:rPr>
                <w:rFonts w:ascii="宋体"/>
                <w:color w:val="auto"/>
                <w:sz w:val="24"/>
                <w:highlight w:val="none"/>
              </w:rPr>
            </w:pPr>
          </w:p>
        </w:tc>
        <w:tc>
          <w:tcPr>
            <w:tcW w:w="1401" w:type="dxa"/>
            <w:vAlign w:val="center"/>
          </w:tcPr>
          <w:p>
            <w:pPr>
              <w:shd w:val="clear"/>
              <w:spacing w:line="360" w:lineRule="auto"/>
              <w:rPr>
                <w:rFonts w:ascii="宋体"/>
                <w:color w:val="auto"/>
                <w:sz w:val="24"/>
                <w:highlight w:val="none"/>
              </w:rPr>
            </w:pPr>
          </w:p>
        </w:tc>
        <w:tc>
          <w:tcPr>
            <w:tcW w:w="1365" w:type="dxa"/>
            <w:vAlign w:val="center"/>
          </w:tcPr>
          <w:p>
            <w:pPr>
              <w:shd w:val="clear"/>
              <w:spacing w:line="360" w:lineRule="auto"/>
              <w:rPr>
                <w:rFonts w:ascii="宋体"/>
                <w:color w:val="auto"/>
                <w:sz w:val="24"/>
                <w:highlight w:val="none"/>
              </w:rPr>
            </w:pPr>
          </w:p>
        </w:tc>
      </w:tr>
    </w:tbl>
    <w:p>
      <w:pPr>
        <w:shd w:val="clea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1.本表的名称须与《报价明细表》一致。</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2.本表参照本招标文件第</w:t>
      </w:r>
      <w:r>
        <w:rPr>
          <w:rFonts w:hint="eastAsia" w:ascii="宋体" w:hAnsi="宋体"/>
          <w:color w:val="auto"/>
          <w:sz w:val="24"/>
          <w:highlight w:val="none"/>
          <w:lang w:eastAsia="zh-CN"/>
        </w:rPr>
        <w:t>四章</w:t>
      </w:r>
      <w:r>
        <w:rPr>
          <w:rFonts w:hint="eastAsia" w:ascii="宋体" w:hAnsi="宋体"/>
          <w:color w:val="auto"/>
          <w:sz w:val="24"/>
          <w:highlight w:val="none"/>
        </w:rPr>
        <w:t>“公开招标需求”</w:t>
      </w:r>
      <w:r>
        <w:rPr>
          <w:rFonts w:hint="eastAsia" w:ascii="宋体" w:hAnsi="宋体"/>
          <w:color w:val="auto"/>
          <w:sz w:val="24"/>
          <w:highlight w:val="none"/>
          <w:lang w:eastAsia="zh-CN"/>
        </w:rPr>
        <w:t>内容</w:t>
      </w:r>
      <w:r>
        <w:rPr>
          <w:rFonts w:hint="eastAsia" w:ascii="宋体" w:hAnsi="宋体"/>
          <w:color w:val="auto"/>
          <w:sz w:val="24"/>
          <w:highlight w:val="none"/>
        </w:rPr>
        <w:t>填制，投标人应根据投标设备的性能指标、服务指标，对照招标文件要求在“偏离情况”栏注明“正偏离”、“负偏离”或“无偏离”。</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hd w:val="clear"/>
        <w:spacing w:line="360" w:lineRule="auto"/>
        <w:rPr>
          <w:rFonts w:hint="eastAsia"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color w:val="auto"/>
          <w:sz w:val="24"/>
          <w:highlight w:val="none"/>
        </w:rPr>
      </w:pPr>
    </w:p>
    <w:p>
      <w:pPr>
        <w:shd w:val="clear"/>
        <w:spacing w:line="360" w:lineRule="auto"/>
        <w:rPr>
          <w:rFonts w:hint="eastAsia" w:ascii="宋体" w:hAnsi="宋体"/>
          <w:color w:val="auto"/>
          <w:sz w:val="24"/>
          <w:highlight w:val="none"/>
        </w:rPr>
      </w:pPr>
    </w:p>
    <w:p>
      <w:pPr>
        <w:pStyle w:val="10"/>
        <w:shd w:val="clear"/>
        <w:rPr>
          <w:rFonts w:hint="eastAsia"/>
          <w:color w:val="auto"/>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15</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shd w:val="clear"/>
        <w:bidi w:val="0"/>
        <w:spacing w:line="360" w:lineRule="auto"/>
        <w:jc w:val="left"/>
        <w:rPr>
          <w:rFonts w:hint="eastAsia" w:ascii="宋体" w:hAnsi="宋体" w:eastAsia="宋体" w:cs="宋体"/>
          <w:b/>
          <w:bCs/>
          <w:color w:val="auto"/>
          <w:sz w:val="24"/>
          <w:szCs w:val="32"/>
          <w:highlight w:val="none"/>
          <w:lang w:val="zh-CN"/>
        </w:rPr>
      </w:pPr>
    </w:p>
    <w:tbl>
      <w:tblPr>
        <w:tblStyle w:val="28"/>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59"/>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9"/>
              <w:shd w:val="clear"/>
              <w:spacing w:line="360" w:lineRule="auto"/>
              <w:jc w:val="center"/>
              <w:rPr>
                <w:rFonts w:ascii="宋体" w:cs="Arial"/>
                <w:color w:val="auto"/>
                <w:szCs w:val="21"/>
                <w:highlight w:val="none"/>
              </w:rPr>
            </w:pPr>
          </w:p>
        </w:tc>
        <w:tc>
          <w:tcPr>
            <w:tcW w:w="2258" w:type="dxa"/>
          </w:tcPr>
          <w:p>
            <w:pPr>
              <w:pStyle w:val="59"/>
              <w:shd w:val="clear"/>
              <w:spacing w:line="360" w:lineRule="auto"/>
              <w:jc w:val="center"/>
              <w:rPr>
                <w:rFonts w:ascii="宋体" w:cs="Arial"/>
                <w:color w:val="auto"/>
                <w:szCs w:val="21"/>
                <w:highlight w:val="none"/>
              </w:rPr>
            </w:pPr>
          </w:p>
        </w:tc>
        <w:tc>
          <w:tcPr>
            <w:tcW w:w="2260" w:type="dxa"/>
          </w:tcPr>
          <w:p>
            <w:pPr>
              <w:pStyle w:val="59"/>
              <w:shd w:val="clear"/>
              <w:spacing w:line="360" w:lineRule="auto"/>
              <w:jc w:val="center"/>
              <w:rPr>
                <w:rFonts w:ascii="宋体" w:cs="Arial"/>
                <w:color w:val="auto"/>
                <w:szCs w:val="21"/>
                <w:highlight w:val="none"/>
              </w:rPr>
            </w:pPr>
          </w:p>
        </w:tc>
        <w:tc>
          <w:tcPr>
            <w:tcW w:w="2047" w:type="dxa"/>
            <w:tcBorders>
              <w:right w:val="single" w:color="auto" w:sz="4" w:space="0"/>
            </w:tcBorders>
          </w:tcPr>
          <w:p>
            <w:pPr>
              <w:pStyle w:val="59"/>
              <w:shd w:val="clear"/>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9"/>
              <w:shd w:val="clear"/>
              <w:spacing w:line="360" w:lineRule="auto"/>
              <w:jc w:val="center"/>
              <w:rPr>
                <w:rFonts w:ascii="宋体" w:cs="Arial"/>
                <w:color w:val="auto"/>
                <w:szCs w:val="21"/>
                <w:highlight w:val="none"/>
              </w:rPr>
            </w:pPr>
          </w:p>
        </w:tc>
        <w:tc>
          <w:tcPr>
            <w:tcW w:w="2258" w:type="dxa"/>
            <w:tcBorders>
              <w:bottom w:val="double" w:color="auto" w:sz="4" w:space="0"/>
            </w:tcBorders>
          </w:tcPr>
          <w:p>
            <w:pPr>
              <w:pStyle w:val="59"/>
              <w:shd w:val="clear"/>
              <w:spacing w:line="360" w:lineRule="auto"/>
              <w:jc w:val="center"/>
              <w:rPr>
                <w:rFonts w:ascii="宋体" w:cs="Arial"/>
                <w:color w:val="auto"/>
                <w:szCs w:val="21"/>
                <w:highlight w:val="none"/>
              </w:rPr>
            </w:pPr>
          </w:p>
        </w:tc>
        <w:tc>
          <w:tcPr>
            <w:tcW w:w="2260" w:type="dxa"/>
            <w:tcBorders>
              <w:bottom w:val="double" w:color="auto" w:sz="4" w:space="0"/>
            </w:tcBorders>
          </w:tcPr>
          <w:p>
            <w:pPr>
              <w:pStyle w:val="59"/>
              <w:shd w:val="clear"/>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59"/>
              <w:shd w:val="clear"/>
              <w:spacing w:line="360" w:lineRule="auto"/>
              <w:jc w:val="center"/>
              <w:rPr>
                <w:rFonts w:ascii="宋体" w:cs="Arial"/>
                <w:color w:val="auto"/>
                <w:szCs w:val="21"/>
                <w:highlight w:val="none"/>
              </w:rPr>
            </w:pPr>
          </w:p>
        </w:tc>
      </w:tr>
    </w:tbl>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1.填写投标人获得资质、认证或企业信誉证书；</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2.附所列证书复印件或其他证明材料。</w:t>
      </w:r>
    </w:p>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bidi w:val="0"/>
        <w:spacing w:line="360" w:lineRule="auto"/>
        <w:jc w:val="left"/>
        <w:rPr>
          <w:rFonts w:hint="eastAsia" w:ascii="宋体" w:hAnsi="宋体" w:eastAsia="宋体" w:cs="宋体"/>
          <w:b/>
          <w:bCs/>
          <w:color w:val="auto"/>
          <w:sz w:val="24"/>
          <w:szCs w:val="32"/>
          <w:highlight w:val="none"/>
          <w:lang w:val="zh-CN"/>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Times New Roman"/>
          <w:b/>
          <w:bCs/>
          <w:color w:val="auto"/>
          <w:sz w:val="24"/>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6</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hd w:val="clear"/>
        <w:spacing w:line="360" w:lineRule="auto"/>
        <w:rPr>
          <w:rFonts w:hint="eastAsia" w:ascii="宋体" w:hAnsi="宋体" w:eastAsia="宋体" w:cs="Times New Roman"/>
          <w:b/>
          <w:bCs/>
          <w:color w:val="auto"/>
          <w:sz w:val="24"/>
          <w:highlight w:val="none"/>
        </w:rPr>
      </w:pPr>
    </w:p>
    <w:tbl>
      <w:tblPr>
        <w:tblStyle w:val="2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8"/>
              <w:shd w:val="clear"/>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8"/>
              <w:shd w:val="clear"/>
              <w:spacing w:line="360" w:lineRule="auto"/>
              <w:rPr>
                <w:rFonts w:ascii="宋体" w:cs="Arial"/>
                <w:color w:val="auto"/>
                <w:sz w:val="24"/>
                <w:highlight w:val="none"/>
              </w:rPr>
            </w:pPr>
          </w:p>
        </w:tc>
      </w:tr>
    </w:tbl>
    <w:p>
      <w:pPr>
        <w:shd w:val="clea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r>
        <w:rPr>
          <w:rFonts w:hint="eastAsia" w:ascii="宋体" w:hAnsi="宋体"/>
          <w:color w:val="auto"/>
          <w:sz w:val="24"/>
          <w:highlight w:val="none"/>
          <w:lang w:eastAsia="zh-CN"/>
        </w:rPr>
        <w:t>）</w:t>
      </w:r>
      <w:r>
        <w:rPr>
          <w:rFonts w:hint="eastAsia" w:ascii="宋体" w:hAnsi="宋体"/>
          <w:color w:val="auto"/>
          <w:sz w:val="24"/>
          <w:highlight w:val="none"/>
        </w:rPr>
        <w:t>；</w:t>
      </w:r>
    </w:p>
    <w:p>
      <w:pPr>
        <w:shd w:val="clea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2.报价供应商可按此表格式复制。</w:t>
      </w: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ind w:firstLine="480" w:firstLineChars="200"/>
        <w:rPr>
          <w:rFonts w:hint="eastAsia" w:ascii="宋体" w:hAnsi="宋体"/>
          <w:color w:val="auto"/>
          <w:sz w:val="24"/>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7</w:t>
      </w: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hd w:val="clear"/>
        <w:spacing w:line="360" w:lineRule="auto"/>
        <w:rPr>
          <w:rFonts w:ascii="宋体"/>
          <w:b/>
          <w:color w:val="auto"/>
          <w:sz w:val="24"/>
          <w:szCs w:val="24"/>
          <w:highlight w:val="none"/>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hd w:val="clea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hd w:val="clea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shd w:val="clea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shd w:val="clea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shd w:val="clea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交货和服务</w:t>
            </w:r>
          </w:p>
          <w:p>
            <w:pPr>
              <w:shd w:val="clear"/>
              <w:snapToGrid w:val="0"/>
              <w:jc w:val="both"/>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color w:val="auto"/>
                <w:sz w:val="24"/>
                <w:highlight w:val="none"/>
              </w:rPr>
            </w:pPr>
          </w:p>
        </w:tc>
        <w:tc>
          <w:tcPr>
            <w:tcW w:w="1785" w:type="dxa"/>
            <w:vAlign w:val="center"/>
          </w:tcPr>
          <w:p>
            <w:pPr>
              <w:shd w:val="clear"/>
              <w:snapToGrid w:val="0"/>
              <w:jc w:val="both"/>
              <w:rPr>
                <w:rFonts w:ascii="宋体"/>
                <w:color w:val="auto"/>
                <w:sz w:val="24"/>
                <w:highlight w:val="none"/>
              </w:rPr>
            </w:pPr>
            <w:r>
              <w:rPr>
                <w:rFonts w:hint="eastAsia" w:ascii="宋体" w:hAnsi="宋体"/>
                <w:color w:val="auto"/>
                <w:sz w:val="24"/>
                <w:highlight w:val="none"/>
              </w:rPr>
              <w:t>……</w:t>
            </w: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hd w:val="clear"/>
              <w:rPr>
                <w:rFonts w:ascii="宋体"/>
                <w:color w:val="auto"/>
                <w:sz w:val="24"/>
                <w:highlight w:val="none"/>
              </w:rPr>
            </w:pPr>
          </w:p>
        </w:tc>
        <w:tc>
          <w:tcPr>
            <w:tcW w:w="1785" w:type="dxa"/>
          </w:tcPr>
          <w:p>
            <w:pPr>
              <w:shd w:val="clear"/>
              <w:snapToGrid w:val="0"/>
              <w:rPr>
                <w:rFonts w:ascii="宋体"/>
                <w:color w:val="auto"/>
                <w:sz w:val="24"/>
                <w:highlight w:val="none"/>
              </w:rPr>
            </w:pP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rPr>
                <w:rFonts w:ascii="宋体"/>
                <w:color w:val="auto"/>
                <w:sz w:val="24"/>
                <w:highlight w:val="none"/>
              </w:rPr>
            </w:pPr>
          </w:p>
        </w:tc>
        <w:tc>
          <w:tcPr>
            <w:tcW w:w="1785" w:type="dxa"/>
          </w:tcPr>
          <w:p>
            <w:pPr>
              <w:shd w:val="clear"/>
              <w:snapToGrid w:val="0"/>
              <w:rPr>
                <w:rFonts w:ascii="宋体"/>
                <w:color w:val="auto"/>
                <w:sz w:val="24"/>
                <w:highlight w:val="none"/>
              </w:rPr>
            </w:pPr>
          </w:p>
        </w:tc>
        <w:tc>
          <w:tcPr>
            <w:tcW w:w="1785" w:type="dxa"/>
            <w:vAlign w:val="center"/>
          </w:tcPr>
          <w:p>
            <w:pPr>
              <w:shd w:val="clear"/>
              <w:rPr>
                <w:rFonts w:ascii="宋体"/>
                <w:color w:val="auto"/>
                <w:sz w:val="24"/>
                <w:highlight w:val="none"/>
              </w:rPr>
            </w:pPr>
          </w:p>
        </w:tc>
        <w:tc>
          <w:tcPr>
            <w:tcW w:w="1365" w:type="dxa"/>
            <w:vAlign w:val="center"/>
          </w:tcPr>
          <w:p>
            <w:pPr>
              <w:shd w:val="clear"/>
              <w:rPr>
                <w:rFonts w:ascii="宋体"/>
                <w:color w:val="auto"/>
                <w:sz w:val="24"/>
                <w:highlight w:val="none"/>
              </w:rPr>
            </w:pPr>
          </w:p>
        </w:tc>
        <w:tc>
          <w:tcPr>
            <w:tcW w:w="2625" w:type="dxa"/>
            <w:vAlign w:val="center"/>
          </w:tcPr>
          <w:p>
            <w:pPr>
              <w:shd w:val="clear"/>
              <w:rPr>
                <w:rFonts w:ascii="宋体"/>
                <w:color w:val="auto"/>
                <w:sz w:val="24"/>
                <w:highlight w:val="none"/>
              </w:rPr>
            </w:pPr>
          </w:p>
        </w:tc>
      </w:tr>
    </w:tbl>
    <w:p>
      <w:pPr>
        <w:shd w:val="clear"/>
        <w:spacing w:line="360" w:lineRule="auto"/>
        <w:rPr>
          <w:rFonts w:ascii="宋体"/>
          <w:b/>
          <w:color w:val="auto"/>
          <w:sz w:val="24"/>
          <w:szCs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shd w:val="clear"/>
        <w:spacing w:line="360" w:lineRule="auto"/>
        <w:rPr>
          <w:rFonts w:ascii="宋体"/>
          <w:b/>
          <w:color w:val="auto"/>
          <w:sz w:val="24"/>
          <w:szCs w:val="24"/>
          <w:highlight w:val="none"/>
        </w:rPr>
      </w:pPr>
    </w:p>
    <w:p>
      <w:pPr>
        <w:pStyle w:val="10"/>
        <w:shd w:val="clear"/>
        <w:rPr>
          <w:color w:val="auto"/>
          <w:highlight w:val="none"/>
        </w:rPr>
      </w:pPr>
    </w:p>
    <w:p>
      <w:pPr>
        <w:shd w:val="clear"/>
        <w:spacing w:line="360" w:lineRule="auto"/>
        <w:rPr>
          <w:rFonts w:ascii="宋体"/>
          <w:b/>
          <w:color w:val="auto"/>
          <w:sz w:val="24"/>
          <w:szCs w:val="24"/>
          <w:highlight w:val="none"/>
        </w:rPr>
      </w:pPr>
    </w:p>
    <w:p>
      <w:pPr>
        <w:shd w:val="clea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8</w:t>
      </w:r>
    </w:p>
    <w:p>
      <w:pPr>
        <w:shd w:val="clea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hd w:val="clear"/>
        <w:spacing w:line="360" w:lineRule="auto"/>
        <w:rPr>
          <w:rFonts w:hint="eastAsia" w:ascii="宋体" w:hAnsi="Times New Roman" w:cs="Times New Roman"/>
          <w:b/>
          <w:color w:val="auto"/>
          <w:sz w:val="24"/>
          <w:szCs w:val="24"/>
          <w:highlight w:val="none"/>
        </w:rPr>
      </w:pPr>
    </w:p>
    <w:tbl>
      <w:tblPr>
        <w:tblStyle w:val="28"/>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60"/>
              <w:shd w:val="clear"/>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0"/>
              <w:shd w:val="clear"/>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60"/>
              <w:widowControl/>
              <w:shd w:val="clear"/>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保修期内售后服务情况</w:t>
            </w:r>
            <w:r>
              <w:rPr>
                <w:rFonts w:hint="eastAsia" w:ascii="宋体" w:hAnsi="宋体" w:cs="Arial"/>
                <w:bCs/>
                <w:color w:val="auto"/>
                <w:sz w:val="24"/>
                <w:highlight w:val="none"/>
                <w:lang w:eastAsia="zh-CN"/>
              </w:rPr>
              <w:t>（</w:t>
            </w:r>
            <w:r>
              <w:rPr>
                <w:rFonts w:hint="eastAsia" w:ascii="宋体" w:hAnsi="宋体" w:cs="Arial"/>
                <w:bCs/>
                <w:color w:val="auto"/>
                <w:sz w:val="24"/>
                <w:highlight w:val="none"/>
              </w:rPr>
              <w:t>服务方式、服务网点、售后服务的内容和措施等等，可用附页和宣传材料</w:t>
            </w:r>
            <w:r>
              <w:rPr>
                <w:rFonts w:hint="eastAsia" w:ascii="宋体" w:hAnsi="宋体" w:cs="Arial"/>
                <w:bCs/>
                <w:color w:val="auto"/>
                <w:sz w:val="24"/>
                <w:highlight w:val="none"/>
                <w:lang w:eastAsia="zh-CN"/>
              </w:rPr>
              <w:t>）</w:t>
            </w:r>
          </w:p>
        </w:tc>
        <w:tc>
          <w:tcPr>
            <w:tcW w:w="4061" w:type="dxa"/>
          </w:tcPr>
          <w:p>
            <w:pPr>
              <w:pStyle w:val="60"/>
              <w:shd w:val="clear"/>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60"/>
              <w:shd w:val="clear"/>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0"/>
              <w:widowControl/>
              <w:shd w:val="clear"/>
              <w:spacing w:line="360" w:lineRule="auto"/>
              <w:jc w:val="left"/>
              <w:rPr>
                <w:rFonts w:ascii="宋体" w:cs="Arial"/>
                <w:bCs/>
                <w:color w:val="auto"/>
                <w:sz w:val="24"/>
                <w:highlight w:val="none"/>
              </w:rPr>
            </w:pPr>
          </w:p>
        </w:tc>
        <w:tc>
          <w:tcPr>
            <w:tcW w:w="2355" w:type="dxa"/>
            <w:vMerge w:val="continue"/>
            <w:vAlign w:val="center"/>
          </w:tcPr>
          <w:p>
            <w:pPr>
              <w:pStyle w:val="60"/>
              <w:widowControl/>
              <w:shd w:val="clear"/>
              <w:spacing w:line="360" w:lineRule="auto"/>
              <w:jc w:val="left"/>
              <w:rPr>
                <w:rFonts w:ascii="宋体" w:cs="Arial"/>
                <w:bCs/>
                <w:color w:val="auto"/>
                <w:sz w:val="24"/>
                <w:highlight w:val="none"/>
              </w:rPr>
            </w:pPr>
          </w:p>
        </w:tc>
        <w:tc>
          <w:tcPr>
            <w:tcW w:w="4061" w:type="dxa"/>
          </w:tcPr>
          <w:p>
            <w:pPr>
              <w:pStyle w:val="60"/>
              <w:shd w:val="clear"/>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60"/>
              <w:shd w:val="clear"/>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0"/>
              <w:shd w:val="clear"/>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60"/>
              <w:shd w:val="clear"/>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60"/>
              <w:widowControl/>
              <w:shd w:val="clear"/>
              <w:spacing w:line="360" w:lineRule="auto"/>
              <w:jc w:val="left"/>
              <w:rPr>
                <w:rFonts w:ascii="宋体" w:cs="Arial"/>
                <w:bCs/>
                <w:color w:val="auto"/>
                <w:sz w:val="24"/>
                <w:highlight w:val="none"/>
              </w:rPr>
            </w:pPr>
          </w:p>
          <w:p>
            <w:pPr>
              <w:pStyle w:val="60"/>
              <w:widowControl/>
              <w:shd w:val="clear"/>
              <w:spacing w:line="360" w:lineRule="auto"/>
              <w:jc w:val="left"/>
              <w:rPr>
                <w:rFonts w:ascii="宋体" w:cs="Arial"/>
                <w:bCs/>
                <w:color w:val="auto"/>
                <w:sz w:val="24"/>
                <w:highlight w:val="none"/>
              </w:rPr>
            </w:pPr>
          </w:p>
          <w:p>
            <w:pPr>
              <w:pStyle w:val="60"/>
              <w:shd w:val="clear"/>
              <w:spacing w:line="360" w:lineRule="auto"/>
              <w:rPr>
                <w:rFonts w:ascii="宋体" w:cs="Arial"/>
                <w:bCs/>
                <w:color w:val="auto"/>
                <w:sz w:val="24"/>
                <w:highlight w:val="none"/>
              </w:rPr>
            </w:pPr>
          </w:p>
        </w:tc>
        <w:tc>
          <w:tcPr>
            <w:tcW w:w="1373" w:type="dxa"/>
          </w:tcPr>
          <w:p>
            <w:pPr>
              <w:pStyle w:val="60"/>
              <w:widowControl/>
              <w:shd w:val="clear"/>
              <w:spacing w:line="360" w:lineRule="auto"/>
              <w:jc w:val="left"/>
              <w:rPr>
                <w:rFonts w:ascii="宋体" w:cs="Arial"/>
                <w:bCs/>
                <w:color w:val="auto"/>
                <w:sz w:val="24"/>
                <w:highlight w:val="none"/>
              </w:rPr>
            </w:pPr>
          </w:p>
          <w:p>
            <w:pPr>
              <w:pStyle w:val="60"/>
              <w:widowControl/>
              <w:shd w:val="clear"/>
              <w:spacing w:line="360" w:lineRule="auto"/>
              <w:jc w:val="left"/>
              <w:rPr>
                <w:rFonts w:ascii="宋体" w:cs="Arial"/>
                <w:bCs/>
                <w:color w:val="auto"/>
                <w:sz w:val="24"/>
                <w:highlight w:val="none"/>
              </w:rPr>
            </w:pPr>
          </w:p>
          <w:p>
            <w:pPr>
              <w:pStyle w:val="60"/>
              <w:shd w:val="clear"/>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0"/>
              <w:widowControl/>
              <w:shd w:val="clear"/>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60"/>
              <w:widowControl/>
              <w:shd w:val="clear"/>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培训方案（可用附页</w:t>
            </w:r>
            <w:r>
              <w:rPr>
                <w:rFonts w:hint="eastAsia" w:ascii="宋体" w:hAnsi="宋体" w:cs="Arial"/>
                <w:bCs/>
                <w:color w:val="auto"/>
                <w:sz w:val="24"/>
                <w:highlight w:val="none"/>
                <w:lang w:eastAsia="zh-CN"/>
              </w:rPr>
              <w:t>）</w:t>
            </w:r>
          </w:p>
        </w:tc>
        <w:tc>
          <w:tcPr>
            <w:tcW w:w="4061" w:type="dxa"/>
          </w:tcPr>
          <w:p>
            <w:pPr>
              <w:pStyle w:val="60"/>
              <w:widowControl/>
              <w:shd w:val="clear"/>
              <w:spacing w:line="360" w:lineRule="auto"/>
              <w:jc w:val="left"/>
              <w:rPr>
                <w:rFonts w:ascii="宋体" w:cs="Arial"/>
                <w:bCs/>
                <w:i/>
                <w:color w:val="auto"/>
                <w:sz w:val="24"/>
                <w:highlight w:val="none"/>
              </w:rPr>
            </w:pPr>
          </w:p>
          <w:p>
            <w:pPr>
              <w:pStyle w:val="60"/>
              <w:widowControl/>
              <w:shd w:val="clear"/>
              <w:spacing w:line="360" w:lineRule="auto"/>
              <w:jc w:val="left"/>
              <w:rPr>
                <w:rFonts w:ascii="宋体" w:cs="Arial"/>
                <w:bCs/>
                <w:i/>
                <w:color w:val="auto"/>
                <w:sz w:val="24"/>
                <w:highlight w:val="none"/>
              </w:rPr>
            </w:pPr>
          </w:p>
        </w:tc>
        <w:tc>
          <w:tcPr>
            <w:tcW w:w="1373" w:type="dxa"/>
          </w:tcPr>
          <w:p>
            <w:pPr>
              <w:pStyle w:val="60"/>
              <w:widowControl/>
              <w:shd w:val="clear"/>
              <w:spacing w:line="360" w:lineRule="auto"/>
              <w:jc w:val="left"/>
              <w:rPr>
                <w:rFonts w:ascii="宋体" w:cs="Arial"/>
                <w:bCs/>
                <w:i/>
                <w:color w:val="auto"/>
                <w:sz w:val="24"/>
                <w:highlight w:val="none"/>
              </w:rPr>
            </w:pPr>
          </w:p>
          <w:p>
            <w:pPr>
              <w:pStyle w:val="60"/>
              <w:widowControl/>
              <w:shd w:val="clear"/>
              <w:spacing w:line="360" w:lineRule="auto"/>
              <w:jc w:val="left"/>
              <w:rPr>
                <w:rFonts w:ascii="宋体" w:cs="Arial"/>
                <w:bCs/>
                <w:i/>
                <w:color w:val="auto"/>
                <w:sz w:val="24"/>
                <w:highlight w:val="none"/>
              </w:rPr>
            </w:pPr>
          </w:p>
          <w:p>
            <w:pPr>
              <w:pStyle w:val="60"/>
              <w:widowControl/>
              <w:shd w:val="clear"/>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0"/>
              <w:widowControl/>
              <w:shd w:val="clear"/>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60"/>
              <w:widowControl/>
              <w:shd w:val="clear"/>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60"/>
              <w:widowControl/>
              <w:shd w:val="clear"/>
              <w:spacing w:line="360" w:lineRule="auto"/>
              <w:jc w:val="left"/>
              <w:rPr>
                <w:rFonts w:ascii="宋体" w:cs="Arial"/>
                <w:bCs/>
                <w:color w:val="auto"/>
                <w:sz w:val="24"/>
                <w:highlight w:val="none"/>
              </w:rPr>
            </w:pPr>
          </w:p>
        </w:tc>
        <w:tc>
          <w:tcPr>
            <w:tcW w:w="1373" w:type="dxa"/>
            <w:tcBorders>
              <w:bottom w:val="single" w:color="auto" w:sz="4" w:space="0"/>
            </w:tcBorders>
          </w:tcPr>
          <w:p>
            <w:pPr>
              <w:pStyle w:val="60"/>
              <w:widowControl/>
              <w:shd w:val="clear"/>
              <w:spacing w:line="360" w:lineRule="auto"/>
              <w:jc w:val="left"/>
              <w:rPr>
                <w:rFonts w:ascii="宋体" w:cs="Arial"/>
                <w:bCs/>
                <w:color w:val="auto"/>
                <w:sz w:val="24"/>
                <w:highlight w:val="none"/>
              </w:rPr>
            </w:pPr>
          </w:p>
        </w:tc>
      </w:tr>
    </w:tbl>
    <w:p>
      <w:pPr>
        <w:shd w:val="clear"/>
        <w:spacing w:line="360" w:lineRule="auto"/>
        <w:ind w:left="549" w:hanging="549" w:hangingChars="171"/>
        <w:jc w:val="center"/>
        <w:rPr>
          <w:rFonts w:hint="eastAsia" w:ascii="宋体" w:hAnsi="宋体"/>
          <w:b/>
          <w:color w:val="auto"/>
          <w:sz w:val="32"/>
          <w:szCs w:val="32"/>
          <w:highlight w:val="none"/>
        </w:rPr>
      </w:pPr>
    </w:p>
    <w:p>
      <w:pPr>
        <w:shd w:val="clear"/>
        <w:spacing w:line="360" w:lineRule="auto"/>
        <w:rPr>
          <w:rFonts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rPr>
          <w:rFonts w:hint="eastAsia" w:ascii="宋体" w:hAnsi="宋体" w:eastAsia="宋体" w:cs="宋体"/>
          <w:b w:val="0"/>
          <w:bCs w:val="0"/>
          <w:color w:val="auto"/>
          <w:sz w:val="24"/>
          <w:szCs w:val="32"/>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jc w:val="both"/>
        <w:rPr>
          <w:rFonts w:ascii="宋体"/>
          <w:b/>
          <w:color w:val="auto"/>
          <w:sz w:val="24"/>
          <w:szCs w:val="24"/>
          <w:highlight w:val="none"/>
        </w:rPr>
      </w:pPr>
    </w:p>
    <w:p>
      <w:pPr>
        <w:shd w:val="clear"/>
        <w:spacing w:line="360" w:lineRule="auto"/>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 xml:space="preserve">9     </w:t>
      </w:r>
      <w:r>
        <w:rPr>
          <w:rFonts w:hint="eastAsia" w:ascii="宋体" w:hAnsi="宋体" w:eastAsia="宋体" w:cs="宋体"/>
          <w:b/>
          <w:bCs/>
          <w:color w:val="auto"/>
          <w:sz w:val="28"/>
          <w:szCs w:val="36"/>
          <w:highlight w:val="none"/>
        </w:rPr>
        <w:t>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shd w:val="clea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hd w:val="clear"/>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shd w:val="clear"/>
        <w:jc w:val="center"/>
        <w:rPr>
          <w:rFonts w:ascii="宋体" w:hAnsi="宋体"/>
          <w:b/>
          <w:color w:val="auto"/>
          <w:spacing w:val="40"/>
          <w:sz w:val="84"/>
          <w:szCs w:val="84"/>
          <w:highlight w:val="none"/>
        </w:rPr>
      </w:pP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shd w:val="clea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shd w:val="clear"/>
        <w:jc w:val="center"/>
        <w:rPr>
          <w:rFonts w:ascii="宋体" w:hAnsi="宋体"/>
          <w:color w:val="auto"/>
          <w:sz w:val="36"/>
          <w:szCs w:val="36"/>
          <w:highlight w:val="none"/>
        </w:rPr>
      </w:pPr>
    </w:p>
    <w:p>
      <w:pPr>
        <w:shd w:val="clear"/>
        <w:jc w:val="center"/>
        <w:rPr>
          <w:rFonts w:ascii="宋体" w:hAnsi="宋体"/>
          <w:color w:val="auto"/>
          <w:sz w:val="36"/>
          <w:szCs w:val="36"/>
          <w:highlight w:val="none"/>
        </w:rPr>
      </w:pPr>
    </w:p>
    <w:p>
      <w:pPr>
        <w:shd w:val="clear"/>
        <w:spacing w:line="360" w:lineRule="auto"/>
        <w:ind w:right="532"/>
        <w:jc w:val="center"/>
        <w:rPr>
          <w:rFonts w:ascii="宋体" w:hAnsi="宋体"/>
          <w:color w:val="auto"/>
          <w:sz w:val="36"/>
          <w:szCs w:val="36"/>
          <w:highlight w:val="none"/>
        </w:rPr>
      </w:pPr>
    </w:p>
    <w:p>
      <w:pPr>
        <w:shd w:val="clear"/>
        <w:jc w:val="both"/>
        <w:rPr>
          <w:rFonts w:hint="eastAsia"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shd w:val="clear"/>
        <w:jc w:val="both"/>
        <w:rPr>
          <w:rFonts w:ascii="宋体" w:hAnsi="宋体"/>
          <w:color w:val="auto"/>
          <w:sz w:val="36"/>
          <w:szCs w:val="36"/>
          <w:highlight w:val="none"/>
        </w:rPr>
      </w:pPr>
      <w:r>
        <w:rPr>
          <w:rFonts w:hint="eastAsia" w:ascii="宋体" w:hAnsi="宋体"/>
          <w:color w:val="auto"/>
          <w:sz w:val="36"/>
          <w:szCs w:val="36"/>
          <w:highlight w:val="none"/>
        </w:rPr>
        <w:t>地址：</w:t>
      </w:r>
    </w:p>
    <w:p>
      <w:pPr>
        <w:shd w:val="clear"/>
        <w:jc w:val="both"/>
        <w:rPr>
          <w:rFonts w:ascii="宋体" w:hAnsi="宋体"/>
          <w:color w:val="auto"/>
          <w:sz w:val="36"/>
          <w:szCs w:val="36"/>
          <w:highlight w:val="none"/>
        </w:rPr>
      </w:pPr>
      <w:r>
        <w:rPr>
          <w:rFonts w:hint="eastAsia" w:ascii="宋体" w:hAnsi="宋体"/>
          <w:color w:val="auto"/>
          <w:sz w:val="36"/>
          <w:szCs w:val="36"/>
          <w:highlight w:val="none"/>
        </w:rPr>
        <w:t>时间：</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shd w:val="clear"/>
        <w:spacing w:line="360" w:lineRule="auto"/>
        <w:rPr>
          <w:rFonts w:ascii="宋体" w:hAnsi="宋体"/>
          <w:color w:val="auto"/>
          <w:sz w:val="24"/>
          <w:highlight w:val="none"/>
        </w:rPr>
      </w:pPr>
    </w:p>
    <w:p>
      <w:pPr>
        <w:shd w:val="clea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1、开标一览表（附件</w:t>
      </w:r>
      <w:r>
        <w:rPr>
          <w:rFonts w:hint="eastAsia" w:ascii="宋体" w:hAnsi="宋体" w:cs="宋体"/>
          <w:color w:val="auto"/>
          <w:sz w:val="28"/>
          <w:szCs w:val="36"/>
          <w:highlight w:val="none"/>
          <w:lang w:val="en-US" w:eastAsia="zh-CN"/>
        </w:rPr>
        <w:t>20</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shd w:val="clea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2、报价明细表（附件</w:t>
      </w:r>
      <w:r>
        <w:rPr>
          <w:rFonts w:hint="eastAsia" w:ascii="宋体" w:hAnsi="宋体" w:cs="宋体"/>
          <w:color w:val="auto"/>
          <w:sz w:val="28"/>
          <w:szCs w:val="36"/>
          <w:highlight w:val="none"/>
          <w:lang w:val="en-US" w:eastAsia="zh-CN"/>
        </w:rPr>
        <w:t>21</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shd w:val="clea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3、针对报价投标人认为其他需要说明的；</w:t>
      </w:r>
    </w:p>
    <w:p>
      <w:pPr>
        <w:shd w:val="clear"/>
        <w:bidi w:val="0"/>
        <w:spacing w:line="360" w:lineRule="auto"/>
        <w:ind w:firstLine="560" w:firstLineChars="200"/>
        <w:jc w:val="left"/>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4、中小企业</w:t>
      </w:r>
      <w:r>
        <w:rPr>
          <w:rFonts w:hint="eastAsia" w:ascii="宋体" w:hAnsi="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w:t>
      </w:r>
      <w:r>
        <w:rPr>
          <w:rFonts w:hint="eastAsia" w:ascii="宋体" w:hAnsi="宋体" w:cs="宋体"/>
          <w:color w:val="auto"/>
          <w:sz w:val="28"/>
          <w:szCs w:val="36"/>
          <w:highlight w:val="none"/>
          <w:lang w:val="en-US" w:eastAsia="zh-CN"/>
        </w:rPr>
        <w:t>22</w:t>
      </w:r>
      <w:r>
        <w:rPr>
          <w:rFonts w:hint="eastAsia" w:ascii="宋体" w:hAnsi="宋体" w:cs="宋体"/>
          <w:color w:val="auto"/>
          <w:sz w:val="28"/>
          <w:szCs w:val="36"/>
          <w:highlight w:val="none"/>
          <w:lang w:eastAsia="zh-CN"/>
        </w:rPr>
        <w:t>）。（如有需提供）</w:t>
      </w:r>
    </w:p>
    <w:p>
      <w:p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中小</w:t>
      </w:r>
      <w:r>
        <w:rPr>
          <w:rFonts w:hint="eastAsia" w:ascii="宋体" w:hAnsi="宋体" w:eastAsia="宋体" w:cs="宋体"/>
          <w:color w:val="auto"/>
          <w:sz w:val="28"/>
          <w:szCs w:val="28"/>
          <w:highlight w:val="none"/>
        </w:rPr>
        <w:t>企业等声明函填表说明：</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标的设备分别由不同制造商制造的，请按序号填写齐全所有标的</w:t>
      </w:r>
      <w:r>
        <w:rPr>
          <w:rFonts w:hint="eastAsia" w:ascii="宋体" w:hAnsi="宋体" w:eastAsia="宋体" w:cs="宋体"/>
          <w:b/>
          <w:bCs/>
          <w:color w:val="auto"/>
          <w:sz w:val="28"/>
          <w:szCs w:val="28"/>
          <w:highlight w:val="none"/>
          <w:u w:val="single"/>
        </w:rPr>
        <w:t>货物制造商</w:t>
      </w:r>
      <w:r>
        <w:rPr>
          <w:rFonts w:hint="eastAsia" w:ascii="宋体" w:hAnsi="宋体" w:eastAsia="宋体" w:cs="宋体"/>
          <w:color w:val="auto"/>
          <w:sz w:val="28"/>
          <w:szCs w:val="28"/>
          <w:highlight w:val="none"/>
        </w:rPr>
        <w:t>的信息。</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从业人员、营业收入、资产总额填报上一年度数据，无上一年度数据的新成立企业可不填报。</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为了更加准确判定制造商是否为小微企业，请供应商根据工业和信息化部官方网站---中小企业规模类型自测小程序来辨别制造商企业规模类型，中小企业规模类型自测小程序链接网址为</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"http://202.106.120.146/baosong/appweb/orgScale.html" </w:instrText>
      </w:r>
      <w:r>
        <w:rPr>
          <w:rFonts w:hint="eastAsia" w:ascii="宋体" w:hAnsi="宋体" w:eastAsia="宋体" w:cs="宋体"/>
          <w:color w:val="auto"/>
          <w:sz w:val="28"/>
          <w:szCs w:val="28"/>
          <w:highlight w:val="none"/>
        </w:rPr>
        <w:fldChar w:fldCharType="separate"/>
      </w:r>
      <w:r>
        <w:rPr>
          <w:rStyle w:val="32"/>
          <w:rFonts w:hint="eastAsia" w:ascii="宋体" w:hAnsi="宋体" w:eastAsia="宋体" w:cs="宋体"/>
          <w:color w:val="auto"/>
          <w:sz w:val="28"/>
          <w:szCs w:val="28"/>
          <w:highlight w:val="none"/>
        </w:rPr>
        <w:t>http://202.106.120.146/baosong/appweb/orgScale.html</w:t>
      </w:r>
      <w:r>
        <w:rPr>
          <w:rFonts w:hint="eastAsia" w:ascii="宋体" w:hAnsi="宋体" w:eastAsia="宋体" w:cs="宋体"/>
          <w:color w:val="auto"/>
          <w:sz w:val="28"/>
          <w:szCs w:val="28"/>
          <w:highlight w:val="none"/>
        </w:rPr>
        <w:fldChar w:fldCharType="end"/>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供应商未提供《中小企业声明函》的、《中小企业声明函》中内容应填写而未进行填写或未如实填写的，将不给予供应商小微企业报价优惠扣除。</w:t>
      </w:r>
    </w:p>
    <w:p>
      <w:pPr>
        <w:numPr>
          <w:ilvl w:val="0"/>
          <w:numId w:val="0"/>
        </w:numPr>
        <w:shd w:val="clear" w:color="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预成交供应商享受小微企业报价优惠扣除的，将按规定公开预成交供应商的《中小企业声明函》。</w:t>
      </w:r>
    </w:p>
    <w:p>
      <w:pPr>
        <w:numPr>
          <w:ilvl w:val="0"/>
          <w:numId w:val="0"/>
        </w:numPr>
        <w:shd w:val="clear" w:color="auto"/>
        <w:spacing w:line="360" w:lineRule="auto"/>
        <w:ind w:firstLine="56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如国家对中小企业划型标准有新的规定的，从其规定。</w:t>
      </w: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bidi w:val="0"/>
        <w:spacing w:line="360" w:lineRule="auto"/>
        <w:jc w:val="both"/>
        <w:rPr>
          <w:rFonts w:hint="eastAsia" w:ascii="宋体" w:hAnsi="宋体" w:eastAsia="宋体" w:cs="宋体"/>
          <w:b w:val="0"/>
          <w:bCs w:val="0"/>
          <w:color w:val="auto"/>
          <w:sz w:val="24"/>
          <w:szCs w:val="32"/>
          <w:highlight w:val="none"/>
          <w:lang w:eastAsia="zh-CN"/>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20</w:t>
      </w:r>
    </w:p>
    <w:p>
      <w:pPr>
        <w:shd w:val="clea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hd w:val="clear"/>
        <w:spacing w:line="360" w:lineRule="auto"/>
        <w:ind w:left="-2" w:hanging="2"/>
        <w:jc w:val="center"/>
        <w:rPr>
          <w:rFonts w:ascii="宋体" w:hAnsi="宋体"/>
          <w:b/>
          <w:color w:val="auto"/>
          <w:sz w:val="32"/>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shd w:val="clea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8"/>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shd w:val="clear"/>
              <w:autoSpaceDE w:val="0"/>
              <w:autoSpaceDN w:val="0"/>
              <w:spacing w:line="450" w:lineRule="exact"/>
              <w:jc w:val="center"/>
              <w:textAlignment w:val="bottom"/>
              <w:rPr>
                <w:rFonts w:hint="eastAsia" w:ascii="宋体" w:eastAsia="宋体"/>
                <w:color w:val="auto"/>
                <w:sz w:val="24"/>
                <w:highlight w:val="none"/>
                <w:lang w:eastAsia="zh-CN"/>
              </w:rPr>
            </w:pPr>
            <w:r>
              <w:rPr>
                <w:rFonts w:hint="eastAsia" w:ascii="宋体" w:hAnsi="宋体"/>
                <w:color w:val="auto"/>
                <w:sz w:val="24"/>
                <w:highlight w:val="none"/>
              </w:rPr>
              <w:t>投标总报价</w:t>
            </w:r>
            <w:r>
              <w:rPr>
                <w:rFonts w:hint="eastAsia" w:ascii="宋体" w:hAnsi="宋体"/>
                <w:color w:val="auto"/>
                <w:sz w:val="24"/>
                <w:highlight w:val="none"/>
                <w:lang w:eastAsia="zh-CN"/>
              </w:rPr>
              <w:t>（</w:t>
            </w:r>
            <w:r>
              <w:rPr>
                <w:rFonts w:hint="eastAsia" w:ascii="宋体" w:hAnsi="宋体"/>
                <w:color w:val="auto"/>
                <w:sz w:val="24"/>
                <w:highlight w:val="none"/>
              </w:rPr>
              <w:t>元</w:t>
            </w:r>
            <w:r>
              <w:rPr>
                <w:rFonts w:hint="eastAsia" w:ascii="宋体" w:hAnsi="宋体"/>
                <w:color w:val="auto"/>
                <w:sz w:val="24"/>
                <w:highlight w:val="none"/>
                <w:lang w:eastAsia="zh-CN"/>
              </w:rPr>
              <w:t>）</w:t>
            </w:r>
          </w:p>
        </w:tc>
        <w:tc>
          <w:tcPr>
            <w:tcW w:w="1349" w:type="dxa"/>
            <w:vAlign w:val="center"/>
          </w:tcPr>
          <w:p>
            <w:pPr>
              <w:shd w:val="clea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shd w:val="clea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shd w:val="clear"/>
              <w:rPr>
                <w:rFonts w:ascii="宋体"/>
                <w:color w:val="auto"/>
                <w:sz w:val="24"/>
                <w:highlight w:val="none"/>
              </w:rPr>
            </w:pPr>
          </w:p>
        </w:tc>
        <w:tc>
          <w:tcPr>
            <w:tcW w:w="1349" w:type="dxa"/>
            <w:vAlign w:val="center"/>
          </w:tcPr>
          <w:p>
            <w:pPr>
              <w:shd w:val="clea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shd w:val="clear"/>
              <w:autoSpaceDE w:val="0"/>
              <w:autoSpaceDN w:val="0"/>
              <w:spacing w:line="450" w:lineRule="exact"/>
              <w:jc w:val="center"/>
              <w:textAlignment w:val="bottom"/>
              <w:rPr>
                <w:rFonts w:ascii="宋体"/>
                <w:color w:val="auto"/>
                <w:sz w:val="24"/>
                <w:highlight w:val="none"/>
              </w:rPr>
            </w:pPr>
          </w:p>
        </w:tc>
      </w:tr>
    </w:tbl>
    <w:p>
      <w:pPr>
        <w:shd w:val="clea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p>
    <w:p>
      <w:pPr>
        <w:shd w:val="clea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hd w:val="clear"/>
        <w:spacing w:line="360" w:lineRule="auto"/>
        <w:rPr>
          <w:rFonts w:ascii="宋体" w:hAnsi="宋体"/>
          <w:color w:val="auto"/>
          <w:sz w:val="24"/>
          <w:highlight w:val="none"/>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21</w:t>
      </w:r>
    </w:p>
    <w:p>
      <w:pPr>
        <w:shd w:val="clea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shd w:val="clea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shd w:val="clea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hd w:val="clea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hd w:val="clea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hd w:val="clea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hd w:val="clear"/>
              <w:spacing w:line="360" w:lineRule="auto"/>
              <w:jc w:val="center"/>
              <w:rPr>
                <w:rFonts w:ascii="宋体"/>
                <w:color w:val="auto"/>
                <w:sz w:val="24"/>
                <w:highlight w:val="none"/>
              </w:rPr>
            </w:pPr>
          </w:p>
        </w:tc>
        <w:tc>
          <w:tcPr>
            <w:tcW w:w="1460"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1559" w:type="dxa"/>
            <w:vAlign w:val="center"/>
          </w:tcPr>
          <w:p>
            <w:pPr>
              <w:shd w:val="clear"/>
              <w:spacing w:line="360" w:lineRule="auto"/>
              <w:jc w:val="center"/>
              <w:rPr>
                <w:rFonts w:ascii="宋体"/>
                <w:color w:val="auto"/>
                <w:sz w:val="24"/>
                <w:highlight w:val="none"/>
              </w:rPr>
            </w:pPr>
          </w:p>
        </w:tc>
        <w:tc>
          <w:tcPr>
            <w:tcW w:w="851"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992" w:type="dxa"/>
            <w:vAlign w:val="center"/>
          </w:tcPr>
          <w:p>
            <w:pPr>
              <w:shd w:val="clear"/>
              <w:spacing w:line="360" w:lineRule="auto"/>
              <w:jc w:val="center"/>
              <w:rPr>
                <w:rFonts w:ascii="宋体"/>
                <w:color w:val="auto"/>
                <w:sz w:val="24"/>
                <w:highlight w:val="none"/>
              </w:rPr>
            </w:pPr>
          </w:p>
        </w:tc>
        <w:tc>
          <w:tcPr>
            <w:tcW w:w="709" w:type="dxa"/>
            <w:vAlign w:val="center"/>
          </w:tcPr>
          <w:p>
            <w:pPr>
              <w:shd w:val="clea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hd w:val="clea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shd w:val="clear"/>
        <w:bidi w:val="0"/>
        <w:spacing w:line="360" w:lineRule="auto"/>
        <w:jc w:val="left"/>
        <w:rPr>
          <w:rFonts w:hint="eastAsia" w:ascii="宋体" w:hAnsi="宋体" w:eastAsia="宋体" w:cs="宋体"/>
          <w:b/>
          <w:bCs/>
          <w:color w:val="auto"/>
          <w:sz w:val="24"/>
          <w:szCs w:val="32"/>
          <w:highlight w:val="none"/>
          <w:lang w:val="en-US" w:eastAsia="zh-CN"/>
        </w:rPr>
      </w:pPr>
    </w:p>
    <w:p>
      <w:pPr>
        <w:shd w:val="clea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shd w:val="clea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hd w:val="clea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hd w:val="clea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hd w:val="clea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hd w:val="clear"/>
        <w:bidi w:val="0"/>
        <w:spacing w:line="360" w:lineRule="auto"/>
        <w:rPr>
          <w:rFonts w:hint="eastAsia" w:ascii="宋体" w:hAnsi="宋体" w:eastAsia="宋体" w:cs="宋体"/>
          <w:b w:val="0"/>
          <w:bCs w:val="0"/>
          <w:color w:val="auto"/>
          <w:sz w:val="24"/>
          <w:szCs w:val="32"/>
          <w:highlight w:val="none"/>
        </w:rPr>
      </w:pPr>
    </w:p>
    <w:p>
      <w:pPr>
        <w:pStyle w:val="10"/>
        <w:shd w:val="clear"/>
        <w:rPr>
          <w:rFonts w:hint="eastAsia"/>
          <w:color w:val="auto"/>
          <w:highlight w:val="none"/>
        </w:rPr>
      </w:pPr>
    </w:p>
    <w:p>
      <w:pPr>
        <w:shd w:val="clea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22</w:t>
      </w:r>
    </w:p>
    <w:p>
      <w:pPr>
        <w:shd w:val="clea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中小企业声明函（货物）</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 xml:space="preserve">采购活动，提供的货物全部由符合政策要求的中小企业制造。相关企业的具体情况如下： </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4"/>
          <w:rFonts w:hint="eastAsia" w:ascii="宋体" w:hAnsi="宋体"/>
          <w:b w:val="0"/>
          <w:bCs/>
          <w:color w:val="auto"/>
          <w:sz w:val="24"/>
          <w:szCs w:val="24"/>
          <w:highlight w:val="none"/>
          <w:lang w:val="en-US" w:eastAsia="zh-CN"/>
        </w:rPr>
        <w:footnoteReference w:id="0"/>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hd w:val="clea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jc w:val="left"/>
        <w:rPr>
          <w:rFonts w:hint="eastAsia" w:ascii="宋体" w:hAnsi="宋体"/>
          <w:b w:val="0"/>
          <w:bCs/>
          <w:color w:val="auto"/>
          <w:sz w:val="24"/>
          <w:szCs w:val="24"/>
          <w:highlight w:val="none"/>
          <w:lang w:val="en-US" w:eastAsia="zh-CN"/>
        </w:rPr>
      </w:pPr>
    </w:p>
    <w:p>
      <w:pPr>
        <w:shd w:val="clear"/>
        <w:spacing w:line="360" w:lineRule="auto"/>
        <w:ind w:left="-2" w:hanging="2"/>
        <w:jc w:val="center"/>
        <w:rPr>
          <w:rFonts w:hint="eastAsia" w:ascii="宋体" w:hAnsi="宋体" w:eastAsia="宋体" w:cs="Times New Roman"/>
          <w:b/>
          <w:color w:val="auto"/>
          <w:sz w:val="32"/>
          <w:szCs w:val="32"/>
          <w:highlight w:val="none"/>
          <w:lang w:val="en-GB"/>
        </w:rPr>
      </w:pPr>
      <w:r>
        <w:rPr>
          <w:rFonts w:hint="eastAsia" w:ascii="宋体" w:hAnsi="宋体" w:eastAsia="宋体" w:cs="Times New Roman"/>
          <w:b/>
          <w:color w:val="auto"/>
          <w:sz w:val="32"/>
          <w:szCs w:val="32"/>
          <w:highlight w:val="none"/>
          <w:lang w:val="en-GB"/>
        </w:rPr>
        <w:t>残疾人福利性单位声明函</w:t>
      </w:r>
    </w:p>
    <w:p>
      <w:pPr>
        <w:shd w:val="clea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的规定，本单位为符合条件的残疾人福利性单位，且本单位参加单位的项目采购活动提供本单位制造的货物（由本单位承担工程/提供服务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，或者提供其他残疾人福利性单位制造的货物（不包括使用非残疾人福利性单位注册商标的货物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shd w:val="clea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hd w:val="clear"/>
        <w:bidi w:val="0"/>
        <w:spacing w:line="360" w:lineRule="auto"/>
        <w:ind w:firstLine="480" w:firstLineChars="200"/>
        <w:rPr>
          <w:rFonts w:hint="eastAsia" w:ascii="宋体" w:hAnsi="宋体" w:eastAsia="宋体" w:cs="宋体"/>
          <w:color w:val="auto"/>
          <w:sz w:val="24"/>
          <w:szCs w:val="24"/>
          <w:highlight w:val="none"/>
        </w:rPr>
      </w:pPr>
    </w:p>
    <w:p>
      <w:pPr>
        <w:shd w:val="clear"/>
        <w:spacing w:line="360" w:lineRule="auto"/>
        <w:ind w:firstLine="3120" w:firstLineChars="13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单位名称（单位公章）：</w:t>
      </w:r>
    </w:p>
    <w:p>
      <w:pPr>
        <w:shd w:val="clear"/>
        <w:spacing w:line="360" w:lineRule="auto"/>
        <w:ind w:firstLine="5040" w:firstLineChars="210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日期：</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年</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月</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日</w:t>
      </w:r>
    </w:p>
    <w:p>
      <w:pPr>
        <w:pStyle w:val="13"/>
        <w:shd w:val="clear"/>
        <w:rPr>
          <w:rFonts w:hint="eastAsia" w:ascii="宋体" w:hAnsi="宋体"/>
          <w:b w:val="0"/>
          <w:bCs/>
          <w:color w:val="auto"/>
          <w:sz w:val="24"/>
          <w:szCs w:val="24"/>
          <w:highlight w:val="none"/>
          <w:lang w:val="en-US" w:eastAsia="zh-CN"/>
        </w:rPr>
      </w:pPr>
    </w:p>
    <w:p>
      <w:pPr>
        <w:pStyle w:val="14"/>
        <w:shd w:val="clear"/>
        <w:rPr>
          <w:rFonts w:hint="eastAsia" w:ascii="宋体" w:hAnsi="宋体"/>
          <w:b w:val="0"/>
          <w:bCs/>
          <w:color w:val="auto"/>
          <w:sz w:val="24"/>
          <w:szCs w:val="24"/>
          <w:highlight w:val="none"/>
          <w:lang w:val="en-US" w:eastAsia="zh-CN"/>
        </w:rPr>
      </w:pPr>
    </w:p>
    <w:p>
      <w:pPr>
        <w:pStyle w:val="15"/>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13"/>
        <w:shd w:val="clear"/>
        <w:rPr>
          <w:rFonts w:hint="eastAsia" w:ascii="宋体" w:hAnsi="宋体"/>
          <w:b w:val="0"/>
          <w:bCs/>
          <w:color w:val="auto"/>
          <w:sz w:val="24"/>
          <w:szCs w:val="24"/>
          <w:highlight w:val="none"/>
          <w:lang w:val="en-US" w:eastAsia="zh-CN"/>
        </w:rPr>
      </w:pPr>
    </w:p>
    <w:p>
      <w:pPr>
        <w:pStyle w:val="14"/>
        <w:shd w:val="clear"/>
        <w:rPr>
          <w:rFonts w:hint="eastAsia" w:ascii="宋体" w:hAnsi="宋体"/>
          <w:b w:val="0"/>
          <w:bCs/>
          <w:color w:val="auto"/>
          <w:sz w:val="24"/>
          <w:szCs w:val="24"/>
          <w:highlight w:val="none"/>
          <w:lang w:val="en-US" w:eastAsia="zh-CN"/>
        </w:rPr>
      </w:pPr>
    </w:p>
    <w:p>
      <w:pPr>
        <w:pStyle w:val="15"/>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13"/>
        <w:shd w:val="clear"/>
        <w:rPr>
          <w:rFonts w:hint="eastAsia" w:ascii="宋体" w:hAnsi="宋体"/>
          <w:b w:val="0"/>
          <w:bCs/>
          <w:color w:val="auto"/>
          <w:sz w:val="24"/>
          <w:szCs w:val="24"/>
          <w:highlight w:val="none"/>
          <w:lang w:val="en-US" w:eastAsia="zh-CN"/>
        </w:rPr>
      </w:pPr>
    </w:p>
    <w:p>
      <w:pPr>
        <w:pStyle w:val="14"/>
        <w:shd w:val="clear"/>
        <w:rPr>
          <w:rFonts w:hint="eastAsia" w:ascii="宋体" w:hAnsi="宋体"/>
          <w:b w:val="0"/>
          <w:bCs/>
          <w:color w:val="auto"/>
          <w:sz w:val="24"/>
          <w:szCs w:val="24"/>
          <w:highlight w:val="none"/>
          <w:lang w:val="en-US" w:eastAsia="zh-CN"/>
        </w:rPr>
      </w:pPr>
    </w:p>
    <w:p>
      <w:pPr>
        <w:pStyle w:val="15"/>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13"/>
        <w:shd w:val="clear"/>
        <w:rPr>
          <w:rFonts w:hint="eastAsia" w:ascii="宋体" w:hAnsi="宋体"/>
          <w:b w:val="0"/>
          <w:bCs/>
          <w:color w:val="auto"/>
          <w:sz w:val="24"/>
          <w:szCs w:val="24"/>
          <w:highlight w:val="none"/>
          <w:lang w:val="en-US" w:eastAsia="zh-CN"/>
        </w:rPr>
      </w:pPr>
    </w:p>
    <w:p>
      <w:pPr>
        <w:pStyle w:val="14"/>
        <w:shd w:val="clear"/>
        <w:rPr>
          <w:rFonts w:hint="eastAsia" w:ascii="宋体" w:hAnsi="宋体"/>
          <w:b w:val="0"/>
          <w:bCs/>
          <w:color w:val="auto"/>
          <w:sz w:val="24"/>
          <w:szCs w:val="24"/>
          <w:highlight w:val="none"/>
          <w:lang w:val="en-US" w:eastAsia="zh-CN"/>
        </w:rPr>
      </w:pPr>
    </w:p>
    <w:p>
      <w:pPr>
        <w:pStyle w:val="15"/>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13"/>
        <w:shd w:val="clear"/>
        <w:rPr>
          <w:rFonts w:hint="eastAsia" w:ascii="宋体" w:hAnsi="宋体"/>
          <w:b w:val="0"/>
          <w:bCs/>
          <w:color w:val="auto"/>
          <w:sz w:val="24"/>
          <w:szCs w:val="24"/>
          <w:highlight w:val="none"/>
          <w:lang w:val="en-US" w:eastAsia="zh-CN"/>
        </w:rPr>
      </w:pPr>
    </w:p>
    <w:p>
      <w:pPr>
        <w:pStyle w:val="14"/>
        <w:shd w:val="clear"/>
        <w:rPr>
          <w:rFonts w:hint="eastAsia" w:ascii="宋体" w:hAnsi="宋体"/>
          <w:b w:val="0"/>
          <w:bCs/>
          <w:color w:val="auto"/>
          <w:sz w:val="24"/>
          <w:szCs w:val="24"/>
          <w:highlight w:val="none"/>
          <w:lang w:val="en-US" w:eastAsia="zh-CN"/>
        </w:rPr>
      </w:pPr>
    </w:p>
    <w:p>
      <w:pPr>
        <w:pStyle w:val="15"/>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13"/>
        <w:shd w:val="clear"/>
        <w:rPr>
          <w:rFonts w:hint="eastAsia" w:ascii="宋体" w:hAnsi="宋体"/>
          <w:b w:val="0"/>
          <w:bCs/>
          <w:color w:val="auto"/>
          <w:sz w:val="24"/>
          <w:szCs w:val="24"/>
          <w:highlight w:val="none"/>
          <w:lang w:val="en-US" w:eastAsia="zh-CN"/>
        </w:rPr>
      </w:pPr>
    </w:p>
    <w:p>
      <w:pPr>
        <w:pStyle w:val="14"/>
        <w:shd w:val="clear"/>
        <w:rPr>
          <w:rFonts w:hint="eastAsia" w:ascii="宋体" w:hAnsi="宋体"/>
          <w:b w:val="0"/>
          <w:bCs/>
          <w:color w:val="auto"/>
          <w:sz w:val="24"/>
          <w:szCs w:val="24"/>
          <w:highlight w:val="none"/>
          <w:lang w:val="en-US" w:eastAsia="zh-CN"/>
        </w:rPr>
      </w:pPr>
    </w:p>
    <w:p>
      <w:pPr>
        <w:pStyle w:val="15"/>
        <w:shd w:val="clear"/>
        <w:rPr>
          <w:rFonts w:hint="eastAsia" w:ascii="宋体" w:hAnsi="宋体"/>
          <w:b w:val="0"/>
          <w:bCs/>
          <w:color w:val="auto"/>
          <w:sz w:val="24"/>
          <w:szCs w:val="24"/>
          <w:highlight w:val="none"/>
          <w:lang w:val="en-US" w:eastAsia="zh-CN"/>
        </w:rPr>
      </w:pPr>
    </w:p>
    <w:p>
      <w:pPr>
        <w:shd w:val="clear"/>
        <w:rPr>
          <w:rFonts w:hint="eastAsia" w:ascii="宋体" w:hAnsi="宋体"/>
          <w:b w:val="0"/>
          <w:bCs/>
          <w:color w:val="auto"/>
          <w:sz w:val="24"/>
          <w:szCs w:val="24"/>
          <w:highlight w:val="none"/>
          <w:lang w:val="en-US" w:eastAsia="zh-CN"/>
        </w:rPr>
      </w:pPr>
    </w:p>
    <w:p>
      <w:pPr>
        <w:pStyle w:val="13"/>
        <w:shd w:val="clear"/>
        <w:rPr>
          <w:rFonts w:hint="eastAsia" w:ascii="宋体" w:hAnsi="宋体"/>
          <w:b w:val="0"/>
          <w:bCs/>
          <w:color w:val="auto"/>
          <w:sz w:val="24"/>
          <w:szCs w:val="24"/>
          <w:highlight w:val="none"/>
          <w:lang w:val="en-US" w:eastAsia="zh-CN"/>
        </w:rPr>
      </w:pPr>
    </w:p>
    <w:p>
      <w:pPr>
        <w:pStyle w:val="13"/>
        <w:shd w:val="clear"/>
        <w:rPr>
          <w:rFonts w:hint="eastAsia" w:ascii="宋体" w:hAnsi="宋体"/>
          <w:b w:val="0"/>
          <w:bCs/>
          <w:color w:val="auto"/>
          <w:sz w:val="24"/>
          <w:szCs w:val="24"/>
          <w:highlight w:val="none"/>
          <w:lang w:val="en-US" w:eastAsia="zh-CN"/>
        </w:rPr>
      </w:pPr>
    </w:p>
    <w:p>
      <w:pPr>
        <w:pStyle w:val="14"/>
        <w:shd w:val="clear"/>
        <w:rPr>
          <w:rFonts w:hint="eastAsia" w:ascii="宋体" w:hAnsi="宋体"/>
          <w:b w:val="0"/>
          <w:bCs/>
          <w:color w:val="auto"/>
          <w:sz w:val="24"/>
          <w:szCs w:val="2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20" w:lineRule="exact"/>
        <w:jc w:val="both"/>
        <w:textAlignment w:val="auto"/>
        <w:rPr>
          <w:rFonts w:hint="eastAsia" w:ascii="宋体" w:hAnsi="宋体" w:cs="宋体"/>
          <w:b/>
          <w:bCs/>
          <w:color w:val="auto"/>
          <w:sz w:val="28"/>
          <w:szCs w:val="36"/>
          <w:highlight w:val="none"/>
          <w:lang w:val="en-GB" w:eastAsia="zh-CN"/>
        </w:rPr>
      </w:pPr>
      <w:r>
        <w:rPr>
          <w:rFonts w:hint="eastAsia" w:ascii="宋体" w:hAnsi="宋体" w:cs="宋体"/>
          <w:b/>
          <w:bCs/>
          <w:color w:val="auto"/>
          <w:sz w:val="28"/>
          <w:szCs w:val="36"/>
          <w:highlight w:val="none"/>
          <w:lang w:val="en-GB" w:eastAsia="zh-CN"/>
        </w:rPr>
        <w:t>附件</w:t>
      </w:r>
      <w:r>
        <w:rPr>
          <w:rFonts w:hint="eastAsia" w:ascii="宋体" w:hAnsi="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en-GB" w:eastAsia="zh-CN"/>
        </w:rPr>
        <w:t>政府采购活动确认声明书</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rPr>
      </w:pPr>
      <w:r>
        <w:rPr>
          <w:rFonts w:hint="eastAsia" w:ascii="宋体" w:hAnsi="宋体" w:cs="宋体"/>
          <w:color w:val="auto"/>
          <w:sz w:val="24"/>
          <w:highlight w:val="none"/>
          <w:u w:val="single"/>
        </w:rPr>
        <w:t>浙江五石中正工程咨询有限公司</w:t>
      </w:r>
      <w:r>
        <w:rPr>
          <w:rFonts w:hint="eastAsia" w:ascii="宋体" w:hAnsi="宋体" w:cs="宋体"/>
          <w:color w:val="auto"/>
          <w:sz w:val="24"/>
          <w:highlight w:val="none"/>
        </w:rPr>
        <w:t>（采购组织机构名称）：</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lang w:val="zh-CN"/>
        </w:rPr>
      </w:pPr>
      <w:r>
        <w:rPr>
          <w:rFonts w:hint="eastAsia" w:ascii="宋体" w:hAnsi="宋体" w:cs="宋体"/>
          <w:color w:val="auto"/>
          <w:sz w:val="24"/>
          <w:highlight w:val="none"/>
          <w:u w:val="none"/>
          <w:lang w:val="zh-CN"/>
        </w:rPr>
        <w:t>本人经由</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none"/>
          <w:lang w:val="zh-CN"/>
        </w:rPr>
        <w:t>单位</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none"/>
          <w:lang w:val="zh-CN"/>
        </w:rPr>
        <w:t>（法人代表）合法授权参加</w:t>
      </w:r>
      <w:r>
        <w:rPr>
          <w:rFonts w:hint="eastAsia" w:ascii="宋体" w:hAnsi="宋体" w:cs="宋体"/>
          <w:b/>
          <w:bCs/>
          <w:color w:val="auto"/>
          <w:sz w:val="24"/>
          <w:highlight w:val="none"/>
          <w:u w:val="single"/>
          <w:lang w:val="zh-CN"/>
        </w:rPr>
        <w:t>台州市立医院呼吸机采购项目</w:t>
      </w:r>
      <w:r>
        <w:rPr>
          <w:rFonts w:hint="eastAsia" w:ascii="宋体" w:hAnsi="宋体" w:cs="宋体"/>
          <w:color w:val="auto"/>
          <w:sz w:val="24"/>
          <w:highlight w:val="none"/>
          <w:u w:val="none"/>
          <w:lang w:val="zh-CN"/>
        </w:rPr>
        <w:t>（</w:t>
      </w:r>
      <w:r>
        <w:rPr>
          <w:rFonts w:hint="eastAsia" w:ascii="宋体" w:hAnsi="宋体" w:cs="宋体"/>
          <w:color w:val="auto"/>
          <w:sz w:val="24"/>
          <w:highlight w:val="none"/>
          <w:u w:val="none"/>
        </w:rPr>
        <w:t>项目</w:t>
      </w:r>
      <w:r>
        <w:rPr>
          <w:rFonts w:hint="eastAsia" w:ascii="宋体" w:hAnsi="宋体" w:cs="宋体"/>
          <w:color w:val="auto"/>
          <w:sz w:val="24"/>
          <w:highlight w:val="none"/>
          <w:u w:val="none"/>
          <w:lang w:val="zh-CN"/>
        </w:rPr>
        <w:t>编号：</w:t>
      </w:r>
      <w:r>
        <w:rPr>
          <w:rFonts w:hint="eastAsia" w:ascii="宋体" w:hAnsi="宋体" w:cs="宋体"/>
          <w:b/>
          <w:bCs/>
          <w:color w:val="auto"/>
          <w:sz w:val="24"/>
          <w:highlight w:val="none"/>
          <w:u w:val="single"/>
          <w:lang w:val="zh-CN"/>
        </w:rPr>
        <w:t>ZJWS2023-JJ109</w:t>
      </w:r>
      <w:r>
        <w:rPr>
          <w:rFonts w:hint="eastAsia" w:ascii="宋体" w:hAnsi="宋体" w:cs="宋体"/>
          <w:color w:val="auto"/>
          <w:sz w:val="24"/>
          <w:highlight w:val="none"/>
          <w:u w:val="none"/>
          <w:lang w:val="zh-CN"/>
        </w:rPr>
        <w:t>）政府采购活动，经与本单位法人代表（负责人）联系确认，现就有关公平竞争事项郑重声明如下：</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一、本单位与采购人之间</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□不存在利害关系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□存在下列利害关系</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A.投资关系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B.行政隶属关系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C.业务指导关系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D.其他可能影响采购公正的利害关系</w:t>
      </w:r>
      <w:r>
        <w:rPr>
          <w:rFonts w:hint="eastAsia" w:ascii="宋体" w:hAnsi="宋体" w:cs="宋体"/>
          <w:color w:val="auto"/>
          <w:sz w:val="24"/>
          <w:highlight w:val="none"/>
          <w:u w:val="none"/>
          <w:lang w:eastAsia="zh-CN"/>
        </w:rPr>
        <w:t>（如有，请如实说明）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二、现已清楚知道参加本项目采购活动的其他所有供应商名称，本单位</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□与其他所有供应商之间均不存在利害关系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（供应商名称）</w:t>
      </w:r>
      <w:r>
        <w:rPr>
          <w:rFonts w:hint="eastAsia" w:ascii="宋体" w:hAnsi="宋体" w:cs="宋体"/>
          <w:color w:val="auto"/>
          <w:sz w:val="24"/>
          <w:highlight w:val="none"/>
          <w:u w:val="none"/>
        </w:rPr>
        <w:t>之间存在下列利害关系</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A.法定代表人或负责人或实际控制人是同一人</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B.法定代表人或负责人或实际控制人是夫妻关系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C.法定代表人或负责人或实际控制人是直系血亲关系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D.法定代表人或负责人或实际控制人存在三代以内旁系血亲关系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E.法定代表人或负责人或实际控制人存在近姻亲关系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F.法定代表人或负责人或实际控制人存在股份控制或实际控制关系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G.存在共同直接或间接投资设立子公司、联营企业和合营企业情况</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H.存在分级代理或代销关系、同一生产制造商关系、管理关系、重要业务（占主营业务收入50%以上）或重要财务往来关系（如融资）等其他实质性控制关系</w:t>
      </w:r>
    </w:p>
    <w:p>
      <w:pPr>
        <w:keepNext w:val="0"/>
        <w:keepLines w:val="0"/>
        <w:pageBreakBefore w:val="0"/>
        <w:widowControl w:val="0"/>
        <w:shd w:val="clea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I.其他利害关系情况</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三、现已清楚知道并严格遵守政府采购法律法规和现场纪律。</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四、我发现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供应商之间存在或可能存在上述第二条第</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项利害关系。</w:t>
      </w:r>
    </w:p>
    <w:p>
      <w:pPr>
        <w:keepNext w:val="0"/>
        <w:keepLines w:val="0"/>
        <w:pageBreakBefore w:val="0"/>
        <w:widowControl w:val="0"/>
        <w:shd w:val="clear"/>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sz w:val="24"/>
          <w:highlight w:val="none"/>
          <w:u w:val="none"/>
          <w:lang w:eastAsia="zh-CN"/>
        </w:rPr>
      </w:pPr>
      <w:r>
        <w:rPr>
          <w:rFonts w:hint="eastAsia" w:ascii="宋体" w:hAnsi="宋体" w:cs="宋体"/>
          <w:b w:val="0"/>
          <w:bCs w:val="0"/>
          <w:color w:val="auto"/>
          <w:sz w:val="24"/>
          <w:highlight w:val="none"/>
          <w:u w:val="none"/>
          <w:lang w:eastAsia="zh-CN"/>
        </w:rPr>
        <w:t>五、本单位若有违反诚信投标、采购法律法规等行为，愿意按照招标文件规定接受投标担保的处理。如已中标，自动放弃中标资格；给招标人造成损失的，依法承担赔偿责任。</w:t>
      </w:r>
    </w:p>
    <w:p>
      <w:pPr>
        <w:keepNext w:val="0"/>
        <w:keepLines w:val="0"/>
        <w:pageBreakBefore w:val="0"/>
        <w:widowControl w:val="0"/>
        <w:shd w:val="clear"/>
        <w:kinsoku/>
        <w:wordWrap/>
        <w:overflowPunct/>
        <w:topLinePunct w:val="0"/>
        <w:autoSpaceDE/>
        <w:autoSpaceDN/>
        <w:bidi w:val="0"/>
        <w:adjustRightInd/>
        <w:snapToGrid/>
        <w:spacing w:line="420" w:lineRule="exact"/>
        <w:ind w:firstLine="4819" w:firstLineChars="2000"/>
        <w:textAlignment w:val="auto"/>
        <w:rPr>
          <w:rFonts w:hint="eastAsia" w:ascii="宋体" w:hAnsi="宋体" w:cs="宋体"/>
          <w:b/>
          <w:bCs/>
          <w:color w:val="auto"/>
          <w:sz w:val="24"/>
          <w:highlight w:val="none"/>
          <w:u w:val="none"/>
        </w:rPr>
      </w:pPr>
      <w:r>
        <w:rPr>
          <w:rFonts w:hint="eastAsia" w:ascii="宋体" w:hAnsi="宋体" w:cs="宋体"/>
          <w:b/>
          <w:bCs/>
          <w:color w:val="auto"/>
          <w:sz w:val="24"/>
          <w:highlight w:val="none"/>
          <w:u w:val="none"/>
        </w:rPr>
        <w:t>供应商代表签名：</w:t>
      </w:r>
    </w:p>
    <w:p>
      <w:pPr>
        <w:keepNext w:val="0"/>
        <w:keepLines w:val="0"/>
        <w:pageBreakBefore w:val="0"/>
        <w:widowControl w:val="0"/>
        <w:shd w:val="clear"/>
        <w:kinsoku/>
        <w:wordWrap/>
        <w:overflowPunct/>
        <w:topLinePunct w:val="0"/>
        <w:autoSpaceDE/>
        <w:autoSpaceDN/>
        <w:bidi w:val="0"/>
        <w:adjustRightInd/>
        <w:snapToGrid/>
        <w:spacing w:line="420" w:lineRule="exact"/>
        <w:jc w:val="righ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202</w:t>
      </w:r>
      <w:r>
        <w:rPr>
          <w:rFonts w:hint="eastAsia" w:ascii="宋体" w:hAnsi="宋体" w:cs="宋体"/>
          <w:color w:val="auto"/>
          <w:sz w:val="24"/>
          <w:highlight w:val="none"/>
          <w:u w:val="none"/>
          <w:lang w:val="en-US" w:eastAsia="zh-CN"/>
        </w:rPr>
        <w:t>3</w:t>
      </w:r>
      <w:r>
        <w:rPr>
          <w:rFonts w:hint="eastAsia" w:ascii="宋体" w:hAnsi="宋体" w:cs="宋体"/>
          <w:color w:val="auto"/>
          <w:sz w:val="24"/>
          <w:highlight w:val="none"/>
          <w:u w:val="none"/>
        </w:rPr>
        <w:t>年  月  日</w:t>
      </w:r>
    </w:p>
    <w:p>
      <w:pPr>
        <w:keepNext w:val="0"/>
        <w:keepLines w:val="0"/>
        <w:pageBreakBefore w:val="0"/>
        <w:widowControl w:val="0"/>
        <w:shd w:val="clear"/>
        <w:kinsoku/>
        <w:wordWrap/>
        <w:overflowPunct/>
        <w:topLinePunct w:val="0"/>
        <w:autoSpaceDE/>
        <w:autoSpaceDN/>
        <w:bidi w:val="0"/>
        <w:adjustRightInd/>
        <w:snapToGrid/>
        <w:spacing w:line="420" w:lineRule="exact"/>
        <w:ind w:firstLine="482" w:firstLineChars="200"/>
        <w:textAlignment w:val="auto"/>
        <w:rPr>
          <w:rFonts w:hint="eastAsia"/>
          <w:color w:val="auto"/>
          <w:highlight w:val="none"/>
          <w:lang w:val="en-US" w:eastAsia="zh-CN"/>
        </w:rPr>
      </w:pPr>
      <w:r>
        <w:rPr>
          <w:rFonts w:hint="eastAsia" w:ascii="宋体" w:hAnsi="宋体" w:eastAsia="宋体" w:cs="宋体"/>
          <w:b/>
          <w:bCs/>
          <w:color w:val="auto"/>
          <w:sz w:val="24"/>
          <w:highlight w:val="none"/>
          <w:u w:val="none"/>
          <w:lang w:eastAsia="zh-CN"/>
        </w:rPr>
        <w:t>说明：</w:t>
      </w:r>
      <w:r>
        <w:rPr>
          <w:rFonts w:hint="eastAsia" w:ascii="宋体" w:hAnsi="宋体" w:cs="宋体"/>
          <w:b/>
          <w:bCs/>
          <w:color w:val="auto"/>
          <w:sz w:val="24"/>
          <w:highlight w:val="none"/>
          <w:u w:val="none"/>
          <w:lang w:eastAsia="zh-CN"/>
        </w:rPr>
        <w:t>资格及</w:t>
      </w:r>
      <w:r>
        <w:rPr>
          <w:rFonts w:hint="eastAsia" w:ascii="宋体" w:hAnsi="宋体" w:eastAsia="宋体" w:cs="宋体"/>
          <w:b/>
          <w:bCs/>
          <w:color w:val="auto"/>
          <w:sz w:val="24"/>
          <w:highlight w:val="none"/>
          <w:u w:val="none"/>
          <w:lang w:eastAsia="zh-CN"/>
        </w:rPr>
        <w:t>商务技术文件开启后30分钟内，供应商通过邮件形式将经授权代表签署的《</w:t>
      </w:r>
      <w:r>
        <w:rPr>
          <w:rFonts w:hint="eastAsia" w:ascii="宋体" w:hAnsi="宋体" w:eastAsia="宋体" w:cs="宋体"/>
          <w:b/>
          <w:bCs/>
          <w:color w:val="auto"/>
          <w:sz w:val="24"/>
          <w:highlight w:val="none"/>
          <w:u w:val="none"/>
          <w:lang w:val="en-GB" w:eastAsia="zh-CN"/>
        </w:rPr>
        <w:t>政府采购活动确认声明书</w:t>
      </w:r>
      <w:r>
        <w:rPr>
          <w:rFonts w:hint="eastAsia" w:ascii="宋体" w:hAnsi="宋体" w:eastAsia="宋体" w:cs="宋体"/>
          <w:b/>
          <w:bCs/>
          <w:color w:val="auto"/>
          <w:sz w:val="24"/>
          <w:highlight w:val="none"/>
          <w:u w:val="none"/>
          <w:lang w:eastAsia="zh-CN"/>
        </w:rPr>
        <w:t>》扫描件发至代理机构邮箱（邮箱地址：</w:t>
      </w:r>
      <w:r>
        <w:rPr>
          <w:rFonts w:hint="eastAsia" w:ascii="宋体" w:hAnsi="宋体" w:eastAsia="宋体" w:cs="宋体"/>
          <w:b/>
          <w:bCs/>
          <w:color w:val="auto"/>
          <w:sz w:val="24"/>
          <w:highlight w:val="none"/>
          <w:u w:val="none"/>
          <w:lang w:eastAsia="zh-CN"/>
        </w:rPr>
        <w:fldChar w:fldCharType="begin"/>
      </w:r>
      <w:r>
        <w:rPr>
          <w:rFonts w:hint="eastAsia" w:ascii="宋体" w:hAnsi="宋体" w:eastAsia="宋体" w:cs="宋体"/>
          <w:b/>
          <w:bCs/>
          <w:color w:val="auto"/>
          <w:sz w:val="24"/>
          <w:highlight w:val="none"/>
          <w:u w:val="none"/>
          <w:lang w:eastAsia="zh-CN"/>
        </w:rPr>
        <w:instrText xml:space="preserve"> HYPERLINK "mailto:303054329@qq.com）；" </w:instrText>
      </w:r>
      <w:r>
        <w:rPr>
          <w:rFonts w:hint="eastAsia" w:ascii="宋体" w:hAnsi="宋体" w:eastAsia="宋体" w:cs="宋体"/>
          <w:b/>
          <w:bCs/>
          <w:color w:val="auto"/>
          <w:sz w:val="24"/>
          <w:highlight w:val="none"/>
          <w:u w:val="none"/>
          <w:lang w:eastAsia="zh-CN"/>
        </w:rPr>
        <w:fldChar w:fldCharType="separate"/>
      </w:r>
      <w:r>
        <w:rPr>
          <w:rFonts w:hint="eastAsia" w:ascii="宋体" w:hAnsi="宋体" w:cs="宋体"/>
          <w:b/>
          <w:bCs/>
          <w:color w:val="auto"/>
          <w:sz w:val="24"/>
          <w:highlight w:val="none"/>
          <w:u w:val="none"/>
          <w:lang w:val="en-US" w:eastAsia="zh-CN"/>
        </w:rPr>
        <w:t>zjwstz@163</w:t>
      </w:r>
      <w:r>
        <w:rPr>
          <w:rFonts w:hint="eastAsia" w:ascii="宋体" w:hAnsi="宋体" w:eastAsia="宋体" w:cs="宋体"/>
          <w:b/>
          <w:bCs/>
          <w:color w:val="auto"/>
          <w:sz w:val="24"/>
          <w:highlight w:val="none"/>
          <w:u w:val="none"/>
          <w:lang w:eastAsia="zh-CN"/>
        </w:rPr>
        <w:t>.com）；</w:t>
      </w:r>
      <w:r>
        <w:rPr>
          <w:rFonts w:hint="eastAsia" w:ascii="宋体" w:hAnsi="宋体" w:eastAsia="宋体" w:cs="宋体"/>
          <w:b/>
          <w:bCs/>
          <w:color w:val="auto"/>
          <w:sz w:val="24"/>
          <w:highlight w:val="none"/>
          <w:u w:val="none"/>
          <w:lang w:eastAsia="zh-CN"/>
        </w:rPr>
        <w:fldChar w:fldCharType="end"/>
      </w:r>
      <w:r>
        <w:rPr>
          <w:rFonts w:hint="eastAsia" w:ascii="宋体" w:hAnsi="宋体" w:eastAsia="宋体" w:cs="宋体"/>
          <w:b/>
          <w:bCs/>
          <w:color w:val="auto"/>
          <w:sz w:val="24"/>
          <w:highlight w:val="none"/>
          <w:u w:val="none"/>
          <w:lang w:eastAsia="zh-CN"/>
        </w:rPr>
        <w:t>不填写或未按规定发出邮件的，视同默认不存在确认声明书中的相关违规情形。</w:t>
      </w:r>
    </w:p>
    <w:bookmarkEnd w:id="3"/>
    <w:sectPr>
      <w:headerReference r:id="rId4" w:type="default"/>
      <w:pgSz w:w="11906" w:h="16838"/>
      <w:pgMar w:top="1327" w:right="1746" w:bottom="1327" w:left="1746"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000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0000202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snapToGrid w:val="0"/>
      </w:pPr>
      <w:r>
        <w:rPr>
          <w:rStyle w:val="34"/>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lang w:eastAsia="zh-CN"/>
      </w:rPr>
      <w:t>台州市</w:t>
    </w:r>
    <w:r>
      <w:rPr>
        <w:rFonts w:hint="eastAsia"/>
        <w:b/>
        <w:i/>
        <w:color w:val="000000"/>
        <w:kern w:val="0"/>
        <w:sz w:val="18"/>
        <w:u w:val="single"/>
      </w:rPr>
      <w:t>政府采购</w:t>
    </w:r>
    <w:r>
      <w:rPr>
        <w:rFonts w:hint="eastAsia"/>
        <w:b/>
        <w:i/>
        <w:color w:val="000000"/>
        <w:kern w:val="0"/>
        <w:sz w:val="18"/>
        <w:u w:val="single"/>
        <w:lang w:val="en-US" w:eastAsia="zh-CN"/>
      </w:rPr>
      <w:t>电子</w:t>
    </w:r>
    <w:r>
      <w:rPr>
        <w:rFonts w:hint="eastAsia"/>
        <w:b/>
        <w:i/>
        <w:color w:val="000000"/>
        <w:kern w:val="0"/>
        <w:sz w:val="18"/>
        <w:u w:val="single"/>
      </w:rPr>
      <w:t>招标文件</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1</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51</w:t>
    </w:r>
    <w:r>
      <w:rPr>
        <w:b/>
        <w:i/>
        <w:color w:val="000000"/>
        <w:spacing w:val="-20"/>
        <w:kern w:val="0"/>
        <w:sz w:val="18"/>
        <w:u w:val="single"/>
      </w:rPr>
      <w:fldChar w:fldCharType="end"/>
    </w:r>
    <w:r>
      <w:rPr>
        <w:rFonts w:hint="eastAsia"/>
        <w:b/>
        <w:i/>
        <w:color w:val="000000"/>
        <w:spacing w:val="-20"/>
        <w:kern w:val="0"/>
        <w:sz w:val="18"/>
        <w:u w:val="single"/>
      </w:rPr>
      <w:t>页</w:t>
    </w:r>
  </w:p>
  <w:p>
    <w:pPr>
      <w:pStyle w:val="21"/>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pStyle w:val="9"/>
      <w:lvlText w:val="%1."/>
      <w:lvlJc w:val="left"/>
      <w:pPr>
        <w:tabs>
          <w:tab w:val="left" w:pos="360"/>
        </w:tabs>
        <w:ind w:left="360" w:hanging="360"/>
      </w:pPr>
      <w:rPr>
        <w:rFonts w:cs="Times New Roman"/>
      </w:rPr>
    </w:lvl>
  </w:abstractNum>
  <w:abstractNum w:abstractNumId="1">
    <w:nsid w:val="00000001"/>
    <w:multiLevelType w:val="multilevel"/>
    <w:tmpl w:val="00000001"/>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8"/>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62613680"/>
    <w:multiLevelType w:val="singleLevel"/>
    <w:tmpl w:val="62613680"/>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ODY0ZTg1NDQ2NDcxMTQ3ODYwY2I4Y2IxODUyMTkifQ=="/>
  </w:docVars>
  <w:rsids>
    <w:rsidRoot w:val="00000000"/>
    <w:rsid w:val="008A5E11"/>
    <w:rsid w:val="02452626"/>
    <w:rsid w:val="027A149C"/>
    <w:rsid w:val="02C3130A"/>
    <w:rsid w:val="03C84489"/>
    <w:rsid w:val="043D4E77"/>
    <w:rsid w:val="049F37E8"/>
    <w:rsid w:val="04F003F6"/>
    <w:rsid w:val="05413556"/>
    <w:rsid w:val="05443B9C"/>
    <w:rsid w:val="068341D1"/>
    <w:rsid w:val="08587D6A"/>
    <w:rsid w:val="08B66FA6"/>
    <w:rsid w:val="0A5E6D41"/>
    <w:rsid w:val="0AEF6CC9"/>
    <w:rsid w:val="0C160487"/>
    <w:rsid w:val="0CCA2FA2"/>
    <w:rsid w:val="11AE0174"/>
    <w:rsid w:val="139C2968"/>
    <w:rsid w:val="1643254A"/>
    <w:rsid w:val="17600212"/>
    <w:rsid w:val="17610AA6"/>
    <w:rsid w:val="18BC1EF6"/>
    <w:rsid w:val="18E4600E"/>
    <w:rsid w:val="18F01085"/>
    <w:rsid w:val="1AEE25CF"/>
    <w:rsid w:val="1B1D3707"/>
    <w:rsid w:val="1B304996"/>
    <w:rsid w:val="1BBE1FA1"/>
    <w:rsid w:val="1BDF5611"/>
    <w:rsid w:val="1CA65F85"/>
    <w:rsid w:val="1D833E52"/>
    <w:rsid w:val="1E547424"/>
    <w:rsid w:val="1EB0458B"/>
    <w:rsid w:val="21157AC9"/>
    <w:rsid w:val="21E36C06"/>
    <w:rsid w:val="22774428"/>
    <w:rsid w:val="22C9107F"/>
    <w:rsid w:val="231C14A6"/>
    <w:rsid w:val="240C2C77"/>
    <w:rsid w:val="26127470"/>
    <w:rsid w:val="268D3FAA"/>
    <w:rsid w:val="26DC52CE"/>
    <w:rsid w:val="28C826B1"/>
    <w:rsid w:val="28D3041D"/>
    <w:rsid w:val="29F84E03"/>
    <w:rsid w:val="2A645906"/>
    <w:rsid w:val="2A910184"/>
    <w:rsid w:val="2B2108B6"/>
    <w:rsid w:val="2D300847"/>
    <w:rsid w:val="300F72E0"/>
    <w:rsid w:val="31E33A83"/>
    <w:rsid w:val="326C0660"/>
    <w:rsid w:val="3377167A"/>
    <w:rsid w:val="33CC1878"/>
    <w:rsid w:val="342D5ABF"/>
    <w:rsid w:val="368E76CC"/>
    <w:rsid w:val="371E6447"/>
    <w:rsid w:val="384E78B7"/>
    <w:rsid w:val="392751D4"/>
    <w:rsid w:val="3A647BB7"/>
    <w:rsid w:val="3B5B1163"/>
    <w:rsid w:val="3D8901AA"/>
    <w:rsid w:val="3DBF519F"/>
    <w:rsid w:val="3FAE00B2"/>
    <w:rsid w:val="40DE6ABE"/>
    <w:rsid w:val="421770C4"/>
    <w:rsid w:val="422C1AAB"/>
    <w:rsid w:val="43F53B0A"/>
    <w:rsid w:val="45B04ED3"/>
    <w:rsid w:val="47A22E17"/>
    <w:rsid w:val="47FA701B"/>
    <w:rsid w:val="491A4C7E"/>
    <w:rsid w:val="493C25D4"/>
    <w:rsid w:val="498C68DE"/>
    <w:rsid w:val="498E7A40"/>
    <w:rsid w:val="4A0368E5"/>
    <w:rsid w:val="4B780470"/>
    <w:rsid w:val="4BE370AA"/>
    <w:rsid w:val="4C3B0AB1"/>
    <w:rsid w:val="4DE76AD2"/>
    <w:rsid w:val="4E0539C0"/>
    <w:rsid w:val="4E6523AE"/>
    <w:rsid w:val="51FB6D73"/>
    <w:rsid w:val="53B71E9B"/>
    <w:rsid w:val="54321730"/>
    <w:rsid w:val="54EF2BF0"/>
    <w:rsid w:val="5626778E"/>
    <w:rsid w:val="565C3ECF"/>
    <w:rsid w:val="5AD60034"/>
    <w:rsid w:val="5C1D00EE"/>
    <w:rsid w:val="5C5C1002"/>
    <w:rsid w:val="5EA72CFF"/>
    <w:rsid w:val="607C66B5"/>
    <w:rsid w:val="61CA3197"/>
    <w:rsid w:val="64D9421A"/>
    <w:rsid w:val="655645C6"/>
    <w:rsid w:val="66B87D89"/>
    <w:rsid w:val="673E5311"/>
    <w:rsid w:val="67DD0FCE"/>
    <w:rsid w:val="68101D6F"/>
    <w:rsid w:val="68D24118"/>
    <w:rsid w:val="68DC28D0"/>
    <w:rsid w:val="6D5C73A1"/>
    <w:rsid w:val="6D7A1017"/>
    <w:rsid w:val="6E8C297B"/>
    <w:rsid w:val="72F773FF"/>
    <w:rsid w:val="73925FA9"/>
    <w:rsid w:val="764566BC"/>
    <w:rsid w:val="771002D2"/>
    <w:rsid w:val="78866B18"/>
    <w:rsid w:val="7A635E35"/>
    <w:rsid w:val="7BAF456B"/>
    <w:rsid w:val="7BE86731"/>
    <w:rsid w:val="7C4B35C2"/>
    <w:rsid w:val="7DAC108D"/>
    <w:rsid w:val="7E987C76"/>
    <w:rsid w:val="7EC80850"/>
    <w:rsid w:val="7F233313"/>
    <w:rsid w:val="7FA84F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40"/>
    <w:qFormat/>
    <w:uiPriority w:val="99"/>
    <w:pPr>
      <w:keepNext/>
      <w:keepLines/>
      <w:spacing w:before="260" w:after="260" w:line="416" w:lineRule="auto"/>
      <w:outlineLvl w:val="1"/>
    </w:pPr>
    <w:rPr>
      <w:rFonts w:ascii="Calibri Light" w:hAnsi="Calibri Light"/>
      <w:b/>
      <w:bCs/>
      <w:sz w:val="32"/>
      <w:szCs w:val="32"/>
    </w:rPr>
  </w:style>
  <w:style w:type="paragraph" w:styleId="7">
    <w:name w:val="heading 3"/>
    <w:basedOn w:val="1"/>
    <w:next w:val="1"/>
    <w:link w:val="41"/>
    <w:qFormat/>
    <w:uiPriority w:val="99"/>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31">
    <w:name w:val="Default Paragraph Font"/>
    <w:qFormat/>
    <w:uiPriority w:val="99"/>
  </w:style>
  <w:style w:type="table" w:default="1" w:styleId="2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autoSpaceDE/>
      <w:autoSpaceDN/>
      <w:snapToGrid/>
      <w:spacing w:after="120" w:line="240" w:lineRule="auto"/>
      <w:ind w:left="420" w:leftChars="200" w:firstLine="420"/>
      <w:textAlignment w:val="auto"/>
    </w:pPr>
    <w:rPr>
      <w:kern w:val="2"/>
      <w:sz w:val="21"/>
      <w:szCs w:val="24"/>
    </w:rPr>
  </w:style>
  <w:style w:type="paragraph" w:styleId="3">
    <w:name w:val="Body Text Indent"/>
    <w:basedOn w:val="1"/>
    <w:next w:val="4"/>
    <w:link w:val="4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9">
    <w:name w:val="List Number"/>
    <w:basedOn w:val="1"/>
    <w:qFormat/>
    <w:uiPriority w:val="99"/>
    <w:pPr>
      <w:numPr>
        <w:ilvl w:val="0"/>
        <w:numId w:val="2"/>
      </w:numPr>
    </w:pPr>
  </w:style>
  <w:style w:type="paragraph" w:styleId="10">
    <w:name w:val="Normal Indent"/>
    <w:basedOn w:val="1"/>
    <w:next w:val="11"/>
    <w:qFormat/>
    <w:uiPriority w:val="99"/>
    <w:pPr>
      <w:ind w:firstLine="420"/>
    </w:pPr>
    <w:rPr>
      <w:szCs w:val="20"/>
    </w:rPr>
  </w:style>
  <w:style w:type="paragraph" w:styleId="11">
    <w:name w:val="toc 2"/>
    <w:basedOn w:val="1"/>
    <w:next w:val="1"/>
    <w:qFormat/>
    <w:uiPriority w:val="99"/>
    <w:pPr>
      <w:ind w:left="420" w:leftChars="200"/>
    </w:pPr>
  </w:style>
  <w:style w:type="paragraph" w:styleId="12">
    <w:name w:val="annotation text"/>
    <w:basedOn w:val="1"/>
    <w:link w:val="43"/>
    <w:qFormat/>
    <w:uiPriority w:val="99"/>
    <w:pPr>
      <w:jc w:val="left"/>
    </w:pPr>
  </w:style>
  <w:style w:type="paragraph" w:styleId="13">
    <w:name w:val="Body Text"/>
    <w:basedOn w:val="1"/>
    <w:next w:val="14"/>
    <w:link w:val="42"/>
    <w:qFormat/>
    <w:uiPriority w:val="99"/>
    <w:pPr>
      <w:spacing w:line="360" w:lineRule="exact"/>
    </w:pPr>
    <w:rPr>
      <w:sz w:val="24"/>
    </w:rPr>
  </w:style>
  <w:style w:type="paragraph" w:styleId="14">
    <w:name w:val="Body Text First Indent"/>
    <w:basedOn w:val="13"/>
    <w:next w:val="15"/>
    <w:qFormat/>
    <w:uiPriority w:val="99"/>
    <w:pPr>
      <w:ind w:firstLine="420"/>
    </w:pPr>
    <w:rPr>
      <w:rFonts w:ascii="Times New Roman"/>
      <w:sz w:val="21"/>
    </w:rPr>
  </w:style>
  <w:style w:type="paragraph" w:styleId="15">
    <w:name w:val="toc 6"/>
    <w:basedOn w:val="1"/>
    <w:next w:val="1"/>
    <w:qFormat/>
    <w:uiPriority w:val="39"/>
    <w:pPr>
      <w:widowControl/>
      <w:ind w:left="1000"/>
      <w:jc w:val="left"/>
    </w:pPr>
    <w:rPr>
      <w:kern w:val="0"/>
      <w:sz w:val="18"/>
      <w:szCs w:val="20"/>
    </w:rPr>
  </w:style>
  <w:style w:type="paragraph" w:styleId="16">
    <w:name w:val="Block Text"/>
    <w:basedOn w:val="1"/>
    <w:qFormat/>
    <w:uiPriority w:val="99"/>
    <w:pPr>
      <w:adjustRightInd w:val="0"/>
      <w:spacing w:line="300" w:lineRule="auto"/>
      <w:ind w:left="958" w:right="-120" w:rightChars="-120"/>
      <w:jc w:val="left"/>
    </w:pPr>
    <w:rPr>
      <w:rFonts w:ascii="宋体" w:hAnsi="宋体"/>
      <w:sz w:val="28"/>
    </w:rPr>
  </w:style>
  <w:style w:type="paragraph" w:styleId="17">
    <w:name w:val="Plain Text"/>
    <w:basedOn w:val="1"/>
    <w:link w:val="45"/>
    <w:qFormat/>
    <w:uiPriority w:val="99"/>
    <w:rPr>
      <w:rFonts w:ascii="宋体" w:hAnsi="Courier New"/>
    </w:rPr>
  </w:style>
  <w:style w:type="paragraph" w:styleId="18">
    <w:name w:val="Date"/>
    <w:basedOn w:val="1"/>
    <w:next w:val="1"/>
    <w:link w:val="46"/>
    <w:qFormat/>
    <w:uiPriority w:val="99"/>
    <w:pPr>
      <w:ind w:left="2500" w:leftChars="2500"/>
    </w:pPr>
    <w:rPr>
      <w:rFonts w:ascii="Calibri" w:hAnsi="Calibri" w:eastAsia="楷体_GB2312"/>
      <w:sz w:val="32"/>
      <w:szCs w:val="22"/>
    </w:rPr>
  </w:style>
  <w:style w:type="paragraph" w:styleId="19">
    <w:name w:val="Balloon Text"/>
    <w:basedOn w:val="1"/>
    <w:link w:val="47"/>
    <w:qFormat/>
    <w:uiPriority w:val="99"/>
    <w:rPr>
      <w:sz w:val="18"/>
      <w:szCs w:val="18"/>
    </w:rPr>
  </w:style>
  <w:style w:type="paragraph" w:styleId="20">
    <w:name w:val="footer"/>
    <w:basedOn w:val="1"/>
    <w:link w:val="48"/>
    <w:qFormat/>
    <w:uiPriority w:val="99"/>
    <w:pPr>
      <w:tabs>
        <w:tab w:val="center" w:pos="4153"/>
        <w:tab w:val="right" w:pos="8306"/>
      </w:tabs>
      <w:snapToGrid w:val="0"/>
      <w:jc w:val="left"/>
    </w:pPr>
    <w:rPr>
      <w:sz w:val="18"/>
    </w:rPr>
  </w:style>
  <w:style w:type="paragraph" w:styleId="21">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Subtitle"/>
    <w:basedOn w:val="1"/>
    <w:next w:val="1"/>
    <w:qFormat/>
    <w:uiPriority w:val="99"/>
    <w:pPr>
      <w:ind w:left="200" w:hanging="200" w:hangingChars="200"/>
      <w:jc w:val="left"/>
      <w:outlineLvl w:val="2"/>
    </w:pPr>
    <w:rPr>
      <w:rFonts w:ascii="Cambria" w:hAnsi="Cambria"/>
      <w:b/>
      <w:bCs/>
      <w:kern w:val="28"/>
      <w:sz w:val="32"/>
      <w:szCs w:val="32"/>
    </w:rPr>
  </w:style>
  <w:style w:type="paragraph" w:styleId="23">
    <w:name w:val="List"/>
    <w:basedOn w:val="1"/>
    <w:qFormat/>
    <w:uiPriority w:val="0"/>
    <w:pPr>
      <w:ind w:left="200" w:hanging="200" w:hangingChars="200"/>
    </w:pPr>
  </w:style>
  <w:style w:type="paragraph" w:styleId="24">
    <w:name w:val="footnote text"/>
    <w:basedOn w:val="1"/>
    <w:qFormat/>
    <w:uiPriority w:val="99"/>
    <w:pPr>
      <w:snapToGrid w:val="0"/>
      <w:jc w:val="left"/>
    </w:pPr>
    <w:rPr>
      <w:sz w:val="18"/>
    </w:rPr>
  </w:style>
  <w:style w:type="paragraph" w:styleId="25">
    <w:name w:val="Normal (Web)"/>
    <w:basedOn w:val="1"/>
    <w:qFormat/>
    <w:uiPriority w:val="99"/>
    <w:pPr>
      <w:widowControl/>
      <w:spacing w:before="100" w:beforeAutospacing="1" w:after="100" w:afterAutospacing="1"/>
      <w:jc w:val="left"/>
    </w:pPr>
    <w:rPr>
      <w:rFonts w:ascii="宋体" w:hAnsi="宋体"/>
      <w:kern w:val="0"/>
      <w:sz w:val="24"/>
    </w:rPr>
  </w:style>
  <w:style w:type="paragraph" w:styleId="26">
    <w:name w:val="Title"/>
    <w:basedOn w:val="1"/>
    <w:next w:val="1"/>
    <w:qFormat/>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7">
    <w:name w:val="annotation subject"/>
    <w:basedOn w:val="12"/>
    <w:next w:val="12"/>
    <w:link w:val="50"/>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0">
    <w:name w:val="Table Elegant"/>
    <w:basedOn w:val="28"/>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2">
    <w:name w:val="Hyperlink"/>
    <w:basedOn w:val="31"/>
    <w:qFormat/>
    <w:uiPriority w:val="0"/>
    <w:rPr>
      <w:color w:val="0000FF"/>
      <w:u w:val="single"/>
    </w:rPr>
  </w:style>
  <w:style w:type="character" w:styleId="33">
    <w:name w:val="annotation reference"/>
    <w:basedOn w:val="31"/>
    <w:qFormat/>
    <w:uiPriority w:val="99"/>
    <w:rPr>
      <w:rFonts w:cs="Times New Roman"/>
      <w:sz w:val="21"/>
      <w:szCs w:val="21"/>
    </w:rPr>
  </w:style>
  <w:style w:type="character" w:styleId="34">
    <w:name w:val="footnote reference"/>
    <w:basedOn w:val="31"/>
    <w:qFormat/>
    <w:uiPriority w:val="99"/>
    <w:rPr>
      <w:vertAlign w:val="superscript"/>
    </w:rPr>
  </w:style>
  <w:style w:type="character" w:styleId="35">
    <w:name w:val="HTML Sample"/>
    <w:basedOn w:val="31"/>
    <w:qFormat/>
    <w:uiPriority w:val="0"/>
    <w:rPr>
      <w:rFonts w:ascii="Courier New" w:hAnsi="Courier New"/>
    </w:rPr>
  </w:style>
  <w:style w:type="paragraph" w:customStyle="1" w:styleId="36">
    <w:name w:val="首行缩进"/>
    <w:basedOn w:val="1"/>
    <w:qFormat/>
    <w:uiPriority w:val="99"/>
    <w:pPr>
      <w:spacing w:line="360" w:lineRule="auto"/>
      <w:ind w:firstLine="480" w:firstLineChars="200"/>
    </w:pPr>
    <w:rPr>
      <w:sz w:val="24"/>
      <w:szCs w:val="22"/>
      <w:lang w:val="zh-CN"/>
    </w:rPr>
  </w:style>
  <w:style w:type="paragraph" w:customStyle="1" w:styleId="37">
    <w:name w:val="无间隔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38">
    <w:name w:val="正文（首行缩进2字符）"/>
    <w:basedOn w:val="1"/>
    <w:qFormat/>
    <w:uiPriority w:val="0"/>
    <w:pPr>
      <w:spacing w:line="360" w:lineRule="auto"/>
      <w:ind w:firstLine="420" w:firstLineChars="200"/>
    </w:pPr>
    <w:rPr>
      <w:szCs w:val="21"/>
    </w:rPr>
  </w:style>
  <w:style w:type="character" w:customStyle="1" w:styleId="39">
    <w:name w:val="Heading 1 Char_af4e8250-5fdf-4865-afd7-b948e78c8013"/>
    <w:basedOn w:val="31"/>
    <w:link w:val="5"/>
    <w:qFormat/>
    <w:uiPriority w:val="99"/>
    <w:rPr>
      <w:rFonts w:ascii="Times New Roman" w:hAnsi="Times New Roman" w:cs="Times New Roman"/>
      <w:b/>
      <w:bCs/>
      <w:kern w:val="44"/>
      <w:sz w:val="44"/>
      <w:szCs w:val="44"/>
    </w:rPr>
  </w:style>
  <w:style w:type="character" w:customStyle="1" w:styleId="40">
    <w:name w:val="Heading 2 Char_f3ec44a8-881c-4643-a1d3-1e13cfc3f784"/>
    <w:basedOn w:val="31"/>
    <w:link w:val="6"/>
    <w:qFormat/>
    <w:uiPriority w:val="99"/>
    <w:rPr>
      <w:rFonts w:ascii="Cambria" w:hAnsi="Cambria" w:eastAsia="宋体" w:cs="Times New Roman"/>
      <w:b/>
      <w:bCs/>
      <w:sz w:val="32"/>
      <w:szCs w:val="32"/>
    </w:rPr>
  </w:style>
  <w:style w:type="character" w:customStyle="1" w:styleId="41">
    <w:name w:val="Heading 3 Char_8c8c4f36-3cba-4d86-8b6d-e4d2107bffad"/>
    <w:basedOn w:val="31"/>
    <w:link w:val="7"/>
    <w:qFormat/>
    <w:uiPriority w:val="99"/>
    <w:rPr>
      <w:rFonts w:cs="Times New Roman"/>
      <w:b/>
      <w:bCs/>
      <w:sz w:val="32"/>
      <w:szCs w:val="32"/>
    </w:rPr>
  </w:style>
  <w:style w:type="character" w:customStyle="1" w:styleId="42">
    <w:name w:val="Body Text Char"/>
    <w:basedOn w:val="31"/>
    <w:link w:val="13"/>
    <w:qFormat/>
    <w:uiPriority w:val="99"/>
    <w:rPr>
      <w:rFonts w:cs="Times New Roman"/>
      <w:sz w:val="24"/>
      <w:szCs w:val="24"/>
    </w:rPr>
  </w:style>
  <w:style w:type="character" w:customStyle="1" w:styleId="43">
    <w:name w:val="Comment Text Char"/>
    <w:basedOn w:val="31"/>
    <w:link w:val="12"/>
    <w:qFormat/>
    <w:uiPriority w:val="99"/>
    <w:rPr>
      <w:rFonts w:ascii="Times New Roman" w:hAnsi="Times New Roman" w:eastAsia="宋体" w:cs="Times New Roman"/>
      <w:kern w:val="2"/>
      <w:sz w:val="24"/>
      <w:szCs w:val="24"/>
    </w:rPr>
  </w:style>
  <w:style w:type="character" w:customStyle="1" w:styleId="44">
    <w:name w:val="Body Text Indent Char"/>
    <w:basedOn w:val="31"/>
    <w:link w:val="3"/>
    <w:qFormat/>
    <w:uiPriority w:val="99"/>
    <w:rPr>
      <w:rFonts w:cs="Times New Roman"/>
      <w:kern w:val="2"/>
      <w:sz w:val="24"/>
      <w:szCs w:val="24"/>
    </w:rPr>
  </w:style>
  <w:style w:type="character" w:customStyle="1" w:styleId="45">
    <w:name w:val="Plain Text Char"/>
    <w:basedOn w:val="31"/>
    <w:link w:val="17"/>
    <w:qFormat/>
    <w:uiPriority w:val="99"/>
    <w:rPr>
      <w:rFonts w:ascii="宋体" w:hAnsi="Courier New" w:cs="Courier New"/>
      <w:sz w:val="21"/>
      <w:szCs w:val="21"/>
    </w:rPr>
  </w:style>
  <w:style w:type="character" w:customStyle="1" w:styleId="46">
    <w:name w:val="Date Char"/>
    <w:basedOn w:val="31"/>
    <w:link w:val="18"/>
    <w:qFormat/>
    <w:uiPriority w:val="99"/>
    <w:rPr>
      <w:rFonts w:cs="Times New Roman"/>
      <w:sz w:val="24"/>
      <w:szCs w:val="24"/>
    </w:rPr>
  </w:style>
  <w:style w:type="character" w:customStyle="1" w:styleId="47">
    <w:name w:val="Balloon Text Char"/>
    <w:basedOn w:val="31"/>
    <w:link w:val="19"/>
    <w:qFormat/>
    <w:uiPriority w:val="99"/>
    <w:rPr>
      <w:rFonts w:ascii="Times New Roman" w:hAnsi="Times New Roman" w:eastAsia="宋体" w:cs="Times New Roman"/>
      <w:kern w:val="2"/>
      <w:sz w:val="18"/>
      <w:szCs w:val="18"/>
    </w:rPr>
  </w:style>
  <w:style w:type="character" w:customStyle="1" w:styleId="48">
    <w:name w:val="Footer Char_8b2ed393-53a8-43fa-ad62-0bd854f66fbc"/>
    <w:basedOn w:val="31"/>
    <w:link w:val="20"/>
    <w:qFormat/>
    <w:uiPriority w:val="99"/>
    <w:rPr>
      <w:rFonts w:cs="Times New Roman"/>
      <w:sz w:val="18"/>
      <w:szCs w:val="18"/>
    </w:rPr>
  </w:style>
  <w:style w:type="character" w:customStyle="1" w:styleId="49">
    <w:name w:val="Header Char_4ea26e12-b3fe-4c5e-8107-0c1cf5994eed"/>
    <w:basedOn w:val="31"/>
    <w:link w:val="21"/>
    <w:qFormat/>
    <w:uiPriority w:val="99"/>
    <w:rPr>
      <w:rFonts w:cs="Times New Roman"/>
      <w:sz w:val="18"/>
      <w:szCs w:val="18"/>
    </w:rPr>
  </w:style>
  <w:style w:type="character" w:customStyle="1" w:styleId="50">
    <w:name w:val="Comment Subject Char"/>
    <w:basedOn w:val="43"/>
    <w:link w:val="27"/>
    <w:qFormat/>
    <w:uiPriority w:val="99"/>
    <w:rPr>
      <w:b/>
      <w:bCs/>
    </w:rPr>
  </w:style>
  <w:style w:type="paragraph" w:customStyle="1" w:styleId="51">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52">
    <w:name w:val="List Paragraph"/>
    <w:basedOn w:val="1"/>
    <w:qFormat/>
    <w:uiPriority w:val="99"/>
    <w:pPr>
      <w:ind w:firstLine="420" w:firstLineChars="200"/>
    </w:pPr>
    <w:rPr>
      <w:rFonts w:ascii="Calibri" w:hAnsi="Calibri"/>
      <w:szCs w:val="22"/>
    </w:rPr>
  </w:style>
  <w:style w:type="paragraph" w:customStyle="1" w:styleId="53">
    <w:name w:val="列出段落1"/>
    <w:basedOn w:val="1"/>
    <w:qFormat/>
    <w:uiPriority w:val="99"/>
    <w:pPr>
      <w:ind w:firstLine="420" w:firstLineChars="200"/>
    </w:pPr>
    <w:rPr>
      <w:rFonts w:ascii="Calibri" w:hAnsi="Calibri"/>
      <w:kern w:val="0"/>
      <w:szCs w:val="20"/>
    </w:rPr>
  </w:style>
  <w:style w:type="paragraph" w:customStyle="1" w:styleId="54">
    <w:name w:val="无间隔1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6">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4"/>
    <w:qFormat/>
    <w:uiPriority w:val="99"/>
    <w:rPr>
      <w:rFonts w:ascii="Times New Roman" w:hAnsi="Times New Roman" w:eastAsia="宋体" w:cs="Times New Roman"/>
      <w:kern w:val="0"/>
      <w:sz w:val="21"/>
      <w:szCs w:val="22"/>
      <w:lang w:val="en-US" w:eastAsia="zh-CN" w:bidi="ar-SA"/>
    </w:rPr>
  </w:style>
  <w:style w:type="paragraph" w:customStyle="1" w:styleId="58">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纯文本_3"/>
    <w:basedOn w:val="60"/>
    <w:qFormat/>
    <w:uiPriority w:val="99"/>
    <w:pPr>
      <w:widowControl/>
      <w:jc w:val="left"/>
    </w:pPr>
    <w:rPr>
      <w:rFonts w:ascii="宋体" w:hAnsi="Courier New"/>
      <w:szCs w:val="21"/>
    </w:rPr>
  </w:style>
  <w:style w:type="paragraph" w:customStyle="1" w:styleId="62">
    <w:name w:val="纯文本_0_1"/>
    <w:basedOn w:val="1"/>
    <w:qFormat/>
    <w:uiPriority w:val="99"/>
    <w:pPr>
      <w:widowControl/>
      <w:jc w:val="left"/>
    </w:pPr>
    <w:rPr>
      <w:rFonts w:ascii="宋体" w:hAnsi="Courier New"/>
      <w:szCs w:val="21"/>
    </w:rPr>
  </w:style>
  <w:style w:type="paragraph" w:customStyle="1" w:styleId="63">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7">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8">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69">
    <w:name w:val="font11"/>
    <w:qFormat/>
    <w:uiPriority w:val="0"/>
    <w:rPr>
      <w:rFonts w:hint="default" w:ascii="Times New Roman" w:hAnsi="Times New Roman" w:cs="Times New Roman"/>
      <w:color w:val="000000"/>
      <w:sz w:val="24"/>
      <w:szCs w:val="24"/>
      <w:u w:val="none"/>
    </w:rPr>
  </w:style>
  <w:style w:type="character" w:customStyle="1" w:styleId="70">
    <w:name w:val="font01"/>
    <w:qFormat/>
    <w:uiPriority w:val="0"/>
    <w:rPr>
      <w:rFonts w:hint="eastAsia" w:ascii="宋体" w:hAnsi="宋体" w:eastAsia="宋体" w:cs="宋体"/>
      <w:color w:val="000000"/>
      <w:sz w:val="24"/>
      <w:szCs w:val="24"/>
      <w:u w:val="none"/>
    </w:rPr>
  </w:style>
  <w:style w:type="character" w:customStyle="1" w:styleId="71">
    <w:name w:val="font31"/>
    <w:qFormat/>
    <w:uiPriority w:val="0"/>
    <w:rPr>
      <w:rFonts w:hint="eastAsia" w:ascii="宋体" w:hAnsi="宋体" w:eastAsia="宋体" w:cs="宋体"/>
      <w:color w:val="000000"/>
      <w:sz w:val="24"/>
      <w:szCs w:val="24"/>
      <w:u w:val="none"/>
    </w:rPr>
  </w:style>
  <w:style w:type="paragraph" w:customStyle="1" w:styleId="72">
    <w:name w:val="正文 New New New New"/>
    <w:qFormat/>
    <w:uiPriority w:val="0"/>
    <w:pPr>
      <w:widowControl w:val="0"/>
      <w:spacing w:after="0" w:line="240" w:lineRule="auto"/>
      <w:jc w:val="both"/>
    </w:pPr>
    <w:rPr>
      <w:rFonts w:ascii="Times New Roman" w:hAnsi="Times New Roman" w:eastAsia="宋体" w:cs="Times New Roman"/>
      <w:sz w:val="21"/>
      <w:szCs w:val="24"/>
      <w:lang w:val="en-US" w:eastAsia="zh-CN" w:bidi="ar-SA"/>
    </w:rPr>
  </w:style>
  <w:style w:type="paragraph" w:customStyle="1" w:styleId="73">
    <w:name w:val="p18"/>
    <w:basedOn w:val="1"/>
    <w:qFormat/>
    <w:uiPriority w:val="99"/>
    <w:pPr>
      <w:widowControl/>
      <w:spacing w:line="748" w:lineRule="atLeast"/>
      <w:ind w:left="-527" w:firstLine="527"/>
    </w:pPr>
    <w:rPr>
      <w:rFonts w:ascii="宋体" w:hAnsi="宋体" w:cs="宋体"/>
      <w:kern w:val="0"/>
      <w:sz w:val="24"/>
    </w:rPr>
  </w:style>
  <w:style w:type="paragraph" w:customStyle="1" w:styleId="74">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75">
    <w:name w:val="投标正文"/>
    <w:basedOn w:val="1"/>
    <w:qFormat/>
    <w:uiPriority w:val="0"/>
    <w:pPr>
      <w:keepNext w:val="0"/>
      <w:keepLines w:val="0"/>
      <w:widowControl w:val="0"/>
      <w:suppressLineNumbers w:val="0"/>
      <w:spacing w:line="360" w:lineRule="auto"/>
      <w:ind w:left="100" w:firstLine="480" w:firstLineChars="200"/>
      <w:jc w:val="both"/>
    </w:pPr>
    <w:rPr>
      <w:rFonts w:hint="default" w:ascii="Calibri" w:hAnsi="Calibri" w:eastAsia="宋体" w:cs="Times New Roman"/>
      <w:kern w:val="2"/>
      <w:sz w:val="24"/>
      <w:szCs w:val="24"/>
      <w:lang w:val="en-US" w:eastAsia="zh-CN"/>
    </w:rPr>
  </w:style>
  <w:style w:type="paragraph" w:customStyle="1" w:styleId="76">
    <w:name w:val="投标文件正文"/>
    <w:basedOn w:val="1"/>
    <w:qFormat/>
    <w:uiPriority w:val="0"/>
    <w:pPr>
      <w:keepNext w:val="0"/>
      <w:keepLines w:val="0"/>
      <w:widowControl w:val="0"/>
      <w:suppressLineNumbers w:val="0"/>
      <w:spacing w:after="50" w:afterLines="50" w:afterAutospacing="0" w:line="360" w:lineRule="auto"/>
      <w:ind w:firstLine="200" w:firstLineChars="200"/>
      <w:jc w:val="both"/>
    </w:pPr>
    <w:rPr>
      <w:rFonts w:hint="eastAsia" w:ascii="宋体" w:hAnsi="宋体" w:eastAsia="宋体" w:cs="Times New Roman"/>
      <w:color w:val="000000"/>
      <w:kern w:val="2"/>
      <w:sz w:val="24"/>
      <w:szCs w:val="24"/>
      <w:lang w:val="en-US" w:eastAsia="zh-CN"/>
    </w:rPr>
  </w:style>
  <w:style w:type="paragraph" w:customStyle="1" w:styleId="77">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8">
    <w:name w:val="投标标题3"/>
    <w:qFormat/>
    <w:uiPriority w:val="0"/>
    <w:pPr>
      <w:keepNext/>
      <w:keepLines/>
      <w:widowControl w:val="0"/>
      <w:spacing w:before="156" w:beforeLines="50" w:after="156"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paragraph" w:customStyle="1" w:styleId="79">
    <w:name w:val="BodyText1I2"/>
    <w:basedOn w:val="80"/>
    <w:next w:val="1"/>
    <w:qFormat/>
    <w:uiPriority w:val="0"/>
    <w:pPr>
      <w:tabs>
        <w:tab w:val="left" w:pos="1680"/>
      </w:tabs>
      <w:autoSpaceDE/>
      <w:autoSpaceDN/>
      <w:spacing w:before="0" w:after="120" w:line="360" w:lineRule="auto"/>
      <w:ind w:left="420" w:leftChars="200" w:firstLine="420" w:firstLineChars="200"/>
      <w:jc w:val="both"/>
      <w:textAlignment w:val="auto"/>
    </w:pPr>
    <w:rPr>
      <w:rFonts w:ascii="Calibri" w:hAnsi="Calibri" w:eastAsia="宋体"/>
      <w:kern w:val="2"/>
      <w:sz w:val="21"/>
      <w:szCs w:val="22"/>
      <w:lang w:val="en-US" w:eastAsia="zh-CN" w:bidi="ar-SA"/>
    </w:rPr>
  </w:style>
  <w:style w:type="paragraph" w:customStyle="1" w:styleId="80">
    <w:name w:val="BodyTextIndent"/>
    <w:basedOn w:val="1"/>
    <w:next w:val="1"/>
    <w:qFormat/>
    <w:uiPriority w:val="0"/>
    <w:pPr>
      <w:widowControl/>
      <w:snapToGrid w:val="0"/>
      <w:spacing w:before="120" w:line="400" w:lineRule="atLeast"/>
      <w:ind w:firstLine="570"/>
      <w:jc w:val="both"/>
      <w:textAlignment w:val="bottom"/>
    </w:pPr>
    <w:rPr>
      <w:rFonts w:ascii="宋体" w:hAnsi="Times New Roman" w:eastAsia="宋体"/>
      <w:kern w:val="0"/>
      <w:sz w:val="24"/>
      <w:szCs w:val="20"/>
      <w:lang w:val="en-US" w:eastAsia="zh-CN" w:bidi="ar-SA"/>
    </w:rPr>
  </w:style>
  <w:style w:type="paragraph" w:styleId="8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83">
    <w:name w:val="toc 7_b0587422-71b7-4221-96a0-d859cf196c8d"/>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List Paragraph1"/>
    <w:basedOn w:val="1"/>
    <w:qFormat/>
    <w:uiPriority w:val="0"/>
    <w:pPr>
      <w:widowControl/>
      <w:spacing w:after="200" w:line="276" w:lineRule="auto"/>
      <w:ind w:left="720"/>
      <w:contextualSpacing/>
      <w:jc w:val="left"/>
    </w:pPr>
    <w:rPr>
      <w:kern w:val="0"/>
      <w:sz w:val="22"/>
      <w:szCs w:val="22"/>
      <w:lang w:eastAsia="zh-TW"/>
    </w:rPr>
  </w:style>
  <w:style w:type="character" w:customStyle="1" w:styleId="85">
    <w:name w:val="NormalCharacter"/>
    <w:qFormat/>
    <w:uiPriority w:val="0"/>
    <w:rPr>
      <w:kern w:val="2"/>
      <w:sz w:val="21"/>
      <w:szCs w:val="24"/>
      <w:lang w:val="en-US" w:eastAsia="zh-CN" w:bidi="ar-SA"/>
    </w:rPr>
  </w:style>
  <w:style w:type="character" w:customStyle="1" w:styleId="86">
    <w:name w:val="font61"/>
    <w:basedOn w:val="31"/>
    <w:qFormat/>
    <w:uiPriority w:val="0"/>
    <w:rPr>
      <w:rFonts w:hint="default" w:ascii="Calibri" w:hAnsi="Calibri" w:cs="Calibri"/>
      <w:color w:val="000000"/>
      <w:sz w:val="30"/>
      <w:szCs w:val="30"/>
      <w:u w:val="none"/>
    </w:rPr>
  </w:style>
  <w:style w:type="character" w:customStyle="1" w:styleId="87">
    <w:name w:val="标题 1 Char Char"/>
    <w:qFormat/>
    <w:uiPriority w:val="0"/>
    <w:rPr>
      <w:rFonts w:eastAsia="宋体"/>
      <w:b/>
      <w:spacing w:val="-2"/>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72</Pages>
  <Words>32567</Words>
  <Characters>35439</Characters>
  <Paragraphs>4331</Paragraphs>
  <TotalTime>13</TotalTime>
  <ScaleCrop>false</ScaleCrop>
  <LinksUpToDate>false</LinksUpToDate>
  <CharactersWithSpaces>37607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饮了风</cp:lastModifiedBy>
  <dcterms:modified xsi:type="dcterms:W3CDTF">2023-05-10T00:57:32Z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7B38056E6511445DAF52AB1A4486C66A_13</vt:lpwstr>
  </property>
</Properties>
</file>