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textAlignment w:val="bottom"/>
        <w:rPr>
          <w:rFonts w:hint="eastAsia" w:ascii="宋体" w:hAnsi="宋体" w:eastAsia="宋体" w:cs="宋体"/>
          <w:b/>
          <w:color w:val="auto"/>
          <w:kern w:val="0"/>
          <w:sz w:val="52"/>
          <w:szCs w:val="52"/>
          <w:highlight w:val="none"/>
        </w:rPr>
      </w:pPr>
    </w:p>
    <w:p>
      <w:pPr>
        <w:jc w:val="center"/>
        <w:rPr>
          <w:rFonts w:hint="eastAsia" w:ascii="宋体" w:hAnsi="宋体" w:eastAsia="宋体" w:cs="宋体"/>
          <w:color w:val="auto"/>
          <w:sz w:val="36"/>
          <w:szCs w:val="36"/>
          <w:highlight w:val="none"/>
        </w:rPr>
      </w:pPr>
      <w:r>
        <w:rPr>
          <w:rFonts w:hint="eastAsia" w:ascii="宋体" w:hAnsi="宋体" w:eastAsia="宋体" w:cs="宋体"/>
          <w:color w:val="auto"/>
          <w:highlight w:val="none"/>
        </w:rPr>
        <w:drawing>
          <wp:anchor distT="0" distB="0" distL="114300" distR="114300" simplePos="0" relativeHeight="251659264" behindDoc="1" locked="0" layoutInCell="1" allowOverlap="1">
            <wp:simplePos x="0" y="0"/>
            <wp:positionH relativeFrom="page">
              <wp:posOffset>1371600</wp:posOffset>
            </wp:positionH>
            <wp:positionV relativeFrom="page">
              <wp:posOffset>1310640</wp:posOffset>
            </wp:positionV>
            <wp:extent cx="2971800" cy="2091690"/>
            <wp:effectExtent l="0" t="0" r="0"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lum contrast="10000"/>
                    </a:blip>
                    <a:stretch>
                      <a:fillRect/>
                    </a:stretch>
                  </pic:blipFill>
                  <pic:spPr>
                    <a:xfrm>
                      <a:off x="0" y="0"/>
                      <a:ext cx="2971800" cy="2091690"/>
                    </a:xfrm>
                    <a:prstGeom prst="rect">
                      <a:avLst/>
                    </a:prstGeom>
                    <a:noFill/>
                    <a:ln>
                      <a:noFill/>
                    </a:ln>
                  </pic:spPr>
                </pic:pic>
              </a:graphicData>
            </a:graphic>
          </wp:anchor>
        </w:drawing>
      </w:r>
    </w:p>
    <w:p>
      <w:pPr>
        <w:jc w:val="center"/>
        <w:rPr>
          <w:rFonts w:hint="eastAsia" w:ascii="宋体" w:hAnsi="宋体" w:eastAsia="宋体" w:cs="宋体"/>
          <w:color w:val="auto"/>
          <w:sz w:val="52"/>
          <w:szCs w:val="52"/>
          <w:highlight w:val="none"/>
        </w:rPr>
      </w:pPr>
    </w:p>
    <w:p>
      <w:pPr>
        <w:jc w:val="center"/>
        <w:rPr>
          <w:rFonts w:hint="eastAsia" w:ascii="宋体" w:hAnsi="宋体" w:eastAsia="宋体" w:cs="宋体"/>
          <w:color w:val="auto"/>
          <w:sz w:val="72"/>
          <w:szCs w:val="72"/>
          <w:highlight w:val="none"/>
        </w:rPr>
      </w:pPr>
      <w:r>
        <w:rPr>
          <w:rFonts w:hint="eastAsia" w:ascii="宋体" w:hAnsi="宋体" w:eastAsia="宋体" w:cs="宋体"/>
          <w:color w:val="auto"/>
          <w:sz w:val="72"/>
          <w:szCs w:val="72"/>
          <w:highlight w:val="none"/>
        </w:rPr>
        <w:t xml:space="preserve">         F-STONE</w:t>
      </w:r>
    </w:p>
    <w:p>
      <w:pPr>
        <w:jc w:val="center"/>
        <w:rPr>
          <w:rFonts w:hint="eastAsia" w:ascii="宋体" w:hAnsi="宋体" w:eastAsia="宋体" w:cs="宋体"/>
          <w:color w:val="auto"/>
          <w:sz w:val="36"/>
          <w:szCs w:val="36"/>
          <w:highlight w:val="none"/>
        </w:rPr>
      </w:pPr>
    </w:p>
    <w:p>
      <w:pPr>
        <w:jc w:val="center"/>
        <w:rPr>
          <w:rFonts w:hint="eastAsia" w:ascii="宋体" w:hAnsi="宋体" w:eastAsia="宋体" w:cs="宋体"/>
          <w:b/>
          <w:color w:val="auto"/>
          <w:sz w:val="72"/>
          <w:szCs w:val="72"/>
          <w:highlight w:val="none"/>
        </w:rPr>
      </w:pPr>
    </w:p>
    <w:p>
      <w:pPr>
        <w:shd w:val="clear" w:color="auto" w:fill="FFFFFF"/>
        <w:spacing w:line="360" w:lineRule="auto"/>
        <w:jc w:val="center"/>
        <w:textAlignment w:val="bottom"/>
        <w:rPr>
          <w:rFonts w:hint="eastAsia" w:ascii="宋体" w:hAnsi="宋体" w:eastAsia="宋体" w:cs="宋体"/>
          <w:b/>
          <w:color w:val="auto"/>
          <w:kern w:val="0"/>
          <w:sz w:val="52"/>
          <w:szCs w:val="52"/>
          <w:highlight w:val="none"/>
        </w:rPr>
      </w:pPr>
      <w:r>
        <w:rPr>
          <w:rFonts w:hint="eastAsia" w:ascii="宋体" w:hAnsi="宋体" w:eastAsia="宋体" w:cs="宋体"/>
          <w:b/>
          <w:color w:val="auto"/>
          <w:kern w:val="0"/>
          <w:sz w:val="52"/>
          <w:szCs w:val="52"/>
          <w:highlight w:val="none"/>
        </w:rPr>
        <w:t>政府采购电子招标文件</w:t>
      </w:r>
    </w:p>
    <w:p>
      <w:pPr>
        <w:shd w:val="clear" w:color="auto" w:fill="FFFFFF"/>
        <w:spacing w:line="360" w:lineRule="auto"/>
        <w:jc w:val="center"/>
        <w:textAlignment w:val="bottom"/>
        <w:rPr>
          <w:rFonts w:hint="eastAsia" w:ascii="宋体" w:hAnsi="宋体" w:eastAsia="宋体" w:cs="宋体"/>
          <w:color w:val="auto"/>
          <w:sz w:val="28"/>
          <w:szCs w:val="28"/>
          <w:highlight w:val="none"/>
        </w:rPr>
      </w:pPr>
    </w:p>
    <w:p>
      <w:pPr>
        <w:shd w:val="clear" w:color="auto" w:fill="FFFFFF"/>
        <w:spacing w:line="360" w:lineRule="auto"/>
        <w:ind w:firstLine="1120" w:firstLineChars="400"/>
        <w:jc w:val="both"/>
        <w:textAlignment w:val="bottom"/>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ZJWS2023-JJ392</w:t>
      </w:r>
    </w:p>
    <w:p>
      <w:pPr>
        <w:shd w:val="clear" w:color="auto" w:fill="FFFFFF"/>
        <w:tabs>
          <w:tab w:val="left" w:pos="1860"/>
        </w:tabs>
        <w:spacing w:line="360" w:lineRule="auto"/>
        <w:textAlignment w:val="bottom"/>
        <w:rPr>
          <w:rFonts w:hint="eastAsia" w:ascii="宋体" w:hAnsi="宋体" w:eastAsia="宋体" w:cs="宋体"/>
          <w:color w:val="auto"/>
          <w:kern w:val="0"/>
          <w:sz w:val="28"/>
          <w:highlight w:val="none"/>
        </w:rPr>
      </w:pPr>
    </w:p>
    <w:p>
      <w:pPr>
        <w:shd w:val="clear" w:color="auto" w:fill="FFFFFF"/>
        <w:spacing w:line="360" w:lineRule="auto"/>
        <w:textAlignment w:val="bottom"/>
        <w:rPr>
          <w:rFonts w:hint="eastAsia" w:ascii="宋体" w:hAnsi="宋体" w:eastAsia="宋体" w:cs="宋体"/>
          <w:color w:val="auto"/>
          <w:kern w:val="0"/>
          <w:sz w:val="28"/>
          <w:highlight w:val="none"/>
        </w:rPr>
      </w:pPr>
    </w:p>
    <w:p>
      <w:pPr>
        <w:autoSpaceDE w:val="0"/>
        <w:autoSpaceDN w:val="0"/>
        <w:adjustRightInd w:val="0"/>
        <w:spacing w:line="360" w:lineRule="auto"/>
        <w:ind w:firstLine="1120" w:firstLineChars="400"/>
        <w:rPr>
          <w:rFonts w:hint="eastAsia" w:ascii="宋体" w:hAnsi="宋体" w:eastAsia="宋体" w:cs="宋体"/>
          <w:color w:val="auto"/>
          <w:kern w:val="0"/>
          <w:sz w:val="28"/>
          <w:highlight w:val="none"/>
          <w:lang w:eastAsia="zh-CN"/>
        </w:rPr>
      </w:pPr>
      <w:r>
        <w:rPr>
          <w:rFonts w:hint="eastAsia" w:ascii="宋体" w:hAnsi="宋体" w:eastAsia="宋体" w:cs="宋体"/>
          <w:color w:val="auto"/>
          <w:kern w:val="0"/>
          <w:sz w:val="28"/>
          <w:highlight w:val="none"/>
        </w:rPr>
        <w:t>采购项目：</w:t>
      </w:r>
      <w:r>
        <w:rPr>
          <w:rFonts w:hint="eastAsia" w:ascii="宋体" w:hAnsi="宋体" w:cs="宋体"/>
          <w:color w:val="auto"/>
          <w:kern w:val="0"/>
          <w:sz w:val="28"/>
          <w:highlight w:val="none"/>
          <w:lang w:eastAsia="zh-CN"/>
        </w:rPr>
        <w:t>DSA杂交手术室设备采购项目</w:t>
      </w:r>
    </w:p>
    <w:p>
      <w:pPr>
        <w:autoSpaceDE w:val="0"/>
        <w:autoSpaceDN w:val="0"/>
        <w:adjustRightInd w:val="0"/>
        <w:spacing w:line="360" w:lineRule="auto"/>
        <w:ind w:firstLine="1120" w:firstLineChars="400"/>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采购单位：台州市中心医院（台州学院附属医院）</w:t>
      </w:r>
    </w:p>
    <w:p>
      <w:pPr>
        <w:autoSpaceDE w:val="0"/>
        <w:autoSpaceDN w:val="0"/>
        <w:adjustRightInd w:val="0"/>
        <w:spacing w:line="360" w:lineRule="auto"/>
        <w:jc w:val="center"/>
        <w:rPr>
          <w:rFonts w:hint="eastAsia" w:ascii="宋体" w:hAnsi="宋体" w:eastAsia="宋体" w:cs="宋体"/>
          <w:color w:val="auto"/>
          <w:kern w:val="0"/>
          <w:sz w:val="28"/>
          <w:highlight w:val="none"/>
        </w:rPr>
      </w:pPr>
    </w:p>
    <w:p>
      <w:pPr>
        <w:autoSpaceDE w:val="0"/>
        <w:autoSpaceDN w:val="0"/>
        <w:adjustRightInd w:val="0"/>
        <w:spacing w:line="360" w:lineRule="auto"/>
        <w:jc w:val="center"/>
        <w:rPr>
          <w:rFonts w:hint="eastAsia" w:ascii="宋体" w:hAnsi="宋体" w:eastAsia="宋体" w:cs="宋体"/>
          <w:color w:val="auto"/>
          <w:kern w:val="0"/>
          <w:sz w:val="28"/>
          <w:highlight w:val="none"/>
        </w:rPr>
      </w:pPr>
    </w:p>
    <w:p>
      <w:pPr>
        <w:autoSpaceDE w:val="0"/>
        <w:autoSpaceDN w:val="0"/>
        <w:adjustRightInd w:val="0"/>
        <w:spacing w:line="360" w:lineRule="auto"/>
        <w:jc w:val="center"/>
        <w:rPr>
          <w:rFonts w:hint="eastAsia" w:ascii="宋体" w:hAnsi="宋体" w:eastAsia="宋体" w:cs="宋体"/>
          <w:color w:val="auto"/>
          <w:kern w:val="0"/>
          <w:sz w:val="28"/>
          <w:highlight w:val="none"/>
          <w:lang w:eastAsia="zh-CN"/>
        </w:rPr>
      </w:pPr>
      <w:r>
        <w:rPr>
          <w:rFonts w:hint="eastAsia" w:ascii="宋体" w:hAnsi="宋体" w:eastAsia="宋体" w:cs="宋体"/>
          <w:color w:val="auto"/>
          <w:kern w:val="0"/>
          <w:sz w:val="28"/>
          <w:highlight w:val="none"/>
        </w:rPr>
        <w:t>采购代理机构：</w:t>
      </w:r>
      <w:r>
        <w:rPr>
          <w:rFonts w:hint="eastAsia" w:ascii="宋体" w:hAnsi="宋体" w:eastAsia="宋体" w:cs="宋体"/>
          <w:color w:val="auto"/>
          <w:kern w:val="0"/>
          <w:sz w:val="28"/>
          <w:highlight w:val="none"/>
          <w:lang w:eastAsia="zh-CN"/>
        </w:rPr>
        <w:t>浙江五石中正工程咨询有限公司</w:t>
      </w:r>
    </w:p>
    <w:p>
      <w:pPr>
        <w:autoSpaceDE w:val="0"/>
        <w:autoSpaceDN w:val="0"/>
        <w:adjustRightInd w:val="0"/>
        <w:spacing w:line="360" w:lineRule="auto"/>
        <w:jc w:val="center"/>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二○二</w:t>
      </w:r>
      <w:r>
        <w:rPr>
          <w:rFonts w:hint="eastAsia" w:ascii="宋体" w:hAnsi="宋体" w:cs="宋体"/>
          <w:color w:val="auto"/>
          <w:kern w:val="0"/>
          <w:sz w:val="28"/>
          <w:highlight w:val="none"/>
          <w:lang w:val="en-US" w:eastAsia="zh-CN"/>
        </w:rPr>
        <w:t>三</w:t>
      </w:r>
      <w:r>
        <w:rPr>
          <w:rFonts w:hint="eastAsia" w:ascii="宋体" w:hAnsi="宋体" w:eastAsia="宋体" w:cs="宋体"/>
          <w:color w:val="auto"/>
          <w:kern w:val="0"/>
          <w:sz w:val="28"/>
          <w:highlight w:val="none"/>
        </w:rPr>
        <w:t>年</w:t>
      </w:r>
      <w:r>
        <w:rPr>
          <w:rFonts w:hint="eastAsia" w:ascii="宋体" w:hAnsi="宋体" w:cs="宋体"/>
          <w:color w:val="auto"/>
          <w:kern w:val="0"/>
          <w:sz w:val="28"/>
          <w:highlight w:val="none"/>
          <w:lang w:val="en-US" w:eastAsia="zh-CN"/>
        </w:rPr>
        <w:t>十二</w:t>
      </w:r>
      <w:r>
        <w:rPr>
          <w:rFonts w:hint="eastAsia" w:ascii="宋体" w:hAnsi="宋体" w:eastAsia="宋体" w:cs="宋体"/>
          <w:color w:val="auto"/>
          <w:kern w:val="0"/>
          <w:sz w:val="28"/>
          <w:highlight w:val="none"/>
        </w:rPr>
        <w:t>月</w:t>
      </w:r>
    </w:p>
    <w:p>
      <w:pPr>
        <w:spacing w:line="360" w:lineRule="auto"/>
        <w:ind w:firstLine="480" w:firstLineChars="200"/>
        <w:rPr>
          <w:rFonts w:hint="eastAsia" w:ascii="宋体" w:hAnsi="宋体" w:eastAsia="宋体" w:cs="宋体"/>
          <w:color w:val="auto"/>
          <w:sz w:val="24"/>
          <w:szCs w:val="32"/>
          <w:highlight w:val="none"/>
        </w:rPr>
      </w:pPr>
    </w:p>
    <w:p>
      <w:pPr>
        <w:spacing w:line="360" w:lineRule="auto"/>
        <w:ind w:firstLine="480" w:firstLineChars="200"/>
        <w:rPr>
          <w:rFonts w:hint="eastAsia" w:ascii="宋体" w:hAnsi="宋体" w:eastAsia="宋体" w:cs="宋体"/>
          <w:color w:val="auto"/>
          <w:sz w:val="24"/>
          <w:szCs w:val="32"/>
          <w:highlight w:val="none"/>
        </w:rPr>
      </w:pPr>
    </w:p>
    <w:p>
      <w:pPr>
        <w:spacing w:line="360" w:lineRule="auto"/>
        <w:ind w:firstLine="480" w:firstLineChars="200"/>
        <w:rPr>
          <w:rFonts w:hint="eastAsia" w:ascii="宋体" w:hAnsi="宋体" w:eastAsia="宋体" w:cs="宋体"/>
          <w:color w:val="auto"/>
          <w:sz w:val="24"/>
          <w:szCs w:val="32"/>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目  录</w:t>
      </w:r>
    </w:p>
    <w:p>
      <w:pPr>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第一章 公开招标采购公告</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第二章 投标人须知</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第三章 评标办法及评分标准</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第四章 公开招标需求</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第五章 政府采购合同主要条款指引</w:t>
      </w:r>
    </w:p>
    <w:p>
      <w:pPr>
        <w:spacing w:line="360" w:lineRule="auto"/>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第六章 投标文件格式附件</w:t>
      </w: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第一章 公开招标采购公告</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根据《中华人民共和国政府采购法》、《中华人民共和国政府采购法实施条例》和财政部令第87号《政府采购货物和服务招标投标管理办法》等有关规定， </w:t>
      </w:r>
      <w:r>
        <w:rPr>
          <w:rFonts w:hint="eastAsia" w:ascii="宋体" w:hAnsi="宋体" w:eastAsia="宋体" w:cs="宋体"/>
          <w:b/>
          <w:bCs/>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受</w:t>
      </w:r>
      <w:r>
        <w:rPr>
          <w:rFonts w:hint="eastAsia" w:ascii="宋体" w:hAnsi="宋体" w:eastAsia="宋体" w:cs="宋体"/>
          <w:b/>
          <w:bCs/>
          <w:color w:val="auto"/>
          <w:sz w:val="24"/>
          <w:szCs w:val="32"/>
          <w:highlight w:val="none"/>
        </w:rPr>
        <w:t>台州市中心医院（台州学院附属医院）</w:t>
      </w:r>
      <w:r>
        <w:rPr>
          <w:rFonts w:hint="eastAsia" w:ascii="宋体" w:hAnsi="宋体" w:eastAsia="宋体" w:cs="宋体"/>
          <w:color w:val="auto"/>
          <w:sz w:val="24"/>
          <w:szCs w:val="32"/>
          <w:highlight w:val="none"/>
        </w:rPr>
        <w:t>委托，现就其</w:t>
      </w:r>
      <w:r>
        <w:rPr>
          <w:rFonts w:hint="eastAsia" w:ascii="宋体" w:hAnsi="宋体" w:cs="宋体"/>
          <w:b/>
          <w:bCs/>
          <w:color w:val="auto"/>
          <w:sz w:val="24"/>
          <w:szCs w:val="32"/>
          <w:highlight w:val="none"/>
          <w:lang w:eastAsia="zh-CN"/>
        </w:rPr>
        <w:t>DSA杂交手术室设备采购项目</w:t>
      </w:r>
      <w:r>
        <w:rPr>
          <w:rFonts w:hint="eastAsia" w:ascii="宋体" w:hAnsi="宋体" w:eastAsia="宋体" w:cs="宋体"/>
          <w:color w:val="auto"/>
          <w:sz w:val="24"/>
          <w:szCs w:val="32"/>
          <w:highlight w:val="none"/>
        </w:rPr>
        <w:t>进行公开招标采购，欢迎合格供应商前来投标。</w:t>
      </w:r>
    </w:p>
    <w:p>
      <w:pPr>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rPr>
        <w:t>一、项目编号：</w:t>
      </w:r>
      <w:r>
        <w:rPr>
          <w:rFonts w:hint="eastAsia" w:ascii="宋体" w:hAnsi="宋体" w:cs="宋体"/>
          <w:color w:val="auto"/>
          <w:sz w:val="24"/>
          <w:szCs w:val="32"/>
          <w:highlight w:val="none"/>
          <w:lang w:eastAsia="zh-CN"/>
        </w:rPr>
        <w:t>ZJWS2023-JJ392</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二、招标项目概况：</w:t>
      </w:r>
    </w:p>
    <w:tbl>
      <w:tblPr>
        <w:tblStyle w:val="28"/>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620"/>
        <w:gridCol w:w="1275"/>
        <w:gridCol w:w="1395"/>
        <w:gridCol w:w="253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795" w:type="dxa"/>
            <w:vAlign w:val="center"/>
          </w:tcPr>
          <w:p>
            <w:pPr>
              <w:jc w:val="center"/>
              <w:rPr>
                <w:rFonts w:hint="eastAsia" w:ascii="宋体" w:hAnsi="宋体" w:eastAsia="宋体" w:cs="宋体"/>
                <w:b w:val="0"/>
                <w:bCs/>
                <w:color w:val="auto"/>
                <w:sz w:val="24"/>
                <w:highlight w:val="none"/>
                <w:lang w:eastAsia="zh-CN"/>
              </w:rPr>
            </w:pPr>
            <w:bookmarkStart w:id="0" w:name="EBc3c9f0bc06b6413d849824fe98ba274c"/>
            <w:r>
              <w:rPr>
                <w:rFonts w:hint="eastAsia" w:ascii="宋体" w:hAnsi="宋体" w:cs="宋体"/>
                <w:b w:val="0"/>
                <w:bCs/>
                <w:color w:val="auto"/>
                <w:sz w:val="24"/>
                <w:highlight w:val="none"/>
                <w:lang w:val="en-US" w:eastAsia="zh-CN"/>
              </w:rPr>
              <w:t>序号</w:t>
            </w:r>
          </w:p>
        </w:tc>
        <w:tc>
          <w:tcPr>
            <w:tcW w:w="1620"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项目名称</w:t>
            </w:r>
          </w:p>
        </w:tc>
        <w:tc>
          <w:tcPr>
            <w:tcW w:w="1275"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数量</w:t>
            </w:r>
          </w:p>
        </w:tc>
        <w:tc>
          <w:tcPr>
            <w:tcW w:w="1395"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预算</w:t>
            </w:r>
          </w:p>
        </w:tc>
        <w:tc>
          <w:tcPr>
            <w:tcW w:w="2538"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交货期</w:t>
            </w:r>
          </w:p>
        </w:tc>
        <w:tc>
          <w:tcPr>
            <w:tcW w:w="1415"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795"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620" w:type="dxa"/>
            <w:vAlign w:val="center"/>
          </w:tcPr>
          <w:p>
            <w:pPr>
              <w:jc w:val="center"/>
              <w:rPr>
                <w:rFonts w:hint="eastAsia" w:ascii="宋体" w:hAnsi="宋体" w:eastAsia="宋体" w:cs="宋体"/>
                <w:b w:val="0"/>
                <w:bCs/>
                <w:color w:val="auto"/>
                <w:sz w:val="24"/>
                <w:highlight w:val="none"/>
                <w:lang w:eastAsia="zh-CN"/>
              </w:rPr>
            </w:pPr>
            <w:r>
              <w:rPr>
                <w:rFonts w:hint="eastAsia" w:ascii="宋体" w:hAnsi="宋体" w:cs="宋体"/>
                <w:b w:val="0"/>
                <w:bCs w:val="0"/>
                <w:color w:val="auto"/>
                <w:sz w:val="24"/>
                <w:szCs w:val="32"/>
                <w:highlight w:val="none"/>
                <w:lang w:eastAsia="zh-CN"/>
              </w:rPr>
              <w:t>DSA杂交手术室设备采购项目</w:t>
            </w:r>
          </w:p>
        </w:tc>
        <w:tc>
          <w:tcPr>
            <w:tcW w:w="1275" w:type="dxa"/>
            <w:vAlign w:val="center"/>
          </w:tcPr>
          <w:p>
            <w:pPr>
              <w:jc w:val="center"/>
              <w:rPr>
                <w:rFonts w:hint="eastAsia" w:ascii="宋体" w:hAnsi="宋体" w:eastAsia="宋体" w:cs="宋体"/>
                <w:b w:val="0"/>
                <w:bCs/>
                <w:color w:val="auto"/>
                <w:sz w:val="24"/>
                <w:highlight w:val="none"/>
                <w:lang w:eastAsia="zh-CN"/>
              </w:rPr>
            </w:pPr>
            <w:r>
              <w:rPr>
                <w:rFonts w:hint="eastAsia" w:ascii="宋体" w:hAnsi="宋体" w:cs="宋体"/>
                <w:b w:val="0"/>
                <w:bCs/>
                <w:color w:val="auto"/>
                <w:sz w:val="24"/>
                <w:highlight w:val="none"/>
                <w:lang w:val="en-US" w:eastAsia="zh-CN"/>
              </w:rPr>
              <w:t>1套</w:t>
            </w:r>
          </w:p>
        </w:tc>
        <w:tc>
          <w:tcPr>
            <w:tcW w:w="1395" w:type="dxa"/>
            <w:vAlign w:val="center"/>
          </w:tcPr>
          <w:p>
            <w:pPr>
              <w:jc w:val="center"/>
              <w:rPr>
                <w:rFonts w:hint="eastAsia" w:ascii="宋体" w:hAnsi="宋体" w:eastAsia="宋体" w:cs="宋体"/>
                <w:b w:val="0"/>
                <w:bCs/>
                <w:color w:val="auto"/>
                <w:sz w:val="24"/>
                <w:highlight w:val="none"/>
                <w:lang w:eastAsia="zh-CN"/>
              </w:rPr>
            </w:pPr>
            <w:r>
              <w:rPr>
                <w:rFonts w:hint="eastAsia" w:ascii="宋体" w:hAnsi="宋体" w:cs="宋体"/>
                <w:b w:val="0"/>
                <w:bCs/>
                <w:color w:val="auto"/>
                <w:sz w:val="24"/>
                <w:highlight w:val="none"/>
                <w:lang w:val="en-US" w:eastAsia="zh-CN"/>
              </w:rPr>
              <w:t>1300万元</w:t>
            </w:r>
          </w:p>
        </w:tc>
        <w:tc>
          <w:tcPr>
            <w:tcW w:w="2538"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合同签订后</w:t>
            </w:r>
            <w:r>
              <w:rPr>
                <w:rFonts w:hint="eastAsia" w:ascii="宋体" w:hAnsi="宋体" w:cs="宋体"/>
                <w:b w:val="0"/>
                <w:bCs/>
                <w:color w:val="auto"/>
                <w:sz w:val="24"/>
                <w:highlight w:val="none"/>
                <w:lang w:val="en-US" w:eastAsia="zh-CN"/>
              </w:rPr>
              <w:t>两</w:t>
            </w:r>
            <w:r>
              <w:rPr>
                <w:rFonts w:hint="eastAsia" w:ascii="宋体" w:hAnsi="宋体" w:eastAsia="宋体" w:cs="宋体"/>
                <w:b w:val="0"/>
                <w:bCs/>
                <w:color w:val="auto"/>
                <w:sz w:val="24"/>
                <w:highlight w:val="none"/>
              </w:rPr>
              <w:t>个月内，按院方需求送货到医院指定地点。</w:t>
            </w:r>
          </w:p>
        </w:tc>
        <w:tc>
          <w:tcPr>
            <w:tcW w:w="1415"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具体详见招标需求</w:t>
            </w:r>
          </w:p>
        </w:tc>
      </w:tr>
      <w:bookmarkEnd w:id="0"/>
    </w:tbl>
    <w:p>
      <w:pPr>
        <w:bidi w:val="0"/>
        <w:spacing w:line="360" w:lineRule="auto"/>
        <w:ind w:firstLine="482" w:firstLineChars="200"/>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本次采购产品</w:t>
      </w:r>
      <w:r>
        <w:rPr>
          <w:rFonts w:hint="eastAsia" w:ascii="宋体" w:hAnsi="宋体" w:cs="宋体"/>
          <w:b/>
          <w:bCs/>
          <w:color w:val="auto"/>
          <w:sz w:val="24"/>
          <w:szCs w:val="32"/>
          <w:highlight w:val="none"/>
          <w:lang w:val="en-US" w:eastAsia="zh-CN"/>
        </w:rPr>
        <w:t>允许</w:t>
      </w:r>
      <w:r>
        <w:rPr>
          <w:rFonts w:hint="eastAsia" w:ascii="宋体" w:hAnsi="宋体" w:eastAsia="宋体" w:cs="宋体"/>
          <w:b/>
          <w:bCs/>
          <w:color w:val="auto"/>
          <w:sz w:val="24"/>
          <w:szCs w:val="32"/>
          <w:highlight w:val="none"/>
          <w:lang w:val="en-US" w:eastAsia="zh-CN"/>
        </w:rPr>
        <w:t>进口产品</w:t>
      </w:r>
      <w:r>
        <w:rPr>
          <w:rFonts w:hint="eastAsia" w:ascii="宋体" w:hAnsi="宋体" w:cs="宋体"/>
          <w:b/>
          <w:bCs/>
          <w:color w:val="auto"/>
          <w:sz w:val="24"/>
          <w:szCs w:val="32"/>
          <w:highlight w:val="none"/>
          <w:lang w:val="en-US" w:eastAsia="zh-CN"/>
        </w:rPr>
        <w:t>。</w:t>
      </w:r>
      <w:r>
        <w:rPr>
          <w:rFonts w:hint="eastAsia" w:ascii="宋体" w:hAnsi="宋体" w:eastAsia="宋体" w:cs="宋体"/>
          <w:b/>
          <w:bCs/>
          <w:color w:val="auto"/>
          <w:sz w:val="24"/>
          <w:szCs w:val="32"/>
          <w:highlight w:val="none"/>
          <w:lang w:val="en-US" w:eastAsia="zh-CN"/>
        </w:rPr>
        <w:t xml:space="preserve"> </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三、合格投标人的资格条件：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①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②</w:t>
      </w:r>
      <w:r>
        <w:rPr>
          <w:rFonts w:hint="eastAsia" w:ascii="宋体" w:hAnsi="宋体" w:cs="宋体"/>
          <w:color w:val="auto"/>
          <w:sz w:val="24"/>
          <w:szCs w:val="32"/>
          <w:highlight w:val="none"/>
          <w:lang w:val="en-US" w:eastAsia="zh-CN"/>
        </w:rPr>
        <w:t>本项目不</w:t>
      </w:r>
      <w:r>
        <w:rPr>
          <w:rFonts w:hint="eastAsia" w:ascii="宋体" w:hAnsi="宋体" w:eastAsia="宋体" w:cs="宋体"/>
          <w:color w:val="auto"/>
          <w:sz w:val="24"/>
          <w:szCs w:val="32"/>
          <w:highlight w:val="none"/>
        </w:rPr>
        <w:t>接受联合体投标。</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四、招标文件获取的时间、方式：</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1、本项目招标文件实行“政府采购云平台”在线获取，不提供招标文件纸质版。供应商获取招标文件前应先完成“政府采购云平台”的账号注册。</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2、获取时间：自本公告发布之日起至响应文件递交截止时间止（以供应商完成获取采购文件申请后下载采购文件的时间为准）。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3、地点：政采云平台（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"http://zfcg.czt.zj.gov.cn/"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http</w:t>
      </w:r>
      <w:r>
        <w:rPr>
          <w:rFonts w:hint="eastAsia" w:ascii="宋体" w:hAnsi="宋体" w:cs="宋体"/>
          <w:color w:val="auto"/>
          <w:sz w:val="24"/>
          <w:szCs w:val="32"/>
          <w:highlight w:val="none"/>
          <w:lang w:val="en-US" w:eastAsia="zh-CN"/>
        </w:rPr>
        <w:t>:</w:t>
      </w:r>
      <w:r>
        <w:rPr>
          <w:rFonts w:hint="eastAsia" w:ascii="宋体" w:hAnsi="宋体" w:eastAsia="宋体" w:cs="宋体"/>
          <w:color w:val="auto"/>
          <w:sz w:val="24"/>
          <w:szCs w:val="32"/>
          <w:highlight w:val="none"/>
        </w:rPr>
        <w:t>//zfcg.czt.zj.gov.cn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五、投标说明：</w:t>
      </w:r>
    </w:p>
    <w:p>
      <w:pPr>
        <w:shd w:val="clear" w:color="auto" w:fill="auto"/>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w:t>
      </w:r>
      <w:r>
        <w:rPr>
          <w:rFonts w:hint="eastAsia" w:ascii="宋体" w:hAnsi="宋体" w:cs="宋体"/>
          <w:color w:val="auto"/>
          <w:kern w:val="0"/>
          <w:sz w:val="24"/>
          <w:highlight w:val="none"/>
          <w:u w:val="single"/>
          <w:lang w:val="en-US" w:eastAsia="zh-CN"/>
        </w:rPr>
        <w:t>95763</w:t>
      </w:r>
      <w:r>
        <w:rPr>
          <w:rFonts w:hint="eastAsia" w:ascii="宋体" w:hAnsi="宋体" w:cs="宋体"/>
          <w:color w:val="auto"/>
          <w:kern w:val="0"/>
          <w:sz w:val="24"/>
          <w:highlight w:val="none"/>
          <w:u w:val="single"/>
        </w:rPr>
        <w:t>。</w:t>
      </w:r>
    </w:p>
    <w:p>
      <w:pPr>
        <w:shd w:val="clear" w:color="auto" w:fill="auto"/>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2.投标人通过政采云平台电子投标工具制作投标文件，电子投标工具请供应商自行前往浙江政府采购网下载并安装（下载网址：https://zfcg.czt.zj.gov.cn/luban/detail?parentId=600030&amp;articleId=ZoGATzO%2FwUdM7eXAIXLAyg%3D%3D&amp;utm=luban.luban-PC-37000.979-pc-websitegroup-zhejiang-secondPage-front.1.58e482b00f1311eea8dfcb72d7241801）。</w:t>
      </w:r>
    </w:p>
    <w:p>
      <w:pPr>
        <w:shd w:val="clear" w:color="auto" w:fill="auto"/>
        <w:spacing w:line="360" w:lineRule="auto"/>
        <w:ind w:firstLine="480" w:firstLineChars="200"/>
        <w:rPr>
          <w:rFonts w:hint="eastAsia" w:ascii="宋体" w:hAnsi="宋体" w:eastAsia="宋体" w:cs="宋体"/>
          <w:color w:val="auto"/>
          <w:kern w:val="0"/>
          <w:sz w:val="24"/>
          <w:highlight w:val="none"/>
          <w:u w:val="single"/>
          <w:lang w:val="en-US" w:eastAsia="zh-CN"/>
        </w:rPr>
      </w:pPr>
      <w:r>
        <w:rPr>
          <w:rFonts w:hint="eastAsia" w:ascii="宋体" w:hAnsi="宋体" w:cs="宋体"/>
          <w:color w:val="auto"/>
          <w:kern w:val="0"/>
          <w:sz w:val="24"/>
          <w:highlight w:val="none"/>
          <w:u w:val="single"/>
        </w:rPr>
        <w:t>3.投标人应在开标前完成CA数字证书办理（办理流程详见https://zfcg.czt.zj.gov.cn/luban/detail?parentId=600030&amp;articleId=8usMobfHBXp2GJnjOIZ0EA%3D%3D&amp;utm=luban.luban-PC-37000.979-pc-websitegroup-zhejiang-secondPage-front.3.b52770000f1311eeb3d92762a180ef93，完成CA数字证书办理预计一周左右，请各投标人自行把握时间）</w:t>
      </w:r>
      <w:r>
        <w:rPr>
          <w:rFonts w:hint="eastAsia" w:ascii="宋体" w:hAnsi="宋体" w:cs="宋体"/>
          <w:color w:val="auto"/>
          <w:kern w:val="0"/>
          <w:sz w:val="24"/>
          <w:highlight w:val="none"/>
          <w:u w:val="single"/>
          <w:lang w:eastAsia="zh-CN"/>
        </w:rPr>
        <w:t>。</w:t>
      </w:r>
    </w:p>
    <w:p>
      <w:pPr>
        <w:shd w:val="clear" w:color="auto" w:fill="auto"/>
        <w:spacing w:line="360" w:lineRule="auto"/>
        <w:ind w:firstLine="480" w:firstLineChars="200"/>
        <w:rPr>
          <w:rFonts w:ascii="宋体" w:hAnsi="宋体" w:cs="宋体"/>
          <w:color w:val="auto"/>
          <w:kern w:val="0"/>
          <w:sz w:val="24"/>
          <w:highlight w:val="none"/>
          <w:u w:val="single"/>
        </w:rPr>
      </w:pPr>
      <w:r>
        <w:rPr>
          <w:rFonts w:hint="eastAsia" w:ascii="宋体" w:hAnsi="宋体" w:cs="宋体"/>
          <w:color w:val="auto"/>
          <w:kern w:val="0"/>
          <w:sz w:val="24"/>
          <w:highlight w:val="none"/>
          <w:u w:val="single"/>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r>
        <w:rPr>
          <w:rFonts w:hint="eastAsia" w:ascii="宋体" w:hAnsi="宋体" w:cs="宋体"/>
          <w:color w:val="auto"/>
          <w:kern w:val="0"/>
          <w:sz w:val="24"/>
          <w:highlight w:val="none"/>
          <w:u w:val="single"/>
          <w:lang w:val="en-GB"/>
        </w:rPr>
        <w:t>在开标后规定的投标有效期内，投标人不能撤销投标文件。</w:t>
      </w:r>
    </w:p>
    <w:p>
      <w:pPr>
        <w:spacing w:line="360" w:lineRule="auto"/>
        <w:ind w:firstLine="480" w:firstLineChars="2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5.投标文件的组成、份数、密封、效力</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本项目实行电子投标，供应商应准备电子投标文件、以介质（U盘）存储的数据电文形式、纸质备份投标文件三类：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5.1电子投标文件，按政采云平台项目采购--电子招投标操作指南及本招标文件要求编制。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w:t>
      </w:r>
      <w:bookmarkStart w:id="1" w:name="_Hlk34638143"/>
      <w:r>
        <w:rPr>
          <w:rFonts w:hint="eastAsia" w:ascii="宋体" w:hAnsi="宋体" w:eastAsia="宋体" w:cs="宋体"/>
          <w:color w:val="auto"/>
          <w:sz w:val="24"/>
          <w:highlight w:val="none"/>
        </w:rPr>
        <w:t>纸质</w:t>
      </w:r>
      <w:bookmarkEnd w:id="1"/>
      <w:r>
        <w:rPr>
          <w:rFonts w:hint="eastAsia" w:ascii="宋体" w:hAnsi="宋体" w:eastAsia="宋体" w:cs="宋体"/>
          <w:color w:val="auto"/>
          <w:sz w:val="24"/>
          <w:highlight w:val="none"/>
        </w:rPr>
        <w:t>备份投标文件以纸质文件的形式编制，按资格证明文件、商务技术文件、报价文件三部分分别编制并单独装订成册，</w:t>
      </w:r>
      <w:r>
        <w:rPr>
          <w:rFonts w:hint="eastAsia" w:ascii="宋体" w:hAnsi="宋体" w:eastAsia="宋体" w:cs="宋体"/>
          <w:b/>
          <w:bCs/>
          <w:color w:val="auto"/>
          <w:sz w:val="24"/>
          <w:highlight w:val="none"/>
        </w:rPr>
        <w:t>数量均为2份（一正一副）</w:t>
      </w:r>
      <w:r>
        <w:rPr>
          <w:rFonts w:hint="eastAsia" w:ascii="宋体" w:hAnsi="宋体" w:eastAsia="宋体" w:cs="宋体"/>
          <w:color w:val="auto"/>
          <w:sz w:val="24"/>
          <w:highlight w:val="none"/>
        </w:rPr>
        <w:t>。资格证明文件、商务技术文件、报价文件三部分须分别密封封装，</w:t>
      </w:r>
      <w:r>
        <w:rPr>
          <w:rFonts w:hint="eastAsia" w:ascii="宋体" w:hAnsi="宋体" w:eastAsia="宋体" w:cs="宋体"/>
          <w:color w:val="auto"/>
          <w:sz w:val="24"/>
          <w:highlight w:val="none"/>
          <w:u w:val="single"/>
        </w:rPr>
        <w:t>资格证明文件、商务技术文件、报价文件三部分未分别密封的投标文件将为无效。</w:t>
      </w:r>
    </w:p>
    <w:p>
      <w:pPr>
        <w:spacing w:line="360" w:lineRule="auto"/>
        <w:ind w:firstLine="480" w:firstLineChars="200"/>
        <w:rPr>
          <w:rFonts w:hint="eastAsia" w:ascii="宋体" w:hAnsi="宋体" w:eastAsia="宋体" w:cs="宋体"/>
          <w:color w:val="auto"/>
          <w:sz w:val="24"/>
          <w:highlight w:val="none"/>
          <w:u w:val="single"/>
        </w:rPr>
      </w:pPr>
      <w:bookmarkStart w:id="2" w:name="_Hlk34639647"/>
      <w:r>
        <w:rPr>
          <w:rFonts w:hint="eastAsia" w:ascii="宋体" w:hAnsi="宋体" w:eastAsia="宋体" w:cs="宋体"/>
          <w:color w:val="auto"/>
          <w:sz w:val="24"/>
          <w:highlight w:val="none"/>
        </w:rPr>
        <w:t>5.3</w:t>
      </w:r>
      <w:r>
        <w:rPr>
          <w:rFonts w:hint="eastAsia" w:ascii="宋体" w:hAnsi="宋体" w:eastAsia="宋体" w:cs="宋体"/>
          <w:color w:val="auto"/>
          <w:sz w:val="24"/>
          <w:highlight w:val="none"/>
          <w:u w:val="single"/>
        </w:rPr>
        <w:t>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①在投标截止时间前送交到开标地点；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②采用邮寄方式，邮寄公司统一采用顺丰（包裹外包装上请注明单位、项目名称、联系电话等信息，以便代理机构作接收登记工作），邮寄接收截止时间为投标截止时间前（邮寄地址：</w:t>
      </w:r>
      <w:r>
        <w:rPr>
          <w:rFonts w:hint="eastAsia" w:ascii="宋体" w:hAnsi="宋体" w:eastAsia="宋体" w:cs="宋体"/>
          <w:color w:val="auto"/>
          <w:sz w:val="24"/>
          <w:highlight w:val="none"/>
          <w:lang w:eastAsia="zh-CN"/>
        </w:rPr>
        <w:t>浙江五石中正工程咨询有限公司</w:t>
      </w:r>
      <w:r>
        <w:rPr>
          <w:rFonts w:hint="eastAsia" w:ascii="宋体" w:hAnsi="宋体" w:eastAsia="宋体" w:cs="宋体"/>
          <w:color w:val="auto"/>
          <w:sz w:val="24"/>
          <w:highlight w:val="none"/>
        </w:rPr>
        <w:t>（浙江省台州市椒江区东环大道576号二楼，联系人：金老师，电话：0576-88781913。））。</w:t>
      </w:r>
    </w:p>
    <w:bookmarkEnd w:id="2"/>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5.5投标文件启用顺序和效力：投标文件的启用，按先后顺位分别为电子投标文件、以介质（U盘）存储的数据电文形式的备份投标文件。</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5.6▲未传输递交电子投标文件的，投标无效。</w:t>
      </w:r>
    </w:p>
    <w:p>
      <w:pPr>
        <w:spacing w:line="360" w:lineRule="auto"/>
        <w:ind w:firstLine="482" w:firstLineChars="200"/>
        <w:rPr>
          <w:rFonts w:hint="eastAsia" w:ascii="宋体" w:hAnsi="宋体" w:eastAsia="宋体" w:cs="宋体"/>
          <w:color w:val="auto"/>
          <w:sz w:val="24"/>
          <w:szCs w:val="32"/>
          <w:highlight w:val="none"/>
          <w:lang w:eastAsia="zh-CN"/>
        </w:rPr>
      </w:pPr>
      <w:r>
        <w:rPr>
          <w:rFonts w:hint="eastAsia" w:ascii="宋体" w:hAnsi="宋体" w:eastAsia="宋体" w:cs="宋体"/>
          <w:b/>
          <w:bCs/>
          <w:color w:val="auto"/>
          <w:sz w:val="24"/>
          <w:szCs w:val="32"/>
          <w:highlight w:val="none"/>
        </w:rPr>
        <w:t>六、投标截止时间及开标时间：</w:t>
      </w:r>
      <w:r>
        <w:rPr>
          <w:rFonts w:hint="eastAsia" w:ascii="宋体" w:hAnsi="宋体" w:cs="宋体"/>
          <w:color w:val="auto"/>
          <w:sz w:val="24"/>
          <w:szCs w:val="32"/>
          <w:highlight w:val="none"/>
          <w:lang w:eastAsia="zh-CN"/>
        </w:rPr>
        <w:t>202</w:t>
      </w:r>
      <w:r>
        <w:rPr>
          <w:rFonts w:hint="eastAsia" w:ascii="宋体" w:hAnsi="宋体" w:cs="宋体"/>
          <w:color w:val="auto"/>
          <w:sz w:val="24"/>
          <w:szCs w:val="32"/>
          <w:highlight w:val="none"/>
          <w:lang w:val="en-US" w:eastAsia="zh-CN"/>
        </w:rPr>
        <w:t>4</w:t>
      </w:r>
      <w:r>
        <w:rPr>
          <w:rFonts w:hint="eastAsia" w:ascii="宋体" w:hAnsi="宋体" w:cs="宋体"/>
          <w:color w:val="auto"/>
          <w:sz w:val="24"/>
          <w:szCs w:val="32"/>
          <w:highlight w:val="none"/>
          <w:lang w:eastAsia="zh-CN"/>
        </w:rPr>
        <w:t>年</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lang w:eastAsia="zh-CN"/>
        </w:rPr>
        <w:t>月</w:t>
      </w:r>
      <w:r>
        <w:rPr>
          <w:rFonts w:hint="eastAsia" w:ascii="宋体" w:hAnsi="宋体" w:cs="宋体"/>
          <w:color w:val="auto"/>
          <w:sz w:val="24"/>
          <w:szCs w:val="32"/>
          <w:highlight w:val="none"/>
          <w:lang w:val="en-US" w:eastAsia="zh-CN"/>
        </w:rPr>
        <w:t>17</w:t>
      </w:r>
      <w:r>
        <w:rPr>
          <w:rFonts w:hint="eastAsia" w:ascii="宋体" w:hAnsi="宋体" w:cs="宋体"/>
          <w:color w:val="auto"/>
          <w:sz w:val="24"/>
          <w:szCs w:val="32"/>
          <w:highlight w:val="none"/>
          <w:lang w:eastAsia="zh-CN"/>
        </w:rPr>
        <w:t>日 上午9:00</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七、投标及开标地址：</w:t>
      </w:r>
      <w:r>
        <w:rPr>
          <w:rFonts w:hint="eastAsia" w:ascii="宋体" w:hAnsi="宋体" w:cs="宋体"/>
          <w:color w:val="auto"/>
          <w:sz w:val="24"/>
          <w:szCs w:val="32"/>
          <w:highlight w:val="none"/>
          <w:lang w:eastAsia="zh-CN"/>
        </w:rPr>
        <w:t>椒江区市府大道777号民泰大楼3楼</w:t>
      </w:r>
      <w:r>
        <w:rPr>
          <w:rFonts w:hint="eastAsia" w:ascii="宋体" w:hAnsi="宋体" w:cs="宋体"/>
          <w:color w:val="auto"/>
          <w:sz w:val="24"/>
          <w:szCs w:val="32"/>
          <w:highlight w:val="none"/>
          <w:lang w:val="en-US" w:eastAsia="zh-CN"/>
        </w:rPr>
        <w:t>一</w:t>
      </w:r>
      <w:r>
        <w:rPr>
          <w:rFonts w:hint="eastAsia" w:ascii="宋体" w:hAnsi="宋体" w:cs="宋体"/>
          <w:color w:val="auto"/>
          <w:sz w:val="24"/>
          <w:szCs w:val="32"/>
          <w:highlight w:val="none"/>
          <w:lang w:eastAsia="zh-CN"/>
        </w:rPr>
        <w:t>号开标室</w:t>
      </w:r>
      <w:r>
        <w:rPr>
          <w:rFonts w:hint="eastAsia" w:ascii="宋体" w:hAnsi="宋体" w:cs="宋体"/>
          <w:color w:val="auto"/>
          <w:sz w:val="24"/>
          <w:szCs w:val="32"/>
          <w:highlight w:val="none"/>
          <w:lang w:val="en-US" w:eastAsia="zh-CN"/>
        </w:rPr>
        <w:t>B</w:t>
      </w:r>
      <w:r>
        <w:rPr>
          <w:rFonts w:hint="eastAsia" w:ascii="宋体" w:hAnsi="宋体" w:cs="宋体"/>
          <w:color w:val="auto"/>
          <w:sz w:val="24"/>
          <w:szCs w:val="32"/>
          <w:highlight w:val="none"/>
          <w:lang w:eastAsia="zh-CN"/>
        </w:rPr>
        <w:t>场地</w:t>
      </w:r>
      <w:r>
        <w:rPr>
          <w:rFonts w:hint="eastAsia" w:ascii="宋体" w:hAnsi="宋体" w:eastAsia="宋体" w:cs="宋体"/>
          <w:color w:val="auto"/>
          <w:sz w:val="24"/>
          <w:szCs w:val="32"/>
          <w:highlight w:val="none"/>
        </w:rPr>
        <w:t>。</w:t>
      </w:r>
    </w:p>
    <w:p>
      <w:pPr>
        <w:spacing w:line="360" w:lineRule="auto"/>
        <w:ind w:firstLine="482" w:firstLineChars="200"/>
        <w:outlineLvl w:val="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八、相关注意事项：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供应商如对招标文件有异议应按规定的时间提出，逾期提出的，采购组织机构可不予受理、答复。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r>
        <w:rPr>
          <w:rFonts w:hint="eastAsia" w:ascii="宋体" w:hAnsi="宋体" w:eastAsia="宋体" w:cs="宋体"/>
          <w:color w:val="auto"/>
          <w:sz w:val="24"/>
          <w:highlight w:val="none"/>
        </w:rPr>
        <w:t>潜在供应商认为采购文件使自己的权益受到损害的，可以在依法获取采购文件之日或采购文件公告期限届满之日（公告期限届满后获取采购文件的，以公告期限届满之日为准）起7个工作日内且应当在采购响应截止时间之前，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2.根据财库[2016]125号《关于在政府采购活动中查询及使用信用记录有关问题的通知》要求，采购代理机构会对供应商信用记录进行查询并甄别。</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1）信用信息查询的截止时点：开标后评标前；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2）查询渠道：“信用中国”（</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"qq://txfile/"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www.creditchina.gov.cn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）、“中国政府采购网”（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"qq://txfile/"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32"/>
          <w:highlight w:val="none"/>
        </w:rPr>
        <w:t>www.ccgp.gov.cn</w:t>
      </w:r>
      <w:r>
        <w:rPr>
          <w:rFonts w:hint="eastAsia" w:ascii="宋体" w:hAnsi="宋体" w:eastAsia="宋体" w:cs="宋体"/>
          <w:color w:val="auto"/>
          <w:sz w:val="24"/>
          <w:szCs w:val="32"/>
          <w:highlight w:val="none"/>
        </w:rPr>
        <w:fldChar w:fldCharType="end"/>
      </w:r>
      <w:r>
        <w:rPr>
          <w:rFonts w:hint="eastAsia" w:ascii="宋体" w:hAnsi="宋体" w:eastAsia="宋体" w:cs="宋体"/>
          <w:color w:val="auto"/>
          <w:sz w:val="24"/>
          <w:szCs w:val="32"/>
          <w:highlight w:val="none"/>
        </w:rPr>
        <w:t>）、“浙江政府采购网</w:t>
      </w:r>
      <w:r>
        <w:rPr>
          <w:rFonts w:hint="default" w:ascii="宋体" w:hAnsi="宋体" w:eastAsia="宋体" w:cs="宋体"/>
          <w:color w:val="auto"/>
          <w:sz w:val="24"/>
          <w:szCs w:val="32"/>
          <w:highlight w:val="none"/>
          <w:lang w:val="en-US" w:eastAsia="zh-CN"/>
        </w:rPr>
        <w:t>”</w:t>
      </w:r>
      <w:r>
        <w:rPr>
          <w:rFonts w:hint="eastAsia" w:ascii="宋体" w:hAnsi="宋体" w:eastAsia="宋体" w:cs="宋体"/>
          <w:color w:val="auto"/>
          <w:sz w:val="24"/>
          <w:szCs w:val="32"/>
          <w:highlight w:val="none"/>
        </w:rPr>
        <w:t>（zfcg.czt.zj.gov.cn）；</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3）信用信息查询记录和证据留存具体方式：采购代理机构经办人将查询网页打印与其他项目相关文件文件一并保存；</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4）信用信息的使用规则：投标人存在不良信用记录的，其投标将被作为无效投标被拒绝。</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3.不良信用记录指：被列入失信被执行人、</w:t>
      </w:r>
      <w:r>
        <w:rPr>
          <w:rFonts w:hint="eastAsia" w:ascii="宋体" w:hAnsi="宋体" w:cs="宋体"/>
          <w:color w:val="auto"/>
          <w:sz w:val="24"/>
          <w:szCs w:val="32"/>
          <w:highlight w:val="none"/>
          <w:lang w:eastAsia="zh-CN"/>
        </w:rPr>
        <w:t>重大税收违法失信主体</w:t>
      </w:r>
      <w:r>
        <w:rPr>
          <w:rFonts w:hint="eastAsia" w:ascii="宋体" w:hAnsi="宋体" w:eastAsia="宋体" w:cs="宋体"/>
          <w:color w:val="auto"/>
          <w:sz w:val="24"/>
          <w:szCs w:val="32"/>
          <w:highlight w:val="none"/>
        </w:rPr>
        <w:t>、政府采购严重违法失信行为记录名单或浙江政府采购网曝光台中尚在行政处罚期内的。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4.开标时间后30分钟内，供应商须登录“政采云”平台，用“项目采购-开标评标”功能解密投标文件，投标人未按时解密或解密失败的，其上传的电子投标文件自动失效。电脑及CA解密设备自备。</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九、联系方式：</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1、采购代理机构：</w:t>
      </w:r>
      <w:r>
        <w:rPr>
          <w:rFonts w:hint="eastAsia" w:ascii="宋体" w:hAnsi="宋体" w:eastAsia="宋体" w:cs="宋体"/>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项目负责人：徐名峰</w:t>
      </w:r>
      <w:r>
        <w:rPr>
          <w:rFonts w:hint="eastAsia" w:ascii="宋体" w:hAnsi="宋体" w:cs="宋体"/>
          <w:color w:val="auto"/>
          <w:sz w:val="24"/>
          <w:szCs w:val="24"/>
          <w:highlight w:val="none"/>
          <w:lang w:eastAsia="zh-CN"/>
        </w:rPr>
        <w:t>、</w:t>
      </w:r>
      <w:r>
        <w:rPr>
          <w:rFonts w:hint="eastAsia" w:ascii="宋体" w:hAnsi="宋体" w:eastAsia="宋体" w:cs="宋体"/>
          <w:b w:val="0"/>
          <w:bCs w:val="0"/>
          <w:i w:val="0"/>
          <w:iCs w:val="0"/>
          <w:caps w:val="0"/>
          <w:color w:val="auto"/>
          <w:spacing w:val="0"/>
          <w:sz w:val="24"/>
          <w:szCs w:val="24"/>
          <w:highlight w:val="none"/>
          <w:shd w:val="clear" w:fill="FFFFFF"/>
        </w:rPr>
        <w:t>邹正英、石晓林、高琳</w:t>
      </w:r>
      <w:r>
        <w:rPr>
          <w:rFonts w:hint="eastAsia" w:ascii="宋体" w:hAnsi="宋体" w:eastAsia="宋体" w:cs="宋体"/>
          <w:color w:val="auto"/>
          <w:sz w:val="24"/>
          <w:szCs w:val="32"/>
          <w:highlight w:val="none"/>
        </w:rPr>
        <w:t>；联系电话：15088711407；</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质疑接收人：</w:t>
      </w:r>
      <w:r>
        <w:rPr>
          <w:rFonts w:hint="eastAsia" w:ascii="宋体" w:hAnsi="宋体" w:cs="宋体"/>
          <w:color w:val="auto"/>
          <w:sz w:val="24"/>
          <w:szCs w:val="32"/>
          <w:highlight w:val="none"/>
          <w:lang w:val="en-US" w:eastAsia="zh-CN"/>
        </w:rPr>
        <w:t>徐少媚</w:t>
      </w:r>
      <w:r>
        <w:rPr>
          <w:rFonts w:hint="eastAsia" w:ascii="宋体" w:hAnsi="宋体" w:eastAsia="宋体" w:cs="宋体"/>
          <w:color w:val="auto"/>
          <w:sz w:val="24"/>
          <w:szCs w:val="32"/>
          <w:highlight w:val="none"/>
        </w:rPr>
        <w:t>；联系电话：057</w:t>
      </w:r>
      <w:r>
        <w:rPr>
          <w:rFonts w:hint="eastAsia" w:ascii="宋体" w:hAnsi="宋体" w:cs="宋体"/>
          <w:color w:val="auto"/>
          <w:sz w:val="24"/>
          <w:szCs w:val="32"/>
          <w:highlight w:val="none"/>
          <w:lang w:val="en-US" w:eastAsia="zh-CN"/>
        </w:rPr>
        <w:t>6-88785265</w:t>
      </w:r>
      <w:r>
        <w:rPr>
          <w:rFonts w:hint="eastAsia" w:ascii="宋体" w:hAnsi="宋体" w:eastAsia="宋体" w:cs="宋体"/>
          <w:color w:val="auto"/>
          <w:sz w:val="24"/>
          <w:szCs w:val="32"/>
          <w:highlight w:val="none"/>
        </w:rPr>
        <w:t>；传真：0571-85342190；</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地点：杭州市拱墅区白石路318号中国（杭州）人力资源服务产业园北楼512室；</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2、采购人：</w:t>
      </w:r>
      <w:r>
        <w:rPr>
          <w:rFonts w:hint="eastAsia" w:ascii="宋体" w:hAnsi="宋体" w:eastAsia="宋体" w:cs="宋体"/>
          <w:color w:val="auto"/>
          <w:sz w:val="24"/>
          <w:szCs w:val="32"/>
          <w:highlight w:val="none"/>
        </w:rPr>
        <w:t>台州市中心医院（台州学院附属医院）；</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联系人：王女士；联系电话：0576-88526626；</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32"/>
          <w:highlight w:val="none"/>
        </w:rPr>
        <w:t>质疑接</w:t>
      </w:r>
      <w:r>
        <w:rPr>
          <w:rFonts w:hint="eastAsia" w:ascii="宋体" w:hAnsi="宋体" w:cs="宋体"/>
          <w:color w:val="auto"/>
          <w:sz w:val="24"/>
          <w:szCs w:val="32"/>
          <w:highlight w:val="none"/>
          <w:lang w:val="en-US" w:eastAsia="zh-CN"/>
        </w:rPr>
        <w:t>收</w:t>
      </w:r>
      <w:r>
        <w:rPr>
          <w:rFonts w:hint="eastAsia" w:ascii="宋体" w:hAnsi="宋体" w:eastAsia="宋体" w:cs="宋体"/>
          <w:color w:val="auto"/>
          <w:sz w:val="24"/>
          <w:szCs w:val="32"/>
          <w:highlight w:val="none"/>
        </w:rPr>
        <w:t>人：</w:t>
      </w:r>
      <w:r>
        <w:rPr>
          <w:rFonts w:hint="eastAsia" w:ascii="宋体" w:hAnsi="宋体" w:cs="宋体"/>
          <w:color w:val="auto"/>
          <w:sz w:val="24"/>
          <w:szCs w:val="32"/>
          <w:highlight w:val="none"/>
          <w:lang w:val="en-US" w:eastAsia="zh-CN"/>
        </w:rPr>
        <w:t>吴</w:t>
      </w:r>
      <w:r>
        <w:rPr>
          <w:rFonts w:hint="eastAsia" w:ascii="宋体" w:hAnsi="宋体" w:eastAsia="宋体" w:cs="宋体"/>
          <w:color w:val="auto"/>
          <w:sz w:val="24"/>
          <w:szCs w:val="32"/>
          <w:highlight w:val="none"/>
        </w:rPr>
        <w:t>女士；联系电话：0576-88526632；</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3、同级政府采购监管管理部门：</w:t>
      </w:r>
      <w:r>
        <w:rPr>
          <w:rFonts w:hint="eastAsia" w:ascii="宋体" w:hAnsi="宋体" w:eastAsia="宋体" w:cs="宋体"/>
          <w:color w:val="auto"/>
          <w:sz w:val="24"/>
          <w:szCs w:val="32"/>
          <w:highlight w:val="none"/>
        </w:rPr>
        <w:t>台州市财政局政府采购监督管理办公室；</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联系人：陈</w:t>
      </w:r>
      <w:r>
        <w:rPr>
          <w:rFonts w:hint="eastAsia" w:ascii="宋体" w:hAnsi="宋体" w:cs="宋体"/>
          <w:color w:val="auto"/>
          <w:sz w:val="24"/>
          <w:szCs w:val="32"/>
          <w:highlight w:val="none"/>
          <w:lang w:val="en-US" w:eastAsia="zh-CN"/>
        </w:rPr>
        <w:t>工、李工</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监督投诉电话：</w:t>
      </w:r>
      <w:r>
        <w:rPr>
          <w:rFonts w:hint="eastAsia" w:ascii="宋体" w:hAnsi="宋体" w:eastAsia="宋体" w:cs="宋体"/>
          <w:color w:val="auto"/>
          <w:sz w:val="24"/>
          <w:szCs w:val="24"/>
          <w:highlight w:val="none"/>
        </w:rPr>
        <w:t>0576-88206705、0576-88206731</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32"/>
          <w:highlight w:val="none"/>
        </w:rPr>
        <w:t>地址：台州市椒江区纬一路66号天元大厦。</w:t>
      </w:r>
    </w:p>
    <w:p>
      <w:pPr>
        <w:spacing w:line="360" w:lineRule="auto"/>
        <w:ind w:firstLine="482" w:firstLineChars="200"/>
        <w:rPr>
          <w:rFonts w:hint="eastAsia" w:ascii="宋体" w:hAnsi="宋体" w:eastAsia="宋体" w:cs="宋体"/>
          <w:color w:val="auto"/>
          <w:sz w:val="24"/>
          <w:szCs w:val="32"/>
          <w:highlight w:val="none"/>
        </w:rPr>
      </w:pPr>
      <w:r>
        <w:rPr>
          <w:rFonts w:hint="eastAsia" w:ascii="宋体" w:hAnsi="宋体" w:eastAsia="宋体" w:cs="宋体"/>
          <w:b/>
          <w:bCs/>
          <w:color w:val="auto"/>
          <w:sz w:val="24"/>
          <w:szCs w:val="32"/>
          <w:highlight w:val="none"/>
        </w:rPr>
        <w:t>4、其余事项：</w:t>
      </w:r>
      <w:r>
        <w:rPr>
          <w:rFonts w:hint="eastAsia" w:ascii="宋体" w:hAnsi="宋体" w:eastAsia="宋体" w:cs="宋体"/>
          <w:color w:val="auto"/>
          <w:sz w:val="24"/>
          <w:szCs w:val="32"/>
          <w:highlight w:val="none"/>
        </w:rPr>
        <w:t>中标供应商如有融资需求，可使用以下银行的政采贷服务。</w:t>
      </w:r>
    </w:p>
    <w:tbl>
      <w:tblPr>
        <w:tblStyle w:val="28"/>
        <w:tblW w:w="7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4"/>
        <w:gridCol w:w="1470"/>
        <w:gridCol w:w="1155"/>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贷款年利率</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p>
        </w:tc>
        <w:tc>
          <w:tcPr>
            <w:tcW w:w="2672"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中国工商银行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卢嘉诚</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13867658508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中国农业银行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龚盛</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中国建设银行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梅晶晶</w:t>
            </w:r>
          </w:p>
        </w:tc>
        <w:tc>
          <w:tcPr>
            <w:tcW w:w="2672"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中国银行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3.75%起</w:t>
            </w:r>
          </w:p>
        </w:tc>
        <w:tc>
          <w:tcPr>
            <w:tcW w:w="1155" w:type="dxa"/>
            <w:vAlign w:val="center"/>
          </w:tcPr>
          <w:p>
            <w:pPr>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王海</w:t>
            </w:r>
          </w:p>
        </w:tc>
        <w:tc>
          <w:tcPr>
            <w:tcW w:w="2672" w:type="dxa"/>
            <w:vAlign w:val="center"/>
          </w:tcPr>
          <w:p>
            <w:pPr>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13857677798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浦发银行台州分行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4.05%起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王渊</w:t>
            </w:r>
          </w:p>
        </w:tc>
        <w:tc>
          <w:tcPr>
            <w:tcW w:w="2672"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浦发银行椒江分行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4.05%起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孙瑞华</w:t>
            </w:r>
          </w:p>
        </w:tc>
        <w:tc>
          <w:tcPr>
            <w:tcW w:w="2672"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交通银行台州分行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3.75%起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周翔宇</w:t>
            </w:r>
          </w:p>
        </w:tc>
        <w:tc>
          <w:tcPr>
            <w:tcW w:w="2672"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招商银行台州分行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4.32%起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王海玲</w:t>
            </w:r>
          </w:p>
        </w:tc>
        <w:tc>
          <w:tcPr>
            <w:tcW w:w="2672"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浙商银行台州分行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5.01%起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章涉漪</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中信银行台州分行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4.15%起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陈金园</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华夏银行台州分行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邱明达</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泰隆银行开发区支行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5.6%起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梁宛莉</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民泰银行椒江支行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5.8%起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陈慧珠</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绍兴银行台州分行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5.1%起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郭庭斌</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温州银行台州分行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4.55%起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王晓波</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平安银行台州分行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6.53%起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李俊丽</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宁波银行台州分行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4.35%起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戴莉丽</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金华银行台州分行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4.05%起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金雪婷</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台州银行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5.6%起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洪婷</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邮储银行台州分行</w:t>
            </w:r>
          </w:p>
        </w:tc>
        <w:tc>
          <w:tcPr>
            <w:tcW w:w="147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3.85%起</w:t>
            </w:r>
          </w:p>
        </w:tc>
        <w:tc>
          <w:tcPr>
            <w:tcW w:w="1155"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董庆</w:t>
            </w:r>
          </w:p>
        </w:tc>
        <w:tc>
          <w:tcPr>
            <w:tcW w:w="2672"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81888982/18957683735</w:t>
            </w:r>
          </w:p>
        </w:tc>
      </w:tr>
    </w:tbl>
    <w:p>
      <w:pPr>
        <w:ind w:firstLine="480" w:firstLineChars="200"/>
        <w:rPr>
          <w:rFonts w:hint="eastAsia" w:ascii="宋体" w:hAnsi="宋体" w:eastAsia="宋体" w:cs="宋体"/>
          <w:color w:val="auto"/>
          <w:sz w:val="24"/>
          <w:szCs w:val="32"/>
          <w:highlight w:val="none"/>
        </w:rPr>
      </w:pPr>
    </w:p>
    <w:p>
      <w:pPr>
        <w:ind w:firstLine="1120" w:firstLineChars="35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合同履约保函联系方式</w:t>
      </w:r>
    </w:p>
    <w:tbl>
      <w:tblPr>
        <w:tblStyle w:val="29"/>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57"/>
        <w:gridCol w:w="1700"/>
        <w:gridCol w:w="991"/>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7" w:hRule="atLeast"/>
        </w:trPr>
        <w:tc>
          <w:tcPr>
            <w:tcW w:w="435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保险公司名称</w:t>
            </w:r>
          </w:p>
        </w:tc>
        <w:tc>
          <w:tcPr>
            <w:tcW w:w="1700"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保费率</w:t>
            </w:r>
          </w:p>
        </w:tc>
        <w:tc>
          <w:tcPr>
            <w:tcW w:w="991"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146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中国人寿财产保险股份有限公司台州中心支公司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徐凌</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永诚财产保险股份有限公司台州分公司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尹刚强</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13750668184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4" w:hRule="atLeast"/>
        </w:trPr>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华泰财产保险有限公司台州中心支公司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年费率0.5%，最低保费1000元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王灵芳</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88869818 13586123199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中国大地财产保险股份有限公司台州中心支公司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年费率1.5%，最低保费1000元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徐小明</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88552788      13968603112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阳光保险台州中心支公司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林高明</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中华联合财产保险股份有限公司台州中心支公司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年费率2%，最低保费500元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王仙高</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13858600221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中国人民财产保险股份有限公司台州中心支公司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年费率0.3%，最低保费1000元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王仙春</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13515769179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永安财产保险股份有限公司台州中心支公司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年费率0.3%，最低保费1000</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王春宇</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13676675331</w:t>
            </w:r>
          </w:p>
        </w:tc>
      </w:tr>
    </w:tbl>
    <w:p>
      <w:pPr>
        <w:jc w:val="center"/>
        <w:rPr>
          <w:rFonts w:hint="eastAsia" w:ascii="宋体" w:hAnsi="宋体" w:eastAsia="宋体" w:cs="宋体"/>
          <w:color w:val="auto"/>
          <w:sz w:val="32"/>
          <w:szCs w:val="32"/>
          <w:highlight w:val="none"/>
        </w:rPr>
      </w:pPr>
    </w:p>
    <w:p>
      <w:pPr>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预付款保函联系方式</w:t>
      </w:r>
    </w:p>
    <w:tbl>
      <w:tblPr>
        <w:tblStyle w:val="29"/>
        <w:tblW w:w="85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357"/>
        <w:gridCol w:w="1700"/>
        <w:gridCol w:w="991"/>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8" w:hRule="atLeast"/>
        </w:trPr>
        <w:tc>
          <w:tcPr>
            <w:tcW w:w="435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保险公司名称</w:t>
            </w:r>
          </w:p>
        </w:tc>
        <w:tc>
          <w:tcPr>
            <w:tcW w:w="170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保费率</w:t>
            </w:r>
          </w:p>
        </w:tc>
        <w:tc>
          <w:tcPr>
            <w:tcW w:w="991"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联系人</w:t>
            </w:r>
          </w:p>
        </w:tc>
        <w:tc>
          <w:tcPr>
            <w:tcW w:w="1468"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中国人寿财产保险股份有限公司台州中心支公司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年费率3%，最低保费500元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徐凌</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13905168070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阳光保险台州中心支公司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林高明</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15888682693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57"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天安财产保险股份有限公司台州中心支公司</w:t>
            </w:r>
          </w:p>
        </w:tc>
        <w:tc>
          <w:tcPr>
            <w:tcW w:w="1700"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年费率1%-2%，最低保费500元</w:t>
            </w:r>
          </w:p>
        </w:tc>
        <w:tc>
          <w:tcPr>
            <w:tcW w:w="991"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罗赛</w:t>
            </w:r>
          </w:p>
        </w:tc>
        <w:tc>
          <w:tcPr>
            <w:tcW w:w="1468" w:type="dxa"/>
            <w:vAlign w:val="center"/>
          </w:tcPr>
          <w:p>
            <w:pPr>
              <w:jc w:val="both"/>
              <w:rPr>
                <w:rFonts w:hint="eastAsia" w:ascii="宋体" w:hAnsi="宋体" w:eastAsia="宋体" w:cs="宋体"/>
                <w:color w:val="auto"/>
                <w:highlight w:val="none"/>
              </w:rPr>
            </w:pPr>
            <w:r>
              <w:rPr>
                <w:rFonts w:hint="eastAsia" w:ascii="宋体" w:hAnsi="宋体" w:eastAsia="宋体" w:cs="宋体"/>
                <w:color w:val="auto"/>
                <w:highlight w:val="none"/>
              </w:rPr>
              <w:t>13736605643</w:t>
            </w:r>
          </w:p>
        </w:tc>
      </w:tr>
    </w:tbl>
    <w:p>
      <w:pPr>
        <w:spacing w:line="360" w:lineRule="auto"/>
        <w:jc w:val="right"/>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浙江五石工中正程咨询有限公司</w:t>
      </w:r>
    </w:p>
    <w:p>
      <w:pPr>
        <w:spacing w:line="360" w:lineRule="auto"/>
        <w:ind w:firstLine="6240" w:firstLineChars="26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lang w:eastAsia="zh-CN"/>
        </w:rPr>
        <w:t>202</w:t>
      </w:r>
      <w:r>
        <w:rPr>
          <w:rFonts w:hint="eastAsia" w:ascii="宋体" w:hAnsi="宋体" w:cs="宋体"/>
          <w:color w:val="auto"/>
          <w:sz w:val="24"/>
          <w:szCs w:val="32"/>
          <w:highlight w:val="none"/>
          <w:lang w:val="en-US" w:eastAsia="zh-CN"/>
        </w:rPr>
        <w:t>3</w:t>
      </w:r>
      <w:r>
        <w:rPr>
          <w:rFonts w:hint="eastAsia" w:ascii="宋体" w:hAnsi="宋体" w:eastAsia="宋体" w:cs="宋体"/>
          <w:color w:val="auto"/>
          <w:sz w:val="24"/>
          <w:szCs w:val="32"/>
          <w:highlight w:val="none"/>
          <w:lang w:eastAsia="zh-CN"/>
        </w:rPr>
        <w:t>年</w:t>
      </w:r>
      <w:r>
        <w:rPr>
          <w:rFonts w:hint="eastAsia" w:ascii="宋体" w:hAnsi="宋体" w:cs="宋体"/>
          <w:color w:val="auto"/>
          <w:sz w:val="24"/>
          <w:szCs w:val="32"/>
          <w:highlight w:val="none"/>
          <w:lang w:val="en-US" w:eastAsia="zh-CN"/>
        </w:rPr>
        <w:t>12</w:t>
      </w:r>
      <w:r>
        <w:rPr>
          <w:rFonts w:hint="eastAsia" w:ascii="宋体" w:hAnsi="宋体" w:eastAsia="宋体" w:cs="宋体"/>
          <w:color w:val="auto"/>
          <w:sz w:val="24"/>
          <w:szCs w:val="32"/>
          <w:highlight w:val="none"/>
          <w:lang w:eastAsia="zh-CN"/>
        </w:rPr>
        <w:t>月</w:t>
      </w: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pStyle w:val="9"/>
        <w:rPr>
          <w:rFonts w:hint="eastAsia" w:ascii="宋体" w:hAnsi="宋体" w:eastAsia="宋体" w:cs="宋体"/>
          <w:b/>
          <w:bCs/>
          <w:color w:val="auto"/>
          <w:sz w:val="36"/>
          <w:szCs w:val="44"/>
          <w:highlight w:val="none"/>
        </w:rPr>
      </w:pPr>
    </w:p>
    <w:p>
      <w:pPr>
        <w:pStyle w:val="26"/>
        <w:rPr>
          <w:rFonts w:hint="eastAsia" w:ascii="宋体" w:hAnsi="宋体" w:eastAsia="宋体" w:cs="宋体"/>
          <w:b/>
          <w:bCs/>
          <w:color w:val="auto"/>
          <w:sz w:val="36"/>
          <w:szCs w:val="44"/>
          <w:highlight w:val="none"/>
        </w:rPr>
      </w:pPr>
    </w:p>
    <w:p>
      <w:pPr>
        <w:pStyle w:val="21"/>
        <w:rPr>
          <w:rFonts w:hint="eastAsia" w:ascii="宋体" w:hAnsi="宋体" w:eastAsia="宋体" w:cs="宋体"/>
          <w:b/>
          <w:bCs/>
          <w:color w:val="auto"/>
          <w:sz w:val="36"/>
          <w:szCs w:val="44"/>
          <w:highlight w:val="none"/>
        </w:rPr>
      </w:pPr>
    </w:p>
    <w:p>
      <w:pPr>
        <w:rPr>
          <w:rFonts w:hint="eastAsia" w:ascii="宋体" w:hAnsi="宋体" w:eastAsia="宋体" w:cs="宋体"/>
          <w:b/>
          <w:bCs/>
          <w:color w:val="auto"/>
          <w:sz w:val="36"/>
          <w:szCs w:val="44"/>
          <w:highlight w:val="none"/>
        </w:rPr>
      </w:pPr>
    </w:p>
    <w:p>
      <w:pPr>
        <w:pStyle w:val="9"/>
        <w:rPr>
          <w:rFonts w:hint="eastAsia" w:ascii="宋体" w:hAnsi="宋体" w:eastAsia="宋体" w:cs="宋体"/>
          <w:b/>
          <w:bCs/>
          <w:color w:val="auto"/>
          <w:sz w:val="36"/>
          <w:szCs w:val="44"/>
          <w:highlight w:val="none"/>
        </w:rPr>
      </w:pPr>
    </w:p>
    <w:p>
      <w:pPr>
        <w:pStyle w:val="26"/>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第二章 投标人须知</w:t>
      </w: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前附表</w:t>
      </w:r>
    </w:p>
    <w:tbl>
      <w:tblPr>
        <w:tblStyle w:val="28"/>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530"/>
        <w:gridCol w:w="7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    目</w:t>
            </w:r>
          </w:p>
        </w:tc>
        <w:tc>
          <w:tcPr>
            <w:tcW w:w="7551"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供应商特定资格要求</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答疑会或</w:t>
            </w:r>
            <w:r>
              <w:rPr>
                <w:rFonts w:hint="eastAsia" w:ascii="宋体" w:hAnsi="宋体" w:eastAsia="宋体" w:cs="宋体"/>
                <w:color w:val="auto"/>
                <w:sz w:val="24"/>
                <w:highlight w:val="none"/>
              </w:rPr>
              <w:t>现场踏勘</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1"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530" w:type="dxa"/>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投标文件的组成、份数、效力</w:t>
            </w:r>
          </w:p>
        </w:tc>
        <w:tc>
          <w:tcPr>
            <w:tcW w:w="7551" w:type="dxa"/>
            <w:vAlign w:val="center"/>
          </w:tcPr>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本项目实行电子投标，供应商应准备电子投标文件、以介质（U盘）存储的数据电文形式的备份投标文件、纸质备份投标文件三类：</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1.电子投标文件，按政采云平台项目采购--电子招投标操作指南及本招标文件要求编制、递交。</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2.以介质（U盘）存储的数据电文形式的备份投标文件，按政采云平台项目采购-电子招投标操作指南中上传的电子投标文件格式，以U盘形式提供。</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3.纸质备份投标文件以纸质文件的形式编制，按资格证明文件、商务技术文件、报价文件三部分分别编制并单独装订成册，</w:t>
            </w:r>
            <w:r>
              <w:rPr>
                <w:rFonts w:hint="eastAsia" w:ascii="宋体" w:hAnsi="宋体" w:eastAsia="宋体" w:cs="宋体"/>
                <w:b/>
                <w:bCs/>
                <w:color w:val="auto"/>
                <w:sz w:val="24"/>
                <w:highlight w:val="none"/>
              </w:rPr>
              <w:t>数量均为2份（一正一副）</w:t>
            </w:r>
            <w:r>
              <w:rPr>
                <w:rFonts w:hint="eastAsia" w:ascii="宋体" w:hAnsi="宋体" w:eastAsia="宋体" w:cs="宋体"/>
                <w:color w:val="auto"/>
                <w:sz w:val="24"/>
                <w:highlight w:val="none"/>
              </w:rPr>
              <w:t>。资格证明文件、商务技术文件、报价文件三部分须分别密封封装，资格证明文件、商务技术文件、报价文件三部分未分别密封的投标文件将为无效。</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5.▲未传输递交电子投标文件的，投标无效。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投标有效期</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投标有效期为开标后90天，</w:t>
            </w:r>
            <w:r>
              <w:rPr>
                <w:rFonts w:hint="eastAsia" w:ascii="宋体" w:hAnsi="宋体" w:eastAsia="宋体" w:cs="宋体"/>
                <w:color w:val="auto"/>
                <w:kern w:val="0"/>
                <w:sz w:val="24"/>
                <w:highlight w:val="none"/>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投标文件递交</w:t>
            </w:r>
          </w:p>
        </w:tc>
        <w:tc>
          <w:tcPr>
            <w:tcW w:w="7551" w:type="dxa"/>
            <w:vAlign w:val="center"/>
          </w:tcPr>
          <w:p>
            <w:pPr>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highlight w:val="none"/>
              </w:rPr>
              <w:t>截止时间：北京时间</w:t>
            </w:r>
            <w:r>
              <w:rPr>
                <w:rFonts w:hint="eastAsia" w:ascii="宋体" w:hAnsi="宋体" w:cs="宋体"/>
                <w:color w:val="auto"/>
                <w:sz w:val="24"/>
                <w:szCs w:val="32"/>
                <w:highlight w:val="none"/>
                <w:lang w:eastAsia="zh-CN"/>
              </w:rPr>
              <w:t>202</w:t>
            </w:r>
            <w:r>
              <w:rPr>
                <w:rFonts w:hint="eastAsia" w:ascii="宋体" w:hAnsi="宋体" w:cs="宋体"/>
                <w:color w:val="auto"/>
                <w:sz w:val="24"/>
                <w:szCs w:val="32"/>
                <w:highlight w:val="none"/>
                <w:lang w:val="en-US" w:eastAsia="zh-CN"/>
              </w:rPr>
              <w:t>4</w:t>
            </w:r>
            <w:r>
              <w:rPr>
                <w:rFonts w:hint="eastAsia" w:ascii="宋体" w:hAnsi="宋体" w:cs="宋体"/>
                <w:color w:val="auto"/>
                <w:sz w:val="24"/>
                <w:szCs w:val="32"/>
                <w:highlight w:val="none"/>
                <w:lang w:eastAsia="zh-CN"/>
              </w:rPr>
              <w:t>年</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lang w:eastAsia="zh-CN"/>
              </w:rPr>
              <w:t>月</w:t>
            </w:r>
            <w:r>
              <w:rPr>
                <w:rFonts w:hint="eastAsia" w:ascii="宋体" w:hAnsi="宋体" w:cs="宋体"/>
                <w:color w:val="auto"/>
                <w:sz w:val="24"/>
                <w:szCs w:val="32"/>
                <w:highlight w:val="none"/>
                <w:lang w:val="en-US" w:eastAsia="zh-CN"/>
              </w:rPr>
              <w:t>17</w:t>
            </w:r>
            <w:r>
              <w:rPr>
                <w:rFonts w:hint="eastAsia" w:ascii="宋体" w:hAnsi="宋体" w:cs="宋体"/>
                <w:color w:val="auto"/>
                <w:sz w:val="24"/>
                <w:szCs w:val="32"/>
                <w:highlight w:val="none"/>
                <w:lang w:eastAsia="zh-CN"/>
              </w:rPr>
              <w:t>日 上午9:00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投标供应商应当在投标截止时间前将生成的“电子加密投标文件”上传递交至“政府采购云平台”，并在开标当日投标截止时间前提交纸质备份投标文件。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开标时间及地点</w:t>
            </w:r>
          </w:p>
        </w:tc>
        <w:tc>
          <w:tcPr>
            <w:tcW w:w="7551" w:type="dxa"/>
            <w:vAlign w:val="center"/>
          </w:tcPr>
          <w:p>
            <w:pP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时间：北京时间</w:t>
            </w:r>
            <w:r>
              <w:rPr>
                <w:rFonts w:hint="eastAsia" w:ascii="宋体" w:hAnsi="宋体" w:cs="宋体"/>
                <w:color w:val="auto"/>
                <w:sz w:val="24"/>
                <w:szCs w:val="32"/>
                <w:highlight w:val="none"/>
                <w:lang w:eastAsia="zh-CN"/>
              </w:rPr>
              <w:t>202</w:t>
            </w:r>
            <w:r>
              <w:rPr>
                <w:rFonts w:hint="eastAsia" w:ascii="宋体" w:hAnsi="宋体" w:cs="宋体"/>
                <w:color w:val="auto"/>
                <w:sz w:val="24"/>
                <w:szCs w:val="32"/>
                <w:highlight w:val="none"/>
                <w:lang w:val="en-US" w:eastAsia="zh-CN"/>
              </w:rPr>
              <w:t>4</w:t>
            </w:r>
            <w:r>
              <w:rPr>
                <w:rFonts w:hint="eastAsia" w:ascii="宋体" w:hAnsi="宋体" w:cs="宋体"/>
                <w:color w:val="auto"/>
                <w:sz w:val="24"/>
                <w:szCs w:val="32"/>
                <w:highlight w:val="none"/>
                <w:lang w:eastAsia="zh-CN"/>
              </w:rPr>
              <w:t>年</w:t>
            </w: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lang w:eastAsia="zh-CN"/>
              </w:rPr>
              <w:t>月</w:t>
            </w:r>
            <w:r>
              <w:rPr>
                <w:rFonts w:hint="eastAsia" w:ascii="宋体" w:hAnsi="宋体" w:cs="宋体"/>
                <w:color w:val="auto"/>
                <w:sz w:val="24"/>
                <w:szCs w:val="32"/>
                <w:highlight w:val="none"/>
                <w:lang w:val="en-US" w:eastAsia="zh-CN"/>
              </w:rPr>
              <w:t>17</w:t>
            </w:r>
            <w:r>
              <w:rPr>
                <w:rFonts w:hint="eastAsia" w:ascii="宋体" w:hAnsi="宋体" w:cs="宋体"/>
                <w:color w:val="auto"/>
                <w:sz w:val="24"/>
                <w:szCs w:val="32"/>
                <w:highlight w:val="none"/>
                <w:lang w:eastAsia="zh-CN"/>
              </w:rPr>
              <w:t>日 上午9:00</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地点：</w:t>
            </w:r>
            <w:r>
              <w:rPr>
                <w:rFonts w:hint="eastAsia" w:ascii="宋体" w:hAnsi="宋体" w:cs="宋体"/>
                <w:color w:val="auto"/>
                <w:sz w:val="24"/>
                <w:highlight w:val="none"/>
                <w:lang w:val="en-US" w:eastAsia="zh-CN"/>
              </w:rPr>
              <w:t>政采云在线开标/</w:t>
            </w:r>
            <w:r>
              <w:rPr>
                <w:rFonts w:hint="eastAsia" w:ascii="宋体" w:hAnsi="宋体" w:cs="宋体"/>
                <w:color w:val="auto"/>
                <w:sz w:val="24"/>
                <w:szCs w:val="32"/>
                <w:highlight w:val="none"/>
                <w:lang w:eastAsia="zh-CN"/>
              </w:rPr>
              <w:t>椒江区市府大道777号民泰大楼3楼</w:t>
            </w:r>
            <w:r>
              <w:rPr>
                <w:rFonts w:hint="eastAsia" w:ascii="宋体" w:hAnsi="宋体" w:cs="宋体"/>
                <w:color w:val="auto"/>
                <w:sz w:val="24"/>
                <w:szCs w:val="32"/>
                <w:highlight w:val="none"/>
                <w:lang w:val="en-US" w:eastAsia="zh-CN"/>
              </w:rPr>
              <w:t>一</w:t>
            </w:r>
            <w:r>
              <w:rPr>
                <w:rFonts w:hint="eastAsia" w:ascii="宋体" w:hAnsi="宋体" w:cs="宋体"/>
                <w:color w:val="auto"/>
                <w:sz w:val="24"/>
                <w:szCs w:val="32"/>
                <w:highlight w:val="none"/>
                <w:lang w:eastAsia="zh-CN"/>
              </w:rPr>
              <w:t>号开标室</w:t>
            </w:r>
            <w:r>
              <w:rPr>
                <w:rFonts w:hint="eastAsia" w:ascii="宋体" w:hAnsi="宋体" w:cs="宋体"/>
                <w:color w:val="auto"/>
                <w:sz w:val="24"/>
                <w:szCs w:val="32"/>
                <w:highlight w:val="none"/>
                <w:lang w:val="en-US" w:eastAsia="zh-CN"/>
              </w:rPr>
              <w:t>B</w:t>
            </w:r>
            <w:r>
              <w:rPr>
                <w:rFonts w:hint="eastAsia" w:ascii="宋体" w:hAnsi="宋体" w:cs="宋体"/>
                <w:color w:val="auto"/>
                <w:sz w:val="24"/>
                <w:szCs w:val="32"/>
                <w:highlight w:val="none"/>
                <w:lang w:eastAsia="zh-CN"/>
              </w:rPr>
              <w:t>场地</w:t>
            </w: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本项目无需履约保证金。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530" w:type="dxa"/>
            <w:vAlign w:val="center"/>
          </w:tcPr>
          <w:p>
            <w:pPr>
              <w:autoSpaceDE w:val="0"/>
              <w:autoSpaceDN w:val="0"/>
              <w:adjustRightInd w:val="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实质性条款</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带“</w:t>
            </w:r>
            <w:r>
              <w:rPr>
                <w:rFonts w:hint="eastAsia" w:ascii="宋体" w:hAnsi="宋体" w:eastAsia="宋体" w:cs="宋体"/>
                <w:color w:val="auto"/>
                <w:sz w:val="24"/>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样品</w:t>
            </w:r>
          </w:p>
        </w:tc>
        <w:tc>
          <w:tcPr>
            <w:tcW w:w="7551"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演示</w:t>
            </w:r>
          </w:p>
        </w:tc>
        <w:tc>
          <w:tcPr>
            <w:tcW w:w="7551" w:type="dxa"/>
            <w:vAlign w:val="center"/>
          </w:tcPr>
          <w:p>
            <w:pPr>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4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53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节能环保</w:t>
            </w:r>
          </w:p>
        </w:tc>
        <w:tc>
          <w:tcPr>
            <w:tcW w:w="7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rPr>
              <w:t>11</w:t>
            </w:r>
          </w:p>
        </w:tc>
        <w:tc>
          <w:tcPr>
            <w:tcW w:w="1530" w:type="dxa"/>
            <w:vAlign w:val="center"/>
          </w:tcPr>
          <w:p>
            <w:pPr>
              <w:widowControl/>
              <w:shd w:val="clear" w:color="auto" w:fill="auto"/>
              <w:spacing w:line="240" w:lineRule="auto"/>
              <w:jc w:val="center"/>
              <w:rPr>
                <w:rFonts w:hint="eastAsia" w:ascii="宋体" w:hAnsi="宋体" w:eastAsia="宋体" w:cs="宋体"/>
                <w:color w:val="auto"/>
                <w:sz w:val="24"/>
                <w:highlight w:val="none"/>
              </w:rPr>
            </w:pPr>
            <w:r>
              <w:rPr>
                <w:rFonts w:hint="eastAsia" w:ascii="宋体" w:hAnsi="宋体" w:cs="宋体"/>
                <w:color w:val="auto"/>
                <w:kern w:val="0"/>
                <w:sz w:val="24"/>
                <w:highlight w:val="none"/>
              </w:rPr>
              <w:t>是否专门面向中小微企业采购</w:t>
            </w:r>
          </w:p>
        </w:tc>
        <w:tc>
          <w:tcPr>
            <w:tcW w:w="7551" w:type="dxa"/>
            <w:vAlign w:val="center"/>
          </w:tcPr>
          <w:p>
            <w:pPr>
              <w:widowControl/>
              <w:shd w:val="clear" w:color="auto" w:fill="auto"/>
              <w:spacing w:line="240" w:lineRule="auto"/>
              <w:jc w:val="left"/>
              <w:rPr>
                <w:color w:val="auto"/>
                <w:sz w:val="24"/>
                <w:highlight w:val="none"/>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 xml:space="preserve">是 </w:t>
            </w:r>
          </w:p>
          <w:p>
            <w:pPr>
              <w:widowControl/>
              <w:shd w:val="clear" w:color="auto" w:fill="auto"/>
              <w:spacing w:line="240" w:lineRule="auto"/>
              <w:jc w:val="left"/>
              <w:rPr>
                <w:rFonts w:hint="eastAsia" w:ascii="宋体" w:hAnsi="宋体" w:eastAsia="宋体" w:cs="宋体"/>
                <w:color w:val="auto"/>
                <w:sz w:val="24"/>
                <w:highlight w:val="none"/>
              </w:rPr>
            </w:pPr>
            <w:r>
              <w:rPr>
                <w:rFonts w:hint="eastAsia" w:ascii="Wingdings" w:hAnsi="Wingdings" w:cs="Wingdings"/>
                <w:color w:val="auto"/>
                <w:kern w:val="0"/>
                <w:sz w:val="24"/>
                <w:highlight w:val="none"/>
                <w:lang w:eastAsia="zh-CN"/>
              </w:rPr>
              <w:t>☑</w:t>
            </w:r>
            <w:r>
              <w:rPr>
                <w:rFonts w:hint="eastAsia" w:ascii="宋体" w:hAnsi="宋体" w:cs="宋体"/>
                <w:color w:val="auto"/>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12</w:t>
            </w:r>
          </w:p>
        </w:tc>
        <w:tc>
          <w:tcPr>
            <w:tcW w:w="1530" w:type="dxa"/>
            <w:vAlign w:val="center"/>
          </w:tcPr>
          <w:p>
            <w:pPr>
              <w:shd w:val="clear" w:color="auto" w:fill="auto"/>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rPr>
              <w:t>中小企业划分标准所属行业</w:t>
            </w:r>
          </w:p>
        </w:tc>
        <w:tc>
          <w:tcPr>
            <w:tcW w:w="7551" w:type="dxa"/>
            <w:vAlign w:val="center"/>
          </w:tcPr>
          <w:p>
            <w:pPr>
              <w:shd w:val="clear" w:color="auto" w:fill="auto"/>
              <w:spacing w:line="240" w:lineRule="auto"/>
              <w:rPr>
                <w:rFonts w:hint="eastAsia" w:ascii="宋体" w:hAnsi="宋体" w:eastAsia="宋体" w:cs="宋体"/>
                <w:color w:val="auto"/>
                <w:sz w:val="24"/>
                <w:highlight w:val="none"/>
              </w:rPr>
            </w:pPr>
            <w:r>
              <w:rPr>
                <w:rFonts w:hint="eastAsia" w:ascii="宋体" w:hAnsi="宋体" w:cs="宋体"/>
                <w:color w:val="auto"/>
                <w:sz w:val="24"/>
                <w:highlight w:val="none"/>
              </w:rPr>
              <w:t>所属行业：</w:t>
            </w:r>
            <w:r>
              <w:rPr>
                <w:rFonts w:hint="eastAsia" w:ascii="宋体" w:hAnsi="宋体" w:cs="宋体"/>
                <w:color w:val="auto"/>
                <w:sz w:val="24"/>
                <w:highlight w:val="none"/>
                <w:lang w:val="en-US" w:eastAsia="zh-CN"/>
              </w:rPr>
              <w:t>工业-制造业</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0" w:type="dxa"/>
            <w:vAlign w:val="center"/>
          </w:tcPr>
          <w:p>
            <w:pPr>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13</w:t>
            </w:r>
          </w:p>
        </w:tc>
        <w:tc>
          <w:tcPr>
            <w:tcW w:w="1530" w:type="dxa"/>
            <w:vAlign w:val="center"/>
          </w:tcPr>
          <w:p>
            <w:pPr>
              <w:shd w:val="clear" w:color="auto" w:fill="auto"/>
              <w:spacing w:line="240" w:lineRule="auto"/>
              <w:jc w:val="center"/>
              <w:rPr>
                <w:rFonts w:hint="eastAsia" w:ascii="宋体" w:hAnsi="宋体" w:eastAsia="宋体" w:cs="宋体"/>
                <w:color w:val="auto"/>
                <w:sz w:val="24"/>
                <w:highlight w:val="none"/>
              </w:rPr>
            </w:pPr>
            <w:r>
              <w:rPr>
                <w:rFonts w:hint="eastAsia" w:ascii="宋体" w:hAnsi="宋体" w:cs="宋体"/>
                <w:color w:val="auto"/>
                <w:sz w:val="24"/>
                <w:highlight w:val="none"/>
              </w:rPr>
              <w:t>其他</w:t>
            </w:r>
          </w:p>
        </w:tc>
        <w:tc>
          <w:tcPr>
            <w:tcW w:w="7551" w:type="dxa"/>
            <w:vAlign w:val="center"/>
          </w:tcPr>
          <w:p>
            <w:pPr>
              <w:shd w:val="clear" w:color="auto" w:fill="auto"/>
              <w:spacing w:line="240" w:lineRule="auto"/>
              <w:rPr>
                <w:rFonts w:hint="eastAsia" w:ascii="宋体" w:hAnsi="宋体" w:cs="宋体"/>
                <w:color w:val="auto"/>
                <w:sz w:val="24"/>
                <w:highlight w:val="none"/>
              </w:rPr>
            </w:pPr>
            <w:r>
              <w:rPr>
                <w:rFonts w:hint="eastAsia" w:ascii="宋体" w:hAnsi="宋体" w:cs="宋体"/>
                <w:color w:val="auto"/>
                <w:sz w:val="24"/>
                <w:highlight w:val="none"/>
              </w:rPr>
              <w:t>1、各供应商自行在浙江政府采购网下载或查阅采购文件和相关更正公告等，不另行通知，如有遗漏采购人、采购代理机构概不负责。</w:t>
            </w:r>
          </w:p>
          <w:p>
            <w:pPr>
              <w:shd w:val="clear" w:color="auto" w:fill="auto"/>
              <w:spacing w:line="240" w:lineRule="auto"/>
              <w:rPr>
                <w:rFonts w:hint="eastAsia" w:ascii="宋体" w:hAnsi="宋体" w:cs="宋体"/>
                <w:color w:val="auto"/>
                <w:sz w:val="24"/>
                <w:highlight w:val="none"/>
              </w:rPr>
            </w:pPr>
            <w:r>
              <w:rPr>
                <w:rFonts w:hint="eastAsia" w:ascii="宋体" w:hAnsi="宋体" w:cs="宋体"/>
                <w:color w:val="auto"/>
                <w:sz w:val="24"/>
                <w:highlight w:val="none"/>
              </w:rPr>
              <w:t>2、两家或两家以上供应商提供的投标文件出自同一终端设备的，或在相同Internet主机分配地址（相同IP地址）报名或网上投标的，后果由供应商自行承担。</w:t>
            </w:r>
          </w:p>
          <w:p>
            <w:pPr>
              <w:shd w:val="clear" w:color="auto" w:fill="auto"/>
              <w:spacing w:line="240" w:lineRule="auto"/>
              <w:rPr>
                <w:rFonts w:hint="eastAsia" w:ascii="宋体" w:hAnsi="宋体" w:eastAsia="宋体" w:cs="宋体"/>
                <w:color w:val="auto"/>
                <w:sz w:val="24"/>
                <w:highlight w:val="none"/>
              </w:rPr>
            </w:pPr>
            <w:r>
              <w:rPr>
                <w:rFonts w:hint="eastAsia" w:ascii="宋体" w:hAnsi="宋体" w:cs="宋体"/>
                <w:color w:val="auto"/>
                <w:sz w:val="24"/>
                <w:highlight w:val="none"/>
              </w:rPr>
              <w:t>3、开标时间后30分钟内供应商须携带CA自备电脑登录“政采云”平台，用“项目采购-开标评标”功能解密投标文件，投标人未按时解密或解密失败的，其上传的电子投标文件自动失效。</w:t>
            </w:r>
          </w:p>
        </w:tc>
      </w:tr>
    </w:tbl>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 、总  则</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 适用范围</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本招标文件适用于本次项目的招标、投标、评标、定标、验收、合同履约、付款等行为（法律、法规另有规定的，从其规定）。</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（二）定义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zh-CN"/>
        </w:rPr>
        <w:t>“采购组织机构”指采购人委托组织招标的采购代理机构。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2、采购人：是指委托采购代理机构采购本次项目的国家机关、事业单位和团体组织。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3、投标人：是指向采购</w:t>
      </w:r>
      <w:r>
        <w:rPr>
          <w:rFonts w:hint="eastAsia" w:ascii="宋体" w:hAnsi="宋体" w:eastAsia="宋体" w:cs="宋体"/>
          <w:color w:val="auto"/>
          <w:sz w:val="24"/>
          <w:szCs w:val="32"/>
          <w:highlight w:val="none"/>
          <w:lang w:val="zh-CN"/>
        </w:rPr>
        <w:t>组织</w:t>
      </w:r>
      <w:r>
        <w:rPr>
          <w:rFonts w:hint="eastAsia" w:ascii="宋体" w:hAnsi="宋体" w:eastAsia="宋体" w:cs="宋体"/>
          <w:color w:val="auto"/>
          <w:sz w:val="24"/>
          <w:szCs w:val="32"/>
          <w:highlight w:val="none"/>
        </w:rPr>
        <w:t>机构提交投标文件的单位或个人。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4、货物：是指各种形态和种类的物品，包括原材料、燃料、设备、产品等。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5、服务：是指除货物和工程以外的政府采购对象，包括各类专业服务、信息网络开发服务、金融保险服务、运输服务，以及维修与维护服务等。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6、“书面形式”包括信函、传真等。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7、“▲”系指实质性要求条款。</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（三）投标费用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不论投标结果如何，投标人均应自行承担所有与投标有关的全部费用（招标文件有相关规定除外）。</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（四）特别说明</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eastAsia="宋体" w:cs="宋体"/>
          <w:color w:val="auto"/>
          <w:sz w:val="24"/>
          <w:szCs w:val="32"/>
          <w:highlight w:val="none"/>
        </w:rPr>
        <w:tab/>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4、为采购项目提供整体设计、规范编制或者项目管理、监理、检测等服务的供应商，不得再参加该采购项目的其他采购活动。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5、投标文件格式中的表格式样可以根据项目差别做适当调整，但应当保持表格样式基本形态不变。</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6、单位负责人为同一人或者存在直接控股、管理关系的不同供应商，不得参加同一合同项下的政府采购活动。</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二、招标文件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（一）招标文件由招标文件总目录所列内容组成。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（二）招标文件的澄清或修改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三、投标文件</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lang w:val="zh-CN"/>
        </w:rPr>
        <w:t>（一）</w:t>
      </w:r>
      <w:r>
        <w:rPr>
          <w:rFonts w:hint="eastAsia" w:ascii="宋体" w:hAnsi="宋体" w:eastAsia="宋体" w:cs="宋体"/>
          <w:b/>
          <w:bCs/>
          <w:color w:val="auto"/>
          <w:sz w:val="24"/>
          <w:szCs w:val="32"/>
          <w:highlight w:val="none"/>
        </w:rPr>
        <w:t>投标文件的组成</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投标人接到招标文件后，按照采购组织机构的要求提供：资格证明文件、商务与技术文件和报价文件。</w:t>
      </w:r>
      <w:r>
        <w:rPr>
          <w:rFonts w:hint="eastAsia" w:ascii="宋体" w:hAnsi="宋体" w:eastAsia="宋体" w:cs="宋体"/>
          <w:color w:val="auto"/>
          <w:sz w:val="24"/>
          <w:szCs w:val="32"/>
          <w:highlight w:val="none"/>
          <w:lang w:val="zh-CN"/>
        </w:rPr>
        <w:t>【特别提示：如有要求提供资料原件的，相关原件需在投标文件递交截止时间前递交，逾期将不予接收（原件放置在档案袋中，可不用密封）。原件仅作为核查复印件真实性之用，如仅提供了原件，投标文件中未提供复印件，不予认定投标文件中具备该份资料。资料原件也可以用与原件相符的公证原件替代】</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1、资格证明文件的组成：</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1</w:t>
      </w:r>
      <w:r>
        <w:rPr>
          <w:rFonts w:hint="eastAsia" w:ascii="宋体" w:hAnsi="宋体" w:eastAsia="宋体" w:cs="宋体"/>
          <w:b w:val="0"/>
          <w:bCs w:val="0"/>
          <w:color w:val="auto"/>
          <w:sz w:val="24"/>
          <w:szCs w:val="32"/>
          <w:highlight w:val="none"/>
          <w:lang w:val="en-US" w:eastAsia="zh-CN"/>
        </w:rPr>
        <w:t>）投标声明书；</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en-US" w:eastAsia="zh-CN"/>
        </w:rPr>
        <w:t>）授权委托书（法定代表人亲自办理投标事宜的，则无需提交）；</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en-US" w:eastAsia="zh-CN"/>
        </w:rPr>
        <w:t>）法人或者其他组织的营业执照等证明文件，自然人的身份证明；</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4</w:t>
      </w:r>
      <w:r>
        <w:rPr>
          <w:rFonts w:hint="eastAsia" w:ascii="宋体" w:hAnsi="宋体" w:eastAsia="宋体" w:cs="宋体"/>
          <w:b w:val="0"/>
          <w:bCs w:val="0"/>
          <w:color w:val="auto"/>
          <w:sz w:val="24"/>
          <w:szCs w:val="32"/>
          <w:highlight w:val="none"/>
          <w:lang w:val="en-US" w:eastAsia="zh-CN"/>
        </w:rPr>
        <w:t>）具有良好的商业信誉和健全的财务会计制度的承诺；</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5</w:t>
      </w:r>
      <w:r>
        <w:rPr>
          <w:rFonts w:hint="eastAsia" w:ascii="宋体" w:hAnsi="宋体" w:eastAsia="宋体" w:cs="宋体"/>
          <w:b w:val="0"/>
          <w:bCs w:val="0"/>
          <w:color w:val="auto"/>
          <w:sz w:val="24"/>
          <w:szCs w:val="32"/>
          <w:highlight w:val="none"/>
          <w:lang w:val="en-US" w:eastAsia="zh-CN"/>
        </w:rPr>
        <w:t>）依法缴纳税收和社会保障资金的承诺；</w:t>
      </w:r>
    </w:p>
    <w:p>
      <w:pPr>
        <w:bidi w:val="0"/>
        <w:spacing w:line="360" w:lineRule="auto"/>
        <w:ind w:firstLine="480" w:firstLineChars="200"/>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6</w:t>
      </w:r>
      <w:r>
        <w:rPr>
          <w:rFonts w:hint="eastAsia" w:ascii="宋体" w:hAnsi="宋体" w:eastAsia="宋体" w:cs="宋体"/>
          <w:b w:val="0"/>
          <w:bCs w:val="0"/>
          <w:color w:val="auto"/>
          <w:sz w:val="24"/>
          <w:szCs w:val="32"/>
          <w:highlight w:val="none"/>
          <w:lang w:val="en-US" w:eastAsia="zh-CN"/>
        </w:rPr>
        <w:t>）参加政府采购活动前三年内，在经营活动中没有重大违法记录；</w:t>
      </w:r>
    </w:p>
    <w:p>
      <w:pPr>
        <w:bidi w:val="0"/>
        <w:spacing w:line="360" w:lineRule="auto"/>
        <w:ind w:firstLine="48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val="en-US" w:eastAsia="zh-CN"/>
        </w:rPr>
        <w:t>（</w:t>
      </w:r>
      <w:r>
        <w:rPr>
          <w:rFonts w:hint="eastAsia" w:ascii="宋体" w:hAnsi="宋体" w:cs="宋体"/>
          <w:b w:val="0"/>
          <w:bCs w:val="0"/>
          <w:color w:val="auto"/>
          <w:sz w:val="24"/>
          <w:szCs w:val="32"/>
          <w:highlight w:val="none"/>
          <w:lang w:val="en-US" w:eastAsia="zh-CN"/>
        </w:rPr>
        <w:t>7</w:t>
      </w:r>
      <w:r>
        <w:rPr>
          <w:rFonts w:hint="eastAsia" w:ascii="宋体" w:hAnsi="宋体" w:eastAsia="宋体" w:cs="宋体"/>
          <w:b w:val="0"/>
          <w:bCs w:val="0"/>
          <w:color w:val="auto"/>
          <w:sz w:val="24"/>
          <w:szCs w:val="32"/>
          <w:highlight w:val="none"/>
          <w:lang w:val="en-US" w:eastAsia="zh-CN"/>
        </w:rPr>
        <w:t>）需要说明的其他资料。</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2、商务与技术文件的组成：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（1）投标人情况介绍。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（2）投标方案描述：</w:t>
      </w:r>
    </w:p>
    <w:p>
      <w:pPr>
        <w:spacing w:line="360" w:lineRule="auto"/>
        <w:ind w:firstLine="480" w:firstLineChars="200"/>
        <w:rPr>
          <w:rFonts w:hint="default"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A.运行、维修方案。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B.安装、调试及验收方案（包括项目验收标准和验收方法等）和措施。</w:t>
      </w:r>
    </w:p>
    <w:p>
      <w:pPr>
        <w:pStyle w:val="9"/>
        <w:ind w:firstLine="480" w:firstLineChars="200"/>
        <w:rPr>
          <w:rFonts w:hint="default" w:eastAsia="宋体"/>
          <w:color w:val="auto"/>
          <w:highlight w:val="none"/>
          <w:lang w:val="en-US" w:eastAsia="zh-CN"/>
        </w:rPr>
      </w:pPr>
      <w:r>
        <w:rPr>
          <w:rFonts w:hint="eastAsia" w:ascii="宋体" w:hAnsi="宋体" w:cs="宋体"/>
          <w:color w:val="auto"/>
          <w:sz w:val="24"/>
          <w:szCs w:val="32"/>
          <w:highlight w:val="none"/>
          <w:lang w:val="en-US" w:eastAsia="zh-CN"/>
        </w:rPr>
        <w:t>C.操作应用培训和维修保养培训方案。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（3）投标产品描述及相关资料：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A.设备配置清单</w:t>
      </w:r>
      <w:r>
        <w:rPr>
          <w:rFonts w:hint="eastAsia" w:ascii="宋体" w:hAnsi="宋体" w:eastAsia="宋体" w:cs="宋体"/>
          <w:b/>
          <w:bCs/>
          <w:color w:val="auto"/>
          <w:sz w:val="24"/>
          <w:szCs w:val="32"/>
          <w:highlight w:val="none"/>
        </w:rPr>
        <w:t>（均不含报价）</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B.产品品牌及型号、技术参数指标、性能特点、图片资料以及所遵循的技术规范、产品质保期、出厂标准、产品质量相关检测报告等内容。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C.商务及技术响应表。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【特别提示：节能和环境标志产品最新一期政府采购清单，可在“中国政府采购网”中查看】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（4）投标人通过的质量管理和质量保证体系、环保体系、自主创新相关证书、软件著作权证等等与本项目相关的认证证书或文件；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（5）近三年来类似项目的成功案例（投标人类似项目实施情况一览表、合同复印件及其相应的发票、用户验收报告等）；</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（6）投标人认为需要提供的其他资料（包括可能影响投标人商务与技术文件评分的各类证明材料）；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w:t>
      </w:r>
      <w:r>
        <w:rPr>
          <w:rFonts w:hint="eastAsia" w:ascii="宋体" w:hAnsi="宋体" w:cs="宋体"/>
          <w:color w:val="auto"/>
          <w:sz w:val="24"/>
          <w:szCs w:val="32"/>
          <w:highlight w:val="none"/>
          <w:lang w:val="en-US" w:eastAsia="zh-CN"/>
        </w:rPr>
        <w:t>售后服务团队、服务响应时间、故障解决方案等方案</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A.距采购人最近的服务网点详细介绍（包括地理位置、资质资格、技术力量、工作业绩、服务内容及联系电话等）。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B.针对本项目的售后服务措施及承诺（售后技术服务方案、人员配备、故障响应时间、技术培训方案等）。</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3、报价文件的组成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（1）报价文件由开标一览表、报价明细表、中小企业等声明函（不符合中小企业要求的无需提供）以及投标人认为其他需要说明的内容组成。</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（2）此报价为投标人一次性报出唯一的最终价格，包含其它一切所要涉及到的费用，有选择的报价将被拒绝。</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3</w:t>
      </w:r>
      <w:r>
        <w:rPr>
          <w:rFonts w:hint="eastAsia" w:ascii="宋体" w:hAnsi="宋体" w:eastAsia="宋体" w:cs="宋体"/>
          <w:color w:val="auto"/>
          <w:sz w:val="24"/>
          <w:szCs w:val="32"/>
          <w:highlight w:val="none"/>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4</w:t>
      </w: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政府采购优惠政策相关资料（如有）。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（5）相关报价单需打印或用不退色的墨水填写，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（6）投标报价应按招标文件中相关附表格式填写。</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（二）投标文件的制作及递交要求</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1、投标文件的制作要求</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（2）投标人应对所提供的全部资料的真实性承担法律责任，</w:t>
      </w:r>
      <w:r>
        <w:rPr>
          <w:rFonts w:hint="eastAsia" w:ascii="宋体" w:hAnsi="宋体" w:eastAsia="宋体" w:cs="宋体"/>
          <w:color w:val="auto"/>
          <w:sz w:val="24"/>
          <w:szCs w:val="32"/>
          <w:highlight w:val="none"/>
          <w:lang w:val="zh-CN"/>
        </w:rPr>
        <w:t>投标文件内容中有要求盖章或签字的地方，必须加盖投标人的公章以及法定代表人或授权委托代理人盖章或签字。</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3</w:t>
      </w:r>
      <w:r>
        <w:rPr>
          <w:rFonts w:hint="eastAsia" w:ascii="宋体" w:hAnsi="宋体" w:eastAsia="宋体" w:cs="宋体"/>
          <w:color w:val="auto"/>
          <w:sz w:val="24"/>
          <w:szCs w:val="32"/>
          <w:highlight w:val="none"/>
          <w:lang w:val="zh-CN"/>
        </w:rPr>
        <w:t>）</w:t>
      </w:r>
      <w:r>
        <w:rPr>
          <w:rFonts w:hint="eastAsia" w:ascii="宋体" w:hAnsi="宋体" w:eastAsia="宋体" w:cs="宋体"/>
          <w:color w:val="auto"/>
          <w:sz w:val="24"/>
          <w:szCs w:val="32"/>
          <w:highlight w:val="none"/>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（5）若投标人不按招标文件的要求提供资格审查材料，其风险由投标人自行承担。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（6）与本次投标无关的内容请不要制作在内，确保投标文件有针对性、简洁明了。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①投标文件的编制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本项目实行电子投标，</w:t>
      </w:r>
      <w:r>
        <w:rPr>
          <w:rFonts w:hint="eastAsia" w:ascii="宋体" w:hAnsi="宋体" w:eastAsia="宋体" w:cs="宋体"/>
          <w:color w:val="auto"/>
          <w:sz w:val="24"/>
          <w:highlight w:val="none"/>
        </w:rPr>
        <w:t>供应商应准备电子投标文件、以介质（U盘）存储的数据电文形式的备份投标文件、纸质备份投标文件三类</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（1）按政采云平台项目采购--电子招投标操作指南及本招标文件要求编制。</w:t>
      </w:r>
      <w:r>
        <w:rPr>
          <w:rFonts w:hint="eastAsia" w:ascii="宋体" w:hAnsi="宋体" w:eastAsia="宋体" w:cs="宋体"/>
          <w:color w:val="auto"/>
          <w:sz w:val="24"/>
          <w:szCs w:val="32"/>
          <w:highlight w:val="none"/>
          <w:lang w:val="en-GB"/>
        </w:rPr>
        <w:t>投标人应通过“政采云电子交易客户端”，并按照本招标文件和“政府采购云平台”的要求编制并加密投标文件。</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1.</w:t>
      </w: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投标人应当按照本章节 “投标文件组成”规定的内容及顺序在“政采云电子交易客户端”编制投标文件。其中《</w:t>
      </w:r>
      <w:r>
        <w:rPr>
          <w:rFonts w:hint="eastAsia" w:ascii="宋体" w:hAnsi="宋体" w:eastAsia="宋体" w:cs="宋体"/>
          <w:color w:val="auto"/>
          <w:sz w:val="24"/>
          <w:szCs w:val="32"/>
          <w:highlight w:val="none"/>
        </w:rPr>
        <w:t>资格证明文件</w:t>
      </w:r>
      <w:r>
        <w:rPr>
          <w:rFonts w:hint="eastAsia" w:ascii="宋体" w:hAnsi="宋体" w:eastAsia="宋体" w:cs="宋体"/>
          <w:color w:val="auto"/>
          <w:sz w:val="24"/>
          <w:szCs w:val="32"/>
          <w:highlight w:val="none"/>
          <w:lang w:val="en-GB"/>
        </w:rPr>
        <w:t>》和《</w:t>
      </w:r>
      <w:r>
        <w:rPr>
          <w:rFonts w:hint="eastAsia" w:ascii="宋体" w:hAnsi="宋体" w:eastAsia="宋体" w:cs="宋体"/>
          <w:color w:val="auto"/>
          <w:sz w:val="24"/>
          <w:szCs w:val="32"/>
          <w:highlight w:val="none"/>
        </w:rPr>
        <w:t>商务技术文件</w:t>
      </w:r>
      <w:r>
        <w:rPr>
          <w:rFonts w:hint="eastAsia" w:ascii="宋体" w:hAnsi="宋体" w:eastAsia="宋体" w:cs="宋体"/>
          <w:color w:val="auto"/>
          <w:sz w:val="24"/>
          <w:szCs w:val="32"/>
          <w:highlight w:val="none"/>
          <w:lang w:val="en-GB"/>
        </w:rPr>
        <w:t>》中不得出现本项目投标报价，如因投标人原因提前泄露投标报价，是投标人的责任。</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zh-CN"/>
        </w:rPr>
        <w:t>1.</w:t>
      </w:r>
      <w:r>
        <w:rPr>
          <w:rFonts w:hint="eastAsia" w:ascii="宋体" w:hAnsi="宋体" w:eastAsia="宋体" w:cs="宋体"/>
          <w:color w:val="auto"/>
          <w:sz w:val="24"/>
          <w:szCs w:val="32"/>
          <w:highlight w:val="none"/>
          <w:lang w:val="en-GB"/>
        </w:rPr>
        <w:t>2</w:t>
      </w:r>
      <w:r>
        <w:rPr>
          <w:rFonts w:hint="eastAsia" w:ascii="宋体" w:hAnsi="宋体" w:eastAsia="宋体" w:cs="宋体"/>
          <w:color w:val="auto"/>
          <w:sz w:val="24"/>
          <w:szCs w:val="32"/>
          <w:highlight w:val="none"/>
          <w:lang w:val="zh-CN"/>
        </w:rPr>
        <w:t>投标文件分为</w:t>
      </w:r>
      <w:r>
        <w:rPr>
          <w:rFonts w:hint="eastAsia" w:ascii="宋体" w:hAnsi="宋体" w:eastAsia="宋体" w:cs="宋体"/>
          <w:color w:val="auto"/>
          <w:sz w:val="24"/>
          <w:szCs w:val="32"/>
          <w:highlight w:val="none"/>
          <w:lang w:val="en-GB"/>
        </w:rPr>
        <w:t>资格证明文件、商务技术文件、报价文件三部分</w:t>
      </w:r>
      <w:r>
        <w:rPr>
          <w:rFonts w:hint="eastAsia" w:ascii="宋体" w:hAnsi="宋体" w:eastAsia="宋体" w:cs="宋体"/>
          <w:color w:val="auto"/>
          <w:sz w:val="24"/>
          <w:szCs w:val="32"/>
          <w:highlight w:val="none"/>
          <w:lang w:val="zh-CN"/>
        </w:rPr>
        <w:t>。各投标人在编制投标文件时请按照采购文件第六章规定的格式进行，</w:t>
      </w:r>
      <w:r>
        <w:rPr>
          <w:rFonts w:hint="eastAsia" w:ascii="宋体" w:hAnsi="宋体" w:eastAsia="宋体" w:cs="宋体"/>
          <w:color w:val="auto"/>
          <w:sz w:val="24"/>
          <w:szCs w:val="32"/>
          <w:highlight w:val="none"/>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1.3《投标文件》内容不完整、</w:t>
      </w:r>
      <w:r>
        <w:rPr>
          <w:rFonts w:hint="eastAsia" w:ascii="宋体" w:hAnsi="宋体" w:eastAsia="宋体" w:cs="宋体"/>
          <w:color w:val="auto"/>
          <w:sz w:val="24"/>
          <w:szCs w:val="32"/>
          <w:highlight w:val="none"/>
          <w:lang w:val="zh-CN"/>
        </w:rPr>
        <w:t>混乱的编排导致投标文件被误读或评标委员会查找不到有效文件是投标人的责任。</w:t>
      </w:r>
      <w:r>
        <w:rPr>
          <w:rFonts w:hint="eastAsia" w:ascii="宋体" w:hAnsi="宋体" w:eastAsia="宋体" w:cs="宋体"/>
          <w:color w:val="auto"/>
          <w:sz w:val="24"/>
          <w:szCs w:val="32"/>
          <w:highlight w:val="none"/>
          <w:lang w:val="en-GB"/>
        </w:rPr>
        <w:t>《投标文件》因字迹潦草或表达不清所引起的后果由投标人负责，▲投标文件未按规定的格式编制的，投标无效。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（2）以介质</w:t>
      </w:r>
      <w:r>
        <w:rPr>
          <w:rFonts w:hint="eastAsia" w:ascii="宋体" w:hAnsi="宋体" w:eastAsia="宋体" w:cs="宋体"/>
          <w:color w:val="auto"/>
          <w:sz w:val="24"/>
          <w:highlight w:val="none"/>
        </w:rPr>
        <w:t>（U盘）</w:t>
      </w:r>
      <w:r>
        <w:rPr>
          <w:rFonts w:hint="eastAsia" w:ascii="宋体" w:hAnsi="宋体" w:eastAsia="宋体" w:cs="宋体"/>
          <w:color w:val="auto"/>
          <w:sz w:val="24"/>
          <w:szCs w:val="32"/>
          <w:highlight w:val="none"/>
        </w:rPr>
        <w:t>存储的数据电文形式的备份投标文件，按政采云平台项目采购-电子招投标操作指南中上传的电子投标文件格式，以U盘形式提供。数量为1份。</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（3）纸质备份投标文件以纸质文件的形式编制，按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分别编制并单独装订成册，</w:t>
      </w:r>
      <w:r>
        <w:rPr>
          <w:rFonts w:hint="eastAsia" w:ascii="宋体" w:hAnsi="宋体" w:eastAsia="宋体" w:cs="宋体"/>
          <w:b/>
          <w:bCs/>
          <w:color w:val="auto"/>
          <w:sz w:val="24"/>
          <w:highlight w:val="none"/>
        </w:rPr>
        <w:t>数量均为2份（一正一副）</w:t>
      </w:r>
      <w:r>
        <w:rPr>
          <w:rFonts w:hint="eastAsia" w:ascii="宋体" w:hAnsi="宋体" w:eastAsia="宋体" w:cs="宋体"/>
          <w:color w:val="auto"/>
          <w:sz w:val="24"/>
          <w:szCs w:val="32"/>
          <w:highlight w:val="none"/>
        </w:rPr>
        <w:t>。</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须分别密封封装，</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未分别密封的投标文件将为无效。除报价文件外其余一律不准出现数字报价。如有不同标段，请按标段号分别装订，密封要求同上。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Ⅰ电子投标文件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2.温馨提醒：CA签章上目前没有法人或授权代表签字信息，需要投标人联系</w:t>
      </w:r>
      <w:r>
        <w:rPr>
          <w:rFonts w:hint="eastAsia" w:ascii="宋体" w:hAnsi="宋体" w:eastAsia="宋体" w:cs="宋体"/>
          <w:b/>
          <w:bCs/>
          <w:color w:val="auto"/>
          <w:sz w:val="24"/>
          <w:szCs w:val="32"/>
          <w:highlight w:val="none"/>
        </w:rPr>
        <w:t>浙江汇信科技有限公司（400-8884636）</w:t>
      </w:r>
      <w:r>
        <w:rPr>
          <w:rFonts w:hint="eastAsia" w:ascii="宋体" w:hAnsi="宋体" w:eastAsia="宋体" w:cs="宋体"/>
          <w:color w:val="auto"/>
          <w:sz w:val="24"/>
          <w:szCs w:val="32"/>
          <w:highlight w:val="none"/>
        </w:rPr>
        <w:t>等相应公司进行办理，或在投标文件中涉及到签字的位置线下签好字然后扫描或者拍照做成PDF的格式亦可。</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w:t>
      </w:r>
      <w:r>
        <w:rPr>
          <w:rFonts w:hint="eastAsia" w:ascii="宋体" w:hAnsi="宋体" w:eastAsia="宋体" w:cs="宋体"/>
          <w:b/>
          <w:bCs/>
          <w:color w:val="auto"/>
          <w:sz w:val="24"/>
          <w:szCs w:val="32"/>
          <w:highlight w:val="none"/>
        </w:rPr>
        <w:t>以介质（U盘）存储的数据电文形式的备份投标文件</w:t>
      </w:r>
      <w:r>
        <w:rPr>
          <w:rFonts w:hint="eastAsia" w:ascii="宋体" w:hAnsi="宋体" w:eastAsia="宋体" w:cs="宋体"/>
          <w:color w:val="auto"/>
          <w:sz w:val="24"/>
          <w:szCs w:val="32"/>
          <w:highlight w:val="none"/>
        </w:rPr>
        <w:t>，按政采云平台项目采购-电子招投标操作指南中上传的电子投标文件格式，以U盘形式提供。数量为1份。</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Ⅱ纸质备份投标文件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1.所有纸质投标资料应按投标文件的组成所列内容及顺序装订成册，</w:t>
      </w:r>
      <w:r>
        <w:rPr>
          <w:rFonts w:hint="eastAsia" w:ascii="宋体" w:hAnsi="宋体" w:eastAsia="宋体" w:cs="宋体"/>
          <w:color w:val="auto"/>
          <w:sz w:val="24"/>
          <w:szCs w:val="32"/>
          <w:highlight w:val="none"/>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2.投标人应按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分别编制并单独装订成册，活页装订的投标文件将被拒绝。投标文件需打印或用不褪色的墨水填写。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3.投标人应按</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分别密封封装纸质备份投标文件。</w:t>
      </w:r>
      <w:r>
        <w:rPr>
          <w:rFonts w:hint="eastAsia" w:ascii="宋体" w:hAnsi="宋体" w:eastAsia="宋体" w:cs="宋体"/>
          <w:color w:val="auto"/>
          <w:sz w:val="24"/>
          <w:szCs w:val="32"/>
          <w:highlight w:val="none"/>
          <w:lang w:val="zh-CN"/>
        </w:rPr>
        <w:t>资格证明文件、商务技术文件、报价文件三部分</w:t>
      </w:r>
      <w:r>
        <w:rPr>
          <w:rFonts w:hint="eastAsia" w:ascii="宋体" w:hAnsi="宋体" w:eastAsia="宋体" w:cs="宋体"/>
          <w:color w:val="auto"/>
          <w:sz w:val="24"/>
          <w:szCs w:val="32"/>
          <w:highlight w:val="none"/>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eastAsia="宋体" w:cs="宋体"/>
          <w:color w:val="auto"/>
          <w:sz w:val="24"/>
          <w:szCs w:val="32"/>
          <w:highlight w:val="none"/>
          <w:lang w:val="zh-CN"/>
        </w:rPr>
        <w:t>资格证明文件、商务技术文件、报价文件</w:t>
      </w:r>
      <w:r>
        <w:rPr>
          <w:rFonts w:hint="eastAsia" w:ascii="宋体" w:hAnsi="宋体" w:eastAsia="宋体" w:cs="宋体"/>
          <w:color w:val="auto"/>
          <w:sz w:val="24"/>
          <w:szCs w:val="32"/>
          <w:highlight w:val="none"/>
        </w:rPr>
        <w:t>）”、“开标时启封”字样，未按上述要求密封及加写标记，采购组织机构对投标文件的误投和提前启封不负责任。</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4.项目如分标段，各标段投标文件必须分开编制，并按上述份数要求单独密封包装。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w:t>
      </w:r>
      <w:r>
        <w:rPr>
          <w:rFonts w:hint="eastAsia" w:ascii="宋体" w:hAnsi="宋体" w:eastAsia="宋体" w:cs="宋体"/>
          <w:color w:val="auto"/>
          <w:sz w:val="24"/>
          <w:szCs w:val="32"/>
          <w:highlight w:val="none"/>
          <w:lang w:val="zh-CN"/>
        </w:rPr>
        <w:t>因密封不严、标记不明而造成失密、拒收、过早启封等情况，采购组织机构概不负责。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投标人在投标截止时间之前，可以对已提交的纸质备份投标文件进行修改或撤回，但应以书面形式通知招标人，书面形式应加盖投标人公章或由法定代表人（或委托人）签署或盖章。投标截止时间后，投标人不得撤回、修改投标文件。修改后重新递交的投标文件应当按本招标文件的要求签署、盖章和密封。</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hint="eastAsia" w:ascii="宋体" w:hAnsi="宋体" w:eastAsia="宋体" w:cs="宋体"/>
          <w:b/>
          <w:bCs/>
          <w:color w:val="auto"/>
          <w:sz w:val="24"/>
          <w:szCs w:val="32"/>
          <w:highlight w:val="none"/>
        </w:rPr>
      </w:pPr>
      <w:r>
        <w:rPr>
          <w:rFonts w:hint="eastAsia" w:ascii="宋体" w:hAnsi="宋体" w:eastAsia="宋体" w:cs="宋体"/>
          <w:color w:val="auto"/>
          <w:sz w:val="24"/>
          <w:szCs w:val="32"/>
          <w:highlight w:val="none"/>
        </w:rPr>
        <w:t>8.纸质备份投标文件不得涂改，若有修改错漏处，须加盖单位公章或法定代表人或授权委托人签字或盖章。投标文件因字迹潦草或表达不清所引起的后果由投标人负责。</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2、投标文件的递交要求</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w:t>
      </w: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）“投标文件”的上传、递交：见《前附表》。▲未传输递交电子投标文件的，投标无效。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（2）以介质</w:t>
      </w:r>
      <w:r>
        <w:rPr>
          <w:rFonts w:hint="eastAsia" w:ascii="宋体" w:hAnsi="宋体" w:eastAsia="宋体" w:cs="宋体"/>
          <w:color w:val="auto"/>
          <w:sz w:val="24"/>
          <w:highlight w:val="none"/>
        </w:rPr>
        <w:t>（U盘）</w:t>
      </w:r>
      <w:r>
        <w:rPr>
          <w:rFonts w:hint="eastAsia" w:ascii="宋体" w:hAnsi="宋体" w:eastAsia="宋体" w:cs="宋体"/>
          <w:color w:val="auto"/>
          <w:sz w:val="24"/>
          <w:szCs w:val="32"/>
          <w:highlight w:val="none"/>
        </w:rPr>
        <w:t>存储的数据电文形式的备份投标文件和纸质备份投标文件必须在规定时间前送达或邮寄至</w:t>
      </w:r>
      <w:r>
        <w:rPr>
          <w:rFonts w:hint="eastAsia" w:ascii="宋体" w:hAnsi="宋体" w:eastAsia="宋体" w:cs="宋体"/>
          <w:color w:val="auto"/>
          <w:sz w:val="24"/>
          <w:highlight w:val="none"/>
          <w:lang w:val="en-GB"/>
        </w:rPr>
        <w:t>公告规定的</w:t>
      </w:r>
      <w:r>
        <w:rPr>
          <w:rFonts w:hint="eastAsia" w:ascii="宋体" w:hAnsi="宋体" w:eastAsia="宋体" w:cs="宋体"/>
          <w:color w:val="auto"/>
          <w:sz w:val="24"/>
          <w:szCs w:val="32"/>
          <w:highlight w:val="none"/>
        </w:rPr>
        <w:t>地点。备份投标文件在截止时间后提交，采购组织机构将拒绝接收。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（3）如有特殊情况，采购组织机构延长截止时间和开标时间，采购组织机构和投标人的权利和义务将受到新的截止时间和开标时间的约束。</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lang w:val="en-GB"/>
        </w:rPr>
        <w:t>（</w:t>
      </w:r>
      <w:r>
        <w:rPr>
          <w:rFonts w:hint="eastAsia" w:ascii="宋体" w:hAnsi="宋体" w:eastAsia="宋体" w:cs="宋体"/>
          <w:color w:val="auto"/>
          <w:sz w:val="24"/>
          <w:szCs w:val="32"/>
          <w:highlight w:val="none"/>
        </w:rPr>
        <w:t>4</w:t>
      </w:r>
      <w:r>
        <w:rPr>
          <w:rFonts w:hint="eastAsia" w:ascii="宋体" w:hAnsi="宋体" w:eastAsia="宋体" w:cs="宋体"/>
          <w:color w:val="auto"/>
          <w:sz w:val="24"/>
          <w:szCs w:val="32"/>
          <w:highlight w:val="none"/>
          <w:lang w:val="en-GB"/>
        </w:rPr>
        <w:t>）投标文件的备选方案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（三）投标文件的有效期</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1.</w:t>
      </w:r>
      <w:r>
        <w:rPr>
          <w:rFonts w:hint="eastAsia" w:ascii="宋体" w:hAnsi="宋体" w:eastAsia="宋体" w:cs="宋体"/>
          <w:color w:val="auto"/>
          <w:sz w:val="24"/>
          <w:szCs w:val="32"/>
          <w:highlight w:val="none"/>
          <w:lang w:val="en-GB"/>
        </w:rPr>
        <w:t>自投标截止日起90天投标文件应保持有效。有效期不足的投标文件将被拒绝。</w:t>
      </w:r>
    </w:p>
    <w:p>
      <w:pPr>
        <w:spacing w:line="360" w:lineRule="auto"/>
        <w:ind w:firstLine="480" w:firstLineChars="200"/>
        <w:rPr>
          <w:rFonts w:hint="eastAsia" w:ascii="宋体" w:hAnsi="宋体" w:eastAsia="宋体" w:cs="宋体"/>
          <w:color w:val="auto"/>
          <w:sz w:val="24"/>
          <w:szCs w:val="32"/>
          <w:highlight w:val="none"/>
          <w:lang w:val="en-GB"/>
        </w:rPr>
      </w:pPr>
      <w:r>
        <w:rPr>
          <w:rFonts w:hint="eastAsia" w:ascii="宋体" w:hAnsi="宋体" w:eastAsia="宋体" w:cs="宋体"/>
          <w:color w:val="auto"/>
          <w:sz w:val="24"/>
          <w:szCs w:val="32"/>
          <w:highlight w:val="none"/>
        </w:rPr>
        <w:t>2.</w:t>
      </w:r>
      <w:r>
        <w:rPr>
          <w:rFonts w:hint="eastAsia" w:ascii="宋体" w:hAnsi="宋体" w:eastAsia="宋体" w:cs="宋体"/>
          <w:color w:val="auto"/>
          <w:sz w:val="24"/>
          <w:szCs w:val="32"/>
          <w:highlight w:val="none"/>
          <w:lang w:val="en-GB"/>
        </w:rPr>
        <w:t>在特殊情况下，采购人可与投标人协商延长投标文件的有效期，这种要求和答复均以书面形式进行。</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3.中标人的投标文件自开标之日起至合同履行完毕均应保持有效。</w:t>
      </w:r>
    </w:p>
    <w:p>
      <w:pPr>
        <w:spacing w:line="360" w:lineRule="auto"/>
        <w:rPr>
          <w:rFonts w:hint="eastAsia" w:ascii="宋体" w:hAnsi="宋体" w:eastAsia="宋体" w:cs="宋体"/>
          <w:color w:val="auto"/>
          <w:sz w:val="24"/>
          <w:szCs w:val="32"/>
          <w:highlight w:val="none"/>
        </w:rPr>
      </w:pPr>
      <w:r>
        <w:rPr>
          <w:rFonts w:hint="eastAsia" w:ascii="宋体" w:hAnsi="宋体" w:eastAsia="宋体" w:cs="宋体"/>
          <w:b/>
          <w:color w:val="auto"/>
          <w:kern w:val="0"/>
          <w:sz w:val="24"/>
          <w:highlight w:val="none"/>
        </w:rPr>
        <w:t>四、</w:t>
      </w:r>
      <w:r>
        <w:rPr>
          <w:rFonts w:hint="eastAsia" w:ascii="宋体" w:hAnsi="宋体" w:eastAsia="宋体" w:cs="宋体"/>
          <w:b/>
          <w:bCs/>
          <w:color w:val="auto"/>
          <w:sz w:val="24"/>
          <w:szCs w:val="32"/>
          <w:highlight w:val="none"/>
        </w:rPr>
        <w:t>开标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（一）开标事项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采购组织机构在“招标公告”规定的时间和地点公开开标，本次招标采用先评审商务资格和技术服务方案，后公开并评审报价的办法实施。</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（1）电子交易平台发生故障而无法登录访问的；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（2）电子交易平台应用或数据库出现错误，不能进行正常操作的；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（3）电子交易平台发现严重安全漏洞，有潜在泄密危险的；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（4）病毒导致不能进行正常操作的；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（5）其他无法保证电子交易的公平、公正和安全的情况。</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 开标程序：</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1、开标会由招标项目负责人主持，主持人宣布开标会议开始；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2、主持人介绍参加开标会的人员名单；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3、主持人宣布评标期间的有关事项，告知应当回避的情形，提请有关人员回避；对投标人进行签到验证。</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5、采购组织机构点击【开启标书信息】，开启标书成功后进入开标流程。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w:t>
      </w:r>
      <w:r>
        <w:rPr>
          <w:rFonts w:hint="eastAsia" w:ascii="宋体" w:hAnsi="宋体" w:eastAsia="宋体" w:cs="宋体"/>
          <w:color w:val="auto"/>
          <w:sz w:val="24"/>
          <w:szCs w:val="32"/>
          <w:highlight w:val="none"/>
          <w:lang w:val="zh-CN"/>
        </w:rPr>
        <w:t>资格证明文件和商务技术文件</w:t>
      </w:r>
      <w:r>
        <w:rPr>
          <w:rFonts w:hint="eastAsia" w:ascii="宋体" w:hAnsi="宋体" w:eastAsia="宋体" w:cs="宋体"/>
          <w:color w:val="auto"/>
          <w:sz w:val="24"/>
          <w:szCs w:val="32"/>
          <w:highlight w:val="none"/>
        </w:rPr>
        <w:t>评审；</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7、由主持人公布无效投标的投标人名单、投标无效的原因及其他有效投标的评分汇总分；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8、开启报价响应文件：采购代理机构成功开启报价响应文件后，方可查看各供应商报价情况。</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9、报价文件评审；</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10、由主持人公布无效投标的投标人名单、投标无效的原因及其他有效投标的报价文件得分；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11、宣布综合得分结果及中标候选人名单；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12、开标会议结束。</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五、评标</w:t>
      </w:r>
    </w:p>
    <w:p>
      <w:pPr>
        <w:spacing w:line="360" w:lineRule="auto"/>
        <w:ind w:firstLine="480" w:firstLineChars="200"/>
        <w:rPr>
          <w:rFonts w:hint="eastAsia" w:ascii="宋体" w:hAnsi="宋体" w:eastAsia="宋体" w:cs="宋体"/>
          <w:color w:val="auto"/>
          <w:sz w:val="24"/>
          <w:szCs w:val="32"/>
          <w:highlight w:val="none"/>
          <w:lang w:eastAsia="zh-CN"/>
        </w:rPr>
      </w:pPr>
      <w:r>
        <w:rPr>
          <w:rFonts w:hint="eastAsia" w:ascii="宋体" w:hAnsi="宋体" w:eastAsia="宋体" w:cs="宋体"/>
          <w:color w:val="auto"/>
          <w:sz w:val="24"/>
          <w:szCs w:val="32"/>
          <w:highlight w:val="none"/>
        </w:rPr>
        <w:t>本项目采用电子评审方法</w:t>
      </w:r>
      <w:r>
        <w:rPr>
          <w:rFonts w:hint="eastAsia" w:ascii="宋体" w:hAnsi="宋体" w:cs="宋体"/>
          <w:color w:val="auto"/>
          <w:sz w:val="24"/>
          <w:szCs w:val="32"/>
          <w:highlight w:val="none"/>
          <w:lang w:eastAsia="zh-CN"/>
        </w:rPr>
        <w:t>。</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（一）组建评标委员会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评标委员会由采购人代表和评审专家组成，成员人数为</w:t>
      </w:r>
      <w:r>
        <w:rPr>
          <w:rFonts w:hint="eastAsia" w:ascii="宋体" w:hAnsi="宋体" w:cs="宋体"/>
          <w:color w:val="auto"/>
          <w:sz w:val="24"/>
          <w:highlight w:val="none"/>
          <w:lang w:val="en-US" w:eastAsia="zh-CN"/>
        </w:rPr>
        <w:t>7</w:t>
      </w:r>
      <w:bookmarkStart w:id="3" w:name="_GoBack"/>
      <w:bookmarkEnd w:id="3"/>
      <w:r>
        <w:rPr>
          <w:rFonts w:hint="eastAsia" w:ascii="宋体" w:hAnsi="宋体" w:eastAsia="宋体" w:cs="宋体"/>
          <w:color w:val="auto"/>
          <w:sz w:val="24"/>
          <w:highlight w:val="none"/>
        </w:rPr>
        <w:t>人以上单数，其中评审专家不得少于成员总数的三分之二。</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（二）评标程序</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1、资格审查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2、符合性审查</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（3）评标时，评标委员会各成员应当独立对每个投标人的投标文件进行评价，并汇总每个投标人的得分。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4、得分确认及评审报告编写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（1）评标委员会对报价文件进行复核，对于系统计算出的价格分及总得分进行确认；</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（2）评标委员会应当按照招标文件中规定的评标方法和标准，对符合性审查合格的投标文件进行商务和技术评估，综合比较与评价。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（3）评标委员会按评标原则及得分情况编写评审报告。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5、评价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采购组织机构对评标委员会评审专家进行评价。</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（三）澄清问题的形式</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（四）错误修正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投标文件报价出现前后不一致的，除招标文件另有规定外，按照下列规定修正：</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1、投标文件中开标一览表（报价表）内容与投标文件中相应内容不一致的，以开标一览表（报价表）为准；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2、大写金额和小写金额不一致的，以大写金额为准；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3、单价金额小数点或者百分比有明显错位的，以开标一览表的总价为准，并修改单价；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4、总价金额与按单价汇总金额不一致的，以单价金额计算结果为准。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（五）投标人存在下列情况之一的，投标无效：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1、电子投标文件及纸质备份投标文件在指定页面无法定代表人盖章或签字、未在指定页面盖公章、在指定页面无被授权人签字或未提供法定代表人授权委托书。</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跟报价文件出现混装或在</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中出现投标报价的，或者报价文件中报价的货物跟</w:t>
      </w:r>
      <w:r>
        <w:rPr>
          <w:rFonts w:hint="eastAsia" w:ascii="宋体" w:hAnsi="宋体" w:eastAsia="宋体" w:cs="宋体"/>
          <w:color w:val="auto"/>
          <w:sz w:val="24"/>
          <w:szCs w:val="32"/>
          <w:highlight w:val="none"/>
          <w:lang w:val="zh-CN"/>
        </w:rPr>
        <w:t>资格证明文件、商务技术文件</w:t>
      </w:r>
      <w:r>
        <w:rPr>
          <w:rFonts w:hint="eastAsia" w:ascii="宋体" w:hAnsi="宋体" w:eastAsia="宋体" w:cs="宋体"/>
          <w:color w:val="auto"/>
          <w:sz w:val="24"/>
          <w:szCs w:val="32"/>
          <w:highlight w:val="none"/>
        </w:rPr>
        <w:t>中的投标货物出现重大偏差的。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3、不具备招标文件中规定的资格要求的。</w:t>
      </w:r>
      <w:r>
        <w:rPr>
          <w:rFonts w:hint="eastAsia" w:ascii="宋体" w:hAnsi="宋体" w:eastAsia="宋体" w:cs="宋体"/>
          <w:color w:val="auto"/>
          <w:sz w:val="24"/>
          <w:szCs w:val="32"/>
          <w:highlight w:val="none"/>
        </w:rPr>
        <w:tab/>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4、投标文件含有采购人不能接受的附加条件的。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5、授权委托代理人未能出具身份证明或与法定代表人授权委托人身份不符的。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7、报价超过招标文件中规定的预算金额/最高限价。</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8、投标参数未如实填写，完全复制粘贴招标参数的。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9、投标文件提供虚假材料的。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10、投标人的电子投标文件无法按时解密的。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11、不符合中华人民共和国财政部令第87号《政府采购货物和服务招标投标管理办法》第三十七条情形之一的，视为投标人串通投标，其投标无效，并移送采购监管部门：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（1）不同投标人的投标文件由同一单位或者个人编制；不同投标人的投标文件，由同一台电脑编制；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（2）不同投标人委托同一单位或者个人办理投标事宜；</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（3）不同投标人的投标文件载明的项目管理成员或者联系人员为同一人；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（4）不同投标人的投标文件异常一致或者投标报价呈规律性差异；</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（5）不同投标人的投标文件相互混装。</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12、不符合法律、法规和招标文件中规定的其他实质性要求的（招标文件中打“▲”内容及被拒绝的条款）。</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13、未传输递交电子投标文件，造成项目开评标活动无法进行下去的。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（六）有下列情况之一的，本次招标作为废标处理：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1、出现影响采购公正的违法、违规行为的；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2、评标委员会发现招标文件存在歧义、重大缺陷导致评标工作无法进行，或者招标文件内容违反国家有关强制性规定的； </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3、因重大变故，采购任务取消的；</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4、法律、法规和招标文件规定的其他导致评标结果无效的。</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（七）评标原则和评标办法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2、评标办法。具体评标内容及评分标准等详见《第三章 评标方法及评分标准》。</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（八）评标过程的监控</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六、定标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发布中标结果公告。采购组织机构应当自中标人确定之日起2个工作日内，在省级以上财政部门指定的媒体及相关网站上公告中标结果，招标文件应当随中标结果同时公告。如发现中标供应商资格无效或其放弃中标资格，则按本次评标供应商得分排序结果依次替补或重新组织。</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3、发出中标通知书。采购组织机构在发布中标结果的同时，向中标人发出中标通知书。</w:t>
      </w:r>
    </w:p>
    <w:p>
      <w:pPr>
        <w:spacing w:line="360" w:lineRule="auto"/>
        <w:ind w:firstLine="480" w:firstLineChars="200"/>
        <w:jc w:val="left"/>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4、中标人在领取通知书之后，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5、招标代理费用：按照下列表格标准向中标单位收取招标代理费，中标方须在中标通知书发出5日内一次性付清。（户名：</w:t>
      </w:r>
      <w:r>
        <w:rPr>
          <w:rFonts w:hint="eastAsia" w:ascii="宋体" w:hAnsi="宋体" w:eastAsia="宋体" w:cs="宋体"/>
          <w:color w:val="auto"/>
          <w:sz w:val="24"/>
          <w:szCs w:val="32"/>
          <w:highlight w:val="none"/>
          <w:lang w:eastAsia="zh-CN"/>
        </w:rPr>
        <w:t>浙江五石中正工程咨询有限公司</w:t>
      </w:r>
      <w:r>
        <w:rPr>
          <w:rFonts w:hint="eastAsia" w:ascii="宋体" w:hAnsi="宋体" w:eastAsia="宋体" w:cs="宋体"/>
          <w:color w:val="auto"/>
          <w:sz w:val="24"/>
          <w:szCs w:val="32"/>
          <w:highlight w:val="none"/>
        </w:rPr>
        <w:t>；账号：1202003209900014176；开户银行：中国工商银行杭州潮王路支行）财务电话：0571-88271625。</w:t>
      </w:r>
    </w:p>
    <w:tbl>
      <w:tblPr>
        <w:tblStyle w:val="28"/>
        <w:tblW w:w="8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9"/>
        <w:gridCol w:w="1564"/>
        <w:gridCol w:w="1564"/>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服务类型、费率、中标金额（万元）</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货物招标</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服务招标</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100以下</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1.50%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100-500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0.80%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500-1000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0.80%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0.45%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1000-5000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0.50%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0.25%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5000-10000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0.25%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0.10%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10000-100000</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0.05%</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77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100000以上</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0.01%</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0.01%</w:t>
            </w:r>
          </w:p>
        </w:tc>
        <w:tc>
          <w:tcPr>
            <w:tcW w:w="156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0.01%</w:t>
            </w:r>
          </w:p>
        </w:tc>
      </w:tr>
    </w:tbl>
    <w:p>
      <w:pPr>
        <w:spacing w:line="360" w:lineRule="auto"/>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七、合同签订及公告</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（一）签订合同</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1、采购人应当自中标通知书发出之日起</w:t>
      </w:r>
      <w:r>
        <w:rPr>
          <w:rFonts w:hint="eastAsia" w:ascii="宋体" w:hAnsi="宋体" w:cs="宋体"/>
          <w:color w:val="auto"/>
          <w:sz w:val="24"/>
          <w:szCs w:val="32"/>
          <w:highlight w:val="none"/>
          <w:lang w:val="en-US" w:eastAsia="zh-CN"/>
        </w:rPr>
        <w:t>30</w:t>
      </w:r>
      <w:r>
        <w:rPr>
          <w:rFonts w:hint="eastAsia" w:ascii="宋体" w:hAnsi="宋体" w:eastAsia="宋体" w:cs="宋体"/>
          <w:color w:val="auto"/>
          <w:sz w:val="24"/>
          <w:szCs w:val="32"/>
          <w:highlight w:val="none"/>
        </w:rPr>
        <w:t>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2、采购人不得向中标人提出任何不合理的要求作为签订合同的条件。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3、中标供应商无故拖延、拒签合同的，取消中标资格。</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（二）合同公告及备案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1、采购人应当自政府采购合同签订之日起2个工作日内，在省级以上财政部门指定的政府采购信息发布媒体及相关网站上公告。</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2、采购人应当自政府采购合同签订之日起7个工作日内，将政府采购合同副本报同级人民政府财政部门备案以及采购组织机构存档。</w:t>
      </w:r>
    </w:p>
    <w:p>
      <w:pPr>
        <w:spacing w:line="360" w:lineRule="auto"/>
        <w:jc w:val="both"/>
        <w:rPr>
          <w:rFonts w:hint="eastAsia" w:ascii="宋体" w:hAnsi="宋体" w:eastAsia="宋体" w:cs="宋体"/>
          <w:b/>
          <w:bCs/>
          <w:color w:val="auto"/>
          <w:sz w:val="36"/>
          <w:szCs w:val="44"/>
          <w:highlight w:val="none"/>
        </w:rPr>
      </w:pPr>
    </w:p>
    <w:p>
      <w:pPr>
        <w:pStyle w:val="5"/>
        <w:rPr>
          <w:rFonts w:hint="eastAsia" w:ascii="宋体" w:hAnsi="宋体" w:eastAsia="宋体" w:cs="宋体"/>
          <w:b/>
          <w:bCs/>
          <w:color w:val="auto"/>
          <w:sz w:val="36"/>
          <w:szCs w:val="44"/>
          <w:highlight w:val="none"/>
        </w:rPr>
      </w:pPr>
    </w:p>
    <w:p>
      <w:pPr>
        <w:rPr>
          <w:rFonts w:hint="eastAsia" w:ascii="宋体" w:hAnsi="宋体" w:eastAsia="宋体" w:cs="宋体"/>
          <w:b/>
          <w:bCs/>
          <w:color w:val="auto"/>
          <w:sz w:val="36"/>
          <w:szCs w:val="44"/>
          <w:highlight w:val="none"/>
        </w:rPr>
      </w:pPr>
    </w:p>
    <w:p>
      <w:pPr>
        <w:pStyle w:val="5"/>
        <w:rPr>
          <w:rFonts w:hint="eastAsia"/>
          <w:color w:val="auto"/>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第三章 评标办法及评分标准</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一、采购组织机构将组织评标委员会，对投标人提供的投标文件进行综合评审。</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二、本次招标项目的评标方法为综合评分法，总计100分。</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（一）商务与技术文件中的客观分由评标委员会讨论后统一打分；其余在规定的分值内单独评定打分。</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（二）各投标人商务与技术文件得分按照评标委员会成员的独立评分结果汇总后的算术平均分计算，计算公式为：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商务与技术文件得分</w:t>
      </w:r>
      <w:r>
        <w:rPr>
          <w:rFonts w:hint="eastAsia" w:ascii="宋体" w:hAnsi="宋体" w:eastAsia="宋体" w:cs="宋体"/>
          <w:color w:val="auto"/>
          <w:sz w:val="24"/>
          <w:szCs w:val="32"/>
          <w:highlight w:val="none"/>
          <w:lang w:val="zh-CN"/>
        </w:rPr>
        <w:t>=评标委员会所有成员评分合计数/评标委员会组成人员数。</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（三）投标报价得分采用低价优先法计算，即满足招标文件要求且投标价格最低的投标报价为评标基准价，其报价得满分。其他投标人的投标报价得分按下列公式计算：</w:t>
      </w:r>
    </w:p>
    <w:p>
      <w:pPr>
        <w:spacing w:line="360" w:lineRule="auto"/>
        <w:ind w:firstLine="480" w:firstLineChars="200"/>
        <w:rPr>
          <w:rFonts w:hint="eastAsia" w:ascii="宋体" w:hAnsi="宋体" w:eastAsia="宋体" w:cs="宋体"/>
          <w:color w:val="auto"/>
          <w:sz w:val="24"/>
          <w:szCs w:val="32"/>
          <w:highlight w:val="none"/>
          <w:u w:val="single"/>
        </w:rPr>
      </w:pPr>
      <w:r>
        <w:rPr>
          <w:rFonts w:hint="eastAsia" w:ascii="宋体" w:hAnsi="宋体" w:eastAsia="宋体" w:cs="宋体"/>
          <w:color w:val="auto"/>
          <w:sz w:val="24"/>
          <w:szCs w:val="32"/>
          <w:highlight w:val="none"/>
          <w:u w:val="single"/>
        </w:rPr>
        <w:t>投标报价得分=（评标基准价／投标报价）×30%×100 。</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（四）投标人综合得分＝商务技术文件得分＋投标报价得分。</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（五）政府采购政策及优惠：</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1）根据财政部、工业和信息化部发布的《政府采购促进中小企业发展管理办法》【财库（2020）46号】和《财政部关于进一步加大政府采购支持中小企业力度的通知》【财库（2022）19号】有关规定，货物和服务项目中未预留份额专门面向中小企业采购的，以及预留份额项目中的非预留部分采购包，采购单位、采购代理机构应当对符合规定的小微企业报价给予10%的扣除，用扣除后的价格参加评审。</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接受大中型企业与小微企业组成联合体或者允许大中型企业向一家或者多家小微企业分包的采购项目，对于联合体协议或者分包意向协议约定小微企业的合同份额占到合同总金额30%以上的，采购单位、采购代理机构应当对联合体或者大中型企业的报价给予</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lang w:val="zh-CN"/>
        </w:rPr>
        <w:t>%的扣除，用扣除后的价格参加评审。</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组成联合体或者接受分包的小微企业与联合体内其他企业、分包企业之间存在直接控股、管理关系的，不享受价格扣除优惠政策。</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以联合体形式参加政府采购活动，联合体各方均为中小企业的，联合体视同中小企业。其中，联合体各方均为小微企业的，联合体视同小微企业。</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投标文件中须同时出具《政府采购促进中小企业发展管理办法》【财库（2020）46号】规定的《中小企业声明函》，否则不得享受价格扣除。</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本项目对符合规定的小微企业（含小型企业）报价给予10%的扣除。</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（2）根据《关于政府采购支持监狱企业发展有关问题的通知》（财库[2014]68号）的规定，供应商如为监狱企业且所投产品为小型或微型企业生产的，其投标报价扣除10%后参与评审。</w:t>
      </w:r>
    </w:p>
    <w:p>
      <w:pPr>
        <w:autoSpaceDE w:val="0"/>
        <w:autoSpaceDN w:val="0"/>
        <w:spacing w:line="360" w:lineRule="auto"/>
        <w:ind w:firstLine="480" w:firstLineChars="2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投标文件中须同时提供：供应商的省级以上监狱管理局、戒毒管理局（含新疆生产建设兵团）出具的属于监狱企业的证明文件，未提供完整证明材料的，投标报价不予扣减。</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享受政府采购支持政策的残疾人福利性单位应当同时满足以下条件：</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①安置的残疾人占本单位在职职工人数的比例不低于25%（含25%），并且安置的残疾人人数不少于10人（含10人）；</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②依法与安置的每位残疾人签订了一年以上（含一年）的劳动合同或服务协议；</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③为安置的每位残疾人按月足额缴纳了基本养老保险、基本医疗保险、失业保险、工伤保险和生育保险等社会保险费；</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④通过银行等金融机构向安置的每位残疾人，按月支付了不低于单位所在区县适用的经省级人民政府批准的月最低工资标准的工资；</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⑤提供本单位制造的货物、承担的工程或者服务（以下简称产品），或者提供其他残疾人福利性单位制造的货物（不包括使用非残疾人福利性单位注册商标的货物）。</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autoSpaceDE w:val="0"/>
        <w:autoSpaceDN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注：得分以系统计算为准，保留2位小数。</w:t>
      </w:r>
    </w:p>
    <w:p>
      <w:pPr>
        <w:shd w:val="clear" w:color="auto" w:fill="auto"/>
        <w:spacing w:line="360" w:lineRule="auto"/>
        <w:ind w:firstLine="480" w:firstLineChars="200"/>
        <w:rPr>
          <w:rFonts w:ascii="宋体" w:hAnsi="宋体" w:cs="宋体"/>
          <w:color w:val="auto"/>
          <w:sz w:val="24"/>
          <w:szCs w:val="32"/>
          <w:highlight w:val="none"/>
          <w:lang w:val="zh-CN"/>
        </w:rPr>
      </w:pPr>
      <w:r>
        <w:rPr>
          <w:rFonts w:hint="eastAsia" w:ascii="宋体" w:hAnsi="宋体" w:eastAsia="宋体" w:cs="宋体"/>
          <w:color w:val="auto"/>
          <w:sz w:val="24"/>
          <w:szCs w:val="32"/>
          <w:highlight w:val="none"/>
          <w:lang w:val="zh-CN"/>
        </w:rPr>
        <w:t>三、</w:t>
      </w:r>
      <w:r>
        <w:rPr>
          <w:rFonts w:hint="eastAsia" w:ascii="宋体" w:hAnsi="宋体" w:cs="宋体"/>
          <w:color w:val="auto"/>
          <w:sz w:val="24"/>
          <w:szCs w:val="32"/>
          <w:highlight w:val="none"/>
          <w:lang w:val="zh-CN"/>
        </w:rPr>
        <w:t>在最大限度地满足招标文件实质性要求前提下，评标委员会按照招标文件中规定的各项因素进行综合评审后，推荐二名合格的中标候选人，并按评标报告推荐的顺序确定排名第一的中标候选人为中标人。</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四、如综合得分相同，投标报价低者为先；如综合得分且投标报价相同的，货物类采购项目以技术性能得分较高者为先，服务类采购项目以实力信誉及业绩得分较高者为先。</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五、提供相同品牌产品的不同投标人参加同一合同项下投标的，按一家供应商认定：</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（1）采用最低评标价法的采购项目，以其中通过资格审查、符合性审查且报价最低的参加评标；报价相同的，由评标委员会集体确定一个投标人参加评标，其他投标无效。</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（2）使用综合评分法的采购项目，评审后得分最高的同品牌投标人获得中标人推荐资格；评审得分相同的，由评标委员会集体推荐一个投标人作为中标候选人，其他同品牌投标人不作为中标候选人。</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lang w:val="zh-CN"/>
        </w:rPr>
        <w:t>六、本次评分具体分值细化条款如下表：</w:t>
      </w:r>
    </w:p>
    <w:tbl>
      <w:tblPr>
        <w:tblStyle w:val="28"/>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8100"/>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725" w:type="dxa"/>
            <w:noWrap w:val="0"/>
            <w:vAlign w:val="center"/>
          </w:tcPr>
          <w:p>
            <w:pPr>
              <w:keepNext w:val="0"/>
              <w:keepLines w:val="0"/>
              <w:widowControl/>
              <w:suppressLineNumbers w:val="0"/>
              <w:shd w:val="clear"/>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序号</w:t>
            </w:r>
          </w:p>
        </w:tc>
        <w:tc>
          <w:tcPr>
            <w:tcW w:w="8100" w:type="dxa"/>
            <w:noWrap w:val="0"/>
            <w:vAlign w:val="center"/>
          </w:tcPr>
          <w:p>
            <w:pPr>
              <w:keepNext w:val="0"/>
              <w:keepLines w:val="0"/>
              <w:widowControl/>
              <w:suppressLineNumbers w:val="0"/>
              <w:shd w:val="clear"/>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评分细则</w:t>
            </w:r>
          </w:p>
        </w:tc>
        <w:tc>
          <w:tcPr>
            <w:tcW w:w="728" w:type="dxa"/>
            <w:noWrap w:val="0"/>
            <w:vAlign w:val="center"/>
          </w:tcPr>
          <w:p>
            <w:pPr>
              <w:keepNext w:val="0"/>
              <w:keepLines w:val="0"/>
              <w:widowControl/>
              <w:suppressLineNumbers w:val="0"/>
              <w:shd w:val="clear"/>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noWrap w:val="0"/>
            <w:vAlign w:val="center"/>
          </w:tcPr>
          <w:p>
            <w:pPr>
              <w:keepNext w:val="0"/>
              <w:keepLines w:val="0"/>
              <w:widowControl/>
              <w:suppressLineNumbers w:val="0"/>
              <w:shd w:val="clear"/>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1</w:t>
            </w:r>
          </w:p>
        </w:tc>
        <w:tc>
          <w:tcPr>
            <w:tcW w:w="8100" w:type="dxa"/>
            <w:noWrap w:val="0"/>
            <w:vAlign w:val="center"/>
          </w:tcPr>
          <w:p>
            <w:pPr>
              <w:keepNext w:val="0"/>
              <w:keepLines w:val="0"/>
              <w:widowControl/>
              <w:suppressLineNumbers w:val="0"/>
              <w:shd w:val="clear"/>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技术功能符合度：对应于采购文件技术指标的符合度，一般参数每条不满足要求扣2分，★参数每条不满足扣4分，扣完为止。</w:t>
            </w:r>
          </w:p>
        </w:tc>
        <w:tc>
          <w:tcPr>
            <w:tcW w:w="728" w:type="dxa"/>
            <w:noWrap w:val="0"/>
            <w:vAlign w:val="center"/>
          </w:tcPr>
          <w:p>
            <w:pPr>
              <w:keepNext w:val="0"/>
              <w:keepLines w:val="0"/>
              <w:widowControl/>
              <w:suppressLineNumbers w:val="0"/>
              <w:shd w:val="clear"/>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noWrap w:val="0"/>
            <w:vAlign w:val="center"/>
          </w:tcPr>
          <w:p>
            <w:pPr>
              <w:keepNext w:val="0"/>
              <w:keepLines w:val="0"/>
              <w:widowControl/>
              <w:suppressLineNumbers w:val="0"/>
              <w:shd w:val="clear"/>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2</w:t>
            </w:r>
          </w:p>
        </w:tc>
        <w:tc>
          <w:tcPr>
            <w:tcW w:w="8100" w:type="dxa"/>
            <w:noWrap w:val="0"/>
            <w:vAlign w:val="center"/>
          </w:tcPr>
          <w:p>
            <w:pPr>
              <w:keepNext w:val="0"/>
              <w:keepLines w:val="0"/>
              <w:widowControl/>
              <w:suppressLineNumbers w:val="0"/>
              <w:shd w:val="clear"/>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投标产品★参数或功能有优于采购文件要求，每1条加1分，最多加3分。</w:t>
            </w:r>
          </w:p>
        </w:tc>
        <w:tc>
          <w:tcPr>
            <w:tcW w:w="728" w:type="dxa"/>
            <w:noWrap w:val="0"/>
            <w:vAlign w:val="center"/>
          </w:tcPr>
          <w:p>
            <w:pPr>
              <w:keepNext w:val="0"/>
              <w:keepLines w:val="0"/>
              <w:widowControl/>
              <w:suppressLineNumbers w:val="0"/>
              <w:shd w:val="clear"/>
              <w:jc w:val="center"/>
              <w:textAlignment w:val="center"/>
              <w:rPr>
                <w:rFonts w:hint="default"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noWrap w:val="0"/>
            <w:vAlign w:val="center"/>
          </w:tcPr>
          <w:p>
            <w:pPr>
              <w:keepNext w:val="0"/>
              <w:keepLines w:val="0"/>
              <w:widowControl/>
              <w:suppressLineNumbers w:val="0"/>
              <w:shd w:val="clear"/>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c>
          <w:tcPr>
            <w:tcW w:w="8100" w:type="dxa"/>
            <w:noWrap w:val="0"/>
            <w:vAlign w:val="center"/>
          </w:tcPr>
          <w:p>
            <w:pPr>
              <w:keepNext w:val="0"/>
              <w:keepLines w:val="0"/>
              <w:widowControl/>
              <w:suppressLineNumbers w:val="0"/>
              <w:shd w:val="clear"/>
              <w:jc w:val="left"/>
              <w:textAlignment w:val="center"/>
              <w:rPr>
                <w:rFonts w:hint="default" w:ascii="宋体" w:hAnsi="宋体" w:eastAsia="宋体" w:cs="宋体"/>
                <w:color w:val="auto"/>
                <w:sz w:val="24"/>
                <w:szCs w:val="24"/>
                <w:highlight w:val="none"/>
                <w:lang w:val="en-US"/>
              </w:rPr>
            </w:pPr>
            <w:r>
              <w:rPr>
                <w:rFonts w:hint="eastAsia" w:ascii="宋体" w:hAnsi="宋体" w:eastAsia="宋体" w:cs="宋体"/>
                <w:i w:val="0"/>
                <w:color w:val="auto"/>
                <w:kern w:val="0"/>
                <w:sz w:val="24"/>
                <w:szCs w:val="24"/>
                <w:highlight w:val="none"/>
                <w:u w:val="none"/>
                <w:lang w:val="en-US" w:eastAsia="zh-CN" w:bidi="ar"/>
              </w:rPr>
              <w:t>运行、维</w:t>
            </w:r>
            <w:r>
              <w:rPr>
                <w:rFonts w:hint="eastAsia" w:ascii="宋体" w:hAnsi="宋体" w:cs="宋体"/>
                <w:i w:val="0"/>
                <w:color w:val="auto"/>
                <w:kern w:val="0"/>
                <w:sz w:val="24"/>
                <w:szCs w:val="24"/>
                <w:highlight w:val="none"/>
                <w:u w:val="none"/>
                <w:lang w:val="en-US" w:eastAsia="zh-CN" w:bidi="ar"/>
              </w:rPr>
              <w:t>护</w:t>
            </w:r>
            <w:r>
              <w:rPr>
                <w:rFonts w:hint="eastAsia" w:ascii="宋体" w:hAnsi="宋体" w:eastAsia="宋体" w:cs="宋体"/>
                <w:i w:val="0"/>
                <w:color w:val="auto"/>
                <w:kern w:val="0"/>
                <w:sz w:val="24"/>
                <w:szCs w:val="24"/>
                <w:highlight w:val="none"/>
                <w:u w:val="none"/>
                <w:lang w:val="en-US" w:eastAsia="zh-CN" w:bidi="ar"/>
              </w:rPr>
              <w:t>成本：提供全保、人工保等各种保修方案及价格，设备配件价格，维修服务费，消耗品或易耗品的使用周期、价格</w:t>
            </w:r>
            <w:r>
              <w:rPr>
                <w:rFonts w:hint="eastAsia" w:ascii="宋体" w:hAnsi="宋体" w:cs="宋体"/>
                <w:i w:val="0"/>
                <w:color w:val="auto"/>
                <w:kern w:val="0"/>
                <w:sz w:val="24"/>
                <w:szCs w:val="24"/>
                <w:highlight w:val="none"/>
                <w:u w:val="none"/>
                <w:lang w:val="en-US" w:eastAsia="zh-CN" w:bidi="ar"/>
              </w:rPr>
              <w:t>等。按照运行及维护成本的优惠程度进行打分，最高得3分。</w:t>
            </w:r>
          </w:p>
        </w:tc>
        <w:tc>
          <w:tcPr>
            <w:tcW w:w="728" w:type="dxa"/>
            <w:noWrap w:val="0"/>
            <w:vAlign w:val="center"/>
          </w:tcPr>
          <w:p>
            <w:pPr>
              <w:keepNext w:val="0"/>
              <w:keepLines w:val="0"/>
              <w:widowControl/>
              <w:suppressLineNumbers w:val="0"/>
              <w:shd w:val="clear"/>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noWrap w:val="0"/>
            <w:vAlign w:val="center"/>
          </w:tcPr>
          <w:p>
            <w:pPr>
              <w:keepNext w:val="0"/>
              <w:keepLines w:val="0"/>
              <w:widowControl/>
              <w:suppressLineNumbers w:val="0"/>
              <w:shd w:val="clear"/>
              <w:jc w:val="center"/>
              <w:textAlignment w:val="top"/>
              <w:rPr>
                <w:rFonts w:hint="eastAsia" w:ascii="宋体" w:hAnsi="宋体" w:eastAsia="宋体" w:cs="宋体"/>
                <w:i w:val="0"/>
                <w:color w:val="auto"/>
                <w:kern w:val="0"/>
                <w:sz w:val="24"/>
                <w:szCs w:val="24"/>
                <w:highlight w:val="none"/>
                <w:u w:val="none"/>
                <w:lang w:val="en-US" w:eastAsia="zh-CN" w:bidi="ar"/>
              </w:rPr>
            </w:pPr>
          </w:p>
          <w:p>
            <w:pPr>
              <w:keepNext w:val="0"/>
              <w:keepLines w:val="0"/>
              <w:widowControl/>
              <w:suppressLineNumbers w:val="0"/>
              <w:shd w:val="clear"/>
              <w:jc w:val="center"/>
              <w:textAlignment w:val="top"/>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4</w:t>
            </w:r>
          </w:p>
        </w:tc>
        <w:tc>
          <w:tcPr>
            <w:tcW w:w="8100" w:type="dxa"/>
            <w:noWrap w:val="0"/>
            <w:vAlign w:val="top"/>
          </w:tcPr>
          <w:p>
            <w:pPr>
              <w:keepNext w:val="0"/>
              <w:keepLines w:val="0"/>
              <w:widowControl/>
              <w:suppressLineNumbers w:val="0"/>
              <w:shd w:val="clear"/>
              <w:jc w:val="both"/>
              <w:textAlignment w:val="top"/>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安装调试方案：包括对场地环境的了解、人员的安排、时间进度的规划，对设备的调试进度安排，调试的步骤、措施，</w:t>
            </w:r>
            <w:r>
              <w:rPr>
                <w:rFonts w:hint="eastAsia" w:ascii="宋体" w:hAnsi="宋体" w:cs="宋体"/>
                <w:i w:val="0"/>
                <w:color w:val="auto"/>
                <w:kern w:val="0"/>
                <w:sz w:val="24"/>
                <w:szCs w:val="24"/>
                <w:highlight w:val="none"/>
                <w:u w:val="none"/>
                <w:lang w:val="en-US" w:eastAsia="zh-CN" w:bidi="ar"/>
              </w:rPr>
              <w:t>以及调试中可能出现</w:t>
            </w:r>
            <w:r>
              <w:rPr>
                <w:rFonts w:hint="eastAsia" w:ascii="宋体" w:hAnsi="宋体" w:eastAsia="宋体" w:cs="宋体"/>
                <w:i w:val="0"/>
                <w:color w:val="auto"/>
                <w:kern w:val="0"/>
                <w:sz w:val="24"/>
                <w:szCs w:val="24"/>
                <w:highlight w:val="none"/>
                <w:u w:val="none"/>
                <w:lang w:val="en-US" w:eastAsia="zh-CN" w:bidi="ar"/>
              </w:rPr>
              <w:t>问题的解决方案</w:t>
            </w:r>
            <w:r>
              <w:rPr>
                <w:rFonts w:hint="eastAsia" w:ascii="宋体" w:hAnsi="宋体" w:cs="宋体"/>
                <w:i w:val="0"/>
                <w:color w:val="auto"/>
                <w:kern w:val="0"/>
                <w:sz w:val="24"/>
                <w:szCs w:val="24"/>
                <w:highlight w:val="none"/>
                <w:u w:val="none"/>
                <w:lang w:val="en-US" w:eastAsia="zh-CN" w:bidi="ar"/>
              </w:rPr>
              <w:t>等。按照安装调试方案的详细程度和合理性进行打分，最高得4分。</w:t>
            </w:r>
          </w:p>
        </w:tc>
        <w:tc>
          <w:tcPr>
            <w:tcW w:w="728" w:type="dxa"/>
            <w:noWrap w:val="0"/>
            <w:vAlign w:val="center"/>
          </w:tcPr>
          <w:p>
            <w:pPr>
              <w:keepNext w:val="0"/>
              <w:keepLines w:val="0"/>
              <w:widowControl/>
              <w:suppressLineNumbers w:val="0"/>
              <w:shd w:val="clear"/>
              <w:jc w:val="center"/>
              <w:textAlignment w:val="center"/>
              <w:rPr>
                <w:rFonts w:hint="eastAsia" w:ascii="宋体" w:hAnsi="宋体" w:eastAsia="宋体" w:cs="宋体"/>
                <w:color w:val="auto"/>
                <w:sz w:val="24"/>
                <w:szCs w:val="24"/>
                <w:highlight w:val="none"/>
                <w:lang w:eastAsia="zh-CN"/>
              </w:rPr>
            </w:pPr>
            <w:r>
              <w:rPr>
                <w:rFonts w:hint="eastAsia" w:ascii="宋体" w:hAnsi="宋体" w:cs="宋体"/>
                <w:i w:val="0"/>
                <w:color w:val="auto"/>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noWrap w:val="0"/>
            <w:vAlign w:val="center"/>
          </w:tcPr>
          <w:p>
            <w:pPr>
              <w:keepNext w:val="0"/>
              <w:keepLines w:val="0"/>
              <w:widowControl/>
              <w:suppressLineNumbers w:val="0"/>
              <w:shd w:val="clear"/>
              <w:jc w:val="center"/>
              <w:textAlignment w:val="top"/>
              <w:rPr>
                <w:rFonts w:hint="eastAsia" w:ascii="宋体" w:hAnsi="宋体" w:cs="宋体"/>
                <w:color w:val="auto"/>
                <w:sz w:val="24"/>
                <w:szCs w:val="24"/>
                <w:highlight w:val="none"/>
                <w:lang w:val="en-US" w:eastAsia="zh-CN"/>
              </w:rPr>
            </w:pPr>
            <w:r>
              <w:rPr>
                <w:rFonts w:hint="eastAsia" w:ascii="宋体" w:hAnsi="宋体" w:cs="宋体"/>
                <w:i w:val="0"/>
                <w:color w:val="auto"/>
                <w:kern w:val="0"/>
                <w:sz w:val="24"/>
                <w:szCs w:val="24"/>
                <w:highlight w:val="none"/>
                <w:u w:val="none"/>
                <w:lang w:val="en-US" w:eastAsia="zh-CN" w:bidi="ar"/>
              </w:rPr>
              <w:t>5</w:t>
            </w:r>
          </w:p>
        </w:tc>
        <w:tc>
          <w:tcPr>
            <w:tcW w:w="8100" w:type="dxa"/>
            <w:noWrap w:val="0"/>
            <w:vAlign w:val="center"/>
          </w:tcPr>
          <w:p>
            <w:pPr>
              <w:keepNext w:val="0"/>
              <w:keepLines w:val="0"/>
              <w:widowControl/>
              <w:suppressLineNumbers w:val="0"/>
              <w:shd w:val="clear"/>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操作应用培训和维修保养培训：</w:t>
            </w:r>
            <w:r>
              <w:rPr>
                <w:rFonts w:hint="eastAsia" w:ascii="宋体" w:hAnsi="宋体" w:cs="宋体"/>
                <w:i w:val="0"/>
                <w:color w:val="auto"/>
                <w:kern w:val="0"/>
                <w:sz w:val="24"/>
                <w:szCs w:val="24"/>
                <w:highlight w:val="none"/>
                <w:u w:val="none"/>
                <w:lang w:val="en-US" w:eastAsia="zh-CN" w:bidi="ar"/>
              </w:rPr>
              <w:t>提供对采购单位人员的</w:t>
            </w:r>
            <w:r>
              <w:rPr>
                <w:rFonts w:hint="eastAsia" w:ascii="宋体" w:hAnsi="宋体" w:eastAsia="宋体" w:cs="宋体"/>
                <w:i w:val="0"/>
                <w:color w:val="auto"/>
                <w:kern w:val="0"/>
                <w:sz w:val="24"/>
                <w:szCs w:val="24"/>
                <w:highlight w:val="none"/>
                <w:u w:val="none"/>
                <w:lang w:val="en-US" w:eastAsia="zh-CN" w:bidi="ar"/>
              </w:rPr>
              <w:t>操作</w:t>
            </w:r>
            <w:r>
              <w:rPr>
                <w:rFonts w:hint="eastAsia" w:ascii="宋体" w:hAnsi="宋体" w:cs="宋体"/>
                <w:i w:val="0"/>
                <w:color w:val="auto"/>
                <w:kern w:val="0"/>
                <w:sz w:val="24"/>
                <w:szCs w:val="24"/>
                <w:highlight w:val="none"/>
                <w:u w:val="none"/>
                <w:lang w:val="en-US" w:eastAsia="zh-CN" w:bidi="ar"/>
              </w:rPr>
              <w:t>培训</w:t>
            </w:r>
            <w:r>
              <w:rPr>
                <w:rFonts w:hint="eastAsia" w:ascii="宋体" w:hAnsi="宋体" w:eastAsia="宋体" w:cs="宋体"/>
                <w:i w:val="0"/>
                <w:color w:val="auto"/>
                <w:kern w:val="0"/>
                <w:sz w:val="24"/>
                <w:szCs w:val="24"/>
                <w:highlight w:val="none"/>
                <w:u w:val="none"/>
                <w:lang w:val="en-US" w:eastAsia="zh-CN" w:bidi="ar"/>
              </w:rPr>
              <w:t>、临床应用</w:t>
            </w:r>
            <w:r>
              <w:rPr>
                <w:rFonts w:hint="eastAsia" w:ascii="宋体" w:hAnsi="宋体" w:cs="宋体"/>
                <w:i w:val="0"/>
                <w:color w:val="auto"/>
                <w:kern w:val="0"/>
                <w:sz w:val="24"/>
                <w:szCs w:val="24"/>
                <w:highlight w:val="none"/>
                <w:u w:val="none"/>
                <w:lang w:val="en-US" w:eastAsia="zh-CN" w:bidi="ar"/>
              </w:rPr>
              <w:t>培训</w:t>
            </w:r>
            <w:r>
              <w:rPr>
                <w:rFonts w:hint="eastAsia" w:ascii="宋体" w:hAnsi="宋体" w:eastAsia="宋体" w:cs="宋体"/>
                <w:i w:val="0"/>
                <w:color w:val="auto"/>
                <w:kern w:val="0"/>
                <w:sz w:val="24"/>
                <w:szCs w:val="24"/>
                <w:highlight w:val="none"/>
                <w:u w:val="none"/>
                <w:lang w:val="en-US" w:eastAsia="zh-CN" w:bidi="ar"/>
              </w:rPr>
              <w:t>及维修人员的培训</w:t>
            </w:r>
            <w:r>
              <w:rPr>
                <w:rFonts w:hint="eastAsia" w:ascii="宋体" w:hAnsi="宋体" w:cs="宋体"/>
                <w:i w:val="0"/>
                <w:color w:val="auto"/>
                <w:kern w:val="0"/>
                <w:sz w:val="24"/>
                <w:szCs w:val="24"/>
                <w:highlight w:val="none"/>
                <w:u w:val="none"/>
                <w:lang w:val="en-US" w:eastAsia="zh-CN" w:bidi="ar"/>
              </w:rPr>
              <w:t>等。按照对培训时间、地点、培训老师、培训内容等安排的合理性和可行性进行打分，最高得4分。</w:t>
            </w:r>
          </w:p>
        </w:tc>
        <w:tc>
          <w:tcPr>
            <w:tcW w:w="728" w:type="dxa"/>
            <w:noWrap w:val="0"/>
            <w:vAlign w:val="center"/>
          </w:tcPr>
          <w:p>
            <w:pPr>
              <w:keepNext w:val="0"/>
              <w:keepLines w:val="0"/>
              <w:widowControl/>
              <w:suppressLineNumbers w:val="0"/>
              <w:shd w:val="clear"/>
              <w:jc w:val="center"/>
              <w:textAlignment w:val="center"/>
              <w:rPr>
                <w:rFonts w:hint="eastAsia" w:ascii="宋体" w:hAnsi="宋体" w:eastAsia="宋体" w:cs="宋体"/>
                <w:color w:val="auto"/>
                <w:sz w:val="24"/>
                <w:szCs w:val="24"/>
                <w:highlight w:val="none"/>
                <w:lang w:val="en-US" w:eastAsia="zh-CN"/>
              </w:rPr>
            </w:pPr>
            <w:r>
              <w:rPr>
                <w:rFonts w:hint="eastAsia" w:ascii="宋体" w:hAnsi="宋体" w:cs="宋体"/>
                <w:i w:val="0"/>
                <w:color w:val="auto"/>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25" w:type="dxa"/>
            <w:noWrap w:val="0"/>
            <w:vAlign w:val="center"/>
          </w:tcPr>
          <w:p>
            <w:pPr>
              <w:keepNext w:val="0"/>
              <w:keepLines w:val="0"/>
              <w:widowControl/>
              <w:suppressLineNumbers w:val="0"/>
              <w:shd w:val="clear"/>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6</w:t>
            </w:r>
          </w:p>
        </w:tc>
        <w:tc>
          <w:tcPr>
            <w:tcW w:w="8100"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auto"/>
              <w:jc w:val="left"/>
              <w:textAlignment w:val="auto"/>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color w:val="auto"/>
                <w:sz w:val="24"/>
                <w:highlight w:val="none"/>
              </w:rPr>
              <w:t>售后服务方案：响应时间短，故障解决方案</w:t>
            </w:r>
            <w:r>
              <w:rPr>
                <w:rFonts w:hint="eastAsia" w:ascii="宋体" w:hAnsi="宋体" w:eastAsia="宋体" w:cs="宋体"/>
                <w:color w:val="auto"/>
                <w:sz w:val="24"/>
                <w:highlight w:val="none"/>
                <w:lang w:val="en-US" w:eastAsia="zh-CN"/>
              </w:rPr>
              <w:t>内容</w:t>
            </w:r>
            <w:r>
              <w:rPr>
                <w:rFonts w:hint="eastAsia" w:ascii="宋体" w:hAnsi="宋体" w:eastAsia="宋体" w:cs="宋体"/>
                <w:color w:val="auto"/>
                <w:sz w:val="24"/>
                <w:highlight w:val="none"/>
              </w:rPr>
              <w:t>充分</w:t>
            </w:r>
            <w:r>
              <w:rPr>
                <w:rFonts w:hint="eastAsia" w:ascii="宋体" w:hAnsi="宋体" w:eastAsia="宋体" w:cs="宋体"/>
                <w:color w:val="auto"/>
                <w:sz w:val="24"/>
                <w:highlight w:val="none"/>
                <w:lang w:val="en-US" w:eastAsia="zh-CN"/>
              </w:rPr>
              <w:t>可行</w:t>
            </w:r>
            <w:r>
              <w:rPr>
                <w:rFonts w:hint="eastAsia" w:ascii="宋体" w:hAnsi="宋体" w:eastAsia="宋体" w:cs="宋体"/>
                <w:color w:val="auto"/>
                <w:sz w:val="24"/>
                <w:highlight w:val="none"/>
              </w:rPr>
              <w:t>得</w:t>
            </w:r>
            <w:r>
              <w:rPr>
                <w:rFonts w:hint="eastAsia" w:ascii="宋体" w:hAnsi="宋体" w:eastAsia="宋体" w:cs="宋体"/>
                <w:color w:val="auto"/>
                <w:sz w:val="24"/>
                <w:highlight w:val="none"/>
                <w:lang w:val="en-US" w:eastAsia="zh-CN"/>
              </w:rPr>
              <w:t>2</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分，响应时间</w:t>
            </w:r>
            <w:r>
              <w:rPr>
                <w:rFonts w:hint="eastAsia" w:ascii="宋体" w:hAnsi="宋体" w:eastAsia="宋体" w:cs="宋体"/>
                <w:color w:val="auto"/>
                <w:sz w:val="24"/>
                <w:highlight w:val="none"/>
                <w:lang w:val="en-US" w:eastAsia="zh-CN"/>
              </w:rPr>
              <w:t>居中</w:t>
            </w:r>
            <w:r>
              <w:rPr>
                <w:rFonts w:hint="eastAsia" w:ascii="宋体" w:hAnsi="宋体" w:eastAsia="宋体" w:cs="宋体"/>
                <w:color w:val="auto"/>
                <w:sz w:val="24"/>
                <w:highlight w:val="none"/>
              </w:rPr>
              <w:t>，解决方案</w:t>
            </w:r>
            <w:r>
              <w:rPr>
                <w:rFonts w:hint="eastAsia" w:ascii="宋体" w:hAnsi="宋体" w:eastAsia="宋体" w:cs="宋体"/>
                <w:color w:val="auto"/>
                <w:sz w:val="24"/>
                <w:highlight w:val="none"/>
                <w:lang w:val="en-US" w:eastAsia="zh-CN"/>
              </w:rPr>
              <w:t>相对清晰完整</w:t>
            </w:r>
            <w:r>
              <w:rPr>
                <w:rFonts w:hint="eastAsia" w:ascii="宋体" w:hAnsi="宋体" w:eastAsia="宋体" w:cs="宋体"/>
                <w:color w:val="auto"/>
                <w:sz w:val="24"/>
                <w:highlight w:val="none"/>
              </w:rPr>
              <w:t>得</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2分，响应时间长，解决方案</w:t>
            </w:r>
            <w:r>
              <w:rPr>
                <w:rFonts w:hint="eastAsia" w:ascii="宋体" w:hAnsi="宋体" w:eastAsia="宋体" w:cs="宋体"/>
                <w:color w:val="auto"/>
                <w:sz w:val="24"/>
                <w:highlight w:val="none"/>
                <w:lang w:val="en-US" w:eastAsia="zh-CN"/>
              </w:rPr>
              <w:t>简略0.5-</w:t>
            </w:r>
            <w:r>
              <w:rPr>
                <w:rFonts w:hint="eastAsia" w:ascii="宋体" w:hAnsi="宋体" w:eastAsia="宋体" w:cs="宋体"/>
                <w:color w:val="auto"/>
                <w:sz w:val="24"/>
                <w:highlight w:val="none"/>
              </w:rPr>
              <w:t>1分，响应时间长，解决方案差</w:t>
            </w:r>
            <w:r>
              <w:rPr>
                <w:rFonts w:hint="eastAsia" w:ascii="宋体" w:hAnsi="宋体" w:eastAsia="宋体" w:cs="宋体"/>
                <w:color w:val="auto"/>
                <w:sz w:val="24"/>
                <w:highlight w:val="none"/>
                <w:lang w:val="en-US" w:eastAsia="zh-CN"/>
              </w:rPr>
              <w:t>0.1-</w:t>
            </w:r>
            <w:r>
              <w:rPr>
                <w:rFonts w:hint="eastAsia" w:ascii="宋体" w:hAnsi="宋体" w:eastAsia="宋体" w:cs="宋体"/>
                <w:color w:val="auto"/>
                <w:sz w:val="24"/>
                <w:highlight w:val="none"/>
              </w:rPr>
              <w:t>0.</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分，无解决方案得0分</w:t>
            </w:r>
            <w:r>
              <w:rPr>
                <w:rFonts w:hint="eastAsia" w:ascii="宋体" w:hAnsi="宋体" w:cs="宋体"/>
                <w:color w:val="auto"/>
                <w:sz w:val="24"/>
                <w:highlight w:val="none"/>
                <w:lang w:eastAsia="zh-CN"/>
              </w:rPr>
              <w:t>。</w:t>
            </w:r>
          </w:p>
        </w:tc>
        <w:tc>
          <w:tcPr>
            <w:tcW w:w="728" w:type="dxa"/>
            <w:noWrap w:val="0"/>
            <w:vAlign w:val="center"/>
          </w:tcPr>
          <w:p>
            <w:pPr>
              <w:keepNext w:val="0"/>
              <w:keepLines w:val="0"/>
              <w:widowControl/>
              <w:suppressLineNumbers w:val="0"/>
              <w:shd w:val="clear"/>
              <w:jc w:val="center"/>
              <w:textAlignment w:val="center"/>
              <w:rPr>
                <w:rFonts w:hint="default" w:ascii="宋体" w:hAnsi="宋体" w:eastAsia="宋体" w:cs="宋体"/>
                <w:i w:val="0"/>
                <w:color w:val="auto"/>
                <w:kern w:val="0"/>
                <w:sz w:val="24"/>
                <w:szCs w:val="24"/>
                <w:highlight w:val="none"/>
                <w:u w:val="none"/>
                <w:lang w:val="en-US" w:eastAsia="zh-CN" w:bidi="ar"/>
              </w:rPr>
            </w:pPr>
            <w:r>
              <w:rPr>
                <w:rFonts w:hint="eastAsia" w:ascii="宋体" w:hAnsi="宋体" w:cs="宋体"/>
                <w:i w:val="0"/>
                <w:color w:val="auto"/>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noWrap w:val="0"/>
            <w:vAlign w:val="center"/>
          </w:tcPr>
          <w:p>
            <w:pPr>
              <w:keepNext w:val="0"/>
              <w:keepLines w:val="0"/>
              <w:widowControl/>
              <w:suppressLineNumbers w:val="0"/>
              <w:shd w:val="clear"/>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7</w:t>
            </w:r>
          </w:p>
        </w:tc>
        <w:tc>
          <w:tcPr>
            <w:tcW w:w="8100"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highlight w:val="none"/>
              </w:rPr>
              <w:t>售后服务机构备品备件储备情况</w:t>
            </w:r>
            <w:r>
              <w:rPr>
                <w:rFonts w:hint="eastAsia" w:ascii="宋体" w:hAnsi="宋体" w:cs="宋体"/>
                <w:color w:val="auto"/>
                <w:sz w:val="24"/>
                <w:highlight w:val="none"/>
                <w:lang w:eastAsia="zh-CN"/>
              </w:rPr>
              <w:t>：提供备品备件的储备清单和储备基数清单。</w:t>
            </w:r>
            <w:r>
              <w:rPr>
                <w:rFonts w:hint="eastAsia" w:ascii="宋体" w:hAnsi="宋体" w:eastAsia="宋体" w:cs="宋体"/>
                <w:color w:val="auto"/>
                <w:sz w:val="24"/>
                <w:highlight w:val="none"/>
              </w:rPr>
              <w:t>储备充足能充分满足售后服务要求得</w:t>
            </w:r>
            <w:r>
              <w:rPr>
                <w:rFonts w:hint="eastAsia" w:ascii="宋体" w:hAnsi="宋体" w:eastAsia="宋体" w:cs="宋体"/>
                <w:color w:val="auto"/>
                <w:sz w:val="24"/>
                <w:highlight w:val="none"/>
                <w:lang w:val="en-US" w:eastAsia="zh-CN"/>
              </w:rPr>
              <w:t>2</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分，储备一般基本能满足售后服务要求得</w:t>
            </w:r>
            <w:r>
              <w:rPr>
                <w:rFonts w:hint="eastAsia" w:ascii="宋体" w:hAnsi="宋体" w:eastAsia="宋体" w:cs="宋体"/>
                <w:color w:val="auto"/>
                <w:sz w:val="24"/>
                <w:highlight w:val="none"/>
                <w:lang w:val="en-US" w:eastAsia="zh-CN"/>
              </w:rPr>
              <w:t>1.1-</w:t>
            </w:r>
            <w:r>
              <w:rPr>
                <w:rFonts w:hint="eastAsia" w:ascii="宋体" w:hAnsi="宋体" w:eastAsia="宋体" w:cs="宋体"/>
                <w:color w:val="auto"/>
                <w:sz w:val="24"/>
                <w:highlight w:val="none"/>
              </w:rPr>
              <w:t>2分，储备情况差不能满足售后服务要求</w:t>
            </w:r>
            <w:r>
              <w:rPr>
                <w:rFonts w:hint="eastAsia" w:ascii="宋体" w:hAnsi="宋体" w:eastAsia="宋体" w:cs="宋体"/>
                <w:color w:val="auto"/>
                <w:sz w:val="24"/>
                <w:highlight w:val="none"/>
                <w:lang w:val="en-US" w:eastAsia="zh-CN"/>
              </w:rPr>
              <w:t>0.1-</w:t>
            </w:r>
            <w:r>
              <w:rPr>
                <w:rFonts w:hint="eastAsia" w:ascii="宋体" w:hAnsi="宋体" w:eastAsia="宋体" w:cs="宋体"/>
                <w:color w:val="auto"/>
                <w:sz w:val="24"/>
                <w:highlight w:val="none"/>
              </w:rPr>
              <w:t>1分，无备品备件储备得0分。</w:t>
            </w:r>
          </w:p>
        </w:tc>
        <w:tc>
          <w:tcPr>
            <w:tcW w:w="728" w:type="dxa"/>
            <w:noWrap w:val="0"/>
            <w:vAlign w:val="center"/>
          </w:tcPr>
          <w:p>
            <w:pPr>
              <w:keepNext w:val="0"/>
              <w:keepLines w:val="0"/>
              <w:widowControl/>
              <w:suppressLineNumbers w:val="0"/>
              <w:shd w:val="clear"/>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noWrap w:val="0"/>
            <w:vAlign w:val="center"/>
          </w:tcPr>
          <w:p>
            <w:pPr>
              <w:keepNext w:val="0"/>
              <w:keepLines w:val="0"/>
              <w:widowControl/>
              <w:suppressLineNumbers w:val="0"/>
              <w:shd w:val="clear"/>
              <w:jc w:val="center"/>
              <w:textAlignment w:val="top"/>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8</w:t>
            </w:r>
          </w:p>
        </w:tc>
        <w:tc>
          <w:tcPr>
            <w:tcW w:w="8100" w:type="dxa"/>
            <w:noWrap w:val="0"/>
            <w:vAlign w:val="center"/>
          </w:tcPr>
          <w:p>
            <w:pPr>
              <w:keepNext w:val="0"/>
              <w:keepLines w:val="0"/>
              <w:widowControl/>
              <w:suppressLineNumbers w:val="0"/>
              <w:shd w:val="clear"/>
              <w:jc w:val="left"/>
              <w:textAlignment w:val="center"/>
              <w:rPr>
                <w:rFonts w:hint="eastAsia" w:ascii="宋体" w:hAnsi="宋体" w:eastAsia="宋体" w:cs="宋体"/>
                <w:color w:val="auto"/>
                <w:sz w:val="24"/>
                <w:szCs w:val="24"/>
                <w:highlight w:val="none"/>
                <w:lang w:eastAsia="zh-CN"/>
              </w:rPr>
            </w:pPr>
            <w:r>
              <w:rPr>
                <w:rStyle w:val="84"/>
                <w:color w:val="auto"/>
                <w:highlight w:val="none"/>
                <w:lang w:val="en-US" w:eastAsia="zh-CN" w:bidi="ar"/>
              </w:rPr>
              <w:t>业绩：评委以投标单位20</w:t>
            </w:r>
            <w:r>
              <w:rPr>
                <w:rStyle w:val="84"/>
                <w:rFonts w:hint="eastAsia"/>
                <w:color w:val="auto"/>
                <w:highlight w:val="none"/>
                <w:lang w:val="en-US" w:eastAsia="zh-CN" w:bidi="ar"/>
              </w:rPr>
              <w:t>20</w:t>
            </w:r>
            <w:r>
              <w:rPr>
                <w:rStyle w:val="84"/>
                <w:color w:val="auto"/>
                <w:highlight w:val="none"/>
                <w:lang w:val="en-US" w:eastAsia="zh-CN" w:bidi="ar"/>
              </w:rPr>
              <w:t>年1月1日起签订的同类项目业绩评分，每提供一个合同复印件得1分，最高3分。</w:t>
            </w:r>
          </w:p>
        </w:tc>
        <w:tc>
          <w:tcPr>
            <w:tcW w:w="728" w:type="dxa"/>
            <w:noWrap w:val="0"/>
            <w:vAlign w:val="center"/>
          </w:tcPr>
          <w:p>
            <w:pPr>
              <w:keepNext w:val="0"/>
              <w:keepLines w:val="0"/>
              <w:widowControl/>
              <w:suppressLineNumbers w:val="0"/>
              <w:shd w:val="clear"/>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noWrap w:val="0"/>
            <w:vAlign w:val="center"/>
          </w:tcPr>
          <w:p>
            <w:pPr>
              <w:keepNext w:val="0"/>
              <w:keepLines w:val="0"/>
              <w:widowControl/>
              <w:suppressLineNumbers w:val="0"/>
              <w:shd w:val="clear"/>
              <w:jc w:val="center"/>
              <w:textAlignment w:val="center"/>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9</w:t>
            </w:r>
          </w:p>
        </w:tc>
        <w:tc>
          <w:tcPr>
            <w:tcW w:w="8100" w:type="dxa"/>
            <w:noWrap w:val="0"/>
            <w:vAlign w:val="center"/>
          </w:tcPr>
          <w:p>
            <w:pPr>
              <w:keepNext w:val="0"/>
              <w:keepLines w:val="0"/>
              <w:widowControl/>
              <w:suppressLineNumbers w:val="0"/>
              <w:shd w:val="clear"/>
              <w:jc w:val="left"/>
              <w:textAlignment w:val="center"/>
              <w:rPr>
                <w:rFonts w:hint="eastAsia" w:ascii="宋体" w:hAnsi="宋体" w:eastAsia="宋体" w:cs="宋体"/>
                <w:color w:val="auto"/>
                <w:sz w:val="24"/>
                <w:szCs w:val="24"/>
                <w:highlight w:val="none"/>
              </w:rPr>
            </w:pPr>
            <w:r>
              <w:rPr>
                <w:rStyle w:val="84"/>
                <w:color w:val="auto"/>
                <w:highlight w:val="none"/>
                <w:lang w:val="en-US" w:eastAsia="zh-CN" w:bidi="ar"/>
              </w:rPr>
              <w:t>环境标志产品、节能产品评审：投标产品主体列入节能产品目录清单得1分、投标产品主体列入环境标志产品目录清单得1分。</w:t>
            </w:r>
          </w:p>
        </w:tc>
        <w:tc>
          <w:tcPr>
            <w:tcW w:w="728" w:type="dxa"/>
            <w:noWrap w:val="0"/>
            <w:vAlign w:val="center"/>
          </w:tcPr>
          <w:p>
            <w:pPr>
              <w:keepNext w:val="0"/>
              <w:keepLines w:val="0"/>
              <w:widowControl/>
              <w:suppressLineNumbers w:val="0"/>
              <w:shd w:val="clear"/>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5" w:type="dxa"/>
            <w:noWrap w:val="0"/>
            <w:vAlign w:val="center"/>
          </w:tcPr>
          <w:p>
            <w:pPr>
              <w:keepNext w:val="0"/>
              <w:keepLines w:val="0"/>
              <w:widowControl/>
              <w:suppressLineNumbers w:val="0"/>
              <w:shd w:val="clear"/>
              <w:jc w:val="center"/>
              <w:textAlignment w:val="top"/>
              <w:rPr>
                <w:rFonts w:hint="eastAsia" w:ascii="宋体" w:hAnsi="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10</w:t>
            </w:r>
          </w:p>
        </w:tc>
        <w:tc>
          <w:tcPr>
            <w:tcW w:w="8100" w:type="dxa"/>
            <w:noWrap w:val="0"/>
            <w:vAlign w:val="center"/>
          </w:tcPr>
          <w:p>
            <w:pPr>
              <w:keepNext w:val="0"/>
              <w:keepLines w:val="0"/>
              <w:widowControl/>
              <w:suppressLineNumbers w:val="0"/>
              <w:shd w:val="clear"/>
              <w:jc w:val="left"/>
              <w:textAlignment w:val="center"/>
              <w:rPr>
                <w:rFonts w:hint="eastAsia" w:ascii="宋体" w:hAnsi="宋体" w:eastAsia="宋体" w:cs="宋体"/>
                <w:color w:val="auto"/>
                <w:sz w:val="24"/>
                <w:szCs w:val="24"/>
                <w:highlight w:val="none"/>
              </w:rPr>
            </w:pPr>
            <w:r>
              <w:rPr>
                <w:rStyle w:val="84"/>
                <w:color w:val="auto"/>
                <w:highlight w:val="none"/>
                <w:lang w:val="en-US" w:eastAsia="zh-CN" w:bidi="ar"/>
              </w:rPr>
              <w:t>在满足招标文件要求的保修期基础上，延长质保1年加1分，最多得3分。</w:t>
            </w:r>
          </w:p>
        </w:tc>
        <w:tc>
          <w:tcPr>
            <w:tcW w:w="728" w:type="dxa"/>
            <w:noWrap w:val="0"/>
            <w:vAlign w:val="center"/>
          </w:tcPr>
          <w:p>
            <w:pPr>
              <w:keepNext w:val="0"/>
              <w:keepLines w:val="0"/>
              <w:widowControl/>
              <w:suppressLineNumbers w:val="0"/>
              <w:shd w:val="clear"/>
              <w:jc w:val="center"/>
              <w:textAlignment w:val="center"/>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4"/>
                <w:szCs w:val="24"/>
                <w:highlight w:val="none"/>
                <w:u w:val="none"/>
                <w:lang w:val="en-US" w:eastAsia="zh-CN" w:bidi="ar"/>
              </w:rPr>
              <w:t>3</w:t>
            </w:r>
          </w:p>
        </w:tc>
      </w:tr>
    </w:tbl>
    <w:p>
      <w:pPr>
        <w:spacing w:line="360" w:lineRule="auto"/>
        <w:ind w:firstLine="723" w:firstLineChars="200"/>
        <w:jc w:val="center"/>
        <w:rPr>
          <w:rFonts w:hint="eastAsia" w:ascii="宋体" w:hAnsi="宋体" w:eastAsia="宋体" w:cs="宋体"/>
          <w:b/>
          <w:bCs/>
          <w:color w:val="auto"/>
          <w:sz w:val="36"/>
          <w:szCs w:val="44"/>
          <w:highlight w:val="none"/>
        </w:rPr>
      </w:pPr>
    </w:p>
    <w:p>
      <w:pPr>
        <w:rPr>
          <w:rFonts w:hint="eastAsia" w:ascii="宋体" w:hAnsi="宋体" w:eastAsia="宋体" w:cs="宋体"/>
          <w:b/>
          <w:bCs/>
          <w:color w:val="auto"/>
          <w:sz w:val="36"/>
          <w:szCs w:val="44"/>
          <w:highlight w:val="none"/>
        </w:rPr>
      </w:pPr>
    </w:p>
    <w:p>
      <w:pPr>
        <w:pStyle w:val="24"/>
        <w:rPr>
          <w:rFonts w:hint="eastAsia" w:ascii="宋体" w:hAnsi="宋体" w:eastAsia="宋体" w:cs="宋体"/>
          <w:bCs/>
          <w:color w:val="auto"/>
          <w:sz w:val="36"/>
          <w:szCs w:val="44"/>
          <w:highlight w:val="none"/>
        </w:rPr>
      </w:pPr>
    </w:p>
    <w:p>
      <w:pPr>
        <w:rPr>
          <w:rFonts w:hint="eastAsia" w:ascii="宋体" w:hAnsi="宋体" w:eastAsia="宋体" w:cs="宋体"/>
          <w:b/>
          <w:bCs/>
          <w:color w:val="auto"/>
          <w:sz w:val="36"/>
          <w:szCs w:val="44"/>
          <w:highlight w:val="none"/>
        </w:rPr>
      </w:pPr>
    </w:p>
    <w:p>
      <w:pPr>
        <w:pStyle w:val="24"/>
        <w:rPr>
          <w:rFonts w:hint="eastAsia" w:ascii="宋体" w:hAnsi="宋体" w:eastAsia="宋体" w:cs="宋体"/>
          <w:bCs/>
          <w:color w:val="auto"/>
          <w:sz w:val="36"/>
          <w:szCs w:val="44"/>
          <w:highlight w:val="none"/>
        </w:rPr>
      </w:pPr>
    </w:p>
    <w:p>
      <w:pP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第四章 公开招标需求</w:t>
      </w:r>
    </w:p>
    <w:p>
      <w:pPr>
        <w:spacing w:line="240" w:lineRule="atLeas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一、招标货物一览表：</w:t>
      </w:r>
    </w:p>
    <w:tbl>
      <w:tblPr>
        <w:tblStyle w:val="28"/>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680"/>
        <w:gridCol w:w="1038"/>
        <w:gridCol w:w="1395"/>
        <w:gridCol w:w="253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72" w:type="dxa"/>
            <w:vAlign w:val="center"/>
          </w:tcPr>
          <w:p>
            <w:pPr>
              <w:jc w:val="center"/>
              <w:rPr>
                <w:rFonts w:hint="eastAsia" w:ascii="宋体" w:hAnsi="宋体" w:eastAsia="宋体" w:cs="宋体"/>
                <w:b w:val="0"/>
                <w:bCs/>
                <w:color w:val="auto"/>
                <w:sz w:val="24"/>
                <w:highlight w:val="none"/>
                <w:lang w:eastAsia="zh-CN"/>
              </w:rPr>
            </w:pPr>
            <w:r>
              <w:rPr>
                <w:rFonts w:hint="eastAsia" w:ascii="宋体" w:hAnsi="宋体" w:cs="宋体"/>
                <w:b w:val="0"/>
                <w:bCs/>
                <w:color w:val="auto"/>
                <w:sz w:val="24"/>
                <w:highlight w:val="none"/>
                <w:lang w:val="en-US" w:eastAsia="zh-CN"/>
              </w:rPr>
              <w:t>序号</w:t>
            </w:r>
          </w:p>
        </w:tc>
        <w:tc>
          <w:tcPr>
            <w:tcW w:w="1680"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项目名称</w:t>
            </w:r>
          </w:p>
        </w:tc>
        <w:tc>
          <w:tcPr>
            <w:tcW w:w="1038"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数量</w:t>
            </w:r>
          </w:p>
        </w:tc>
        <w:tc>
          <w:tcPr>
            <w:tcW w:w="1395"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预算</w:t>
            </w:r>
          </w:p>
        </w:tc>
        <w:tc>
          <w:tcPr>
            <w:tcW w:w="2538"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交货期</w:t>
            </w:r>
          </w:p>
        </w:tc>
        <w:tc>
          <w:tcPr>
            <w:tcW w:w="1415"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972"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w:t>
            </w:r>
          </w:p>
        </w:tc>
        <w:tc>
          <w:tcPr>
            <w:tcW w:w="1680" w:type="dxa"/>
            <w:vAlign w:val="center"/>
          </w:tcPr>
          <w:p>
            <w:pPr>
              <w:jc w:val="center"/>
              <w:rPr>
                <w:rFonts w:hint="eastAsia" w:ascii="宋体" w:hAnsi="宋体" w:eastAsia="宋体" w:cs="宋体"/>
                <w:b w:val="0"/>
                <w:bCs/>
                <w:color w:val="auto"/>
                <w:sz w:val="24"/>
                <w:highlight w:val="none"/>
                <w:lang w:eastAsia="zh-CN"/>
              </w:rPr>
            </w:pPr>
            <w:r>
              <w:rPr>
                <w:rFonts w:hint="eastAsia" w:ascii="宋体" w:hAnsi="宋体" w:cs="宋体"/>
                <w:b w:val="0"/>
                <w:bCs w:val="0"/>
                <w:color w:val="auto"/>
                <w:sz w:val="24"/>
                <w:szCs w:val="32"/>
                <w:highlight w:val="none"/>
                <w:lang w:eastAsia="zh-CN"/>
              </w:rPr>
              <w:t>DSA杂交手术室设备采购项目</w:t>
            </w:r>
          </w:p>
        </w:tc>
        <w:tc>
          <w:tcPr>
            <w:tcW w:w="1038" w:type="dxa"/>
            <w:vAlign w:val="center"/>
          </w:tcPr>
          <w:p>
            <w:pPr>
              <w:jc w:val="center"/>
              <w:rPr>
                <w:rFonts w:hint="eastAsia" w:ascii="宋体" w:hAnsi="宋体" w:eastAsia="宋体" w:cs="宋体"/>
                <w:b w:val="0"/>
                <w:bCs/>
                <w:color w:val="auto"/>
                <w:sz w:val="24"/>
                <w:highlight w:val="none"/>
                <w:lang w:eastAsia="zh-CN"/>
              </w:rPr>
            </w:pPr>
            <w:r>
              <w:rPr>
                <w:rFonts w:hint="eastAsia" w:ascii="宋体" w:hAnsi="宋体" w:cs="宋体"/>
                <w:b w:val="0"/>
                <w:bCs/>
                <w:color w:val="auto"/>
                <w:sz w:val="24"/>
                <w:highlight w:val="none"/>
                <w:lang w:val="en-US" w:eastAsia="zh-CN"/>
              </w:rPr>
              <w:t>1套</w:t>
            </w:r>
          </w:p>
        </w:tc>
        <w:tc>
          <w:tcPr>
            <w:tcW w:w="1395" w:type="dxa"/>
            <w:vAlign w:val="center"/>
          </w:tcPr>
          <w:p>
            <w:pPr>
              <w:jc w:val="center"/>
              <w:rPr>
                <w:rFonts w:hint="eastAsia" w:ascii="宋体" w:hAnsi="宋体" w:eastAsia="宋体" w:cs="宋体"/>
                <w:b w:val="0"/>
                <w:bCs/>
                <w:color w:val="auto"/>
                <w:sz w:val="24"/>
                <w:highlight w:val="none"/>
                <w:lang w:eastAsia="zh-CN"/>
              </w:rPr>
            </w:pPr>
            <w:r>
              <w:rPr>
                <w:rFonts w:hint="eastAsia" w:ascii="宋体" w:hAnsi="宋体" w:cs="宋体"/>
                <w:b w:val="0"/>
                <w:bCs/>
                <w:color w:val="auto"/>
                <w:sz w:val="24"/>
                <w:highlight w:val="none"/>
                <w:lang w:val="en-US" w:eastAsia="zh-CN"/>
              </w:rPr>
              <w:t>1300万元</w:t>
            </w:r>
          </w:p>
        </w:tc>
        <w:tc>
          <w:tcPr>
            <w:tcW w:w="2538"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合同签订后</w:t>
            </w:r>
            <w:r>
              <w:rPr>
                <w:rFonts w:hint="eastAsia" w:ascii="宋体" w:hAnsi="宋体" w:cs="宋体"/>
                <w:b w:val="0"/>
                <w:bCs/>
                <w:color w:val="auto"/>
                <w:sz w:val="24"/>
                <w:highlight w:val="none"/>
                <w:lang w:val="en-US" w:eastAsia="zh-CN"/>
              </w:rPr>
              <w:t>两</w:t>
            </w:r>
            <w:r>
              <w:rPr>
                <w:rFonts w:hint="eastAsia" w:ascii="宋体" w:hAnsi="宋体" w:eastAsia="宋体" w:cs="宋体"/>
                <w:b w:val="0"/>
                <w:bCs/>
                <w:color w:val="auto"/>
                <w:sz w:val="24"/>
                <w:highlight w:val="none"/>
              </w:rPr>
              <w:t>个月内，按院方需求送货到医院指定地点。</w:t>
            </w:r>
          </w:p>
        </w:tc>
        <w:tc>
          <w:tcPr>
            <w:tcW w:w="1415" w:type="dxa"/>
            <w:vAlign w:val="center"/>
          </w:tcPr>
          <w:p>
            <w:pPr>
              <w:jc w:val="center"/>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具体详见招标需求</w:t>
            </w:r>
          </w:p>
        </w:tc>
      </w:tr>
    </w:tbl>
    <w:p>
      <w:pPr>
        <w:spacing w:line="360" w:lineRule="auto"/>
        <w:rPr>
          <w:rFonts w:hint="eastAsia" w:ascii="宋体" w:hAnsi="宋体" w:eastAsia="宋体" w:cs="宋体"/>
          <w:color w:val="auto"/>
          <w:highlight w:val="none"/>
          <w:lang w:eastAsia="zh-CN"/>
        </w:rPr>
      </w:pPr>
      <w:r>
        <w:rPr>
          <w:rFonts w:hint="eastAsia" w:ascii="宋体" w:hAnsi="宋体" w:eastAsia="宋体" w:cs="宋体"/>
          <w:bCs/>
          <w:color w:val="auto"/>
          <w:sz w:val="24"/>
          <w:highlight w:val="none"/>
        </w:rPr>
        <w:t>本次采购产品</w:t>
      </w:r>
      <w:r>
        <w:rPr>
          <w:rFonts w:hint="eastAsia" w:ascii="宋体" w:hAnsi="宋体" w:cs="宋体"/>
          <w:bCs/>
          <w:color w:val="auto"/>
          <w:sz w:val="24"/>
          <w:highlight w:val="none"/>
          <w:lang w:val="en-US" w:eastAsia="zh-CN"/>
        </w:rPr>
        <w:t>允许</w:t>
      </w:r>
      <w:r>
        <w:rPr>
          <w:rFonts w:hint="eastAsia" w:ascii="宋体" w:hAnsi="宋体" w:eastAsia="宋体" w:cs="宋体"/>
          <w:bCs/>
          <w:color w:val="auto"/>
          <w:sz w:val="24"/>
          <w:highlight w:val="none"/>
        </w:rPr>
        <w:t>进口产品</w:t>
      </w:r>
      <w:r>
        <w:rPr>
          <w:rFonts w:hint="eastAsia" w:ascii="宋体" w:hAnsi="宋体" w:cs="宋体"/>
          <w:bCs/>
          <w:color w:val="auto"/>
          <w:sz w:val="24"/>
          <w:highlight w:val="none"/>
          <w:lang w:eastAsia="zh-CN"/>
        </w:rPr>
        <w:t>。</w:t>
      </w:r>
    </w:p>
    <w:p>
      <w:pPr>
        <w:numPr>
          <w:ilvl w:val="0"/>
          <w:numId w:val="2"/>
        </w:numPr>
        <w:spacing w:line="240" w:lineRule="atLeast"/>
        <w:rPr>
          <w:rFonts w:hint="default" w:eastAsia="宋体"/>
          <w:color w:val="auto"/>
          <w:highlight w:val="none"/>
          <w:lang w:val="en-US" w:eastAsia="zh-CN"/>
        </w:rPr>
      </w:pPr>
      <w:r>
        <w:rPr>
          <w:rFonts w:hint="eastAsia" w:ascii="宋体" w:hAnsi="宋体" w:eastAsia="宋体" w:cs="宋体"/>
          <w:b/>
          <w:color w:val="auto"/>
          <w:sz w:val="24"/>
          <w:highlight w:val="none"/>
        </w:rPr>
        <w:t>技术条款</w:t>
      </w:r>
    </w:p>
    <w:tbl>
      <w:tblPr>
        <w:tblStyle w:val="28"/>
        <w:tblW w:w="0" w:type="auto"/>
        <w:tblInd w:w="160" w:type="dxa"/>
        <w:shd w:val="clear" w:color="auto" w:fill="auto"/>
        <w:tblLayout w:type="autofit"/>
        <w:tblCellMar>
          <w:top w:w="0" w:type="dxa"/>
          <w:left w:w="10" w:type="dxa"/>
          <w:bottom w:w="0" w:type="dxa"/>
          <w:right w:w="10" w:type="dxa"/>
        </w:tblCellMar>
      </w:tblPr>
      <w:tblGrid>
        <w:gridCol w:w="1056"/>
        <w:gridCol w:w="7300"/>
      </w:tblGrid>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color w:val="auto"/>
                <w:sz w:val="21"/>
                <w:szCs w:val="21"/>
                <w:highlight w:val="none"/>
              </w:rPr>
            </w:pPr>
            <w:r>
              <w:rPr>
                <w:rFonts w:hint="eastAsia" w:ascii="新宋体" w:hAnsi="新宋体" w:eastAsia="新宋体"/>
                <w:b/>
                <w:bCs/>
                <w:color w:val="auto"/>
                <w:sz w:val="21"/>
                <w:szCs w:val="21"/>
                <w:highlight w:val="none"/>
              </w:rPr>
              <w:t>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机架系统：满足心、脑、周围血管的造影和介入治疗需要</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s="宋体"/>
                <w:color w:val="auto"/>
                <w:sz w:val="21"/>
                <w:szCs w:val="21"/>
                <w:highlight w:val="none"/>
                <w:lang w:eastAsia="zh-CN"/>
              </w:rPr>
              <w:t>★</w:t>
            </w:r>
            <w:r>
              <w:rPr>
                <w:rFonts w:hint="eastAsia" w:ascii="新宋体" w:hAnsi="新宋体" w:eastAsia="新宋体"/>
                <w:color w:val="auto"/>
                <w:sz w:val="21"/>
                <w:szCs w:val="21"/>
                <w:highlight w:val="none"/>
              </w:rPr>
              <w:t>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 xml:space="preserve">悬吊式机架，能覆盖全身之功能 </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悬吊机架最低层高安装要求≤270cm</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机架可进行等中心旋转</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机架运动包括电动和手动两种方式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C型臂旋转速度（非旋转采集）LAO/RAO：≥25°/秒</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C型臂环内滑动速度（非旋转采集）CRAN/CAU：≥25°/秒</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CRA：≥90°</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CAU：≥90°</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RAO：≥185°</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1.10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LAO：≥120°</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bCs/>
                <w:color w:val="auto"/>
                <w:sz w:val="21"/>
                <w:szCs w:val="21"/>
                <w:highlight w:val="none"/>
              </w:rPr>
            </w:pPr>
            <w:r>
              <w:rPr>
                <w:rFonts w:hint="eastAsia" w:ascii="新宋体" w:hAnsi="新宋体" w:eastAsia="新宋体"/>
                <w:color w:val="auto"/>
                <w:sz w:val="21"/>
                <w:szCs w:val="21"/>
                <w:highlight w:val="none"/>
              </w:rPr>
              <w:t>1.11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bCs/>
                <w:color w:val="auto"/>
                <w:sz w:val="21"/>
                <w:szCs w:val="21"/>
                <w:highlight w:val="none"/>
              </w:rPr>
            </w:pPr>
            <w:r>
              <w:rPr>
                <w:rFonts w:hint="eastAsia" w:ascii="新宋体" w:hAnsi="新宋体" w:eastAsia="新宋体"/>
                <w:color w:val="auto"/>
                <w:sz w:val="21"/>
                <w:szCs w:val="21"/>
                <w:highlight w:val="none"/>
              </w:rPr>
              <w:t>C臂旋转范围≥305°</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ind w:firstLine="420" w:firstLineChars="200"/>
              <w:jc w:val="right"/>
              <w:rPr>
                <w:rFonts w:ascii="新宋体" w:hAnsi="新宋体" w:eastAsia="新宋体" w:cs="Times New Roman"/>
                <w:bCs/>
                <w:color w:val="auto"/>
                <w:sz w:val="21"/>
                <w:szCs w:val="21"/>
                <w:highlight w:val="none"/>
              </w:rPr>
            </w:pPr>
            <w:r>
              <w:rPr>
                <w:rFonts w:hint="eastAsia" w:ascii="新宋体" w:hAnsi="新宋体" w:eastAsia="新宋体"/>
                <w:color w:val="auto"/>
                <w:sz w:val="21"/>
                <w:szCs w:val="21"/>
                <w:highlight w:val="none"/>
              </w:rPr>
              <w:t>1.12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bCs/>
                <w:color w:val="auto"/>
                <w:sz w:val="21"/>
                <w:szCs w:val="21"/>
                <w:highlight w:val="none"/>
              </w:rPr>
            </w:pPr>
            <w:r>
              <w:rPr>
                <w:rFonts w:hint="eastAsia" w:ascii="新宋体" w:hAnsi="新宋体" w:eastAsia="新宋体"/>
                <w:color w:val="auto"/>
                <w:sz w:val="21"/>
                <w:szCs w:val="21"/>
                <w:highlight w:val="none"/>
              </w:rPr>
              <w:t>床旁可以单手柄控制、操作C型臂机架的运动</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1.13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C臂的旋转角度：C臂检查摆位无死角，C臂旋转至任何角度均可投照</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1.14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数码显示所有C型臂旋转角度信息</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1.15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机架（L臂）可移出手术野，L臂移动范围：≥260 cm</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1.16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L臂电动速度：≥15cm/s</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1.17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C型臂弧深：≥90cm （不包括L臂补偿）</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1.18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机架可分别在头位、左侧位、右侧位进行透视和采集</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1.19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等中心到地面距离：≤106.5cm</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宋体" w:hAnsi="宋体" w:eastAsia="宋体"/>
                <w:color w:val="auto"/>
                <w:sz w:val="21"/>
                <w:szCs w:val="21"/>
                <w:highlight w:val="none"/>
                <w:lang w:eastAsia="zh-CN"/>
              </w:rPr>
              <w:t>★</w:t>
            </w:r>
            <w:r>
              <w:rPr>
                <w:rFonts w:hint="eastAsia" w:ascii="新宋体" w:hAnsi="新宋体" w:eastAsia="新宋体"/>
                <w:color w:val="auto"/>
                <w:sz w:val="21"/>
                <w:szCs w:val="21"/>
                <w:highlight w:val="none"/>
              </w:rPr>
              <w:t>1.20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等中心到焦点距离：≥8</w:t>
            </w:r>
            <w:r>
              <w:rPr>
                <w:rFonts w:ascii="新宋体" w:hAnsi="新宋体" w:eastAsia="新宋体"/>
                <w:color w:val="auto"/>
                <w:sz w:val="21"/>
                <w:szCs w:val="21"/>
                <w:highlight w:val="none"/>
              </w:rPr>
              <w:t>0</w:t>
            </w:r>
            <w:r>
              <w:rPr>
                <w:rFonts w:hint="eastAsia" w:ascii="新宋体" w:hAnsi="新宋体" w:eastAsia="新宋体"/>
                <w:color w:val="auto"/>
                <w:sz w:val="21"/>
                <w:szCs w:val="21"/>
                <w:highlight w:val="none"/>
              </w:rPr>
              <w:t>cm</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1.21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SID范围：90cm-119cm</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检查室内控制系统</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床旁液晶触摸屏控制系统</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提供床旁一套液晶触摸控制屏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控制屏可置于导管床3边，或者控制室内，便于医生操作</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可进行图像采集条件控制</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床旁液晶触摸控制屏长≥300mm宽≥200mm</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床旁液晶触摸屏控制系统具备中文操作界面</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可转换为指针功能，用于控制室和检查室交流</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床和机架锁定控制</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X线的使能控制</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2.1.9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透视蜂鸣器复位</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2.1.10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秒表</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透视存储</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清洁模式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2.1.13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可完成手术程序操作，包括采集协议</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2.1.14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可自行定义和存储手术协议</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2.1.15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包括常用协议，默认协议，和特殊协议方便用户选择</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2.1.16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可导入检查过程清单，帮助医生有序高效的完成检查</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2.1.17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可导入产品说明书以便医生随时查阅</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2.1.18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具备智慧手术管理系统</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2.1.19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可显示手术间人员摆位以及器械摆位情况</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2.1.20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可在触摸屏控制遮光器和滤片</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2.1.21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可利用床旁触屏完成三维图像调取和浏览</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2.1.22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可利用床旁触屏完成三维图像窗宽窗位调节</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2.1.23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可利用床旁触屏完成三维图像测量功能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2.2、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遥控器功能</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2.2.1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序列选择和图像选择</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2.2.2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检查循环播放和序列循环播放</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2.2.3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浏览速度</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2.2.4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序列纵览和检查纵览</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2.2.5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激光灯指示</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2.2.6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检查和序列的标记，用于存储</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2.2.7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选择参考图像并调用</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2.2.8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参考屏图像浏览和采集序列处理</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2.2.9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减影和蒙片选择</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控制室工作平台</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3.1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透视或曝光时可进行图像处理和存档浏览等工作，可独立运行</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3.2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术中可执行像素位移和测量分析功能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3.3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可同时浏览两个序列</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3.4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可同时处理不同病人的信息</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lang w:eastAsia="zh-Hans"/>
              </w:rPr>
            </w:pPr>
            <w:r>
              <w:rPr>
                <w:rFonts w:hint="eastAsia" w:ascii="新宋体" w:hAnsi="新宋体" w:eastAsia="新宋体"/>
                <w:color w:val="auto"/>
                <w:sz w:val="21"/>
                <w:szCs w:val="21"/>
                <w:highlight w:val="none"/>
              </w:rPr>
              <w:t>3.5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可在术中准备下一个病人的信息输入</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lang w:eastAsia="zh-Hans"/>
              </w:rPr>
            </w:pPr>
            <w:r>
              <w:rPr>
                <w:rFonts w:hint="eastAsia" w:ascii="新宋体" w:hAnsi="新宋体" w:eastAsia="新宋体"/>
                <w:color w:val="auto"/>
                <w:sz w:val="21"/>
                <w:szCs w:val="21"/>
                <w:highlight w:val="none"/>
              </w:rPr>
              <w:t>3.6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可在术中可进行上一个病人的报告编写</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lang w:eastAsia="zh-Hans"/>
              </w:rPr>
            </w:pPr>
            <w:r>
              <w:rPr>
                <w:rFonts w:hint="eastAsia" w:ascii="新宋体" w:hAnsi="新宋体" w:eastAsia="新宋体"/>
                <w:color w:val="auto"/>
                <w:sz w:val="21"/>
                <w:szCs w:val="21"/>
                <w:highlight w:val="none"/>
              </w:rPr>
              <w:t>3.7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进行QCA后，可立即与检查室同步屏幕</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lang w:eastAsia="zh-Hans"/>
              </w:rPr>
            </w:pPr>
            <w:r>
              <w:rPr>
                <w:rFonts w:hint="eastAsia" w:ascii="新宋体" w:hAnsi="新宋体" w:eastAsia="新宋体"/>
                <w:color w:val="auto"/>
                <w:sz w:val="21"/>
                <w:szCs w:val="21"/>
                <w:highlight w:val="none"/>
              </w:rPr>
              <w:t>3.8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val="0"/>
              <w:autoSpaceDE w:val="0"/>
              <w:autoSpaceDN w:val="0"/>
              <w:adjustRightInd w:val="0"/>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控制室图像编辑不被手术室透视图像打断</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3.9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手术室曝光透视不影响控制室图像编辑页面</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3.10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具备中文操作界面</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3.11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采用win10系统架构</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高压发生器</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4.1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高频逆变发生器，功率：≥100KW</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4.2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最大管电流：≥1000mA</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4.3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逆变频率：≥100kHZ</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4.4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最小管电压：≤40KV</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4.5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最大管电压：≥124KV</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4.6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最短曝光时间：≤1ms</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4.7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自动SID跟踪</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4.8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全自动曝光控制，无需测试曝光</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X线球管</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b/>
                <w:color w:val="auto"/>
                <w:sz w:val="21"/>
                <w:szCs w:val="21"/>
                <w:highlight w:val="none"/>
              </w:rPr>
            </w:pPr>
            <w:r>
              <w:rPr>
                <w:rFonts w:hint="eastAsia" w:ascii="新宋体" w:hAnsi="新宋体" w:eastAsia="新宋体"/>
                <w:color w:val="auto"/>
                <w:sz w:val="21"/>
                <w:szCs w:val="21"/>
                <w:highlight w:val="none"/>
              </w:rPr>
              <w:t>▲5.1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b/>
                <w:color w:val="auto"/>
                <w:sz w:val="21"/>
                <w:szCs w:val="21"/>
                <w:highlight w:val="none"/>
              </w:rPr>
            </w:pPr>
            <w:r>
              <w:rPr>
                <w:rFonts w:hint="eastAsia" w:ascii="新宋体" w:hAnsi="新宋体" w:eastAsia="新宋体"/>
                <w:color w:val="auto"/>
                <w:sz w:val="21"/>
                <w:szCs w:val="21"/>
                <w:highlight w:val="none"/>
              </w:rPr>
              <w:t>球管阳极热容量：≥3.</w:t>
            </w:r>
            <w:r>
              <w:rPr>
                <w:rFonts w:ascii="新宋体" w:hAnsi="新宋体" w:eastAsia="新宋体"/>
                <w:color w:val="auto"/>
                <w:sz w:val="21"/>
                <w:szCs w:val="21"/>
                <w:highlight w:val="none"/>
              </w:rPr>
              <w:t>5</w:t>
            </w:r>
            <w:r>
              <w:rPr>
                <w:rFonts w:hint="eastAsia" w:ascii="新宋体" w:hAnsi="新宋体" w:eastAsia="新宋体"/>
                <w:color w:val="auto"/>
                <w:sz w:val="21"/>
                <w:szCs w:val="21"/>
                <w:highlight w:val="none"/>
              </w:rPr>
              <w:t>MHU</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5.2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球管管套热容量：≥9.4MHU</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宋体" w:hAnsi="宋体" w:eastAsia="宋体"/>
                <w:color w:val="auto"/>
                <w:sz w:val="21"/>
                <w:szCs w:val="21"/>
                <w:highlight w:val="none"/>
                <w:lang w:eastAsia="zh-CN"/>
              </w:rPr>
              <w:t>★</w:t>
            </w:r>
            <w:r>
              <w:rPr>
                <w:rFonts w:hint="eastAsia" w:ascii="新宋体" w:hAnsi="新宋体" w:eastAsia="新宋体"/>
                <w:color w:val="auto"/>
                <w:sz w:val="21"/>
                <w:szCs w:val="21"/>
                <w:highlight w:val="none"/>
              </w:rPr>
              <w:t>5.3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最大阳极冷却速率：≥1750kHU/min</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5.4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球管阳极散热率：≥</w:t>
            </w:r>
            <w:r>
              <w:rPr>
                <w:rFonts w:ascii="新宋体" w:hAnsi="新宋体" w:eastAsia="新宋体"/>
                <w:color w:val="auto"/>
                <w:sz w:val="21"/>
                <w:szCs w:val="21"/>
                <w:highlight w:val="none"/>
              </w:rPr>
              <w:t>19</w:t>
            </w:r>
            <w:r>
              <w:rPr>
                <w:rFonts w:hint="eastAsia" w:ascii="新宋体" w:hAnsi="新宋体" w:eastAsia="新宋体"/>
                <w:color w:val="auto"/>
                <w:sz w:val="21"/>
                <w:szCs w:val="21"/>
                <w:highlight w:val="none"/>
              </w:rPr>
              <w:t>000 W</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5.5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金属陶瓷外壳</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5.6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液态金属轴承球管</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5.7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透视功率：≥4500W</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5.8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透视管电流：≤160mA</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5.9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球管阳极转速：≤</w:t>
            </w:r>
            <w:r>
              <w:rPr>
                <w:rFonts w:ascii="新宋体" w:hAnsi="新宋体" w:eastAsia="新宋体"/>
                <w:color w:val="auto"/>
                <w:sz w:val="21"/>
                <w:szCs w:val="21"/>
                <w:highlight w:val="none"/>
              </w:rPr>
              <w:t>42</w:t>
            </w:r>
            <w:r>
              <w:rPr>
                <w:rFonts w:hint="eastAsia" w:ascii="新宋体" w:hAnsi="新宋体" w:eastAsia="新宋体"/>
                <w:color w:val="auto"/>
                <w:sz w:val="21"/>
                <w:szCs w:val="21"/>
                <w:highlight w:val="none"/>
              </w:rPr>
              <w:t>00转/分钟</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5.10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球管焦点≥2个，小焦点：≤0.4mm，大焦点：≤0.7mm（大中板）</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5.11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最小焦点功率：≥30kW，最大焦点功率：≤65kW（大中板）</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b/>
                <w:color w:val="auto"/>
                <w:sz w:val="21"/>
                <w:szCs w:val="21"/>
                <w:highlight w:val="none"/>
              </w:rPr>
            </w:pPr>
            <w:r>
              <w:rPr>
                <w:rFonts w:hint="eastAsia" w:eastAsia="新宋体"/>
                <w:color w:val="auto"/>
                <w:sz w:val="21"/>
                <w:szCs w:val="21"/>
                <w:highlight w:val="none"/>
                <w:lang w:eastAsia="zh-CN"/>
              </w:rPr>
              <w:t>★</w:t>
            </w:r>
            <w:r>
              <w:rPr>
                <w:rFonts w:hint="eastAsia" w:ascii="新宋体" w:hAnsi="新宋体" w:eastAsia="新宋体"/>
                <w:color w:val="auto"/>
                <w:sz w:val="21"/>
                <w:szCs w:val="21"/>
                <w:highlight w:val="none"/>
              </w:rPr>
              <w:t>5.12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b/>
                <w:color w:val="auto"/>
                <w:sz w:val="21"/>
                <w:szCs w:val="21"/>
                <w:highlight w:val="none"/>
              </w:rPr>
            </w:pPr>
            <w:r>
              <w:rPr>
                <w:rFonts w:hint="eastAsia" w:ascii="新宋体" w:hAnsi="新宋体" w:eastAsia="新宋体"/>
                <w:color w:val="auto"/>
                <w:sz w:val="21"/>
                <w:szCs w:val="21"/>
                <w:highlight w:val="none"/>
              </w:rPr>
              <w:t>球管阳极靶边直径：≥</w:t>
            </w:r>
            <w:r>
              <w:rPr>
                <w:rFonts w:ascii="新宋体" w:hAnsi="新宋体" w:eastAsia="新宋体"/>
                <w:color w:val="auto"/>
                <w:sz w:val="21"/>
                <w:szCs w:val="21"/>
                <w:highlight w:val="none"/>
              </w:rPr>
              <w:t>16</w:t>
            </w:r>
            <w:r>
              <w:rPr>
                <w:rFonts w:hint="eastAsia" w:ascii="新宋体" w:hAnsi="新宋体" w:eastAsia="新宋体"/>
                <w:color w:val="auto"/>
                <w:sz w:val="21"/>
                <w:szCs w:val="21"/>
                <w:highlight w:val="none"/>
              </w:rPr>
              <w:t>0mm</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5.13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球管采用直接油冷技术，即冷却油直达阳极靶面的冷却方式，无需安装水冷系统</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w:t>
            </w:r>
            <w:r>
              <w:rPr>
                <w:rFonts w:hint="eastAsia" w:ascii="新宋体" w:hAnsi="新宋体" w:eastAsia="新宋体"/>
                <w:color w:val="auto"/>
                <w:sz w:val="21"/>
                <w:szCs w:val="21"/>
                <w:highlight w:val="none"/>
              </w:rPr>
              <w:t>5.14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球管内置栅控技术，非高压发生器控制脉冲透视，以消除传统脉冲透视产生的软射线</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宋体" w:hAnsi="宋体" w:eastAsia="宋体"/>
                <w:color w:val="auto"/>
                <w:sz w:val="21"/>
                <w:szCs w:val="21"/>
                <w:highlight w:val="none"/>
                <w:lang w:eastAsia="zh-CN"/>
              </w:rPr>
              <w:t>★</w:t>
            </w:r>
            <w:r>
              <w:rPr>
                <w:rFonts w:hint="eastAsia" w:ascii="新宋体" w:hAnsi="新宋体" w:eastAsia="新宋体"/>
                <w:color w:val="auto"/>
                <w:sz w:val="21"/>
                <w:szCs w:val="21"/>
                <w:highlight w:val="none"/>
              </w:rPr>
              <w:t>5.15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 xml:space="preserve">球管内置多档金属铜滤片，最厚层≥1.0mm </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5.16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配备通用型、虹膜型等多种遮光器</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5.17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遮光器位置可存储</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5.18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心脏介入手术中，半透明楔形挡板可根据投照角度自动定位</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5.19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lang w:eastAsia="zh-Hans"/>
              </w:rPr>
            </w:pPr>
            <w:r>
              <w:rPr>
                <w:rFonts w:hint="eastAsia" w:ascii="新宋体" w:hAnsi="新宋体" w:eastAsia="新宋体"/>
                <w:color w:val="auto"/>
                <w:sz w:val="21"/>
                <w:szCs w:val="21"/>
                <w:highlight w:val="none"/>
              </w:rPr>
              <w:t>透视末帧图像上可实现无射线调节遮光板、滤线器位置</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lang w:eastAsia="zh-Hans"/>
              </w:rPr>
            </w:pPr>
            <w:r>
              <w:rPr>
                <w:rFonts w:hint="eastAsia" w:ascii="新宋体" w:hAnsi="新宋体" w:eastAsia="新宋体"/>
                <w:b/>
                <w:bCs/>
                <w:color w:val="auto"/>
                <w:sz w:val="21"/>
                <w:szCs w:val="21"/>
                <w:highlight w:val="none"/>
              </w:rPr>
              <w:t>平板探测器</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b/>
                <w:color w:val="auto"/>
                <w:sz w:val="21"/>
                <w:szCs w:val="21"/>
                <w:highlight w:val="none"/>
              </w:rPr>
            </w:pPr>
            <w:r>
              <w:rPr>
                <w:rFonts w:hint="eastAsia" w:ascii="宋体" w:hAnsi="宋体" w:eastAsia="宋体"/>
                <w:color w:val="auto"/>
                <w:sz w:val="21"/>
                <w:szCs w:val="21"/>
                <w:highlight w:val="none"/>
                <w:lang w:eastAsia="zh-CN"/>
              </w:rPr>
              <w:t>★</w:t>
            </w:r>
            <w:r>
              <w:rPr>
                <w:rFonts w:hint="eastAsia" w:ascii="新宋体" w:hAnsi="新宋体" w:eastAsia="新宋体"/>
                <w:color w:val="auto"/>
                <w:sz w:val="21"/>
                <w:szCs w:val="21"/>
                <w:highlight w:val="none"/>
              </w:rPr>
              <w:t>6.1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b/>
                <w:color w:val="auto"/>
                <w:sz w:val="21"/>
                <w:szCs w:val="21"/>
                <w:highlight w:val="none"/>
              </w:rPr>
            </w:pPr>
            <w:r>
              <w:rPr>
                <w:rFonts w:hint="eastAsia" w:ascii="新宋体" w:hAnsi="新宋体" w:eastAsia="新宋体"/>
                <w:color w:val="auto"/>
                <w:sz w:val="21"/>
                <w:szCs w:val="21"/>
                <w:highlight w:val="none"/>
              </w:rPr>
              <w:t>探测器类型：≥16 bits非晶硅数字化平板探测器</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6.2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 xml:space="preserve">平板外壳对角线大小：≤63cm </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6.3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最大有效成像视野(对角线) ≥48cm</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宋体" w:hAnsi="宋体" w:eastAsia="宋体"/>
                <w:color w:val="auto"/>
                <w:sz w:val="21"/>
                <w:szCs w:val="21"/>
                <w:highlight w:val="none"/>
                <w:lang w:eastAsia="zh-CN"/>
              </w:rPr>
              <w:t>★</w:t>
            </w:r>
            <w:r>
              <w:rPr>
                <w:rFonts w:hint="eastAsia" w:ascii="新宋体" w:hAnsi="新宋体" w:eastAsia="新宋体"/>
                <w:color w:val="auto"/>
                <w:sz w:val="21"/>
                <w:szCs w:val="21"/>
                <w:highlight w:val="none"/>
              </w:rPr>
              <w:t>6.4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≥8种物理成像视野，以适应不同部位介入需要</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6.5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最大图像矩阵灰阶输出：1904 x 2586 x 16 bits</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6.6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平板探测器分辨率：≥3.25LP／mm</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6.7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像素尺寸：≤154μm</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6.8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0 lp/mm 时DQE：≥77%</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6.9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平板可90度旋转</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6.10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平板探测器无需水冷装置</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6.11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平板探测器带有非接触式防碰撞保护装置及防碰撞自动控制</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图像显示器</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7.1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控制室：≥24英吋高亮医用高分辨率LCD显示器，≥两台，显示矩阵：≥1920 x 1080</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7.2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操作室：≥</w:t>
            </w:r>
            <w:r>
              <w:rPr>
                <w:rFonts w:ascii="新宋体" w:hAnsi="新宋体" w:eastAsia="新宋体"/>
                <w:color w:val="auto"/>
                <w:sz w:val="21"/>
                <w:szCs w:val="21"/>
                <w:highlight w:val="none"/>
              </w:rPr>
              <w:t>55</w:t>
            </w:r>
            <w:r>
              <w:rPr>
                <w:rFonts w:hint="eastAsia" w:ascii="新宋体" w:hAnsi="新宋体" w:eastAsia="新宋体"/>
                <w:color w:val="auto"/>
                <w:sz w:val="21"/>
                <w:szCs w:val="21"/>
                <w:highlight w:val="none"/>
              </w:rPr>
              <w:t>英吋高亮医用高分辨率宽屏LCD显示器：1台</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7.3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显示器上可显示X线使能、球管温度、曝光的kV,mA及ms、机架的旋转和成角信息、导管床高度、探测器视野、系统通用提示信息、选择的帧率、透视模式、累计透视时间、剂量率、累计剂量、DAP剂量面积乘积</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图像系统</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外周采集、处理、存储2048</w:t>
            </w:r>
            <w:r>
              <w:rPr>
                <w:rFonts w:hint="eastAsia" w:ascii="新宋体" w:hAnsi="新宋体" w:eastAsia="新宋体"/>
                <w:color w:val="auto"/>
                <w:sz w:val="21"/>
                <w:szCs w:val="21"/>
                <w:highlight w:val="none"/>
                <w:vertAlign w:val="superscript"/>
              </w:rPr>
              <w:t>2</w:t>
            </w:r>
            <w:r>
              <w:rPr>
                <w:rFonts w:hint="eastAsia" w:ascii="新宋体" w:hAnsi="新宋体" w:eastAsia="新宋体"/>
                <w:color w:val="auto"/>
                <w:sz w:val="21"/>
                <w:szCs w:val="21"/>
                <w:highlight w:val="none"/>
              </w:rPr>
              <w:t>矩阵</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采集帧率：0.5 - 6帧 /秒</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最大采集帧率：≥6帧/秒</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心脏采集、处理、存储1024</w:t>
            </w:r>
            <w:r>
              <w:rPr>
                <w:rFonts w:hint="eastAsia" w:ascii="新宋体" w:hAnsi="新宋体" w:eastAsia="新宋体"/>
                <w:color w:val="auto"/>
                <w:sz w:val="21"/>
                <w:szCs w:val="21"/>
                <w:highlight w:val="none"/>
                <w:vertAlign w:val="superscript"/>
              </w:rPr>
              <w:t>2</w:t>
            </w:r>
            <w:r>
              <w:rPr>
                <w:rFonts w:hint="eastAsia" w:ascii="新宋体" w:hAnsi="新宋体" w:eastAsia="新宋体"/>
                <w:color w:val="auto"/>
                <w:sz w:val="21"/>
                <w:szCs w:val="21"/>
                <w:highlight w:val="none"/>
              </w:rPr>
              <w:t>矩阵：15 - 30帧 /秒</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实时减影</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脉冲透视</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床旁可直接选择透视剂量：≥3档</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可存储单幅及序列透视图像≥2000幅的连续动态透视图像，透视序列可以同屏多幅图像形式显示于参考屏上</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最大脉冲透视速度：≥30幅/秒</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8.10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最小脉冲透视速度：≤3.75幅/秒</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具有透视末帧图像保持功能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硬盘图像存储量：≥50,000幅</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8.13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后处理功能包括：改变回放速度、选择路标图像、电子遮光器、边缘增强、图像反转、附加注解、快速选择图像、移动放大、可变速度循环放映、造影图像自动窗宽、窗位调节、重定蒙片、手动自动像素移位、最大路径和骨标记</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8.14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血管序列实时DSA功能和DA功能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8.15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图像显示功能：采集时间、日期显示、图像冻结，灰阶反转，图像标注，左／右标识，文字注释，解剖背景。</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8.16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路径图造影剂自动峰值保持功能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8.17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支持术中事件记录并存储</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color w:val="auto"/>
                <w:sz w:val="21"/>
                <w:szCs w:val="21"/>
                <w:highlight w:val="none"/>
              </w:rPr>
            </w:pPr>
            <w:r>
              <w:rPr>
                <w:rFonts w:hint="eastAsia" w:ascii="新宋体" w:hAnsi="新宋体" w:eastAsia="新宋体"/>
                <w:b/>
                <w:bCs/>
                <w:color w:val="auto"/>
                <w:sz w:val="21"/>
                <w:szCs w:val="21"/>
                <w:highlight w:val="none"/>
              </w:rPr>
              <w:t>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测量分析（主机系统）</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ind w:firstLine="120"/>
              <w:jc w:val="right"/>
              <w:rPr>
                <w:rFonts w:ascii="新宋体" w:hAnsi="新宋体" w:eastAsia="新宋体"/>
                <w:b/>
                <w:color w:val="auto"/>
                <w:sz w:val="21"/>
                <w:szCs w:val="21"/>
                <w:highlight w:val="none"/>
              </w:rPr>
            </w:pPr>
            <w:r>
              <w:rPr>
                <w:rFonts w:hint="eastAsia" w:ascii="新宋体" w:hAnsi="新宋体" w:eastAsia="新宋体"/>
                <w:color w:val="auto"/>
                <w:sz w:val="21"/>
                <w:szCs w:val="21"/>
                <w:highlight w:val="none"/>
              </w:rPr>
              <w:t>9.1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b/>
                <w:color w:val="auto"/>
                <w:sz w:val="21"/>
                <w:szCs w:val="21"/>
                <w:highlight w:val="none"/>
              </w:rPr>
            </w:pPr>
            <w:r>
              <w:rPr>
                <w:rFonts w:hint="eastAsia" w:ascii="新宋体" w:hAnsi="新宋体" w:eastAsia="新宋体"/>
                <w:color w:val="auto"/>
                <w:sz w:val="21"/>
                <w:szCs w:val="21"/>
                <w:highlight w:val="none"/>
              </w:rPr>
              <w:t>主机系统具备左心室分析软件，可测量舒张末期和收缩末期容积、射血分数、每博量测定，三种方法以上室壁运动曲线测量。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9.2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主机系统具备冠脉分析软件，所选血管段直径、狭窄信息、截面积、狭窄百分比等测量。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b/>
                <w:bCs/>
                <w:color w:val="auto"/>
                <w:sz w:val="21"/>
                <w:szCs w:val="21"/>
                <w:highlight w:val="none"/>
              </w:rPr>
            </w:pPr>
            <w:r>
              <w:rPr>
                <w:rFonts w:hint="eastAsia" w:ascii="新宋体" w:hAnsi="新宋体" w:eastAsia="新宋体"/>
                <w:color w:val="auto"/>
                <w:sz w:val="21"/>
                <w:szCs w:val="21"/>
                <w:highlight w:val="none"/>
              </w:rPr>
              <w:t>9.</w:t>
            </w:r>
            <w:r>
              <w:rPr>
                <w:rFonts w:ascii="新宋体" w:hAnsi="新宋体" w:eastAsia="新宋体"/>
                <w:color w:val="auto"/>
                <w:sz w:val="21"/>
                <w:szCs w:val="21"/>
                <w:highlight w:val="none"/>
              </w:rPr>
              <w:t>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b/>
                <w:bCs/>
                <w:color w:val="auto"/>
                <w:sz w:val="21"/>
                <w:szCs w:val="21"/>
                <w:highlight w:val="none"/>
              </w:rPr>
            </w:pPr>
            <w:r>
              <w:rPr>
                <w:rFonts w:hint="eastAsia" w:ascii="新宋体" w:hAnsi="新宋体" w:eastAsia="新宋体"/>
                <w:color w:val="auto"/>
                <w:sz w:val="21"/>
                <w:szCs w:val="21"/>
                <w:highlight w:val="none"/>
              </w:rPr>
              <w:t>主机系统具备血管分析软件，所选血管段直径、狭窄信息、截面积、狭窄百分比等测量。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10、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旋转采集</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10.1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 xml:space="preserve">L臂旋转采集C臂旋转速度：≥55度/秒，有效覆盖范围：≥240度 </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10.2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1024采集，最快采集速度：≥30幅/秒</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10.3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可实时减影</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b/>
                <w:bCs/>
                <w:color w:val="auto"/>
                <w:sz w:val="21"/>
                <w:szCs w:val="21"/>
                <w:highlight w:val="none"/>
              </w:rPr>
              <w:t>网络与接口</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 xml:space="preserve">具有DICOM Send功能 </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具有DICOM Print功能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11.3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具有DICOM Query/Retrieve功能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11.4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具有DICOM Worklist功能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11.5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具有DICOM MPPS功能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11.6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激光相机接口</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11.7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高压注射器接口</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附件</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12.1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具备整个系统的升级能力</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12.2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具有双向对讲系统</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12.3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具有图像处理操作面板</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12.4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具有红外遥控器≥2个</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12.5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红外遥控器具有激光灯指示功能</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12.6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具有悬吊式射线防护屏</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12.7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具有床旁射线防护帘</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12.8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具有悬吊式手术灯</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12.9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具有输液器吊架</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12.10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具有双侧臂托一对</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lang w:eastAsia="zh-Hans"/>
              </w:rPr>
            </w:pPr>
            <w:r>
              <w:rPr>
                <w:rFonts w:hint="eastAsia" w:ascii="新宋体" w:hAnsi="新宋体" w:eastAsia="新宋体"/>
                <w:color w:val="auto"/>
                <w:sz w:val="21"/>
                <w:szCs w:val="21"/>
                <w:highlight w:val="none"/>
              </w:rPr>
              <w:t>12.11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具有头托</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lang w:eastAsia="zh-Hans"/>
              </w:rPr>
            </w:pPr>
            <w:r>
              <w:rPr>
                <w:rFonts w:hint="eastAsia" w:ascii="新宋体" w:hAnsi="新宋体" w:eastAsia="新宋体"/>
                <w:color w:val="auto"/>
                <w:sz w:val="21"/>
                <w:szCs w:val="21"/>
                <w:highlight w:val="none"/>
              </w:rPr>
              <w:t>12.12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具有桡动脉穿刺臂托</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12.1</w:t>
            </w:r>
            <w:r>
              <w:rPr>
                <w:rFonts w:ascii="新宋体" w:hAnsi="新宋体" w:eastAsia="新宋体"/>
                <w:color w:val="auto"/>
                <w:sz w:val="21"/>
                <w:szCs w:val="21"/>
                <w:highlight w:val="none"/>
              </w:rPr>
              <w:t>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提供多功能脚闸</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12.14</w:t>
            </w:r>
            <w:r>
              <w:rPr>
                <w:rFonts w:ascii="新宋体" w:hAnsi="新宋体" w:eastAsia="新宋体"/>
                <w:color w:val="auto"/>
                <w:sz w:val="21"/>
                <w:szCs w:val="21"/>
                <w:highlight w:val="none"/>
              </w:rPr>
              <w:t>.1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脚闸功能可根据客户使用习惯自定义</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12.14.</w:t>
            </w:r>
            <w:r>
              <w:rPr>
                <w:rFonts w:ascii="新宋体" w:hAnsi="新宋体" w:eastAsia="新宋体"/>
                <w:color w:val="auto"/>
                <w:sz w:val="21"/>
                <w:szCs w:val="21"/>
                <w:highlight w:val="none"/>
              </w:rPr>
              <w:t>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多功能脚闸可控制手术灯</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13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路图功能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13.1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可针对脑血管、胸部、腹部等不同检查部位，设置专门的路图参数，并可在床旁液晶触摸屏上直接进行参数调整</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13.2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可在床旁液晶触摸屏上选择针对导管引导、打胶、放置弹簧圈等不同介入操作的专门路图模式</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13.3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医生可自定义针对特殊介入操作类型的路图显示模式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13.4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在不同路图模式下，可对路图中的减影血管影像、介入植入物（导丝导管、胶、弹簧圈等）、解剖背景的亮度进行分别的独立调节，以满足复杂介入操作引导的需要</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13.5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液晶触摸屏上具有专门的路图运动伪影自动消除键，可随时对由于病人微小运动导致的路图伪影进行自动实时补偿校正，有效减少运动伪影的影响</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14、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b/>
                <w:bCs/>
                <w:color w:val="auto"/>
                <w:sz w:val="21"/>
                <w:szCs w:val="21"/>
                <w:highlight w:val="none"/>
              </w:rPr>
              <w:t>蒙片功能</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14.1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可对用于实时DSA的蒙片数量进行实时组合优化，以明显降低蒙片的背景噪声，显著提高DSA的图像质量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14.2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可对用于实时DSA的蒙片数量进行实时组合优化，在保持相同噪声水平的前提下，明显降低辐射剂量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14.3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在实时DSA图像显示前的瞬间，可显示组合蒙片图像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14.4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b/>
                <w:color w:val="auto"/>
                <w:sz w:val="21"/>
                <w:szCs w:val="21"/>
                <w:highlight w:val="none"/>
              </w:rPr>
            </w:pPr>
            <w:r>
              <w:rPr>
                <w:rFonts w:hint="eastAsia" w:ascii="新宋体" w:hAnsi="新宋体" w:eastAsia="新宋体"/>
                <w:color w:val="auto"/>
                <w:sz w:val="21"/>
                <w:szCs w:val="21"/>
                <w:highlight w:val="none"/>
              </w:rPr>
              <w:t>可对组合蒙片的数量调整，最大组合蒙片数量≥6幅</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14.5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可针对不同检查部位进行蒙片数量的个性化组合，以满足不同部位的成像特点</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15、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射线剂量防护技术：</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15.1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采用铜滤片自动插入技术消除球管软射线，最厚≥1mm</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15.2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插入铜滤片数≥3片，具备自动和手动两种方式</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15.3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具有管球内置栅控技术</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15.4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透视图像存储功能：≥2000幅透视图像连续存储</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15.5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透视冻结图像上可实现无射线调节遮光器、滤波片位置</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15.6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具有射线剂量监测功能，透视时，表面剂量率显示；透视间期，显示积累剂量，区域剂量和剂量限值</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15.7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具有床下防护铅帘，悬吊式防护铅屏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15.8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在SID改变，手术床水平移动以及垂直升降时均可实现实时追踪手术视野的无射线下视野定位功能。</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16、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高级三维重建功能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16.1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有独立的原装进口三维重建工作站硬件和软件</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16.1.1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3D全流程实时逐步引导采集功能，智能提示造影剂用量及曝光参数</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16.1.2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床旁触摸屏可即刻显示三维影像，并可直接放大、缩小、旋转、标记、测量、分割三维图像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16.1.3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三维影像可实现矢状位/冠状位/轴位同步实时显示</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16.2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机架旋转速度：≥55度/秒，覆盖范围：≥240度</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16.3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机架可在头位及侧位进行三维采集</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16.4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具有体积/表面重建,最大密度投影、模拟机架位、钙化斑成像、透明血管成像功能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16.5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具有局部放大重建</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16.6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具有专用脊柱三维采集程序及脊柱重建功能</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16.7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具有距离测量、体积测量功能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16.8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具有三维自动血管分析</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16.9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仅造影序列便可重建出三维图像；无需蒙片序列，减少曝光，加快手术进程，自旋转采集起至重建结束的时间：≤12秒</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16.1</w:t>
            </w:r>
            <w:r>
              <w:rPr>
                <w:rFonts w:ascii="新宋体" w:hAnsi="新宋体" w:eastAsia="新宋体"/>
                <w:color w:val="auto"/>
                <w:sz w:val="21"/>
                <w:szCs w:val="21"/>
                <w:highlight w:val="none"/>
              </w:rPr>
              <w:t>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可直接在床旁触摸屏上进行机架位置存储以及测量功能</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16.11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当选定最佳三维图像观察角度，机架可自动跟踪定位到此投照角度</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16.12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当机架投照角度转动时，三维图像跟随机架实时转动，保持相同观察角度，无间隔时间，并支持无射线环境下</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center"/>
              <w:rPr>
                <w:rFonts w:ascii="新宋体" w:hAnsi="新宋体" w:eastAsia="新宋体"/>
                <w:b/>
                <w:bCs/>
                <w:color w:val="auto"/>
                <w:sz w:val="21"/>
                <w:szCs w:val="21"/>
                <w:highlight w:val="none"/>
              </w:rPr>
            </w:pPr>
            <w:r>
              <w:rPr>
                <w:rFonts w:hint="eastAsia" w:ascii="新宋体" w:hAnsi="新宋体" w:eastAsia="新宋体"/>
                <w:b/>
                <w:bCs/>
                <w:color w:val="auto"/>
                <w:sz w:val="21"/>
                <w:szCs w:val="21"/>
                <w:highlight w:val="none"/>
              </w:rPr>
              <w:t>17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b/>
                <w:bCs/>
                <w:color w:val="auto"/>
                <w:sz w:val="21"/>
                <w:szCs w:val="21"/>
                <w:highlight w:val="none"/>
              </w:rPr>
              <w:t>类CT软组织成像功能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lang w:eastAsia="zh-Hans"/>
              </w:rPr>
            </w:pPr>
            <w:r>
              <w:rPr>
                <w:rFonts w:hint="eastAsia" w:ascii="新宋体" w:hAnsi="新宋体" w:eastAsia="新宋体"/>
                <w:color w:val="auto"/>
                <w:sz w:val="21"/>
                <w:szCs w:val="21"/>
                <w:highlight w:val="none"/>
              </w:rPr>
              <w:t>17.1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能提供原厂类CT的软组织图像，能够进行机架正位和侧位的类CT采集，以满足头部、胸部、腹部、盆腔、脊柱、四肢部分的采集和重建</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17.2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能在床旁实现任意角度断面的观察，并可调节层厚，窗宽，窗位等CT参数</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17.3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单次类CT采集有效覆盖范围：≥240度</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17.4</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最快采集速率：≥60帧/秒</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17.5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最快采集时间：≤5秒</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17.6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类CT图像采集，实现全流程实时逐步引导功能</w:t>
            </w:r>
          </w:p>
        </w:tc>
      </w:tr>
      <w:tr>
        <w:tblPrEx>
          <w:tblCellMar>
            <w:top w:w="0" w:type="dxa"/>
            <w:left w:w="10" w:type="dxa"/>
            <w:bottom w:w="0" w:type="dxa"/>
            <w:right w:w="10" w:type="dxa"/>
          </w:tblCellMar>
        </w:tblPrEx>
        <w:trPr>
          <w:trHeight w:val="9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17.7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三维重建和类CT重建硬件一体化设计，方便实现二者融合匹配显示</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17.8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仅需一次旋转采集即可实现三维重建和类CT重建</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17.9</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旋转采集数据能够自动传输至工作站并自动重建，整个过程无需人为参与</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17.10</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具备专用的金属伪影消除采集程序，消除金属植入物和支架的影响</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17.11</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具备专用的BMI噪声抑制程序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17.12</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具有颅内支架精晰显影功能</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color w:val="auto"/>
                <w:sz w:val="21"/>
                <w:szCs w:val="21"/>
                <w:highlight w:val="none"/>
              </w:rPr>
            </w:pPr>
            <w:r>
              <w:rPr>
                <w:rFonts w:hint="eastAsia" w:ascii="新宋体" w:hAnsi="新宋体" w:eastAsia="新宋体"/>
                <w:color w:val="auto"/>
                <w:sz w:val="21"/>
                <w:szCs w:val="21"/>
                <w:highlight w:val="none"/>
              </w:rPr>
              <w:t>17.13</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选取最佳三维图像角度时，机架角度能够跟踪三维图像视角变化</w:t>
            </w:r>
          </w:p>
        </w:tc>
      </w:tr>
      <w:tr>
        <w:tblPrEx>
          <w:shd w:val="clear" w:color="auto" w:fill="auto"/>
          <w:tblCellMar>
            <w:top w:w="0" w:type="dxa"/>
            <w:left w:w="10" w:type="dxa"/>
            <w:bottom w:w="0" w:type="dxa"/>
            <w:right w:w="10" w:type="dxa"/>
          </w:tblCellMar>
        </w:tblPrEx>
        <w:trPr>
          <w:trHeight w:val="1167" w:hRule="atLeast"/>
        </w:trPr>
        <w:tc>
          <w:tcPr>
            <w:tcW w:w="1052" w:type="dxa"/>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17.14</w:t>
            </w:r>
          </w:p>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　</w:t>
            </w:r>
          </w:p>
        </w:tc>
        <w:tc>
          <w:tcPr>
            <w:tcW w:w="7304" w:type="dxa"/>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b/>
                <w:color w:val="auto"/>
                <w:sz w:val="21"/>
                <w:szCs w:val="21"/>
                <w:highlight w:val="none"/>
                <w:lang w:eastAsia="zh-Hans"/>
              </w:rPr>
            </w:pPr>
            <w:r>
              <w:rPr>
                <w:rFonts w:hint="eastAsia" w:ascii="新宋体" w:hAnsi="新宋体" w:eastAsia="新宋体"/>
                <w:color w:val="auto"/>
                <w:sz w:val="21"/>
                <w:szCs w:val="21"/>
                <w:highlight w:val="none"/>
              </w:rPr>
              <w:t>通过C臂进行一次往复扫描，即可得到两个不同时相的类CT图像</w:t>
            </w:r>
            <w:r>
              <w:rPr>
                <w:rFonts w:hint="eastAsia" w:ascii="新宋体" w:hAnsi="新宋体" w:eastAsia="新宋体"/>
                <w:color w:val="auto"/>
                <w:sz w:val="21"/>
                <w:szCs w:val="21"/>
                <w:highlight w:val="none"/>
                <w:lang w:eastAsia="zh-CN"/>
              </w:rPr>
              <w:t>。</w:t>
            </w:r>
            <w:r>
              <w:rPr>
                <w:rFonts w:hint="eastAsia" w:ascii="新宋体" w:hAnsi="新宋体" w:eastAsia="新宋体"/>
                <w:color w:val="auto"/>
                <w:sz w:val="21"/>
                <w:szCs w:val="21"/>
                <w:highlight w:val="none"/>
              </w:rPr>
              <w:t>如肝脏肿瘤增强扫描的动脉期和实质期。采用并行显示功能，可以分割多发肿瘤病灶</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b/>
                <w:color w:val="auto"/>
                <w:sz w:val="21"/>
                <w:szCs w:val="21"/>
                <w:highlight w:val="none"/>
                <w:lang w:eastAsia="zh-Hans"/>
              </w:rPr>
            </w:pPr>
            <w:r>
              <w:rPr>
                <w:rFonts w:hint="eastAsia" w:ascii="新宋体" w:hAnsi="新宋体" w:eastAsia="新宋体"/>
                <w:color w:val="auto"/>
                <w:sz w:val="21"/>
                <w:szCs w:val="21"/>
                <w:highlight w:val="none"/>
              </w:rPr>
              <w:t>17.15</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b/>
                <w:color w:val="auto"/>
                <w:sz w:val="21"/>
                <w:szCs w:val="21"/>
                <w:highlight w:val="none"/>
                <w:lang w:eastAsia="zh-Hans"/>
              </w:rPr>
            </w:pPr>
            <w:r>
              <w:rPr>
                <w:rFonts w:hint="eastAsia" w:ascii="新宋体" w:hAnsi="新宋体" w:eastAsia="新宋体"/>
                <w:color w:val="auto"/>
                <w:sz w:val="21"/>
                <w:szCs w:val="21"/>
                <w:highlight w:val="none"/>
              </w:rPr>
              <w:t>具备提前预设延时间隔时间功能程序，保证高图像质量</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b/>
                <w:color w:val="auto"/>
                <w:sz w:val="21"/>
                <w:szCs w:val="21"/>
                <w:highlight w:val="none"/>
                <w:lang w:eastAsia="zh-Hans"/>
              </w:rPr>
            </w:pPr>
            <w:r>
              <w:rPr>
                <w:rFonts w:hint="eastAsia" w:ascii="新宋体" w:hAnsi="新宋体" w:eastAsia="新宋体"/>
                <w:color w:val="auto"/>
                <w:sz w:val="21"/>
                <w:szCs w:val="21"/>
                <w:highlight w:val="none"/>
              </w:rPr>
              <w:t>17.16</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b/>
                <w:color w:val="auto"/>
                <w:sz w:val="21"/>
                <w:szCs w:val="21"/>
                <w:highlight w:val="none"/>
              </w:rPr>
            </w:pPr>
            <w:r>
              <w:rPr>
                <w:rFonts w:hint="eastAsia" w:ascii="新宋体" w:hAnsi="新宋体" w:eastAsia="新宋体"/>
                <w:color w:val="auto"/>
                <w:sz w:val="21"/>
                <w:szCs w:val="21"/>
                <w:highlight w:val="none"/>
              </w:rPr>
              <w:t>可实现动脉期与实质期图像融合显示，提高病灶的检出率</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olor w:val="auto"/>
                <w:sz w:val="21"/>
                <w:szCs w:val="21"/>
                <w:highlight w:val="none"/>
              </w:rPr>
            </w:pPr>
            <w:r>
              <w:rPr>
                <w:rFonts w:hint="eastAsia" w:ascii="新宋体" w:hAnsi="新宋体" w:eastAsia="新宋体"/>
                <w:color w:val="auto"/>
                <w:sz w:val="21"/>
                <w:szCs w:val="21"/>
                <w:highlight w:val="none"/>
              </w:rPr>
              <w:t>17.17</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color w:val="auto"/>
                <w:sz w:val="21"/>
                <w:szCs w:val="21"/>
                <w:highlight w:val="none"/>
              </w:rPr>
            </w:pPr>
            <w:r>
              <w:rPr>
                <w:rFonts w:hint="eastAsia" w:ascii="新宋体" w:hAnsi="新宋体" w:eastAsia="新宋体"/>
                <w:color w:val="auto"/>
                <w:sz w:val="21"/>
                <w:szCs w:val="21"/>
                <w:highlight w:val="none"/>
              </w:rPr>
              <w:t>既可以实现病人等中心的扫描，同时具备偏中心扫描模式，即可实现整个肝脏为中心的影像，提高肝脏的覆盖区域。扫描起止范围LAO：≥55度，RAO：≥185度</w:t>
            </w:r>
          </w:p>
        </w:tc>
      </w:tr>
      <w:tr>
        <w:tblPrEx>
          <w:shd w:val="clear" w:color="auto" w:fill="auto"/>
          <w:tblCellMar>
            <w:top w:w="0" w:type="dxa"/>
            <w:left w:w="10" w:type="dxa"/>
            <w:bottom w:w="0" w:type="dxa"/>
            <w:right w:w="10" w:type="dxa"/>
          </w:tblCellMar>
        </w:tblPrEx>
        <w:tc>
          <w:tcPr>
            <w:tcW w:w="105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right"/>
              <w:rPr>
                <w:rFonts w:ascii="新宋体" w:hAnsi="新宋体" w:eastAsia="新宋体" w:cs="Arial"/>
                <w:b/>
                <w:color w:val="auto"/>
                <w:sz w:val="21"/>
                <w:szCs w:val="21"/>
                <w:highlight w:val="none"/>
              </w:rPr>
            </w:pPr>
            <w:r>
              <w:rPr>
                <w:rFonts w:hint="eastAsia" w:ascii="新宋体" w:hAnsi="新宋体" w:eastAsia="新宋体"/>
                <w:color w:val="auto"/>
                <w:sz w:val="21"/>
                <w:szCs w:val="21"/>
                <w:highlight w:val="none"/>
              </w:rPr>
              <w:t>17.18</w:t>
            </w:r>
          </w:p>
        </w:tc>
        <w:tc>
          <w:tcPr>
            <w:tcW w:w="730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after="0" w:line="360" w:lineRule="auto"/>
              <w:jc w:val="both"/>
              <w:rPr>
                <w:rFonts w:ascii="新宋体" w:hAnsi="新宋体" w:eastAsia="新宋体" w:cs="宋体"/>
                <w:b/>
                <w:color w:val="auto"/>
                <w:sz w:val="21"/>
                <w:szCs w:val="21"/>
                <w:highlight w:val="none"/>
              </w:rPr>
            </w:pPr>
            <w:r>
              <w:rPr>
                <w:rFonts w:hint="eastAsia" w:ascii="新宋体" w:hAnsi="新宋体" w:eastAsia="新宋体"/>
                <w:color w:val="auto"/>
                <w:sz w:val="21"/>
                <w:szCs w:val="21"/>
                <w:highlight w:val="none"/>
              </w:rPr>
              <w:t>采集帧速率：≥60帧/秒</w:t>
            </w:r>
          </w:p>
        </w:tc>
      </w:tr>
      <w:tr>
        <w:tblPrEx>
          <w:tblCellMar>
            <w:top w:w="0" w:type="dxa"/>
            <w:left w:w="10" w:type="dxa"/>
            <w:bottom w:w="0" w:type="dxa"/>
            <w:right w:w="10" w:type="dxa"/>
          </w:tblCellMar>
        </w:tblPrEx>
        <w:tc>
          <w:tcPr>
            <w:tcW w:w="1052" w:type="dxa"/>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center"/>
          </w:tcPr>
          <w:p>
            <w:pPr>
              <w:spacing w:after="0" w:line="360" w:lineRule="auto"/>
              <w:jc w:val="center"/>
              <w:rPr>
                <w:rFonts w:hint="default" w:ascii="新宋体" w:hAnsi="新宋体" w:eastAsia="新宋体"/>
                <w:color w:val="auto"/>
                <w:sz w:val="21"/>
                <w:szCs w:val="21"/>
                <w:highlight w:val="none"/>
                <w:lang w:val="en-US" w:eastAsia="zh-CN"/>
              </w:rPr>
            </w:pPr>
            <w:r>
              <w:rPr>
                <w:rFonts w:hint="eastAsia" w:ascii="新宋体" w:hAnsi="新宋体" w:eastAsia="新宋体"/>
                <w:b/>
                <w:bCs/>
                <w:color w:val="auto"/>
                <w:sz w:val="21"/>
                <w:szCs w:val="21"/>
                <w:highlight w:val="none"/>
                <w:lang w:val="en-US" w:eastAsia="zh-CN"/>
              </w:rPr>
              <w:t>18</w:t>
            </w:r>
          </w:p>
        </w:tc>
        <w:tc>
          <w:tcPr>
            <w:tcW w:w="7304" w:type="dxa"/>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center"/>
          </w:tcPr>
          <w:p>
            <w:pPr>
              <w:spacing w:after="0" w:line="360" w:lineRule="auto"/>
              <w:jc w:val="both"/>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外科手术床</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pacing w:after="0" w:line="360" w:lineRule="auto"/>
              <w:jc w:val="righ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w:t>
            </w:r>
          </w:p>
        </w:tc>
        <w:tc>
          <w:tcPr>
            <w:tcW w:w="7304"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用于复合杂交手术室，满足介入、心内科、胸外科、神经外科、骨科、创伤、妇产科等手术联合使用；可与DSA同步联动</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18.2</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嵌入式底座安装方式，固定底座承载重量：≥380kg</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18.3</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控制系统：由A、B两套控制电路、两套控制器构成，A套作为正常使用、B套作为备用</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18.4</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供电方式：采用蓄电池组和交流电源两种方式供电，蓄电池组充满电后，可支持80例手术，确保手术床长时间无电源线状态下工作。同时具有交流电源提供电能，确保最大的安全性</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18.5</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基座及附件均采用高含量镍铬合金，经久耐用，无任何死角，便于清洁</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18.6</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 xml:space="preserve">床柱呈闭合式设计，符合手术室清洁要求 </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18.7</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床柱有电池缓冲功能，使各项操作更平稳、安全</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杂交专用床</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18.8.1</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碳纤维床面的纵向平移长度≥1000mm，平移速度为80—150mm/s且可通过摇杆式手柄无极调节；具有“悬浮”功能，床面可籍转运小车转运患者</w:t>
            </w:r>
          </w:p>
        </w:tc>
      </w:tr>
      <w:tr>
        <w:tblPrEx>
          <w:shd w:val="clear" w:color="auto" w:fill="auto"/>
          <w:tblCellMar>
            <w:top w:w="0" w:type="dxa"/>
            <w:left w:w="10" w:type="dxa"/>
            <w:bottom w:w="0" w:type="dxa"/>
            <w:right w:w="10" w:type="dxa"/>
          </w:tblCellMar>
        </w:tblPrEx>
        <w:trPr>
          <w:trHeight w:val="362" w:hRule="atLeast"/>
        </w:trPr>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18.8.2</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术中可实行360°全方位透视，最大透视距离≥1700mm</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18.8.3</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可与世界著名厂家的DSA设备进行联动，平移时时碳纤床面通过床柱的电机运动整个床面纵向平移，而非通过固定的床板滑槽平移，提供更大手术空间</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18.8.4</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侧向平移≥200mm，最大侧向平移速度≥50mm/s</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18.8.5</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垂直升降速度≥13.5mm/s</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18.8.6</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台面高度调节范围≥640mm</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18.8.7</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床面长度: 有2200mm/2400mm/2700mm(不含头板的长度）这四种可选</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18.8.9</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床面宽度：≥620mm</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18.8.10</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左倾、右倾：≥25°</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18.8.11</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头倾、脚倾：≥30°</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18.8.12</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配备50mm四层复合材料记忆泡沫芯自动塑形软垫，压力≤39.2mmHg, 能有效预防褥疮。可拆卸，方便清洗及消毒</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18.8.13</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安全承重≥250KG</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18.9</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红外控制器采用红外无线控制方式，控制器为全功能轻触式设计，具有一键回“0”功能，具有防误操作设置，确保各项指令安全应用，可自行存储的个性化手术体位≥10个</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18.10</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手术台面转运小车用于转运、移除及更换手术台面，具备头端倾斜-（头低脚高脚Trendelenburg）功能</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18.11</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both"/>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转运小车长度≥1600mm，宽度≤900mm，高度≥890mm，安全承重≥380Kg</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18.12</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手术床具体配置：</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18.12.1</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杂交专用手术床：1套</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18.12.2</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嵌入式床柱：1 套</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18.12.3</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50mm泡沫芯自动塑性软垫：1套</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18.12.4</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全碳纤维头板：1 套</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18.12.5</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麻醉支架：1套</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18.12.6</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红外遥控器：1 套</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18.12.7</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红外线遥控器充电器：1套</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18.12.8</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台面控制手柄：1个</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18.12.9</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手板：2个</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righ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 xml:space="preserve">18.12.10 </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eastAsia"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转运小车：1辆</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19</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both"/>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配套产品</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无影灯1套(LED,双母灯)</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2</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default"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显示屏吊塔1套</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3</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default"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麻醉塔2套</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4</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default"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体外循环塔1套</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5</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default"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外科塔2套</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6</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default"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麻醉机1台</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7</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default" w:ascii="新宋体" w:hAnsi="新宋体" w:eastAsia="新宋体" w:cstheme="minorBidi"/>
                <w:color w:val="auto"/>
                <w:sz w:val="21"/>
                <w:szCs w:val="21"/>
                <w:highlight w:val="none"/>
                <w:lang w:val="en-US" w:eastAsia="zh-CN" w:bidi="ar-SA"/>
              </w:rPr>
            </w:pPr>
            <w:r>
              <w:rPr>
                <w:rFonts w:hint="eastAsia" w:ascii="新宋体" w:hAnsi="新宋体" w:eastAsia="新宋体"/>
                <w:color w:val="auto"/>
                <w:sz w:val="21"/>
                <w:szCs w:val="21"/>
                <w:highlight w:val="none"/>
                <w:lang w:val="en-US" w:eastAsia="zh-CN"/>
              </w:rPr>
              <w:t>监护仪1台含（双有创、转运、呼末、麻醉气体）</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8</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宋体" w:hAnsi="宋体" w:cs="宋体"/>
                <w:color w:val="auto"/>
                <w:sz w:val="21"/>
                <w:szCs w:val="21"/>
                <w:highlight w:val="none"/>
              </w:rPr>
              <w:t>品牌高压注射器</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台，匹配高压注射器接口</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9</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宋体" w:hAnsi="宋体" w:cs="宋体"/>
                <w:color w:val="auto"/>
                <w:sz w:val="21"/>
                <w:szCs w:val="21"/>
                <w:highlight w:val="none"/>
              </w:rPr>
              <w:t>品牌</w:t>
            </w:r>
            <w:r>
              <w:rPr>
                <w:rFonts w:hint="eastAsia" w:ascii="新宋体" w:hAnsi="新宋体" w:eastAsia="新宋体"/>
                <w:color w:val="auto"/>
                <w:sz w:val="21"/>
                <w:szCs w:val="21"/>
                <w:highlight w:val="none"/>
                <w:lang w:val="en-US" w:eastAsia="zh-CN"/>
              </w:rPr>
              <w:t>除颤仪1台(包含起搏功能)</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10</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电刀1套（包含氩气）</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11</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4通道输液系统2台</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12</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铅衣10套</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13</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悬吊铅屏风1套</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14</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移动铅屏风1套</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15</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铅衣消毒柜1台</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16</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恒温箱1台（有效容积</w:t>
            </w:r>
            <w:r>
              <w:rPr>
                <w:rFonts w:hint="eastAsia" w:ascii="宋体" w:hAnsi="宋体" w:eastAsia="宋体" w:cs="宋体"/>
                <w:color w:val="auto"/>
                <w:sz w:val="21"/>
                <w:szCs w:val="21"/>
                <w:highlight w:val="none"/>
                <w:lang w:val="en-US" w:eastAsia="zh-CN"/>
              </w:rPr>
              <w:t>≥</w:t>
            </w:r>
            <w:r>
              <w:rPr>
                <w:rFonts w:hint="eastAsia" w:ascii="新宋体" w:hAnsi="新宋体" w:eastAsia="新宋体"/>
                <w:color w:val="auto"/>
                <w:sz w:val="21"/>
                <w:szCs w:val="21"/>
                <w:highlight w:val="none"/>
                <w:lang w:val="en-US" w:eastAsia="zh-CN"/>
              </w:rPr>
              <w:t>90升）</w:t>
            </w:r>
          </w:p>
        </w:tc>
      </w:tr>
      <w:tr>
        <w:tblPrEx>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17</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医用冰箱1台（有效容积</w:t>
            </w:r>
            <w:r>
              <w:rPr>
                <w:rFonts w:hint="eastAsia" w:ascii="宋体" w:hAnsi="宋体" w:eastAsia="宋体" w:cs="宋体"/>
                <w:color w:val="auto"/>
                <w:sz w:val="21"/>
                <w:szCs w:val="21"/>
                <w:highlight w:val="none"/>
                <w:lang w:val="en-US" w:eastAsia="zh-CN"/>
              </w:rPr>
              <w:t>≥</w:t>
            </w:r>
            <w:r>
              <w:rPr>
                <w:rFonts w:hint="eastAsia" w:ascii="新宋体" w:hAnsi="新宋体" w:eastAsia="新宋体"/>
                <w:color w:val="auto"/>
                <w:sz w:val="21"/>
                <w:szCs w:val="21"/>
                <w:highlight w:val="none"/>
                <w:lang w:val="en-US" w:eastAsia="zh-CN"/>
              </w:rPr>
              <w:t>75升）</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18</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普通耗材柜1个、专用耗材柜3个、2米长器械车1辆、普通器械车3辆</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19</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eastAsia"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包含</w:t>
            </w:r>
            <w:r>
              <w:rPr>
                <w:rFonts w:hint="default" w:ascii="新宋体" w:hAnsi="新宋体" w:eastAsia="新宋体"/>
                <w:color w:val="auto"/>
                <w:sz w:val="21"/>
                <w:szCs w:val="21"/>
                <w:highlight w:val="none"/>
                <w:lang w:val="en-US" w:eastAsia="zh-CN"/>
              </w:rPr>
              <w:t>PACS</w:t>
            </w:r>
            <w:r>
              <w:rPr>
                <w:rFonts w:hint="eastAsia" w:ascii="新宋体" w:hAnsi="新宋体" w:eastAsia="新宋体"/>
                <w:color w:val="auto"/>
                <w:sz w:val="21"/>
                <w:szCs w:val="21"/>
                <w:highlight w:val="none"/>
                <w:lang w:val="en-US" w:eastAsia="zh-CN"/>
              </w:rPr>
              <w:t>接口费用</w:t>
            </w:r>
          </w:p>
        </w:tc>
      </w:tr>
      <w:tr>
        <w:tblPrEx>
          <w:shd w:val="clear" w:color="auto" w:fill="auto"/>
          <w:tblCellMar>
            <w:top w:w="0" w:type="dxa"/>
            <w:left w:w="10" w:type="dxa"/>
            <w:bottom w:w="0" w:type="dxa"/>
            <w:right w:w="10" w:type="dxa"/>
          </w:tblCellMar>
        </w:tblPrEx>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360" w:lineRule="auto"/>
              <w:jc w:val="center"/>
              <w:rPr>
                <w:rFonts w:hint="default" w:ascii="新宋体" w:hAnsi="新宋体" w:eastAsia="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20</w:t>
            </w:r>
          </w:p>
        </w:tc>
        <w:tc>
          <w:tcPr>
            <w:tcW w:w="7304" w:type="dxa"/>
            <w:tcBorders>
              <w:top w:val="single" w:color="auto" w:sz="4" w:space="0"/>
              <w:left w:val="single" w:color="auto" w:sz="4" w:space="0"/>
              <w:bottom w:val="single" w:color="auto" w:sz="4" w:space="0"/>
              <w:right w:val="single" w:color="auto" w:sz="4" w:space="0"/>
            </w:tcBorders>
            <w:shd w:val="clear" w:color="auto" w:fill="auto"/>
            <w:vAlign w:val="top"/>
          </w:tcPr>
          <w:p>
            <w:pPr>
              <w:spacing w:after="0" w:line="360" w:lineRule="auto"/>
              <w:jc w:val="left"/>
              <w:rPr>
                <w:rFonts w:hint="default" w:ascii="新宋体" w:hAnsi="新宋体" w:eastAsia="新宋体" w:cs="新宋体"/>
                <w:color w:val="auto"/>
                <w:sz w:val="21"/>
                <w:szCs w:val="21"/>
                <w:highlight w:val="none"/>
                <w:lang w:val="en-US" w:eastAsia="zh-CN"/>
              </w:rPr>
            </w:pPr>
            <w:r>
              <w:rPr>
                <w:rFonts w:hint="eastAsia" w:ascii="新宋体" w:hAnsi="新宋体" w:eastAsia="新宋体"/>
                <w:color w:val="auto"/>
                <w:sz w:val="21"/>
                <w:szCs w:val="21"/>
                <w:highlight w:val="none"/>
                <w:lang w:val="en-US" w:eastAsia="zh-CN"/>
              </w:rPr>
              <w:t>保修期</w:t>
            </w:r>
            <w:r>
              <w:rPr>
                <w:rFonts w:hint="eastAsia" w:ascii="宋体" w:hAnsi="宋体" w:eastAsia="宋体" w:cs="宋体"/>
                <w:color w:val="auto"/>
                <w:sz w:val="21"/>
                <w:szCs w:val="21"/>
                <w:highlight w:val="none"/>
                <w:lang w:val="en-US" w:eastAsia="zh-CN"/>
              </w:rPr>
              <w:t>≥</w:t>
            </w:r>
            <w:r>
              <w:rPr>
                <w:rFonts w:hint="eastAsia" w:ascii="新宋体" w:hAnsi="新宋体" w:eastAsia="新宋体" w:cs="新宋体"/>
                <w:color w:val="auto"/>
                <w:sz w:val="21"/>
                <w:szCs w:val="21"/>
                <w:highlight w:val="none"/>
                <w:lang w:val="en-US" w:eastAsia="zh-CN"/>
              </w:rPr>
              <w:t>1年</w:t>
            </w:r>
          </w:p>
        </w:tc>
      </w:tr>
    </w:tbl>
    <w:p>
      <w:pPr>
        <w:numPr>
          <w:ilvl w:val="0"/>
          <w:numId w:val="0"/>
        </w:numPr>
        <w:spacing w:line="240" w:lineRule="atLeast"/>
        <w:rPr>
          <w:rFonts w:hint="eastAsia" w:ascii="宋体" w:hAnsi="宋体" w:cs="宋体"/>
          <w:color w:val="auto"/>
          <w:kern w:val="0"/>
          <w:sz w:val="24"/>
          <w:highlight w:val="none"/>
          <w:lang w:eastAsia="zh-CN"/>
        </w:rPr>
      </w:pPr>
    </w:p>
    <w:p>
      <w:pPr>
        <w:spacing w:line="360" w:lineRule="auto"/>
        <w:rPr>
          <w:rFonts w:hint="eastAsia" w:ascii="宋体" w:hAnsi="宋体" w:eastAsia="宋体" w:cs="宋体"/>
          <w:b/>
          <w:bCs/>
          <w:color w:val="auto"/>
          <w:sz w:val="24"/>
          <w:szCs w:val="32"/>
          <w:highlight w:val="none"/>
        </w:rPr>
      </w:pPr>
      <w:r>
        <w:rPr>
          <w:rFonts w:hint="eastAsia" w:ascii="宋体" w:hAnsi="宋体" w:cs="宋体"/>
          <w:b/>
          <w:bCs/>
          <w:color w:val="auto"/>
          <w:sz w:val="24"/>
          <w:highlight w:val="none"/>
          <w:lang w:val="en-US" w:eastAsia="zh-CN"/>
        </w:rPr>
        <w:t>三</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商务条款</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w:t>
      </w:r>
      <w:r>
        <w:rPr>
          <w:rFonts w:hint="eastAsia" w:ascii="宋体" w:hAnsi="宋体" w:cs="宋体"/>
          <w:color w:val="auto"/>
          <w:sz w:val="24"/>
          <w:szCs w:val="32"/>
          <w:highlight w:val="none"/>
        </w:rPr>
        <w:t>、应详细说明维保条款和临床</w:t>
      </w:r>
      <w:r>
        <w:rPr>
          <w:rFonts w:ascii="宋体" w:hAnsi="宋体" w:cs="宋体"/>
          <w:color w:val="auto"/>
          <w:sz w:val="24"/>
          <w:szCs w:val="32"/>
          <w:highlight w:val="none"/>
        </w:rPr>
        <w:t>/</w:t>
      </w:r>
      <w:r>
        <w:rPr>
          <w:rFonts w:hint="eastAsia" w:ascii="宋体" w:hAnsi="宋体" w:cs="宋体"/>
          <w:color w:val="auto"/>
          <w:sz w:val="24"/>
          <w:szCs w:val="32"/>
          <w:highlight w:val="none"/>
        </w:rPr>
        <w:t>维修培训内容（注明保修年限、培训地点及时间、保修是否包含模块等），保修期后维修不收取维修费</w:t>
      </w:r>
      <w:r>
        <w:rPr>
          <w:rFonts w:ascii="宋体" w:hAnsi="宋体" w:cs="宋体"/>
          <w:color w:val="auto"/>
          <w:sz w:val="24"/>
          <w:szCs w:val="32"/>
          <w:highlight w:val="none"/>
        </w:rPr>
        <w:t>/</w:t>
      </w:r>
      <w:r>
        <w:rPr>
          <w:rFonts w:hint="eastAsia" w:ascii="宋体" w:hAnsi="宋体" w:cs="宋体"/>
          <w:color w:val="auto"/>
          <w:sz w:val="24"/>
          <w:szCs w:val="32"/>
          <w:highlight w:val="none"/>
        </w:rPr>
        <w:t>差旅费、只收取配件费，同时保修期后维修必须先维修后付款，同时注明出保后购买保修服务的价格（例：产品总价的</w:t>
      </w:r>
      <w:r>
        <w:rPr>
          <w:rFonts w:ascii="宋体" w:hAnsi="宋体" w:cs="宋体"/>
          <w:color w:val="auto"/>
          <w:sz w:val="24"/>
          <w:szCs w:val="32"/>
          <w:highlight w:val="none"/>
        </w:rPr>
        <w:t>5%</w:t>
      </w:r>
      <w:r>
        <w:rPr>
          <w:rFonts w:hint="eastAsia" w:ascii="宋体" w:hAnsi="宋体" w:cs="宋体"/>
          <w:color w:val="auto"/>
          <w:sz w:val="24"/>
          <w:szCs w:val="32"/>
          <w:highlight w:val="none"/>
        </w:rPr>
        <w:t>等）。</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2</w:t>
      </w:r>
      <w:r>
        <w:rPr>
          <w:rFonts w:hint="eastAsia" w:ascii="宋体" w:hAnsi="宋体" w:cs="宋体"/>
          <w:color w:val="auto"/>
          <w:sz w:val="24"/>
          <w:szCs w:val="32"/>
          <w:highlight w:val="none"/>
        </w:rPr>
        <w:t>、常用配件和耗品：价格清单（详细标明各种相关配件和耗品的型号、价格、注册证号，耗材价格作为重要参考依据，务必详细说明），无耗材报价的默认为该仪器无需耗材。</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3</w:t>
      </w:r>
      <w:r>
        <w:rPr>
          <w:rFonts w:hint="eastAsia" w:ascii="宋体" w:hAnsi="宋体" w:cs="宋体"/>
          <w:color w:val="auto"/>
          <w:sz w:val="24"/>
          <w:szCs w:val="32"/>
          <w:highlight w:val="none"/>
        </w:rPr>
        <w:t>、提供医院要求的最新机型和软件，免费提供软件升级，及时提供新功能和新技术的安装和临床应用。</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4</w:t>
      </w:r>
      <w:r>
        <w:rPr>
          <w:rFonts w:hint="eastAsia" w:ascii="宋体" w:hAnsi="宋体" w:cs="宋体"/>
          <w:color w:val="auto"/>
          <w:sz w:val="24"/>
          <w:szCs w:val="32"/>
          <w:highlight w:val="none"/>
        </w:rPr>
        <w:t>、列出全套设备的详细配置清单（包括所有组成部分的规格型号及分项报价、对应的注册证号）。</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5</w:t>
      </w:r>
      <w:r>
        <w:rPr>
          <w:rFonts w:hint="eastAsia" w:ascii="宋体" w:hAnsi="宋体" w:cs="宋体"/>
          <w:color w:val="auto"/>
          <w:sz w:val="24"/>
          <w:szCs w:val="32"/>
          <w:highlight w:val="none"/>
        </w:rPr>
        <w:t>、上述配置中未提及的，与该系统配套的所有硬件、软件及功能模块请单独报价，如不作特殊说明，则视同包含该型号产品厂方最新发布的所有功能软件和所有选配件。</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6</w:t>
      </w:r>
      <w:r>
        <w:rPr>
          <w:rFonts w:hint="eastAsia" w:ascii="宋体" w:hAnsi="宋体" w:cs="宋体"/>
          <w:color w:val="auto"/>
          <w:sz w:val="24"/>
          <w:szCs w:val="32"/>
          <w:highlight w:val="none"/>
        </w:rPr>
        <w:t>、验收时需提供投标机型的原始</w:t>
      </w:r>
      <w:r>
        <w:rPr>
          <w:rFonts w:ascii="宋体" w:hAnsi="宋体" w:cs="宋体"/>
          <w:color w:val="auto"/>
          <w:sz w:val="24"/>
          <w:szCs w:val="32"/>
          <w:highlight w:val="none"/>
        </w:rPr>
        <w:t>DATASHEET</w:t>
      </w:r>
      <w:r>
        <w:rPr>
          <w:rFonts w:hint="eastAsia" w:ascii="宋体" w:hAnsi="宋体" w:cs="宋体"/>
          <w:color w:val="auto"/>
          <w:sz w:val="24"/>
          <w:szCs w:val="32"/>
          <w:highlight w:val="none"/>
        </w:rPr>
        <w:t>。</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7</w:t>
      </w:r>
      <w:r>
        <w:rPr>
          <w:rFonts w:hint="eastAsia" w:ascii="宋体" w:hAnsi="宋体" w:cs="宋体"/>
          <w:color w:val="auto"/>
          <w:sz w:val="24"/>
          <w:szCs w:val="32"/>
          <w:highlight w:val="none"/>
        </w:rPr>
        <w:t>、验收时需提供该设备的海关报关单、商检证书、中文操作规程、中文说明书（含维修手册）、装箱单、中文标识和原厂出厂中文检测报告。</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8</w:t>
      </w:r>
      <w:r>
        <w:rPr>
          <w:rFonts w:hint="eastAsia" w:ascii="宋体" w:hAnsi="宋体" w:cs="宋体"/>
          <w:color w:val="auto"/>
          <w:sz w:val="24"/>
          <w:szCs w:val="32"/>
          <w:highlight w:val="none"/>
        </w:rPr>
        <w:t>、保修期结束后保证所提供仪器十年的零配件供应和维修服务（提供报修后</w:t>
      </w:r>
      <w:r>
        <w:rPr>
          <w:rFonts w:ascii="宋体" w:hAnsi="宋体" w:cs="宋体"/>
          <w:color w:val="auto"/>
          <w:sz w:val="24"/>
          <w:szCs w:val="32"/>
          <w:highlight w:val="none"/>
        </w:rPr>
        <w:t>24</w:t>
      </w:r>
      <w:r>
        <w:rPr>
          <w:rFonts w:hint="eastAsia" w:ascii="宋体" w:hAnsi="宋体" w:cs="宋体"/>
          <w:color w:val="auto"/>
          <w:sz w:val="24"/>
          <w:szCs w:val="32"/>
          <w:highlight w:val="none"/>
        </w:rPr>
        <w:t>小时内工程师上门常规付费服务）。</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9</w:t>
      </w:r>
      <w:r>
        <w:rPr>
          <w:rFonts w:hint="eastAsia" w:ascii="宋体" w:hAnsi="宋体" w:cs="宋体"/>
          <w:color w:val="auto"/>
          <w:sz w:val="24"/>
          <w:szCs w:val="32"/>
          <w:highlight w:val="none"/>
        </w:rPr>
        <w:t>、首次计量检测费用由供应商承担，同时供应商按成本价提供后续计量服务。</w:t>
      </w:r>
    </w:p>
    <w:p>
      <w:pPr>
        <w:widowControl/>
        <w:spacing w:line="360" w:lineRule="auto"/>
        <w:ind w:firstLine="480" w:firstLineChars="200"/>
        <w:rPr>
          <w:rFonts w:hint="eastAsia" w:ascii="宋体" w:hAnsi="宋体" w:cs="宋体"/>
          <w:color w:val="auto"/>
          <w:sz w:val="24"/>
          <w:szCs w:val="32"/>
          <w:highlight w:val="none"/>
        </w:rPr>
      </w:pPr>
      <w:r>
        <w:rPr>
          <w:rFonts w:ascii="宋体" w:hAnsi="宋体" w:cs="宋体"/>
          <w:color w:val="auto"/>
          <w:sz w:val="24"/>
          <w:szCs w:val="32"/>
          <w:highlight w:val="none"/>
        </w:rPr>
        <w:t>10</w:t>
      </w:r>
      <w:r>
        <w:rPr>
          <w:rFonts w:hint="eastAsia" w:ascii="宋体" w:hAnsi="宋体" w:cs="宋体"/>
          <w:color w:val="auto"/>
          <w:sz w:val="24"/>
          <w:szCs w:val="32"/>
          <w:highlight w:val="none"/>
        </w:rPr>
        <w:t>、付款方式：对评审委员会认定供应商（以制造商为准）为中小企业的合同：签订合同时，供应商应向采购人提交预付款保函。采购人在收到预付款保函、合同生效且项目具备实施条件后7个工作日内支付合同金额的40%作为预付款；货物安装验收合格后付清余款。在签订合同时，供应商明确表示无需预付款或者主动要求降低预付款比例的，双方可另行协商确定付款方式。</w:t>
      </w:r>
    </w:p>
    <w:p>
      <w:pPr>
        <w:widowControl/>
        <w:spacing w:line="360" w:lineRule="auto"/>
        <w:ind w:firstLine="480" w:firstLineChars="200"/>
        <w:rPr>
          <w:color w:val="auto"/>
          <w:highlight w:val="none"/>
        </w:rPr>
      </w:pPr>
      <w:r>
        <w:rPr>
          <w:rFonts w:hint="eastAsia" w:ascii="宋体" w:hAnsi="宋体" w:cs="宋体"/>
          <w:color w:val="auto"/>
          <w:sz w:val="24"/>
          <w:szCs w:val="32"/>
          <w:highlight w:val="none"/>
        </w:rPr>
        <w:t>对非中小企业的合同：设备安装验收合格且在合同发票开具后支付合同总价的100%。</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11</w:t>
      </w:r>
      <w:r>
        <w:rPr>
          <w:rFonts w:hint="eastAsia" w:ascii="宋体" w:hAnsi="宋体" w:cs="宋体"/>
          <w:color w:val="auto"/>
          <w:sz w:val="24"/>
          <w:szCs w:val="32"/>
          <w:highlight w:val="none"/>
        </w:rPr>
        <w:t>、中标后供应商承诺提供的产品生产日期应是一年内（合同签订日期开始倒推</w:t>
      </w:r>
      <w:r>
        <w:rPr>
          <w:rFonts w:ascii="宋体" w:hAnsi="宋体" w:cs="宋体"/>
          <w:color w:val="auto"/>
          <w:sz w:val="24"/>
          <w:szCs w:val="32"/>
          <w:highlight w:val="none"/>
        </w:rPr>
        <w:t>1</w:t>
      </w:r>
      <w:r>
        <w:rPr>
          <w:rFonts w:hint="eastAsia" w:ascii="宋体" w:hAnsi="宋体" w:cs="宋体"/>
          <w:color w:val="auto"/>
          <w:sz w:val="24"/>
          <w:szCs w:val="32"/>
          <w:highlight w:val="none"/>
        </w:rPr>
        <w:t>年）生产的原装全新未曾使用的产品。</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12</w:t>
      </w:r>
      <w:r>
        <w:rPr>
          <w:rFonts w:hint="eastAsia" w:ascii="宋体" w:hAnsi="宋体" w:cs="宋体"/>
          <w:color w:val="auto"/>
          <w:sz w:val="24"/>
          <w:szCs w:val="32"/>
          <w:highlight w:val="none"/>
        </w:rPr>
        <w:t>、交货期及地点：合同签订后</w:t>
      </w:r>
      <w:r>
        <w:rPr>
          <w:rFonts w:hint="eastAsia" w:ascii="宋体" w:hAnsi="宋体" w:cs="宋体"/>
          <w:color w:val="auto"/>
          <w:sz w:val="24"/>
          <w:szCs w:val="32"/>
          <w:highlight w:val="none"/>
          <w:lang w:val="en-US" w:eastAsia="zh-CN"/>
        </w:rPr>
        <w:t>两</w:t>
      </w:r>
      <w:r>
        <w:rPr>
          <w:rFonts w:hint="eastAsia" w:ascii="宋体" w:hAnsi="宋体" w:cs="宋体"/>
          <w:color w:val="auto"/>
          <w:sz w:val="24"/>
          <w:szCs w:val="32"/>
          <w:highlight w:val="none"/>
        </w:rPr>
        <w:t>个月内按院方要求货到指定地点并完成安装调试。</w:t>
      </w:r>
    </w:p>
    <w:p>
      <w:pPr>
        <w:spacing w:line="360" w:lineRule="auto"/>
        <w:ind w:firstLine="480" w:firstLineChars="200"/>
        <w:rPr>
          <w:rFonts w:ascii="宋体" w:cs="宋体"/>
          <w:color w:val="auto"/>
          <w:sz w:val="24"/>
          <w:szCs w:val="32"/>
          <w:highlight w:val="none"/>
        </w:rPr>
      </w:pPr>
      <w:r>
        <w:rPr>
          <w:rFonts w:ascii="宋体" w:hAnsi="宋体" w:cs="宋体"/>
          <w:color w:val="auto"/>
          <w:sz w:val="24"/>
          <w:szCs w:val="32"/>
          <w:highlight w:val="none"/>
        </w:rPr>
        <w:t>13</w:t>
      </w:r>
      <w:r>
        <w:rPr>
          <w:rFonts w:hint="eastAsia" w:ascii="宋体" w:hAnsi="宋体" w:cs="宋体"/>
          <w:color w:val="auto"/>
          <w:sz w:val="24"/>
          <w:szCs w:val="32"/>
          <w:highlight w:val="none"/>
        </w:rPr>
        <w:t>、厂家提供</w:t>
      </w:r>
      <w:r>
        <w:rPr>
          <w:rFonts w:ascii="宋体" w:hAnsi="宋体" w:cs="宋体"/>
          <w:color w:val="auto"/>
          <w:sz w:val="24"/>
          <w:szCs w:val="32"/>
          <w:highlight w:val="none"/>
        </w:rPr>
        <w:t>24</w:t>
      </w:r>
      <w:r>
        <w:rPr>
          <w:rFonts w:hint="eastAsia" w:ascii="宋体" w:hAnsi="宋体" w:cs="宋体"/>
          <w:color w:val="auto"/>
          <w:sz w:val="24"/>
          <w:szCs w:val="32"/>
          <w:highlight w:val="none"/>
        </w:rPr>
        <w:t>小时在线服务，一般故障</w:t>
      </w:r>
      <w:r>
        <w:rPr>
          <w:rFonts w:ascii="宋体" w:hAnsi="宋体" w:cs="宋体"/>
          <w:color w:val="auto"/>
          <w:sz w:val="24"/>
          <w:szCs w:val="32"/>
          <w:highlight w:val="none"/>
        </w:rPr>
        <w:t>24</w:t>
      </w:r>
      <w:r>
        <w:rPr>
          <w:rFonts w:hint="eastAsia" w:ascii="宋体" w:hAnsi="宋体" w:cs="宋体"/>
          <w:color w:val="auto"/>
          <w:sz w:val="24"/>
          <w:szCs w:val="32"/>
          <w:highlight w:val="none"/>
        </w:rPr>
        <w:t>小时内修复；如需更换配件，应在</w:t>
      </w:r>
      <w:r>
        <w:rPr>
          <w:rFonts w:ascii="宋体" w:hAnsi="宋体" w:cs="宋体"/>
          <w:color w:val="auto"/>
          <w:sz w:val="24"/>
          <w:szCs w:val="32"/>
          <w:highlight w:val="none"/>
        </w:rPr>
        <w:t>72</w:t>
      </w:r>
      <w:r>
        <w:rPr>
          <w:rFonts w:hint="eastAsia" w:ascii="宋体" w:hAnsi="宋体" w:cs="宋体"/>
          <w:color w:val="auto"/>
          <w:sz w:val="24"/>
          <w:szCs w:val="32"/>
          <w:highlight w:val="none"/>
        </w:rPr>
        <w:t>小时内解决问题，如不能解决，厂家需提供备用机供用户使用。</w:t>
      </w:r>
    </w:p>
    <w:p>
      <w:pPr>
        <w:spacing w:line="360" w:lineRule="auto"/>
        <w:ind w:firstLine="480" w:firstLineChars="200"/>
        <w:rPr>
          <w:rFonts w:hint="eastAsia" w:ascii="宋体" w:hAnsi="宋体" w:eastAsia="宋体" w:cs="宋体"/>
          <w:color w:val="auto"/>
          <w:sz w:val="24"/>
          <w:szCs w:val="32"/>
          <w:highlight w:val="none"/>
        </w:rPr>
      </w:pPr>
      <w:r>
        <w:rPr>
          <w:rFonts w:ascii="宋体" w:hAnsi="宋体" w:cs="宋体"/>
          <w:color w:val="auto"/>
          <w:sz w:val="24"/>
          <w:szCs w:val="32"/>
          <w:highlight w:val="none"/>
        </w:rPr>
        <w:t>14</w:t>
      </w:r>
      <w:r>
        <w:rPr>
          <w:rFonts w:hint="eastAsia" w:ascii="宋体" w:hAnsi="宋体" w:cs="宋体"/>
          <w:color w:val="auto"/>
          <w:sz w:val="24"/>
          <w:szCs w:val="32"/>
          <w:highlight w:val="none"/>
        </w:rPr>
        <w:t>、仪器安装后若发现主要参数与标书响应不符，应无条件退货，供应商承</w:t>
      </w:r>
      <w:r>
        <w:rPr>
          <w:rFonts w:hint="eastAsia" w:ascii="宋体" w:hAnsi="宋体" w:eastAsia="宋体" w:cs="宋体"/>
          <w:color w:val="auto"/>
          <w:sz w:val="24"/>
          <w:szCs w:val="32"/>
          <w:highlight w:val="none"/>
        </w:rPr>
        <w:t>担全部责任。</w:t>
      </w:r>
    </w:p>
    <w:p>
      <w:pPr>
        <w:pStyle w:val="36"/>
        <w:rPr>
          <w:rFonts w:hint="eastAsia" w:ascii="宋体" w:hAnsi="宋体" w:cs="宋体"/>
          <w:color w:val="auto"/>
          <w:kern w:val="0"/>
          <w:szCs w:val="21"/>
          <w:highlight w:val="none"/>
          <w:lang w:eastAsia="zh-CN"/>
        </w:rPr>
      </w:pPr>
      <w:r>
        <w:rPr>
          <w:rFonts w:hint="eastAsia" w:ascii="宋体" w:hAnsi="宋体" w:eastAsia="宋体" w:cs="宋体"/>
          <w:color w:val="auto"/>
          <w:sz w:val="24"/>
          <w:szCs w:val="32"/>
          <w:highlight w:val="none"/>
          <w:lang w:val="en-US" w:eastAsia="zh-CN"/>
        </w:rPr>
        <w:t>★</w:t>
      </w:r>
      <w:r>
        <w:rPr>
          <w:rFonts w:hint="eastAsia" w:ascii="宋体" w:hAnsi="宋体" w:cs="宋体"/>
          <w:color w:val="auto"/>
          <w:sz w:val="24"/>
          <w:szCs w:val="32"/>
          <w:highlight w:val="none"/>
          <w:lang w:val="en-US" w:eastAsia="zh-CN"/>
        </w:rPr>
        <w:t>15、</w:t>
      </w:r>
      <w:r>
        <w:rPr>
          <w:rFonts w:hint="eastAsia" w:ascii="宋体" w:hAnsi="宋体"/>
          <w:color w:val="auto"/>
          <w:szCs w:val="21"/>
          <w:highlight w:val="none"/>
        </w:rPr>
        <w:t>若设备有信息系统接口，则全部免费开放</w:t>
      </w:r>
      <w:r>
        <w:rPr>
          <w:rFonts w:hint="eastAsia" w:ascii="宋体" w:hAnsi="宋体"/>
          <w:color w:val="auto"/>
          <w:szCs w:val="21"/>
          <w:highlight w:val="none"/>
          <w:lang w:eastAsia="zh-CN"/>
        </w:rPr>
        <w:t>，</w:t>
      </w:r>
      <w:r>
        <w:rPr>
          <w:rFonts w:hint="eastAsia" w:ascii="宋体" w:hAnsi="宋体" w:cs="宋体"/>
          <w:color w:val="auto"/>
          <w:kern w:val="0"/>
          <w:szCs w:val="21"/>
          <w:highlight w:val="none"/>
        </w:rPr>
        <w:t>免费连入医院信息系统</w:t>
      </w:r>
      <w:r>
        <w:rPr>
          <w:rFonts w:hint="eastAsia" w:ascii="宋体" w:hAnsi="宋体" w:cs="宋体"/>
          <w:color w:val="auto"/>
          <w:kern w:val="0"/>
          <w:szCs w:val="21"/>
          <w:highlight w:val="none"/>
          <w:lang w:eastAsia="zh-CN"/>
        </w:rPr>
        <w:t>。</w:t>
      </w:r>
    </w:p>
    <w:p>
      <w:pPr>
        <w:spacing w:line="360" w:lineRule="auto"/>
        <w:rPr>
          <w:rFonts w:hint="eastAsia" w:ascii="宋体" w:hAnsi="宋体" w:eastAsia="宋体" w:cs="宋体"/>
          <w:b/>
          <w:bCs/>
          <w:color w:val="auto"/>
          <w:sz w:val="24"/>
          <w:szCs w:val="32"/>
          <w:highlight w:val="none"/>
        </w:rPr>
      </w:pPr>
      <w:r>
        <w:rPr>
          <w:rFonts w:hint="eastAsia" w:ascii="宋体" w:hAnsi="宋体" w:cs="宋体"/>
          <w:b/>
          <w:bCs/>
          <w:color w:val="auto"/>
          <w:sz w:val="24"/>
          <w:szCs w:val="32"/>
          <w:highlight w:val="none"/>
          <w:lang w:val="en-US" w:eastAsia="zh-CN"/>
        </w:rPr>
        <w:t>四</w:t>
      </w:r>
      <w:r>
        <w:rPr>
          <w:rFonts w:hint="eastAsia" w:ascii="宋体" w:hAnsi="宋体" w:eastAsia="宋体" w:cs="宋体"/>
          <w:b/>
          <w:bCs/>
          <w:color w:val="auto"/>
          <w:sz w:val="24"/>
          <w:szCs w:val="32"/>
          <w:highlight w:val="none"/>
        </w:rPr>
        <w:t>、其他</w:t>
      </w:r>
    </w:p>
    <w:p>
      <w:pPr>
        <w:spacing w:line="360" w:lineRule="auto"/>
        <w:ind w:firstLine="480" w:firstLineChars="200"/>
        <w:rPr>
          <w:rFonts w:hint="eastAsia" w:ascii="宋体" w:hAnsi="宋体" w:eastAsia="宋体" w:cs="宋体"/>
          <w:b/>
          <w:bCs/>
          <w:color w:val="auto"/>
          <w:sz w:val="36"/>
          <w:szCs w:val="44"/>
          <w:highlight w:val="none"/>
        </w:rPr>
      </w:pPr>
      <w:r>
        <w:rPr>
          <w:rFonts w:hint="eastAsia" w:ascii="宋体" w:hAnsi="宋体" w:eastAsia="宋体" w:cs="宋体"/>
          <w:color w:val="auto"/>
          <w:sz w:val="24"/>
          <w:szCs w:val="32"/>
          <w:highlight w:val="none"/>
        </w:rPr>
        <w:t>本项目中标（成交）供应商应在政府采购云平台（https://www.zcy.gov.cn/）上注册成为“政采云正式供应商”，如不按要求注册的，采购方有权延期发布中标（成交）通知书和中标（成交）公告，后果由供应商自行承担。</w:t>
      </w: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第五章 合同主要条款</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以下为成交后签定本项目合同的通用条款，成交供应商不得提出实质性的修改，关于专用条款将由采购人与成交供应商结合本项目具体情况协商后签订。</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甲方：</w:t>
      </w:r>
      <w:r>
        <w:rPr>
          <w:rFonts w:hint="eastAsia" w:ascii="宋体" w:hAnsi="宋体" w:eastAsia="宋体" w:cs="宋体"/>
          <w:b/>
          <w:bCs/>
          <w:color w:val="auto"/>
          <w:sz w:val="24"/>
          <w:szCs w:val="32"/>
          <w:highlight w:val="none"/>
        </w:rPr>
        <w:t>台州市中心医院（台州学院附属医院）</w:t>
      </w:r>
      <w:r>
        <w:rPr>
          <w:rFonts w:hint="eastAsia" w:ascii="宋体" w:hAnsi="宋体" w:eastAsia="宋体" w:cs="宋体"/>
          <w:color w:val="auto"/>
          <w:sz w:val="24"/>
          <w:szCs w:val="32"/>
          <w:highlight w:val="none"/>
        </w:rPr>
        <w:t>（以下简称甲方）</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乙方：</w:t>
      </w:r>
      <w:r>
        <w:rPr>
          <w:rFonts w:hint="eastAsia" w:ascii="宋体" w:hAnsi="宋体" w:eastAsia="宋体" w:cs="宋体"/>
          <w:b/>
          <w:bCs/>
          <w:color w:val="auto"/>
          <w:sz w:val="24"/>
          <w:szCs w:val="32"/>
          <w:highlight w:val="none"/>
          <w:u w:val="single"/>
        </w:rPr>
        <w:t xml:space="preserve">                                  </w:t>
      </w:r>
      <w:r>
        <w:rPr>
          <w:rFonts w:hint="eastAsia" w:ascii="宋体" w:hAnsi="宋体" w:eastAsia="宋体" w:cs="宋体"/>
          <w:color w:val="auto"/>
          <w:sz w:val="24"/>
          <w:szCs w:val="32"/>
          <w:highlight w:val="none"/>
        </w:rPr>
        <w:t>（以下简称乙方）</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合同签约地：浙江省台州市</w:t>
      </w:r>
    </w:p>
    <w:p>
      <w:pPr>
        <w:spacing w:line="360" w:lineRule="auto"/>
        <w:jc w:val="left"/>
        <w:rPr>
          <w:rFonts w:hint="eastAsia" w:ascii="宋体" w:hAnsi="宋体" w:eastAsia="宋体" w:cs="宋体"/>
          <w:b/>
          <w:bCs/>
          <w:color w:val="auto"/>
          <w:sz w:val="24"/>
          <w:szCs w:val="32"/>
          <w:highlight w:val="none"/>
        </w:rPr>
      </w:pPr>
      <w:r>
        <w:rPr>
          <w:rFonts w:hint="eastAsia" w:ascii="宋体" w:hAnsi="宋体" w:eastAsia="宋体" w:cs="宋体"/>
          <w:color w:val="auto"/>
          <w:sz w:val="24"/>
          <w:szCs w:val="32"/>
          <w:highlight w:val="none"/>
        </w:rPr>
        <w:t>合同编号：</w:t>
      </w:r>
      <w:r>
        <w:rPr>
          <w:rFonts w:hint="eastAsia" w:ascii="宋体" w:hAnsi="宋体" w:cs="宋体"/>
          <w:color w:val="auto"/>
          <w:sz w:val="24"/>
          <w:szCs w:val="32"/>
          <w:highlight w:val="none"/>
        </w:rPr>
        <w:t>ZXYY-</w:t>
      </w:r>
      <w:r>
        <w:rPr>
          <w:rFonts w:hint="eastAsia" w:ascii="宋体" w:hAnsi="宋体" w:cs="宋体"/>
          <w:color w:val="auto"/>
          <w:sz w:val="24"/>
          <w:szCs w:val="32"/>
          <w:highlight w:val="none"/>
          <w:lang w:val="en-US" w:eastAsia="zh-CN"/>
        </w:rPr>
        <w:t>SB</w:t>
      </w:r>
      <w:r>
        <w:rPr>
          <w:rFonts w:hint="eastAsia" w:ascii="宋体" w:hAnsi="宋体" w:cs="宋体"/>
          <w:color w:val="auto"/>
          <w:sz w:val="24"/>
          <w:szCs w:val="32"/>
          <w:highlight w:val="none"/>
        </w:rPr>
        <w:t>----</w:t>
      </w: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第一章  总 则</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1、根据招标情况和评标标准，确定乙方为中标人。根据招标处理办法，甲乙双方本着平等互惠、友好合作的原则，特签订本合同。</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第二章   标 的 物</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1、商品的名称、品牌、规格型号、产地、数量、价格等</w:t>
      </w:r>
    </w:p>
    <w:tbl>
      <w:tblPr>
        <w:tblStyle w:val="28"/>
        <w:tblW w:w="8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524"/>
        <w:gridCol w:w="696"/>
        <w:gridCol w:w="1176"/>
        <w:gridCol w:w="696"/>
        <w:gridCol w:w="696"/>
        <w:gridCol w:w="1236"/>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85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序号</w:t>
            </w:r>
          </w:p>
        </w:tc>
        <w:tc>
          <w:tcPr>
            <w:tcW w:w="1524"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商品名称</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品牌</w:t>
            </w:r>
          </w:p>
        </w:tc>
        <w:tc>
          <w:tcPr>
            <w:tcW w:w="117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规格型号</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产地</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数量</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单价</w:t>
            </w:r>
          </w:p>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（万元）</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总价</w:t>
            </w:r>
          </w:p>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5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w:t>
            </w:r>
          </w:p>
        </w:tc>
        <w:tc>
          <w:tcPr>
            <w:tcW w:w="1524" w:type="dxa"/>
            <w:vAlign w:val="center"/>
          </w:tcPr>
          <w:p>
            <w:pPr>
              <w:jc w:val="center"/>
              <w:rPr>
                <w:rFonts w:hint="eastAsia" w:ascii="宋体" w:hAnsi="宋体" w:eastAsia="宋体" w:cs="宋体"/>
                <w:color w:val="auto"/>
                <w:sz w:val="24"/>
                <w:szCs w:val="32"/>
                <w:highlight w:val="none"/>
              </w:rPr>
            </w:pPr>
          </w:p>
        </w:tc>
        <w:tc>
          <w:tcPr>
            <w:tcW w:w="696" w:type="dxa"/>
            <w:vAlign w:val="center"/>
          </w:tcPr>
          <w:p>
            <w:pPr>
              <w:jc w:val="center"/>
              <w:rPr>
                <w:rFonts w:hint="eastAsia" w:ascii="宋体" w:hAnsi="宋体" w:eastAsia="宋体" w:cs="宋体"/>
                <w:color w:val="auto"/>
                <w:sz w:val="24"/>
                <w:szCs w:val="32"/>
                <w:highlight w:val="none"/>
              </w:rPr>
            </w:pPr>
          </w:p>
        </w:tc>
        <w:tc>
          <w:tcPr>
            <w:tcW w:w="1176" w:type="dxa"/>
            <w:vAlign w:val="center"/>
          </w:tcPr>
          <w:p>
            <w:pPr>
              <w:jc w:val="center"/>
              <w:rPr>
                <w:rFonts w:hint="eastAsia" w:ascii="宋体" w:hAnsi="宋体" w:eastAsia="宋体" w:cs="宋体"/>
                <w:color w:val="auto"/>
                <w:sz w:val="24"/>
                <w:szCs w:val="32"/>
                <w:highlight w:val="none"/>
              </w:rPr>
            </w:pPr>
          </w:p>
        </w:tc>
        <w:tc>
          <w:tcPr>
            <w:tcW w:w="696" w:type="dxa"/>
            <w:vAlign w:val="center"/>
          </w:tcPr>
          <w:p>
            <w:pPr>
              <w:jc w:val="center"/>
              <w:rPr>
                <w:rFonts w:hint="eastAsia" w:ascii="宋体" w:hAnsi="宋体" w:eastAsia="宋体" w:cs="宋体"/>
                <w:color w:val="auto"/>
                <w:sz w:val="24"/>
                <w:szCs w:val="32"/>
                <w:highlight w:val="none"/>
              </w:rPr>
            </w:pPr>
          </w:p>
        </w:tc>
        <w:tc>
          <w:tcPr>
            <w:tcW w:w="696" w:type="dxa"/>
            <w:vAlign w:val="center"/>
          </w:tcPr>
          <w:p>
            <w:pPr>
              <w:jc w:val="center"/>
              <w:rPr>
                <w:rFonts w:hint="eastAsia" w:ascii="宋体" w:hAnsi="宋体" w:eastAsia="宋体" w:cs="宋体"/>
                <w:color w:val="auto"/>
                <w:sz w:val="24"/>
                <w:szCs w:val="32"/>
                <w:highlight w:val="none"/>
              </w:rPr>
            </w:pPr>
          </w:p>
        </w:tc>
        <w:tc>
          <w:tcPr>
            <w:tcW w:w="1236" w:type="dxa"/>
            <w:vAlign w:val="center"/>
          </w:tcPr>
          <w:p>
            <w:pPr>
              <w:jc w:val="center"/>
              <w:rPr>
                <w:rFonts w:hint="eastAsia" w:ascii="宋体" w:hAnsi="宋体" w:eastAsia="宋体" w:cs="宋体"/>
                <w:color w:val="auto"/>
                <w:sz w:val="24"/>
                <w:szCs w:val="32"/>
                <w:highlight w:val="none"/>
              </w:rPr>
            </w:pPr>
          </w:p>
        </w:tc>
        <w:tc>
          <w:tcPr>
            <w:tcW w:w="1236" w:type="dxa"/>
            <w:vAlign w:val="center"/>
          </w:tcPr>
          <w:p>
            <w:pPr>
              <w:jc w:val="center"/>
              <w:rPr>
                <w:rFonts w:hint="eastAsia" w:ascii="宋体" w:hAnsi="宋体" w:eastAsia="宋体" w:cs="宋体"/>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5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524"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17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69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c>
          <w:tcPr>
            <w:tcW w:w="1236" w:type="dxa"/>
            <w:vAlign w:val="center"/>
          </w:tcPr>
          <w:p>
            <w:pPr>
              <w:jc w:val="cente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8116" w:type="dxa"/>
            <w:gridSpan w:val="8"/>
            <w:vAlign w:val="center"/>
          </w:tcPr>
          <w:p>
            <w:pPr>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合计人民币（大写）：</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元整。</w:t>
            </w:r>
          </w:p>
        </w:tc>
      </w:tr>
    </w:tbl>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2、以上合同总价包含产品到达甲方并能正常使用所需的一切费用。</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3、配置要求详见配置清单。</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第三章  付款方式</w:t>
      </w:r>
    </w:p>
    <w:p>
      <w:pPr>
        <w:widowControl/>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lang w:val="en-US" w:eastAsia="zh-CN"/>
        </w:rPr>
        <w:t>1、</w:t>
      </w:r>
      <w:r>
        <w:rPr>
          <w:rFonts w:hint="eastAsia" w:ascii="宋体" w:hAnsi="宋体" w:cs="宋体"/>
          <w:color w:val="auto"/>
          <w:sz w:val="24"/>
          <w:szCs w:val="32"/>
          <w:highlight w:val="none"/>
        </w:rPr>
        <w:t>付款方式：对评审委员会认定供应商（以制造商为准）为中小企业的合同：签订合同时，供应商应向采购人提交预付款保函。采购人在收到预付款保函、合同生效且项目具备实施条件后7个工作日内支付合同金额的40%作为预付款；货物安装验收合格后付清余款。在签订合同时，供应商明确表示无需预付款或者主动要求降低预付款比例的，双方可另行协商确定付款方式。</w:t>
      </w:r>
    </w:p>
    <w:p>
      <w:pPr>
        <w:widowControl/>
        <w:spacing w:line="360" w:lineRule="auto"/>
        <w:ind w:firstLine="480" w:firstLineChars="200"/>
        <w:rPr>
          <w:rFonts w:hint="eastAsia" w:ascii="宋体" w:hAnsi="宋体" w:cs="宋体"/>
          <w:b/>
          <w:bCs/>
          <w:color w:val="auto"/>
          <w:sz w:val="24"/>
          <w:szCs w:val="32"/>
          <w:highlight w:val="none"/>
          <w:lang w:val="en-US" w:eastAsia="zh-CN"/>
        </w:rPr>
      </w:pPr>
      <w:r>
        <w:rPr>
          <w:rFonts w:hint="eastAsia" w:ascii="宋体" w:hAnsi="宋体" w:cs="宋体"/>
          <w:color w:val="auto"/>
          <w:sz w:val="24"/>
          <w:szCs w:val="32"/>
          <w:highlight w:val="none"/>
        </w:rPr>
        <w:t>对非中小企业的合同：设备安装验收合格且在合同发票开具后支付合同总价的100%。</w:t>
      </w: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第四章  交货时间、地点</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1、乙方在</w:t>
      </w:r>
      <w:r>
        <w:rPr>
          <w:rFonts w:hint="eastAsia" w:ascii="宋体" w:hAnsi="宋体" w:eastAsia="宋体" w:cs="宋体"/>
          <w:color w:val="auto"/>
          <w:sz w:val="24"/>
          <w:highlight w:val="none"/>
        </w:rPr>
        <w:t>合同签订后</w:t>
      </w:r>
      <w:r>
        <w:rPr>
          <w:rFonts w:hint="eastAsia" w:ascii="宋体" w:hAnsi="宋体" w:cs="宋体"/>
          <w:color w:val="auto"/>
          <w:sz w:val="24"/>
          <w:szCs w:val="32"/>
          <w:highlight w:val="none"/>
          <w:lang w:val="en-US" w:eastAsia="zh-CN"/>
        </w:rPr>
        <w:t>两</w:t>
      </w:r>
      <w:r>
        <w:rPr>
          <w:rFonts w:hint="eastAsia" w:ascii="宋体" w:hAnsi="宋体" w:eastAsia="宋体" w:cs="宋体"/>
          <w:color w:val="auto"/>
          <w:sz w:val="24"/>
          <w:szCs w:val="32"/>
          <w:highlight w:val="none"/>
        </w:rPr>
        <w:t>个月内按院方要求货到指定地点并完成安装调试。如发生由于乙方原因产生的逾期到货，乙方应按照逾期到货部分价款的每天0.3%向甲方付违约金。</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2、交货地点：台州市中心医院指定地点。</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第五章  货物包装、到货及安装验收</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1、乙方应在货物发运前对其进行满足运输距离、防潮、防震、防锈和防破损装卸等符合该货物国家相关规范及本身运输需要的要求包装，以保证货物安全运达甲方指定地点。</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2、乙方应在货物发送前48小时通知甲方发货信息；货物到后，乙方负责在经甲方电话或书面通知后7天内派工程师到院安装完毕，如超过时间，每天按货物总价的0.3%作为违约金付给甲方。</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3、设备验收规定</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（1）双方工作人员清点到货设备品名、数量、产地、规格型号、中文标识及合法证件等。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甲乙双方应按照合同及投标文件和承诺书对配置、功能以及其他相关数据测试方面进行一一验收。同时要求乙方提供海关报关单（如是进口设备）、商检证书（如是进口设备）、中文出厂检测报告、中文操作规程等文件资料用于验收。</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（3）对技术复杂的货物，甲方应邀请国家认可的专业检测机构或质控机构参与验收，并由其出具质量检测报告。</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（4）货物安装验收合格后，甲乙双方在验收报告上签字确认，货物安装调试工作完成。如有产生验收费用，则由乙方负责。</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4、乙方需对设备的合法性负全责（包括进货渠道、合法证件、购货发票等）。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5、乙方应保证所提供的货物或其任何一部分均不会侵犯任何第三方的知识产权；设备所含的软件甲方具有永久使用权。</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6、乙方保证所交付的货物的所有权完全属于乙方且无任何抵押、查封等产权瑕疵。</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乙方提供所有软件的备份光盘、License及所有口令信息，同时提供这些软件安装、调试及相关维护所需要的所有硬件和软件工具。不能提供上述内容的，则需到甲方现场提供所有软件终身免费安装（含硬件更换后软件重新安装调试）、调试、维护服务。</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8、首次计量检测费用由乙方承担，同时乙方按成本价提供后续计量服务。</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第六章  质量保证及售后服务</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保证本合同所供应的商品是最新生产的未曾使用过的符合国家技术规格和质量标准的出厂原装合格产品，同时该商品的所有技术性能应符合投标文件所响应条款。如发生所供商品与合同不符或者技术性能与投标文件不符等问题，甲方有权退货，并且由乙方赔偿因退货而给甲方造成的损失（赔偿金额为不少于合同总金额的10%）。</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2、乙方提供的货物在质保期内因货物本身的质量问题发生故障，乙方应负责免费更换。对达不到技术要求者，根据实际情况，经双方协商，可按以下办法处理：</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（1）更换：由乙方承担所发生的全部费用。</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（2）贬值处理：由甲乙双方合议定价。</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（3）退货处理：乙方应退还甲方支付的合同款，同时应承担该货物的直接费用（包括运输、保险、检验、货款利息及银行手续费等）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3、在质保期内，乙方应对货物出现的质量及安全问题负责处理解决并承担一切费用。</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4、质保期：在乙方货到安装调试验收合格并移交所有证件资料后开始计算质保期；全套设备免费保修</w:t>
      </w:r>
      <w:r>
        <w:rPr>
          <w:rFonts w:hint="eastAsia" w:ascii="宋体" w:hAnsi="宋体" w:eastAsia="宋体" w:cs="宋体"/>
          <w:color w:val="auto"/>
          <w:sz w:val="24"/>
          <w:szCs w:val="32"/>
          <w:highlight w:val="none"/>
          <w:u w:val="single"/>
        </w:rPr>
        <w:t xml:space="preserve">   </w:t>
      </w:r>
      <w:r>
        <w:rPr>
          <w:rFonts w:hint="eastAsia" w:ascii="宋体" w:hAnsi="宋体" w:eastAsia="宋体" w:cs="宋体"/>
          <w:color w:val="auto"/>
          <w:sz w:val="24"/>
          <w:szCs w:val="32"/>
          <w:highlight w:val="none"/>
        </w:rPr>
        <w:t>年（包含所有部件（消耗品除外））；质保期内每年进行2次免费维护（不包括维修）；质保期外，终身维修，维修只收配件成本费，维修配件提供时间不少于十年；在质保期内保证开机率大于等于95%（按工作日每超出开机率要求时间一天，保修时间相应延长十天），接到电话报修响应并到达医院时间小于24小时。</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乙方派出人员在提供安装验收和维修维护等所有服务中，应遵守甲方规章制度，不得泄漏甲方一切需要保密的信息或数据（包括但不限于病人信息、医院信息等），同时工作中须符合甲方院感要求；另需提供到甲方服务人员的健康证明、资质文件、培训记录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6、乙方在为甲方提供安装调试、维修维护及其他任何服务中，应负责乙方委派或派出人员的安全生产管理责任，并承担委派或派出人员在甲方服务期间因患病、意外伤害及其他原因导致损失的所有费用。</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第七章  技术支持、培训</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1、技术支持</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甲乙双方签订合同后，货到之前，乙方派遣工程技术人员免费进行场地设计及现场指导，并且乙方承诺为甲方免费提供软件升级，及时提供设备新功能和临床应用的资料。</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2、设备安装以后，乙方负责对甲方操作人员、维修人员进行技术培训。</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（1）乙方对甲方的操作人员进行现场操作培训直到甲方操作人员熟练掌握使用该设备各种性能为止，并提供详细的操作手册、电子版使用操作规程以及电子版培训资料。</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乙方对甲方的设备维修人员进行现场培训，使甲方人员能对设备进行日常的维修保养以及一般故障进行维修，同时为甲方维修人员提供详细的维修图纸及维修手册、故障代码表、维修密码及软件备份、电子版维护保养规程等。</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（3）其他乙方在投标文件或承诺书中有响应的培训内容按响应条款执行。</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第八章  合同的修改变更与解除</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1、对本合同及其附件变更或解除，必须合同双方签署书面协议才能生效。</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第九章  违约责任</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1、对一方的违约行为或合同执行中给对方造成的损失，责任方的赔偿额不高于实际的损失额度或本合同的总金额。</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第十章  争议的解决</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1、本合同一式陆份（甲方二份、乙方二份、招标代理机构一份、台州市政府采购监管处一份），具有同等法律效力，双方签字盖章后生效。</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2、凡有关本合同或执行本合同而发生的一切争议，应通过友好协商解决，如协商不成，则应申请甲方所在地法院裁决。</w:t>
      </w:r>
    </w:p>
    <w:p>
      <w:pPr>
        <w:spacing w:line="360" w:lineRule="auto"/>
        <w:jc w:val="center"/>
        <w:rPr>
          <w:rFonts w:hint="eastAsia" w:ascii="宋体" w:hAnsi="宋体" w:eastAsia="宋体" w:cs="宋体"/>
          <w:b/>
          <w:bCs/>
          <w:color w:val="auto"/>
          <w:sz w:val="24"/>
          <w:szCs w:val="32"/>
          <w:highlight w:val="none"/>
        </w:rPr>
      </w:pPr>
    </w:p>
    <w:p>
      <w:pPr>
        <w:spacing w:line="360" w:lineRule="auto"/>
        <w:jc w:val="center"/>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第十一章  其 它</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1、在合同有效期内，任何一方因不可抗力事件导致不能履行合同，则合同履行期可延长；不可抗力延续120天以上，双方应友好协商是否解除合同。</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2、本合同未尽事宜，可另行签订《补充协议》，《补充协议》与本合同具有同等法律效力。</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3、本合同未涉及到的内容以</w:t>
      </w:r>
      <w:r>
        <w:rPr>
          <w:rFonts w:hint="eastAsia" w:ascii="宋体" w:hAnsi="宋体" w:eastAsia="宋体" w:cs="宋体"/>
          <w:b/>
          <w:bCs/>
          <w:color w:val="auto"/>
          <w:sz w:val="24"/>
          <w:szCs w:val="32"/>
          <w:highlight w:val="none"/>
          <w:u w:val="single"/>
        </w:rPr>
        <w:t>编号：</w:t>
      </w:r>
      <w:r>
        <w:rPr>
          <w:rFonts w:hint="eastAsia" w:ascii="宋体" w:hAnsi="宋体" w:cs="宋体"/>
          <w:b/>
          <w:bCs/>
          <w:color w:val="auto"/>
          <w:sz w:val="24"/>
          <w:szCs w:val="32"/>
          <w:highlight w:val="none"/>
          <w:u w:val="single"/>
          <w:lang w:eastAsia="zh-CN"/>
        </w:rPr>
        <w:t>ZJWS2023-JJ392</w:t>
      </w:r>
      <w:r>
        <w:rPr>
          <w:rFonts w:hint="eastAsia" w:ascii="宋体" w:hAnsi="宋体" w:eastAsia="宋体" w:cs="宋体"/>
          <w:color w:val="auto"/>
          <w:sz w:val="24"/>
          <w:szCs w:val="32"/>
          <w:highlight w:val="none"/>
        </w:rPr>
        <w:t>项目中的招投标文件和承诺书为准。</w:t>
      </w:r>
    </w:p>
    <w:p>
      <w:pPr>
        <w:spacing w:line="360" w:lineRule="auto"/>
        <w:ind w:firstLine="480" w:firstLineChars="200"/>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4、若合同签定、执行过程中，乙方有违反国家法律法规或医院廉洁自律方面规章制度的行为，则本合同自动作废。</w:t>
      </w:r>
    </w:p>
    <w:p>
      <w:pPr>
        <w:spacing w:line="360" w:lineRule="auto"/>
        <w:jc w:val="left"/>
        <w:rPr>
          <w:rFonts w:hint="eastAsia" w:ascii="宋体" w:hAnsi="宋体" w:eastAsia="宋体" w:cs="宋体"/>
          <w:color w:val="auto"/>
          <w:sz w:val="24"/>
          <w:szCs w:val="32"/>
          <w:highlight w:val="none"/>
        </w:rPr>
      </w:pPr>
    </w:p>
    <w:p>
      <w:pPr>
        <w:spacing w:line="360" w:lineRule="auto"/>
        <w:jc w:val="left"/>
        <w:rPr>
          <w:rFonts w:hint="eastAsia" w:ascii="宋体" w:hAnsi="宋体" w:eastAsia="宋体" w:cs="宋体"/>
          <w:color w:val="auto"/>
          <w:sz w:val="24"/>
          <w:szCs w:val="32"/>
          <w:highlight w:val="none"/>
        </w:rPr>
      </w:pP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甲    方：                            乙    方：</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签字盖章：                            签字盖章： </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开户银行：                            开户银行：（必填）</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银行账号：                            银行账号：（必填）</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 xml:space="preserve">日    期：                            日    期： </w:t>
      </w:r>
    </w:p>
    <w:p>
      <w:pPr>
        <w:spacing w:line="360" w:lineRule="auto"/>
        <w:ind w:firstLine="480" w:firstLineChars="200"/>
        <w:jc w:val="left"/>
        <w:rPr>
          <w:rFonts w:hint="eastAsia" w:ascii="宋体" w:hAnsi="宋体" w:eastAsia="宋体" w:cs="宋体"/>
          <w:color w:val="auto"/>
          <w:sz w:val="24"/>
          <w:szCs w:val="32"/>
          <w:highlight w:val="none"/>
        </w:rPr>
      </w:pPr>
    </w:p>
    <w:p>
      <w:pPr>
        <w:spacing w:line="360" w:lineRule="auto"/>
        <w:ind w:firstLine="480" w:firstLineChars="200"/>
        <w:jc w:val="left"/>
        <w:rPr>
          <w:rFonts w:hint="eastAsia" w:ascii="宋体" w:hAnsi="宋体" w:eastAsia="宋体" w:cs="宋体"/>
          <w:color w:val="auto"/>
          <w:sz w:val="24"/>
          <w:szCs w:val="32"/>
          <w:highlight w:val="none"/>
        </w:rPr>
      </w:pP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鉴证方（鉴证章）：</w:t>
      </w:r>
    </w:p>
    <w:p>
      <w:pPr>
        <w:spacing w:line="360" w:lineRule="auto"/>
        <w:jc w:val="left"/>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日  期：</w:t>
      </w: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第六章 投标文件格式附件</w:t>
      </w:r>
    </w:p>
    <w:p>
      <w:pPr>
        <w:rPr>
          <w:rFonts w:hint="eastAsia" w:ascii="宋体" w:hAnsi="宋体" w:eastAsia="宋体" w:cs="宋体"/>
          <w:b/>
          <w:color w:val="auto"/>
          <w:kern w:val="0"/>
          <w:sz w:val="28"/>
          <w:szCs w:val="28"/>
          <w:highlight w:val="none"/>
        </w:rPr>
      </w:pPr>
      <w:r>
        <w:rPr>
          <w:rFonts w:hint="eastAsia" w:ascii="宋体" w:hAnsi="宋体" w:eastAsia="宋体" w:cs="宋体"/>
          <w:b/>
          <w:bCs/>
          <w:color w:val="auto"/>
          <w:sz w:val="28"/>
          <w:szCs w:val="36"/>
          <w:highlight w:val="none"/>
        </w:rPr>
        <w:t>附件1　</w:t>
      </w:r>
      <w:r>
        <w:rPr>
          <w:rFonts w:hint="eastAsia" w:ascii="宋体" w:hAnsi="宋体" w:eastAsia="宋体" w:cs="宋体"/>
          <w:color w:val="auto"/>
          <w:sz w:val="30"/>
          <w:szCs w:val="30"/>
          <w:highlight w:val="none"/>
        </w:rPr>
        <w:t xml:space="preserve">　　                                       </w:t>
      </w:r>
      <w:r>
        <w:rPr>
          <w:rFonts w:hint="eastAsia" w:ascii="宋体" w:hAnsi="宋体" w:eastAsia="宋体" w:cs="宋体"/>
          <w:color w:val="auto"/>
          <w:sz w:val="30"/>
          <w:szCs w:val="30"/>
          <w:highlight w:val="none"/>
          <w:u w:val="single"/>
        </w:rPr>
        <w:t xml:space="preserve">   </w:t>
      </w:r>
      <w:r>
        <w:rPr>
          <w:rFonts w:hint="eastAsia" w:ascii="宋体" w:hAnsi="宋体" w:eastAsia="宋体" w:cs="宋体"/>
          <w:bCs/>
          <w:color w:val="auto"/>
          <w:sz w:val="24"/>
          <w:highlight w:val="none"/>
        </w:rPr>
        <w:t>本</w:t>
      </w:r>
    </w:p>
    <w:p>
      <w:pPr>
        <w:spacing w:line="360" w:lineRule="auto"/>
        <w:rPr>
          <w:rFonts w:hint="eastAsia" w:ascii="宋体" w:hAnsi="宋体" w:eastAsia="宋体" w:cs="宋体"/>
          <w:b/>
          <w:color w:val="auto"/>
          <w:sz w:val="30"/>
          <w:szCs w:val="30"/>
          <w:highlight w:val="none"/>
        </w:rPr>
      </w:pPr>
    </w:p>
    <w:p>
      <w:pPr>
        <w:spacing w:line="360" w:lineRule="auto"/>
        <w:jc w:val="center"/>
        <w:rPr>
          <w:rFonts w:hint="eastAsia" w:ascii="宋体" w:hAnsi="宋体" w:eastAsia="宋体" w:cs="宋体"/>
          <w:color w:val="auto"/>
          <w:spacing w:val="40"/>
          <w:sz w:val="52"/>
          <w:szCs w:val="52"/>
          <w:highlight w:val="none"/>
        </w:rPr>
      </w:pPr>
      <w:r>
        <w:rPr>
          <w:rFonts w:hint="eastAsia" w:ascii="宋体" w:hAnsi="宋体" w:eastAsia="宋体" w:cs="宋体"/>
          <w:color w:val="auto"/>
          <w:spacing w:val="40"/>
          <w:sz w:val="52"/>
          <w:szCs w:val="52"/>
          <w:highlight w:val="none"/>
        </w:rPr>
        <w:t>项目名称</w:t>
      </w:r>
    </w:p>
    <w:p>
      <w:pPr>
        <w:spacing w:line="36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项目编号：（标段）</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投</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标</w:t>
      </w:r>
    </w:p>
    <w:p>
      <w:pPr>
        <w:autoSpaceDE w:val="0"/>
        <w:autoSpaceDN w:val="0"/>
        <w:adjustRightInd w:val="0"/>
        <w:spacing w:line="360" w:lineRule="auto"/>
        <w:jc w:val="center"/>
        <w:rPr>
          <w:rFonts w:hint="eastAsia" w:ascii="宋体" w:hAnsi="宋体" w:eastAsia="宋体" w:cs="宋体"/>
          <w:color w:val="auto"/>
          <w:sz w:val="84"/>
          <w:szCs w:val="84"/>
          <w:highlight w:val="none"/>
        </w:rPr>
      </w:pPr>
      <w:r>
        <w:rPr>
          <w:rFonts w:hint="eastAsia" w:ascii="宋体" w:hAnsi="宋体" w:eastAsia="宋体" w:cs="宋体"/>
          <w:color w:val="auto"/>
          <w:sz w:val="84"/>
          <w:szCs w:val="84"/>
          <w:highlight w:val="none"/>
          <w:lang w:val="zh-CN"/>
        </w:rPr>
        <w:t>文</w:t>
      </w:r>
    </w:p>
    <w:p>
      <w:pPr>
        <w:autoSpaceDE w:val="0"/>
        <w:autoSpaceDN w:val="0"/>
        <w:adjustRightInd w:val="0"/>
        <w:spacing w:line="360" w:lineRule="auto"/>
        <w:jc w:val="center"/>
        <w:rPr>
          <w:rFonts w:hint="eastAsia" w:ascii="宋体" w:hAnsi="宋体" w:eastAsia="宋体" w:cs="宋体"/>
          <w:color w:val="auto"/>
          <w:sz w:val="84"/>
          <w:szCs w:val="84"/>
          <w:highlight w:val="none"/>
          <w:lang w:val="zh-CN"/>
        </w:rPr>
      </w:pPr>
      <w:r>
        <w:rPr>
          <w:rFonts w:hint="eastAsia" w:ascii="宋体" w:hAnsi="宋体" w:eastAsia="宋体" w:cs="宋体"/>
          <w:color w:val="auto"/>
          <w:sz w:val="84"/>
          <w:szCs w:val="84"/>
          <w:highlight w:val="none"/>
          <w:lang w:val="zh-CN"/>
        </w:rPr>
        <w:t>件</w:t>
      </w:r>
    </w:p>
    <w:p>
      <w:pPr>
        <w:autoSpaceDE w:val="0"/>
        <w:autoSpaceDN w:val="0"/>
        <w:adjustRightInd w:val="0"/>
        <w:spacing w:line="360" w:lineRule="auto"/>
        <w:jc w:val="center"/>
        <w:rPr>
          <w:rFonts w:hint="eastAsia" w:ascii="宋体" w:hAnsi="宋体" w:eastAsia="宋体" w:cs="宋体"/>
          <w:b/>
          <w:color w:val="auto"/>
          <w:spacing w:val="40"/>
          <w:sz w:val="28"/>
          <w:szCs w:val="28"/>
          <w:highlight w:val="none"/>
        </w:rPr>
      </w:pPr>
      <w:r>
        <w:rPr>
          <w:rFonts w:hint="eastAsia" w:ascii="宋体" w:hAnsi="宋体" w:eastAsia="宋体" w:cs="宋体"/>
          <w:color w:val="auto"/>
          <w:sz w:val="28"/>
          <w:szCs w:val="28"/>
          <w:highlight w:val="none"/>
          <w:lang w:val="zh-CN"/>
        </w:rPr>
        <w:t>（</w:t>
      </w:r>
      <w:r>
        <w:rPr>
          <w:rFonts w:hint="eastAsia" w:ascii="宋体" w:hAnsi="宋体" w:eastAsia="宋体" w:cs="宋体"/>
          <w:b/>
          <w:color w:val="auto"/>
          <w:spacing w:val="40"/>
          <w:sz w:val="28"/>
          <w:szCs w:val="28"/>
          <w:highlight w:val="none"/>
        </w:rPr>
        <w:t>资格证明文件）</w:t>
      </w:r>
    </w:p>
    <w:p>
      <w:pPr>
        <w:autoSpaceDE w:val="0"/>
        <w:autoSpaceDN w:val="0"/>
        <w:adjustRightInd w:val="0"/>
        <w:spacing w:line="360" w:lineRule="auto"/>
        <w:rPr>
          <w:rFonts w:hint="eastAsia" w:ascii="宋体" w:hAnsi="宋体" w:eastAsia="宋体" w:cs="宋体"/>
          <w:color w:val="auto"/>
          <w:sz w:val="36"/>
          <w:szCs w:val="36"/>
          <w:highlight w:val="none"/>
        </w:rPr>
      </w:pPr>
    </w:p>
    <w:p>
      <w:pPr>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投标人全称（公章）：</w:t>
      </w:r>
    </w:p>
    <w:p>
      <w:pPr>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地址：</w:t>
      </w:r>
    </w:p>
    <w:p>
      <w:pPr>
        <w:autoSpaceDE w:val="0"/>
        <w:autoSpaceDN w:val="0"/>
        <w:adjustRightInd w:val="0"/>
        <w:spacing w:line="360" w:lineRule="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时间：</w:t>
      </w: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jc w:val="center"/>
        <w:rPr>
          <w:rFonts w:hint="eastAsia" w:ascii="宋体" w:hAnsi="宋体" w:eastAsia="宋体" w:cs="宋体"/>
          <w:b/>
          <w:bCs/>
          <w:color w:val="auto"/>
          <w:sz w:val="36"/>
          <w:szCs w:val="44"/>
          <w:highlight w:val="none"/>
        </w:rPr>
      </w:pPr>
      <w:r>
        <w:rPr>
          <w:rFonts w:hint="eastAsia" w:ascii="宋体" w:hAnsi="宋体" w:eastAsia="宋体" w:cs="宋体"/>
          <w:b/>
          <w:bCs/>
          <w:color w:val="auto"/>
          <w:sz w:val="36"/>
          <w:szCs w:val="44"/>
          <w:highlight w:val="none"/>
        </w:rPr>
        <w:t>资格证明文件目录</w:t>
      </w:r>
    </w:p>
    <w:p>
      <w:pPr>
        <w:spacing w:line="360" w:lineRule="auto"/>
        <w:rPr>
          <w:rFonts w:hint="eastAsia" w:ascii="宋体" w:hAnsi="宋体" w:eastAsia="宋体" w:cs="宋体"/>
          <w:color w:val="auto"/>
          <w:sz w:val="24"/>
          <w:szCs w:val="32"/>
          <w:highlight w:val="none"/>
        </w:rPr>
      </w:pP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1</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投标声明书；</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2</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2</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授权委托书（法定代表人亲自办理投标事宜的，则无需提交）；</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3</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3</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法人或者其他组织的营业执照等证明文件，自然人的身份证明；</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4</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4</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具有良好的商业信誉和健全的财务会计制度的承诺；</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5</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5</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依法缴纳税收和社会保障资金的承诺；</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6</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6</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参加政府采购活动前三年内，在经营活动中没有重大违法记录；</w:t>
      </w:r>
      <w:r>
        <w:rPr>
          <w:rFonts w:hint="eastAsia" w:ascii="宋体" w:hAnsi="宋体" w:eastAsia="宋体" w:cs="宋体"/>
          <w:color w:val="auto"/>
          <w:sz w:val="28"/>
          <w:szCs w:val="36"/>
          <w:highlight w:val="none"/>
          <w:lang w:eastAsia="zh-CN"/>
        </w:rPr>
        <w:t>（附件</w:t>
      </w:r>
      <w:r>
        <w:rPr>
          <w:rFonts w:hint="eastAsia" w:ascii="宋体" w:hAnsi="宋体" w:cs="宋体"/>
          <w:color w:val="auto"/>
          <w:sz w:val="28"/>
          <w:szCs w:val="36"/>
          <w:highlight w:val="none"/>
          <w:lang w:val="en-US" w:eastAsia="zh-CN"/>
        </w:rPr>
        <w:t>7</w:t>
      </w:r>
      <w:r>
        <w:rPr>
          <w:rFonts w:hint="eastAsia" w:ascii="宋体" w:hAnsi="宋体" w:eastAsia="宋体" w:cs="宋体"/>
          <w:color w:val="auto"/>
          <w:sz w:val="28"/>
          <w:szCs w:val="36"/>
          <w:highlight w:val="none"/>
          <w:lang w:eastAsia="zh-CN"/>
        </w:rPr>
        <w:t>）</w:t>
      </w:r>
    </w:p>
    <w:p>
      <w:pPr>
        <w:spacing w:line="360" w:lineRule="auto"/>
        <w:ind w:firstLine="560" w:firstLineChars="200"/>
        <w:rPr>
          <w:rFonts w:hint="eastAsia" w:ascii="宋体" w:hAnsi="宋体" w:eastAsia="宋体" w:cs="宋体"/>
          <w:color w:val="auto"/>
          <w:sz w:val="28"/>
          <w:szCs w:val="36"/>
          <w:highlight w:val="none"/>
        </w:rPr>
      </w:pPr>
      <w:r>
        <w:rPr>
          <w:rFonts w:hint="eastAsia" w:ascii="宋体" w:hAnsi="宋体" w:cs="宋体"/>
          <w:color w:val="auto"/>
          <w:sz w:val="28"/>
          <w:szCs w:val="36"/>
          <w:highlight w:val="none"/>
          <w:lang w:val="en-US" w:eastAsia="zh-CN"/>
        </w:rPr>
        <w:t>7</w:t>
      </w:r>
      <w:r>
        <w:rPr>
          <w:rFonts w:hint="eastAsia" w:ascii="宋体" w:hAnsi="宋体" w:eastAsia="宋体" w:cs="宋体"/>
          <w:color w:val="auto"/>
          <w:sz w:val="28"/>
          <w:szCs w:val="36"/>
          <w:highlight w:val="none"/>
          <w:lang w:val="en-US" w:eastAsia="zh-CN"/>
        </w:rPr>
        <w:t>、</w:t>
      </w:r>
      <w:r>
        <w:rPr>
          <w:rFonts w:hint="eastAsia" w:ascii="宋体" w:hAnsi="宋体" w:eastAsia="宋体" w:cs="宋体"/>
          <w:color w:val="auto"/>
          <w:sz w:val="28"/>
          <w:szCs w:val="36"/>
          <w:highlight w:val="none"/>
        </w:rPr>
        <w:t>需要说明的其他资料。</w:t>
      </w: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color w:val="auto"/>
          <w:sz w:val="24"/>
          <w:szCs w:val="32"/>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bidi w:val="0"/>
        <w:spacing w:line="360" w:lineRule="auto"/>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 xml:space="preserve">2                  </w:t>
      </w:r>
      <w:r>
        <w:rPr>
          <w:rFonts w:hint="eastAsia" w:ascii="宋体" w:hAnsi="宋体" w:eastAsia="宋体" w:cs="宋体"/>
          <w:b/>
          <w:bCs/>
          <w:color w:val="auto"/>
          <w:sz w:val="28"/>
          <w:szCs w:val="36"/>
          <w:highlight w:val="none"/>
          <w:lang w:val="zh-CN"/>
        </w:rPr>
        <w:t>投标声明书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lang w:eastAsia="zh-CN"/>
        </w:rPr>
        <w:t>浙江五石中正工程咨询有限公司</w:t>
      </w:r>
      <w:r>
        <w:rPr>
          <w:rFonts w:hint="eastAsia" w:ascii="宋体" w:hAnsi="宋体" w:cs="宋体"/>
          <w:color w:val="auto"/>
          <w:sz w:val="24"/>
          <w:szCs w:val="32"/>
          <w:highlight w:val="none"/>
        </w:rPr>
        <w:t>（采购代理机构名称）：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u w:val="single"/>
        </w:rPr>
        <w:t>（供应商名称）</w:t>
      </w:r>
      <w:r>
        <w:rPr>
          <w:rFonts w:hint="eastAsia" w:ascii="宋体" w:hAnsi="宋体" w:cs="宋体"/>
          <w:color w:val="auto"/>
          <w:sz w:val="24"/>
          <w:szCs w:val="32"/>
          <w:highlight w:val="none"/>
        </w:rPr>
        <w:t>系中华人民共和国合法企业，经营地址</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我（</w:t>
      </w:r>
      <w:r>
        <w:rPr>
          <w:rFonts w:hint="eastAsia" w:ascii="宋体" w:hAnsi="宋体" w:cs="宋体"/>
          <w:color w:val="auto"/>
          <w:sz w:val="24"/>
          <w:szCs w:val="32"/>
          <w:highlight w:val="none"/>
          <w:u w:val="single"/>
        </w:rPr>
        <w:t xml:space="preserve"> 姓名 </w:t>
      </w:r>
      <w:r>
        <w:rPr>
          <w:rFonts w:hint="eastAsia" w:ascii="宋体" w:hAnsi="宋体" w:cs="宋体"/>
          <w:color w:val="auto"/>
          <w:sz w:val="24"/>
          <w:szCs w:val="32"/>
          <w:highlight w:val="none"/>
        </w:rPr>
        <w:t>）系（</w:t>
      </w:r>
      <w:r>
        <w:rPr>
          <w:rFonts w:hint="eastAsia" w:ascii="宋体" w:hAnsi="宋体" w:cs="宋体"/>
          <w:color w:val="auto"/>
          <w:sz w:val="24"/>
          <w:szCs w:val="32"/>
          <w:highlight w:val="none"/>
          <w:u w:val="single"/>
        </w:rPr>
        <w:t xml:space="preserve"> 供应商名称 </w:t>
      </w:r>
      <w:r>
        <w:rPr>
          <w:rFonts w:hint="eastAsia" w:ascii="宋体" w:hAnsi="宋体" w:cs="宋体"/>
          <w:color w:val="auto"/>
          <w:sz w:val="24"/>
          <w:szCs w:val="32"/>
          <w:highlight w:val="none"/>
        </w:rPr>
        <w:t>）的法定代表人，我公司自愿参加贵方组织的（</w:t>
      </w:r>
      <w:r>
        <w:rPr>
          <w:rFonts w:hint="eastAsia" w:ascii="宋体" w:hAnsi="宋体" w:cs="宋体"/>
          <w:color w:val="auto"/>
          <w:sz w:val="24"/>
          <w:szCs w:val="32"/>
          <w:highlight w:val="none"/>
          <w:u w:val="single"/>
          <w:lang w:eastAsia="zh-CN"/>
        </w:rPr>
        <w:t>DSA杂交手术室设备采购项目</w:t>
      </w:r>
      <w:r>
        <w:rPr>
          <w:rFonts w:hint="eastAsia" w:ascii="宋体" w:hAnsi="宋体" w:cs="宋体"/>
          <w:color w:val="auto"/>
          <w:sz w:val="24"/>
          <w:szCs w:val="32"/>
          <w:highlight w:val="none"/>
        </w:rPr>
        <w:t>）（编号为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lang w:eastAsia="zh-CN"/>
        </w:rPr>
        <w:t>ZJWS2023-JJ392</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）的</w:t>
      </w:r>
      <w:r>
        <w:rPr>
          <w:rFonts w:hint="eastAsia" w:ascii="宋体" w:hAnsi="宋体" w:cs="宋体"/>
          <w:color w:val="auto"/>
          <w:sz w:val="24"/>
          <w:szCs w:val="32"/>
          <w:highlight w:val="none"/>
          <w:lang w:eastAsia="zh-CN"/>
        </w:rPr>
        <w:t>公开招标</w:t>
      </w:r>
      <w:r>
        <w:rPr>
          <w:rFonts w:hint="eastAsia" w:ascii="宋体" w:hAnsi="宋体" w:cs="宋体"/>
          <w:color w:val="auto"/>
          <w:sz w:val="24"/>
          <w:szCs w:val="32"/>
          <w:highlight w:val="none"/>
        </w:rPr>
        <w:t>，为此，我公司就本次</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有关事项郑重声明如下：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1、我公司声明截止</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时间近三年以来：在参加政府采购活动过程中无任何不良行为记录；无重大违法记录（重大违法记录是指供应商因违法经营受到刑事处罚或者责令停产停业、吊销许可证或者执照、较大数额罚款等行政处罚）。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2、我公司在参与</w:t>
      </w:r>
      <w:r>
        <w:rPr>
          <w:rFonts w:hint="eastAsia" w:ascii="宋体" w:hAnsi="宋体" w:cs="宋体"/>
          <w:color w:val="auto"/>
          <w:sz w:val="24"/>
          <w:szCs w:val="32"/>
          <w:highlight w:val="none"/>
          <w:lang w:eastAsia="zh-CN"/>
        </w:rPr>
        <w:t>投标</w:t>
      </w:r>
      <w:r>
        <w:rPr>
          <w:rFonts w:hint="eastAsia" w:ascii="宋体" w:hAnsi="宋体" w:cs="宋体"/>
          <w:color w:val="auto"/>
          <w:sz w:val="24"/>
          <w:szCs w:val="32"/>
          <w:highlight w:val="none"/>
        </w:rPr>
        <w:t>前已详细审查了</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和所有相关资料，我方完全明白并认为此</w:t>
      </w:r>
      <w:r>
        <w:rPr>
          <w:rFonts w:hint="eastAsia" w:ascii="宋体" w:hAnsi="宋体" w:cs="宋体"/>
          <w:color w:val="auto"/>
          <w:sz w:val="24"/>
          <w:szCs w:val="32"/>
          <w:highlight w:val="none"/>
          <w:lang w:eastAsia="zh-CN"/>
        </w:rPr>
        <w:t>招标文件</w:t>
      </w:r>
      <w:r>
        <w:rPr>
          <w:rFonts w:hint="eastAsia" w:ascii="宋体" w:hAnsi="宋体" w:cs="宋体"/>
          <w:color w:val="auto"/>
          <w:sz w:val="24"/>
          <w:szCs w:val="32"/>
          <w:highlight w:val="none"/>
        </w:rPr>
        <w:t>没有倾向性，也没有存在排斥潜在供应商的内容，我方同意</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文件的相关条款，放弃对</w:t>
      </w:r>
      <w:r>
        <w:rPr>
          <w:rFonts w:hint="eastAsia" w:ascii="宋体" w:hAnsi="宋体" w:cs="宋体"/>
          <w:color w:val="auto"/>
          <w:sz w:val="24"/>
          <w:szCs w:val="32"/>
          <w:highlight w:val="none"/>
          <w:lang w:eastAsia="zh-CN"/>
        </w:rPr>
        <w:t>招标</w:t>
      </w:r>
      <w:r>
        <w:rPr>
          <w:rFonts w:hint="eastAsia" w:ascii="宋体" w:hAnsi="宋体" w:cs="宋体"/>
          <w:color w:val="auto"/>
          <w:sz w:val="24"/>
          <w:szCs w:val="32"/>
          <w:highlight w:val="none"/>
        </w:rPr>
        <w:t>文件提出误解和质疑的一切权利。</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3、我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4、我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保证，采购人在中华人民共和国境内使用我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lang w:val="af-ZA" w:eastAsia="zh-CN"/>
        </w:rPr>
        <w:t>投标</w:t>
      </w:r>
      <w:r>
        <w:rPr>
          <w:rFonts w:hint="eastAsia" w:ascii="宋体" w:hAnsi="宋体" w:cs="宋体"/>
          <w:color w:val="auto"/>
          <w:sz w:val="24"/>
          <w:szCs w:val="32"/>
          <w:highlight w:val="none"/>
        </w:rPr>
        <w:t>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5、我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6、以上事项如有虚假或隐瞒，我</w:t>
      </w:r>
      <w:r>
        <w:rPr>
          <w:rFonts w:hint="eastAsia" w:ascii="宋体" w:hAnsi="宋体" w:cs="宋体"/>
          <w:color w:val="auto"/>
          <w:sz w:val="24"/>
          <w:szCs w:val="32"/>
          <w:highlight w:val="none"/>
          <w:lang w:val="zh-CN"/>
        </w:rPr>
        <w:t>公司</w:t>
      </w:r>
      <w:r>
        <w:rPr>
          <w:rFonts w:hint="eastAsia" w:ascii="宋体" w:hAnsi="宋体" w:cs="宋体"/>
          <w:color w:val="auto"/>
          <w:sz w:val="24"/>
          <w:szCs w:val="32"/>
          <w:highlight w:val="none"/>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s="宋体"/>
          <w:color w:val="auto"/>
          <w:sz w:val="24"/>
          <w:szCs w:val="32"/>
          <w:highlight w:val="none"/>
        </w:rPr>
      </w:pPr>
      <w:r>
        <w:rPr>
          <w:rFonts w:hint="eastAsia" w:ascii="宋体" w:hAnsi="宋体" w:cs="宋体"/>
          <w:color w:val="auto"/>
          <w:sz w:val="24"/>
          <w:szCs w:val="32"/>
          <w:highlight w:val="none"/>
        </w:rPr>
        <w:t>本单位若违反以上承诺，将无条件接受项目主管部门和有关监督管理部门的调查，并愿意承担取消中标资格及限制在本地区参与投标等一切法律责任。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投标人名称（公章）：</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法定代表人（</w:t>
      </w:r>
      <w:r>
        <w:rPr>
          <w:rFonts w:hint="eastAsia" w:ascii="宋体" w:hAnsi="宋体" w:eastAsia="宋体" w:cs="宋体"/>
          <w:color w:val="auto"/>
          <w:sz w:val="24"/>
          <w:szCs w:val="32"/>
          <w:highlight w:val="none"/>
        </w:rPr>
        <w:t>签字或盖章</w:t>
      </w:r>
      <w:r>
        <w:rPr>
          <w:rFonts w:hint="eastAsia" w:ascii="宋体" w:hAnsi="宋体" w:eastAsia="宋体" w:cs="宋体"/>
          <w:color w:val="auto"/>
          <w:sz w:val="24"/>
          <w:szCs w:val="32"/>
          <w:highlight w:val="none"/>
          <w:lang w:val="zh-CN"/>
        </w:rPr>
        <w:t>）或授权委托代理人（签字）：</w:t>
      </w:r>
      <w:r>
        <w:rPr>
          <w:rFonts w:hint="eastAsia" w:ascii="宋体" w:hAnsi="宋体" w:eastAsia="宋体" w:cs="宋体"/>
          <w:color w:val="auto"/>
          <w:sz w:val="24"/>
          <w:szCs w:val="32"/>
          <w:highlight w:val="none"/>
          <w:u w:val="single"/>
          <w:lang w:val="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lang w:val="zh-CN"/>
        </w:rPr>
        <w:t>日期：</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年</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月</w:t>
      </w:r>
      <w:r>
        <w:rPr>
          <w:rFonts w:hint="eastAsia" w:ascii="宋体" w:hAnsi="宋体" w:eastAsia="宋体" w:cs="宋体"/>
          <w:color w:val="auto"/>
          <w:sz w:val="24"/>
          <w:szCs w:val="32"/>
          <w:highlight w:val="none"/>
          <w:u w:val="single"/>
          <w:lang w:val="en-US" w:eastAsia="zh-CN"/>
        </w:rPr>
        <w:t xml:space="preserve">    </w:t>
      </w:r>
      <w:r>
        <w:rPr>
          <w:rFonts w:hint="eastAsia" w:ascii="宋体" w:hAnsi="宋体" w:eastAsia="宋体" w:cs="宋体"/>
          <w:color w:val="auto"/>
          <w:sz w:val="24"/>
          <w:szCs w:val="32"/>
          <w:highlight w:val="none"/>
          <w:lang w:val="zh-CN"/>
        </w:rPr>
        <w:t>日</w:t>
      </w: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color w:val="auto"/>
          <w:sz w:val="28"/>
          <w:highlight w:val="none"/>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 xml:space="preserve">3                     </w:t>
      </w:r>
      <w:r>
        <w:rPr>
          <w:rFonts w:hint="eastAsia" w:ascii="宋体" w:hAnsi="宋体" w:eastAsia="宋体" w:cs="宋体"/>
          <w:b/>
          <w:color w:val="auto"/>
          <w:sz w:val="28"/>
          <w:highlight w:val="none"/>
        </w:rPr>
        <w:t>授权委托书</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浙江五石中正工程咨询有限公司</w:t>
      </w:r>
      <w:r>
        <w:rPr>
          <w:rFonts w:hint="eastAsia" w:ascii="宋体" w:hAnsi="宋体" w:eastAsia="宋体" w:cs="宋体"/>
          <w:color w:val="auto"/>
          <w:sz w:val="24"/>
          <w:szCs w:val="24"/>
          <w:highlight w:val="none"/>
        </w:rPr>
        <w:t>（采购代理机构名称）：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（投标人全称）</w:t>
      </w:r>
      <w:r>
        <w:rPr>
          <w:rFonts w:hint="eastAsia" w:ascii="宋体" w:hAnsi="宋体" w:eastAsia="宋体" w:cs="宋体"/>
          <w:color w:val="auto"/>
          <w:sz w:val="24"/>
          <w:szCs w:val="24"/>
          <w:highlight w:val="none"/>
        </w:rPr>
        <w:t>法定代表人（或营业执照中单位负责人）</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（法定代表人或营业执照中单位负责人姓名）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 xml:space="preserve"> （授权委托代理人姓名） </w:t>
      </w:r>
      <w:r>
        <w:rPr>
          <w:rFonts w:hint="eastAsia" w:ascii="宋体" w:hAnsi="宋体" w:eastAsia="宋体" w:cs="宋体"/>
          <w:color w:val="auto"/>
          <w:sz w:val="24"/>
          <w:szCs w:val="24"/>
          <w:highlight w:val="none"/>
        </w:rPr>
        <w:t>为授权委托代理人，参加贵单位组织的</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DSA杂交手术室设备采购项目</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在撤销授权的书面通知以前，本授权书一直有效。授权委托代理人在授权委托书有效期内签署的所有文件不因授权的撤销而失效。</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授权委托代理人无转委托权，特此委托。</w:t>
      </w:r>
    </w:p>
    <w:p>
      <w:pPr>
        <w:spacing w:line="360" w:lineRule="auto"/>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法定代表人签字或盖章：</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投标人全称（公章）：                      </w:t>
      </w:r>
      <w:r>
        <w:rPr>
          <w:rFonts w:hint="eastAsia" w:ascii="宋体" w:hAnsi="宋体" w:eastAsia="宋体" w:cs="宋体"/>
          <w:color w:val="auto"/>
          <w:sz w:val="24"/>
          <w:szCs w:val="24"/>
          <w:highlight w:val="none"/>
          <w:lang w:val="zh-CN"/>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lang w:val="zh-CN"/>
        </w:rPr>
        <w:t>日</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w:t>
      </w: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法定代表身份证复印件粘帖处</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法定代表人姓名：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pacing w:line="360" w:lineRule="auto"/>
        <w:rPr>
          <w:rFonts w:hint="eastAsia" w:ascii="宋体" w:hAnsi="宋体" w:eastAsia="宋体" w:cs="宋体"/>
          <w:b/>
          <w:color w:val="auto"/>
          <w:sz w:val="24"/>
          <w:szCs w:val="24"/>
          <w:highlight w:val="none"/>
        </w:rPr>
      </w:pP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授权委托代理人身份证复印件粘帖处</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授权委托代理人姓名：</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shd w:val="clear" w:color="auto" w:fill="auto"/>
        <w:spacing w:line="360" w:lineRule="auto"/>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4</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有效的法人或者其他组织的营业执照等证明文件（复印件），自然人的身份证明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说明：</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1.如供应商是企业（包括合伙企业），提供在工商部门注册的有效“企业法人营业执照”或“营业执照”；</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2.如供应商是事业单位，提供有效的“事业单位法人证书”；</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3.如供应商是非企业专业服务机构的，提供执业许可证等证明文件；</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4.如供应商是个体工商户，提供有效的“个体工商户营业执照”；</w:t>
      </w:r>
    </w:p>
    <w:p>
      <w:pPr>
        <w:shd w:val="clear" w:color="auto" w:fill="auto"/>
        <w:spacing w:line="360" w:lineRule="auto"/>
        <w:ind w:firstLine="482" w:firstLineChars="200"/>
        <w:jc w:val="both"/>
        <w:rPr>
          <w:rFonts w:hint="eastAsia" w:ascii="宋体" w:hAnsi="宋体" w:eastAsia="宋体" w:cs="宋体"/>
          <w:b/>
          <w:bCs/>
          <w:color w:val="auto"/>
          <w:sz w:val="24"/>
          <w:szCs w:val="32"/>
          <w:highlight w:val="none"/>
        </w:rPr>
      </w:pPr>
      <w:r>
        <w:rPr>
          <w:rFonts w:hint="eastAsia" w:ascii="宋体" w:hAnsi="宋体" w:eastAsia="宋体" w:cs="宋体"/>
          <w:b/>
          <w:bCs/>
          <w:color w:val="auto"/>
          <w:sz w:val="24"/>
          <w:szCs w:val="32"/>
          <w:highlight w:val="none"/>
        </w:rPr>
        <w:t>5.如供应商是自然人，提供有效的自然人身份证明。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5</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无税收缴纳、社会保障等方面的失信记录的承诺函</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台州市中心医院（台州学院附属医院）、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我公司参加</w:t>
      </w:r>
      <w:r>
        <w:rPr>
          <w:rFonts w:hint="eastAsia" w:ascii="宋体" w:hAnsi="宋体" w:cs="宋体"/>
          <w:b w:val="0"/>
          <w:bCs w:val="0"/>
          <w:color w:val="auto"/>
          <w:sz w:val="24"/>
          <w:szCs w:val="32"/>
          <w:highlight w:val="none"/>
          <w:u w:val="single"/>
          <w:lang w:eastAsia="zh-CN"/>
        </w:rPr>
        <w:t>DSA杂交手术室设备采购项目</w:t>
      </w:r>
      <w:r>
        <w:rPr>
          <w:rFonts w:hint="eastAsia" w:ascii="宋体" w:hAnsi="宋体" w:eastAsia="宋体" w:cs="宋体"/>
          <w:b w:val="0"/>
          <w:bCs w:val="0"/>
          <w:color w:val="auto"/>
          <w:sz w:val="24"/>
          <w:szCs w:val="32"/>
          <w:highlight w:val="none"/>
        </w:rPr>
        <w:t>（编号为</w:t>
      </w:r>
      <w:r>
        <w:rPr>
          <w:rFonts w:hint="eastAsia" w:ascii="宋体" w:hAnsi="宋体" w:cs="宋体"/>
          <w:b w:val="0"/>
          <w:bCs w:val="0"/>
          <w:color w:val="auto"/>
          <w:sz w:val="24"/>
          <w:szCs w:val="32"/>
          <w:highlight w:val="none"/>
          <w:u w:val="single"/>
          <w:lang w:eastAsia="zh-CN"/>
        </w:rPr>
        <w:t>ZJWS2023-JJ392</w:t>
      </w:r>
      <w:r>
        <w:rPr>
          <w:rFonts w:hint="eastAsia" w:ascii="宋体" w:hAnsi="宋体" w:eastAsia="宋体" w:cs="宋体"/>
          <w:b w:val="0"/>
          <w:bCs w:val="0"/>
          <w:color w:val="auto"/>
          <w:sz w:val="24"/>
          <w:szCs w:val="32"/>
          <w:highlight w:val="none"/>
        </w:rPr>
        <w:t>）的投标活动，作如下承诺：</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我公司在参加本项目政府采购活动前，符合参与政府采购活动的资格条件，有依法缴纳税收（享受免税政策的则无欠税）和社会保障资金的良好记录，不存在税收缴纳、社会保障等方面的失信记录。</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如违反以上承诺，本公司愿承担一切法律责任。</w:t>
      </w: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rPr>
          <w:rFonts w:hint="default"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6</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val="zh-CN"/>
        </w:rPr>
        <w:t>具备健全的财务会计制度的承诺函</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台州市中心医院（台州学院附属医院）、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我公司参加</w:t>
      </w:r>
      <w:r>
        <w:rPr>
          <w:rFonts w:hint="eastAsia" w:ascii="宋体" w:hAnsi="宋体" w:cs="宋体"/>
          <w:b w:val="0"/>
          <w:bCs w:val="0"/>
          <w:color w:val="auto"/>
          <w:sz w:val="24"/>
          <w:szCs w:val="32"/>
          <w:highlight w:val="none"/>
          <w:u w:val="single"/>
          <w:lang w:eastAsia="zh-CN"/>
        </w:rPr>
        <w:t>DSA杂交手术室设备采购项目</w:t>
      </w:r>
      <w:r>
        <w:rPr>
          <w:rFonts w:hint="eastAsia" w:ascii="宋体" w:hAnsi="宋体" w:eastAsia="宋体" w:cs="宋体"/>
          <w:b w:val="0"/>
          <w:bCs w:val="0"/>
          <w:color w:val="auto"/>
          <w:sz w:val="24"/>
          <w:szCs w:val="32"/>
          <w:highlight w:val="none"/>
          <w:u w:val="none"/>
        </w:rPr>
        <w:t>（编号为</w:t>
      </w:r>
      <w:r>
        <w:rPr>
          <w:rFonts w:hint="eastAsia" w:ascii="宋体" w:hAnsi="宋体" w:cs="宋体"/>
          <w:b w:val="0"/>
          <w:bCs w:val="0"/>
          <w:color w:val="auto"/>
          <w:sz w:val="24"/>
          <w:szCs w:val="32"/>
          <w:highlight w:val="none"/>
          <w:u w:val="none"/>
          <w:lang w:eastAsia="zh-CN"/>
        </w:rPr>
        <w:t>ZJWS2023-JJ392</w:t>
      </w:r>
      <w:r>
        <w:rPr>
          <w:rFonts w:hint="eastAsia" w:ascii="宋体" w:hAnsi="宋体" w:eastAsia="宋体" w:cs="宋体"/>
          <w:b w:val="0"/>
          <w:bCs w:val="0"/>
          <w:color w:val="auto"/>
          <w:sz w:val="24"/>
          <w:szCs w:val="32"/>
          <w:highlight w:val="none"/>
          <w:u w:val="none"/>
        </w:rPr>
        <w:t>）的投标活动，作如下承诺：</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我公司在参加本项目政府采购活动前，没有处于被责令停产、财产被接管、冻结或破产状态，具有足够的流动资金，有能力履行合同；我公司具有良好的商业信誉和健全的财务会计制度。</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u w:val="none"/>
        </w:rPr>
      </w:pPr>
      <w:r>
        <w:rPr>
          <w:rFonts w:hint="eastAsia" w:ascii="宋体" w:hAnsi="宋体" w:eastAsia="宋体" w:cs="宋体"/>
          <w:b w:val="0"/>
          <w:bCs w:val="0"/>
          <w:color w:val="auto"/>
          <w:sz w:val="24"/>
          <w:szCs w:val="32"/>
          <w:highlight w:val="none"/>
          <w:u w:val="none"/>
        </w:rPr>
        <w:t>如违反以上承诺，本公司愿承担一切法律责任。</w:t>
      </w:r>
    </w:p>
    <w:p>
      <w:pPr>
        <w:shd w:val="clear" w:color="auto" w:fill="auto"/>
        <w:spacing w:line="360" w:lineRule="auto"/>
        <w:jc w:val="both"/>
        <w:rPr>
          <w:rFonts w:hint="eastAsia" w:ascii="宋体" w:hAnsi="宋体" w:eastAsia="宋体" w:cs="宋体"/>
          <w:b w:val="0"/>
          <w:bCs w:val="0"/>
          <w:color w:val="auto"/>
          <w:sz w:val="24"/>
          <w:szCs w:val="32"/>
          <w:highlight w:val="none"/>
          <w:u w:val="singl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lang w:val="zh-CN"/>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pStyle w:val="9"/>
        <w:rPr>
          <w:rFonts w:hint="eastAsia"/>
          <w:color w:val="auto"/>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rPr>
      </w:pPr>
    </w:p>
    <w:p>
      <w:pPr>
        <w:shd w:val="clear" w:color="auto" w:fill="auto"/>
        <w:spacing w:line="360" w:lineRule="auto"/>
        <w:rPr>
          <w:rFonts w:hint="eastAsia" w:ascii="宋体" w:hAnsi="宋体" w:eastAsia="宋体" w:cs="宋体"/>
          <w:b/>
          <w:color w:val="auto"/>
          <w:sz w:val="28"/>
          <w:highlight w:val="none"/>
          <w:lang w:val="en-US" w:eastAsia="zh-CN"/>
        </w:rPr>
      </w:pPr>
      <w:r>
        <w:rPr>
          <w:rFonts w:hint="eastAsia" w:ascii="宋体" w:hAnsi="宋体" w:eastAsia="宋体" w:cs="宋体"/>
          <w:b/>
          <w:color w:val="auto"/>
          <w:sz w:val="28"/>
          <w:highlight w:val="none"/>
        </w:rPr>
        <w:t>附件</w:t>
      </w:r>
      <w:r>
        <w:rPr>
          <w:rFonts w:hint="eastAsia" w:ascii="宋体" w:hAnsi="宋体" w:cs="宋体"/>
          <w:b/>
          <w:color w:val="auto"/>
          <w:sz w:val="28"/>
          <w:highlight w:val="none"/>
          <w:lang w:val="en-US" w:eastAsia="zh-CN"/>
        </w:rPr>
        <w:t>7</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参加政府采购活动前3年内在经营活动中没有重大违法记录的</w:t>
      </w: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书面声明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声明函</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致：</w:t>
      </w:r>
      <w:r>
        <w:rPr>
          <w:rFonts w:hint="eastAsia" w:ascii="宋体" w:hAnsi="宋体" w:cs="宋体"/>
          <w:color w:val="auto"/>
          <w:sz w:val="24"/>
          <w:szCs w:val="32"/>
          <w:highlight w:val="none"/>
          <w:u w:val="single"/>
          <w:lang w:eastAsia="zh-CN"/>
        </w:rPr>
        <w:t>台州市中心医院（台州学院附属医院）、</w:t>
      </w:r>
      <w:r>
        <w:rPr>
          <w:rFonts w:hint="eastAsia" w:ascii="宋体" w:hAnsi="宋体" w:eastAsia="宋体" w:cs="宋体"/>
          <w:b w:val="0"/>
          <w:bCs w:val="0"/>
          <w:color w:val="auto"/>
          <w:sz w:val="24"/>
          <w:szCs w:val="32"/>
          <w:highlight w:val="none"/>
          <w:u w:val="single"/>
        </w:rPr>
        <w:t>浙江五石中正工程咨询有限公司</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我公司郑重承诺在参加本项目政府采购活动前三年内，在经营活动中</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u w:val="single"/>
        </w:rPr>
        <w:t xml:space="preserve">     </w:t>
      </w:r>
      <w:r>
        <w:rPr>
          <w:rFonts w:hint="eastAsia" w:ascii="宋体" w:hAnsi="宋体" w:eastAsia="宋体" w:cs="宋体"/>
          <w:b w:val="0"/>
          <w:bCs w:val="0"/>
          <w:color w:val="auto"/>
          <w:sz w:val="24"/>
          <w:szCs w:val="32"/>
          <w:highlight w:val="none"/>
        </w:rPr>
        <w:t>（</w:t>
      </w:r>
      <w:r>
        <w:rPr>
          <w:rFonts w:hint="eastAsia" w:ascii="宋体" w:hAnsi="宋体" w:eastAsia="宋体" w:cs="宋体"/>
          <w:b/>
          <w:bCs/>
          <w:color w:val="auto"/>
          <w:sz w:val="24"/>
          <w:szCs w:val="32"/>
          <w:highlight w:val="none"/>
        </w:rPr>
        <w:t>填写“有”或“没有”，如实填写，如不填写视同未提供本声明函</w:t>
      </w:r>
      <w:r>
        <w:rPr>
          <w:rFonts w:hint="eastAsia" w:ascii="宋体" w:hAnsi="宋体" w:eastAsia="宋体" w:cs="宋体"/>
          <w:b w:val="0"/>
          <w:bCs w:val="0"/>
          <w:color w:val="auto"/>
          <w:sz w:val="24"/>
          <w:szCs w:val="32"/>
          <w:highlight w:val="none"/>
        </w:rPr>
        <w:t>）重大违法记录，重大违法记录是指供应商因违法经营受到刑事处罚或者责令停产停业、吊销许可证或者执照、较大数额罚款等行政处罚。</w:t>
      </w: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以上事项如有虚假或隐瞒，我方愿意承担一切后果和责任。</w:t>
      </w:r>
    </w:p>
    <w:p>
      <w:pPr>
        <w:shd w:val="clear" w:color="auto" w:fill="auto"/>
        <w:spacing w:line="360" w:lineRule="auto"/>
        <w:ind w:firstLine="480" w:firstLineChars="200"/>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特此声明。</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lang w:eastAsia="zh-CN"/>
        </w:rPr>
        <w:t>投标人</w:t>
      </w:r>
      <w:r>
        <w:rPr>
          <w:rFonts w:hint="eastAsia" w:ascii="宋体" w:hAnsi="宋体" w:eastAsia="宋体" w:cs="宋体"/>
          <w:b w:val="0"/>
          <w:bCs w:val="0"/>
          <w:color w:val="auto"/>
          <w:sz w:val="24"/>
          <w:szCs w:val="32"/>
          <w:highlight w:val="none"/>
        </w:rPr>
        <w:t>名称</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公章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 xml:space="preserve">：             </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法定代表人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签字或盖章</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或授权委托代理人</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签字</w:t>
      </w:r>
      <w:r>
        <w:rPr>
          <w:rFonts w:hint="eastAsia" w:ascii="宋体" w:hAnsi="宋体" w:eastAsia="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xml:space="preserve">日期：     </w:t>
      </w:r>
      <w:r>
        <w:rPr>
          <w:rFonts w:hint="eastAsia" w:ascii="宋体" w:hAnsi="宋体" w:eastAsia="宋体" w:cs="宋体"/>
          <w:b w:val="0"/>
          <w:bCs w:val="0"/>
          <w:color w:val="auto"/>
          <w:sz w:val="24"/>
          <w:szCs w:val="32"/>
          <w:highlight w:val="none"/>
          <w:lang w:val="zh-CN"/>
        </w:rPr>
        <w:t>年</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月</w:t>
      </w:r>
      <w:r>
        <w:rPr>
          <w:rFonts w:hint="eastAsia" w:ascii="宋体" w:hAnsi="宋体" w:eastAsia="宋体" w:cs="宋体"/>
          <w:b w:val="0"/>
          <w:bCs w:val="0"/>
          <w:color w:val="auto"/>
          <w:sz w:val="24"/>
          <w:szCs w:val="32"/>
          <w:highlight w:val="none"/>
        </w:rPr>
        <w:t xml:space="preserve">     </w:t>
      </w:r>
      <w:r>
        <w:rPr>
          <w:rFonts w:hint="eastAsia" w:ascii="宋体" w:hAnsi="宋体" w:eastAsia="宋体" w:cs="宋体"/>
          <w:b w:val="0"/>
          <w:bCs w:val="0"/>
          <w:color w:val="auto"/>
          <w:sz w:val="24"/>
          <w:szCs w:val="32"/>
          <w:highlight w:val="none"/>
          <w:lang w:val="zh-CN"/>
        </w:rPr>
        <w:t>日</w:t>
      </w: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shd w:val="clear" w:color="auto" w:fill="auto"/>
        <w:spacing w:line="360" w:lineRule="auto"/>
        <w:jc w:val="both"/>
        <w:rPr>
          <w:rFonts w:hint="eastAsia" w:ascii="宋体" w:hAnsi="宋体" w:eastAsia="宋体" w:cs="宋体"/>
          <w:b w:val="0"/>
          <w:bCs w:val="0"/>
          <w:color w:val="auto"/>
          <w:sz w:val="24"/>
          <w:szCs w:val="32"/>
          <w:highlight w:val="none"/>
        </w:rPr>
      </w:pPr>
    </w:p>
    <w:p>
      <w:pPr>
        <w:jc w:val="left"/>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8</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 xml:space="preserve">     </w:t>
      </w:r>
      <w:r>
        <w:rPr>
          <w:rFonts w:hint="eastAsia" w:ascii="宋体" w:hAnsi="宋体" w:eastAsia="宋体" w:cs="宋体"/>
          <w:b/>
          <w:bCs/>
          <w:color w:val="auto"/>
          <w:sz w:val="28"/>
          <w:szCs w:val="36"/>
          <w:highlight w:val="none"/>
          <w:u w:val="single"/>
        </w:rPr>
        <w:t xml:space="preserve">    </w:t>
      </w:r>
      <w:r>
        <w:rPr>
          <w:rFonts w:hint="eastAsia" w:ascii="宋体" w:hAnsi="宋体" w:eastAsia="宋体" w:cs="宋体"/>
          <w:b/>
          <w:bCs/>
          <w:color w:val="auto"/>
          <w:sz w:val="28"/>
          <w:szCs w:val="36"/>
          <w:highlight w:val="none"/>
        </w:rPr>
        <w:t>本</w:t>
      </w:r>
    </w:p>
    <w:p>
      <w:pPr>
        <w:spacing w:line="360" w:lineRule="auto"/>
        <w:rPr>
          <w:rFonts w:hint="eastAsia" w:ascii="宋体" w:hAnsi="宋体" w:cs="宋体"/>
          <w:color w:val="auto"/>
          <w:sz w:val="24"/>
          <w:szCs w:val="32"/>
          <w:highlight w:val="none"/>
        </w:rPr>
      </w:pPr>
    </w:p>
    <w:p>
      <w:pPr>
        <w:spacing w:line="360" w:lineRule="auto"/>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spacing w:line="360" w:lineRule="auto"/>
        <w:jc w:val="center"/>
        <w:rPr>
          <w:rFonts w:ascii="宋体" w:hAnsi="宋体"/>
          <w:color w:val="auto"/>
          <w:sz w:val="36"/>
          <w:szCs w:val="36"/>
          <w:highlight w:val="none"/>
        </w:rPr>
      </w:pPr>
      <w:r>
        <w:rPr>
          <w:rFonts w:hint="eastAsia" w:ascii="宋体" w:hAnsi="宋体"/>
          <w:color w:val="auto"/>
          <w:sz w:val="36"/>
          <w:szCs w:val="36"/>
          <w:highlight w:val="none"/>
        </w:rPr>
        <w:t>项目编号：（标段）</w:t>
      </w:r>
    </w:p>
    <w:p>
      <w:pPr>
        <w:autoSpaceDE w:val="0"/>
        <w:autoSpaceDN w:val="0"/>
        <w:adjustRightInd w:val="0"/>
        <w:spacing w:line="360" w:lineRule="auto"/>
        <w:jc w:val="center"/>
        <w:rPr>
          <w:rFonts w:ascii="宋体" w:hAnsi="宋体" w:cs="宋体"/>
          <w:color w:val="auto"/>
          <w:sz w:val="84"/>
          <w:szCs w:val="84"/>
          <w:highlight w:val="none"/>
          <w:lang w:val="zh-CN"/>
        </w:rPr>
      </w:pP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投</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标</w:t>
      </w:r>
    </w:p>
    <w:p>
      <w:pPr>
        <w:autoSpaceDE w:val="0"/>
        <w:autoSpaceDN w:val="0"/>
        <w:adjustRightInd w:val="0"/>
        <w:spacing w:line="360" w:lineRule="auto"/>
        <w:jc w:val="center"/>
        <w:rPr>
          <w:rFonts w:ascii="宋体" w:hAnsi="宋体"/>
          <w:color w:val="auto"/>
          <w:sz w:val="84"/>
          <w:szCs w:val="84"/>
          <w:highlight w:val="none"/>
        </w:rPr>
      </w:pPr>
      <w:r>
        <w:rPr>
          <w:rFonts w:hint="eastAsia" w:ascii="宋体" w:hAnsi="宋体" w:cs="宋体"/>
          <w:color w:val="auto"/>
          <w:sz w:val="84"/>
          <w:szCs w:val="84"/>
          <w:highlight w:val="none"/>
          <w:lang w:val="zh-CN"/>
        </w:rPr>
        <w:t>文</w:t>
      </w:r>
    </w:p>
    <w:p>
      <w:pPr>
        <w:autoSpaceDE w:val="0"/>
        <w:autoSpaceDN w:val="0"/>
        <w:adjustRightInd w:val="0"/>
        <w:spacing w:line="360" w:lineRule="auto"/>
        <w:jc w:val="center"/>
        <w:rPr>
          <w:rFonts w:ascii="宋体" w:hAnsi="宋体" w:cs="宋体"/>
          <w:color w:val="auto"/>
          <w:sz w:val="84"/>
          <w:szCs w:val="84"/>
          <w:highlight w:val="none"/>
          <w:lang w:val="zh-CN"/>
        </w:rPr>
      </w:pPr>
      <w:r>
        <w:rPr>
          <w:rFonts w:hint="eastAsia" w:ascii="宋体" w:hAnsi="宋体" w:cs="宋体"/>
          <w:color w:val="auto"/>
          <w:sz w:val="84"/>
          <w:szCs w:val="84"/>
          <w:highlight w:val="none"/>
          <w:lang w:val="zh-CN"/>
        </w:rPr>
        <w:t>件</w:t>
      </w:r>
    </w:p>
    <w:p>
      <w:pPr>
        <w:autoSpaceDE w:val="0"/>
        <w:autoSpaceDN w:val="0"/>
        <w:adjustRightInd w:val="0"/>
        <w:spacing w:line="360" w:lineRule="auto"/>
        <w:jc w:val="center"/>
        <w:rPr>
          <w:rFonts w:ascii="宋体" w:hAnsi="宋体"/>
          <w:b/>
          <w:bCs/>
          <w:color w:val="auto"/>
          <w:spacing w:val="40"/>
          <w:sz w:val="28"/>
          <w:szCs w:val="28"/>
          <w:highlight w:val="none"/>
        </w:rPr>
      </w:pPr>
      <w:r>
        <w:rPr>
          <w:rFonts w:hint="eastAsia" w:ascii="宋体" w:hAnsi="宋体" w:cs="宋体"/>
          <w:b/>
          <w:bCs/>
          <w:color w:val="auto"/>
          <w:sz w:val="28"/>
          <w:szCs w:val="28"/>
          <w:highlight w:val="none"/>
          <w:lang w:val="zh-CN"/>
        </w:rPr>
        <w:t>（</w:t>
      </w:r>
      <w:r>
        <w:rPr>
          <w:rFonts w:hint="eastAsia" w:ascii="宋体" w:hAnsi="宋体"/>
          <w:b/>
          <w:bCs/>
          <w:color w:val="auto"/>
          <w:sz w:val="28"/>
          <w:szCs w:val="28"/>
          <w:highlight w:val="none"/>
          <w:lang w:val="zh-CN"/>
        </w:rPr>
        <w:t>商务与技术文件</w:t>
      </w:r>
      <w:r>
        <w:rPr>
          <w:rFonts w:hint="eastAsia" w:ascii="宋体" w:hAnsi="宋体"/>
          <w:b/>
          <w:bCs/>
          <w:color w:val="auto"/>
          <w:spacing w:val="40"/>
          <w:sz w:val="28"/>
          <w:szCs w:val="28"/>
          <w:highlight w:val="none"/>
        </w:rPr>
        <w:t>）</w:t>
      </w:r>
    </w:p>
    <w:p>
      <w:pPr>
        <w:autoSpaceDE w:val="0"/>
        <w:autoSpaceDN w:val="0"/>
        <w:adjustRightInd w:val="0"/>
        <w:spacing w:line="360" w:lineRule="auto"/>
        <w:rPr>
          <w:rFonts w:hint="eastAsia" w:ascii="宋体" w:hAnsi="宋体"/>
          <w:color w:val="auto"/>
          <w:sz w:val="36"/>
          <w:szCs w:val="36"/>
          <w:highlight w:val="none"/>
        </w:rPr>
      </w:pPr>
    </w:p>
    <w:p>
      <w:pPr>
        <w:autoSpaceDE w:val="0"/>
        <w:autoSpaceDN w:val="0"/>
        <w:adjustRightInd w:val="0"/>
        <w:spacing w:line="360" w:lineRule="auto"/>
        <w:rPr>
          <w:rFonts w:ascii="宋体" w:hAnsi="宋体"/>
          <w:color w:val="auto"/>
          <w:sz w:val="36"/>
          <w:szCs w:val="36"/>
          <w:highlight w:val="none"/>
        </w:rPr>
      </w:pPr>
      <w:r>
        <w:rPr>
          <w:rFonts w:hint="eastAsia" w:ascii="宋体" w:hAnsi="宋体"/>
          <w:color w:val="auto"/>
          <w:sz w:val="36"/>
          <w:szCs w:val="36"/>
          <w:highlight w:val="none"/>
        </w:rPr>
        <w:t>投标人全称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地址：</w:t>
      </w:r>
    </w:p>
    <w:p>
      <w:pPr>
        <w:autoSpaceDE w:val="0"/>
        <w:autoSpaceDN w:val="0"/>
        <w:adjustRightInd w:val="0"/>
        <w:spacing w:line="360" w:lineRule="auto"/>
        <w:rPr>
          <w:rFonts w:hint="eastAsia" w:ascii="宋体" w:hAnsi="宋体"/>
          <w:color w:val="auto"/>
          <w:sz w:val="36"/>
          <w:szCs w:val="36"/>
          <w:highlight w:val="none"/>
        </w:rPr>
      </w:pPr>
      <w:r>
        <w:rPr>
          <w:rFonts w:hint="eastAsia" w:ascii="宋体" w:hAnsi="宋体"/>
          <w:color w:val="auto"/>
          <w:sz w:val="36"/>
          <w:szCs w:val="36"/>
          <w:highlight w:val="none"/>
        </w:rPr>
        <w:t>时间：</w:t>
      </w: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hd w:val="clear" w:color="auto" w:fill="auto"/>
        <w:bidi w:val="0"/>
        <w:spacing w:line="360" w:lineRule="auto"/>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lang w:val="zh-CN"/>
        </w:rPr>
        <w:t>商务与技术文件</w:t>
      </w:r>
      <w:r>
        <w:rPr>
          <w:rFonts w:hint="eastAsia" w:ascii="宋体" w:hAnsi="宋体" w:eastAsia="宋体" w:cs="宋体"/>
          <w:b/>
          <w:bCs/>
          <w:color w:val="auto"/>
          <w:sz w:val="32"/>
          <w:szCs w:val="40"/>
          <w:highlight w:val="none"/>
        </w:rPr>
        <w:t>目录</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（1）投标人情况介绍。</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（2）投标方案描述：</w:t>
      </w:r>
    </w:p>
    <w:p>
      <w:pPr>
        <w:spacing w:line="360" w:lineRule="auto"/>
        <w:ind w:firstLine="480" w:firstLineChars="200"/>
        <w:rPr>
          <w:rFonts w:hint="default" w:ascii="宋体" w:hAnsi="宋体" w:eastAsia="宋体" w:cs="宋体"/>
          <w:color w:val="auto"/>
          <w:sz w:val="24"/>
          <w:szCs w:val="32"/>
          <w:highlight w:val="none"/>
          <w:lang w:val="en-US" w:eastAsia="zh-CN"/>
        </w:rPr>
      </w:pPr>
      <w:r>
        <w:rPr>
          <w:rFonts w:hint="eastAsia" w:ascii="宋体" w:hAnsi="宋体" w:cs="宋体"/>
          <w:color w:val="auto"/>
          <w:sz w:val="24"/>
          <w:szCs w:val="32"/>
          <w:highlight w:val="none"/>
          <w:lang w:val="en-US" w:eastAsia="zh-CN"/>
        </w:rPr>
        <w:t>A.运行、维修方案。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B.安装、调试及验收方案（包括项目验收标准和验收方法等）和措施。</w:t>
      </w:r>
    </w:p>
    <w:p>
      <w:pPr>
        <w:pStyle w:val="9"/>
        <w:ind w:firstLine="480" w:firstLineChars="200"/>
        <w:rPr>
          <w:rFonts w:hint="default" w:eastAsia="宋体"/>
          <w:color w:val="auto"/>
          <w:highlight w:val="none"/>
          <w:lang w:val="en-US" w:eastAsia="zh-CN"/>
        </w:rPr>
      </w:pPr>
      <w:r>
        <w:rPr>
          <w:rFonts w:hint="eastAsia" w:ascii="宋体" w:hAnsi="宋体" w:cs="宋体"/>
          <w:color w:val="auto"/>
          <w:sz w:val="24"/>
          <w:szCs w:val="32"/>
          <w:highlight w:val="none"/>
          <w:lang w:val="en-US" w:eastAsia="zh-CN"/>
        </w:rPr>
        <w:t>C.操作应用培训和维修保养培训方案。</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（3）投标产品描述及相关资料：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A.设备配置清单</w:t>
      </w:r>
      <w:r>
        <w:rPr>
          <w:rFonts w:hint="eastAsia" w:ascii="宋体" w:hAnsi="宋体" w:eastAsia="宋体" w:cs="宋体"/>
          <w:b/>
          <w:bCs/>
          <w:color w:val="auto"/>
          <w:sz w:val="24"/>
          <w:szCs w:val="32"/>
          <w:highlight w:val="none"/>
        </w:rPr>
        <w:t>（均不含报价）</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B.产品品牌及型号、技术参数指标、性能特点、图片资料以及所遵循的技术规范、产品质保期、出厂标准、产品质量相关检测报告等内容。</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C.商务及技术响应表。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【特别提示：节能和环境标志产品最新一期政府采购清单，可在“中国政府采购网”中查看】</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（4）投标人通过的质量管理和质量保证体系、环保体系、自主创新相关证书、软件著作权证等等与本项目相关的认证证书或文件；</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（5）近三年来类似项目的成功案例（投标人类似项目实施情况一览表、合同复印件及其相应的发票、用户验收报告等）；</w:t>
      </w:r>
    </w:p>
    <w:p>
      <w:pPr>
        <w:spacing w:line="360" w:lineRule="auto"/>
        <w:ind w:firstLine="480" w:firstLineChars="200"/>
        <w:rPr>
          <w:rFonts w:hint="eastAsia" w:ascii="宋体" w:hAnsi="宋体" w:eastAsia="宋体" w:cs="宋体"/>
          <w:color w:val="auto"/>
          <w:sz w:val="24"/>
          <w:szCs w:val="32"/>
          <w:highlight w:val="none"/>
          <w:lang w:val="zh-CN"/>
        </w:rPr>
      </w:pPr>
      <w:r>
        <w:rPr>
          <w:rFonts w:hint="eastAsia" w:ascii="宋体" w:hAnsi="宋体" w:eastAsia="宋体" w:cs="宋体"/>
          <w:color w:val="auto"/>
          <w:sz w:val="24"/>
          <w:szCs w:val="32"/>
          <w:highlight w:val="none"/>
        </w:rPr>
        <w:t>（6）投标人认为需要提供的其他资料（包括可能影响投标人商务与技术文件评分的各类证明材料）；</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（7）</w:t>
      </w:r>
      <w:r>
        <w:rPr>
          <w:rFonts w:hint="eastAsia" w:ascii="宋体" w:hAnsi="宋体" w:cs="宋体"/>
          <w:color w:val="auto"/>
          <w:sz w:val="24"/>
          <w:szCs w:val="32"/>
          <w:highlight w:val="none"/>
          <w:lang w:val="en-US" w:eastAsia="zh-CN"/>
        </w:rPr>
        <w:t>售后服务团队、服务响应时间、故障解决方案等方案</w:t>
      </w:r>
      <w:r>
        <w:rPr>
          <w:rFonts w:hint="eastAsia" w:ascii="宋体" w:hAnsi="宋体" w:eastAsia="宋体" w:cs="宋体"/>
          <w:color w:val="auto"/>
          <w:sz w:val="24"/>
          <w:szCs w:val="32"/>
          <w:highlight w:val="none"/>
        </w:rPr>
        <w:t>：</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A.距采购人最近的服务网点详细介绍（包括地理位置、资质资格、技术力量、工作业绩、服务内容及联系电话等）。</w:t>
      </w:r>
    </w:p>
    <w:p>
      <w:pPr>
        <w:spacing w:line="360" w:lineRule="auto"/>
        <w:ind w:firstLine="480" w:firstLineChars="200"/>
        <w:rPr>
          <w:rFonts w:hint="eastAsia" w:ascii="宋体" w:hAnsi="宋体" w:eastAsia="宋体" w:cs="宋体"/>
          <w:color w:val="auto"/>
          <w:sz w:val="24"/>
          <w:szCs w:val="32"/>
          <w:highlight w:val="none"/>
        </w:rPr>
      </w:pPr>
      <w:r>
        <w:rPr>
          <w:rFonts w:hint="eastAsia" w:ascii="宋体" w:hAnsi="宋体" w:eastAsia="宋体" w:cs="宋体"/>
          <w:color w:val="auto"/>
          <w:sz w:val="24"/>
          <w:szCs w:val="32"/>
          <w:highlight w:val="none"/>
        </w:rPr>
        <w:t>B.针对本项目的售后服务措施及承诺（售后技术服务方案、人员配备、故障响应时间、技术培训方案等）。</w:t>
      </w: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cs="宋体"/>
          <w:b/>
          <w:bCs/>
          <w:color w:val="auto"/>
          <w:sz w:val="28"/>
          <w:szCs w:val="36"/>
          <w:highlight w:val="none"/>
          <w:lang w:val="en-US" w:eastAsia="zh-CN"/>
        </w:rPr>
        <w:t>9</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投标人基本情况表</w:t>
      </w:r>
    </w:p>
    <w:tbl>
      <w:tblPr>
        <w:tblStyle w:val="28"/>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80"/>
        <w:gridCol w:w="690"/>
        <w:gridCol w:w="665"/>
        <w:gridCol w:w="295"/>
        <w:gridCol w:w="926"/>
        <w:gridCol w:w="112"/>
        <w:gridCol w:w="1077"/>
        <w:gridCol w:w="1560"/>
        <w:gridCol w:w="57"/>
        <w:gridCol w:w="16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880" w:type="dxa"/>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企业名称</w:t>
            </w:r>
          </w:p>
        </w:tc>
        <w:tc>
          <w:tcPr>
            <w:tcW w:w="3765" w:type="dxa"/>
            <w:gridSpan w:val="6"/>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p>
        </w:tc>
        <w:tc>
          <w:tcPr>
            <w:tcW w:w="1560" w:type="dxa"/>
            <w:shd w:val="clear" w:color="auto" w:fill="auto"/>
            <w:vAlign w:val="center"/>
          </w:tcPr>
          <w:p>
            <w:pPr>
              <w:pStyle w:val="58"/>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法人代表</w:t>
            </w:r>
          </w:p>
        </w:tc>
        <w:tc>
          <w:tcPr>
            <w:tcW w:w="2608" w:type="dxa"/>
            <w:gridSpan w:val="3"/>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880" w:type="dxa"/>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地址</w:t>
            </w:r>
          </w:p>
        </w:tc>
        <w:tc>
          <w:tcPr>
            <w:tcW w:w="3765" w:type="dxa"/>
            <w:gridSpan w:val="6"/>
            <w:tcBorders>
              <w:bottom w:val="single" w:color="auto" w:sz="4" w:space="0"/>
            </w:tcBorders>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8"/>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企业性质</w:t>
            </w:r>
          </w:p>
        </w:tc>
        <w:tc>
          <w:tcPr>
            <w:tcW w:w="2608" w:type="dxa"/>
            <w:gridSpan w:val="3"/>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2" w:hRule="atLeast"/>
        </w:trPr>
        <w:tc>
          <w:tcPr>
            <w:tcW w:w="880" w:type="dxa"/>
            <w:tcBorders>
              <w:bottom w:val="single" w:color="auto" w:sz="4" w:space="0"/>
            </w:tcBorders>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股东姓名</w:t>
            </w:r>
          </w:p>
        </w:tc>
        <w:tc>
          <w:tcPr>
            <w:tcW w:w="690" w:type="dxa"/>
            <w:tcBorders>
              <w:bottom w:val="single" w:color="auto" w:sz="4" w:space="0"/>
            </w:tcBorders>
            <w:shd w:val="clear" w:color="auto" w:fill="auto"/>
            <w:vAlign w:val="center"/>
          </w:tcPr>
          <w:p>
            <w:pPr>
              <w:pStyle w:val="58"/>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6"/>
                <w:sz w:val="24"/>
                <w:szCs w:val="24"/>
                <w:highlight w:val="none"/>
              </w:rPr>
              <w:t>股权结构（%</w:t>
            </w:r>
            <w:r>
              <w:rPr>
                <w:rFonts w:hint="eastAsia" w:cs="宋体"/>
                <w:bCs/>
                <w:color w:val="auto"/>
                <w:spacing w:val="16"/>
                <w:sz w:val="24"/>
                <w:szCs w:val="24"/>
                <w:highlight w:val="none"/>
                <w:lang w:eastAsia="zh-CN"/>
              </w:rPr>
              <w:t>）</w:t>
            </w:r>
          </w:p>
        </w:tc>
        <w:tc>
          <w:tcPr>
            <w:tcW w:w="2115" w:type="dxa"/>
            <w:gridSpan w:val="3"/>
            <w:tcBorders>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8"/>
              <w:shd w:val="clear" w:color="auto" w:fill="FFFFFF"/>
              <w:spacing w:line="360" w:lineRule="auto"/>
              <w:ind w:left="107"/>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股东关系</w:t>
            </w:r>
          </w:p>
        </w:tc>
        <w:tc>
          <w:tcPr>
            <w:tcW w:w="2608" w:type="dxa"/>
            <w:gridSpan w:val="3"/>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80" w:type="dxa"/>
            <w:vMerge w:val="restart"/>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2"/>
                <w:sz w:val="24"/>
                <w:szCs w:val="24"/>
                <w:highlight w:val="none"/>
              </w:rPr>
              <w:t>联系人</w:t>
            </w:r>
            <w:r>
              <w:rPr>
                <w:rFonts w:hint="eastAsia" w:ascii="宋体" w:hAnsi="宋体" w:eastAsia="宋体" w:cs="宋体"/>
                <w:bCs/>
                <w:color w:val="auto"/>
                <w:spacing w:val="27"/>
                <w:sz w:val="24"/>
                <w:szCs w:val="24"/>
                <w:highlight w:val="none"/>
              </w:rPr>
              <w:t>姓名</w:t>
            </w:r>
          </w:p>
        </w:tc>
        <w:tc>
          <w:tcPr>
            <w:tcW w:w="690" w:type="dxa"/>
            <w:vMerge w:val="restart"/>
            <w:tcBorders>
              <w:top w:val="nil"/>
            </w:tcBorders>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top w:val="nil"/>
              <w:bottom w:val="single" w:color="auto" w:sz="4" w:space="0"/>
            </w:tcBorders>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固定电话</w:t>
            </w:r>
          </w:p>
        </w:tc>
        <w:tc>
          <w:tcPr>
            <w:tcW w:w="2115" w:type="dxa"/>
            <w:gridSpan w:val="3"/>
            <w:tcBorders>
              <w:top w:val="nil"/>
              <w:bottom w:val="single" w:color="auto" w:sz="4" w:space="0"/>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restart"/>
            <w:shd w:val="clear" w:color="auto" w:fill="auto"/>
            <w:vAlign w:val="center"/>
          </w:tcPr>
          <w:p>
            <w:pPr>
              <w:pStyle w:val="58"/>
              <w:shd w:val="clear" w:color="auto" w:fill="FFFFFF"/>
              <w:spacing w:before="0" w:beforeAutospacing="0" w:after="0" w:afterAutospacing="0"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传真</w:t>
            </w:r>
          </w:p>
        </w:tc>
        <w:tc>
          <w:tcPr>
            <w:tcW w:w="2608" w:type="dxa"/>
            <w:gridSpan w:val="3"/>
            <w:vMerge w:val="restart"/>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9" w:hRule="atLeast"/>
        </w:trPr>
        <w:tc>
          <w:tcPr>
            <w:tcW w:w="880" w:type="dxa"/>
            <w:vMerge w:val="continue"/>
            <w:tcBorders>
              <w:bottom w:val="single" w:color="auto" w:sz="4" w:space="0"/>
            </w:tcBorders>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vMerge w:val="continue"/>
            <w:tcBorders>
              <w:bottom w:val="single" w:color="auto" w:sz="4" w:space="0"/>
            </w:tcBorders>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c>
          <w:tcPr>
            <w:tcW w:w="960" w:type="dxa"/>
            <w:gridSpan w:val="2"/>
            <w:tcBorders>
              <w:bottom w:val="single" w:color="auto" w:sz="4" w:space="0"/>
            </w:tcBorders>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27"/>
                <w:sz w:val="24"/>
                <w:szCs w:val="24"/>
                <w:highlight w:val="none"/>
              </w:rPr>
              <w:t>手机</w:t>
            </w:r>
          </w:p>
        </w:tc>
        <w:tc>
          <w:tcPr>
            <w:tcW w:w="2115" w:type="dxa"/>
            <w:gridSpan w:val="3"/>
            <w:tcBorders>
              <w:bottom w:val="single" w:color="auto" w:sz="4" w:space="0"/>
            </w:tcBorders>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vMerge w:val="continue"/>
            <w:shd w:val="clear" w:color="auto" w:fill="auto"/>
            <w:vAlign w:val="center"/>
          </w:tcPr>
          <w:p>
            <w:pPr>
              <w:pStyle w:val="58"/>
              <w:shd w:val="clear" w:color="auto" w:fill="FFFFFF"/>
              <w:spacing w:line="360" w:lineRule="auto"/>
              <w:jc w:val="center"/>
              <w:rPr>
                <w:rFonts w:hint="eastAsia" w:ascii="宋体" w:hAnsi="宋体" w:eastAsia="宋体" w:cs="宋体"/>
                <w:bCs/>
                <w:color w:val="auto"/>
                <w:spacing w:val="16"/>
                <w:sz w:val="24"/>
                <w:szCs w:val="24"/>
                <w:highlight w:val="none"/>
              </w:rPr>
            </w:pPr>
          </w:p>
        </w:tc>
        <w:tc>
          <w:tcPr>
            <w:tcW w:w="2608" w:type="dxa"/>
            <w:gridSpan w:val="3"/>
            <w:vMerge w:val="continue"/>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7" w:hRule="atLeast"/>
        </w:trPr>
        <w:tc>
          <w:tcPr>
            <w:tcW w:w="880" w:type="dxa"/>
            <w:vMerge w:val="restart"/>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w:t>
            </w:r>
          </w:p>
          <w:p>
            <w:pPr>
              <w:pStyle w:val="58"/>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企</w:t>
            </w:r>
          </w:p>
          <w:p>
            <w:pPr>
              <w:pStyle w:val="58"/>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业</w:t>
            </w:r>
          </w:p>
          <w:p>
            <w:pPr>
              <w:pStyle w:val="58"/>
              <w:shd w:val="clear" w:color="auto" w:fill="FFFFFF"/>
              <w:spacing w:line="360" w:lineRule="auto"/>
              <w:ind w:left="107"/>
              <w:jc w:val="both"/>
              <w:rPr>
                <w:rFonts w:hint="eastAsia" w:ascii="宋体" w:hAnsi="宋体" w:eastAsia="宋体" w:cs="宋体"/>
                <w:bCs/>
                <w:color w:val="auto"/>
                <w:spacing w:val="27"/>
                <w:sz w:val="24"/>
                <w:szCs w:val="24"/>
                <w:highlight w:val="none"/>
              </w:rPr>
            </w:pPr>
            <w:r>
              <w:rPr>
                <w:rFonts w:hint="eastAsia" w:ascii="宋体" w:hAnsi="宋体" w:eastAsia="宋体" w:cs="宋体"/>
                <w:bCs/>
                <w:color w:val="auto"/>
                <w:spacing w:val="27"/>
                <w:sz w:val="24"/>
                <w:szCs w:val="24"/>
                <w:highlight w:val="none"/>
              </w:rPr>
              <w:t>概</w:t>
            </w:r>
          </w:p>
          <w:p>
            <w:pPr>
              <w:pStyle w:val="58"/>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况</w:t>
            </w:r>
          </w:p>
        </w:tc>
        <w:tc>
          <w:tcPr>
            <w:tcW w:w="690" w:type="dxa"/>
            <w:tcBorders>
              <w:top w:val="nil"/>
            </w:tcBorders>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职工人数</w:t>
            </w:r>
          </w:p>
        </w:tc>
        <w:tc>
          <w:tcPr>
            <w:tcW w:w="960" w:type="dxa"/>
            <w:gridSpan w:val="2"/>
            <w:tcBorders>
              <w:top w:val="nil"/>
            </w:tcBorders>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c>
          <w:tcPr>
            <w:tcW w:w="926" w:type="dxa"/>
            <w:tcBorders>
              <w:top w:val="nil"/>
            </w:tcBorders>
            <w:shd w:val="clear" w:color="auto" w:fill="auto"/>
            <w:vAlign w:val="center"/>
          </w:tcPr>
          <w:p>
            <w:pPr>
              <w:pStyle w:val="58"/>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8"/>
                <w:sz w:val="24"/>
                <w:szCs w:val="24"/>
                <w:highlight w:val="none"/>
              </w:rPr>
              <w:t>具备大专以</w:t>
            </w:r>
            <w:r>
              <w:rPr>
                <w:rFonts w:hint="eastAsia" w:ascii="宋体" w:hAnsi="宋体" w:eastAsia="宋体" w:cs="宋体"/>
                <w:bCs/>
                <w:color w:val="auto"/>
                <w:spacing w:val="12"/>
                <w:sz w:val="24"/>
                <w:szCs w:val="24"/>
                <w:highlight w:val="none"/>
              </w:rPr>
              <w:t>上学历人数</w:t>
            </w:r>
          </w:p>
        </w:tc>
        <w:tc>
          <w:tcPr>
            <w:tcW w:w="1189" w:type="dxa"/>
            <w:gridSpan w:val="2"/>
            <w:tcBorders>
              <w:top w:val="nil"/>
            </w:tcBorders>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widowControl/>
              <w:spacing w:line="360" w:lineRule="auto"/>
              <w:jc w:val="both"/>
              <w:rPr>
                <w:rFonts w:hint="eastAsia" w:ascii="宋体" w:hAnsi="宋体" w:eastAsia="宋体" w:cs="宋体"/>
                <w:bCs/>
                <w:color w:val="auto"/>
                <w:spacing w:val="16"/>
                <w:kern w:val="0"/>
                <w:sz w:val="24"/>
                <w:szCs w:val="24"/>
                <w:highlight w:val="none"/>
              </w:rPr>
            </w:pPr>
          </w:p>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c>
          <w:tcPr>
            <w:tcW w:w="1560" w:type="dxa"/>
            <w:shd w:val="clear" w:color="auto" w:fill="auto"/>
            <w:vAlign w:val="center"/>
          </w:tcPr>
          <w:p>
            <w:pPr>
              <w:pStyle w:val="58"/>
              <w:shd w:val="clear" w:color="auto" w:fill="FFFFFF"/>
              <w:spacing w:line="360" w:lineRule="auto"/>
              <w:jc w:val="center"/>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65"/>
                <w:sz w:val="24"/>
                <w:szCs w:val="24"/>
                <w:highlight w:val="none"/>
              </w:rPr>
              <w:t>国家授予技</w:t>
            </w:r>
            <w:r>
              <w:rPr>
                <w:rFonts w:hint="eastAsia" w:ascii="宋体" w:hAnsi="宋体" w:eastAsia="宋体" w:cs="宋体"/>
                <w:bCs/>
                <w:color w:val="auto"/>
                <w:spacing w:val="12"/>
                <w:sz w:val="24"/>
                <w:szCs w:val="24"/>
                <w:highlight w:val="none"/>
              </w:rPr>
              <w:t>术职称人数</w:t>
            </w:r>
          </w:p>
        </w:tc>
        <w:tc>
          <w:tcPr>
            <w:tcW w:w="2608" w:type="dxa"/>
            <w:gridSpan w:val="3"/>
            <w:shd w:val="clear" w:color="auto" w:fill="auto"/>
            <w:vAlign w:val="center"/>
          </w:tcPr>
          <w:p>
            <w:pPr>
              <w:widowControl/>
              <w:spacing w:line="360" w:lineRule="auto"/>
              <w:jc w:val="both"/>
              <w:rPr>
                <w:rFonts w:hint="eastAsia" w:ascii="宋体" w:hAnsi="宋体" w:eastAsia="宋体" w:cs="宋体"/>
                <w:bCs/>
                <w:color w:val="auto"/>
                <w:spacing w:val="16"/>
                <w:kern w:val="0"/>
                <w:sz w:val="24"/>
                <w:szCs w:val="24"/>
                <w:highlight w:val="none"/>
              </w:rPr>
            </w:pPr>
          </w:p>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12" w:hRule="atLeast"/>
        </w:trPr>
        <w:tc>
          <w:tcPr>
            <w:tcW w:w="880" w:type="dxa"/>
            <w:vMerge w:val="continue"/>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占地面积</w:t>
            </w:r>
          </w:p>
        </w:tc>
        <w:tc>
          <w:tcPr>
            <w:tcW w:w="960" w:type="dxa"/>
            <w:gridSpan w:val="2"/>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建筑面积</w:t>
            </w:r>
          </w:p>
        </w:tc>
        <w:tc>
          <w:tcPr>
            <w:tcW w:w="1189" w:type="dxa"/>
            <w:gridSpan w:val="2"/>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平方米</w:t>
            </w:r>
          </w:p>
          <w:p>
            <w:pPr>
              <w:pStyle w:val="58"/>
              <w:shd w:val="clear" w:color="auto" w:fill="FFFFFF"/>
              <w:spacing w:line="360" w:lineRule="auto"/>
              <w:jc w:val="both"/>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pacing w:val="16"/>
                <w:sz w:val="24"/>
                <w:szCs w:val="24"/>
                <w:highlight w:val="none"/>
              </w:rPr>
              <w:t>□自有□租</w:t>
            </w:r>
            <w:r>
              <w:rPr>
                <w:rFonts w:hint="eastAsia" w:cs="宋体"/>
                <w:bCs/>
                <w:color w:val="auto"/>
                <w:spacing w:val="16"/>
                <w:sz w:val="24"/>
                <w:szCs w:val="24"/>
                <w:highlight w:val="none"/>
                <w:lang w:eastAsia="zh-CN"/>
              </w:rPr>
              <w:t>赁</w:t>
            </w:r>
          </w:p>
        </w:tc>
        <w:tc>
          <w:tcPr>
            <w:tcW w:w="1560" w:type="dxa"/>
            <w:shd w:val="clear" w:color="auto" w:fill="auto"/>
            <w:vAlign w:val="center"/>
          </w:tcPr>
          <w:p>
            <w:pPr>
              <w:pStyle w:val="58"/>
              <w:shd w:val="clear" w:color="auto" w:fill="FFFFFF"/>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生产经营场所及场所的设施与设备</w:t>
            </w:r>
          </w:p>
        </w:tc>
        <w:tc>
          <w:tcPr>
            <w:tcW w:w="2608" w:type="dxa"/>
            <w:gridSpan w:val="3"/>
            <w:shd w:val="clear" w:color="auto" w:fill="auto"/>
            <w:vAlign w:val="center"/>
          </w:tcPr>
          <w:p>
            <w:pPr>
              <w:pStyle w:val="58"/>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4" w:hRule="atLeast"/>
        </w:trPr>
        <w:tc>
          <w:tcPr>
            <w:tcW w:w="880" w:type="dxa"/>
            <w:vMerge w:val="continue"/>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8"/>
              <w:shd w:val="clear" w:color="auto" w:fill="FFFFFF"/>
              <w:spacing w:line="360" w:lineRule="auto"/>
              <w:ind w:left="2"/>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注册资金</w:t>
            </w:r>
          </w:p>
        </w:tc>
        <w:tc>
          <w:tcPr>
            <w:tcW w:w="960" w:type="dxa"/>
            <w:gridSpan w:val="2"/>
            <w:shd w:val="clear" w:color="auto" w:fill="auto"/>
            <w:vAlign w:val="center"/>
          </w:tcPr>
          <w:p>
            <w:pPr>
              <w:pStyle w:val="58"/>
              <w:shd w:val="clear" w:color="auto" w:fill="FFFFFF"/>
              <w:spacing w:line="360" w:lineRule="auto"/>
              <w:ind w:left="2"/>
              <w:jc w:val="both"/>
              <w:rPr>
                <w:rFonts w:hint="eastAsia" w:ascii="宋体" w:hAnsi="宋体" w:eastAsia="宋体" w:cs="宋体"/>
                <w:bCs/>
                <w:color w:val="auto"/>
                <w:sz w:val="24"/>
                <w:szCs w:val="24"/>
                <w:highlight w:val="none"/>
              </w:rPr>
            </w:pPr>
          </w:p>
        </w:tc>
        <w:tc>
          <w:tcPr>
            <w:tcW w:w="926" w:type="dxa"/>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注册发证</w:t>
            </w:r>
            <w:r>
              <w:rPr>
                <w:rFonts w:hint="eastAsia" w:ascii="宋体" w:hAnsi="宋体" w:eastAsia="宋体" w:cs="宋体"/>
                <w:bCs/>
                <w:color w:val="auto"/>
                <w:spacing w:val="27"/>
                <w:sz w:val="24"/>
                <w:szCs w:val="24"/>
                <w:highlight w:val="none"/>
              </w:rPr>
              <w:t>机关</w:t>
            </w:r>
          </w:p>
        </w:tc>
        <w:tc>
          <w:tcPr>
            <w:tcW w:w="2749" w:type="dxa"/>
            <w:gridSpan w:val="3"/>
            <w:shd w:val="clear" w:color="auto" w:fill="auto"/>
            <w:vAlign w:val="center"/>
          </w:tcPr>
          <w:p>
            <w:pPr>
              <w:widowControl/>
              <w:spacing w:line="360" w:lineRule="auto"/>
              <w:jc w:val="both"/>
              <w:rPr>
                <w:rFonts w:hint="eastAsia" w:ascii="宋体" w:hAnsi="宋体" w:eastAsia="宋体" w:cs="宋体"/>
                <w:bCs/>
                <w:color w:val="auto"/>
                <w:kern w:val="0"/>
                <w:sz w:val="24"/>
                <w:szCs w:val="24"/>
                <w:highlight w:val="none"/>
              </w:rPr>
            </w:pPr>
          </w:p>
          <w:p>
            <w:pPr>
              <w:pStyle w:val="58"/>
              <w:shd w:val="clear" w:color="auto" w:fill="FFFFFF"/>
              <w:spacing w:line="360" w:lineRule="auto"/>
              <w:ind w:left="107"/>
              <w:jc w:val="both"/>
              <w:rPr>
                <w:rFonts w:hint="eastAsia" w:ascii="宋体" w:hAnsi="宋体" w:eastAsia="宋体" w:cs="宋体"/>
                <w:bCs/>
                <w:color w:val="auto"/>
                <w:sz w:val="24"/>
                <w:szCs w:val="24"/>
                <w:highlight w:val="none"/>
              </w:rPr>
            </w:pPr>
          </w:p>
        </w:tc>
        <w:tc>
          <w:tcPr>
            <w:tcW w:w="1675" w:type="dxa"/>
            <w:gridSpan w:val="2"/>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公司成</w:t>
            </w:r>
            <w:r>
              <w:rPr>
                <w:rFonts w:hint="eastAsia" w:ascii="宋体" w:hAnsi="宋体" w:eastAsia="宋体" w:cs="宋体"/>
                <w:bCs/>
                <w:color w:val="auto"/>
                <w:spacing w:val="12"/>
                <w:sz w:val="24"/>
                <w:szCs w:val="24"/>
                <w:highlight w:val="none"/>
              </w:rPr>
              <w:t>立时间</w:t>
            </w:r>
          </w:p>
        </w:tc>
        <w:tc>
          <w:tcPr>
            <w:tcW w:w="933" w:type="dxa"/>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9" w:hRule="atLeast"/>
        </w:trPr>
        <w:tc>
          <w:tcPr>
            <w:tcW w:w="880" w:type="dxa"/>
            <w:vMerge w:val="continue"/>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p>
        </w:tc>
        <w:tc>
          <w:tcPr>
            <w:tcW w:w="690" w:type="dxa"/>
            <w:shd w:val="clear" w:color="auto" w:fill="auto"/>
            <w:vAlign w:val="center"/>
          </w:tcPr>
          <w:p>
            <w:pPr>
              <w:pStyle w:val="58"/>
              <w:shd w:val="clear" w:color="auto" w:fill="FFFFFF"/>
              <w:spacing w:line="360" w:lineRule="auto"/>
              <w:ind w:left="2"/>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核准经营范围</w:t>
            </w:r>
          </w:p>
        </w:tc>
        <w:tc>
          <w:tcPr>
            <w:tcW w:w="7243" w:type="dxa"/>
            <w:gridSpan w:val="9"/>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880" w:type="dxa"/>
            <w:vMerge w:val="continue"/>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p>
        </w:tc>
        <w:tc>
          <w:tcPr>
            <w:tcW w:w="7933" w:type="dxa"/>
            <w:gridSpan w:val="10"/>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3"/>
                <w:sz w:val="24"/>
                <w:szCs w:val="24"/>
                <w:highlight w:val="none"/>
              </w:rPr>
            </w:pPr>
            <w:r>
              <w:rPr>
                <w:rFonts w:hint="eastAsia" w:ascii="宋体" w:hAnsi="宋体" w:eastAsia="宋体" w:cs="宋体"/>
                <w:bCs/>
                <w:color w:val="auto"/>
                <w:spacing w:val="13"/>
                <w:sz w:val="24"/>
                <w:szCs w:val="24"/>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3" w:hRule="atLeast"/>
        </w:trPr>
        <w:tc>
          <w:tcPr>
            <w:tcW w:w="880" w:type="dxa"/>
            <w:vMerge w:val="restart"/>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w:t>
            </w:r>
          </w:p>
          <w:p>
            <w:pPr>
              <w:pStyle w:val="58"/>
              <w:shd w:val="clear" w:color="auto" w:fill="FFFFFF"/>
              <w:spacing w:line="360" w:lineRule="auto"/>
              <w:ind w:left="10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z w:val="24"/>
                <w:szCs w:val="24"/>
                <w:highlight w:val="none"/>
              </w:rPr>
              <w:t>企</w:t>
            </w:r>
            <w:r>
              <w:rPr>
                <w:rFonts w:hint="eastAsia" w:ascii="宋体" w:hAnsi="宋体" w:eastAsia="宋体" w:cs="宋体"/>
                <w:bCs/>
                <w:color w:val="auto"/>
                <w:spacing w:val="12"/>
                <w:sz w:val="24"/>
                <w:szCs w:val="24"/>
                <w:highlight w:val="none"/>
              </w:rPr>
              <w:t>业有关资质获证情况</w:t>
            </w:r>
          </w:p>
        </w:tc>
        <w:tc>
          <w:tcPr>
            <w:tcW w:w="1355" w:type="dxa"/>
            <w:gridSpan w:val="2"/>
            <w:vMerge w:val="restart"/>
            <w:shd w:val="clear" w:color="auto" w:fill="auto"/>
            <w:vAlign w:val="center"/>
          </w:tcPr>
          <w:p>
            <w:pPr>
              <w:pStyle w:val="58"/>
              <w:shd w:val="clear" w:color="auto" w:fill="FFFFFF"/>
              <w:spacing w:before="0" w:beforeAutospacing="0" w:after="0" w:afterAutospacing="0" w:line="360" w:lineRule="auto"/>
              <w:jc w:val="both"/>
              <w:rPr>
                <w:rFonts w:hint="eastAsia" w:ascii="宋体" w:hAnsi="宋体" w:eastAsia="宋体" w:cs="宋体"/>
                <w:bCs/>
                <w:color w:val="auto"/>
                <w:spacing w:val="16"/>
                <w:sz w:val="24"/>
                <w:szCs w:val="24"/>
                <w:highlight w:val="none"/>
                <w:lang w:eastAsia="zh-CN"/>
              </w:rPr>
            </w:pPr>
            <w:r>
              <w:rPr>
                <w:rFonts w:hint="eastAsia" w:ascii="宋体" w:hAnsi="宋体" w:eastAsia="宋体" w:cs="宋体"/>
                <w:bCs/>
                <w:color w:val="auto"/>
                <w:spacing w:val="12"/>
                <w:sz w:val="24"/>
                <w:szCs w:val="24"/>
                <w:highlight w:val="none"/>
              </w:rPr>
              <w:t>产品生产许可证情况</w:t>
            </w:r>
            <w:r>
              <w:rPr>
                <w:rFonts w:hint="eastAsia" w:ascii="宋体" w:hAnsi="宋体" w:eastAsia="宋体" w:cs="宋体"/>
                <w:bCs/>
                <w:color w:val="auto"/>
                <w:spacing w:val="41"/>
                <w:sz w:val="24"/>
                <w:szCs w:val="24"/>
                <w:highlight w:val="none"/>
              </w:rPr>
              <w:t>（对需获得生产许可证的</w:t>
            </w:r>
            <w:r>
              <w:rPr>
                <w:rFonts w:hint="eastAsia" w:ascii="宋体" w:hAnsi="宋体" w:eastAsia="宋体" w:cs="宋体"/>
                <w:bCs/>
                <w:color w:val="auto"/>
                <w:spacing w:val="11"/>
                <w:sz w:val="24"/>
                <w:szCs w:val="24"/>
                <w:highlight w:val="none"/>
              </w:rPr>
              <w:t>产品要填写此栏</w:t>
            </w:r>
            <w:r>
              <w:rPr>
                <w:rFonts w:hint="eastAsia" w:cs="宋体"/>
                <w:bCs/>
                <w:color w:val="auto"/>
                <w:spacing w:val="11"/>
                <w:sz w:val="24"/>
                <w:szCs w:val="24"/>
                <w:highlight w:val="none"/>
                <w:lang w:eastAsia="zh-CN"/>
              </w:rPr>
              <w:t>）</w:t>
            </w:r>
          </w:p>
        </w:tc>
        <w:tc>
          <w:tcPr>
            <w:tcW w:w="1333" w:type="dxa"/>
            <w:gridSpan w:val="3"/>
            <w:shd w:val="clear" w:color="auto" w:fill="auto"/>
            <w:vAlign w:val="center"/>
          </w:tcPr>
          <w:p>
            <w:pPr>
              <w:pStyle w:val="58"/>
              <w:shd w:val="clear" w:color="auto" w:fill="FFFFFF"/>
              <w:spacing w:line="360" w:lineRule="auto"/>
              <w:ind w:right="-78" w:rightChars="-37"/>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6"/>
                <w:sz w:val="24"/>
                <w:szCs w:val="24"/>
                <w:highlight w:val="none"/>
              </w:rPr>
              <w:t>产品名称</w:t>
            </w:r>
          </w:p>
        </w:tc>
        <w:tc>
          <w:tcPr>
            <w:tcW w:w="1077" w:type="dxa"/>
            <w:shd w:val="clear" w:color="auto" w:fill="auto"/>
            <w:vAlign w:val="center"/>
          </w:tcPr>
          <w:p>
            <w:pPr>
              <w:pStyle w:val="58"/>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发证机关</w:t>
            </w:r>
          </w:p>
        </w:tc>
        <w:tc>
          <w:tcPr>
            <w:tcW w:w="1617" w:type="dxa"/>
            <w:gridSpan w:val="2"/>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编号</w:t>
            </w:r>
          </w:p>
        </w:tc>
        <w:tc>
          <w:tcPr>
            <w:tcW w:w="1618" w:type="dxa"/>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16"/>
                <w:sz w:val="24"/>
                <w:szCs w:val="24"/>
                <w:highlight w:val="none"/>
              </w:rPr>
              <w:t>发证时间</w:t>
            </w:r>
          </w:p>
        </w:tc>
        <w:tc>
          <w:tcPr>
            <w:tcW w:w="933" w:type="dxa"/>
            <w:shd w:val="clear" w:color="auto" w:fill="auto"/>
            <w:vAlign w:val="center"/>
          </w:tcPr>
          <w:p>
            <w:pPr>
              <w:pStyle w:val="58"/>
              <w:shd w:val="clear" w:color="auto" w:fill="FFFFFF"/>
              <w:spacing w:before="0" w:beforeAutospacing="0" w:after="0" w:afterAutospacing="0" w:line="360" w:lineRule="auto"/>
              <w:jc w:val="both"/>
              <w:rPr>
                <w:rFonts w:hint="eastAsia" w:ascii="宋体" w:hAnsi="宋体" w:eastAsia="宋体" w:cs="宋体"/>
                <w:bCs/>
                <w:color w:val="auto"/>
                <w:sz w:val="24"/>
                <w:szCs w:val="24"/>
                <w:highlight w:val="none"/>
              </w:rPr>
            </w:pPr>
            <w:r>
              <w:rPr>
                <w:rFonts w:hint="eastAsia" w:ascii="宋体" w:hAnsi="宋体" w:eastAsia="宋体" w:cs="宋体"/>
                <w:bCs/>
                <w:color w:val="auto"/>
                <w:spacing w:val="27"/>
                <w:sz w:val="24"/>
                <w:szCs w:val="24"/>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28" w:hRule="atLeast"/>
        </w:trPr>
        <w:tc>
          <w:tcPr>
            <w:tcW w:w="880" w:type="dxa"/>
            <w:vMerge w:val="continue"/>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z w:val="24"/>
                <w:szCs w:val="24"/>
                <w:highlight w:val="none"/>
              </w:rPr>
            </w:pPr>
          </w:p>
        </w:tc>
        <w:tc>
          <w:tcPr>
            <w:tcW w:w="1355" w:type="dxa"/>
            <w:gridSpan w:val="2"/>
            <w:vMerge w:val="continue"/>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p>
        </w:tc>
        <w:tc>
          <w:tcPr>
            <w:tcW w:w="1333" w:type="dxa"/>
            <w:gridSpan w:val="3"/>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p>
        </w:tc>
        <w:tc>
          <w:tcPr>
            <w:tcW w:w="1077" w:type="dxa"/>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p>
        </w:tc>
        <w:tc>
          <w:tcPr>
            <w:tcW w:w="1617" w:type="dxa"/>
            <w:gridSpan w:val="2"/>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p>
        </w:tc>
        <w:tc>
          <w:tcPr>
            <w:tcW w:w="2551" w:type="dxa"/>
            <w:gridSpan w:val="2"/>
            <w:shd w:val="clear" w:color="auto" w:fill="auto"/>
            <w:vAlign w:val="center"/>
          </w:tcPr>
          <w:p>
            <w:pPr>
              <w:pStyle w:val="58"/>
              <w:shd w:val="clear" w:color="auto" w:fill="FFFFFF"/>
              <w:spacing w:line="360" w:lineRule="auto"/>
              <w:jc w:val="both"/>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35" w:hRule="atLeast"/>
        </w:trPr>
        <w:tc>
          <w:tcPr>
            <w:tcW w:w="880" w:type="dxa"/>
            <w:vMerge w:val="continue"/>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pacing w:val="16"/>
                <w:sz w:val="24"/>
                <w:szCs w:val="24"/>
                <w:highlight w:val="none"/>
              </w:rPr>
            </w:pPr>
          </w:p>
        </w:tc>
        <w:tc>
          <w:tcPr>
            <w:tcW w:w="1355" w:type="dxa"/>
            <w:gridSpan w:val="2"/>
            <w:shd w:val="clear" w:color="auto" w:fill="auto"/>
            <w:vAlign w:val="center"/>
          </w:tcPr>
          <w:p>
            <w:pPr>
              <w:pStyle w:val="58"/>
              <w:shd w:val="clear" w:color="auto" w:fill="FFFFFF"/>
              <w:spacing w:before="0" w:beforeAutospacing="0" w:after="0" w:afterAutospacing="0" w:line="360" w:lineRule="auto"/>
              <w:ind w:right="-107" w:rightChars="-51"/>
              <w:jc w:val="both"/>
              <w:rPr>
                <w:rFonts w:hint="eastAsia" w:ascii="宋体" w:hAnsi="宋体" w:eastAsia="宋体" w:cs="宋体"/>
                <w:bCs/>
                <w:color w:val="auto"/>
                <w:spacing w:val="41"/>
                <w:sz w:val="24"/>
                <w:szCs w:val="24"/>
                <w:highlight w:val="none"/>
              </w:rPr>
            </w:pPr>
            <w:r>
              <w:rPr>
                <w:rFonts w:hint="eastAsia" w:ascii="宋体" w:hAnsi="宋体" w:eastAsia="宋体" w:cs="宋体"/>
                <w:bCs/>
                <w:color w:val="auto"/>
                <w:spacing w:val="41"/>
                <w:sz w:val="24"/>
                <w:szCs w:val="24"/>
                <w:highlight w:val="none"/>
              </w:rPr>
              <w:t>企业通过质量体系、环保</w:t>
            </w:r>
            <w:r>
              <w:rPr>
                <w:rFonts w:hint="eastAsia" w:ascii="宋体" w:hAnsi="宋体" w:eastAsia="宋体" w:cs="宋体"/>
                <w:bCs/>
                <w:color w:val="auto"/>
                <w:spacing w:val="11"/>
                <w:sz w:val="24"/>
                <w:szCs w:val="24"/>
                <w:highlight w:val="none"/>
              </w:rPr>
              <w:t>体系、计量等认证情况</w:t>
            </w:r>
          </w:p>
        </w:tc>
        <w:tc>
          <w:tcPr>
            <w:tcW w:w="6578" w:type="dxa"/>
            <w:gridSpan w:val="8"/>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80" w:type="dxa"/>
            <w:vMerge w:val="continue"/>
            <w:shd w:val="clear" w:color="auto" w:fill="auto"/>
            <w:vAlign w:val="center"/>
          </w:tcPr>
          <w:p>
            <w:pPr>
              <w:pStyle w:val="58"/>
              <w:shd w:val="clear" w:color="auto" w:fill="FFFFFF"/>
              <w:spacing w:line="360" w:lineRule="auto"/>
              <w:ind w:left="107"/>
              <w:jc w:val="both"/>
              <w:rPr>
                <w:rFonts w:hint="eastAsia" w:ascii="宋体" w:hAnsi="宋体" w:eastAsia="宋体" w:cs="宋体"/>
                <w:bCs/>
                <w:color w:val="auto"/>
                <w:spacing w:val="27"/>
                <w:sz w:val="24"/>
                <w:szCs w:val="24"/>
                <w:highlight w:val="none"/>
              </w:rPr>
            </w:pPr>
          </w:p>
        </w:tc>
        <w:tc>
          <w:tcPr>
            <w:tcW w:w="1355" w:type="dxa"/>
            <w:gridSpan w:val="2"/>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r>
              <w:rPr>
                <w:rFonts w:hint="eastAsia" w:ascii="宋体" w:hAnsi="宋体" w:eastAsia="宋体" w:cs="宋体"/>
                <w:bCs/>
                <w:color w:val="auto"/>
                <w:spacing w:val="10"/>
                <w:sz w:val="24"/>
                <w:szCs w:val="24"/>
                <w:highlight w:val="none"/>
              </w:rPr>
              <w:t>企业获得专利情况</w:t>
            </w:r>
          </w:p>
        </w:tc>
        <w:tc>
          <w:tcPr>
            <w:tcW w:w="6578" w:type="dxa"/>
            <w:gridSpan w:val="8"/>
            <w:shd w:val="clear" w:color="auto" w:fill="auto"/>
            <w:vAlign w:val="center"/>
          </w:tcPr>
          <w:p>
            <w:pPr>
              <w:pStyle w:val="58"/>
              <w:shd w:val="clear" w:color="auto" w:fill="FFFFFF"/>
              <w:spacing w:line="360" w:lineRule="auto"/>
              <w:jc w:val="both"/>
              <w:rPr>
                <w:rFonts w:hint="eastAsia" w:ascii="宋体" w:hAnsi="宋体" w:eastAsia="宋体" w:cs="宋体"/>
                <w:bCs/>
                <w:color w:val="auto"/>
                <w:spacing w:val="16"/>
                <w:sz w:val="24"/>
                <w:szCs w:val="24"/>
                <w:highlight w:val="none"/>
              </w:rPr>
            </w:pPr>
          </w:p>
        </w:tc>
      </w:tr>
    </w:tbl>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rPr>
          <w:rFonts w:hint="eastAsia"/>
          <w:b/>
          <w:bCs/>
          <w:color w:val="auto"/>
          <w:sz w:val="24"/>
          <w:szCs w:val="32"/>
          <w:highlight w:val="none"/>
        </w:rPr>
      </w:pPr>
      <w:r>
        <w:rPr>
          <w:rFonts w:hint="eastAsia"/>
          <w:b/>
          <w:bCs/>
          <w:color w:val="auto"/>
          <w:sz w:val="24"/>
          <w:szCs w:val="32"/>
          <w:highlight w:val="none"/>
        </w:rPr>
        <w:t>要求：</w:t>
      </w:r>
    </w:p>
    <w:p>
      <w:pPr>
        <w:bidi w:val="0"/>
        <w:spacing w:line="360" w:lineRule="auto"/>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1.姓名栏必须将所有股东都统计在内，若非股份公司此行（第三行</w:t>
      </w:r>
      <w:r>
        <w:rPr>
          <w:rFonts w:hint="eastAsia" w:ascii="宋体" w:hAnsi="宋体" w:cs="宋体"/>
          <w:b w:val="0"/>
          <w:bCs w:val="0"/>
          <w:color w:val="auto"/>
          <w:sz w:val="24"/>
          <w:szCs w:val="32"/>
          <w:highlight w:val="none"/>
          <w:lang w:eastAsia="zh-CN"/>
        </w:rPr>
        <w:t>）</w:t>
      </w:r>
      <w:r>
        <w:rPr>
          <w:rFonts w:hint="eastAsia" w:ascii="宋体" w:hAnsi="宋体" w:eastAsia="宋体" w:cs="宋体"/>
          <w:b w:val="0"/>
          <w:bCs w:val="0"/>
          <w:color w:val="auto"/>
          <w:sz w:val="24"/>
          <w:szCs w:val="32"/>
          <w:highlight w:val="none"/>
        </w:rPr>
        <w:t>无需填写；</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color w:val="auto"/>
          <w:highlight w:val="none"/>
          <w:lang w:eastAsia="zh-CN"/>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eastAsia="宋体" w:cs="宋体"/>
          <w:b/>
          <w:bCs/>
          <w:color w:val="auto"/>
          <w:sz w:val="28"/>
          <w:szCs w:val="36"/>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0</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项目实施人员一览表</w:t>
      </w:r>
    </w:p>
    <w:p>
      <w:pPr>
        <w:spacing w:line="360" w:lineRule="auto"/>
        <w:jc w:val="center"/>
        <w:rPr>
          <w:rFonts w:hint="eastAsia" w:eastAsia="宋体"/>
          <w:color w:val="auto"/>
          <w:sz w:val="24"/>
          <w:szCs w:val="32"/>
          <w:highlight w:val="none"/>
          <w:lang w:eastAsia="zh-CN"/>
        </w:rPr>
      </w:pPr>
      <w:r>
        <w:rPr>
          <w:rFonts w:hint="eastAsia"/>
          <w:color w:val="auto"/>
          <w:sz w:val="24"/>
          <w:szCs w:val="32"/>
          <w:highlight w:val="none"/>
        </w:rPr>
        <w:t>（主要从业人员及其技术资格</w:t>
      </w:r>
      <w:r>
        <w:rPr>
          <w:rFonts w:hint="eastAsia"/>
          <w:color w:val="auto"/>
          <w:sz w:val="24"/>
          <w:szCs w:val="32"/>
          <w:highlight w:val="none"/>
          <w:lang w:eastAsia="zh-CN"/>
        </w:rPr>
        <w:t>）</w:t>
      </w:r>
    </w:p>
    <w:tbl>
      <w:tblPr>
        <w:tblStyle w:val="28"/>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szCs w:val="20"/>
                <w:highlight w:val="none"/>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color w:val="auto"/>
                <w:sz w:val="24"/>
                <w:szCs w:val="20"/>
                <w:highlight w:val="none"/>
              </w:rPr>
            </w:pPr>
            <w:r>
              <w:rPr>
                <w:rFonts w:hint="eastAsia" w:ascii="宋体" w:hAnsi="宋体"/>
                <w:b/>
                <w:color w:val="auto"/>
                <w:sz w:val="24"/>
                <w:highlight w:val="none"/>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color w:val="auto"/>
                <w:sz w:val="24"/>
                <w:szCs w:val="20"/>
                <w:highlight w:val="none"/>
              </w:rPr>
            </w:pPr>
            <w:r>
              <w:rPr>
                <w:rFonts w:hint="eastAsia" w:ascii="宋体" w:hAnsi="宋体"/>
                <w:b/>
                <w:bCs/>
                <w:color w:val="auto"/>
                <w:sz w:val="24"/>
                <w:highlight w:val="none"/>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color w:val="auto"/>
                <w:sz w:val="24"/>
                <w:szCs w:val="20"/>
                <w:highlight w:val="none"/>
              </w:rPr>
            </w:pPr>
            <w:r>
              <w:rPr>
                <w:rFonts w:hint="eastAsia" w:ascii="宋体" w:hAnsi="宋体"/>
                <w:b/>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360" w:lineRule="auto"/>
              <w:ind w:left="5250"/>
              <w:rPr>
                <w:rFonts w:ascii="宋体" w:hAnsi="宋体" w:eastAsia="宋体"/>
                <w:b/>
                <w:color w:val="auto"/>
                <w:kern w:val="44"/>
                <w:sz w:val="24"/>
                <w:szCs w:val="24"/>
                <w:highlight w:val="none"/>
              </w:rPr>
            </w:pPr>
          </w:p>
        </w:tc>
        <w:tc>
          <w:tcPr>
            <w:tcW w:w="1276" w:type="dxa"/>
            <w:tcBorders>
              <w:top w:val="single" w:color="auto" w:sz="4" w:space="0"/>
              <w:left w:val="single" w:color="auto" w:sz="4" w:space="0"/>
              <w:bottom w:val="single" w:color="auto" w:sz="4" w:space="0"/>
              <w:right w:val="single" w:color="auto" w:sz="4" w:space="0"/>
            </w:tcBorders>
          </w:tcPr>
          <w:p>
            <w:pPr>
              <w:pStyle w:val="16"/>
              <w:snapToGrid w:val="0"/>
              <w:spacing w:beforeLines="50" w:after="50" w:line="360" w:lineRule="auto"/>
              <w:ind w:left="5250"/>
              <w:rPr>
                <w:rFonts w:ascii="宋体" w:hAnsi="宋体" w:eastAsia="宋体"/>
                <w:b/>
                <w:color w:val="auto"/>
                <w:kern w:val="44"/>
                <w:sz w:val="24"/>
                <w:szCs w:val="24"/>
                <w:highlight w:val="none"/>
              </w:rPr>
            </w:pPr>
          </w:p>
        </w:tc>
        <w:tc>
          <w:tcPr>
            <w:tcW w:w="1275" w:type="dxa"/>
            <w:tcBorders>
              <w:top w:val="single" w:color="auto" w:sz="4" w:space="0"/>
              <w:left w:val="single" w:color="auto" w:sz="4" w:space="0"/>
              <w:bottom w:val="single" w:color="auto" w:sz="4" w:space="0"/>
              <w:right w:val="single" w:color="auto" w:sz="4" w:space="0"/>
            </w:tcBorders>
          </w:tcPr>
          <w:p>
            <w:pPr>
              <w:pStyle w:val="16"/>
              <w:spacing w:line="360" w:lineRule="auto"/>
              <w:ind w:left="5250"/>
              <w:rPr>
                <w:rFonts w:ascii="宋体" w:hAnsi="宋体"/>
                <w:color w:val="auto"/>
                <w:sz w:val="24"/>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color w:val="auto"/>
                <w:sz w:val="24"/>
                <w:szCs w:val="20"/>
                <w:highlight w:val="none"/>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c>
          <w:tcPr>
            <w:tcW w:w="212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color w:val="auto"/>
                <w:kern w:val="44"/>
                <w:sz w:val="24"/>
                <w:szCs w:val="20"/>
                <w:highlight w:val="none"/>
              </w:rPr>
            </w:pPr>
          </w:p>
        </w:tc>
      </w:tr>
    </w:tbl>
    <w:p>
      <w:pPr>
        <w:spacing w:line="360" w:lineRule="auto"/>
        <w:jc w:val="left"/>
        <w:rPr>
          <w:b/>
          <w:bCs/>
          <w:color w:val="auto"/>
          <w:sz w:val="24"/>
          <w:szCs w:val="32"/>
          <w:highlight w:val="none"/>
        </w:rPr>
      </w:pPr>
      <w:r>
        <w:rPr>
          <w:rFonts w:hint="eastAsia"/>
          <w:b/>
          <w:bCs/>
          <w:color w:val="auto"/>
          <w:sz w:val="24"/>
          <w:szCs w:val="32"/>
          <w:highlight w:val="none"/>
        </w:rPr>
        <w:t>要求：</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1.在填写时，如本表格不适合投标单位的实际情况，可根据本表格式自行划表填写。</w:t>
      </w:r>
    </w:p>
    <w:p>
      <w:pPr>
        <w:spacing w:line="360" w:lineRule="auto"/>
        <w:ind w:firstLine="480" w:firstLineChars="200"/>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2.附人员证书复印件；</w:t>
      </w:r>
    </w:p>
    <w:p>
      <w:pPr>
        <w:spacing w:line="360" w:lineRule="auto"/>
        <w:jc w:val="left"/>
        <w:rPr>
          <w:rFonts w:hint="eastAsia" w:ascii="宋体" w:hAnsi="宋体" w:eastAsia="宋体" w:cs="宋体"/>
          <w:b w:val="0"/>
          <w:bCs w:val="0"/>
          <w:color w:val="auto"/>
          <w:sz w:val="24"/>
          <w:szCs w:val="32"/>
          <w:highlight w:val="none"/>
        </w:rPr>
      </w:pPr>
      <w:r>
        <w:rPr>
          <w:rFonts w:hint="eastAsia" w:ascii="宋体" w:hAnsi="宋体" w:eastAsia="宋体" w:cs="宋体"/>
          <w:b w:val="0"/>
          <w:bCs w:val="0"/>
          <w:color w:val="auto"/>
          <w:sz w:val="24"/>
          <w:szCs w:val="32"/>
          <w:highlight w:val="none"/>
        </w:rPr>
        <w:t>　　3.出具上述人员在本单位服务的外部证明，如：投标截止日之前六个月以内的代缴个税税单</w:t>
      </w:r>
      <w:r>
        <w:rPr>
          <w:rFonts w:hint="eastAsia" w:ascii="宋体" w:hAnsi="宋体" w:cs="宋体"/>
          <w:b w:val="0"/>
          <w:bCs w:val="0"/>
          <w:color w:val="auto"/>
          <w:sz w:val="24"/>
          <w:szCs w:val="32"/>
          <w:highlight w:val="none"/>
          <w:lang w:eastAsia="zh-CN"/>
        </w:rPr>
        <w:t>或</w:t>
      </w:r>
      <w:r>
        <w:rPr>
          <w:rFonts w:hint="eastAsia" w:ascii="宋体" w:hAnsi="宋体" w:eastAsia="宋体" w:cs="宋体"/>
          <w:b w:val="0"/>
          <w:bCs w:val="0"/>
          <w:color w:val="auto"/>
          <w:sz w:val="24"/>
          <w:szCs w:val="32"/>
          <w:highlight w:val="none"/>
        </w:rPr>
        <w:t>参加社会保险的《投保单》或《社会保险参保人员证明》等。</w:t>
      </w:r>
    </w:p>
    <w:p>
      <w:pPr>
        <w:bidi w:val="0"/>
        <w:spacing w:line="360" w:lineRule="auto"/>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36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1</w:t>
      </w:r>
    </w:p>
    <w:p>
      <w:pPr>
        <w:spacing w:beforeLines="50" w:afterLines="50" w:line="360" w:lineRule="auto"/>
        <w:ind w:right="-10"/>
        <w:jc w:val="center"/>
        <w:rPr>
          <w:rFonts w:ascii="宋体" w:hAnsi="宋体"/>
          <w:b/>
          <w:bCs/>
          <w:color w:val="auto"/>
          <w:sz w:val="32"/>
          <w:szCs w:val="32"/>
          <w:highlight w:val="none"/>
        </w:rPr>
      </w:pPr>
      <w:r>
        <w:rPr>
          <w:rFonts w:hint="eastAsia" w:ascii="宋体" w:hAnsi="宋体"/>
          <w:b/>
          <w:bCs/>
          <w:color w:val="auto"/>
          <w:sz w:val="32"/>
          <w:szCs w:val="32"/>
          <w:highlight w:val="none"/>
        </w:rPr>
        <w:t>项目负责人资格情况表</w:t>
      </w:r>
    </w:p>
    <w:p>
      <w:pPr>
        <w:spacing w:line="360" w:lineRule="auto"/>
        <w:rPr>
          <w:rFonts w:ascii="宋体" w:hAnsi="宋体"/>
          <w:color w:val="auto"/>
          <w:sz w:val="24"/>
          <w:szCs w:val="32"/>
          <w:highlight w:val="none"/>
        </w:rPr>
      </w:pPr>
      <w:r>
        <w:rPr>
          <w:rFonts w:hint="eastAsia" w:ascii="宋体" w:hAnsi="宋体"/>
          <w:color w:val="auto"/>
          <w:sz w:val="24"/>
          <w:szCs w:val="32"/>
          <w:highlight w:val="none"/>
        </w:rPr>
        <w:t>采购项目：</w:t>
      </w:r>
      <w:r>
        <w:rPr>
          <w:rFonts w:hint="eastAsia" w:ascii="宋体" w:hAnsi="宋体"/>
          <w:color w:val="auto"/>
          <w:sz w:val="24"/>
          <w:szCs w:val="32"/>
          <w:highlight w:val="none"/>
          <w:lang w:val="en-US" w:eastAsia="zh-CN"/>
        </w:rPr>
        <w:t xml:space="preserve">                                        </w:t>
      </w:r>
      <w:r>
        <w:rPr>
          <w:rFonts w:hint="eastAsia" w:ascii="宋体" w:hAnsi="宋体"/>
          <w:color w:val="auto"/>
          <w:sz w:val="24"/>
          <w:szCs w:val="32"/>
          <w:highlight w:val="none"/>
        </w:rPr>
        <w:t>采购编号：</w:t>
      </w:r>
    </w:p>
    <w:tbl>
      <w:tblPr>
        <w:tblStyle w:val="28"/>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rPr>
            </w:pPr>
            <w:r>
              <w:rPr>
                <w:rFonts w:hint="eastAsia"/>
                <w:b/>
                <w:bCs/>
                <w:color w:val="auto"/>
                <w:sz w:val="24"/>
                <w:szCs w:val="24"/>
                <w:highlight w:val="none"/>
              </w:rPr>
              <w:t>注：业绩证明应提供旁证材料</w:t>
            </w:r>
          </w:p>
          <w:p>
            <w:pPr>
              <w:bidi w:val="0"/>
              <w:spacing w:line="240" w:lineRule="auto"/>
              <w:jc w:val="center"/>
              <w:rPr>
                <w:b/>
                <w:bCs/>
                <w:color w:val="auto"/>
                <w:sz w:val="24"/>
                <w:szCs w:val="24"/>
                <w:highlight w:val="none"/>
                <w:lang w:val="zh-CN"/>
              </w:rPr>
            </w:pPr>
            <w:r>
              <w:rPr>
                <w:rFonts w:hint="eastAsia"/>
                <w:b/>
                <w:bCs/>
                <w:color w:val="auto"/>
                <w:sz w:val="24"/>
                <w:szCs w:val="24"/>
                <w:highlight w:val="none"/>
              </w:rPr>
              <w:t>（供货合同或中标通知书</w:t>
            </w:r>
            <w:r>
              <w:rPr>
                <w:rFonts w:hint="eastAsia"/>
                <w:b/>
                <w:bCs/>
                <w:color w:val="auto"/>
                <w:sz w:val="24"/>
                <w:szCs w:val="24"/>
                <w:highlight w:val="none"/>
                <w:lang w:eastAsia="zh-CN"/>
              </w:rPr>
              <w:t>）</w:t>
            </w:r>
            <w:r>
              <w:rPr>
                <w:rFonts w:hint="eastAsia"/>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top w:val="single" w:color="auto" w:sz="4" w:space="0"/>
              <w:left w:val="single" w:color="auto" w:sz="12"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bidi w:val="0"/>
              <w:spacing w:line="240" w:lineRule="auto"/>
              <w:jc w:val="center"/>
              <w:rPr>
                <w:b/>
                <w:bCs/>
                <w:color w:val="auto"/>
                <w:sz w:val="24"/>
                <w:szCs w:val="24"/>
                <w:highlight w:val="none"/>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bidi w:val="0"/>
              <w:spacing w:line="240" w:lineRule="auto"/>
              <w:jc w:val="center"/>
              <w:rPr>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4" w:space="0"/>
              <w:left w:val="single" w:color="auto" w:sz="12" w:space="0"/>
              <w:bottom w:val="single" w:color="auto" w:sz="12" w:space="0"/>
              <w:right w:val="single" w:color="auto" w:sz="4" w:space="0"/>
            </w:tcBorders>
            <w:vAlign w:val="center"/>
          </w:tcPr>
          <w:p>
            <w:pPr>
              <w:bidi w:val="0"/>
              <w:spacing w:line="240" w:lineRule="auto"/>
              <w:jc w:val="center"/>
              <w:rPr>
                <w:b/>
                <w:bCs/>
                <w:color w:val="auto"/>
                <w:sz w:val="24"/>
                <w:szCs w:val="24"/>
                <w:highlight w:val="none"/>
                <w:lang w:val="zh-CN"/>
              </w:rPr>
            </w:pPr>
            <w:r>
              <w:rPr>
                <w:rFonts w:hint="eastAsia"/>
                <w:b/>
                <w:bCs/>
                <w:color w:val="auto"/>
                <w:sz w:val="24"/>
                <w:szCs w:val="24"/>
                <w:highlight w:val="none"/>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bidi w:val="0"/>
              <w:spacing w:line="240" w:lineRule="auto"/>
              <w:jc w:val="center"/>
              <w:rPr>
                <w:b/>
                <w:bCs/>
                <w:color w:val="auto"/>
                <w:sz w:val="24"/>
                <w:szCs w:val="24"/>
                <w:highlight w:val="none"/>
                <w:lang w:val="zh-CN"/>
              </w:rPr>
            </w:pPr>
          </w:p>
        </w:tc>
      </w:tr>
    </w:tbl>
    <w:p>
      <w:pPr>
        <w:spacing w:line="360" w:lineRule="auto"/>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bidi w:val="0"/>
        <w:spacing w:line="360" w:lineRule="auto"/>
        <w:rPr>
          <w:rFonts w:hint="eastAsia" w:ascii="宋体" w:hAnsi="宋体" w:eastAsia="宋体" w:cs="宋体"/>
          <w:b w:val="0"/>
          <w:bCs w:val="0"/>
          <w:color w:val="auto"/>
          <w:sz w:val="24"/>
          <w:szCs w:val="32"/>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2</w:t>
      </w:r>
    </w:p>
    <w:p>
      <w:pPr>
        <w:spacing w:line="480" w:lineRule="exact"/>
        <w:jc w:val="center"/>
        <w:rPr>
          <w:rFonts w:ascii="宋体" w:hAnsi="宋体" w:cs="宋体"/>
          <w:b/>
          <w:bCs/>
          <w:color w:val="auto"/>
          <w:sz w:val="32"/>
          <w:szCs w:val="40"/>
          <w:highlight w:val="none"/>
          <w:lang w:val="zh-CN"/>
        </w:rPr>
      </w:pPr>
      <w:r>
        <w:rPr>
          <w:rFonts w:hint="eastAsia" w:ascii="宋体" w:hAnsi="宋体" w:cs="宋体"/>
          <w:b/>
          <w:bCs/>
          <w:color w:val="auto"/>
          <w:sz w:val="32"/>
          <w:szCs w:val="40"/>
          <w:highlight w:val="none"/>
          <w:lang w:val="zh-CN"/>
        </w:rPr>
        <w:t>供货清单（标段）</w:t>
      </w:r>
    </w:p>
    <w:p>
      <w:pPr>
        <w:spacing w:line="480" w:lineRule="auto"/>
        <w:rPr>
          <w:rFonts w:ascii="宋体" w:hAnsi="宋体"/>
          <w:color w:val="auto"/>
          <w:sz w:val="24"/>
          <w:highlight w:val="none"/>
        </w:rPr>
      </w:pPr>
      <w:r>
        <w:rPr>
          <w:rFonts w:hint="eastAsia" w:ascii="宋体" w:hAnsi="宋体"/>
          <w:color w:val="auto"/>
          <w:sz w:val="24"/>
          <w:highlight w:val="none"/>
        </w:rPr>
        <w:t>项目编号：</w:t>
      </w:r>
    </w:p>
    <w:tbl>
      <w:tblPr>
        <w:tblStyle w:val="28"/>
        <w:tblW w:w="8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169"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34"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品牌</w:t>
            </w:r>
          </w:p>
        </w:tc>
        <w:tc>
          <w:tcPr>
            <w:tcW w:w="1842" w:type="dxa"/>
            <w:vAlign w:val="center"/>
          </w:tcPr>
          <w:p>
            <w:pPr>
              <w:tabs>
                <w:tab w:val="left" w:pos="8280"/>
              </w:tabs>
              <w:autoSpaceDE w:val="0"/>
              <w:autoSpaceDN w:val="0"/>
              <w:adjustRightInd w:val="0"/>
              <w:ind w:right="25"/>
              <w:jc w:val="center"/>
              <w:rPr>
                <w:rFonts w:ascii="宋体" w:hAnsi="宋体" w:cs="宋体"/>
                <w:b/>
                <w:color w:val="auto"/>
                <w:sz w:val="24"/>
                <w:highlight w:val="none"/>
              </w:rPr>
            </w:pPr>
            <w:r>
              <w:rPr>
                <w:rFonts w:hint="eastAsia" w:ascii="宋体" w:hAnsi="宋体" w:cs="宋体"/>
                <w:b/>
                <w:color w:val="auto"/>
                <w:sz w:val="24"/>
                <w:highlight w:val="none"/>
              </w:rPr>
              <w:t>规格型号</w:t>
            </w:r>
          </w:p>
        </w:tc>
        <w:tc>
          <w:tcPr>
            <w:tcW w:w="993"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产地</w:t>
            </w:r>
          </w:p>
        </w:tc>
        <w:tc>
          <w:tcPr>
            <w:tcW w:w="1559" w:type="dxa"/>
            <w:vAlign w:val="center"/>
          </w:tcPr>
          <w:p>
            <w:pPr>
              <w:jc w:val="center"/>
              <w:rPr>
                <w:rFonts w:ascii="宋体" w:hAnsi="宋体" w:cs="宋体"/>
                <w:b/>
                <w:color w:val="auto"/>
                <w:sz w:val="24"/>
                <w:highlight w:val="none"/>
              </w:rPr>
            </w:pPr>
            <w:r>
              <w:rPr>
                <w:rFonts w:hint="eastAsia" w:ascii="宋体" w:hAnsi="宋体" w:cs="宋体"/>
                <w:b/>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891" w:type="dxa"/>
            <w:vAlign w:val="center"/>
          </w:tcPr>
          <w:p>
            <w:pPr>
              <w:jc w:val="center"/>
              <w:rPr>
                <w:rFonts w:ascii="宋体" w:hAnsi="宋体" w:cs="宋体"/>
                <w:color w:val="auto"/>
                <w:sz w:val="24"/>
                <w:highlight w:val="none"/>
              </w:rPr>
            </w:pPr>
          </w:p>
        </w:tc>
        <w:tc>
          <w:tcPr>
            <w:tcW w:w="2169" w:type="dxa"/>
            <w:vAlign w:val="center"/>
          </w:tcPr>
          <w:p>
            <w:pPr>
              <w:jc w:val="center"/>
              <w:rPr>
                <w:rFonts w:ascii="宋体" w:hAnsi="宋体" w:cs="宋体"/>
                <w:color w:val="auto"/>
                <w:sz w:val="24"/>
                <w:highlight w:val="none"/>
              </w:rPr>
            </w:pPr>
          </w:p>
        </w:tc>
        <w:tc>
          <w:tcPr>
            <w:tcW w:w="1134" w:type="dxa"/>
            <w:vAlign w:val="center"/>
          </w:tcPr>
          <w:p>
            <w:pPr>
              <w:jc w:val="center"/>
              <w:rPr>
                <w:rFonts w:ascii="宋体" w:hAnsi="宋体" w:cs="宋体"/>
                <w:color w:val="auto"/>
                <w:sz w:val="24"/>
                <w:highlight w:val="none"/>
              </w:rPr>
            </w:pPr>
          </w:p>
        </w:tc>
        <w:tc>
          <w:tcPr>
            <w:tcW w:w="1842" w:type="dxa"/>
            <w:vAlign w:val="center"/>
          </w:tcPr>
          <w:p>
            <w:pPr>
              <w:jc w:val="center"/>
              <w:rPr>
                <w:rFonts w:ascii="宋体" w:hAnsi="宋体" w:cs="宋体"/>
                <w:color w:val="auto"/>
                <w:sz w:val="24"/>
                <w:highlight w:val="none"/>
              </w:rPr>
            </w:pPr>
          </w:p>
        </w:tc>
        <w:tc>
          <w:tcPr>
            <w:tcW w:w="993" w:type="dxa"/>
            <w:vAlign w:val="center"/>
          </w:tcPr>
          <w:p>
            <w:pPr>
              <w:jc w:val="center"/>
              <w:rPr>
                <w:rFonts w:ascii="宋体" w:hAnsi="宋体" w:cs="宋体"/>
                <w:color w:val="auto"/>
                <w:sz w:val="24"/>
                <w:highlight w:val="none"/>
              </w:rPr>
            </w:pPr>
          </w:p>
        </w:tc>
        <w:tc>
          <w:tcPr>
            <w:tcW w:w="1559" w:type="dxa"/>
            <w:vAlign w:val="center"/>
          </w:tcPr>
          <w:p>
            <w:pPr>
              <w:jc w:val="center"/>
              <w:rPr>
                <w:rFonts w:ascii="宋体" w:hAnsi="宋体" w:cs="宋体"/>
                <w:color w:val="auto"/>
                <w:sz w:val="24"/>
                <w:highlight w:val="none"/>
              </w:rPr>
            </w:pPr>
          </w:p>
        </w:tc>
      </w:tr>
    </w:tbl>
    <w:p>
      <w:pPr>
        <w:spacing w:line="360" w:lineRule="auto"/>
        <w:rPr>
          <w:rFonts w:ascii="宋体" w:hAnsi="宋体"/>
          <w:color w:val="auto"/>
          <w:sz w:val="24"/>
          <w:highlight w:val="none"/>
        </w:rPr>
      </w:pPr>
    </w:p>
    <w:p>
      <w:pPr>
        <w:spacing w:line="360" w:lineRule="auto"/>
        <w:rPr>
          <w:rFonts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1.本表中的名称、数量应与报价明细表中相对应的报价名称、数量一致。</w:t>
      </w:r>
    </w:p>
    <w:p>
      <w:pPr>
        <w:spacing w:line="360" w:lineRule="auto"/>
        <w:rPr>
          <w:rFonts w:ascii="宋体" w:hAnsi="宋体"/>
          <w:color w:val="auto"/>
          <w:sz w:val="24"/>
          <w:highlight w:val="none"/>
        </w:rPr>
      </w:pPr>
    </w:p>
    <w:p>
      <w:pPr>
        <w:spacing w:line="480" w:lineRule="auto"/>
        <w:rPr>
          <w:rFonts w:ascii="宋体" w:hAnsi="宋体"/>
          <w:color w:val="auto"/>
          <w:sz w:val="24"/>
          <w:highlight w:val="none"/>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授权委托代理人签字或盖章：</w:t>
      </w:r>
      <w:r>
        <w:rPr>
          <w:rFonts w:hint="eastAsia" w:ascii="宋体" w:hAnsi="宋体"/>
          <w:color w:val="auto"/>
          <w:sz w:val="24"/>
          <w:highlight w:val="none"/>
          <w:u w:val="single"/>
        </w:rPr>
        <w:t xml:space="preserve">                   </w:t>
      </w:r>
    </w:p>
    <w:p>
      <w:pPr>
        <w:spacing w:line="480" w:lineRule="auto"/>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pStyle w:val="27"/>
        <w:rPr>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3</w:t>
      </w:r>
    </w:p>
    <w:p>
      <w:pPr>
        <w:spacing w:line="360" w:lineRule="auto"/>
        <w:jc w:val="center"/>
        <w:rPr>
          <w:rFonts w:ascii="宋体"/>
          <w:b/>
          <w:bCs/>
          <w:color w:val="auto"/>
          <w:sz w:val="32"/>
          <w:szCs w:val="32"/>
          <w:highlight w:val="none"/>
        </w:rPr>
      </w:pPr>
      <w:r>
        <w:rPr>
          <w:rFonts w:hint="eastAsia" w:ascii="宋体" w:hAnsi="宋体"/>
          <w:b/>
          <w:bCs/>
          <w:color w:val="auto"/>
          <w:kern w:val="0"/>
          <w:sz w:val="32"/>
          <w:szCs w:val="32"/>
          <w:highlight w:val="none"/>
        </w:rPr>
        <w:t>技术需求响应表</w:t>
      </w:r>
    </w:p>
    <w:p>
      <w:pPr>
        <w:spacing w:line="360" w:lineRule="auto"/>
        <w:rPr>
          <w:rFonts w:ascii="宋体"/>
          <w:color w:val="auto"/>
          <w:sz w:val="24"/>
          <w:highlight w:val="none"/>
        </w:rPr>
      </w:pPr>
    </w:p>
    <w:tbl>
      <w:tblPr>
        <w:tblStyle w:val="28"/>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spacing w:line="360" w:lineRule="auto"/>
              <w:ind w:left="13" w:leftChars="6" w:firstLine="482" w:firstLineChars="200"/>
              <w:rPr>
                <w:rFonts w:ascii="宋体"/>
                <w:b/>
                <w:color w:val="auto"/>
                <w:sz w:val="24"/>
                <w:highlight w:val="none"/>
              </w:rPr>
            </w:pPr>
            <w:r>
              <w:rPr>
                <w:rFonts w:hint="eastAsia" w:ascii="宋体" w:hAnsi="宋体"/>
                <w:b/>
                <w:color w:val="auto"/>
                <w:sz w:val="24"/>
                <w:highlight w:val="none"/>
              </w:rPr>
              <w:t>名称</w:t>
            </w:r>
          </w:p>
        </w:tc>
        <w:tc>
          <w:tcPr>
            <w:tcW w:w="1449" w:type="dxa"/>
            <w:vAlign w:val="center"/>
          </w:tcPr>
          <w:p>
            <w:pPr>
              <w:spacing w:line="360" w:lineRule="auto"/>
              <w:ind w:left="52"/>
              <w:rPr>
                <w:rFonts w:ascii="宋体"/>
                <w:b/>
                <w:color w:val="auto"/>
                <w:sz w:val="24"/>
                <w:highlight w:val="none"/>
              </w:rPr>
            </w:pPr>
            <w:r>
              <w:rPr>
                <w:rFonts w:hint="eastAsia" w:ascii="宋体" w:hAnsi="宋体"/>
                <w:b/>
                <w:color w:val="auto"/>
                <w:sz w:val="24"/>
                <w:highlight w:val="none"/>
              </w:rPr>
              <w:t>规格型号</w:t>
            </w:r>
          </w:p>
        </w:tc>
        <w:tc>
          <w:tcPr>
            <w:tcW w:w="1560" w:type="dxa"/>
            <w:vAlign w:val="center"/>
          </w:tcPr>
          <w:p>
            <w:pPr>
              <w:spacing w:line="360" w:lineRule="auto"/>
              <w:ind w:left="152"/>
              <w:rPr>
                <w:rFonts w:ascii="宋体"/>
                <w:b/>
                <w:color w:val="auto"/>
                <w:sz w:val="24"/>
                <w:highlight w:val="none"/>
              </w:rPr>
            </w:pPr>
            <w:r>
              <w:rPr>
                <w:rFonts w:hint="eastAsia" w:ascii="宋体" w:hAnsi="宋体"/>
                <w:b/>
                <w:color w:val="auto"/>
                <w:sz w:val="24"/>
                <w:highlight w:val="none"/>
              </w:rPr>
              <w:t>招标参数</w:t>
            </w:r>
          </w:p>
        </w:tc>
        <w:tc>
          <w:tcPr>
            <w:tcW w:w="1401" w:type="dxa"/>
            <w:vAlign w:val="center"/>
          </w:tcPr>
          <w:p>
            <w:pPr>
              <w:spacing w:line="360" w:lineRule="auto"/>
              <w:rPr>
                <w:rFonts w:ascii="宋体"/>
                <w:b/>
                <w:color w:val="auto"/>
                <w:sz w:val="24"/>
                <w:highlight w:val="none"/>
              </w:rPr>
            </w:pPr>
            <w:r>
              <w:rPr>
                <w:rFonts w:hint="eastAsia" w:ascii="宋体" w:hAnsi="宋体"/>
                <w:b/>
                <w:color w:val="auto"/>
                <w:sz w:val="24"/>
                <w:highlight w:val="none"/>
              </w:rPr>
              <w:t>投标参数</w:t>
            </w:r>
          </w:p>
        </w:tc>
        <w:tc>
          <w:tcPr>
            <w:tcW w:w="1365" w:type="dxa"/>
            <w:vAlign w:val="center"/>
          </w:tcPr>
          <w:p>
            <w:pPr>
              <w:spacing w:line="360" w:lineRule="auto"/>
              <w:rPr>
                <w:rFonts w:ascii="宋体"/>
                <w:b/>
                <w:color w:val="auto"/>
                <w:sz w:val="24"/>
                <w:highlight w:val="none"/>
              </w:rPr>
            </w:pPr>
            <w:r>
              <w:rPr>
                <w:rFonts w:hint="eastAsia" w:ascii="宋体" w:hAnsi="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color w:val="auto"/>
                <w:sz w:val="24"/>
                <w:highlight w:val="none"/>
              </w:rPr>
            </w:pPr>
          </w:p>
        </w:tc>
        <w:tc>
          <w:tcPr>
            <w:tcW w:w="1785" w:type="dxa"/>
            <w:vAlign w:val="center"/>
          </w:tcPr>
          <w:p>
            <w:pPr>
              <w:spacing w:line="360" w:lineRule="auto"/>
              <w:rPr>
                <w:rFonts w:ascii="宋体"/>
                <w:color w:val="auto"/>
                <w:sz w:val="24"/>
                <w:highlight w:val="none"/>
              </w:rPr>
            </w:pPr>
          </w:p>
        </w:tc>
        <w:tc>
          <w:tcPr>
            <w:tcW w:w="1449" w:type="dxa"/>
            <w:vAlign w:val="center"/>
          </w:tcPr>
          <w:p>
            <w:pPr>
              <w:spacing w:line="360" w:lineRule="auto"/>
              <w:rPr>
                <w:rFonts w:ascii="宋体"/>
                <w:color w:val="auto"/>
                <w:sz w:val="24"/>
                <w:highlight w:val="none"/>
              </w:rPr>
            </w:pPr>
          </w:p>
        </w:tc>
        <w:tc>
          <w:tcPr>
            <w:tcW w:w="1560" w:type="dxa"/>
            <w:vAlign w:val="center"/>
          </w:tcPr>
          <w:p>
            <w:pPr>
              <w:spacing w:line="360" w:lineRule="auto"/>
              <w:rPr>
                <w:rFonts w:ascii="宋体"/>
                <w:color w:val="auto"/>
                <w:sz w:val="24"/>
                <w:highlight w:val="none"/>
              </w:rPr>
            </w:pPr>
          </w:p>
        </w:tc>
        <w:tc>
          <w:tcPr>
            <w:tcW w:w="1401" w:type="dxa"/>
            <w:vAlign w:val="center"/>
          </w:tcPr>
          <w:p>
            <w:pPr>
              <w:spacing w:line="360" w:lineRule="auto"/>
              <w:rPr>
                <w:rFonts w:ascii="宋体"/>
                <w:color w:val="auto"/>
                <w:sz w:val="24"/>
                <w:highlight w:val="none"/>
              </w:rPr>
            </w:pPr>
          </w:p>
        </w:tc>
        <w:tc>
          <w:tcPr>
            <w:tcW w:w="1365" w:type="dxa"/>
            <w:vAlign w:val="center"/>
          </w:tcPr>
          <w:p>
            <w:pPr>
              <w:spacing w:line="360" w:lineRule="auto"/>
              <w:rPr>
                <w:rFonts w:ascii="宋体"/>
                <w:color w:val="auto"/>
                <w:sz w:val="24"/>
                <w:highlight w:val="none"/>
              </w:rPr>
            </w:pPr>
          </w:p>
        </w:tc>
      </w:tr>
    </w:tbl>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1.本表的名称须与《报价明细表》一致。</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2.本表参照本招标文件第</w:t>
      </w:r>
      <w:r>
        <w:rPr>
          <w:rFonts w:hint="eastAsia" w:ascii="宋体" w:hAnsi="宋体"/>
          <w:color w:val="auto"/>
          <w:sz w:val="24"/>
          <w:highlight w:val="none"/>
          <w:lang w:eastAsia="zh-CN"/>
        </w:rPr>
        <w:t>四章</w:t>
      </w:r>
      <w:r>
        <w:rPr>
          <w:rFonts w:hint="eastAsia" w:ascii="宋体" w:hAnsi="宋体"/>
          <w:color w:val="auto"/>
          <w:sz w:val="24"/>
          <w:highlight w:val="none"/>
        </w:rPr>
        <w:t>“公开招标需求”</w:t>
      </w:r>
      <w:r>
        <w:rPr>
          <w:rFonts w:hint="eastAsia" w:ascii="宋体" w:hAnsi="宋体"/>
          <w:color w:val="auto"/>
          <w:sz w:val="24"/>
          <w:highlight w:val="none"/>
          <w:lang w:eastAsia="zh-CN"/>
        </w:rPr>
        <w:t>内容</w:t>
      </w:r>
      <w:r>
        <w:rPr>
          <w:rFonts w:hint="eastAsia" w:ascii="宋体" w:hAnsi="宋体"/>
          <w:color w:val="auto"/>
          <w:sz w:val="24"/>
          <w:highlight w:val="none"/>
        </w:rPr>
        <w:t>填制，投标人应根据投标设备的性能指标、服务指标，对照招标文件要求在“偏离情况”栏注明“正偏离”、“负偏离”或“无偏离”。</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pStyle w:val="5"/>
        <w:rPr>
          <w:rFonts w:hint="eastAsia"/>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w:t>
      </w:r>
      <w:r>
        <w:rPr>
          <w:rFonts w:hint="eastAsia" w:ascii="宋体" w:hAnsi="宋体" w:eastAsia="宋体" w:cs="宋体"/>
          <w:b/>
          <w:bCs/>
          <w:color w:val="auto"/>
          <w:sz w:val="28"/>
          <w:szCs w:val="36"/>
          <w:highlight w:val="none"/>
          <w:lang w:val="en-US" w:eastAsia="zh-CN"/>
        </w:rPr>
        <w:t>1</w:t>
      </w:r>
      <w:r>
        <w:rPr>
          <w:rFonts w:hint="eastAsia" w:ascii="宋体" w:hAnsi="宋体" w:cs="宋体"/>
          <w:b/>
          <w:bCs/>
          <w:color w:val="auto"/>
          <w:sz w:val="28"/>
          <w:szCs w:val="36"/>
          <w:highlight w:val="none"/>
          <w:lang w:val="en-US" w:eastAsia="zh-CN"/>
        </w:rPr>
        <w:t>4</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证书一览表</w:t>
      </w:r>
    </w:p>
    <w:p>
      <w:pPr>
        <w:bidi w:val="0"/>
        <w:spacing w:line="360" w:lineRule="auto"/>
        <w:jc w:val="left"/>
        <w:rPr>
          <w:rFonts w:hint="eastAsia" w:ascii="宋体" w:hAnsi="宋体" w:eastAsia="宋体" w:cs="宋体"/>
          <w:b/>
          <w:bCs/>
          <w:color w:val="auto"/>
          <w:sz w:val="24"/>
          <w:szCs w:val="32"/>
          <w:highlight w:val="none"/>
          <w:lang w:val="zh-CN"/>
        </w:rPr>
      </w:pPr>
    </w:p>
    <w:tbl>
      <w:tblPr>
        <w:tblStyle w:val="28"/>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double" w:color="auto" w:sz="4" w:space="0"/>
              <w:left w:val="single" w:color="auto" w:sz="4" w:space="0"/>
            </w:tcBorders>
          </w:tcPr>
          <w:p>
            <w:pPr>
              <w:pStyle w:val="62"/>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证书名称</w:t>
            </w:r>
          </w:p>
        </w:tc>
        <w:tc>
          <w:tcPr>
            <w:tcW w:w="2258" w:type="dxa"/>
            <w:tcBorders>
              <w:top w:val="double" w:color="auto" w:sz="4" w:space="0"/>
            </w:tcBorders>
          </w:tcPr>
          <w:p>
            <w:pPr>
              <w:pStyle w:val="62"/>
              <w:spacing w:line="360" w:lineRule="auto"/>
              <w:jc w:val="center"/>
              <w:rPr>
                <w:rFonts w:ascii="宋体" w:cs="Arial"/>
                <w:b/>
                <w:bCs/>
                <w:color w:val="auto"/>
                <w:sz w:val="24"/>
                <w:highlight w:val="none"/>
              </w:rPr>
            </w:pPr>
            <w:r>
              <w:rPr>
                <w:rFonts w:hint="eastAsia" w:ascii="宋体" w:hAnsi="宋体" w:cs="Arial"/>
                <w:b/>
                <w:bCs/>
                <w:color w:val="auto"/>
                <w:sz w:val="24"/>
                <w:highlight w:val="none"/>
              </w:rPr>
              <w:t>发证单位</w:t>
            </w:r>
          </w:p>
        </w:tc>
        <w:tc>
          <w:tcPr>
            <w:tcW w:w="2260" w:type="dxa"/>
            <w:tcBorders>
              <w:top w:val="double" w:color="auto" w:sz="4" w:space="0"/>
            </w:tcBorders>
          </w:tcPr>
          <w:p>
            <w:pPr>
              <w:pStyle w:val="62"/>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证书等级</w:t>
            </w:r>
          </w:p>
        </w:tc>
        <w:tc>
          <w:tcPr>
            <w:tcW w:w="2047" w:type="dxa"/>
            <w:tcBorders>
              <w:top w:val="double" w:color="auto" w:sz="4" w:space="0"/>
              <w:right w:val="single" w:color="auto" w:sz="4" w:space="0"/>
            </w:tcBorders>
          </w:tcPr>
          <w:p>
            <w:pPr>
              <w:pStyle w:val="62"/>
              <w:spacing w:line="360" w:lineRule="auto"/>
              <w:jc w:val="center"/>
              <w:rPr>
                <w:rFonts w:asci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cs="Arial"/>
                <w:color w:val="auto"/>
                <w:szCs w:val="21"/>
                <w:highlight w:val="none"/>
              </w:rPr>
            </w:pPr>
          </w:p>
        </w:tc>
        <w:tc>
          <w:tcPr>
            <w:tcW w:w="2258" w:type="dxa"/>
          </w:tcPr>
          <w:p>
            <w:pPr>
              <w:pStyle w:val="62"/>
              <w:spacing w:line="360" w:lineRule="auto"/>
              <w:jc w:val="center"/>
              <w:rPr>
                <w:rFonts w:ascii="宋体" w:cs="Arial"/>
                <w:color w:val="auto"/>
                <w:szCs w:val="21"/>
                <w:highlight w:val="none"/>
              </w:rPr>
            </w:pPr>
          </w:p>
        </w:tc>
        <w:tc>
          <w:tcPr>
            <w:tcW w:w="2260" w:type="dxa"/>
          </w:tcPr>
          <w:p>
            <w:pPr>
              <w:pStyle w:val="62"/>
              <w:spacing w:line="360" w:lineRule="auto"/>
              <w:jc w:val="center"/>
              <w:rPr>
                <w:rFonts w:ascii="宋体" w:cs="Arial"/>
                <w:color w:val="auto"/>
                <w:szCs w:val="21"/>
                <w:highlight w:val="none"/>
              </w:rPr>
            </w:pPr>
          </w:p>
        </w:tc>
        <w:tc>
          <w:tcPr>
            <w:tcW w:w="2047" w:type="dxa"/>
            <w:tcBorders>
              <w:right w:val="single" w:color="auto" w:sz="4" w:space="0"/>
            </w:tcBorders>
          </w:tcPr>
          <w:p>
            <w:pPr>
              <w:pStyle w:val="62"/>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cs="Arial"/>
                <w:color w:val="auto"/>
                <w:szCs w:val="21"/>
                <w:highlight w:val="none"/>
              </w:rPr>
            </w:pPr>
          </w:p>
        </w:tc>
        <w:tc>
          <w:tcPr>
            <w:tcW w:w="2258" w:type="dxa"/>
          </w:tcPr>
          <w:p>
            <w:pPr>
              <w:pStyle w:val="62"/>
              <w:spacing w:line="360" w:lineRule="auto"/>
              <w:jc w:val="center"/>
              <w:rPr>
                <w:rFonts w:ascii="宋体" w:cs="Arial"/>
                <w:color w:val="auto"/>
                <w:szCs w:val="21"/>
                <w:highlight w:val="none"/>
              </w:rPr>
            </w:pPr>
          </w:p>
        </w:tc>
        <w:tc>
          <w:tcPr>
            <w:tcW w:w="2260" w:type="dxa"/>
          </w:tcPr>
          <w:p>
            <w:pPr>
              <w:pStyle w:val="62"/>
              <w:spacing w:line="360" w:lineRule="auto"/>
              <w:jc w:val="center"/>
              <w:rPr>
                <w:rFonts w:ascii="宋体" w:cs="Arial"/>
                <w:color w:val="auto"/>
                <w:szCs w:val="21"/>
                <w:highlight w:val="none"/>
              </w:rPr>
            </w:pPr>
          </w:p>
        </w:tc>
        <w:tc>
          <w:tcPr>
            <w:tcW w:w="2047" w:type="dxa"/>
            <w:tcBorders>
              <w:right w:val="single" w:color="auto" w:sz="4" w:space="0"/>
            </w:tcBorders>
          </w:tcPr>
          <w:p>
            <w:pPr>
              <w:pStyle w:val="62"/>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cs="Arial"/>
                <w:color w:val="auto"/>
                <w:szCs w:val="21"/>
                <w:highlight w:val="none"/>
              </w:rPr>
            </w:pPr>
          </w:p>
        </w:tc>
        <w:tc>
          <w:tcPr>
            <w:tcW w:w="2258" w:type="dxa"/>
          </w:tcPr>
          <w:p>
            <w:pPr>
              <w:pStyle w:val="62"/>
              <w:spacing w:line="360" w:lineRule="auto"/>
              <w:jc w:val="center"/>
              <w:rPr>
                <w:rFonts w:ascii="宋体" w:cs="Arial"/>
                <w:color w:val="auto"/>
                <w:szCs w:val="21"/>
                <w:highlight w:val="none"/>
              </w:rPr>
            </w:pPr>
          </w:p>
        </w:tc>
        <w:tc>
          <w:tcPr>
            <w:tcW w:w="2260" w:type="dxa"/>
          </w:tcPr>
          <w:p>
            <w:pPr>
              <w:pStyle w:val="62"/>
              <w:spacing w:line="360" w:lineRule="auto"/>
              <w:jc w:val="center"/>
              <w:rPr>
                <w:rFonts w:ascii="宋体" w:cs="Arial"/>
                <w:color w:val="auto"/>
                <w:szCs w:val="21"/>
                <w:highlight w:val="none"/>
              </w:rPr>
            </w:pPr>
          </w:p>
        </w:tc>
        <w:tc>
          <w:tcPr>
            <w:tcW w:w="2047" w:type="dxa"/>
            <w:tcBorders>
              <w:right w:val="single" w:color="auto" w:sz="4" w:space="0"/>
            </w:tcBorders>
          </w:tcPr>
          <w:p>
            <w:pPr>
              <w:pStyle w:val="62"/>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cs="Arial"/>
                <w:color w:val="auto"/>
                <w:szCs w:val="21"/>
                <w:highlight w:val="none"/>
              </w:rPr>
            </w:pPr>
          </w:p>
        </w:tc>
        <w:tc>
          <w:tcPr>
            <w:tcW w:w="2258" w:type="dxa"/>
          </w:tcPr>
          <w:p>
            <w:pPr>
              <w:pStyle w:val="62"/>
              <w:spacing w:line="360" w:lineRule="auto"/>
              <w:jc w:val="center"/>
              <w:rPr>
                <w:rFonts w:ascii="宋体" w:cs="Arial"/>
                <w:color w:val="auto"/>
                <w:szCs w:val="21"/>
                <w:highlight w:val="none"/>
              </w:rPr>
            </w:pPr>
          </w:p>
        </w:tc>
        <w:tc>
          <w:tcPr>
            <w:tcW w:w="2260" w:type="dxa"/>
          </w:tcPr>
          <w:p>
            <w:pPr>
              <w:pStyle w:val="62"/>
              <w:spacing w:line="360" w:lineRule="auto"/>
              <w:jc w:val="center"/>
              <w:rPr>
                <w:rFonts w:ascii="宋体" w:cs="Arial"/>
                <w:color w:val="auto"/>
                <w:szCs w:val="21"/>
                <w:highlight w:val="none"/>
              </w:rPr>
            </w:pPr>
          </w:p>
        </w:tc>
        <w:tc>
          <w:tcPr>
            <w:tcW w:w="2047" w:type="dxa"/>
            <w:tcBorders>
              <w:right w:val="single" w:color="auto" w:sz="4" w:space="0"/>
            </w:tcBorders>
          </w:tcPr>
          <w:p>
            <w:pPr>
              <w:pStyle w:val="62"/>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cs="Arial"/>
                <w:color w:val="auto"/>
                <w:szCs w:val="21"/>
                <w:highlight w:val="none"/>
              </w:rPr>
            </w:pPr>
          </w:p>
        </w:tc>
        <w:tc>
          <w:tcPr>
            <w:tcW w:w="2258" w:type="dxa"/>
          </w:tcPr>
          <w:p>
            <w:pPr>
              <w:pStyle w:val="62"/>
              <w:spacing w:line="360" w:lineRule="auto"/>
              <w:jc w:val="center"/>
              <w:rPr>
                <w:rFonts w:ascii="宋体" w:cs="Arial"/>
                <w:color w:val="auto"/>
                <w:szCs w:val="21"/>
                <w:highlight w:val="none"/>
              </w:rPr>
            </w:pPr>
          </w:p>
        </w:tc>
        <w:tc>
          <w:tcPr>
            <w:tcW w:w="2260" w:type="dxa"/>
          </w:tcPr>
          <w:p>
            <w:pPr>
              <w:pStyle w:val="62"/>
              <w:spacing w:line="360" w:lineRule="auto"/>
              <w:jc w:val="center"/>
              <w:rPr>
                <w:rFonts w:ascii="宋体" w:cs="Arial"/>
                <w:color w:val="auto"/>
                <w:szCs w:val="21"/>
                <w:highlight w:val="none"/>
              </w:rPr>
            </w:pPr>
          </w:p>
        </w:tc>
        <w:tc>
          <w:tcPr>
            <w:tcW w:w="2047" w:type="dxa"/>
            <w:tcBorders>
              <w:right w:val="single" w:color="auto" w:sz="4" w:space="0"/>
            </w:tcBorders>
          </w:tcPr>
          <w:p>
            <w:pPr>
              <w:pStyle w:val="62"/>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62"/>
              <w:spacing w:line="360" w:lineRule="auto"/>
              <w:jc w:val="center"/>
              <w:rPr>
                <w:rFonts w:ascii="宋体" w:cs="Arial"/>
                <w:color w:val="auto"/>
                <w:szCs w:val="21"/>
                <w:highlight w:val="none"/>
              </w:rPr>
            </w:pPr>
          </w:p>
        </w:tc>
        <w:tc>
          <w:tcPr>
            <w:tcW w:w="2258" w:type="dxa"/>
          </w:tcPr>
          <w:p>
            <w:pPr>
              <w:pStyle w:val="62"/>
              <w:spacing w:line="360" w:lineRule="auto"/>
              <w:jc w:val="center"/>
              <w:rPr>
                <w:rFonts w:ascii="宋体" w:cs="Arial"/>
                <w:color w:val="auto"/>
                <w:szCs w:val="21"/>
                <w:highlight w:val="none"/>
              </w:rPr>
            </w:pPr>
          </w:p>
        </w:tc>
        <w:tc>
          <w:tcPr>
            <w:tcW w:w="2260" w:type="dxa"/>
          </w:tcPr>
          <w:p>
            <w:pPr>
              <w:pStyle w:val="62"/>
              <w:spacing w:line="360" w:lineRule="auto"/>
              <w:jc w:val="center"/>
              <w:rPr>
                <w:rFonts w:ascii="宋体" w:cs="Arial"/>
                <w:color w:val="auto"/>
                <w:szCs w:val="21"/>
                <w:highlight w:val="none"/>
              </w:rPr>
            </w:pPr>
          </w:p>
        </w:tc>
        <w:tc>
          <w:tcPr>
            <w:tcW w:w="2047" w:type="dxa"/>
            <w:tcBorders>
              <w:right w:val="single" w:color="auto" w:sz="4" w:space="0"/>
            </w:tcBorders>
          </w:tcPr>
          <w:p>
            <w:pPr>
              <w:pStyle w:val="62"/>
              <w:spacing w:line="360" w:lineRule="auto"/>
              <w:jc w:val="center"/>
              <w:rPr>
                <w:rFonts w:asci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double" w:color="auto" w:sz="4" w:space="0"/>
            </w:tcBorders>
          </w:tcPr>
          <w:p>
            <w:pPr>
              <w:pStyle w:val="62"/>
              <w:spacing w:line="360" w:lineRule="auto"/>
              <w:jc w:val="center"/>
              <w:rPr>
                <w:rFonts w:ascii="宋体" w:cs="Arial"/>
                <w:color w:val="auto"/>
                <w:szCs w:val="21"/>
                <w:highlight w:val="none"/>
              </w:rPr>
            </w:pPr>
          </w:p>
        </w:tc>
        <w:tc>
          <w:tcPr>
            <w:tcW w:w="2258" w:type="dxa"/>
            <w:tcBorders>
              <w:bottom w:val="double" w:color="auto" w:sz="4" w:space="0"/>
            </w:tcBorders>
          </w:tcPr>
          <w:p>
            <w:pPr>
              <w:pStyle w:val="62"/>
              <w:spacing w:line="360" w:lineRule="auto"/>
              <w:jc w:val="center"/>
              <w:rPr>
                <w:rFonts w:ascii="宋体" w:cs="Arial"/>
                <w:color w:val="auto"/>
                <w:szCs w:val="21"/>
                <w:highlight w:val="none"/>
              </w:rPr>
            </w:pPr>
          </w:p>
        </w:tc>
        <w:tc>
          <w:tcPr>
            <w:tcW w:w="2260" w:type="dxa"/>
            <w:tcBorders>
              <w:bottom w:val="double" w:color="auto" w:sz="4" w:space="0"/>
            </w:tcBorders>
          </w:tcPr>
          <w:p>
            <w:pPr>
              <w:pStyle w:val="62"/>
              <w:spacing w:line="360" w:lineRule="auto"/>
              <w:jc w:val="center"/>
              <w:rPr>
                <w:rFonts w:ascii="宋体" w:cs="Arial"/>
                <w:color w:val="auto"/>
                <w:szCs w:val="21"/>
                <w:highlight w:val="none"/>
              </w:rPr>
            </w:pPr>
          </w:p>
        </w:tc>
        <w:tc>
          <w:tcPr>
            <w:tcW w:w="2047" w:type="dxa"/>
            <w:tcBorders>
              <w:bottom w:val="double" w:color="auto" w:sz="4" w:space="0"/>
              <w:right w:val="single" w:color="auto" w:sz="4" w:space="0"/>
            </w:tcBorders>
          </w:tcPr>
          <w:p>
            <w:pPr>
              <w:pStyle w:val="62"/>
              <w:spacing w:line="360" w:lineRule="auto"/>
              <w:jc w:val="center"/>
              <w:rPr>
                <w:rFonts w:ascii="宋体" w:cs="Arial"/>
                <w:color w:val="auto"/>
                <w:szCs w:val="21"/>
                <w:highlight w:val="none"/>
              </w:rPr>
            </w:pPr>
          </w:p>
        </w:tc>
      </w:tr>
    </w:tbl>
    <w:p>
      <w:pPr>
        <w:bidi w:val="0"/>
        <w:spacing w:line="360" w:lineRule="auto"/>
        <w:jc w:val="left"/>
        <w:rPr>
          <w:rFonts w:hint="eastAsia" w:ascii="宋体" w:hAnsi="宋体" w:eastAsia="宋体" w:cs="宋体"/>
          <w:b/>
          <w:bCs/>
          <w:color w:val="auto"/>
          <w:sz w:val="24"/>
          <w:szCs w:val="32"/>
          <w:highlight w:val="none"/>
          <w:lang w:val="zh-CN"/>
        </w:rPr>
      </w:pPr>
    </w:p>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1.填写投标人获得资质、认证或企业信誉证书；</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2.附所列证书复印件或其他证明材料。</w:t>
      </w: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bidi w:val="0"/>
        <w:spacing w:line="360" w:lineRule="auto"/>
        <w:jc w:val="left"/>
        <w:rPr>
          <w:rFonts w:hint="eastAsia" w:ascii="宋体" w:hAnsi="宋体" w:eastAsia="宋体" w:cs="宋体"/>
          <w:b/>
          <w:bCs/>
          <w:color w:val="auto"/>
          <w:sz w:val="24"/>
          <w:szCs w:val="32"/>
          <w:highlight w:val="none"/>
          <w:lang w:val="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Times New Roman"/>
          <w:b/>
          <w:bCs/>
          <w:color w:val="auto"/>
          <w:sz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cs="宋体"/>
          <w:b/>
          <w:bCs/>
          <w:color w:val="auto"/>
          <w:sz w:val="28"/>
          <w:szCs w:val="36"/>
          <w:highlight w:val="none"/>
          <w:lang w:val="en-US" w:eastAsia="zh-CN"/>
        </w:rPr>
        <w:t>5</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投标人类似项目实施情况一览表</w:t>
      </w:r>
    </w:p>
    <w:p>
      <w:pPr>
        <w:spacing w:line="360" w:lineRule="auto"/>
        <w:rPr>
          <w:rFonts w:hint="eastAsia" w:ascii="宋体" w:hAnsi="宋体" w:eastAsia="宋体" w:cs="Times New Roman"/>
          <w:b/>
          <w:bCs/>
          <w:color w:val="auto"/>
          <w:sz w:val="24"/>
          <w:highlight w:val="none"/>
        </w:rPr>
      </w:pPr>
    </w:p>
    <w:tbl>
      <w:tblPr>
        <w:tblStyle w:val="28"/>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61"/>
              <w:spacing w:line="360" w:lineRule="auto"/>
              <w:jc w:val="center"/>
              <w:rPr>
                <w:rFonts w:ascii="宋体" w:cs="Arial"/>
                <w:b/>
                <w:bCs/>
                <w:color w:val="auto"/>
                <w:sz w:val="24"/>
                <w:highlight w:val="none"/>
              </w:rPr>
            </w:pPr>
            <w:r>
              <w:rPr>
                <w:rFonts w:hint="eastAsia" w:ascii="宋体" w:hAnsi="宋体" w:cs="Arial"/>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61"/>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61"/>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61"/>
              <w:spacing w:line="360" w:lineRule="auto"/>
              <w:jc w:val="center"/>
              <w:rPr>
                <w:rFonts w:ascii="宋体" w:cs="Arial"/>
                <w:b/>
                <w:bCs/>
                <w:color w:val="auto"/>
                <w:sz w:val="24"/>
                <w:highlight w:val="none"/>
              </w:rPr>
            </w:pPr>
            <w:r>
              <w:rPr>
                <w:rFonts w:hint="eastAsia" w:ascii="宋体" w:hAnsi="宋体" w:cs="Arial"/>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61"/>
              <w:spacing w:line="360" w:lineRule="auto"/>
              <w:jc w:val="center"/>
              <w:rPr>
                <w:rFonts w:ascii="宋体" w:cs="Arial"/>
                <w:b/>
                <w:bCs/>
                <w:color w:val="auto"/>
                <w:sz w:val="24"/>
                <w:highlight w:val="none"/>
              </w:rPr>
            </w:pPr>
            <w:r>
              <w:rPr>
                <w:rFonts w:hint="eastAsia" w:ascii="宋体" w:hAnsi="宋体" w:cs="Arial"/>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61"/>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61"/>
              <w:spacing w:line="360" w:lineRule="auto"/>
              <w:jc w:val="center"/>
              <w:rPr>
                <w:rFonts w:ascii="宋体" w:cs="Arial"/>
                <w:b/>
                <w:bCs/>
                <w:color w:val="auto"/>
                <w:sz w:val="24"/>
                <w:highlight w:val="none"/>
              </w:rPr>
            </w:pPr>
            <w:r>
              <w:rPr>
                <w:rFonts w:hint="eastAsia" w:ascii="宋体" w:hAnsi="宋体" w:cs="Arial"/>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1"/>
              <w:spacing w:line="360" w:lineRule="auto"/>
              <w:jc w:val="center"/>
              <w:rPr>
                <w:rFonts w:ascii="宋体" w:cs="Arial"/>
                <w:color w:val="auto"/>
                <w:sz w:val="24"/>
                <w:highlight w:val="none"/>
              </w:rPr>
            </w:pPr>
            <w:r>
              <w:rPr>
                <w:rFonts w:ascii="宋体" w:hAnsi="宋体" w:cs="Arial"/>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1"/>
              <w:spacing w:line="360" w:lineRule="auto"/>
              <w:jc w:val="center"/>
              <w:rPr>
                <w:rFonts w:ascii="宋体" w:cs="Arial"/>
                <w:color w:val="auto"/>
                <w:sz w:val="24"/>
                <w:highlight w:val="none"/>
              </w:rPr>
            </w:pPr>
            <w:r>
              <w:rPr>
                <w:rFonts w:ascii="宋体" w:hAnsi="宋体" w:cs="Arial"/>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1"/>
              <w:spacing w:line="360" w:lineRule="auto"/>
              <w:jc w:val="center"/>
              <w:rPr>
                <w:rFonts w:ascii="宋体" w:cs="Arial"/>
                <w:color w:val="auto"/>
                <w:sz w:val="24"/>
                <w:highlight w:val="none"/>
              </w:rPr>
            </w:pPr>
            <w:r>
              <w:rPr>
                <w:rFonts w:ascii="宋体" w:hAnsi="宋体" w:cs="Arial"/>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r>
              <w:rPr>
                <w:rFonts w:hint="eastAsia" w:ascii="宋体" w:hAnsi="宋体" w:cs="Arial"/>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61"/>
              <w:spacing w:line="360" w:lineRule="auto"/>
              <w:rPr>
                <w:rFonts w:ascii="宋体" w:cs="Arial"/>
                <w:color w:val="auto"/>
                <w:sz w:val="24"/>
                <w:highlight w:val="none"/>
              </w:rPr>
            </w:pPr>
          </w:p>
        </w:tc>
      </w:tr>
    </w:tbl>
    <w:p>
      <w:pPr>
        <w:spacing w:line="360" w:lineRule="auto"/>
        <w:rPr>
          <w:rFonts w:hint="eastAsia" w:ascii="宋体" w:hAnsi="宋体"/>
          <w:b/>
          <w:bCs/>
          <w:color w:val="auto"/>
          <w:sz w:val="24"/>
          <w:highlight w:val="none"/>
        </w:rPr>
      </w:pPr>
      <w:r>
        <w:rPr>
          <w:rFonts w:hint="eastAsia" w:ascii="宋体" w:hAnsi="宋体"/>
          <w:b/>
          <w:bCs/>
          <w:color w:val="auto"/>
          <w:sz w:val="24"/>
          <w:highlight w:val="none"/>
        </w:rPr>
        <w:t>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1.业绩证明应提供证明材料（合同复印件可只提供首页、含金额页、盖章页并加盖投标人公章</w:t>
      </w:r>
      <w:r>
        <w:rPr>
          <w:rFonts w:hint="eastAsia" w:ascii="宋体" w:hAnsi="宋体"/>
          <w:color w:val="auto"/>
          <w:sz w:val="24"/>
          <w:highlight w:val="none"/>
          <w:lang w:eastAsia="zh-CN"/>
        </w:rPr>
        <w:t>）</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2.报价供应商可按此表格式复制。</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ind w:firstLine="480" w:firstLineChars="200"/>
        <w:rPr>
          <w:rFonts w:hint="eastAsia" w:ascii="宋体" w:hAnsi="宋体"/>
          <w:color w:val="auto"/>
          <w:sz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lang w:val="zh-CN"/>
        </w:rPr>
        <w:t>附件1</w:t>
      </w:r>
      <w:r>
        <w:rPr>
          <w:rFonts w:hint="eastAsia" w:ascii="宋体" w:hAnsi="宋体" w:cs="宋体"/>
          <w:b/>
          <w:bCs/>
          <w:color w:val="auto"/>
          <w:sz w:val="28"/>
          <w:szCs w:val="36"/>
          <w:highlight w:val="none"/>
          <w:lang w:val="en-US" w:eastAsia="zh-CN"/>
        </w:rPr>
        <w:t>6</w:t>
      </w: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资信及商务需求响应表</w:t>
      </w:r>
    </w:p>
    <w:p>
      <w:pPr>
        <w:spacing w:line="360" w:lineRule="auto"/>
        <w:rPr>
          <w:rFonts w:ascii="宋体"/>
          <w:b/>
          <w:color w:val="auto"/>
          <w:sz w:val="24"/>
          <w:szCs w:val="24"/>
          <w:highlight w:val="none"/>
        </w:rPr>
      </w:pPr>
    </w:p>
    <w:tbl>
      <w:tblPr>
        <w:tblStyle w:val="28"/>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b/>
                <w:color w:val="auto"/>
                <w:sz w:val="24"/>
                <w:highlight w:val="none"/>
              </w:rPr>
            </w:pPr>
            <w:r>
              <w:rPr>
                <w:rFonts w:hint="eastAsia" w:ascii="宋体" w:hAnsi="宋体"/>
                <w:b/>
                <w:color w:val="auto"/>
                <w:sz w:val="24"/>
                <w:highlight w:val="none"/>
              </w:rPr>
              <w:t>序号</w:t>
            </w:r>
          </w:p>
        </w:tc>
        <w:tc>
          <w:tcPr>
            <w:tcW w:w="1785" w:type="dxa"/>
            <w:vAlign w:val="center"/>
          </w:tcPr>
          <w:p>
            <w:pPr>
              <w:rPr>
                <w:rFonts w:ascii="宋体"/>
                <w:b/>
                <w:color w:val="auto"/>
                <w:sz w:val="24"/>
                <w:highlight w:val="none"/>
              </w:rPr>
            </w:pPr>
            <w:r>
              <w:rPr>
                <w:rFonts w:ascii="宋体" w:hAnsi="宋体"/>
                <w:b/>
                <w:color w:val="auto"/>
                <w:sz w:val="24"/>
                <w:highlight w:val="none"/>
              </w:rPr>
              <w:t xml:space="preserve">   </w:t>
            </w:r>
            <w:r>
              <w:rPr>
                <w:rFonts w:hint="eastAsia" w:ascii="宋体" w:hAnsi="宋体"/>
                <w:b/>
                <w:color w:val="auto"/>
                <w:sz w:val="24"/>
                <w:highlight w:val="none"/>
              </w:rPr>
              <w:t>内容</w:t>
            </w:r>
          </w:p>
        </w:tc>
        <w:tc>
          <w:tcPr>
            <w:tcW w:w="1785" w:type="dxa"/>
            <w:vAlign w:val="center"/>
          </w:tcPr>
          <w:p>
            <w:pPr>
              <w:ind w:left="53" w:leftChars="25" w:firstLine="241" w:firstLineChars="100"/>
              <w:rPr>
                <w:rFonts w:ascii="宋体"/>
                <w:b/>
                <w:color w:val="auto"/>
                <w:sz w:val="24"/>
                <w:highlight w:val="none"/>
              </w:rPr>
            </w:pPr>
            <w:r>
              <w:rPr>
                <w:rFonts w:hint="eastAsia" w:ascii="宋体" w:hAnsi="宋体"/>
                <w:b/>
                <w:color w:val="auto"/>
                <w:sz w:val="24"/>
                <w:highlight w:val="none"/>
              </w:rPr>
              <w:t>招标需求</w:t>
            </w:r>
          </w:p>
        </w:tc>
        <w:tc>
          <w:tcPr>
            <w:tcW w:w="1365" w:type="dxa"/>
            <w:vAlign w:val="center"/>
          </w:tcPr>
          <w:p>
            <w:pPr>
              <w:ind w:left="152"/>
              <w:rPr>
                <w:rFonts w:ascii="宋体"/>
                <w:b/>
                <w:color w:val="auto"/>
                <w:sz w:val="24"/>
                <w:highlight w:val="none"/>
              </w:rPr>
            </w:pPr>
            <w:r>
              <w:rPr>
                <w:rFonts w:hint="eastAsia" w:ascii="宋体" w:hAnsi="宋体"/>
                <w:b/>
                <w:color w:val="auto"/>
                <w:sz w:val="24"/>
                <w:highlight w:val="none"/>
              </w:rPr>
              <w:t>是否响应</w:t>
            </w:r>
          </w:p>
        </w:tc>
        <w:tc>
          <w:tcPr>
            <w:tcW w:w="2625" w:type="dxa"/>
            <w:vAlign w:val="center"/>
          </w:tcPr>
          <w:p>
            <w:pPr>
              <w:jc w:val="center"/>
              <w:rPr>
                <w:rFonts w:ascii="宋体"/>
                <w:b/>
                <w:color w:val="auto"/>
                <w:sz w:val="24"/>
                <w:highlight w:val="none"/>
              </w:rPr>
            </w:pPr>
            <w:r>
              <w:rPr>
                <w:rFonts w:hint="eastAsia" w:ascii="宋体" w:hAnsi="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售后服务保障要求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备品备件及耗材等要求</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质保期</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交货和服务</w:t>
            </w:r>
          </w:p>
          <w:p>
            <w:pPr>
              <w:snapToGrid w:val="0"/>
              <w:jc w:val="both"/>
              <w:rPr>
                <w:rFonts w:ascii="宋体"/>
                <w:color w:val="auto"/>
                <w:sz w:val="24"/>
                <w:highlight w:val="none"/>
              </w:rPr>
            </w:pPr>
            <w:r>
              <w:rPr>
                <w:rFonts w:hint="eastAsia" w:ascii="宋体" w:hAnsi="宋体"/>
                <w:color w:val="auto"/>
                <w:sz w:val="24"/>
                <w:highlight w:val="none"/>
              </w:rPr>
              <w:t>时间及地点</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付款条件</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color w:val="auto"/>
                <w:sz w:val="24"/>
                <w:highlight w:val="none"/>
              </w:rPr>
            </w:pPr>
          </w:p>
        </w:tc>
        <w:tc>
          <w:tcPr>
            <w:tcW w:w="1785" w:type="dxa"/>
            <w:vAlign w:val="center"/>
          </w:tcPr>
          <w:p>
            <w:pPr>
              <w:snapToGrid w:val="0"/>
              <w:jc w:val="both"/>
              <w:rPr>
                <w:rFonts w:ascii="宋体"/>
                <w:color w:val="auto"/>
                <w:sz w:val="24"/>
                <w:highlight w:val="none"/>
              </w:rPr>
            </w:pPr>
            <w:r>
              <w:rPr>
                <w:rFonts w:hint="eastAsia" w:ascii="宋体" w:hAnsi="宋体"/>
                <w:color w:val="auto"/>
                <w:sz w:val="24"/>
                <w:highlight w:val="none"/>
              </w:rPr>
              <w:t>……</w:t>
            </w: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color w:val="auto"/>
                <w:sz w:val="24"/>
                <w:highlight w:val="none"/>
              </w:rPr>
            </w:pPr>
          </w:p>
        </w:tc>
        <w:tc>
          <w:tcPr>
            <w:tcW w:w="1785" w:type="dxa"/>
          </w:tcPr>
          <w:p>
            <w:pPr>
              <w:snapToGrid w:val="0"/>
              <w:rPr>
                <w:rFonts w:ascii="宋体"/>
                <w:color w:val="auto"/>
                <w:sz w:val="24"/>
                <w:highlight w:val="none"/>
              </w:rPr>
            </w:pPr>
          </w:p>
        </w:tc>
        <w:tc>
          <w:tcPr>
            <w:tcW w:w="1785" w:type="dxa"/>
            <w:vAlign w:val="center"/>
          </w:tcPr>
          <w:p>
            <w:pPr>
              <w:rPr>
                <w:rFonts w:ascii="宋体"/>
                <w:color w:val="auto"/>
                <w:sz w:val="24"/>
                <w:highlight w:val="none"/>
              </w:rPr>
            </w:pPr>
          </w:p>
        </w:tc>
        <w:tc>
          <w:tcPr>
            <w:tcW w:w="1365" w:type="dxa"/>
            <w:vAlign w:val="center"/>
          </w:tcPr>
          <w:p>
            <w:pPr>
              <w:rPr>
                <w:rFonts w:ascii="宋体"/>
                <w:color w:val="auto"/>
                <w:sz w:val="24"/>
                <w:highlight w:val="none"/>
              </w:rPr>
            </w:pPr>
          </w:p>
        </w:tc>
        <w:tc>
          <w:tcPr>
            <w:tcW w:w="2625" w:type="dxa"/>
            <w:vAlign w:val="center"/>
          </w:tcPr>
          <w:p>
            <w:pPr>
              <w:rPr>
                <w:rFonts w:ascii="宋体"/>
                <w:color w:val="auto"/>
                <w:sz w:val="24"/>
                <w:highlight w:val="none"/>
              </w:rPr>
            </w:pPr>
          </w:p>
        </w:tc>
      </w:tr>
    </w:tbl>
    <w:p>
      <w:pPr>
        <w:spacing w:line="360" w:lineRule="auto"/>
        <w:rPr>
          <w:rFonts w:ascii="宋体"/>
          <w:b/>
          <w:color w:val="auto"/>
          <w:sz w:val="24"/>
          <w:szCs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spacing w:line="360" w:lineRule="auto"/>
        <w:rPr>
          <w:rFonts w:ascii="宋体"/>
          <w:b/>
          <w:color w:val="auto"/>
          <w:sz w:val="24"/>
          <w:szCs w:val="24"/>
          <w:highlight w:val="none"/>
        </w:rPr>
      </w:pPr>
    </w:p>
    <w:p>
      <w:pPr>
        <w:pStyle w:val="5"/>
        <w:rPr>
          <w:color w:val="auto"/>
          <w:highlight w:val="none"/>
        </w:rPr>
      </w:pPr>
    </w:p>
    <w:p>
      <w:pPr>
        <w:spacing w:line="360" w:lineRule="auto"/>
        <w:rPr>
          <w:rFonts w:ascii="宋体"/>
          <w:b/>
          <w:color w:val="auto"/>
          <w:sz w:val="24"/>
          <w:szCs w:val="24"/>
          <w:highlight w:val="none"/>
        </w:rPr>
      </w:pPr>
    </w:p>
    <w:p>
      <w:pPr>
        <w:spacing w:line="360" w:lineRule="auto"/>
        <w:rPr>
          <w:rFonts w:hint="eastAsia"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附件1</w:t>
      </w:r>
      <w:r>
        <w:rPr>
          <w:rFonts w:hint="eastAsia" w:ascii="宋体" w:hAnsi="宋体" w:cs="宋体"/>
          <w:b/>
          <w:bCs/>
          <w:color w:val="auto"/>
          <w:sz w:val="28"/>
          <w:szCs w:val="36"/>
          <w:highlight w:val="none"/>
          <w:lang w:val="en-US" w:eastAsia="zh-CN"/>
        </w:rPr>
        <w:t>7</w:t>
      </w:r>
    </w:p>
    <w:p>
      <w:pPr>
        <w:spacing w:line="480" w:lineRule="exact"/>
        <w:jc w:val="center"/>
        <w:rPr>
          <w:rFonts w:ascii="宋体"/>
          <w:b/>
          <w:color w:val="auto"/>
          <w:sz w:val="32"/>
          <w:szCs w:val="32"/>
          <w:highlight w:val="none"/>
        </w:rPr>
      </w:pPr>
      <w:r>
        <w:rPr>
          <w:rFonts w:hint="eastAsia" w:ascii="宋体" w:hAnsi="宋体"/>
          <w:b/>
          <w:color w:val="auto"/>
          <w:sz w:val="32"/>
          <w:szCs w:val="32"/>
          <w:highlight w:val="none"/>
        </w:rPr>
        <w:t>售后服务情况表</w:t>
      </w:r>
    </w:p>
    <w:p>
      <w:pPr>
        <w:spacing w:line="360" w:lineRule="auto"/>
        <w:rPr>
          <w:rFonts w:hint="eastAsia" w:ascii="宋体" w:hAnsi="Times New Roman" w:cs="Times New Roman"/>
          <w:b/>
          <w:color w:val="auto"/>
          <w:sz w:val="24"/>
          <w:szCs w:val="24"/>
          <w:highlight w:val="none"/>
        </w:rPr>
      </w:pPr>
    </w:p>
    <w:tbl>
      <w:tblPr>
        <w:tblStyle w:val="28"/>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63"/>
              <w:spacing w:line="360" w:lineRule="auto"/>
              <w:jc w:val="center"/>
              <w:rPr>
                <w:rFonts w:ascii="宋体" w:cs="Arial"/>
                <w:b/>
                <w:color w:val="auto"/>
                <w:sz w:val="24"/>
                <w:highlight w:val="none"/>
              </w:rPr>
            </w:pPr>
            <w:r>
              <w:rPr>
                <w:rFonts w:hint="eastAsia" w:ascii="宋体" w:hAnsi="宋体" w:cs="Arial"/>
                <w:b/>
                <w:color w:val="auto"/>
                <w:sz w:val="24"/>
                <w:highlight w:val="none"/>
              </w:rPr>
              <w:t>序号</w:t>
            </w:r>
          </w:p>
        </w:tc>
        <w:tc>
          <w:tcPr>
            <w:tcW w:w="2355" w:type="dxa"/>
            <w:tcBorders>
              <w:top w:val="single" w:color="auto" w:sz="4" w:space="0"/>
            </w:tcBorders>
            <w:vAlign w:val="center"/>
          </w:tcPr>
          <w:p>
            <w:pPr>
              <w:pStyle w:val="63"/>
              <w:spacing w:line="360" w:lineRule="auto"/>
              <w:jc w:val="center"/>
              <w:rPr>
                <w:rFonts w:ascii="宋体" w:cs="Arial"/>
                <w:b/>
                <w:color w:val="auto"/>
                <w:sz w:val="24"/>
                <w:highlight w:val="none"/>
              </w:rPr>
            </w:pPr>
            <w:r>
              <w:rPr>
                <w:rFonts w:hint="eastAsia" w:ascii="宋体" w:hAnsi="宋体" w:cs="Arial"/>
                <w:b/>
                <w:color w:val="auto"/>
                <w:sz w:val="24"/>
                <w:highlight w:val="none"/>
              </w:rPr>
              <w:t>项目</w:t>
            </w:r>
          </w:p>
        </w:tc>
        <w:tc>
          <w:tcPr>
            <w:tcW w:w="4061" w:type="dxa"/>
            <w:tcBorders>
              <w:top w:val="single" w:color="auto" w:sz="4" w:space="0"/>
            </w:tcBorders>
            <w:vAlign w:val="center"/>
          </w:tcPr>
          <w:p>
            <w:pPr>
              <w:pStyle w:val="63"/>
              <w:spacing w:line="360" w:lineRule="auto"/>
              <w:jc w:val="center"/>
              <w:rPr>
                <w:rFonts w:ascii="宋体" w:cs="Arial"/>
                <w:b/>
                <w:color w:val="auto"/>
                <w:sz w:val="24"/>
                <w:highlight w:val="none"/>
              </w:rPr>
            </w:pPr>
            <w:r>
              <w:rPr>
                <w:rFonts w:hint="eastAsia" w:ascii="宋体" w:hAnsi="宋体" w:cs="Arial"/>
                <w:b/>
                <w:color w:val="auto"/>
                <w:sz w:val="24"/>
                <w:highlight w:val="none"/>
              </w:rPr>
              <w:t>投标人情况</w:t>
            </w:r>
          </w:p>
        </w:tc>
        <w:tc>
          <w:tcPr>
            <w:tcW w:w="1373" w:type="dxa"/>
            <w:tcBorders>
              <w:top w:val="single" w:color="auto" w:sz="4" w:space="0"/>
            </w:tcBorders>
            <w:vAlign w:val="center"/>
          </w:tcPr>
          <w:p>
            <w:pPr>
              <w:pStyle w:val="63"/>
              <w:spacing w:line="360" w:lineRule="auto"/>
              <w:jc w:val="center"/>
              <w:rPr>
                <w:rFonts w:ascii="宋体" w:cs="Arial"/>
                <w:b/>
                <w:color w:val="auto"/>
                <w:sz w:val="24"/>
                <w:highlight w:val="none"/>
              </w:rPr>
            </w:pPr>
            <w:r>
              <w:rPr>
                <w:rFonts w:hint="eastAsia" w:ascii="宋体" w:hAnsi="宋体" w:cs="Arial"/>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63"/>
              <w:spacing w:line="360" w:lineRule="auto"/>
              <w:jc w:val="center"/>
              <w:rPr>
                <w:rFonts w:ascii="宋体" w:cs="Arial"/>
                <w:bCs/>
                <w:color w:val="auto"/>
                <w:sz w:val="24"/>
                <w:highlight w:val="none"/>
              </w:rPr>
            </w:pPr>
            <w:r>
              <w:rPr>
                <w:rFonts w:ascii="宋体" w:hAnsi="宋体" w:cs="Arial"/>
                <w:bCs/>
                <w:color w:val="auto"/>
                <w:sz w:val="24"/>
                <w:highlight w:val="none"/>
              </w:rPr>
              <w:t>1</w:t>
            </w:r>
          </w:p>
        </w:tc>
        <w:tc>
          <w:tcPr>
            <w:tcW w:w="2355" w:type="dxa"/>
            <w:vMerge w:val="restart"/>
            <w:vAlign w:val="center"/>
          </w:tcPr>
          <w:p>
            <w:pPr>
              <w:pStyle w:val="63"/>
              <w:widowControl/>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保修期内售后服务情况</w:t>
            </w:r>
            <w:r>
              <w:rPr>
                <w:rFonts w:hint="eastAsia" w:ascii="宋体" w:hAnsi="宋体" w:cs="Arial"/>
                <w:bCs/>
                <w:color w:val="auto"/>
                <w:sz w:val="24"/>
                <w:highlight w:val="none"/>
                <w:lang w:eastAsia="zh-CN"/>
              </w:rPr>
              <w:t>（</w:t>
            </w:r>
            <w:r>
              <w:rPr>
                <w:rFonts w:hint="eastAsia" w:ascii="宋体" w:hAnsi="宋体" w:cs="Arial"/>
                <w:bCs/>
                <w:color w:val="auto"/>
                <w:sz w:val="24"/>
                <w:highlight w:val="none"/>
              </w:rPr>
              <w:t>服务方式、服务网点、售后服务的内容和措施等等，可用附页和宣传材料</w:t>
            </w:r>
            <w:r>
              <w:rPr>
                <w:rFonts w:hint="eastAsia" w:ascii="宋体" w:hAnsi="宋体" w:cs="Arial"/>
                <w:bCs/>
                <w:color w:val="auto"/>
                <w:sz w:val="24"/>
                <w:highlight w:val="none"/>
                <w:lang w:eastAsia="zh-CN"/>
              </w:rPr>
              <w:t>）</w:t>
            </w:r>
          </w:p>
        </w:tc>
        <w:tc>
          <w:tcPr>
            <w:tcW w:w="4061" w:type="dxa"/>
          </w:tcPr>
          <w:p>
            <w:pPr>
              <w:pStyle w:val="63"/>
              <w:spacing w:line="360" w:lineRule="auto"/>
              <w:rPr>
                <w:rFonts w:ascii="宋体" w:cs="Arial"/>
                <w:bCs/>
                <w:color w:val="auto"/>
                <w:sz w:val="24"/>
                <w:highlight w:val="none"/>
              </w:rPr>
            </w:pPr>
            <w:r>
              <w:rPr>
                <w:rFonts w:hint="eastAsia" w:ascii="宋体" w:hAnsi="宋体" w:cs="Arial"/>
                <w:bCs/>
                <w:color w:val="auto"/>
                <w:sz w:val="24"/>
                <w:highlight w:val="none"/>
              </w:rPr>
              <w:t>生产厂商售后服务情况：</w:t>
            </w:r>
          </w:p>
        </w:tc>
        <w:tc>
          <w:tcPr>
            <w:tcW w:w="1373" w:type="dxa"/>
          </w:tcPr>
          <w:p>
            <w:pPr>
              <w:pStyle w:val="63"/>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63"/>
              <w:widowControl/>
              <w:spacing w:line="360" w:lineRule="auto"/>
              <w:jc w:val="left"/>
              <w:rPr>
                <w:rFonts w:ascii="宋体" w:cs="Arial"/>
                <w:bCs/>
                <w:color w:val="auto"/>
                <w:sz w:val="24"/>
                <w:highlight w:val="none"/>
              </w:rPr>
            </w:pPr>
          </w:p>
        </w:tc>
        <w:tc>
          <w:tcPr>
            <w:tcW w:w="2355" w:type="dxa"/>
            <w:vMerge w:val="continue"/>
            <w:vAlign w:val="center"/>
          </w:tcPr>
          <w:p>
            <w:pPr>
              <w:pStyle w:val="63"/>
              <w:widowControl/>
              <w:spacing w:line="360" w:lineRule="auto"/>
              <w:jc w:val="left"/>
              <w:rPr>
                <w:rFonts w:ascii="宋体" w:cs="Arial"/>
                <w:bCs/>
                <w:color w:val="auto"/>
                <w:sz w:val="24"/>
                <w:highlight w:val="none"/>
              </w:rPr>
            </w:pPr>
          </w:p>
        </w:tc>
        <w:tc>
          <w:tcPr>
            <w:tcW w:w="4061" w:type="dxa"/>
          </w:tcPr>
          <w:p>
            <w:pPr>
              <w:pStyle w:val="63"/>
              <w:spacing w:line="360" w:lineRule="auto"/>
              <w:rPr>
                <w:rFonts w:ascii="宋体" w:cs="Arial"/>
                <w:bCs/>
                <w:color w:val="auto"/>
                <w:sz w:val="24"/>
                <w:highlight w:val="none"/>
              </w:rPr>
            </w:pPr>
            <w:r>
              <w:rPr>
                <w:rFonts w:hint="eastAsia" w:ascii="宋体" w:hAnsi="宋体" w:cs="Arial"/>
                <w:bCs/>
                <w:color w:val="auto"/>
                <w:sz w:val="24"/>
                <w:highlight w:val="none"/>
              </w:rPr>
              <w:t>投标人售后服务情况：</w:t>
            </w:r>
          </w:p>
        </w:tc>
        <w:tc>
          <w:tcPr>
            <w:tcW w:w="1373" w:type="dxa"/>
          </w:tcPr>
          <w:p>
            <w:pPr>
              <w:pStyle w:val="63"/>
              <w:spacing w:line="360" w:lineRule="auto"/>
              <w:jc w:val="left"/>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63"/>
              <w:spacing w:line="360" w:lineRule="auto"/>
              <w:jc w:val="center"/>
              <w:rPr>
                <w:rFonts w:ascii="宋体" w:cs="Arial"/>
                <w:bCs/>
                <w:color w:val="auto"/>
                <w:sz w:val="24"/>
                <w:highlight w:val="none"/>
              </w:rPr>
            </w:pPr>
            <w:r>
              <w:rPr>
                <w:rFonts w:ascii="宋体" w:hAnsi="宋体" w:cs="Arial"/>
                <w:bCs/>
                <w:color w:val="auto"/>
                <w:sz w:val="24"/>
                <w:highlight w:val="none"/>
              </w:rPr>
              <w:t>2</w:t>
            </w:r>
          </w:p>
        </w:tc>
        <w:tc>
          <w:tcPr>
            <w:tcW w:w="2355" w:type="dxa"/>
            <w:vAlign w:val="center"/>
          </w:tcPr>
          <w:p>
            <w:pPr>
              <w:pStyle w:val="63"/>
              <w:spacing w:line="360" w:lineRule="auto"/>
              <w:rPr>
                <w:rFonts w:ascii="宋体" w:cs="Arial"/>
                <w:bCs/>
                <w:color w:val="auto"/>
                <w:sz w:val="24"/>
                <w:highlight w:val="none"/>
              </w:rPr>
            </w:pPr>
            <w:r>
              <w:rPr>
                <w:rFonts w:hint="eastAsia" w:ascii="宋体" w:hAnsi="宋体" w:cs="Arial"/>
                <w:bCs/>
                <w:color w:val="auto"/>
                <w:sz w:val="24"/>
                <w:highlight w:val="none"/>
              </w:rPr>
              <w:t>保修期后售后服务</w:t>
            </w:r>
          </w:p>
        </w:tc>
        <w:tc>
          <w:tcPr>
            <w:tcW w:w="4061" w:type="dxa"/>
          </w:tcPr>
          <w:p>
            <w:pPr>
              <w:pStyle w:val="63"/>
              <w:widowControl/>
              <w:spacing w:line="360" w:lineRule="auto"/>
              <w:jc w:val="left"/>
              <w:rPr>
                <w:rFonts w:ascii="宋体" w:cs="Arial"/>
                <w:bCs/>
                <w:color w:val="auto"/>
                <w:sz w:val="24"/>
                <w:highlight w:val="none"/>
              </w:rPr>
            </w:pPr>
          </w:p>
          <w:p>
            <w:pPr>
              <w:pStyle w:val="63"/>
              <w:widowControl/>
              <w:spacing w:line="360" w:lineRule="auto"/>
              <w:jc w:val="left"/>
              <w:rPr>
                <w:rFonts w:ascii="宋体" w:cs="Arial"/>
                <w:bCs/>
                <w:color w:val="auto"/>
                <w:sz w:val="24"/>
                <w:highlight w:val="none"/>
              </w:rPr>
            </w:pPr>
          </w:p>
          <w:p>
            <w:pPr>
              <w:pStyle w:val="63"/>
              <w:spacing w:line="360" w:lineRule="auto"/>
              <w:rPr>
                <w:rFonts w:ascii="宋体" w:cs="Arial"/>
                <w:bCs/>
                <w:color w:val="auto"/>
                <w:sz w:val="24"/>
                <w:highlight w:val="none"/>
              </w:rPr>
            </w:pPr>
          </w:p>
        </w:tc>
        <w:tc>
          <w:tcPr>
            <w:tcW w:w="1373" w:type="dxa"/>
          </w:tcPr>
          <w:p>
            <w:pPr>
              <w:pStyle w:val="63"/>
              <w:widowControl/>
              <w:spacing w:line="360" w:lineRule="auto"/>
              <w:jc w:val="left"/>
              <w:rPr>
                <w:rFonts w:ascii="宋体" w:cs="Arial"/>
                <w:bCs/>
                <w:color w:val="auto"/>
                <w:sz w:val="24"/>
                <w:highlight w:val="none"/>
              </w:rPr>
            </w:pPr>
          </w:p>
          <w:p>
            <w:pPr>
              <w:pStyle w:val="63"/>
              <w:widowControl/>
              <w:spacing w:line="360" w:lineRule="auto"/>
              <w:jc w:val="left"/>
              <w:rPr>
                <w:rFonts w:ascii="宋体" w:cs="Arial"/>
                <w:bCs/>
                <w:color w:val="auto"/>
                <w:sz w:val="24"/>
                <w:highlight w:val="none"/>
              </w:rPr>
            </w:pPr>
          </w:p>
          <w:p>
            <w:pPr>
              <w:pStyle w:val="63"/>
              <w:spacing w:line="360" w:lineRule="auto"/>
              <w:rPr>
                <w:rFonts w:ascii="宋体" w:cs="Arial"/>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63"/>
              <w:widowControl/>
              <w:spacing w:line="360" w:lineRule="auto"/>
              <w:jc w:val="left"/>
              <w:rPr>
                <w:rFonts w:ascii="宋体" w:cs="Arial"/>
                <w:bCs/>
                <w:color w:val="auto"/>
                <w:sz w:val="24"/>
                <w:highlight w:val="none"/>
              </w:rPr>
            </w:pPr>
            <w:r>
              <w:rPr>
                <w:rFonts w:ascii="宋体" w:hAnsi="宋体" w:cs="Arial"/>
                <w:bCs/>
                <w:color w:val="auto"/>
                <w:sz w:val="24"/>
                <w:highlight w:val="none"/>
              </w:rPr>
              <w:t xml:space="preserve"> 3</w:t>
            </w:r>
          </w:p>
        </w:tc>
        <w:tc>
          <w:tcPr>
            <w:tcW w:w="2355" w:type="dxa"/>
            <w:vAlign w:val="center"/>
          </w:tcPr>
          <w:p>
            <w:pPr>
              <w:pStyle w:val="63"/>
              <w:widowControl/>
              <w:spacing w:line="360" w:lineRule="auto"/>
              <w:jc w:val="left"/>
              <w:rPr>
                <w:rFonts w:hint="eastAsia" w:ascii="宋体" w:eastAsia="宋体" w:cs="Arial"/>
                <w:bCs/>
                <w:color w:val="auto"/>
                <w:sz w:val="24"/>
                <w:highlight w:val="none"/>
                <w:lang w:eastAsia="zh-CN"/>
              </w:rPr>
            </w:pPr>
            <w:r>
              <w:rPr>
                <w:rFonts w:hint="eastAsia" w:ascii="宋体" w:hAnsi="宋体" w:cs="Arial"/>
                <w:bCs/>
                <w:color w:val="auto"/>
                <w:sz w:val="24"/>
                <w:highlight w:val="none"/>
              </w:rPr>
              <w:t>培训方案（可用附页</w:t>
            </w:r>
            <w:r>
              <w:rPr>
                <w:rFonts w:hint="eastAsia" w:ascii="宋体" w:hAnsi="宋体" w:cs="Arial"/>
                <w:bCs/>
                <w:color w:val="auto"/>
                <w:sz w:val="24"/>
                <w:highlight w:val="none"/>
                <w:lang w:eastAsia="zh-CN"/>
              </w:rPr>
              <w:t>）</w:t>
            </w:r>
          </w:p>
        </w:tc>
        <w:tc>
          <w:tcPr>
            <w:tcW w:w="4061" w:type="dxa"/>
          </w:tcPr>
          <w:p>
            <w:pPr>
              <w:pStyle w:val="63"/>
              <w:widowControl/>
              <w:spacing w:line="360" w:lineRule="auto"/>
              <w:jc w:val="left"/>
              <w:rPr>
                <w:rFonts w:ascii="宋体" w:cs="Arial"/>
                <w:bCs/>
                <w:i/>
                <w:color w:val="auto"/>
                <w:sz w:val="24"/>
                <w:highlight w:val="none"/>
              </w:rPr>
            </w:pPr>
          </w:p>
          <w:p>
            <w:pPr>
              <w:pStyle w:val="63"/>
              <w:widowControl/>
              <w:spacing w:line="360" w:lineRule="auto"/>
              <w:jc w:val="left"/>
              <w:rPr>
                <w:rFonts w:ascii="宋体" w:cs="Arial"/>
                <w:bCs/>
                <w:i/>
                <w:color w:val="auto"/>
                <w:sz w:val="24"/>
                <w:highlight w:val="none"/>
              </w:rPr>
            </w:pPr>
          </w:p>
        </w:tc>
        <w:tc>
          <w:tcPr>
            <w:tcW w:w="1373" w:type="dxa"/>
          </w:tcPr>
          <w:p>
            <w:pPr>
              <w:pStyle w:val="63"/>
              <w:widowControl/>
              <w:spacing w:line="360" w:lineRule="auto"/>
              <w:jc w:val="left"/>
              <w:rPr>
                <w:rFonts w:ascii="宋体" w:cs="Arial"/>
                <w:bCs/>
                <w:i/>
                <w:color w:val="auto"/>
                <w:sz w:val="24"/>
                <w:highlight w:val="none"/>
              </w:rPr>
            </w:pPr>
          </w:p>
          <w:p>
            <w:pPr>
              <w:pStyle w:val="63"/>
              <w:widowControl/>
              <w:spacing w:line="360" w:lineRule="auto"/>
              <w:jc w:val="left"/>
              <w:rPr>
                <w:rFonts w:ascii="宋体" w:cs="Arial"/>
                <w:bCs/>
                <w:i/>
                <w:color w:val="auto"/>
                <w:sz w:val="24"/>
                <w:highlight w:val="none"/>
              </w:rPr>
            </w:pPr>
          </w:p>
          <w:p>
            <w:pPr>
              <w:pStyle w:val="63"/>
              <w:widowControl/>
              <w:spacing w:line="360" w:lineRule="auto"/>
              <w:jc w:val="left"/>
              <w:rPr>
                <w:rFonts w:ascii="宋体" w:cs="Arial"/>
                <w:bCs/>
                <w:i/>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63"/>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2355" w:type="dxa"/>
            <w:tcBorders>
              <w:bottom w:val="single" w:color="auto" w:sz="4" w:space="0"/>
            </w:tcBorders>
            <w:vAlign w:val="center"/>
          </w:tcPr>
          <w:p>
            <w:pPr>
              <w:pStyle w:val="63"/>
              <w:widowControl/>
              <w:spacing w:line="360" w:lineRule="auto"/>
              <w:jc w:val="left"/>
              <w:rPr>
                <w:rFonts w:ascii="宋体" w:cs="Arial"/>
                <w:bCs/>
                <w:color w:val="auto"/>
                <w:sz w:val="24"/>
                <w:highlight w:val="none"/>
              </w:rPr>
            </w:pPr>
            <w:r>
              <w:rPr>
                <w:rFonts w:hint="eastAsia" w:ascii="宋体" w:cs="Arial"/>
                <w:bCs/>
                <w:color w:val="auto"/>
                <w:sz w:val="24"/>
                <w:highlight w:val="none"/>
              </w:rPr>
              <w:t>……</w:t>
            </w:r>
          </w:p>
        </w:tc>
        <w:tc>
          <w:tcPr>
            <w:tcW w:w="4061" w:type="dxa"/>
            <w:tcBorders>
              <w:bottom w:val="single" w:color="auto" w:sz="4" w:space="0"/>
            </w:tcBorders>
          </w:tcPr>
          <w:p>
            <w:pPr>
              <w:pStyle w:val="63"/>
              <w:widowControl/>
              <w:spacing w:line="360" w:lineRule="auto"/>
              <w:jc w:val="left"/>
              <w:rPr>
                <w:rFonts w:ascii="宋体" w:cs="Arial"/>
                <w:bCs/>
                <w:color w:val="auto"/>
                <w:sz w:val="24"/>
                <w:highlight w:val="none"/>
              </w:rPr>
            </w:pPr>
          </w:p>
        </w:tc>
        <w:tc>
          <w:tcPr>
            <w:tcW w:w="1373" w:type="dxa"/>
            <w:tcBorders>
              <w:bottom w:val="single" w:color="auto" w:sz="4" w:space="0"/>
            </w:tcBorders>
          </w:tcPr>
          <w:p>
            <w:pPr>
              <w:pStyle w:val="63"/>
              <w:widowControl/>
              <w:spacing w:line="360" w:lineRule="auto"/>
              <w:jc w:val="left"/>
              <w:rPr>
                <w:rFonts w:ascii="宋体" w:cs="Arial"/>
                <w:bCs/>
                <w:color w:val="auto"/>
                <w:sz w:val="24"/>
                <w:highlight w:val="none"/>
              </w:rPr>
            </w:pPr>
          </w:p>
        </w:tc>
      </w:tr>
    </w:tbl>
    <w:p>
      <w:pPr>
        <w:spacing w:line="360" w:lineRule="auto"/>
        <w:ind w:left="549" w:hanging="549" w:hangingChars="171"/>
        <w:jc w:val="center"/>
        <w:rPr>
          <w:rFonts w:hint="eastAsia" w:ascii="宋体" w:hAnsi="宋体"/>
          <w:b/>
          <w:color w:val="auto"/>
          <w:sz w:val="32"/>
          <w:szCs w:val="32"/>
          <w:highlight w:val="none"/>
        </w:rPr>
      </w:pPr>
    </w:p>
    <w:p>
      <w:pPr>
        <w:spacing w:line="360" w:lineRule="auto"/>
        <w:rPr>
          <w:rFonts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both"/>
        <w:rPr>
          <w:rFonts w:ascii="宋体"/>
          <w:b/>
          <w:color w:val="auto"/>
          <w:sz w:val="24"/>
          <w:szCs w:val="24"/>
          <w:highlight w:val="none"/>
        </w:rPr>
      </w:pPr>
    </w:p>
    <w:p>
      <w:pPr>
        <w:spacing w:line="360" w:lineRule="auto"/>
        <w:jc w:val="left"/>
        <w:rPr>
          <w:rFonts w:hint="eastAsia" w:ascii="宋体" w:hAnsi="宋体" w:eastAsia="宋体" w:cs="宋体"/>
          <w:b/>
          <w:bCs/>
          <w:color w:val="auto"/>
          <w:sz w:val="28"/>
          <w:szCs w:val="36"/>
          <w:highlight w:val="none"/>
          <w:lang w:eastAsia="zh-CN"/>
        </w:rPr>
      </w:pPr>
      <w:r>
        <w:rPr>
          <w:rFonts w:hint="eastAsia" w:ascii="宋体" w:hAnsi="宋体" w:eastAsia="宋体" w:cs="宋体"/>
          <w:b/>
          <w:bCs/>
          <w:color w:val="auto"/>
          <w:sz w:val="28"/>
          <w:szCs w:val="36"/>
          <w:highlight w:val="none"/>
        </w:rPr>
        <w:t>附件1</w:t>
      </w:r>
      <w:r>
        <w:rPr>
          <w:rFonts w:hint="eastAsia" w:ascii="宋体" w:hAnsi="宋体" w:cs="宋体"/>
          <w:b/>
          <w:bCs/>
          <w:color w:val="auto"/>
          <w:sz w:val="28"/>
          <w:szCs w:val="36"/>
          <w:highlight w:val="none"/>
          <w:lang w:val="en-US" w:eastAsia="zh-CN"/>
        </w:rPr>
        <w:t>8</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rPr>
        <w:t>　　</w:t>
      </w:r>
      <w:r>
        <w:rPr>
          <w:rFonts w:hint="eastAsia" w:ascii="宋体" w:hAnsi="宋体" w:eastAsia="宋体" w:cs="宋体"/>
          <w:b/>
          <w:bCs/>
          <w:color w:val="auto"/>
          <w:sz w:val="28"/>
          <w:szCs w:val="36"/>
          <w:highlight w:val="none"/>
          <w:lang w:val="en-US" w:eastAsia="zh-CN"/>
        </w:rPr>
        <w:t xml:space="preserve">                                      </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本</w:t>
      </w:r>
    </w:p>
    <w:p>
      <w:pPr>
        <w:jc w:val="center"/>
        <w:rPr>
          <w:rFonts w:ascii="宋体" w:hAnsi="宋体"/>
          <w:color w:val="auto"/>
          <w:spacing w:val="40"/>
          <w:sz w:val="52"/>
          <w:szCs w:val="52"/>
          <w:highlight w:val="none"/>
        </w:rPr>
      </w:pPr>
      <w:r>
        <w:rPr>
          <w:rFonts w:hint="eastAsia" w:ascii="宋体" w:hAnsi="宋体"/>
          <w:color w:val="auto"/>
          <w:spacing w:val="40"/>
          <w:sz w:val="52"/>
          <w:szCs w:val="52"/>
          <w:highlight w:val="none"/>
        </w:rPr>
        <w:t>项目名称</w:t>
      </w:r>
    </w:p>
    <w:p>
      <w:pPr>
        <w:jc w:val="center"/>
        <w:rPr>
          <w:rFonts w:hint="eastAsia" w:ascii="宋体" w:hAnsi="宋体" w:eastAsia="宋体"/>
          <w:color w:val="auto"/>
          <w:sz w:val="36"/>
          <w:szCs w:val="36"/>
          <w:highlight w:val="none"/>
          <w:lang w:eastAsia="zh-CN"/>
        </w:rPr>
      </w:pPr>
      <w:r>
        <w:rPr>
          <w:rFonts w:hint="eastAsia" w:ascii="宋体" w:hAnsi="宋体"/>
          <w:color w:val="auto"/>
          <w:sz w:val="36"/>
          <w:szCs w:val="36"/>
          <w:highlight w:val="none"/>
        </w:rPr>
        <w:t>项目编号：（标段</w:t>
      </w:r>
      <w:r>
        <w:rPr>
          <w:rFonts w:hint="eastAsia" w:ascii="宋体" w:hAnsi="宋体"/>
          <w:color w:val="auto"/>
          <w:sz w:val="36"/>
          <w:szCs w:val="36"/>
          <w:highlight w:val="none"/>
          <w:lang w:eastAsia="zh-CN"/>
        </w:rPr>
        <w:t>）</w:t>
      </w:r>
    </w:p>
    <w:p>
      <w:pPr>
        <w:jc w:val="center"/>
        <w:rPr>
          <w:rFonts w:ascii="宋体" w:hAnsi="宋体"/>
          <w:b/>
          <w:color w:val="auto"/>
          <w:spacing w:val="40"/>
          <w:sz w:val="84"/>
          <w:szCs w:val="84"/>
          <w:highlight w:val="none"/>
        </w:rPr>
      </w:pP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报</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价</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文</w:t>
      </w:r>
    </w:p>
    <w:p>
      <w:pPr>
        <w:jc w:val="center"/>
        <w:rPr>
          <w:rFonts w:ascii="宋体" w:hAnsi="宋体"/>
          <w:b/>
          <w:color w:val="auto"/>
          <w:spacing w:val="40"/>
          <w:sz w:val="84"/>
          <w:szCs w:val="84"/>
          <w:highlight w:val="none"/>
        </w:rPr>
      </w:pPr>
      <w:r>
        <w:rPr>
          <w:rFonts w:hint="eastAsia" w:ascii="宋体" w:hAnsi="宋体"/>
          <w:b/>
          <w:color w:val="auto"/>
          <w:spacing w:val="40"/>
          <w:sz w:val="84"/>
          <w:szCs w:val="84"/>
          <w:highlight w:val="none"/>
        </w:rPr>
        <w:t>件</w:t>
      </w:r>
    </w:p>
    <w:p>
      <w:pPr>
        <w:jc w:val="center"/>
        <w:rPr>
          <w:rFonts w:ascii="宋体" w:hAnsi="宋体"/>
          <w:color w:val="auto"/>
          <w:sz w:val="36"/>
          <w:szCs w:val="36"/>
          <w:highlight w:val="none"/>
        </w:rPr>
      </w:pPr>
    </w:p>
    <w:p>
      <w:pPr>
        <w:jc w:val="center"/>
        <w:rPr>
          <w:rFonts w:ascii="宋体" w:hAnsi="宋体"/>
          <w:color w:val="auto"/>
          <w:sz w:val="36"/>
          <w:szCs w:val="36"/>
          <w:highlight w:val="none"/>
        </w:rPr>
      </w:pPr>
    </w:p>
    <w:p>
      <w:pPr>
        <w:spacing w:line="360" w:lineRule="auto"/>
        <w:ind w:right="532"/>
        <w:jc w:val="center"/>
        <w:rPr>
          <w:rFonts w:ascii="宋体" w:hAnsi="宋体"/>
          <w:color w:val="auto"/>
          <w:sz w:val="36"/>
          <w:szCs w:val="36"/>
          <w:highlight w:val="none"/>
        </w:rPr>
      </w:pPr>
    </w:p>
    <w:p>
      <w:pPr>
        <w:jc w:val="both"/>
        <w:rPr>
          <w:rFonts w:hint="eastAsia" w:ascii="宋体" w:hAnsi="宋体"/>
          <w:color w:val="auto"/>
          <w:sz w:val="36"/>
          <w:szCs w:val="36"/>
          <w:highlight w:val="none"/>
        </w:rPr>
      </w:pPr>
      <w:r>
        <w:rPr>
          <w:rFonts w:hint="eastAsia" w:ascii="宋体" w:hAnsi="宋体"/>
          <w:color w:val="auto"/>
          <w:sz w:val="36"/>
          <w:szCs w:val="36"/>
          <w:highlight w:val="none"/>
        </w:rPr>
        <w:t>供应商全称</w:t>
      </w:r>
      <w:r>
        <w:rPr>
          <w:rFonts w:hint="eastAsia" w:ascii="宋体" w:hAnsi="宋体"/>
          <w:color w:val="auto"/>
          <w:sz w:val="32"/>
          <w:szCs w:val="32"/>
          <w:highlight w:val="none"/>
        </w:rPr>
        <w:t>（加盖公章，如为联合体，则为联合体牵头人</w:t>
      </w:r>
      <w:r>
        <w:rPr>
          <w:rFonts w:hint="eastAsia" w:ascii="宋体" w:hAnsi="宋体"/>
          <w:color w:val="auto"/>
          <w:sz w:val="32"/>
          <w:szCs w:val="32"/>
          <w:highlight w:val="none"/>
          <w:lang w:eastAsia="zh-CN"/>
        </w:rPr>
        <w:t>）</w:t>
      </w:r>
      <w:r>
        <w:rPr>
          <w:rFonts w:hint="eastAsia" w:ascii="宋体" w:hAnsi="宋体"/>
          <w:color w:val="auto"/>
          <w:sz w:val="36"/>
          <w:szCs w:val="36"/>
          <w:highlight w:val="none"/>
        </w:rPr>
        <w:t>：</w:t>
      </w:r>
    </w:p>
    <w:p>
      <w:pPr>
        <w:jc w:val="both"/>
        <w:rPr>
          <w:rFonts w:ascii="宋体" w:hAnsi="宋体"/>
          <w:color w:val="auto"/>
          <w:sz w:val="36"/>
          <w:szCs w:val="36"/>
          <w:highlight w:val="none"/>
        </w:rPr>
      </w:pPr>
      <w:r>
        <w:rPr>
          <w:rFonts w:hint="eastAsia" w:ascii="宋体" w:hAnsi="宋体"/>
          <w:color w:val="auto"/>
          <w:sz w:val="36"/>
          <w:szCs w:val="36"/>
          <w:highlight w:val="none"/>
        </w:rPr>
        <w:t>地址：</w:t>
      </w:r>
    </w:p>
    <w:p>
      <w:pPr>
        <w:jc w:val="both"/>
        <w:rPr>
          <w:rFonts w:ascii="宋体" w:hAnsi="宋体"/>
          <w:color w:val="auto"/>
          <w:sz w:val="36"/>
          <w:szCs w:val="36"/>
          <w:highlight w:val="none"/>
        </w:rPr>
      </w:pPr>
      <w:r>
        <w:rPr>
          <w:rFonts w:hint="eastAsia" w:ascii="宋体" w:hAnsi="宋体"/>
          <w:color w:val="auto"/>
          <w:sz w:val="36"/>
          <w:szCs w:val="36"/>
          <w:highlight w:val="none"/>
        </w:rPr>
        <w:t>时间：</w:t>
      </w: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both"/>
        <w:rPr>
          <w:rFonts w:hint="eastAsia" w:ascii="宋体" w:hAnsi="宋体" w:eastAsia="宋体" w:cs="宋体"/>
          <w:b w:val="0"/>
          <w:bCs w:val="0"/>
          <w:color w:val="auto"/>
          <w:sz w:val="24"/>
          <w:szCs w:val="32"/>
          <w:highlight w:val="none"/>
          <w:lang w:eastAsia="zh-CN"/>
        </w:rPr>
      </w:pPr>
    </w:p>
    <w:p>
      <w:pPr>
        <w:bidi w:val="0"/>
        <w:spacing w:line="360" w:lineRule="auto"/>
        <w:jc w:val="center"/>
        <w:rPr>
          <w:rFonts w:hint="eastAsia" w:ascii="宋体" w:hAnsi="宋体" w:eastAsia="宋体" w:cs="宋体"/>
          <w:b/>
          <w:bCs/>
          <w:color w:val="auto"/>
          <w:sz w:val="32"/>
          <w:szCs w:val="40"/>
          <w:highlight w:val="none"/>
          <w:lang w:val="zh-CN"/>
        </w:rPr>
      </w:pPr>
      <w:r>
        <w:rPr>
          <w:rFonts w:hint="eastAsia" w:ascii="宋体" w:hAnsi="宋体" w:eastAsia="宋体" w:cs="宋体"/>
          <w:b/>
          <w:bCs/>
          <w:color w:val="auto"/>
          <w:sz w:val="32"/>
          <w:szCs w:val="40"/>
          <w:highlight w:val="none"/>
          <w:lang w:val="zh-CN"/>
        </w:rPr>
        <w:t>报价文件目录</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1、开标一览表（附件</w:t>
      </w:r>
      <w:r>
        <w:rPr>
          <w:rFonts w:hint="eastAsia" w:ascii="宋体" w:hAnsi="宋体" w:cs="宋体"/>
          <w:color w:val="auto"/>
          <w:sz w:val="28"/>
          <w:szCs w:val="36"/>
          <w:highlight w:val="none"/>
          <w:lang w:val="en-US" w:eastAsia="zh-CN"/>
        </w:rPr>
        <w:t>19</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2、报价明细表（附件</w:t>
      </w:r>
      <w:r>
        <w:rPr>
          <w:rFonts w:hint="eastAsia" w:ascii="宋体" w:hAnsi="宋体" w:cs="宋体"/>
          <w:color w:val="auto"/>
          <w:sz w:val="28"/>
          <w:szCs w:val="36"/>
          <w:highlight w:val="none"/>
          <w:lang w:val="en-US" w:eastAsia="zh-CN"/>
        </w:rPr>
        <w:t>20</w:t>
      </w:r>
      <w:r>
        <w:rPr>
          <w:rFonts w:hint="eastAsia" w:ascii="宋体" w:hAnsi="宋体" w:cs="宋体"/>
          <w:color w:val="auto"/>
          <w:sz w:val="28"/>
          <w:szCs w:val="36"/>
          <w:highlight w:val="none"/>
          <w:lang w:eastAsia="zh-CN"/>
        </w:rPr>
        <w:t>）</w:t>
      </w:r>
      <w:r>
        <w:rPr>
          <w:rFonts w:hint="eastAsia" w:ascii="宋体" w:hAnsi="宋体" w:eastAsia="宋体" w:cs="宋体"/>
          <w:color w:val="auto"/>
          <w:sz w:val="28"/>
          <w:szCs w:val="36"/>
          <w:highlight w:val="none"/>
        </w:rPr>
        <w:t>；</w:t>
      </w:r>
    </w:p>
    <w:p>
      <w:pPr>
        <w:bidi w:val="0"/>
        <w:spacing w:line="360" w:lineRule="auto"/>
        <w:ind w:firstLine="560" w:firstLineChars="200"/>
        <w:jc w:val="left"/>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3、针对报价投标人认为其他需要说明的；</w:t>
      </w:r>
    </w:p>
    <w:p>
      <w:pPr>
        <w:bidi w:val="0"/>
        <w:spacing w:line="360" w:lineRule="auto"/>
        <w:ind w:firstLine="560" w:firstLineChars="200"/>
        <w:jc w:val="left"/>
        <w:rPr>
          <w:rFonts w:hint="eastAsia" w:ascii="宋体" w:hAnsi="宋体" w:cs="宋体"/>
          <w:color w:val="auto"/>
          <w:sz w:val="28"/>
          <w:szCs w:val="36"/>
          <w:highlight w:val="none"/>
          <w:lang w:eastAsia="zh-CN"/>
        </w:rPr>
      </w:pPr>
      <w:r>
        <w:rPr>
          <w:rFonts w:hint="eastAsia" w:ascii="宋体" w:hAnsi="宋体" w:eastAsia="宋体" w:cs="宋体"/>
          <w:color w:val="auto"/>
          <w:sz w:val="28"/>
          <w:szCs w:val="36"/>
          <w:highlight w:val="none"/>
        </w:rPr>
        <w:t>4、中小企业</w:t>
      </w:r>
      <w:r>
        <w:rPr>
          <w:rFonts w:hint="eastAsia" w:ascii="宋体" w:hAnsi="宋体" w:cs="宋体"/>
          <w:color w:val="auto"/>
          <w:sz w:val="28"/>
          <w:szCs w:val="36"/>
          <w:highlight w:val="none"/>
          <w:lang w:val="en-US" w:eastAsia="zh-CN"/>
        </w:rPr>
        <w:t>等</w:t>
      </w:r>
      <w:r>
        <w:rPr>
          <w:rFonts w:hint="eastAsia" w:ascii="宋体" w:hAnsi="宋体" w:eastAsia="宋体" w:cs="宋体"/>
          <w:color w:val="auto"/>
          <w:sz w:val="28"/>
          <w:szCs w:val="36"/>
          <w:highlight w:val="none"/>
        </w:rPr>
        <w:t>声明函（附件</w:t>
      </w:r>
      <w:r>
        <w:rPr>
          <w:rFonts w:hint="eastAsia" w:ascii="宋体" w:hAnsi="宋体" w:cs="宋体"/>
          <w:color w:val="auto"/>
          <w:sz w:val="28"/>
          <w:szCs w:val="36"/>
          <w:highlight w:val="none"/>
          <w:lang w:val="en-US" w:eastAsia="zh-CN"/>
        </w:rPr>
        <w:t>21</w:t>
      </w:r>
      <w:r>
        <w:rPr>
          <w:rFonts w:hint="eastAsia" w:ascii="宋体" w:hAnsi="宋体" w:cs="宋体"/>
          <w:color w:val="auto"/>
          <w:sz w:val="28"/>
          <w:szCs w:val="36"/>
          <w:highlight w:val="none"/>
          <w:lang w:eastAsia="zh-CN"/>
        </w:rPr>
        <w:t>）；（如有需提供）</w:t>
      </w:r>
    </w:p>
    <w:p>
      <w:pPr>
        <w:bidi w:val="0"/>
        <w:spacing w:line="360" w:lineRule="auto"/>
        <w:ind w:firstLine="560" w:firstLineChars="200"/>
        <w:jc w:val="left"/>
        <w:rPr>
          <w:rFonts w:hint="default"/>
          <w:color w:val="auto"/>
          <w:highlight w:val="none"/>
          <w:lang w:val="en-US" w:eastAsia="zh-CN"/>
        </w:rPr>
      </w:pPr>
      <w:r>
        <w:rPr>
          <w:rFonts w:hint="eastAsia" w:ascii="宋体" w:hAnsi="宋体" w:eastAsia="宋体" w:cs="宋体"/>
          <w:color w:val="auto"/>
          <w:sz w:val="28"/>
          <w:szCs w:val="36"/>
          <w:highlight w:val="none"/>
          <w:lang w:val="en-US" w:eastAsia="zh-CN"/>
        </w:rPr>
        <w:t>5、</w:t>
      </w:r>
      <w:r>
        <w:rPr>
          <w:rFonts w:hint="eastAsia" w:ascii="宋体" w:hAnsi="宋体" w:eastAsia="宋体" w:cs="宋体"/>
          <w:color w:val="auto"/>
          <w:sz w:val="28"/>
          <w:szCs w:val="36"/>
          <w:highlight w:val="none"/>
          <w:lang w:val="en-GB" w:eastAsia="zh-CN"/>
        </w:rPr>
        <w:t>政府采购活动确认声明书</w:t>
      </w:r>
      <w:r>
        <w:rPr>
          <w:rFonts w:hint="eastAsia" w:ascii="宋体" w:hAnsi="宋体" w:eastAsia="宋体" w:cs="宋体"/>
          <w:color w:val="auto"/>
          <w:sz w:val="28"/>
          <w:szCs w:val="36"/>
          <w:highlight w:val="none"/>
        </w:rPr>
        <w:t>（附件</w:t>
      </w:r>
      <w:r>
        <w:rPr>
          <w:rFonts w:hint="eastAsia" w:ascii="宋体" w:hAnsi="宋体" w:cs="宋体"/>
          <w:color w:val="auto"/>
          <w:sz w:val="28"/>
          <w:szCs w:val="36"/>
          <w:highlight w:val="none"/>
          <w:lang w:val="en-US" w:eastAsia="zh-CN"/>
        </w:rPr>
        <w:t>22</w:t>
      </w:r>
      <w:r>
        <w:rPr>
          <w:rFonts w:hint="eastAsia" w:ascii="宋体" w:hAnsi="宋体" w:cs="宋体"/>
          <w:color w:val="auto"/>
          <w:sz w:val="28"/>
          <w:szCs w:val="36"/>
          <w:highlight w:val="none"/>
          <w:lang w:eastAsia="zh-CN"/>
        </w:rPr>
        <w:t>）。</w:t>
      </w:r>
    </w:p>
    <w:p>
      <w:p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中小</w:t>
      </w:r>
      <w:r>
        <w:rPr>
          <w:rFonts w:hint="eastAsia" w:ascii="宋体" w:hAnsi="宋体" w:eastAsia="宋体" w:cs="宋体"/>
          <w:color w:val="auto"/>
          <w:sz w:val="28"/>
          <w:szCs w:val="28"/>
          <w:highlight w:val="none"/>
        </w:rPr>
        <w:t>企业等声明函填表说明：</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标的设备分别由不同制造商制造的，请按序号填写齐全所有标的</w:t>
      </w:r>
      <w:r>
        <w:rPr>
          <w:rFonts w:hint="eastAsia" w:ascii="宋体" w:hAnsi="宋体" w:eastAsia="宋体" w:cs="宋体"/>
          <w:b/>
          <w:bCs/>
          <w:color w:val="auto"/>
          <w:sz w:val="28"/>
          <w:szCs w:val="28"/>
          <w:highlight w:val="none"/>
          <w:u w:val="single"/>
        </w:rPr>
        <w:t>货物制造商</w:t>
      </w:r>
      <w:r>
        <w:rPr>
          <w:rFonts w:hint="eastAsia" w:ascii="宋体" w:hAnsi="宋体" w:eastAsia="宋体" w:cs="宋体"/>
          <w:color w:val="auto"/>
          <w:sz w:val="28"/>
          <w:szCs w:val="28"/>
          <w:highlight w:val="none"/>
        </w:rPr>
        <w:t>的信息。</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从业人员、营业收入、资产总额填报上一年度数据，无上一年度数据的新成立企业可不填报。</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为了更加准确判定制造商是否为小微企业，请供应商根据工业和信息化部官方网站---中小企业规模类型自测小程序来辨别制造商企业规模类型，中小企业规模类型自测小程序链接网址为</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"http://202.106.120.146/baosong/appweb/orgScale.html" </w:instrText>
      </w:r>
      <w:r>
        <w:rPr>
          <w:rFonts w:hint="eastAsia" w:ascii="宋体" w:hAnsi="宋体" w:eastAsia="宋体" w:cs="宋体"/>
          <w:color w:val="auto"/>
          <w:sz w:val="28"/>
          <w:szCs w:val="28"/>
          <w:highlight w:val="none"/>
        </w:rPr>
        <w:fldChar w:fldCharType="separate"/>
      </w:r>
      <w:r>
        <w:rPr>
          <w:rStyle w:val="31"/>
          <w:rFonts w:hint="eastAsia" w:ascii="宋体" w:hAnsi="宋体" w:eastAsia="宋体" w:cs="宋体"/>
          <w:color w:val="auto"/>
          <w:sz w:val="28"/>
          <w:szCs w:val="28"/>
          <w:highlight w:val="none"/>
        </w:rPr>
        <w:t>http://202.106.120.146/baosong/appweb/orgScale.html</w:t>
      </w:r>
      <w:r>
        <w:rPr>
          <w:rFonts w:hint="eastAsia" w:ascii="宋体" w:hAnsi="宋体" w:eastAsia="宋体" w:cs="宋体"/>
          <w:color w:val="auto"/>
          <w:sz w:val="28"/>
          <w:szCs w:val="28"/>
          <w:highlight w:val="none"/>
        </w:rPr>
        <w:fldChar w:fldCharType="end"/>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供应商未提供《中小企业声明函》的、《中小企业声明函》中内容应填写而未进行填写或未如实填写的，将不给予供应商小微企业报价优惠扣除。</w:t>
      </w:r>
    </w:p>
    <w:p>
      <w:pPr>
        <w:numPr>
          <w:ilvl w:val="0"/>
          <w:numId w:val="0"/>
        </w:numPr>
        <w:shd w:val="clear" w:color="auto" w:fill="auto"/>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预成交供应商享受小微企业报价优惠扣除的，将按规定公开预成交供应商的《中小企业声明函》。</w:t>
      </w:r>
    </w:p>
    <w:p>
      <w:pPr>
        <w:numPr>
          <w:ilvl w:val="0"/>
          <w:numId w:val="0"/>
        </w:numPr>
        <w:shd w:val="clear" w:color="auto" w:fill="auto"/>
        <w:spacing w:line="360" w:lineRule="auto"/>
        <w:ind w:firstLine="560" w:firstLineChars="200"/>
        <w:rPr>
          <w:rFonts w:hint="eastAsia" w:ascii="宋体" w:hAnsi="宋体" w:eastAsia="宋体" w:cs="宋体"/>
          <w:b w:val="0"/>
          <w:bCs w:val="0"/>
          <w:color w:val="auto"/>
          <w:sz w:val="24"/>
          <w:szCs w:val="32"/>
          <w:highlight w:val="none"/>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rPr>
        <w:t>如国家对中小企业划型标准有新的规定的，从其规定。</w:t>
      </w:r>
    </w:p>
    <w:p>
      <w:pPr>
        <w:bidi w:val="0"/>
        <w:spacing w:line="360" w:lineRule="auto"/>
        <w:jc w:val="both"/>
        <w:rPr>
          <w:rFonts w:hint="eastAsia" w:ascii="宋体" w:hAnsi="宋体" w:eastAsia="宋体" w:cs="宋体"/>
          <w:b w:val="0"/>
          <w:bCs w:val="0"/>
          <w:color w:val="auto"/>
          <w:sz w:val="24"/>
          <w:szCs w:val="32"/>
          <w:highlight w:val="none"/>
          <w:lang w:eastAsia="zh-CN"/>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cs="宋体"/>
          <w:b/>
          <w:bCs/>
          <w:color w:val="auto"/>
          <w:sz w:val="28"/>
          <w:szCs w:val="36"/>
          <w:highlight w:val="none"/>
          <w:lang w:val="en-US" w:eastAsia="zh-CN"/>
        </w:rPr>
        <w:t>19</w:t>
      </w:r>
    </w:p>
    <w:p>
      <w:pPr>
        <w:spacing w:line="360" w:lineRule="auto"/>
        <w:ind w:left="-2" w:hanging="2"/>
        <w:jc w:val="center"/>
        <w:rPr>
          <w:rFonts w:ascii="宋体" w:hAnsi="宋体"/>
          <w:b/>
          <w:color w:val="auto"/>
          <w:sz w:val="32"/>
          <w:szCs w:val="32"/>
          <w:highlight w:val="none"/>
        </w:rPr>
      </w:pPr>
      <w:r>
        <w:rPr>
          <w:rFonts w:hint="eastAsia" w:ascii="宋体" w:hAnsi="宋体"/>
          <w:b/>
          <w:color w:val="auto"/>
          <w:sz w:val="32"/>
          <w:szCs w:val="32"/>
          <w:highlight w:val="none"/>
        </w:rPr>
        <w:t>开标一览表</w:t>
      </w:r>
    </w:p>
    <w:p>
      <w:pPr>
        <w:spacing w:line="360" w:lineRule="auto"/>
        <w:ind w:left="-2" w:hanging="2"/>
        <w:jc w:val="center"/>
        <w:rPr>
          <w:rFonts w:ascii="宋体" w:hAnsi="宋体"/>
          <w:b/>
          <w:color w:val="auto"/>
          <w:sz w:val="32"/>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8"/>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hint="eastAsia" w:ascii="宋体" w:eastAsia="宋体"/>
                <w:color w:val="auto"/>
                <w:sz w:val="24"/>
                <w:highlight w:val="none"/>
                <w:lang w:eastAsia="zh-CN"/>
              </w:rPr>
            </w:pPr>
            <w:r>
              <w:rPr>
                <w:rFonts w:hint="eastAsia" w:ascii="宋体" w:hAnsi="宋体"/>
                <w:color w:val="auto"/>
                <w:sz w:val="24"/>
                <w:highlight w:val="none"/>
              </w:rPr>
              <w:t>投标总报价</w:t>
            </w:r>
            <w:r>
              <w:rPr>
                <w:rFonts w:hint="eastAsia" w:ascii="宋体" w:hAnsi="宋体"/>
                <w:color w:val="auto"/>
                <w:sz w:val="24"/>
                <w:highlight w:val="none"/>
                <w:lang w:eastAsia="zh-CN"/>
              </w:rPr>
              <w:t>（</w:t>
            </w:r>
            <w:r>
              <w:rPr>
                <w:rFonts w:hint="eastAsia" w:ascii="宋体" w:hAnsi="宋体"/>
                <w:color w:val="auto"/>
                <w:sz w:val="24"/>
                <w:highlight w:val="none"/>
              </w:rPr>
              <w:t>元</w:t>
            </w:r>
            <w:r>
              <w:rPr>
                <w:rFonts w:hint="eastAsia" w:ascii="宋体" w:hAnsi="宋体"/>
                <w:color w:val="auto"/>
                <w:sz w:val="24"/>
                <w:highlight w:val="none"/>
                <w:lang w:eastAsia="zh-CN"/>
              </w:rPr>
              <w:t>）</w:t>
            </w: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大写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color w:val="auto"/>
                <w:sz w:val="24"/>
                <w:highlight w:val="none"/>
              </w:rPr>
            </w:pPr>
          </w:p>
        </w:tc>
        <w:tc>
          <w:tcPr>
            <w:tcW w:w="1349" w:type="dxa"/>
            <w:vAlign w:val="center"/>
          </w:tcPr>
          <w:p>
            <w:pPr>
              <w:autoSpaceDE w:val="0"/>
              <w:autoSpaceDN w:val="0"/>
              <w:spacing w:line="450" w:lineRule="exact"/>
              <w:jc w:val="center"/>
              <w:textAlignment w:val="bottom"/>
              <w:rPr>
                <w:rFonts w:ascii="宋体"/>
                <w:color w:val="auto"/>
                <w:sz w:val="24"/>
                <w:highlight w:val="none"/>
              </w:rPr>
            </w:pPr>
            <w:r>
              <w:rPr>
                <w:rFonts w:hint="eastAsia" w:ascii="宋体" w:hAnsi="宋体"/>
                <w:color w:val="auto"/>
                <w:sz w:val="24"/>
                <w:highlight w:val="none"/>
              </w:rPr>
              <w:t>小写</w:t>
            </w:r>
          </w:p>
        </w:tc>
        <w:tc>
          <w:tcPr>
            <w:tcW w:w="4629" w:type="dxa"/>
            <w:vAlign w:val="center"/>
          </w:tcPr>
          <w:p>
            <w:pPr>
              <w:autoSpaceDE w:val="0"/>
              <w:autoSpaceDN w:val="0"/>
              <w:spacing w:line="450" w:lineRule="exact"/>
              <w:jc w:val="center"/>
              <w:textAlignment w:val="bottom"/>
              <w:rPr>
                <w:rFonts w:ascii="宋体"/>
                <w:color w:val="auto"/>
                <w:sz w:val="24"/>
                <w:highlight w:val="none"/>
              </w:rPr>
            </w:pPr>
          </w:p>
        </w:tc>
      </w:tr>
    </w:tbl>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eastAsia="zh-CN"/>
        </w:rPr>
      </w:pPr>
      <w:r>
        <w:rPr>
          <w:rFonts w:hint="eastAsia" w:ascii="宋体" w:hAnsi="宋体" w:eastAsia="宋体" w:cs="宋体"/>
          <w:b/>
          <w:bCs/>
          <w:color w:val="auto"/>
          <w:sz w:val="24"/>
          <w:szCs w:val="32"/>
          <w:highlight w:val="none"/>
          <w:lang w:eastAsia="zh-CN"/>
        </w:rPr>
        <w:t>填报要求：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1.投标总报价包括货款、标准附件、备品备件、专用工具、包装、运输、装卸、保险、税金、货到就位以及安装、调试、培训、保修、合同包含的所有风险责任等各项费用及不可预见费等所需的全部费用。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2.报价一经涂改，应在涂改处加盖单位公章，或者由法定代表人或</w:t>
      </w:r>
      <w:r>
        <w:rPr>
          <w:rFonts w:hint="eastAsia" w:ascii="宋体" w:hAnsi="宋体" w:cs="宋体"/>
          <w:b w:val="0"/>
          <w:bCs w:val="0"/>
          <w:color w:val="auto"/>
          <w:sz w:val="24"/>
          <w:szCs w:val="32"/>
          <w:highlight w:val="none"/>
          <w:lang w:val="en-US" w:eastAsia="zh-CN"/>
        </w:rPr>
        <w:t>授权委托代理人</w:t>
      </w:r>
      <w:r>
        <w:rPr>
          <w:rFonts w:hint="eastAsia" w:ascii="宋体" w:hAnsi="宋体" w:eastAsia="宋体" w:cs="宋体"/>
          <w:b w:val="0"/>
          <w:bCs w:val="0"/>
          <w:color w:val="auto"/>
          <w:sz w:val="24"/>
          <w:szCs w:val="32"/>
          <w:highlight w:val="none"/>
          <w:lang w:eastAsia="zh-CN"/>
        </w:rPr>
        <w:t>签字或盖章，否则其投标作无效标处理。</w:t>
      </w:r>
    </w:p>
    <w:p>
      <w:pPr>
        <w:spacing w:line="360" w:lineRule="auto"/>
        <w:rPr>
          <w:rFonts w:ascii="宋体" w:hAnsi="宋体"/>
          <w:color w:val="auto"/>
          <w:sz w:val="24"/>
          <w:highlight w:val="none"/>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jc w:val="left"/>
        <w:rPr>
          <w:rFonts w:hint="eastAsia" w:ascii="宋体" w:hAnsi="宋体" w:eastAsia="宋体" w:cs="宋体"/>
          <w:b w:val="0"/>
          <w:bCs w:val="0"/>
          <w:color w:val="auto"/>
          <w:sz w:val="24"/>
          <w:szCs w:val="32"/>
          <w:highlight w:val="none"/>
        </w:rPr>
      </w:pPr>
    </w:p>
    <w:p>
      <w:pPr>
        <w:bidi w:val="0"/>
        <w:spacing w:line="360" w:lineRule="auto"/>
        <w:ind w:firstLine="480" w:firstLineChars="200"/>
        <w:jc w:val="left"/>
        <w:rPr>
          <w:rFonts w:hint="eastAsia" w:ascii="宋体" w:hAnsi="宋体" w:eastAsia="宋体" w:cs="宋体"/>
          <w:b w:val="0"/>
          <w:bCs w:val="0"/>
          <w:color w:val="auto"/>
          <w:sz w:val="24"/>
          <w:szCs w:val="32"/>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eastAsia" w:ascii="宋体" w:hAnsi="宋体" w:eastAsia="宋体" w:cs="宋体"/>
          <w:b/>
          <w:bCs/>
          <w:color w:val="auto"/>
          <w:sz w:val="28"/>
          <w:szCs w:val="36"/>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w:t>
      </w:r>
      <w:r>
        <w:rPr>
          <w:rFonts w:hint="eastAsia" w:ascii="宋体" w:hAnsi="宋体" w:cs="宋体"/>
          <w:b/>
          <w:bCs/>
          <w:color w:val="auto"/>
          <w:sz w:val="28"/>
          <w:szCs w:val="36"/>
          <w:highlight w:val="none"/>
          <w:lang w:val="en-US" w:eastAsia="zh-CN"/>
        </w:rPr>
        <w:t>0</w:t>
      </w:r>
    </w:p>
    <w:p>
      <w:pPr>
        <w:spacing w:line="360" w:lineRule="auto"/>
        <w:jc w:val="center"/>
        <w:rPr>
          <w:rFonts w:ascii="宋体" w:hAnsi="宋体"/>
          <w:color w:val="auto"/>
          <w:highlight w:val="none"/>
        </w:rPr>
      </w:pPr>
      <w:r>
        <w:rPr>
          <w:rFonts w:hint="eastAsia" w:ascii="宋体" w:hAnsi="宋体"/>
          <w:b/>
          <w:color w:val="auto"/>
          <w:sz w:val="32"/>
          <w:szCs w:val="32"/>
          <w:highlight w:val="none"/>
        </w:rPr>
        <w:t>报价明细表</w:t>
      </w:r>
    </w:p>
    <w:p>
      <w:pPr>
        <w:bidi w:val="0"/>
        <w:spacing w:line="360" w:lineRule="auto"/>
        <w:ind w:firstLine="480" w:firstLineChars="200"/>
        <w:jc w:val="left"/>
        <w:rPr>
          <w:rFonts w:hint="eastAsia" w:ascii="宋体" w:hAnsi="宋体" w:eastAsia="宋体" w:cs="宋体"/>
          <w:b w:val="0"/>
          <w:bCs w:val="0"/>
          <w:color w:val="auto"/>
          <w:sz w:val="24"/>
          <w:szCs w:val="32"/>
          <w:highlight w:val="none"/>
          <w:lang w:eastAsia="zh-CN"/>
        </w:rPr>
      </w:pPr>
      <w:r>
        <w:rPr>
          <w:rFonts w:hint="eastAsia" w:ascii="宋体" w:hAnsi="宋体" w:eastAsia="宋体" w:cs="宋体"/>
          <w:b w:val="0"/>
          <w:bCs w:val="0"/>
          <w:color w:val="auto"/>
          <w:sz w:val="24"/>
          <w:szCs w:val="32"/>
          <w:highlight w:val="none"/>
          <w:lang w:eastAsia="zh-CN"/>
        </w:rPr>
        <w:t>项目名称：</w:t>
      </w:r>
    </w:p>
    <w:p>
      <w:pPr>
        <w:bidi w:val="0"/>
        <w:spacing w:line="360" w:lineRule="auto"/>
        <w:ind w:firstLine="480" w:firstLineChars="200"/>
        <w:jc w:val="left"/>
        <w:rPr>
          <w:rFonts w:hint="default"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eastAsia="zh-CN"/>
        </w:rPr>
        <w:t>项目编号：</w:t>
      </w:r>
      <w:r>
        <w:rPr>
          <w:rFonts w:hint="eastAsia" w:ascii="宋体" w:hAnsi="宋体" w:cs="宋体"/>
          <w:b w:val="0"/>
          <w:bCs w:val="0"/>
          <w:color w:val="auto"/>
          <w:sz w:val="24"/>
          <w:szCs w:val="32"/>
          <w:highlight w:val="none"/>
          <w:lang w:val="en-US" w:eastAsia="zh-CN"/>
        </w:rPr>
        <w:t xml:space="preserve">                                       [单位：人民币/元]</w:t>
      </w:r>
    </w:p>
    <w:tbl>
      <w:tblPr>
        <w:tblStyle w:val="28"/>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jc w:val="center"/>
        </w:trPr>
        <w:tc>
          <w:tcPr>
            <w:tcW w:w="525"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序号</w:t>
            </w:r>
          </w:p>
        </w:tc>
        <w:tc>
          <w:tcPr>
            <w:tcW w:w="1460"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b/>
                <w:color w:val="auto"/>
                <w:sz w:val="24"/>
                <w:highlight w:val="none"/>
              </w:rPr>
            </w:pPr>
            <w:r>
              <w:rPr>
                <w:rFonts w:hint="eastAsia" w:ascii="宋体" w:hAnsi="宋体"/>
                <w:b/>
                <w:color w:val="auto"/>
                <w:sz w:val="24"/>
                <w:highlight w:val="none"/>
              </w:rPr>
              <w:t>品牌、产地</w:t>
            </w:r>
          </w:p>
        </w:tc>
        <w:tc>
          <w:tcPr>
            <w:tcW w:w="1559" w:type="dxa"/>
            <w:vAlign w:val="center"/>
          </w:tcPr>
          <w:p>
            <w:pPr>
              <w:spacing w:line="360" w:lineRule="auto"/>
              <w:ind w:left="52"/>
              <w:jc w:val="center"/>
              <w:rPr>
                <w:rFonts w:ascii="宋体"/>
                <w:b/>
                <w:color w:val="auto"/>
                <w:sz w:val="24"/>
                <w:highlight w:val="none"/>
              </w:rPr>
            </w:pPr>
            <w:r>
              <w:rPr>
                <w:rFonts w:hint="eastAsia" w:ascii="宋体" w:hAnsi="宋体"/>
                <w:b/>
                <w:color w:val="auto"/>
                <w:sz w:val="24"/>
                <w:highlight w:val="none"/>
              </w:rPr>
              <w:t>型号规格</w:t>
            </w:r>
          </w:p>
        </w:tc>
        <w:tc>
          <w:tcPr>
            <w:tcW w:w="851" w:type="dxa"/>
            <w:vAlign w:val="center"/>
          </w:tcPr>
          <w:p>
            <w:pPr>
              <w:spacing w:line="360" w:lineRule="auto"/>
              <w:ind w:left="152"/>
              <w:jc w:val="center"/>
              <w:rPr>
                <w:rFonts w:ascii="宋体"/>
                <w:b/>
                <w:color w:val="auto"/>
                <w:sz w:val="24"/>
                <w:highlight w:val="none"/>
              </w:rPr>
            </w:pPr>
            <w:r>
              <w:rPr>
                <w:rFonts w:hint="eastAsia" w:ascii="宋体" w:hAnsi="宋体"/>
                <w:b/>
                <w:color w:val="auto"/>
                <w:sz w:val="24"/>
                <w:highlight w:val="none"/>
              </w:rPr>
              <w:t>数量</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单价</w:t>
            </w:r>
          </w:p>
        </w:tc>
        <w:tc>
          <w:tcPr>
            <w:tcW w:w="992"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小计</w:t>
            </w:r>
          </w:p>
        </w:tc>
        <w:tc>
          <w:tcPr>
            <w:tcW w:w="709" w:type="dxa"/>
            <w:vAlign w:val="center"/>
          </w:tcPr>
          <w:p>
            <w:pPr>
              <w:spacing w:line="360" w:lineRule="auto"/>
              <w:jc w:val="center"/>
              <w:rPr>
                <w:rFonts w:asci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vAlign w:val="center"/>
          </w:tcPr>
          <w:p>
            <w:pPr>
              <w:spacing w:line="360" w:lineRule="auto"/>
              <w:jc w:val="center"/>
              <w:rPr>
                <w:rFonts w:ascii="宋体"/>
                <w:color w:val="auto"/>
                <w:sz w:val="24"/>
                <w:highlight w:val="none"/>
              </w:rPr>
            </w:pPr>
          </w:p>
        </w:tc>
        <w:tc>
          <w:tcPr>
            <w:tcW w:w="1460"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1559" w:type="dxa"/>
            <w:vAlign w:val="center"/>
          </w:tcPr>
          <w:p>
            <w:pPr>
              <w:spacing w:line="360" w:lineRule="auto"/>
              <w:jc w:val="center"/>
              <w:rPr>
                <w:rFonts w:ascii="宋体"/>
                <w:color w:val="auto"/>
                <w:sz w:val="24"/>
                <w:highlight w:val="none"/>
              </w:rPr>
            </w:pPr>
          </w:p>
        </w:tc>
        <w:tc>
          <w:tcPr>
            <w:tcW w:w="851"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992" w:type="dxa"/>
            <w:vAlign w:val="center"/>
          </w:tcPr>
          <w:p>
            <w:pPr>
              <w:spacing w:line="360" w:lineRule="auto"/>
              <w:jc w:val="center"/>
              <w:rPr>
                <w:rFonts w:ascii="宋体"/>
                <w:color w:val="auto"/>
                <w:sz w:val="24"/>
                <w:highlight w:val="none"/>
              </w:rPr>
            </w:pPr>
          </w:p>
        </w:tc>
        <w:tc>
          <w:tcPr>
            <w:tcW w:w="709" w:type="dxa"/>
            <w:vAlign w:val="center"/>
          </w:tcPr>
          <w:p>
            <w:pPr>
              <w:spacing w:line="360" w:lineRule="auto"/>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647" w:type="dxa"/>
            <w:gridSpan w:val="8"/>
            <w:vAlign w:val="center"/>
          </w:tcPr>
          <w:p>
            <w:pPr>
              <w:spacing w:line="360" w:lineRule="auto"/>
              <w:rPr>
                <w:rFonts w:ascii="宋体"/>
                <w:b/>
                <w:color w:val="auto"/>
                <w:sz w:val="24"/>
                <w:highlight w:val="none"/>
              </w:rPr>
            </w:pPr>
            <w:r>
              <w:rPr>
                <w:rFonts w:hint="eastAsia" w:ascii="宋体" w:hAnsi="宋体"/>
                <w:b/>
                <w:color w:val="auto"/>
                <w:sz w:val="24"/>
                <w:highlight w:val="none"/>
              </w:rPr>
              <w:t>合计人民币：大写</w:t>
            </w:r>
            <w:r>
              <w:rPr>
                <w:rFonts w:ascii="宋体" w:hAnsi="宋体"/>
                <w:b/>
                <w:color w:val="auto"/>
                <w:sz w:val="24"/>
                <w:highlight w:val="none"/>
              </w:rPr>
              <w:t xml:space="preserve">                               </w:t>
            </w:r>
            <w:r>
              <w:rPr>
                <w:rFonts w:hint="eastAsia" w:ascii="宋体" w:hAnsi="宋体"/>
                <w:b/>
                <w:color w:val="auto"/>
                <w:sz w:val="24"/>
                <w:highlight w:val="none"/>
              </w:rPr>
              <w:t>小写</w:t>
            </w:r>
          </w:p>
        </w:tc>
      </w:tr>
    </w:tbl>
    <w:p>
      <w:pPr>
        <w:bidi w:val="0"/>
        <w:spacing w:line="360" w:lineRule="auto"/>
        <w:jc w:val="left"/>
        <w:rPr>
          <w:rFonts w:hint="eastAsia" w:ascii="宋体" w:hAnsi="宋体" w:eastAsia="宋体" w:cs="宋体"/>
          <w:b/>
          <w:bCs/>
          <w:color w:val="auto"/>
          <w:sz w:val="24"/>
          <w:szCs w:val="32"/>
          <w:highlight w:val="none"/>
          <w:lang w:val="en-US" w:eastAsia="zh-CN"/>
        </w:rPr>
      </w:pPr>
    </w:p>
    <w:p>
      <w:pPr>
        <w:bidi w:val="0"/>
        <w:spacing w:line="360" w:lineRule="auto"/>
        <w:jc w:val="left"/>
        <w:rPr>
          <w:rFonts w:hint="eastAsia"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要求：</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r>
        <w:rPr>
          <w:rFonts w:hint="eastAsia" w:ascii="宋体" w:hAnsi="宋体" w:eastAsia="宋体" w:cs="宋体"/>
          <w:b w:val="0"/>
          <w:bCs w:val="0"/>
          <w:color w:val="auto"/>
          <w:sz w:val="24"/>
          <w:szCs w:val="32"/>
          <w:highlight w:val="none"/>
          <w:lang w:val="en-US" w:eastAsia="zh-CN"/>
        </w:rPr>
        <w:t>1.本表为《开标一览表》的报价明细表，如有缺项、漏项，视为投标报价中已包含相关费用，采购人无需另外支付任何费用。</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2.</w:t>
      </w:r>
      <w:r>
        <w:rPr>
          <w:rFonts w:hint="eastAsia" w:ascii="宋体" w:hAnsi="宋体" w:eastAsia="宋体" w:cs="宋体"/>
          <w:b w:val="0"/>
          <w:bCs w:val="0"/>
          <w:color w:val="auto"/>
          <w:sz w:val="24"/>
          <w:szCs w:val="32"/>
          <w:highlight w:val="none"/>
          <w:lang w:val="zh-CN" w:eastAsia="zh-CN"/>
        </w:rPr>
        <w:t>“报价明细表”中的报价合计应与“开标一览表”中的投标总报价相一致，不一致时，以开标一览表为准。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en-US" w:eastAsia="zh-CN"/>
        </w:rPr>
        <w:t>3.</w:t>
      </w:r>
      <w:r>
        <w:rPr>
          <w:rFonts w:hint="eastAsia" w:ascii="宋体" w:hAnsi="宋体" w:eastAsia="宋体" w:cs="宋体"/>
          <w:b w:val="0"/>
          <w:bCs w:val="0"/>
          <w:color w:val="auto"/>
          <w:sz w:val="24"/>
          <w:szCs w:val="32"/>
          <w:highlight w:val="none"/>
          <w:lang w:val="zh-CN" w:eastAsia="zh-CN"/>
        </w:rPr>
        <w:t>投标报价明细表所填内容按招标文件采购设备清单要求为准。如有漏报的，视同已包含在投标总价内或已作优惠处理。有重大缺项的将作无效标处理。</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zh-CN" w:eastAsia="zh-CN"/>
        </w:rPr>
      </w:pPr>
      <w:r>
        <w:rPr>
          <w:rFonts w:hint="eastAsia" w:ascii="宋体" w:hAnsi="宋体" w:eastAsia="宋体" w:cs="宋体"/>
          <w:b w:val="0"/>
          <w:bCs w:val="0"/>
          <w:color w:val="auto"/>
          <w:sz w:val="24"/>
          <w:szCs w:val="32"/>
          <w:highlight w:val="none"/>
          <w:lang w:val="zh-CN" w:eastAsia="zh-CN"/>
        </w:rPr>
        <w:t>4.本表中的型号规格必须明确，招标文件中明确要求定制的除外。</w:t>
      </w:r>
    </w:p>
    <w:p>
      <w:pPr>
        <w:bidi w:val="0"/>
        <w:spacing w:line="360" w:lineRule="auto"/>
        <w:ind w:firstLine="480" w:firstLineChars="200"/>
        <w:jc w:val="left"/>
        <w:rPr>
          <w:rFonts w:hint="eastAsia" w:ascii="宋体" w:hAnsi="宋体" w:eastAsia="宋体" w:cs="宋体"/>
          <w:b w:val="0"/>
          <w:bCs w:val="0"/>
          <w:color w:val="auto"/>
          <w:sz w:val="24"/>
          <w:szCs w:val="32"/>
          <w:highlight w:val="none"/>
          <w:lang w:val="en-US" w:eastAsia="zh-CN"/>
        </w:rPr>
      </w:pPr>
    </w:p>
    <w:p>
      <w:pPr>
        <w:spacing w:line="480" w:lineRule="auto"/>
        <w:rPr>
          <w:rFonts w:hint="default" w:ascii="宋体" w:hAnsi="宋体" w:eastAsia="宋体"/>
          <w:color w:val="auto"/>
          <w:sz w:val="24"/>
          <w:highlight w:val="none"/>
          <w:lang w:val="en-US" w:eastAsia="zh-CN"/>
        </w:rPr>
      </w:pPr>
      <w:r>
        <w:rPr>
          <w:rFonts w:hint="eastAsia" w:ascii="宋体" w:hAnsi="宋体"/>
          <w:color w:val="auto"/>
          <w:sz w:val="24"/>
          <w:highlight w:val="none"/>
        </w:rPr>
        <w:t>投标人名称（盖章</w:t>
      </w:r>
      <w:r>
        <w:rPr>
          <w:rFonts w:hint="eastAsia" w:ascii="宋体" w:hAnsi="宋体"/>
          <w:color w:val="auto"/>
          <w:sz w:val="24"/>
          <w:highlight w:val="none"/>
          <w:lang w:eastAsia="zh-CN"/>
        </w:rPr>
        <w:t>）</w:t>
      </w:r>
      <w:r>
        <w:rPr>
          <w:rFonts w:hint="eastAsia" w:ascii="宋体" w:hAnsi="宋体"/>
          <w:color w:val="auto"/>
          <w:sz w:val="24"/>
          <w:highlight w:val="none"/>
        </w:rPr>
        <w:t>：</w:t>
      </w:r>
      <w:r>
        <w:rPr>
          <w:rFonts w:hint="eastAsia" w:ascii="宋体" w:hAnsi="宋体"/>
          <w:color w:val="auto"/>
          <w:sz w:val="24"/>
          <w:highlight w:val="none"/>
          <w:u w:val="single"/>
          <w:lang w:val="en-US" w:eastAsia="zh-CN"/>
        </w:rPr>
        <w:t xml:space="preserve">                         </w:t>
      </w:r>
    </w:p>
    <w:p>
      <w:pPr>
        <w:spacing w:line="480" w:lineRule="auto"/>
        <w:rPr>
          <w:rFonts w:ascii="宋体" w:hAnsi="宋体"/>
          <w:color w:val="auto"/>
          <w:sz w:val="24"/>
          <w:highlight w:val="none"/>
        </w:rPr>
      </w:pPr>
      <w:r>
        <w:rPr>
          <w:rFonts w:hint="eastAsia" w:ascii="宋体" w:hAnsi="宋体"/>
          <w:color w:val="auto"/>
          <w:sz w:val="24"/>
          <w:highlight w:val="none"/>
          <w:lang w:eastAsia="zh-CN"/>
        </w:rPr>
        <w:t>授权委托代理人签字</w:t>
      </w:r>
      <w:r>
        <w:rPr>
          <w:rFonts w:hint="eastAsia" w:ascii="宋体" w:hAnsi="宋体"/>
          <w:color w:val="auto"/>
          <w:sz w:val="24"/>
          <w:highlight w:val="none"/>
        </w:rPr>
        <w:t>或盖章：</w:t>
      </w:r>
      <w:r>
        <w:rPr>
          <w:rFonts w:hint="eastAsia" w:ascii="宋体" w:hAnsi="宋体"/>
          <w:color w:val="auto"/>
          <w:sz w:val="24"/>
          <w:highlight w:val="none"/>
          <w:u w:val="single"/>
          <w:lang w:val="en-US" w:eastAsia="zh-CN"/>
        </w:rPr>
        <w:t xml:space="preserve">                   </w:t>
      </w:r>
    </w:p>
    <w:p>
      <w:pPr>
        <w:spacing w:line="480" w:lineRule="auto"/>
        <w:rPr>
          <w:rFonts w:hint="eastAsia"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lang w:val="en-US" w:eastAsia="zh-CN"/>
        </w:rPr>
        <w:t xml:space="preserve">                         </w:t>
      </w:r>
    </w:p>
    <w:p>
      <w:pPr>
        <w:bidi w:val="0"/>
        <w:spacing w:line="360" w:lineRule="auto"/>
        <w:rPr>
          <w:rFonts w:hint="eastAsia" w:ascii="宋体" w:hAnsi="宋体" w:eastAsia="宋体" w:cs="宋体"/>
          <w:b w:val="0"/>
          <w:bCs w:val="0"/>
          <w:color w:val="auto"/>
          <w:sz w:val="24"/>
          <w:szCs w:val="32"/>
          <w:highlight w:val="none"/>
        </w:rPr>
      </w:pPr>
    </w:p>
    <w:p>
      <w:pPr>
        <w:pStyle w:val="5"/>
        <w:rPr>
          <w:rFonts w:hint="eastAsia"/>
          <w:color w:val="auto"/>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w:t>
      </w:r>
      <w:r>
        <w:rPr>
          <w:rFonts w:hint="eastAsia" w:ascii="宋体" w:hAnsi="宋体" w:cs="宋体"/>
          <w:b/>
          <w:bCs/>
          <w:color w:val="auto"/>
          <w:sz w:val="28"/>
          <w:szCs w:val="36"/>
          <w:highlight w:val="none"/>
          <w:lang w:val="en-US" w:eastAsia="zh-CN"/>
        </w:rPr>
        <w:t>1</w:t>
      </w:r>
    </w:p>
    <w:p>
      <w:pPr>
        <w:spacing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lang w:val="en-US" w:eastAsia="zh-CN"/>
        </w:rPr>
        <w:t>中小企业声明函（货物）</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本公司郑重声明，根据《政府采购促进中小企业发展管理办法》（财库﹝2020﹞46 号）的规定，本公司参加</w:t>
      </w:r>
      <w:r>
        <w:rPr>
          <w:rFonts w:hint="eastAsia" w:ascii="宋体" w:hAnsi="宋体"/>
          <w:b w:val="0"/>
          <w:bCs/>
          <w:color w:val="auto"/>
          <w:sz w:val="24"/>
          <w:szCs w:val="24"/>
          <w:highlight w:val="none"/>
          <w:u w:val="single"/>
          <w:lang w:val="en-US" w:eastAsia="zh-CN"/>
        </w:rPr>
        <w:t>（单位名称）</w:t>
      </w:r>
      <w:r>
        <w:rPr>
          <w:rFonts w:hint="eastAsia" w:ascii="宋体" w:hAnsi="宋体"/>
          <w:b w:val="0"/>
          <w:bCs/>
          <w:color w:val="auto"/>
          <w:sz w:val="24"/>
          <w:szCs w:val="24"/>
          <w:highlight w:val="none"/>
          <w:lang w:val="en-US" w:eastAsia="zh-CN"/>
        </w:rPr>
        <w:t>的</w:t>
      </w:r>
      <w:r>
        <w:rPr>
          <w:rFonts w:hint="eastAsia" w:ascii="宋体" w:hAnsi="宋体"/>
          <w:b w:val="0"/>
          <w:bCs/>
          <w:color w:val="auto"/>
          <w:sz w:val="24"/>
          <w:szCs w:val="24"/>
          <w:highlight w:val="none"/>
          <w:u w:val="single"/>
          <w:lang w:val="en-US" w:eastAsia="zh-CN"/>
        </w:rPr>
        <w:t>（项目名称）</w:t>
      </w:r>
      <w:r>
        <w:rPr>
          <w:rFonts w:hint="eastAsia" w:ascii="宋体" w:hAnsi="宋体"/>
          <w:b w:val="0"/>
          <w:bCs/>
          <w:color w:val="auto"/>
          <w:sz w:val="24"/>
          <w:szCs w:val="24"/>
          <w:highlight w:val="none"/>
          <w:lang w:val="en-US" w:eastAsia="zh-CN"/>
        </w:rPr>
        <w:t xml:space="preserve">采购活动，提供的货物全部由符合政策要求的中小企业制造。相关企业的具体情况如下： </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1.</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w:t>
      </w:r>
      <w:r>
        <w:rPr>
          <w:rStyle w:val="33"/>
          <w:rFonts w:hint="eastAsia" w:ascii="宋体" w:hAnsi="宋体"/>
          <w:b w:val="0"/>
          <w:bCs/>
          <w:color w:val="auto"/>
          <w:sz w:val="24"/>
          <w:szCs w:val="24"/>
          <w:highlight w:val="none"/>
          <w:lang w:val="en-US" w:eastAsia="zh-CN"/>
        </w:rPr>
        <w:footnoteReference w:id="0"/>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2.</w:t>
      </w:r>
      <w:r>
        <w:rPr>
          <w:rFonts w:hint="eastAsia" w:ascii="宋体" w:hAnsi="宋体"/>
          <w:b w:val="0"/>
          <w:bCs/>
          <w:color w:val="auto"/>
          <w:sz w:val="24"/>
          <w:szCs w:val="24"/>
          <w:highlight w:val="none"/>
          <w:u w:val="single"/>
          <w:lang w:val="en-US" w:eastAsia="zh-CN"/>
        </w:rPr>
        <w:t>（标的名称）</w:t>
      </w:r>
      <w:r>
        <w:rPr>
          <w:rFonts w:hint="eastAsia" w:ascii="宋体" w:hAnsi="宋体"/>
          <w:b w:val="0"/>
          <w:bCs/>
          <w:color w:val="auto"/>
          <w:sz w:val="24"/>
          <w:szCs w:val="24"/>
          <w:highlight w:val="none"/>
          <w:lang w:val="en-US" w:eastAsia="zh-CN"/>
        </w:rPr>
        <w:t>，属于</w:t>
      </w:r>
      <w:r>
        <w:rPr>
          <w:rFonts w:hint="eastAsia" w:ascii="宋体" w:hAnsi="宋体"/>
          <w:b w:val="0"/>
          <w:bCs/>
          <w:color w:val="auto"/>
          <w:sz w:val="24"/>
          <w:szCs w:val="24"/>
          <w:highlight w:val="none"/>
          <w:u w:val="single"/>
          <w:lang w:val="en-US" w:eastAsia="zh-CN"/>
        </w:rPr>
        <w:t>（采购文件中明确的所属行业）</w:t>
      </w:r>
      <w:r>
        <w:rPr>
          <w:rFonts w:hint="eastAsia" w:ascii="宋体" w:hAnsi="宋体"/>
          <w:b w:val="0"/>
          <w:bCs/>
          <w:color w:val="auto"/>
          <w:sz w:val="24"/>
          <w:szCs w:val="24"/>
          <w:highlight w:val="none"/>
          <w:lang w:val="en-US" w:eastAsia="zh-CN"/>
        </w:rPr>
        <w:t>行业；制造商为</w:t>
      </w:r>
      <w:r>
        <w:rPr>
          <w:rFonts w:hint="eastAsia" w:ascii="宋体" w:hAnsi="宋体"/>
          <w:b w:val="0"/>
          <w:bCs/>
          <w:color w:val="auto"/>
          <w:sz w:val="24"/>
          <w:szCs w:val="24"/>
          <w:highlight w:val="none"/>
          <w:u w:val="single"/>
          <w:lang w:val="en-US" w:eastAsia="zh-CN"/>
        </w:rPr>
        <w:t>（企业名称）</w:t>
      </w:r>
      <w:r>
        <w:rPr>
          <w:rFonts w:hint="eastAsia" w:ascii="宋体" w:hAnsi="宋体"/>
          <w:b w:val="0"/>
          <w:bCs/>
          <w:color w:val="auto"/>
          <w:sz w:val="24"/>
          <w:szCs w:val="24"/>
          <w:highlight w:val="none"/>
          <w:lang w:val="en-US" w:eastAsia="zh-CN"/>
        </w:rPr>
        <w:t>，从业人员</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人，营业收入为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万元，资产总额为</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万元，属于</w:t>
      </w:r>
      <w:r>
        <w:rPr>
          <w:rFonts w:hint="eastAsia" w:ascii="宋体" w:hAnsi="宋体"/>
          <w:b w:val="0"/>
          <w:bCs/>
          <w:color w:val="auto"/>
          <w:sz w:val="24"/>
          <w:szCs w:val="24"/>
          <w:highlight w:val="none"/>
          <w:u w:val="single"/>
          <w:lang w:val="en-US" w:eastAsia="zh-CN"/>
        </w:rPr>
        <w:t>（中型企业、小型企业、微型企业）</w:t>
      </w: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 xml:space="preserve">本企业对上述声明内容的真实性负责。如有虚假，将依法承担相应责任。 </w:t>
      </w:r>
    </w:p>
    <w:p>
      <w:pPr>
        <w:spacing w:line="360" w:lineRule="auto"/>
        <w:jc w:val="left"/>
        <w:rPr>
          <w:rFonts w:hint="eastAsia" w:ascii="宋体" w:hAnsi="宋体"/>
          <w:b w:val="0"/>
          <w:bCs/>
          <w:color w:val="auto"/>
          <w:sz w:val="24"/>
          <w:szCs w:val="24"/>
          <w:highlight w:val="none"/>
          <w:lang w:val="en-US" w:eastAsia="zh-CN"/>
        </w:rPr>
      </w:pP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企业名称（盖章）：</w:t>
      </w:r>
    </w:p>
    <w:p>
      <w:pPr>
        <w:spacing w:line="360" w:lineRule="auto"/>
        <w:ind w:firstLine="4800" w:firstLineChars="20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    期：</w:t>
      </w: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jc w:val="left"/>
        <w:rPr>
          <w:rFonts w:hint="eastAsia" w:ascii="宋体" w:hAnsi="宋体"/>
          <w:b w:val="0"/>
          <w:bCs/>
          <w:color w:val="auto"/>
          <w:sz w:val="24"/>
          <w:szCs w:val="24"/>
          <w:highlight w:val="none"/>
          <w:lang w:val="en-US" w:eastAsia="zh-CN"/>
        </w:rPr>
      </w:pPr>
    </w:p>
    <w:p>
      <w:pPr>
        <w:spacing w:line="360" w:lineRule="auto"/>
        <w:ind w:left="-2" w:hanging="2"/>
        <w:jc w:val="center"/>
        <w:rPr>
          <w:rFonts w:hint="eastAsia" w:ascii="宋体" w:hAnsi="宋体" w:eastAsia="宋体" w:cs="Times New Roman"/>
          <w:b/>
          <w:color w:val="auto"/>
          <w:sz w:val="32"/>
          <w:szCs w:val="32"/>
          <w:highlight w:val="none"/>
          <w:lang w:val="en-GB"/>
        </w:rPr>
      </w:pPr>
      <w:r>
        <w:rPr>
          <w:rFonts w:hint="eastAsia" w:ascii="宋体" w:hAnsi="宋体" w:eastAsia="宋体" w:cs="Times New Roman"/>
          <w:b/>
          <w:color w:val="auto"/>
          <w:sz w:val="32"/>
          <w:szCs w:val="32"/>
          <w:highlight w:val="none"/>
          <w:lang w:val="en-GB"/>
        </w:rPr>
        <w:t>残疾人福利性单位声明函</w:t>
      </w:r>
    </w:p>
    <w:p>
      <w:pP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的规定，本单位为符合条件的残疾人福利性单位，且本单位参加单位的项目采购活动提供本单位制造的货物（由本单位承担工程/提供服务</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，或者提供其他残疾人福利性单位制造的货物（不包括使用非残疾人福利性单位注册商标的货物</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p>
    <w:p>
      <w:pPr>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bidi w:val="0"/>
        <w:spacing w:line="360" w:lineRule="auto"/>
        <w:ind w:firstLine="480" w:firstLineChars="200"/>
        <w:rPr>
          <w:rFonts w:hint="eastAsia" w:ascii="宋体" w:hAnsi="宋体" w:eastAsia="宋体" w:cs="宋体"/>
          <w:color w:val="auto"/>
          <w:sz w:val="24"/>
          <w:szCs w:val="24"/>
          <w:highlight w:val="none"/>
        </w:rPr>
      </w:pPr>
    </w:p>
    <w:p>
      <w:pPr>
        <w:spacing w:line="360" w:lineRule="auto"/>
        <w:ind w:firstLine="3120" w:firstLineChars="1300"/>
        <w:jc w:val="left"/>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单位名称（单位公章）：</w:t>
      </w:r>
    </w:p>
    <w:p>
      <w:pPr>
        <w:spacing w:line="360" w:lineRule="auto"/>
        <w:ind w:firstLine="5040" w:firstLineChars="2100"/>
        <w:jc w:val="both"/>
        <w:rPr>
          <w:rFonts w:hint="eastAsia" w:ascii="宋体" w:hAnsi="宋体"/>
          <w:b w:val="0"/>
          <w:bCs/>
          <w:color w:val="auto"/>
          <w:sz w:val="24"/>
          <w:szCs w:val="24"/>
          <w:highlight w:val="none"/>
          <w:lang w:val="en-US" w:eastAsia="zh-CN"/>
        </w:rPr>
      </w:pPr>
      <w:r>
        <w:rPr>
          <w:rFonts w:hint="eastAsia" w:ascii="宋体" w:hAnsi="宋体"/>
          <w:b w:val="0"/>
          <w:bCs/>
          <w:color w:val="auto"/>
          <w:sz w:val="24"/>
          <w:szCs w:val="24"/>
          <w:highlight w:val="none"/>
          <w:lang w:val="en-US" w:eastAsia="zh-CN"/>
        </w:rPr>
        <w:t>日期：</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年</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月</w:t>
      </w:r>
      <w:r>
        <w:rPr>
          <w:rFonts w:hint="eastAsia" w:ascii="宋体" w:hAnsi="宋体"/>
          <w:b w:val="0"/>
          <w:bCs/>
          <w:color w:val="auto"/>
          <w:sz w:val="24"/>
          <w:szCs w:val="24"/>
          <w:highlight w:val="none"/>
          <w:u w:val="single"/>
          <w:lang w:val="en-US" w:eastAsia="zh-CN"/>
        </w:rPr>
        <w:t xml:space="preserve">    </w:t>
      </w:r>
      <w:r>
        <w:rPr>
          <w:rFonts w:hint="eastAsia" w:ascii="宋体" w:hAnsi="宋体"/>
          <w:b w:val="0"/>
          <w:bCs/>
          <w:color w:val="auto"/>
          <w:sz w:val="24"/>
          <w:szCs w:val="24"/>
          <w:highlight w:val="none"/>
          <w:lang w:val="en-US" w:eastAsia="zh-CN"/>
        </w:rPr>
        <w:t>日</w:t>
      </w:r>
    </w:p>
    <w:p>
      <w:pPr>
        <w:pStyle w:val="9"/>
        <w:rPr>
          <w:rFonts w:hint="eastAsia" w:ascii="宋体" w:hAnsi="宋体"/>
          <w:b w:val="0"/>
          <w:bCs/>
          <w:color w:val="auto"/>
          <w:sz w:val="24"/>
          <w:szCs w:val="24"/>
          <w:highlight w:val="none"/>
          <w:lang w:val="en-US" w:eastAsia="zh-CN"/>
        </w:rPr>
      </w:pPr>
    </w:p>
    <w:p>
      <w:pPr>
        <w:pStyle w:val="26"/>
        <w:rPr>
          <w:rFonts w:hint="eastAsia" w:ascii="宋体" w:hAnsi="宋体"/>
          <w:b w:val="0"/>
          <w:bCs/>
          <w:color w:val="auto"/>
          <w:sz w:val="24"/>
          <w:szCs w:val="24"/>
          <w:highlight w:val="none"/>
          <w:lang w:val="en-US" w:eastAsia="zh-CN"/>
        </w:rPr>
      </w:pPr>
    </w:p>
    <w:p>
      <w:pPr>
        <w:pStyle w:val="2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26"/>
        <w:rPr>
          <w:rFonts w:hint="eastAsia" w:ascii="宋体" w:hAnsi="宋体"/>
          <w:b w:val="0"/>
          <w:bCs/>
          <w:color w:val="auto"/>
          <w:sz w:val="24"/>
          <w:szCs w:val="24"/>
          <w:highlight w:val="none"/>
          <w:lang w:val="en-US" w:eastAsia="zh-CN"/>
        </w:rPr>
      </w:pPr>
    </w:p>
    <w:p>
      <w:pPr>
        <w:pStyle w:val="2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26"/>
        <w:rPr>
          <w:rFonts w:hint="eastAsia" w:ascii="宋体" w:hAnsi="宋体"/>
          <w:b w:val="0"/>
          <w:bCs/>
          <w:color w:val="auto"/>
          <w:sz w:val="24"/>
          <w:szCs w:val="24"/>
          <w:highlight w:val="none"/>
          <w:lang w:val="en-US" w:eastAsia="zh-CN"/>
        </w:rPr>
      </w:pPr>
    </w:p>
    <w:p>
      <w:pPr>
        <w:pStyle w:val="2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26"/>
        <w:rPr>
          <w:rFonts w:hint="eastAsia" w:ascii="宋体" w:hAnsi="宋体"/>
          <w:b w:val="0"/>
          <w:bCs/>
          <w:color w:val="auto"/>
          <w:sz w:val="24"/>
          <w:szCs w:val="24"/>
          <w:highlight w:val="none"/>
          <w:lang w:val="en-US" w:eastAsia="zh-CN"/>
        </w:rPr>
      </w:pPr>
    </w:p>
    <w:p>
      <w:pPr>
        <w:pStyle w:val="2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pStyle w:val="26"/>
        <w:rPr>
          <w:rFonts w:hint="eastAsia" w:ascii="宋体" w:hAnsi="宋体"/>
          <w:b w:val="0"/>
          <w:bCs/>
          <w:color w:val="auto"/>
          <w:sz w:val="24"/>
          <w:szCs w:val="24"/>
          <w:highlight w:val="none"/>
          <w:lang w:val="en-US" w:eastAsia="zh-CN"/>
        </w:rPr>
      </w:pPr>
    </w:p>
    <w:p>
      <w:pPr>
        <w:pStyle w:val="21"/>
        <w:rPr>
          <w:rFonts w:hint="eastAsia" w:ascii="宋体" w:hAnsi="宋体"/>
          <w:b w:val="0"/>
          <w:bCs/>
          <w:color w:val="auto"/>
          <w:sz w:val="24"/>
          <w:szCs w:val="24"/>
          <w:highlight w:val="none"/>
          <w:lang w:val="en-US" w:eastAsia="zh-CN"/>
        </w:rPr>
      </w:pPr>
    </w:p>
    <w:p>
      <w:pPr>
        <w:rPr>
          <w:rFonts w:hint="eastAsia" w:ascii="宋体" w:hAnsi="宋体"/>
          <w:b w:val="0"/>
          <w:bCs/>
          <w:color w:val="auto"/>
          <w:sz w:val="24"/>
          <w:szCs w:val="24"/>
          <w:highlight w:val="none"/>
          <w:lang w:val="en-US" w:eastAsia="zh-CN"/>
        </w:rPr>
      </w:pPr>
    </w:p>
    <w:p>
      <w:pPr>
        <w:pStyle w:val="9"/>
        <w:rPr>
          <w:rFonts w:hint="eastAsia" w:ascii="宋体" w:hAnsi="宋体"/>
          <w:b w:val="0"/>
          <w:bCs/>
          <w:color w:val="auto"/>
          <w:sz w:val="24"/>
          <w:szCs w:val="24"/>
          <w:highlight w:val="none"/>
          <w:lang w:val="en-US" w:eastAsia="zh-CN"/>
        </w:rPr>
      </w:pPr>
    </w:p>
    <w:p>
      <w:pPr>
        <w:spacing w:line="360" w:lineRule="auto"/>
        <w:jc w:val="left"/>
        <w:rPr>
          <w:rFonts w:hint="eastAsia" w:ascii="宋体" w:hAnsi="宋体" w:eastAsia="宋体" w:cs="宋体"/>
          <w:bCs/>
          <w:color w:val="auto"/>
          <w:sz w:val="24"/>
          <w:highlight w:val="none"/>
        </w:rPr>
      </w:pPr>
    </w:p>
    <w:p>
      <w:pPr>
        <w:pStyle w:val="9"/>
        <w:rPr>
          <w:rFonts w:hint="eastAsia" w:ascii="宋体" w:hAnsi="宋体" w:eastAsia="宋体" w:cs="宋体"/>
          <w:bCs/>
          <w:color w:val="auto"/>
          <w:sz w:val="24"/>
          <w:highlight w:val="none"/>
        </w:rPr>
      </w:pPr>
    </w:p>
    <w:p>
      <w:pPr>
        <w:pStyle w:val="26"/>
        <w:rPr>
          <w:rFonts w:hint="eastAsia" w:ascii="宋体" w:hAnsi="宋体" w:eastAsia="宋体" w:cs="宋体"/>
          <w:bCs/>
          <w:color w:val="auto"/>
          <w:sz w:val="24"/>
          <w:highlight w:val="none"/>
        </w:rPr>
      </w:pPr>
    </w:p>
    <w:p>
      <w:pPr>
        <w:pStyle w:val="21"/>
        <w:rPr>
          <w:rFonts w:hint="eastAsia" w:ascii="宋体" w:hAnsi="宋体" w:eastAsia="宋体" w:cs="宋体"/>
          <w:bCs/>
          <w:color w:val="auto"/>
          <w:sz w:val="24"/>
          <w:highlight w:val="none"/>
        </w:rPr>
      </w:pPr>
    </w:p>
    <w:p>
      <w:pPr>
        <w:rPr>
          <w:rFonts w:hint="eastAsia" w:ascii="宋体" w:hAnsi="宋体" w:eastAsia="宋体" w:cs="宋体"/>
          <w:bCs/>
          <w:color w:val="auto"/>
          <w:sz w:val="24"/>
          <w:highlight w:val="none"/>
        </w:rPr>
      </w:pPr>
    </w:p>
    <w:p>
      <w:pPr>
        <w:spacing w:line="360" w:lineRule="auto"/>
        <w:rPr>
          <w:rFonts w:hint="default" w:ascii="宋体" w:hAnsi="宋体" w:eastAsia="宋体" w:cs="宋体"/>
          <w:b/>
          <w:bCs/>
          <w:color w:val="auto"/>
          <w:sz w:val="28"/>
          <w:szCs w:val="36"/>
          <w:highlight w:val="none"/>
          <w:lang w:val="en-US" w:eastAsia="zh-CN"/>
        </w:rPr>
      </w:pPr>
      <w:r>
        <w:rPr>
          <w:rFonts w:hint="eastAsia" w:ascii="宋体" w:hAnsi="宋体" w:eastAsia="宋体" w:cs="宋体"/>
          <w:b/>
          <w:bCs/>
          <w:color w:val="auto"/>
          <w:sz w:val="28"/>
          <w:szCs w:val="36"/>
          <w:highlight w:val="none"/>
        </w:rPr>
        <w:t>附件</w:t>
      </w:r>
      <w:r>
        <w:rPr>
          <w:rFonts w:hint="eastAsia" w:ascii="宋体" w:hAnsi="宋体" w:eastAsia="宋体" w:cs="宋体"/>
          <w:b/>
          <w:bCs/>
          <w:color w:val="auto"/>
          <w:sz w:val="28"/>
          <w:szCs w:val="36"/>
          <w:highlight w:val="none"/>
          <w:lang w:val="en-US" w:eastAsia="zh-CN"/>
        </w:rPr>
        <w:t>2</w:t>
      </w:r>
      <w:r>
        <w:rPr>
          <w:rFonts w:hint="eastAsia" w:ascii="宋体" w:hAnsi="宋体" w:cs="宋体"/>
          <w:b/>
          <w:bCs/>
          <w:color w:val="auto"/>
          <w:sz w:val="28"/>
          <w:szCs w:val="36"/>
          <w:highlight w:val="none"/>
          <w:lang w:val="en-US" w:eastAsia="zh-CN"/>
        </w:rPr>
        <w:t>2</w:t>
      </w:r>
    </w:p>
    <w:p>
      <w:pPr>
        <w:spacing w:line="400" w:lineRule="exact"/>
        <w:jc w:val="center"/>
        <w:rPr>
          <w:rFonts w:hint="eastAsia" w:ascii="宋体" w:hAnsi="宋体"/>
          <w:b/>
          <w:color w:val="auto"/>
          <w:sz w:val="28"/>
          <w:szCs w:val="28"/>
          <w:highlight w:val="none"/>
          <w:lang w:val="en-GB"/>
        </w:rPr>
      </w:pPr>
      <w:r>
        <w:rPr>
          <w:rFonts w:hint="eastAsia" w:ascii="宋体" w:hAnsi="宋体"/>
          <w:b/>
          <w:color w:val="auto"/>
          <w:sz w:val="28"/>
          <w:szCs w:val="28"/>
          <w:highlight w:val="none"/>
          <w:lang w:val="en-GB"/>
        </w:rPr>
        <w:t>政府采购活动确认声明书</w:t>
      </w:r>
    </w:p>
    <w:p>
      <w:pPr>
        <w:snapToGrid w:val="0"/>
        <w:spacing w:line="380" w:lineRule="exact"/>
        <w:rPr>
          <w:rFonts w:hint="eastAsia" w:ascii="宋体" w:hAnsi="宋体" w:cs="宋体"/>
          <w:b/>
          <w:color w:val="auto"/>
          <w:sz w:val="24"/>
          <w:highlight w:val="none"/>
        </w:rPr>
      </w:pPr>
      <w:r>
        <w:rPr>
          <w:rFonts w:hint="eastAsia" w:ascii="宋体" w:hAnsi="宋体" w:cs="宋体"/>
          <w:color w:val="auto"/>
          <w:kern w:val="0"/>
          <w:sz w:val="24"/>
          <w:highlight w:val="none"/>
          <w:u w:val="single"/>
        </w:rPr>
        <w:t>浙江五石中正工程咨询有限公司</w:t>
      </w:r>
      <w:r>
        <w:rPr>
          <w:rFonts w:hint="eastAsia" w:ascii="宋体" w:hAnsi="宋体" w:cs="宋体"/>
          <w:color w:val="auto"/>
          <w:kern w:val="0"/>
          <w:sz w:val="24"/>
          <w:highlight w:val="none"/>
        </w:rPr>
        <w:t>（采购组织机构名称）：</w:t>
      </w:r>
    </w:p>
    <w:p>
      <w:pPr>
        <w:widowControl/>
        <w:spacing w:line="380" w:lineRule="exact"/>
        <w:ind w:firstLine="504" w:firstLineChars="200"/>
        <w:jc w:val="left"/>
        <w:rPr>
          <w:rFonts w:hint="eastAsia" w:ascii="宋体" w:hAnsi="宋体" w:cs="宋体"/>
          <w:color w:val="auto"/>
          <w:kern w:val="0"/>
          <w:sz w:val="24"/>
          <w:highlight w:val="none"/>
          <w:lang w:val="zh-CN"/>
        </w:rPr>
      </w:pPr>
      <w:r>
        <w:rPr>
          <w:rFonts w:hint="eastAsia" w:ascii="宋体" w:hAnsi="宋体" w:cs="宋体"/>
          <w:color w:val="auto"/>
          <w:spacing w:val="6"/>
          <w:kern w:val="0"/>
          <w:sz w:val="24"/>
          <w:highlight w:val="none"/>
          <w:lang w:val="zh-CN"/>
        </w:rPr>
        <w:t>本人经由</w:t>
      </w:r>
      <w:r>
        <w:rPr>
          <w:rFonts w:hint="eastAsia" w:ascii="宋体" w:hAnsi="宋体" w:cs="宋体"/>
          <w:color w:val="auto"/>
          <w:spacing w:val="6"/>
          <w:kern w:val="0"/>
          <w:sz w:val="24"/>
          <w:highlight w:val="none"/>
          <w:u w:val="single"/>
          <w:lang w:val="zh-CN"/>
        </w:rPr>
        <w:t xml:space="preserve">                       </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u w:val="single"/>
          <w:lang w:val="zh-CN"/>
        </w:rPr>
        <w:t xml:space="preserve">  </w:t>
      </w:r>
      <w:r>
        <w:rPr>
          <w:rFonts w:hint="eastAsia" w:ascii="宋体" w:hAnsi="宋体" w:cs="宋体"/>
          <w:color w:val="auto"/>
          <w:spacing w:val="6"/>
          <w:kern w:val="0"/>
          <w:sz w:val="24"/>
          <w:highlight w:val="none"/>
          <w:lang w:val="zh-CN"/>
        </w:rPr>
        <w:t>单位</w:t>
      </w:r>
      <w:r>
        <w:rPr>
          <w:rFonts w:hint="eastAsia" w:ascii="宋体" w:hAnsi="宋体" w:cs="宋体"/>
          <w:color w:val="auto"/>
          <w:spacing w:val="6"/>
          <w:kern w:val="0"/>
          <w:sz w:val="24"/>
          <w:highlight w:val="none"/>
          <w:u w:val="single"/>
          <w:lang w:val="zh-CN"/>
        </w:rPr>
        <w:t xml:space="preserve">      </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u w:val="single"/>
          <w:lang w:val="zh-CN"/>
        </w:rPr>
        <w:t xml:space="preserve">   (法人代表)</w:t>
      </w:r>
      <w:r>
        <w:rPr>
          <w:rFonts w:hint="eastAsia" w:ascii="宋体" w:hAnsi="宋体" w:cs="宋体"/>
          <w:color w:val="auto"/>
          <w:spacing w:val="6"/>
          <w:kern w:val="0"/>
          <w:sz w:val="24"/>
          <w:highlight w:val="none"/>
          <w:lang w:val="zh-CN"/>
        </w:rPr>
        <w:t>合法授权参加</w:t>
      </w:r>
      <w:r>
        <w:rPr>
          <w:rFonts w:hint="eastAsia" w:ascii="宋体" w:hAnsi="宋体" w:cs="宋体"/>
          <w:b/>
          <w:bCs/>
          <w:color w:val="auto"/>
          <w:spacing w:val="6"/>
          <w:kern w:val="0"/>
          <w:sz w:val="24"/>
          <w:highlight w:val="none"/>
          <w:u w:val="single"/>
          <w:lang w:val="zh-CN"/>
        </w:rPr>
        <w:t>DSA杂交手术室设备采购项目</w:t>
      </w:r>
      <w:r>
        <w:rPr>
          <w:rFonts w:hint="eastAsia" w:ascii="宋体" w:hAnsi="宋体" w:cs="宋体"/>
          <w:color w:val="auto"/>
          <w:spacing w:val="6"/>
          <w:kern w:val="0"/>
          <w:sz w:val="24"/>
          <w:highlight w:val="none"/>
          <w:lang w:val="zh-CN"/>
        </w:rPr>
        <w:t>（</w:t>
      </w:r>
      <w:r>
        <w:rPr>
          <w:rFonts w:hint="eastAsia" w:ascii="宋体" w:hAnsi="宋体" w:cs="宋体"/>
          <w:color w:val="auto"/>
          <w:spacing w:val="6"/>
          <w:kern w:val="0"/>
          <w:sz w:val="24"/>
          <w:highlight w:val="none"/>
        </w:rPr>
        <w:t>项目</w:t>
      </w:r>
      <w:r>
        <w:rPr>
          <w:rFonts w:hint="eastAsia" w:ascii="宋体" w:hAnsi="宋体" w:cs="宋体"/>
          <w:color w:val="auto"/>
          <w:spacing w:val="6"/>
          <w:kern w:val="0"/>
          <w:sz w:val="24"/>
          <w:highlight w:val="none"/>
          <w:lang w:val="zh-CN"/>
        </w:rPr>
        <w:t>编号：</w:t>
      </w:r>
      <w:r>
        <w:rPr>
          <w:rFonts w:hint="eastAsia" w:ascii="宋体" w:hAnsi="宋体" w:cs="宋体"/>
          <w:b/>
          <w:bCs/>
          <w:color w:val="auto"/>
          <w:spacing w:val="6"/>
          <w:kern w:val="0"/>
          <w:sz w:val="24"/>
          <w:highlight w:val="none"/>
          <w:u w:val="single"/>
          <w:lang w:val="zh-CN"/>
        </w:rPr>
        <w:t>ZJWS2023-JJ392</w:t>
      </w:r>
      <w:r>
        <w:rPr>
          <w:rFonts w:hint="eastAsia" w:ascii="宋体" w:hAnsi="宋体" w:cs="宋体"/>
          <w:color w:val="auto"/>
          <w:spacing w:val="6"/>
          <w:kern w:val="0"/>
          <w:sz w:val="24"/>
          <w:highlight w:val="none"/>
          <w:lang w:val="zh-CN"/>
        </w:rPr>
        <w:t>）政府采购活动，经与本单位法人代表（负责人）联系确认，现就有关公平竞争事项郑重声明如下：</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一、本单位与采购人之间</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□不存在利害关系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□存在下列利害关系：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A.投资关系    B.行政隶属关系    C.业务指导关系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D.其他可能</w:t>
      </w:r>
      <w:r>
        <w:rPr>
          <w:rFonts w:hint="eastAsia" w:ascii="宋体" w:hAnsi="宋体" w:cs="宋体"/>
          <w:color w:val="auto"/>
          <w:sz w:val="24"/>
          <w:highlight w:val="none"/>
        </w:rPr>
        <w:t>影响采购公正的</w:t>
      </w:r>
      <w:r>
        <w:rPr>
          <w:rFonts w:hint="eastAsia" w:ascii="宋体" w:hAnsi="宋体" w:cs="宋体"/>
          <w:color w:val="auto"/>
          <w:kern w:val="0"/>
          <w:sz w:val="24"/>
          <w:highlight w:val="none"/>
        </w:rPr>
        <w:t>利害关系。</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spacing w:val="6"/>
          <w:sz w:val="24"/>
          <w:highlight w:val="none"/>
        </w:rPr>
        <w:t>二、</w:t>
      </w:r>
      <w:r>
        <w:rPr>
          <w:rFonts w:hint="eastAsia" w:ascii="宋体" w:hAnsi="宋体" w:cs="宋体"/>
          <w:color w:val="auto"/>
          <w:kern w:val="0"/>
          <w:sz w:val="24"/>
          <w:highlight w:val="none"/>
        </w:rPr>
        <w:t>现已清楚知道参加本项目采购活动的其他所有供应商名称，本单位</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□与其他所有供应商之间均不存在利害关系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□与之间存在下列利害关系：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A.法定代表人或负责人或实际控制人是同一人</w:t>
      </w:r>
    </w:p>
    <w:p>
      <w:pPr>
        <w:widowControl/>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B.法定代表人或负责人或实际控制人是夫妻关系</w:t>
      </w:r>
    </w:p>
    <w:p>
      <w:pPr>
        <w:widowControl/>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C.法定代表人或负责人或实际控制人是直系血亲关系</w:t>
      </w:r>
    </w:p>
    <w:p>
      <w:pPr>
        <w:widowControl/>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D.法定代表人或负责人或实际控制人存在三代以内旁系血亲关系</w:t>
      </w:r>
    </w:p>
    <w:p>
      <w:pPr>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E.法定代表人或负责人或实际控制人存在近姻亲关系</w:t>
      </w:r>
    </w:p>
    <w:p>
      <w:pPr>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F.法定代表人或负责人或实际控制人存在股份控制或实际控制关系</w:t>
      </w:r>
    </w:p>
    <w:p>
      <w:pPr>
        <w:snapToGrid w:val="0"/>
        <w:spacing w:line="380" w:lineRule="exact"/>
        <w:ind w:firstLine="480" w:firstLineChars="200"/>
        <w:outlineLvl w:val="0"/>
        <w:rPr>
          <w:rFonts w:hint="eastAsia" w:ascii="宋体" w:hAnsi="宋体" w:cs="宋体"/>
          <w:color w:val="auto"/>
          <w:kern w:val="0"/>
          <w:sz w:val="24"/>
          <w:highlight w:val="none"/>
        </w:rPr>
      </w:pPr>
      <w:r>
        <w:rPr>
          <w:rFonts w:hint="eastAsia" w:ascii="宋体" w:hAnsi="宋体" w:cs="宋体"/>
          <w:color w:val="auto"/>
          <w:kern w:val="0"/>
          <w:sz w:val="24"/>
          <w:highlight w:val="none"/>
        </w:rPr>
        <w:t>G.存在共同直接或间接投资设立子公司、联营企业和合营企业情况</w:t>
      </w:r>
    </w:p>
    <w:p>
      <w:pPr>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H.存在分级代理或代销关系、同一生产制造商关系、管理关系、重要业务（占主营业务收入50%以上）或重要财务往来关系（如融资）等其他实质性控制关系</w:t>
      </w:r>
    </w:p>
    <w:p>
      <w:pPr>
        <w:snapToGrid w:val="0"/>
        <w:spacing w:line="380" w:lineRule="exact"/>
        <w:ind w:firstLine="480" w:firstLineChars="200"/>
        <w:rPr>
          <w:rFonts w:hint="eastAsia" w:ascii="宋体" w:hAnsi="宋体" w:cs="宋体"/>
          <w:color w:val="auto"/>
          <w:spacing w:val="6"/>
          <w:sz w:val="24"/>
          <w:highlight w:val="none"/>
        </w:rPr>
      </w:pPr>
      <w:r>
        <w:rPr>
          <w:rFonts w:hint="eastAsia" w:ascii="宋体" w:hAnsi="宋体" w:cs="宋体"/>
          <w:color w:val="auto"/>
          <w:kern w:val="0"/>
          <w:sz w:val="24"/>
          <w:highlight w:val="none"/>
        </w:rPr>
        <w:t>I.其他利害关系情况。</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sz w:val="24"/>
          <w:highlight w:val="none"/>
        </w:rPr>
        <w:t>三、现已清楚知道并</w:t>
      </w:r>
      <w:r>
        <w:rPr>
          <w:rFonts w:hint="eastAsia" w:ascii="宋体" w:hAnsi="宋体" w:cs="宋体"/>
          <w:color w:val="auto"/>
          <w:kern w:val="0"/>
          <w:sz w:val="24"/>
          <w:highlight w:val="none"/>
        </w:rPr>
        <w:t>严格遵守政府采购法律法规和现场纪律。</w:t>
      </w:r>
    </w:p>
    <w:p>
      <w:pPr>
        <w:widowControl/>
        <w:snapToGrid w:val="0"/>
        <w:spacing w:line="380" w:lineRule="exact"/>
        <w:rPr>
          <w:rFonts w:hint="eastAsia" w:ascii="宋体" w:hAnsi="宋体" w:cs="宋体"/>
          <w:color w:val="auto"/>
          <w:kern w:val="0"/>
          <w:sz w:val="24"/>
          <w:highlight w:val="none"/>
        </w:rPr>
      </w:pPr>
      <w:r>
        <w:rPr>
          <w:rFonts w:hint="eastAsia" w:ascii="宋体" w:hAnsi="宋体" w:cs="宋体"/>
          <w:color w:val="auto"/>
          <w:kern w:val="0"/>
          <w:sz w:val="24"/>
          <w:highlight w:val="none"/>
        </w:rPr>
        <w:t>四、我发现供应商之间存在或可能存在上述第二条第项利害关系。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□不存在利害关系</w:t>
      </w:r>
    </w:p>
    <w:p>
      <w:pPr>
        <w:widowControl/>
        <w:snapToGrid w:val="0"/>
        <w:spacing w:line="380" w:lineRule="exact"/>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□存在下列利害关系</w:t>
      </w:r>
    </w:p>
    <w:p>
      <w:pPr>
        <w:rPr>
          <w:rFonts w:hint="eastAsia"/>
          <w:color w:val="auto"/>
          <w:highlight w:val="none"/>
        </w:rPr>
      </w:pPr>
    </w:p>
    <w:p>
      <w:pPr>
        <w:snapToGrid w:val="0"/>
        <w:spacing w:line="380" w:lineRule="exact"/>
        <w:ind w:firstLine="5301" w:firstLineChars="2200"/>
        <w:rPr>
          <w:rFonts w:hint="eastAsia" w:ascii="宋体" w:hAnsi="宋体" w:cs="宋体"/>
          <w:b/>
          <w:color w:val="auto"/>
          <w:sz w:val="24"/>
          <w:highlight w:val="none"/>
        </w:rPr>
      </w:pPr>
      <w:r>
        <w:rPr>
          <w:rFonts w:hint="eastAsia" w:ascii="宋体" w:hAnsi="宋体" w:cs="宋体"/>
          <w:b/>
          <w:color w:val="auto"/>
          <w:sz w:val="24"/>
          <w:highlight w:val="none"/>
        </w:rPr>
        <w:t>供应商代表签名：</w:t>
      </w:r>
    </w:p>
    <w:p>
      <w:pPr>
        <w:tabs>
          <w:tab w:val="left" w:pos="1418"/>
        </w:tabs>
        <w:autoSpaceDE w:val="0"/>
        <w:autoSpaceDN w:val="0"/>
        <w:adjustRightInd w:val="0"/>
        <w:spacing w:line="380" w:lineRule="exact"/>
        <w:ind w:firstLine="480" w:firstLineChars="200"/>
        <w:jc w:val="right"/>
        <w:rPr>
          <w:rFonts w:hint="eastAsia" w:ascii="宋体" w:hAnsi="宋体" w:cs="宋体"/>
          <w:color w:val="auto"/>
          <w:sz w:val="24"/>
          <w:highlight w:val="none"/>
        </w:rPr>
      </w:pP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  月  日</w:t>
      </w:r>
    </w:p>
    <w:p>
      <w:pPr>
        <w:tabs>
          <w:tab w:val="left" w:pos="1418"/>
        </w:tabs>
        <w:autoSpaceDE w:val="0"/>
        <w:autoSpaceDN w:val="0"/>
        <w:adjustRightInd w:val="0"/>
        <w:spacing w:line="380" w:lineRule="exact"/>
        <w:rPr>
          <w:rFonts w:hint="eastAsia"/>
          <w:color w:val="auto"/>
          <w:highlight w:val="none"/>
        </w:rPr>
      </w:pPr>
      <w:r>
        <w:rPr>
          <w:rFonts w:hint="eastAsia" w:ascii="宋体" w:hAnsi="宋体" w:cs="宋体"/>
          <w:color w:val="auto"/>
          <w:kern w:val="0"/>
          <w:sz w:val="24"/>
          <w:highlight w:val="none"/>
        </w:rPr>
        <w:t>说明：商务技术文件开启后30分钟内，供应商通过邮件形式将经授权代表签署的《</w:t>
      </w:r>
      <w:r>
        <w:rPr>
          <w:rFonts w:hint="eastAsia" w:ascii="宋体" w:hAnsi="宋体" w:cs="宋体"/>
          <w:color w:val="auto"/>
          <w:kern w:val="0"/>
          <w:sz w:val="24"/>
          <w:highlight w:val="none"/>
          <w:lang w:val="en-GB"/>
        </w:rPr>
        <w:t>政府采购活动确认声明书</w:t>
      </w:r>
      <w:r>
        <w:rPr>
          <w:rFonts w:hint="eastAsia" w:ascii="宋体" w:hAnsi="宋体" w:cs="宋体"/>
          <w:color w:val="auto"/>
          <w:kern w:val="0"/>
          <w:sz w:val="24"/>
          <w:highlight w:val="none"/>
        </w:rPr>
        <w:t>》扫描件发至代理机构经办人邮箱（邮箱地址：</w:t>
      </w:r>
      <w:r>
        <w:rPr>
          <w:rFonts w:hint="eastAsia" w:ascii="宋体" w:hAnsi="宋体" w:cs="宋体"/>
          <w:color w:val="auto"/>
          <w:kern w:val="0"/>
          <w:sz w:val="24"/>
          <w:highlight w:val="none"/>
        </w:rPr>
        <w:fldChar w:fldCharType="begin"/>
      </w:r>
      <w:r>
        <w:rPr>
          <w:rFonts w:hint="eastAsia" w:ascii="宋体" w:hAnsi="宋体" w:cs="宋体"/>
          <w:color w:val="auto"/>
          <w:kern w:val="0"/>
          <w:sz w:val="24"/>
          <w:highlight w:val="none"/>
        </w:rPr>
        <w:instrText xml:space="preserve"> HYPERLINK "mailto:303054329@qq.com）；" </w:instrText>
      </w:r>
      <w:r>
        <w:rPr>
          <w:rFonts w:hint="eastAsia" w:ascii="宋体" w:hAnsi="宋体" w:cs="宋体"/>
          <w:color w:val="auto"/>
          <w:kern w:val="0"/>
          <w:sz w:val="24"/>
          <w:highlight w:val="none"/>
        </w:rPr>
        <w:fldChar w:fldCharType="separate"/>
      </w:r>
      <w:r>
        <w:rPr>
          <w:rFonts w:hint="eastAsia" w:ascii="宋体" w:hAnsi="宋体" w:cs="宋体"/>
          <w:color w:val="auto"/>
          <w:kern w:val="0"/>
          <w:sz w:val="24"/>
          <w:highlight w:val="none"/>
        </w:rPr>
        <w:t>zjwstz@163.com）；</w:t>
      </w:r>
      <w:r>
        <w:rPr>
          <w:rFonts w:hint="eastAsia" w:ascii="宋体" w:hAnsi="宋体" w:cs="宋体"/>
          <w:color w:val="auto"/>
          <w:kern w:val="0"/>
          <w:sz w:val="24"/>
          <w:highlight w:val="none"/>
        </w:rPr>
        <w:fldChar w:fldCharType="end"/>
      </w:r>
      <w:r>
        <w:rPr>
          <w:rFonts w:hint="eastAsia" w:ascii="宋体" w:hAnsi="宋体" w:cs="宋体"/>
          <w:color w:val="auto"/>
          <w:kern w:val="0"/>
          <w:sz w:val="24"/>
          <w:highlight w:val="none"/>
        </w:rPr>
        <w:t>不填写或未按规定发出邮件的，视同默认不存在确认声明书中的相关违规情形。</w:t>
      </w:r>
    </w:p>
    <w:sectPr>
      <w:headerReference r:id="rId4" w:type="default"/>
      <w:pgSz w:w="11906" w:h="16838"/>
      <w:pgMar w:top="1440" w:right="1803" w:bottom="1440" w:left="1803" w:header="851" w:footer="992" w:gutter="0"/>
      <w:pgBorders>
        <w:top w:val="none" w:sz="0" w:space="0"/>
        <w:left w:val="none" w:sz="0" w:space="0"/>
        <w:bottom w:val="none" w:sz="0" w:space="0"/>
        <w:right w:val="none" w:sz="0" w:space="0"/>
      </w:pgBorders>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Arial Unicode MS">
    <w:altName w:val="宋体"/>
    <w:panose1 w:val="020B0604020202020204"/>
    <w:charset w:val="86"/>
    <w:family w:val="roman"/>
    <w:pitch w:val="default"/>
    <w:sig w:usb0="00000000" w:usb1="00000000" w:usb2="0000003F" w:usb3="00000000" w:csb0="603F01FF" w:csb1="FFFF0000"/>
  </w:font>
  <w:font w:name="平成明朝">
    <w:altName w:val="MS Gothic"/>
    <w:panose1 w:val="00000000000000000000"/>
    <w:charset w:val="80"/>
    <w:family w:val="roman"/>
    <w:pitch w:val="default"/>
    <w:sig w:usb0="00000000" w:usb1="00000000" w:usb2="00000010" w:usb3="00000000" w:csb0="00020000" w:csb1="00000000"/>
  </w:font>
  <w:font w:name="??">
    <w:altName w:val="微软雅黑"/>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0"/>
        <w:snapToGrid w:val="0"/>
      </w:pPr>
      <w:r>
        <w:rPr>
          <w:rStyle w:val="33"/>
        </w:rPr>
        <w:footnoteRef/>
      </w:r>
      <w:r>
        <w:t xml:space="preserve"> </w:t>
      </w:r>
      <w:r>
        <w:rPr>
          <w:rFonts w:hint="eastAsia" w:ascii="宋体" w:hAnsi="宋体"/>
          <w:b w:val="0"/>
          <w:bCs/>
          <w:color w:val="auto"/>
          <w:sz w:val="24"/>
          <w:szCs w:val="24"/>
          <w:lang w:val="en-US" w:eastAsia="zh-CN"/>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sz w:val="10"/>
        <w:u w:val="single"/>
      </w:rPr>
    </w:pPr>
    <w:r>
      <w:rPr>
        <w:rFonts w:hint="eastAsia"/>
        <w:b/>
        <w:i/>
        <w:color w:val="000000"/>
        <w:kern w:val="0"/>
        <w:sz w:val="18"/>
        <w:u w:val="single"/>
      </w:rPr>
      <w:t>台州市政府采购电子招标文件</w:t>
    </w:r>
    <w:r>
      <w:rPr>
        <w:b/>
        <w:i/>
        <w:color w:val="000000"/>
        <w:kern w:val="0"/>
        <w:sz w:val="18"/>
        <w:u w:val="single"/>
      </w:rPr>
      <w:t xml:space="preserve">                                                       </w:t>
    </w:r>
    <w:r>
      <w:rPr>
        <w:rFonts w:hint="eastAsia"/>
        <w:b/>
        <w:i/>
        <w:color w:val="000000"/>
        <w:spacing w:val="-20"/>
        <w:kern w:val="0"/>
        <w:sz w:val="18"/>
        <w:u w:val="single"/>
      </w:rPr>
      <w:t>第</w:t>
    </w:r>
    <w:r>
      <w:rPr>
        <w:b/>
        <w:i/>
        <w:color w:val="000000"/>
        <w:spacing w:val="-20"/>
        <w:kern w:val="0"/>
        <w:sz w:val="18"/>
        <w:u w:val="single"/>
      </w:rPr>
      <w:fldChar w:fldCharType="begin"/>
    </w:r>
    <w:r>
      <w:rPr>
        <w:b/>
        <w:i/>
        <w:color w:val="000000"/>
        <w:spacing w:val="-20"/>
        <w:kern w:val="0"/>
        <w:sz w:val="18"/>
        <w:u w:val="single"/>
      </w:rPr>
      <w:instrText xml:space="preserve"> PAGE </w:instrText>
    </w:r>
    <w:r>
      <w:rPr>
        <w:b/>
        <w:i/>
        <w:color w:val="000000"/>
        <w:spacing w:val="-20"/>
        <w:kern w:val="0"/>
        <w:sz w:val="18"/>
        <w:u w:val="single"/>
      </w:rPr>
      <w:fldChar w:fldCharType="separate"/>
    </w:r>
    <w:r>
      <w:rPr>
        <w:b/>
        <w:i/>
        <w:color w:val="000000"/>
        <w:spacing w:val="-20"/>
        <w:kern w:val="0"/>
        <w:sz w:val="18"/>
        <w:u w:val="single"/>
      </w:rPr>
      <w:t>2</w:t>
    </w:r>
    <w:r>
      <w:rPr>
        <w:b/>
        <w:i/>
        <w:color w:val="000000"/>
        <w:spacing w:val="-20"/>
        <w:kern w:val="0"/>
        <w:sz w:val="18"/>
        <w:u w:val="single"/>
      </w:rPr>
      <w:fldChar w:fldCharType="end"/>
    </w:r>
    <w:r>
      <w:rPr>
        <w:rFonts w:hint="eastAsia"/>
        <w:b/>
        <w:i/>
        <w:color w:val="000000"/>
        <w:spacing w:val="-20"/>
        <w:kern w:val="0"/>
        <w:sz w:val="18"/>
        <w:u w:val="single"/>
      </w:rPr>
      <w:t>页共</w:t>
    </w:r>
    <w:r>
      <w:rPr>
        <w:b/>
        <w:i/>
        <w:color w:val="000000"/>
        <w:spacing w:val="-20"/>
        <w:kern w:val="0"/>
        <w:sz w:val="18"/>
        <w:u w:val="single"/>
      </w:rPr>
      <w:fldChar w:fldCharType="begin"/>
    </w:r>
    <w:r>
      <w:rPr>
        <w:b/>
        <w:i/>
        <w:color w:val="000000"/>
        <w:spacing w:val="-20"/>
        <w:kern w:val="0"/>
        <w:sz w:val="18"/>
        <w:u w:val="single"/>
      </w:rPr>
      <w:instrText xml:space="preserve"> NUMPAGES </w:instrText>
    </w:r>
    <w:r>
      <w:rPr>
        <w:b/>
        <w:i/>
        <w:color w:val="000000"/>
        <w:spacing w:val="-20"/>
        <w:kern w:val="0"/>
        <w:sz w:val="18"/>
        <w:u w:val="single"/>
      </w:rPr>
      <w:fldChar w:fldCharType="separate"/>
    </w:r>
    <w:r>
      <w:rPr>
        <w:b/>
        <w:i/>
        <w:color w:val="000000"/>
        <w:spacing w:val="-20"/>
        <w:kern w:val="0"/>
        <w:sz w:val="18"/>
        <w:u w:val="single"/>
      </w:rPr>
      <w:t>58</w:t>
    </w:r>
    <w:r>
      <w:rPr>
        <w:b/>
        <w:i/>
        <w:color w:val="000000"/>
        <w:spacing w:val="-20"/>
        <w:kern w:val="0"/>
        <w:sz w:val="18"/>
        <w:u w:val="single"/>
      </w:rPr>
      <w:fldChar w:fldCharType="end"/>
    </w:r>
    <w:r>
      <w:rPr>
        <w:rFonts w:hint="eastAsia"/>
        <w:b/>
        <w:i/>
        <w:color w:val="000000"/>
        <w:spacing w:val="-20"/>
        <w:kern w:val="0"/>
        <w:sz w:val="18"/>
        <w:u w:val="single"/>
      </w:rPr>
      <w:t>页</w:t>
    </w:r>
  </w:p>
  <w:p>
    <w:pPr>
      <w:pStyle w:val="1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2D8F7B"/>
    <w:multiLevelType w:val="singleLevel"/>
    <w:tmpl w:val="AE2D8F7B"/>
    <w:lvl w:ilvl="0" w:tentative="0">
      <w:start w:val="1"/>
      <w:numFmt w:val="decimal"/>
      <w:pStyle w:val="7"/>
      <w:lvlText w:val="%1."/>
      <w:lvlJc w:val="left"/>
      <w:pPr>
        <w:tabs>
          <w:tab w:val="left" w:pos="360"/>
        </w:tabs>
        <w:ind w:left="360" w:hanging="360"/>
      </w:pPr>
      <w:rPr>
        <w:rFonts w:cs="Times New Roman"/>
      </w:rPr>
    </w:lvl>
  </w:abstractNum>
  <w:abstractNum w:abstractNumId="1">
    <w:nsid w:val="1DD1DBD0"/>
    <w:multiLevelType w:val="singleLevel"/>
    <w:tmpl w:val="1DD1DBD0"/>
    <w:lvl w:ilvl="0" w:tentative="0">
      <w:start w:val="2"/>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ZDQyNjNjNjYwMTYzZTMyYTM3ZjNhZTdmOGIwMGQifQ=="/>
  </w:docVars>
  <w:rsids>
    <w:rsidRoot w:val="0E970358"/>
    <w:rsid w:val="00016260"/>
    <w:rsid w:val="0002035B"/>
    <w:rsid w:val="000403F7"/>
    <w:rsid w:val="0006294D"/>
    <w:rsid w:val="00062AB3"/>
    <w:rsid w:val="000630DA"/>
    <w:rsid w:val="000B1A8C"/>
    <w:rsid w:val="000B5FDA"/>
    <w:rsid w:val="000C76DA"/>
    <w:rsid w:val="00107BF6"/>
    <w:rsid w:val="00117895"/>
    <w:rsid w:val="001334F2"/>
    <w:rsid w:val="001358F3"/>
    <w:rsid w:val="00165F2A"/>
    <w:rsid w:val="00180836"/>
    <w:rsid w:val="00201D2F"/>
    <w:rsid w:val="00201D62"/>
    <w:rsid w:val="00203C2F"/>
    <w:rsid w:val="0021318F"/>
    <w:rsid w:val="00241352"/>
    <w:rsid w:val="002A1620"/>
    <w:rsid w:val="002D7DF9"/>
    <w:rsid w:val="003102FB"/>
    <w:rsid w:val="0033011F"/>
    <w:rsid w:val="00332E30"/>
    <w:rsid w:val="00343AAB"/>
    <w:rsid w:val="00353DAF"/>
    <w:rsid w:val="00394F4B"/>
    <w:rsid w:val="003C020E"/>
    <w:rsid w:val="003C5E00"/>
    <w:rsid w:val="003E6DE1"/>
    <w:rsid w:val="003F5636"/>
    <w:rsid w:val="003F595C"/>
    <w:rsid w:val="003F78E0"/>
    <w:rsid w:val="00412A7F"/>
    <w:rsid w:val="00425C4D"/>
    <w:rsid w:val="00441FAE"/>
    <w:rsid w:val="00446CEF"/>
    <w:rsid w:val="00447D83"/>
    <w:rsid w:val="00491BDF"/>
    <w:rsid w:val="004B0FB8"/>
    <w:rsid w:val="004B4165"/>
    <w:rsid w:val="00501A00"/>
    <w:rsid w:val="00504A66"/>
    <w:rsid w:val="00510E58"/>
    <w:rsid w:val="00531666"/>
    <w:rsid w:val="00542F87"/>
    <w:rsid w:val="00547BCA"/>
    <w:rsid w:val="00553808"/>
    <w:rsid w:val="00616E31"/>
    <w:rsid w:val="00630481"/>
    <w:rsid w:val="00636172"/>
    <w:rsid w:val="00646CA0"/>
    <w:rsid w:val="006540F3"/>
    <w:rsid w:val="00655E3C"/>
    <w:rsid w:val="00674989"/>
    <w:rsid w:val="00674C42"/>
    <w:rsid w:val="006E5A80"/>
    <w:rsid w:val="006E72B8"/>
    <w:rsid w:val="006F4DFE"/>
    <w:rsid w:val="0075349E"/>
    <w:rsid w:val="0076756D"/>
    <w:rsid w:val="00783370"/>
    <w:rsid w:val="00793C81"/>
    <w:rsid w:val="007A2629"/>
    <w:rsid w:val="007C1005"/>
    <w:rsid w:val="007F5FAF"/>
    <w:rsid w:val="00802325"/>
    <w:rsid w:val="008154BD"/>
    <w:rsid w:val="00823978"/>
    <w:rsid w:val="00847BE5"/>
    <w:rsid w:val="0088066B"/>
    <w:rsid w:val="00881374"/>
    <w:rsid w:val="008A4030"/>
    <w:rsid w:val="008E781F"/>
    <w:rsid w:val="00905BF3"/>
    <w:rsid w:val="00912983"/>
    <w:rsid w:val="009327F3"/>
    <w:rsid w:val="00944004"/>
    <w:rsid w:val="009B3E22"/>
    <w:rsid w:val="009F3459"/>
    <w:rsid w:val="009F36F6"/>
    <w:rsid w:val="00A12F71"/>
    <w:rsid w:val="00A17731"/>
    <w:rsid w:val="00A17880"/>
    <w:rsid w:val="00A30B75"/>
    <w:rsid w:val="00A7199A"/>
    <w:rsid w:val="00A730CA"/>
    <w:rsid w:val="00AB35C0"/>
    <w:rsid w:val="00AF276E"/>
    <w:rsid w:val="00B0420E"/>
    <w:rsid w:val="00B24854"/>
    <w:rsid w:val="00B50621"/>
    <w:rsid w:val="00BC6908"/>
    <w:rsid w:val="00BE0ADF"/>
    <w:rsid w:val="00BE79CE"/>
    <w:rsid w:val="00BF7E5C"/>
    <w:rsid w:val="00C41E61"/>
    <w:rsid w:val="00C44AFB"/>
    <w:rsid w:val="00C52E14"/>
    <w:rsid w:val="00C767D4"/>
    <w:rsid w:val="00CB0437"/>
    <w:rsid w:val="00CC232E"/>
    <w:rsid w:val="00CD1804"/>
    <w:rsid w:val="00CF6375"/>
    <w:rsid w:val="00D264AC"/>
    <w:rsid w:val="00D5269F"/>
    <w:rsid w:val="00DA25C4"/>
    <w:rsid w:val="00DB2B95"/>
    <w:rsid w:val="00DB6334"/>
    <w:rsid w:val="00E00649"/>
    <w:rsid w:val="00E319E7"/>
    <w:rsid w:val="00E33061"/>
    <w:rsid w:val="00E372BC"/>
    <w:rsid w:val="00ED51FA"/>
    <w:rsid w:val="00EF2797"/>
    <w:rsid w:val="00F127FF"/>
    <w:rsid w:val="00F12A9D"/>
    <w:rsid w:val="00F64E95"/>
    <w:rsid w:val="00F74D1E"/>
    <w:rsid w:val="00F835F4"/>
    <w:rsid w:val="00F94869"/>
    <w:rsid w:val="00FA0375"/>
    <w:rsid w:val="0162067B"/>
    <w:rsid w:val="017F1E23"/>
    <w:rsid w:val="018679AE"/>
    <w:rsid w:val="01935887"/>
    <w:rsid w:val="01951567"/>
    <w:rsid w:val="01B800CA"/>
    <w:rsid w:val="01D42F8B"/>
    <w:rsid w:val="022F3D89"/>
    <w:rsid w:val="02553A28"/>
    <w:rsid w:val="025F5180"/>
    <w:rsid w:val="026B5F45"/>
    <w:rsid w:val="02B06AA5"/>
    <w:rsid w:val="03887300"/>
    <w:rsid w:val="03E33071"/>
    <w:rsid w:val="045E13E1"/>
    <w:rsid w:val="046F53DE"/>
    <w:rsid w:val="04CC341D"/>
    <w:rsid w:val="04DE493C"/>
    <w:rsid w:val="04E227B9"/>
    <w:rsid w:val="04EB22DA"/>
    <w:rsid w:val="04F45844"/>
    <w:rsid w:val="05065269"/>
    <w:rsid w:val="05137CD7"/>
    <w:rsid w:val="051C64C7"/>
    <w:rsid w:val="0583787E"/>
    <w:rsid w:val="060B26E0"/>
    <w:rsid w:val="063064F0"/>
    <w:rsid w:val="06345E06"/>
    <w:rsid w:val="06445431"/>
    <w:rsid w:val="065165EA"/>
    <w:rsid w:val="065522E1"/>
    <w:rsid w:val="06B65283"/>
    <w:rsid w:val="072B0FB7"/>
    <w:rsid w:val="073D4ECF"/>
    <w:rsid w:val="07E209DB"/>
    <w:rsid w:val="07F92D89"/>
    <w:rsid w:val="08276FC2"/>
    <w:rsid w:val="08DE7A29"/>
    <w:rsid w:val="09170415"/>
    <w:rsid w:val="093E5EA0"/>
    <w:rsid w:val="09AE3F05"/>
    <w:rsid w:val="09BC231C"/>
    <w:rsid w:val="09C120A6"/>
    <w:rsid w:val="09C474A0"/>
    <w:rsid w:val="0A207EE3"/>
    <w:rsid w:val="0A2610A0"/>
    <w:rsid w:val="0A805ABD"/>
    <w:rsid w:val="0AB97872"/>
    <w:rsid w:val="0ADB4F19"/>
    <w:rsid w:val="0B0B35D9"/>
    <w:rsid w:val="0B6F6C6A"/>
    <w:rsid w:val="0BDC0B60"/>
    <w:rsid w:val="0C1D3A1E"/>
    <w:rsid w:val="0C1E2BA0"/>
    <w:rsid w:val="0C445D0F"/>
    <w:rsid w:val="0C6108A9"/>
    <w:rsid w:val="0C765CB2"/>
    <w:rsid w:val="0C8F6F1D"/>
    <w:rsid w:val="0CCF01AF"/>
    <w:rsid w:val="0CE23751"/>
    <w:rsid w:val="0CFB58CF"/>
    <w:rsid w:val="0D0D122B"/>
    <w:rsid w:val="0D4A0AF4"/>
    <w:rsid w:val="0D8242D4"/>
    <w:rsid w:val="0DAB10A3"/>
    <w:rsid w:val="0DAC1076"/>
    <w:rsid w:val="0E03670A"/>
    <w:rsid w:val="0E1A4D2E"/>
    <w:rsid w:val="0E273A0A"/>
    <w:rsid w:val="0E8B67DF"/>
    <w:rsid w:val="0E970358"/>
    <w:rsid w:val="0F2E7896"/>
    <w:rsid w:val="0F40668B"/>
    <w:rsid w:val="0F5A38E4"/>
    <w:rsid w:val="0F5B4403"/>
    <w:rsid w:val="10053DFB"/>
    <w:rsid w:val="1024535B"/>
    <w:rsid w:val="102962AF"/>
    <w:rsid w:val="10392EAE"/>
    <w:rsid w:val="103F136E"/>
    <w:rsid w:val="105224B1"/>
    <w:rsid w:val="10663E60"/>
    <w:rsid w:val="106B74CC"/>
    <w:rsid w:val="10706EC2"/>
    <w:rsid w:val="10D40AF6"/>
    <w:rsid w:val="10D93EBA"/>
    <w:rsid w:val="10E10735"/>
    <w:rsid w:val="114D620F"/>
    <w:rsid w:val="11C82219"/>
    <w:rsid w:val="11D430BC"/>
    <w:rsid w:val="11D525C4"/>
    <w:rsid w:val="122B630F"/>
    <w:rsid w:val="12495073"/>
    <w:rsid w:val="12552772"/>
    <w:rsid w:val="12807280"/>
    <w:rsid w:val="1290445D"/>
    <w:rsid w:val="12B874F8"/>
    <w:rsid w:val="12CB1666"/>
    <w:rsid w:val="1308694E"/>
    <w:rsid w:val="1312189C"/>
    <w:rsid w:val="13763D70"/>
    <w:rsid w:val="13AD5518"/>
    <w:rsid w:val="13E640E2"/>
    <w:rsid w:val="13ED7CFC"/>
    <w:rsid w:val="13FC1BC3"/>
    <w:rsid w:val="1483512C"/>
    <w:rsid w:val="148463E6"/>
    <w:rsid w:val="149310E1"/>
    <w:rsid w:val="14D20D9B"/>
    <w:rsid w:val="155965BB"/>
    <w:rsid w:val="15713D36"/>
    <w:rsid w:val="15A72BED"/>
    <w:rsid w:val="15EC04AB"/>
    <w:rsid w:val="1621170E"/>
    <w:rsid w:val="16A03549"/>
    <w:rsid w:val="16D8586C"/>
    <w:rsid w:val="17792822"/>
    <w:rsid w:val="17B42C2B"/>
    <w:rsid w:val="18445AF3"/>
    <w:rsid w:val="18820ED2"/>
    <w:rsid w:val="18A0231E"/>
    <w:rsid w:val="18B91D2B"/>
    <w:rsid w:val="18C40414"/>
    <w:rsid w:val="18E11A7C"/>
    <w:rsid w:val="19345DF7"/>
    <w:rsid w:val="19721EE1"/>
    <w:rsid w:val="19805192"/>
    <w:rsid w:val="198B6738"/>
    <w:rsid w:val="19C7142E"/>
    <w:rsid w:val="19F636A6"/>
    <w:rsid w:val="1A0E6B24"/>
    <w:rsid w:val="1A223867"/>
    <w:rsid w:val="1A5323C3"/>
    <w:rsid w:val="1A6A6D44"/>
    <w:rsid w:val="1A817123"/>
    <w:rsid w:val="1A8564E4"/>
    <w:rsid w:val="1ABD5828"/>
    <w:rsid w:val="1AD556B8"/>
    <w:rsid w:val="1B326FF0"/>
    <w:rsid w:val="1B3409E4"/>
    <w:rsid w:val="1B674FFA"/>
    <w:rsid w:val="1B754BF6"/>
    <w:rsid w:val="1B88070E"/>
    <w:rsid w:val="1B900765"/>
    <w:rsid w:val="1BF630F3"/>
    <w:rsid w:val="1C093ECB"/>
    <w:rsid w:val="1C167E65"/>
    <w:rsid w:val="1C1E5FC1"/>
    <w:rsid w:val="1C2A1FDB"/>
    <w:rsid w:val="1CC92C8B"/>
    <w:rsid w:val="1CE41EDC"/>
    <w:rsid w:val="1CE4433A"/>
    <w:rsid w:val="1CE82990"/>
    <w:rsid w:val="1CF31929"/>
    <w:rsid w:val="1D0A52C3"/>
    <w:rsid w:val="1D126A49"/>
    <w:rsid w:val="1DC530BD"/>
    <w:rsid w:val="1DD722C7"/>
    <w:rsid w:val="1E4110C2"/>
    <w:rsid w:val="1E58234F"/>
    <w:rsid w:val="1E9955EF"/>
    <w:rsid w:val="1EC54D64"/>
    <w:rsid w:val="1EE84AA8"/>
    <w:rsid w:val="1EF44218"/>
    <w:rsid w:val="1F4F697C"/>
    <w:rsid w:val="1F73662A"/>
    <w:rsid w:val="1F78445A"/>
    <w:rsid w:val="204A21AB"/>
    <w:rsid w:val="206B2903"/>
    <w:rsid w:val="21A1039B"/>
    <w:rsid w:val="21B005DE"/>
    <w:rsid w:val="21CB04F8"/>
    <w:rsid w:val="21D63178"/>
    <w:rsid w:val="21DE60F4"/>
    <w:rsid w:val="22152AF6"/>
    <w:rsid w:val="228447E5"/>
    <w:rsid w:val="22877BF0"/>
    <w:rsid w:val="22BE0803"/>
    <w:rsid w:val="22CC4155"/>
    <w:rsid w:val="22D133D1"/>
    <w:rsid w:val="23005679"/>
    <w:rsid w:val="232664B7"/>
    <w:rsid w:val="23424F53"/>
    <w:rsid w:val="236E14E2"/>
    <w:rsid w:val="23A01D21"/>
    <w:rsid w:val="23A85D58"/>
    <w:rsid w:val="24617841"/>
    <w:rsid w:val="24877EA7"/>
    <w:rsid w:val="24CD037A"/>
    <w:rsid w:val="24EA31B9"/>
    <w:rsid w:val="24FE2F42"/>
    <w:rsid w:val="258303A6"/>
    <w:rsid w:val="25A653F1"/>
    <w:rsid w:val="25AD2844"/>
    <w:rsid w:val="25C11B38"/>
    <w:rsid w:val="25DF7CE6"/>
    <w:rsid w:val="267157D2"/>
    <w:rsid w:val="268662B9"/>
    <w:rsid w:val="268A132E"/>
    <w:rsid w:val="26B26BA7"/>
    <w:rsid w:val="26DE30DF"/>
    <w:rsid w:val="27FA2518"/>
    <w:rsid w:val="28215C9F"/>
    <w:rsid w:val="285E59D3"/>
    <w:rsid w:val="28680B8D"/>
    <w:rsid w:val="28697311"/>
    <w:rsid w:val="286B1703"/>
    <w:rsid w:val="28724DE3"/>
    <w:rsid w:val="2876190C"/>
    <w:rsid w:val="28C54AA9"/>
    <w:rsid w:val="28E64005"/>
    <w:rsid w:val="28FB7CDC"/>
    <w:rsid w:val="291678C1"/>
    <w:rsid w:val="2969622E"/>
    <w:rsid w:val="29744295"/>
    <w:rsid w:val="29921BFA"/>
    <w:rsid w:val="29A43633"/>
    <w:rsid w:val="29D148D0"/>
    <w:rsid w:val="29EA5884"/>
    <w:rsid w:val="2A4665A4"/>
    <w:rsid w:val="2A54394B"/>
    <w:rsid w:val="2A6051AF"/>
    <w:rsid w:val="2A650ABE"/>
    <w:rsid w:val="2A6E2747"/>
    <w:rsid w:val="2A70406D"/>
    <w:rsid w:val="2AAA4765"/>
    <w:rsid w:val="2ABB7852"/>
    <w:rsid w:val="2ABC6246"/>
    <w:rsid w:val="2AC803DC"/>
    <w:rsid w:val="2AF12E49"/>
    <w:rsid w:val="2AF4778E"/>
    <w:rsid w:val="2AF71430"/>
    <w:rsid w:val="2B045C6D"/>
    <w:rsid w:val="2B230B28"/>
    <w:rsid w:val="2B520C88"/>
    <w:rsid w:val="2B67284F"/>
    <w:rsid w:val="2BFE62EC"/>
    <w:rsid w:val="2C2B2FCD"/>
    <w:rsid w:val="2CEA709A"/>
    <w:rsid w:val="2DAC4350"/>
    <w:rsid w:val="2DB034A1"/>
    <w:rsid w:val="2E167163"/>
    <w:rsid w:val="2E3D1B5E"/>
    <w:rsid w:val="2E6C7028"/>
    <w:rsid w:val="2F402F53"/>
    <w:rsid w:val="2FCC417F"/>
    <w:rsid w:val="300D1F92"/>
    <w:rsid w:val="30143D85"/>
    <w:rsid w:val="30297847"/>
    <w:rsid w:val="306C1617"/>
    <w:rsid w:val="310D71E0"/>
    <w:rsid w:val="31192A64"/>
    <w:rsid w:val="315A2944"/>
    <w:rsid w:val="315E1E05"/>
    <w:rsid w:val="31752B09"/>
    <w:rsid w:val="31AA6DF8"/>
    <w:rsid w:val="31D9138A"/>
    <w:rsid w:val="322C5A5F"/>
    <w:rsid w:val="323A7CA1"/>
    <w:rsid w:val="32635D4B"/>
    <w:rsid w:val="32A418CD"/>
    <w:rsid w:val="32A53066"/>
    <w:rsid w:val="32E05501"/>
    <w:rsid w:val="33145E64"/>
    <w:rsid w:val="333B05A8"/>
    <w:rsid w:val="33637000"/>
    <w:rsid w:val="33981E89"/>
    <w:rsid w:val="341018E5"/>
    <w:rsid w:val="341548E3"/>
    <w:rsid w:val="347E456C"/>
    <w:rsid w:val="349E2C90"/>
    <w:rsid w:val="350A2AEF"/>
    <w:rsid w:val="35170C48"/>
    <w:rsid w:val="357F67EE"/>
    <w:rsid w:val="3597167B"/>
    <w:rsid w:val="359B739A"/>
    <w:rsid w:val="35C74336"/>
    <w:rsid w:val="35DE3C55"/>
    <w:rsid w:val="361508C3"/>
    <w:rsid w:val="36623E0E"/>
    <w:rsid w:val="36AA789A"/>
    <w:rsid w:val="37115875"/>
    <w:rsid w:val="37372B0F"/>
    <w:rsid w:val="373C4204"/>
    <w:rsid w:val="375C62CA"/>
    <w:rsid w:val="37712A39"/>
    <w:rsid w:val="377D46C2"/>
    <w:rsid w:val="37826121"/>
    <w:rsid w:val="37D41C80"/>
    <w:rsid w:val="37DD166C"/>
    <w:rsid w:val="37DF3574"/>
    <w:rsid w:val="38153B76"/>
    <w:rsid w:val="38191C35"/>
    <w:rsid w:val="38486016"/>
    <w:rsid w:val="38890D3B"/>
    <w:rsid w:val="38CB6402"/>
    <w:rsid w:val="3925268C"/>
    <w:rsid w:val="39365415"/>
    <w:rsid w:val="39697DDF"/>
    <w:rsid w:val="39AE5461"/>
    <w:rsid w:val="39B01605"/>
    <w:rsid w:val="3A47642F"/>
    <w:rsid w:val="3A6B16D4"/>
    <w:rsid w:val="3A80103E"/>
    <w:rsid w:val="3A824DB6"/>
    <w:rsid w:val="3AAA7E09"/>
    <w:rsid w:val="3AE50133"/>
    <w:rsid w:val="3B001FEE"/>
    <w:rsid w:val="3B345EA5"/>
    <w:rsid w:val="3B641BB6"/>
    <w:rsid w:val="3C287BEA"/>
    <w:rsid w:val="3CB10ED3"/>
    <w:rsid w:val="3D1275D3"/>
    <w:rsid w:val="3D7A18AF"/>
    <w:rsid w:val="3D87531B"/>
    <w:rsid w:val="3DA07301"/>
    <w:rsid w:val="3DA60DBB"/>
    <w:rsid w:val="3DB32416"/>
    <w:rsid w:val="3DB531EC"/>
    <w:rsid w:val="3DBB71E5"/>
    <w:rsid w:val="3E015AB8"/>
    <w:rsid w:val="3EAB77CD"/>
    <w:rsid w:val="3EF43DA9"/>
    <w:rsid w:val="3F0D09C6"/>
    <w:rsid w:val="3F124E22"/>
    <w:rsid w:val="3FB33671"/>
    <w:rsid w:val="400544E7"/>
    <w:rsid w:val="40662A84"/>
    <w:rsid w:val="40D83598"/>
    <w:rsid w:val="40E07A4C"/>
    <w:rsid w:val="40E964C7"/>
    <w:rsid w:val="412702D6"/>
    <w:rsid w:val="41461D54"/>
    <w:rsid w:val="414D60AF"/>
    <w:rsid w:val="416A4369"/>
    <w:rsid w:val="41A37DD6"/>
    <w:rsid w:val="41C65C51"/>
    <w:rsid w:val="41EF0B88"/>
    <w:rsid w:val="41FD7266"/>
    <w:rsid w:val="420358DF"/>
    <w:rsid w:val="423C6A00"/>
    <w:rsid w:val="425C32D7"/>
    <w:rsid w:val="42A17DA3"/>
    <w:rsid w:val="42AC4B33"/>
    <w:rsid w:val="42B51D84"/>
    <w:rsid w:val="4302171F"/>
    <w:rsid w:val="43036342"/>
    <w:rsid w:val="432F3601"/>
    <w:rsid w:val="435B2852"/>
    <w:rsid w:val="43922F78"/>
    <w:rsid w:val="43AE4C6F"/>
    <w:rsid w:val="43B41D58"/>
    <w:rsid w:val="43D911A2"/>
    <w:rsid w:val="44220BFB"/>
    <w:rsid w:val="4465697B"/>
    <w:rsid w:val="447F5EC2"/>
    <w:rsid w:val="44E23928"/>
    <w:rsid w:val="4538192D"/>
    <w:rsid w:val="4563730C"/>
    <w:rsid w:val="456B496E"/>
    <w:rsid w:val="45967805"/>
    <w:rsid w:val="45B7168C"/>
    <w:rsid w:val="45C97ACB"/>
    <w:rsid w:val="45D513DD"/>
    <w:rsid w:val="46026DAB"/>
    <w:rsid w:val="463C2323"/>
    <w:rsid w:val="464D3541"/>
    <w:rsid w:val="470716AA"/>
    <w:rsid w:val="473C6CD3"/>
    <w:rsid w:val="47B4682B"/>
    <w:rsid w:val="47D37D1F"/>
    <w:rsid w:val="47D56657"/>
    <w:rsid w:val="47E56984"/>
    <w:rsid w:val="484E10AB"/>
    <w:rsid w:val="48694FA0"/>
    <w:rsid w:val="488E768B"/>
    <w:rsid w:val="48A72334"/>
    <w:rsid w:val="48B93350"/>
    <w:rsid w:val="48D32C81"/>
    <w:rsid w:val="48E41FF9"/>
    <w:rsid w:val="48E64A08"/>
    <w:rsid w:val="48EE62AA"/>
    <w:rsid w:val="48FF2069"/>
    <w:rsid w:val="4924024E"/>
    <w:rsid w:val="49866B9C"/>
    <w:rsid w:val="49F41D5E"/>
    <w:rsid w:val="4A2D4613"/>
    <w:rsid w:val="4A527404"/>
    <w:rsid w:val="4A6C513B"/>
    <w:rsid w:val="4A9243E2"/>
    <w:rsid w:val="4AA76173"/>
    <w:rsid w:val="4ABF78D3"/>
    <w:rsid w:val="4B02629A"/>
    <w:rsid w:val="4B0D6091"/>
    <w:rsid w:val="4B1E31F7"/>
    <w:rsid w:val="4B452E71"/>
    <w:rsid w:val="4BAB75FD"/>
    <w:rsid w:val="4BC85AAC"/>
    <w:rsid w:val="4BCB3573"/>
    <w:rsid w:val="4C8A180A"/>
    <w:rsid w:val="4CE75373"/>
    <w:rsid w:val="4D397F5C"/>
    <w:rsid w:val="4D5934CA"/>
    <w:rsid w:val="4D963B95"/>
    <w:rsid w:val="4DBA747C"/>
    <w:rsid w:val="4DFF7FA0"/>
    <w:rsid w:val="4E2F1DC2"/>
    <w:rsid w:val="4E374C1A"/>
    <w:rsid w:val="4E517295"/>
    <w:rsid w:val="4E523E64"/>
    <w:rsid w:val="4E9C5B47"/>
    <w:rsid w:val="4EA478DF"/>
    <w:rsid w:val="4EAD13BA"/>
    <w:rsid w:val="4EDD03B5"/>
    <w:rsid w:val="4F2E7D5E"/>
    <w:rsid w:val="4F3606F0"/>
    <w:rsid w:val="4F3974C6"/>
    <w:rsid w:val="4F5C43AB"/>
    <w:rsid w:val="50231CAA"/>
    <w:rsid w:val="505B5404"/>
    <w:rsid w:val="50645796"/>
    <w:rsid w:val="50D04016"/>
    <w:rsid w:val="50E6023C"/>
    <w:rsid w:val="511F0076"/>
    <w:rsid w:val="517935BB"/>
    <w:rsid w:val="522C29C1"/>
    <w:rsid w:val="522E4D76"/>
    <w:rsid w:val="52BC72DF"/>
    <w:rsid w:val="52E834B3"/>
    <w:rsid w:val="53087EE3"/>
    <w:rsid w:val="53422181"/>
    <w:rsid w:val="535D60FC"/>
    <w:rsid w:val="53782CBB"/>
    <w:rsid w:val="53B373D4"/>
    <w:rsid w:val="53F57F4F"/>
    <w:rsid w:val="543C5B7E"/>
    <w:rsid w:val="5446037A"/>
    <w:rsid w:val="54471133"/>
    <w:rsid w:val="54AD25D8"/>
    <w:rsid w:val="55490F98"/>
    <w:rsid w:val="5588094F"/>
    <w:rsid w:val="55A4350F"/>
    <w:rsid w:val="55B36D9D"/>
    <w:rsid w:val="55BA4166"/>
    <w:rsid w:val="55F30547"/>
    <w:rsid w:val="56547E4D"/>
    <w:rsid w:val="5660228A"/>
    <w:rsid w:val="566D4B95"/>
    <w:rsid w:val="5682580A"/>
    <w:rsid w:val="5706262F"/>
    <w:rsid w:val="572656D4"/>
    <w:rsid w:val="577751FE"/>
    <w:rsid w:val="578671EF"/>
    <w:rsid w:val="579161E1"/>
    <w:rsid w:val="57963D10"/>
    <w:rsid w:val="582B0E0E"/>
    <w:rsid w:val="588D7F9E"/>
    <w:rsid w:val="58E6255C"/>
    <w:rsid w:val="58F25D4E"/>
    <w:rsid w:val="59196564"/>
    <w:rsid w:val="59234CED"/>
    <w:rsid w:val="594E7C18"/>
    <w:rsid w:val="596A4F3B"/>
    <w:rsid w:val="59AD06A4"/>
    <w:rsid w:val="5A4D586D"/>
    <w:rsid w:val="5A6249B0"/>
    <w:rsid w:val="5AB011DA"/>
    <w:rsid w:val="5AC6626D"/>
    <w:rsid w:val="5B24736C"/>
    <w:rsid w:val="5B3979FD"/>
    <w:rsid w:val="5B4016C1"/>
    <w:rsid w:val="5B7420A1"/>
    <w:rsid w:val="5C0F6D28"/>
    <w:rsid w:val="5C853AA7"/>
    <w:rsid w:val="5C874373"/>
    <w:rsid w:val="5D7A683C"/>
    <w:rsid w:val="5D940E44"/>
    <w:rsid w:val="5D973DED"/>
    <w:rsid w:val="5E1822EA"/>
    <w:rsid w:val="5E8A59BF"/>
    <w:rsid w:val="5EE84C68"/>
    <w:rsid w:val="5F351B48"/>
    <w:rsid w:val="5FA67307"/>
    <w:rsid w:val="5FA703FC"/>
    <w:rsid w:val="5FDA0E97"/>
    <w:rsid w:val="602463B0"/>
    <w:rsid w:val="6026592A"/>
    <w:rsid w:val="603062A5"/>
    <w:rsid w:val="6067398A"/>
    <w:rsid w:val="60776BF3"/>
    <w:rsid w:val="60807FD2"/>
    <w:rsid w:val="60940D66"/>
    <w:rsid w:val="60B868E8"/>
    <w:rsid w:val="60E07B05"/>
    <w:rsid w:val="61047A23"/>
    <w:rsid w:val="61475DF2"/>
    <w:rsid w:val="621D5BA4"/>
    <w:rsid w:val="624D267E"/>
    <w:rsid w:val="625D5E1D"/>
    <w:rsid w:val="62E137F2"/>
    <w:rsid w:val="63197EAF"/>
    <w:rsid w:val="632B5B70"/>
    <w:rsid w:val="632F38D2"/>
    <w:rsid w:val="6350464D"/>
    <w:rsid w:val="635B6748"/>
    <w:rsid w:val="636359BE"/>
    <w:rsid w:val="63947A95"/>
    <w:rsid w:val="63D02E1F"/>
    <w:rsid w:val="63D538F9"/>
    <w:rsid w:val="63DA2CFD"/>
    <w:rsid w:val="6401505A"/>
    <w:rsid w:val="643E5A5C"/>
    <w:rsid w:val="646F1EBF"/>
    <w:rsid w:val="648E5C86"/>
    <w:rsid w:val="64ED6CEE"/>
    <w:rsid w:val="65111BF1"/>
    <w:rsid w:val="655114C5"/>
    <w:rsid w:val="65521A2E"/>
    <w:rsid w:val="65A50236"/>
    <w:rsid w:val="65E53318"/>
    <w:rsid w:val="66BC48FC"/>
    <w:rsid w:val="66F916AD"/>
    <w:rsid w:val="676F49FF"/>
    <w:rsid w:val="678C42CF"/>
    <w:rsid w:val="679B7268"/>
    <w:rsid w:val="67B05ABC"/>
    <w:rsid w:val="67B167D1"/>
    <w:rsid w:val="67DB0789"/>
    <w:rsid w:val="67E17416"/>
    <w:rsid w:val="67E33A6D"/>
    <w:rsid w:val="685F1C50"/>
    <w:rsid w:val="68925915"/>
    <w:rsid w:val="69135AA9"/>
    <w:rsid w:val="69230C63"/>
    <w:rsid w:val="692C3DCB"/>
    <w:rsid w:val="699022E9"/>
    <w:rsid w:val="6A416CEB"/>
    <w:rsid w:val="6A714498"/>
    <w:rsid w:val="6A746F87"/>
    <w:rsid w:val="6A8E6121"/>
    <w:rsid w:val="6AA41A78"/>
    <w:rsid w:val="6ABC3543"/>
    <w:rsid w:val="6AE63990"/>
    <w:rsid w:val="6B0D7664"/>
    <w:rsid w:val="6B5517F4"/>
    <w:rsid w:val="6B59605A"/>
    <w:rsid w:val="6B7E5E3F"/>
    <w:rsid w:val="6BFF1513"/>
    <w:rsid w:val="6C1625B8"/>
    <w:rsid w:val="6C3C464F"/>
    <w:rsid w:val="6C507A6E"/>
    <w:rsid w:val="6C8E4398"/>
    <w:rsid w:val="6C9F6852"/>
    <w:rsid w:val="6CB9611E"/>
    <w:rsid w:val="6D082FFC"/>
    <w:rsid w:val="6D0D5EB2"/>
    <w:rsid w:val="6D291D4A"/>
    <w:rsid w:val="6DD01424"/>
    <w:rsid w:val="6E0825FE"/>
    <w:rsid w:val="6E103722"/>
    <w:rsid w:val="6EB50C27"/>
    <w:rsid w:val="6EBA15CC"/>
    <w:rsid w:val="6F563B40"/>
    <w:rsid w:val="6FC330B5"/>
    <w:rsid w:val="706731A9"/>
    <w:rsid w:val="70926128"/>
    <w:rsid w:val="70A84F57"/>
    <w:rsid w:val="7115552D"/>
    <w:rsid w:val="714B3C33"/>
    <w:rsid w:val="727151E7"/>
    <w:rsid w:val="728F4AF9"/>
    <w:rsid w:val="72A03841"/>
    <w:rsid w:val="72B92FDC"/>
    <w:rsid w:val="72C60D24"/>
    <w:rsid w:val="73247AB1"/>
    <w:rsid w:val="73D339C9"/>
    <w:rsid w:val="73E13260"/>
    <w:rsid w:val="73EF0CEB"/>
    <w:rsid w:val="73F92AF7"/>
    <w:rsid w:val="73FF5D67"/>
    <w:rsid w:val="74235FBB"/>
    <w:rsid w:val="742972C8"/>
    <w:rsid w:val="743108DF"/>
    <w:rsid w:val="7444613E"/>
    <w:rsid w:val="745919C6"/>
    <w:rsid w:val="74676780"/>
    <w:rsid w:val="74702A9A"/>
    <w:rsid w:val="74B163EC"/>
    <w:rsid w:val="74D13E3E"/>
    <w:rsid w:val="74DC15C1"/>
    <w:rsid w:val="751C7986"/>
    <w:rsid w:val="752D5A15"/>
    <w:rsid w:val="75745308"/>
    <w:rsid w:val="75767ED7"/>
    <w:rsid w:val="761C2BBB"/>
    <w:rsid w:val="763E532E"/>
    <w:rsid w:val="76426BCC"/>
    <w:rsid w:val="76443A46"/>
    <w:rsid w:val="764E7153"/>
    <w:rsid w:val="76680F03"/>
    <w:rsid w:val="766B4BFF"/>
    <w:rsid w:val="7671701C"/>
    <w:rsid w:val="76CA785A"/>
    <w:rsid w:val="76D020FC"/>
    <w:rsid w:val="771D759E"/>
    <w:rsid w:val="772628C0"/>
    <w:rsid w:val="774065EE"/>
    <w:rsid w:val="775C1C6C"/>
    <w:rsid w:val="776A1DE8"/>
    <w:rsid w:val="778E740D"/>
    <w:rsid w:val="77AA6501"/>
    <w:rsid w:val="77AD063C"/>
    <w:rsid w:val="77B6186E"/>
    <w:rsid w:val="783974E9"/>
    <w:rsid w:val="785726D7"/>
    <w:rsid w:val="785B11BE"/>
    <w:rsid w:val="785D00CA"/>
    <w:rsid w:val="78D02752"/>
    <w:rsid w:val="79294073"/>
    <w:rsid w:val="795F1346"/>
    <w:rsid w:val="7971529E"/>
    <w:rsid w:val="7973000B"/>
    <w:rsid w:val="79917011"/>
    <w:rsid w:val="799B093F"/>
    <w:rsid w:val="79A705F2"/>
    <w:rsid w:val="79C8388C"/>
    <w:rsid w:val="79CD5D7E"/>
    <w:rsid w:val="79D12F40"/>
    <w:rsid w:val="7A122D59"/>
    <w:rsid w:val="7A18614B"/>
    <w:rsid w:val="7A350C22"/>
    <w:rsid w:val="7A6F6DD0"/>
    <w:rsid w:val="7A9162C7"/>
    <w:rsid w:val="7AA57BE5"/>
    <w:rsid w:val="7ACC45BD"/>
    <w:rsid w:val="7AE04F7F"/>
    <w:rsid w:val="7B1642C0"/>
    <w:rsid w:val="7BA23C69"/>
    <w:rsid w:val="7BC27D34"/>
    <w:rsid w:val="7C2B3C5E"/>
    <w:rsid w:val="7C3F517F"/>
    <w:rsid w:val="7C484810"/>
    <w:rsid w:val="7C560ECD"/>
    <w:rsid w:val="7CA37938"/>
    <w:rsid w:val="7CF81AA2"/>
    <w:rsid w:val="7D0F5D90"/>
    <w:rsid w:val="7D172435"/>
    <w:rsid w:val="7D537911"/>
    <w:rsid w:val="7D6E784A"/>
    <w:rsid w:val="7DCB2BBF"/>
    <w:rsid w:val="7DDD6CEA"/>
    <w:rsid w:val="7DE22FF7"/>
    <w:rsid w:val="7DED0920"/>
    <w:rsid w:val="7E024E93"/>
    <w:rsid w:val="7E636E14"/>
    <w:rsid w:val="7ED71E7C"/>
    <w:rsid w:val="7F042CBF"/>
    <w:rsid w:val="7F2E1280"/>
    <w:rsid w:val="7F32693E"/>
    <w:rsid w:val="7F530604"/>
    <w:rsid w:val="7F582F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qFormat="1" w:unhideWhenUsed="0" w:uiPriority="99" w:semiHidden="0" w:name="toc 2"/>
    <w:lsdException w:uiPriority="39" w:name="toc 3" w:locked="1"/>
    <w:lsdException w:uiPriority="39" w:name="toc 4" w:locked="1"/>
    <w:lsdException w:qFormat="1" w:unhideWhenUsed="0" w:uiPriority="99" w:semiHidden="0" w:name="toc 5" w:locked="1"/>
    <w:lsdException w:qFormat="1" w:unhideWhenUsed="0" w:uiPriority="99" w:semiHidden="0" w:name="toc 6" w:locked="1"/>
    <w:lsdException w:uiPriority="39" w:name="toc 7" w:locked="1"/>
    <w:lsdException w:uiPriority="39" w:name="toc 8" w:locked="1"/>
    <w:lsdException w:uiPriority="39" w:name="toc 9" w:locked="1"/>
    <w:lsdException w:qFormat="1" w:unhideWhenUsed="0" w:uiPriority="99" w:semiHidden="0" w:name="Normal Indent"/>
    <w:lsdException w:qFormat="1" w:unhideWhenUsed="0"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qFormat="1" w:unhideWhenUsed="0"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ocked="1"/>
    <w:lsdException w:qFormat="1" w:unhideWhenUsed="0" w:uiPriority="0" w:semiHidden="0"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7"/>
    <w:autoRedefine/>
    <w:qFormat/>
    <w:uiPriority w:val="99"/>
    <w:pPr>
      <w:keepNext/>
      <w:keepLines/>
      <w:spacing w:before="340" w:after="330" w:line="578" w:lineRule="auto"/>
      <w:outlineLvl w:val="0"/>
    </w:pPr>
    <w:rPr>
      <w:b/>
      <w:bCs/>
      <w:kern w:val="44"/>
      <w:sz w:val="44"/>
      <w:szCs w:val="44"/>
    </w:rPr>
  </w:style>
  <w:style w:type="paragraph" w:styleId="4">
    <w:name w:val="heading 2"/>
    <w:basedOn w:val="1"/>
    <w:next w:val="5"/>
    <w:link w:val="38"/>
    <w:autoRedefine/>
    <w:qFormat/>
    <w:uiPriority w:val="99"/>
    <w:pPr>
      <w:keepNext/>
      <w:keepLines/>
      <w:spacing w:before="260" w:after="260" w:line="416" w:lineRule="auto"/>
      <w:outlineLvl w:val="1"/>
    </w:pPr>
    <w:rPr>
      <w:rFonts w:ascii="Calibri Light" w:hAnsi="Calibri Light"/>
      <w:b/>
      <w:bCs/>
      <w:sz w:val="32"/>
      <w:szCs w:val="32"/>
    </w:rPr>
  </w:style>
  <w:style w:type="paragraph" w:styleId="6">
    <w:name w:val="heading 3"/>
    <w:basedOn w:val="1"/>
    <w:next w:val="1"/>
    <w:link w:val="39"/>
    <w:autoRedefine/>
    <w:qFormat/>
    <w:uiPriority w:val="99"/>
    <w:pPr>
      <w:keepNext/>
      <w:keepLines/>
      <w:spacing w:before="260" w:after="260" w:line="416" w:lineRule="auto"/>
      <w:outlineLvl w:val="2"/>
    </w:pPr>
    <w:rPr>
      <w:b/>
      <w:bCs/>
      <w:sz w:val="32"/>
      <w:szCs w:val="32"/>
    </w:rPr>
  </w:style>
  <w:style w:type="character" w:default="1" w:styleId="30">
    <w:name w:val="Default Paragraph Font"/>
    <w:autoRedefine/>
    <w:semiHidden/>
    <w:qFormat/>
    <w:uiPriority w:val="99"/>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customStyle="1" w:styleId="2">
    <w:name w:val="无间隔1"/>
    <w:autoRedefine/>
    <w:qFormat/>
    <w:uiPriority w:val="99"/>
    <w:pPr>
      <w:adjustRightInd w:val="0"/>
      <w:snapToGrid w:val="0"/>
    </w:pPr>
    <w:rPr>
      <w:rFonts w:ascii="Tahoma" w:hAnsi="Tahoma" w:eastAsia="微软雅黑" w:cs="Times New Roman"/>
      <w:kern w:val="0"/>
      <w:sz w:val="22"/>
      <w:szCs w:val="22"/>
      <w:lang w:val="en-US" w:eastAsia="zh-CN" w:bidi="ar-SA"/>
    </w:rPr>
  </w:style>
  <w:style w:type="paragraph" w:styleId="5">
    <w:name w:val="Normal Indent"/>
    <w:basedOn w:val="1"/>
    <w:autoRedefine/>
    <w:qFormat/>
    <w:uiPriority w:val="99"/>
    <w:pPr>
      <w:ind w:firstLine="420"/>
    </w:pPr>
    <w:rPr>
      <w:szCs w:val="20"/>
    </w:rPr>
  </w:style>
  <w:style w:type="paragraph" w:styleId="7">
    <w:name w:val="List Number"/>
    <w:basedOn w:val="1"/>
    <w:autoRedefine/>
    <w:qFormat/>
    <w:uiPriority w:val="99"/>
    <w:pPr>
      <w:numPr>
        <w:ilvl w:val="0"/>
        <w:numId w:val="1"/>
      </w:numPr>
    </w:pPr>
  </w:style>
  <w:style w:type="paragraph" w:styleId="8">
    <w:name w:val="annotation text"/>
    <w:basedOn w:val="1"/>
    <w:link w:val="42"/>
    <w:autoRedefine/>
    <w:qFormat/>
    <w:uiPriority w:val="99"/>
    <w:pPr>
      <w:jc w:val="left"/>
    </w:pPr>
  </w:style>
  <w:style w:type="paragraph" w:styleId="9">
    <w:name w:val="Body Text"/>
    <w:basedOn w:val="1"/>
    <w:next w:val="10"/>
    <w:link w:val="40"/>
    <w:autoRedefine/>
    <w:qFormat/>
    <w:uiPriority w:val="99"/>
    <w:pPr>
      <w:spacing w:line="360" w:lineRule="exact"/>
    </w:pPr>
    <w:rPr>
      <w:sz w:val="24"/>
    </w:rPr>
  </w:style>
  <w:style w:type="paragraph" w:customStyle="1" w:styleId="10">
    <w:name w:val="Default"/>
    <w:next w:val="11"/>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1">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2">
    <w:name w:val="Body Text Indent"/>
    <w:basedOn w:val="1"/>
    <w:next w:val="1"/>
    <w:link w:val="43"/>
    <w:autoRedefine/>
    <w:qFormat/>
    <w:uiPriority w:val="99"/>
    <w:pPr>
      <w:spacing w:after="120"/>
      <w:ind w:left="420" w:leftChars="200"/>
    </w:pPr>
  </w:style>
  <w:style w:type="paragraph" w:styleId="13">
    <w:name w:val="Block Text"/>
    <w:basedOn w:val="1"/>
    <w:autoRedefine/>
    <w:qFormat/>
    <w:locked/>
    <w:uiPriority w:val="99"/>
    <w:pPr>
      <w:adjustRightInd w:val="0"/>
      <w:spacing w:line="300" w:lineRule="auto"/>
      <w:ind w:left="958" w:right="-120" w:rightChars="-120"/>
      <w:jc w:val="left"/>
    </w:pPr>
    <w:rPr>
      <w:rFonts w:ascii="宋体" w:hAnsi="宋体"/>
      <w:sz w:val="28"/>
    </w:rPr>
  </w:style>
  <w:style w:type="paragraph" w:styleId="14">
    <w:name w:val="toc 5"/>
    <w:basedOn w:val="1"/>
    <w:next w:val="1"/>
    <w:autoRedefine/>
    <w:qFormat/>
    <w:locked/>
    <w:uiPriority w:val="99"/>
    <w:pPr>
      <w:ind w:left="960"/>
      <w:jc w:val="left"/>
    </w:pPr>
    <w:rPr>
      <w:rFonts w:ascii="Calibri" w:hAnsi="Calibri" w:eastAsia="宋体"/>
      <w:sz w:val="18"/>
      <w:szCs w:val="18"/>
    </w:rPr>
  </w:style>
  <w:style w:type="paragraph" w:styleId="15">
    <w:name w:val="Plain Text"/>
    <w:basedOn w:val="1"/>
    <w:next w:val="1"/>
    <w:link w:val="44"/>
    <w:autoRedefine/>
    <w:qFormat/>
    <w:uiPriority w:val="99"/>
    <w:rPr>
      <w:rFonts w:ascii="宋体" w:hAnsi="Courier New"/>
    </w:rPr>
  </w:style>
  <w:style w:type="paragraph" w:styleId="16">
    <w:name w:val="Date"/>
    <w:basedOn w:val="1"/>
    <w:next w:val="1"/>
    <w:link w:val="45"/>
    <w:qFormat/>
    <w:uiPriority w:val="99"/>
    <w:pPr>
      <w:ind w:left="2500" w:leftChars="2500"/>
    </w:pPr>
    <w:rPr>
      <w:rFonts w:ascii="Calibri" w:hAnsi="Calibri" w:eastAsia="楷体_GB2312"/>
      <w:sz w:val="32"/>
      <w:szCs w:val="22"/>
    </w:rPr>
  </w:style>
  <w:style w:type="paragraph" w:styleId="17">
    <w:name w:val="Balloon Text"/>
    <w:basedOn w:val="1"/>
    <w:link w:val="46"/>
    <w:autoRedefine/>
    <w:qFormat/>
    <w:uiPriority w:val="99"/>
    <w:rPr>
      <w:sz w:val="18"/>
      <w:szCs w:val="18"/>
    </w:rPr>
  </w:style>
  <w:style w:type="paragraph" w:styleId="18">
    <w:name w:val="footer"/>
    <w:basedOn w:val="1"/>
    <w:link w:val="47"/>
    <w:qFormat/>
    <w:uiPriority w:val="99"/>
    <w:pPr>
      <w:tabs>
        <w:tab w:val="center" w:pos="4153"/>
        <w:tab w:val="right" w:pos="8306"/>
      </w:tabs>
      <w:snapToGrid w:val="0"/>
      <w:jc w:val="left"/>
    </w:pPr>
    <w:rPr>
      <w:sz w:val="18"/>
    </w:rPr>
  </w:style>
  <w:style w:type="paragraph" w:styleId="19">
    <w:name w:val="header"/>
    <w:basedOn w:val="1"/>
    <w:link w:val="48"/>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footnote text"/>
    <w:basedOn w:val="1"/>
    <w:link w:val="49"/>
    <w:autoRedefine/>
    <w:semiHidden/>
    <w:qFormat/>
    <w:locked/>
    <w:uiPriority w:val="99"/>
    <w:pPr>
      <w:snapToGrid w:val="0"/>
      <w:jc w:val="left"/>
    </w:pPr>
    <w:rPr>
      <w:sz w:val="18"/>
    </w:rPr>
  </w:style>
  <w:style w:type="paragraph" w:styleId="21">
    <w:name w:val="toc 6"/>
    <w:basedOn w:val="1"/>
    <w:next w:val="1"/>
    <w:autoRedefine/>
    <w:qFormat/>
    <w:locked/>
    <w:uiPriority w:val="99"/>
    <w:pPr>
      <w:widowControl/>
      <w:ind w:left="1000"/>
      <w:jc w:val="left"/>
    </w:pPr>
    <w:rPr>
      <w:kern w:val="0"/>
      <w:sz w:val="18"/>
      <w:szCs w:val="20"/>
    </w:rPr>
  </w:style>
  <w:style w:type="paragraph" w:styleId="22">
    <w:name w:val="toc 2"/>
    <w:basedOn w:val="1"/>
    <w:next w:val="1"/>
    <w:autoRedefine/>
    <w:qFormat/>
    <w:uiPriority w:val="99"/>
    <w:pPr>
      <w:ind w:left="420" w:leftChars="200"/>
    </w:pPr>
  </w:style>
  <w:style w:type="paragraph" w:styleId="23">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24">
    <w:name w:val="Title"/>
    <w:basedOn w:val="1"/>
    <w:next w:val="1"/>
    <w:link w:val="50"/>
    <w:autoRedefine/>
    <w:qFormat/>
    <w:locked/>
    <w:uiPriority w:val="99"/>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25">
    <w:name w:val="annotation subject"/>
    <w:basedOn w:val="8"/>
    <w:next w:val="8"/>
    <w:link w:val="51"/>
    <w:autoRedefine/>
    <w:qFormat/>
    <w:uiPriority w:val="99"/>
    <w:rPr>
      <w:b/>
      <w:bCs/>
    </w:rPr>
  </w:style>
  <w:style w:type="paragraph" w:styleId="26">
    <w:name w:val="Body Text First Indent"/>
    <w:basedOn w:val="9"/>
    <w:next w:val="21"/>
    <w:link w:val="41"/>
    <w:autoRedefine/>
    <w:qFormat/>
    <w:locked/>
    <w:uiPriority w:val="99"/>
    <w:pPr>
      <w:ind w:firstLine="420"/>
    </w:pPr>
    <w:rPr>
      <w:sz w:val="21"/>
    </w:rPr>
  </w:style>
  <w:style w:type="paragraph" w:styleId="27">
    <w:name w:val="Body Text First Indent 2"/>
    <w:basedOn w:val="12"/>
    <w:next w:val="1"/>
    <w:link w:val="52"/>
    <w:qFormat/>
    <w:locked/>
    <w:uiPriority w:val="99"/>
    <w:pPr>
      <w:ind w:firstLine="420"/>
    </w:pPr>
  </w:style>
  <w:style w:type="table" w:styleId="29">
    <w:name w:val="Table Grid"/>
    <w:basedOn w:val="28"/>
    <w:autoRedefine/>
    <w:qFormat/>
    <w:locked/>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Hyperlink"/>
    <w:basedOn w:val="30"/>
    <w:autoRedefine/>
    <w:qFormat/>
    <w:locked/>
    <w:uiPriority w:val="0"/>
    <w:rPr>
      <w:color w:val="0000FF"/>
      <w:u w:val="single"/>
    </w:rPr>
  </w:style>
  <w:style w:type="character" w:styleId="32">
    <w:name w:val="annotation reference"/>
    <w:basedOn w:val="30"/>
    <w:autoRedefine/>
    <w:qFormat/>
    <w:uiPriority w:val="99"/>
    <w:rPr>
      <w:rFonts w:cs="Times New Roman"/>
      <w:sz w:val="21"/>
      <w:szCs w:val="21"/>
    </w:rPr>
  </w:style>
  <w:style w:type="character" w:styleId="33">
    <w:name w:val="footnote reference"/>
    <w:basedOn w:val="30"/>
    <w:semiHidden/>
    <w:qFormat/>
    <w:locked/>
    <w:uiPriority w:val="99"/>
    <w:rPr>
      <w:rFonts w:cs="Times New Roman"/>
      <w:vertAlign w:val="superscript"/>
    </w:rPr>
  </w:style>
  <w:style w:type="character" w:customStyle="1" w:styleId="34">
    <w:name w:val="NormalCharacter"/>
    <w:autoRedefine/>
    <w:qFormat/>
    <w:uiPriority w:val="99"/>
  </w:style>
  <w:style w:type="paragraph" w:customStyle="1" w:styleId="35">
    <w:name w:val="_Style 3"/>
    <w:basedOn w:val="1"/>
    <w:autoRedefine/>
    <w:qFormat/>
    <w:uiPriority w:val="0"/>
    <w:pPr>
      <w:ind w:firstLine="420" w:firstLineChars="200"/>
    </w:pPr>
    <w:rPr>
      <w:szCs w:val="22"/>
    </w:rPr>
  </w:style>
  <w:style w:type="paragraph" w:customStyle="1" w:styleId="36">
    <w:name w:val="首行缩进"/>
    <w:basedOn w:val="1"/>
    <w:qFormat/>
    <w:uiPriority w:val="99"/>
    <w:pPr>
      <w:spacing w:line="360" w:lineRule="auto"/>
      <w:ind w:firstLine="480" w:firstLineChars="200"/>
    </w:pPr>
    <w:rPr>
      <w:sz w:val="24"/>
      <w:szCs w:val="22"/>
      <w:lang w:val="zh-CN"/>
    </w:rPr>
  </w:style>
  <w:style w:type="character" w:customStyle="1" w:styleId="37">
    <w:name w:val="Heading 1 Char"/>
    <w:basedOn w:val="30"/>
    <w:link w:val="3"/>
    <w:autoRedefine/>
    <w:qFormat/>
    <w:locked/>
    <w:uiPriority w:val="99"/>
    <w:rPr>
      <w:rFonts w:ascii="Times New Roman" w:hAnsi="Times New Roman" w:cs="Times New Roman"/>
      <w:b/>
      <w:bCs/>
      <w:kern w:val="44"/>
      <w:sz w:val="44"/>
      <w:szCs w:val="44"/>
    </w:rPr>
  </w:style>
  <w:style w:type="character" w:customStyle="1" w:styleId="38">
    <w:name w:val="Heading 2 Char"/>
    <w:basedOn w:val="30"/>
    <w:link w:val="4"/>
    <w:autoRedefine/>
    <w:semiHidden/>
    <w:qFormat/>
    <w:locked/>
    <w:uiPriority w:val="99"/>
    <w:rPr>
      <w:rFonts w:ascii="Cambria" w:hAnsi="Cambria" w:eastAsia="宋体" w:cs="Times New Roman"/>
      <w:b/>
      <w:bCs/>
      <w:sz w:val="32"/>
      <w:szCs w:val="32"/>
    </w:rPr>
  </w:style>
  <w:style w:type="character" w:customStyle="1" w:styleId="39">
    <w:name w:val="Heading 3 Char"/>
    <w:basedOn w:val="30"/>
    <w:link w:val="6"/>
    <w:autoRedefine/>
    <w:semiHidden/>
    <w:qFormat/>
    <w:locked/>
    <w:uiPriority w:val="99"/>
    <w:rPr>
      <w:rFonts w:cs="Times New Roman"/>
      <w:b/>
      <w:bCs/>
      <w:sz w:val="32"/>
      <w:szCs w:val="32"/>
    </w:rPr>
  </w:style>
  <w:style w:type="character" w:customStyle="1" w:styleId="40">
    <w:name w:val="Body Text Char"/>
    <w:basedOn w:val="30"/>
    <w:link w:val="9"/>
    <w:autoRedefine/>
    <w:semiHidden/>
    <w:qFormat/>
    <w:locked/>
    <w:uiPriority w:val="99"/>
    <w:rPr>
      <w:rFonts w:cs="Times New Roman"/>
      <w:sz w:val="24"/>
      <w:szCs w:val="24"/>
    </w:rPr>
  </w:style>
  <w:style w:type="character" w:customStyle="1" w:styleId="41">
    <w:name w:val="Body Text First Indent Char"/>
    <w:basedOn w:val="40"/>
    <w:link w:val="26"/>
    <w:autoRedefine/>
    <w:semiHidden/>
    <w:qFormat/>
    <w:locked/>
    <w:uiPriority w:val="99"/>
    <w:rPr>
      <w:rFonts w:ascii="Times New Roman" w:hAnsi="Times New Roman"/>
    </w:rPr>
  </w:style>
  <w:style w:type="character" w:customStyle="1" w:styleId="42">
    <w:name w:val="Comment Text Char"/>
    <w:basedOn w:val="30"/>
    <w:link w:val="8"/>
    <w:autoRedefine/>
    <w:qFormat/>
    <w:locked/>
    <w:uiPriority w:val="99"/>
    <w:rPr>
      <w:rFonts w:ascii="Times New Roman" w:hAnsi="Times New Roman" w:eastAsia="宋体" w:cs="Times New Roman"/>
      <w:kern w:val="2"/>
      <w:sz w:val="24"/>
      <w:szCs w:val="24"/>
    </w:rPr>
  </w:style>
  <w:style w:type="character" w:customStyle="1" w:styleId="43">
    <w:name w:val="Body Text Indent Char"/>
    <w:basedOn w:val="30"/>
    <w:link w:val="12"/>
    <w:autoRedefine/>
    <w:qFormat/>
    <w:locked/>
    <w:uiPriority w:val="99"/>
    <w:rPr>
      <w:rFonts w:cs="Times New Roman"/>
      <w:kern w:val="2"/>
      <w:sz w:val="24"/>
      <w:szCs w:val="24"/>
    </w:rPr>
  </w:style>
  <w:style w:type="character" w:customStyle="1" w:styleId="44">
    <w:name w:val="Plain Text Char"/>
    <w:basedOn w:val="30"/>
    <w:link w:val="15"/>
    <w:autoRedefine/>
    <w:semiHidden/>
    <w:qFormat/>
    <w:locked/>
    <w:uiPriority w:val="99"/>
    <w:rPr>
      <w:rFonts w:ascii="宋体" w:hAnsi="Courier New" w:cs="Courier New"/>
      <w:sz w:val="21"/>
      <w:szCs w:val="21"/>
    </w:rPr>
  </w:style>
  <w:style w:type="character" w:customStyle="1" w:styleId="45">
    <w:name w:val="Date Char"/>
    <w:basedOn w:val="30"/>
    <w:link w:val="16"/>
    <w:autoRedefine/>
    <w:semiHidden/>
    <w:qFormat/>
    <w:locked/>
    <w:uiPriority w:val="99"/>
    <w:rPr>
      <w:rFonts w:cs="Times New Roman"/>
      <w:sz w:val="24"/>
      <w:szCs w:val="24"/>
    </w:rPr>
  </w:style>
  <w:style w:type="character" w:customStyle="1" w:styleId="46">
    <w:name w:val="Balloon Text Char"/>
    <w:basedOn w:val="30"/>
    <w:link w:val="17"/>
    <w:autoRedefine/>
    <w:qFormat/>
    <w:locked/>
    <w:uiPriority w:val="99"/>
    <w:rPr>
      <w:rFonts w:ascii="Times New Roman" w:hAnsi="Times New Roman" w:eastAsia="宋体" w:cs="Times New Roman"/>
      <w:kern w:val="2"/>
      <w:sz w:val="18"/>
      <w:szCs w:val="18"/>
    </w:rPr>
  </w:style>
  <w:style w:type="character" w:customStyle="1" w:styleId="47">
    <w:name w:val="Footer Char"/>
    <w:basedOn w:val="30"/>
    <w:link w:val="18"/>
    <w:autoRedefine/>
    <w:semiHidden/>
    <w:qFormat/>
    <w:locked/>
    <w:uiPriority w:val="99"/>
    <w:rPr>
      <w:rFonts w:cs="Times New Roman"/>
      <w:sz w:val="18"/>
      <w:szCs w:val="18"/>
    </w:rPr>
  </w:style>
  <w:style w:type="character" w:customStyle="1" w:styleId="48">
    <w:name w:val="Header Char"/>
    <w:basedOn w:val="30"/>
    <w:link w:val="19"/>
    <w:autoRedefine/>
    <w:semiHidden/>
    <w:qFormat/>
    <w:locked/>
    <w:uiPriority w:val="99"/>
    <w:rPr>
      <w:rFonts w:cs="Times New Roman"/>
      <w:sz w:val="18"/>
      <w:szCs w:val="18"/>
    </w:rPr>
  </w:style>
  <w:style w:type="character" w:customStyle="1" w:styleId="49">
    <w:name w:val="Footnote Text Char"/>
    <w:basedOn w:val="30"/>
    <w:link w:val="20"/>
    <w:autoRedefine/>
    <w:semiHidden/>
    <w:qFormat/>
    <w:locked/>
    <w:uiPriority w:val="99"/>
    <w:rPr>
      <w:rFonts w:cs="Times New Roman"/>
      <w:sz w:val="18"/>
      <w:szCs w:val="18"/>
    </w:rPr>
  </w:style>
  <w:style w:type="character" w:customStyle="1" w:styleId="50">
    <w:name w:val="Title Char"/>
    <w:basedOn w:val="30"/>
    <w:link w:val="24"/>
    <w:autoRedefine/>
    <w:qFormat/>
    <w:locked/>
    <w:uiPriority w:val="99"/>
    <w:rPr>
      <w:rFonts w:ascii="Cambria" w:hAnsi="Cambria" w:cs="Times New Roman"/>
      <w:b/>
      <w:bCs/>
      <w:sz w:val="32"/>
      <w:szCs w:val="32"/>
    </w:rPr>
  </w:style>
  <w:style w:type="character" w:customStyle="1" w:styleId="51">
    <w:name w:val="Comment Subject Char"/>
    <w:basedOn w:val="42"/>
    <w:link w:val="25"/>
    <w:autoRedefine/>
    <w:qFormat/>
    <w:locked/>
    <w:uiPriority w:val="99"/>
    <w:rPr>
      <w:b/>
      <w:bCs/>
    </w:rPr>
  </w:style>
  <w:style w:type="character" w:customStyle="1" w:styleId="52">
    <w:name w:val="Body Text First Indent 2 Char"/>
    <w:basedOn w:val="43"/>
    <w:link w:val="27"/>
    <w:autoRedefine/>
    <w:semiHidden/>
    <w:qFormat/>
    <w:locked/>
    <w:uiPriority w:val="99"/>
    <w:rPr>
      <w:rFonts w:ascii="Times New Roman" w:hAnsi="Times New Roman"/>
    </w:rPr>
  </w:style>
  <w:style w:type="paragraph" w:customStyle="1" w:styleId="53">
    <w:name w:val="正文（首行缩进2字符）"/>
    <w:basedOn w:val="1"/>
    <w:autoRedefine/>
    <w:qFormat/>
    <w:uiPriority w:val="99"/>
    <w:pPr>
      <w:spacing w:line="360" w:lineRule="auto"/>
      <w:ind w:firstLine="420" w:firstLineChars="200"/>
    </w:pPr>
    <w:rPr>
      <w:szCs w:val="21"/>
    </w:rPr>
  </w:style>
  <w:style w:type="paragraph" w:customStyle="1" w:styleId="54">
    <w:name w:val="zw"/>
    <w:basedOn w:val="1"/>
    <w:autoRedefine/>
    <w:qFormat/>
    <w:uiPriority w:val="99"/>
    <w:pPr>
      <w:widowControl/>
      <w:spacing w:before="30"/>
      <w:ind w:left="100" w:right="100"/>
    </w:pPr>
    <w:rPr>
      <w:rFonts w:ascii="方正书宋简体" w:hAnsi="宋体" w:eastAsia="方正书宋简体"/>
      <w:color w:val="000000"/>
      <w:kern w:val="0"/>
      <w:szCs w:val="21"/>
    </w:rPr>
  </w:style>
  <w:style w:type="paragraph" w:styleId="55">
    <w:name w:val="List Paragraph"/>
    <w:basedOn w:val="1"/>
    <w:autoRedefine/>
    <w:qFormat/>
    <w:uiPriority w:val="99"/>
    <w:pPr>
      <w:ind w:firstLine="420" w:firstLineChars="200"/>
    </w:pPr>
    <w:rPr>
      <w:rFonts w:ascii="Calibri" w:hAnsi="Calibri"/>
      <w:szCs w:val="22"/>
    </w:rPr>
  </w:style>
  <w:style w:type="paragraph" w:customStyle="1" w:styleId="56">
    <w:name w:val="列出段落1"/>
    <w:basedOn w:val="1"/>
    <w:autoRedefine/>
    <w:qFormat/>
    <w:uiPriority w:val="99"/>
    <w:pPr>
      <w:ind w:firstLine="420" w:firstLineChars="200"/>
    </w:pPr>
    <w:rPr>
      <w:rFonts w:ascii="Calibri" w:hAnsi="Calibri"/>
      <w:kern w:val="0"/>
      <w:szCs w:val="20"/>
    </w:rPr>
  </w:style>
  <w:style w:type="paragraph" w:customStyle="1" w:styleId="57">
    <w:name w:val="无间隔11"/>
    <w:autoRedefine/>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58">
    <w:name w:val="reader-word-layer"/>
    <w:basedOn w:val="1"/>
    <w:autoRedefine/>
    <w:qFormat/>
    <w:uiPriority w:val="99"/>
    <w:pPr>
      <w:widowControl/>
      <w:spacing w:before="100" w:beforeAutospacing="1" w:after="100" w:afterAutospacing="1"/>
      <w:jc w:val="left"/>
    </w:pPr>
    <w:rPr>
      <w:rFonts w:ascii="宋体" w:hAnsi="宋体" w:cs="宋体"/>
      <w:kern w:val="0"/>
      <w:sz w:val="24"/>
    </w:rPr>
  </w:style>
  <w:style w:type="paragraph" w:customStyle="1" w:styleId="59">
    <w:name w:val="正文_3_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正文_14"/>
    <w:autoRedefine/>
    <w:qFormat/>
    <w:uiPriority w:val="99"/>
    <w:rPr>
      <w:rFonts w:ascii="Times New Roman" w:hAnsi="Times New Roman" w:eastAsia="宋体" w:cs="Times New Roman"/>
      <w:kern w:val="0"/>
      <w:sz w:val="21"/>
      <w:szCs w:val="22"/>
      <w:lang w:val="en-US" w:eastAsia="zh-CN" w:bidi="ar-SA"/>
    </w:rPr>
  </w:style>
  <w:style w:type="paragraph" w:customStyle="1" w:styleId="61">
    <w:name w:val="正文_4"/>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_5"/>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正文_10"/>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纯文本_3"/>
    <w:basedOn w:val="63"/>
    <w:autoRedefine/>
    <w:qFormat/>
    <w:uiPriority w:val="99"/>
    <w:pPr>
      <w:widowControl/>
      <w:jc w:val="left"/>
    </w:pPr>
    <w:rPr>
      <w:rFonts w:ascii="宋体" w:hAnsi="Courier New"/>
      <w:szCs w:val="21"/>
    </w:rPr>
  </w:style>
  <w:style w:type="paragraph" w:customStyle="1" w:styleId="65">
    <w:name w:val="纯文本_0_1"/>
    <w:basedOn w:val="1"/>
    <w:autoRedefine/>
    <w:qFormat/>
    <w:uiPriority w:val="99"/>
    <w:pPr>
      <w:widowControl/>
      <w:jc w:val="left"/>
    </w:pPr>
    <w:rPr>
      <w:rFonts w:ascii="宋体" w:hAnsi="Courier New"/>
      <w:szCs w:val="21"/>
    </w:rPr>
  </w:style>
  <w:style w:type="paragraph" w:customStyle="1" w:styleId="66">
    <w:name w:val="正文_1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_2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_6"/>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Normal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0">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 w:type="paragraph" w:customStyle="1" w:styleId="71">
    <w:name w:val="页眉与页脚"/>
    <w:qFormat/>
    <w:uiPriority w:val="99"/>
    <w:pPr>
      <w:tabs>
        <w:tab w:val="right" w:pos="9020"/>
      </w:tabs>
    </w:pPr>
    <w:rPr>
      <w:rFonts w:ascii="Helvetica" w:hAnsi="Helvetica" w:eastAsia="宋体" w:cs="Arial Unicode MS"/>
      <w:color w:val="000000"/>
      <w:kern w:val="0"/>
      <w:sz w:val="24"/>
      <w:szCs w:val="24"/>
      <w:lang w:val="en-US" w:eastAsia="zh-CN" w:bidi="ar-SA"/>
    </w:rPr>
  </w:style>
  <w:style w:type="character" w:customStyle="1" w:styleId="72">
    <w:name w:val="font11"/>
    <w:qFormat/>
    <w:uiPriority w:val="99"/>
    <w:rPr>
      <w:rFonts w:ascii="Times New Roman" w:hAnsi="Times New Roman"/>
      <w:color w:val="000000"/>
      <w:sz w:val="24"/>
      <w:u w:val="none"/>
    </w:rPr>
  </w:style>
  <w:style w:type="character" w:customStyle="1" w:styleId="73">
    <w:name w:val="font01"/>
    <w:autoRedefine/>
    <w:qFormat/>
    <w:uiPriority w:val="99"/>
    <w:rPr>
      <w:rFonts w:ascii="宋体" w:hAnsi="宋体" w:eastAsia="宋体"/>
      <w:color w:val="000000"/>
      <w:sz w:val="24"/>
      <w:u w:val="none"/>
    </w:rPr>
  </w:style>
  <w:style w:type="character" w:customStyle="1" w:styleId="74">
    <w:name w:val="font31"/>
    <w:autoRedefine/>
    <w:qFormat/>
    <w:uiPriority w:val="99"/>
    <w:rPr>
      <w:rFonts w:ascii="宋体" w:hAnsi="宋体" w:eastAsia="宋体"/>
      <w:color w:val="000000"/>
      <w:sz w:val="24"/>
      <w:u w:val="none"/>
    </w:rPr>
  </w:style>
  <w:style w:type="paragraph" w:customStyle="1" w:styleId="75">
    <w:name w:val="正文 New New New New"/>
    <w:autoRedefine/>
    <w:qFormat/>
    <w:uiPriority w:val="99"/>
    <w:pPr>
      <w:widowControl w:val="0"/>
      <w:jc w:val="both"/>
    </w:pPr>
    <w:rPr>
      <w:rFonts w:ascii="Times New Roman" w:hAnsi="Times New Roman" w:eastAsia="宋体" w:cs="Times New Roman"/>
      <w:kern w:val="0"/>
      <w:sz w:val="21"/>
      <w:szCs w:val="24"/>
      <w:lang w:val="en-US" w:eastAsia="zh-CN" w:bidi="ar-SA"/>
    </w:rPr>
  </w:style>
  <w:style w:type="paragraph" w:customStyle="1" w:styleId="76">
    <w:name w:val="p18"/>
    <w:basedOn w:val="1"/>
    <w:autoRedefine/>
    <w:qFormat/>
    <w:uiPriority w:val="99"/>
    <w:pPr>
      <w:widowControl/>
      <w:spacing w:line="748" w:lineRule="atLeast"/>
      <w:ind w:left="-527" w:firstLine="527"/>
    </w:pPr>
    <w:rPr>
      <w:rFonts w:ascii="宋体" w:hAnsi="宋体" w:cs="宋体"/>
      <w:kern w:val="0"/>
      <w:sz w:val="24"/>
    </w:rPr>
  </w:style>
  <w:style w:type="paragraph" w:customStyle="1" w:styleId="77">
    <w:name w:val="投标标题1"/>
    <w:qFormat/>
    <w:uiPriority w:val="99"/>
    <w:pPr>
      <w:keepNext/>
      <w:keepLines/>
      <w:widowControl w:val="0"/>
      <w:spacing w:before="120" w:after="120"/>
      <w:ind w:left="144" w:hanging="144"/>
      <w:jc w:val="center"/>
      <w:outlineLvl w:val="0"/>
    </w:pPr>
    <w:rPr>
      <w:rFonts w:ascii="黑体" w:hAnsi="Times New Roman" w:eastAsia="黑体" w:cs="Times New Roman"/>
      <w:b/>
      <w:kern w:val="44"/>
      <w:sz w:val="28"/>
      <w:szCs w:val="28"/>
      <w:lang w:val="en-US" w:eastAsia="zh-CN" w:bidi="ar-SA"/>
    </w:rPr>
  </w:style>
  <w:style w:type="paragraph" w:customStyle="1" w:styleId="78">
    <w:name w:val="投标正文"/>
    <w:basedOn w:val="1"/>
    <w:autoRedefine/>
    <w:qFormat/>
    <w:uiPriority w:val="99"/>
    <w:pPr>
      <w:spacing w:line="360" w:lineRule="auto"/>
      <w:ind w:left="100" w:firstLine="480" w:firstLineChars="200"/>
    </w:pPr>
    <w:rPr>
      <w:rFonts w:ascii="Calibri" w:hAnsi="Calibri"/>
      <w:sz w:val="24"/>
    </w:rPr>
  </w:style>
  <w:style w:type="paragraph" w:customStyle="1" w:styleId="79">
    <w:name w:val="投标文件正文"/>
    <w:basedOn w:val="1"/>
    <w:qFormat/>
    <w:uiPriority w:val="99"/>
    <w:pPr>
      <w:spacing w:afterLines="50" w:line="360" w:lineRule="auto"/>
      <w:ind w:firstLine="200" w:firstLineChars="200"/>
    </w:pPr>
    <w:rPr>
      <w:rFonts w:ascii="宋体" w:hAnsi="宋体"/>
      <w:color w:val="000000"/>
      <w:sz w:val="24"/>
    </w:rPr>
  </w:style>
  <w:style w:type="paragraph" w:customStyle="1" w:styleId="80">
    <w:name w:val="投标标题2"/>
    <w:autoRedefine/>
    <w:qFormat/>
    <w:uiPriority w:val="99"/>
    <w:pPr>
      <w:keepNext/>
      <w:keepLines/>
      <w:widowControl w:val="0"/>
      <w:spacing w:before="120" w:after="120" w:line="412" w:lineRule="auto"/>
      <w:ind w:left="576" w:hanging="576"/>
      <w:jc w:val="both"/>
      <w:outlineLvl w:val="1"/>
    </w:pPr>
    <w:rPr>
      <w:rFonts w:ascii="Times New Roman" w:hAnsi="Times New Roman" w:eastAsia="黑体" w:cs="Times New Roman"/>
      <w:b/>
      <w:kern w:val="2"/>
      <w:sz w:val="28"/>
      <w:szCs w:val="28"/>
      <w:lang w:val="en-US" w:eastAsia="zh-CN" w:bidi="ar-SA"/>
    </w:rPr>
  </w:style>
  <w:style w:type="paragraph" w:customStyle="1" w:styleId="81">
    <w:name w:val="投标标题3"/>
    <w:autoRedefine/>
    <w:qFormat/>
    <w:uiPriority w:val="99"/>
    <w:pPr>
      <w:keepNext/>
      <w:keepLines/>
      <w:widowControl w:val="0"/>
      <w:spacing w:beforeLines="50" w:afterLines="50" w:line="480" w:lineRule="auto"/>
      <w:ind w:left="420" w:hanging="420"/>
      <w:jc w:val="both"/>
      <w:outlineLvl w:val="2"/>
    </w:pPr>
    <w:rPr>
      <w:rFonts w:ascii="宋体" w:hAnsi="宋体" w:eastAsia="宋体" w:cs="Times New Roman"/>
      <w:b/>
      <w:color w:val="000000"/>
      <w:kern w:val="2"/>
      <w:sz w:val="24"/>
      <w:szCs w:val="24"/>
      <w:lang w:val="en-US" w:eastAsia="zh-CN" w:bidi="ar-SA"/>
    </w:rPr>
  </w:style>
  <w:style w:type="paragraph" w:customStyle="1" w:styleId="82">
    <w:name w:val="UserStyle_0"/>
    <w:autoRedefine/>
    <w:qFormat/>
    <w:uiPriority w:val="99"/>
    <w:pPr>
      <w:tabs>
        <w:tab w:val="left" w:pos="2551"/>
        <w:tab w:val="left" w:pos="3118"/>
        <w:tab w:val="left" w:pos="4819"/>
        <w:tab w:val="left" w:pos="5386"/>
        <w:tab w:val="left" w:pos="5953"/>
        <w:tab w:val="left" w:pos="6520"/>
        <w:tab w:val="left" w:pos="7075"/>
        <w:tab w:val="left" w:pos="7654"/>
        <w:tab w:val="left" w:pos="8220"/>
      </w:tabs>
      <w:spacing w:before="1" w:after="1"/>
      <w:ind w:left="2551" w:right="1" w:hanging="2551"/>
      <w:textAlignment w:val="baseline"/>
    </w:pPr>
    <w:rPr>
      <w:rFonts w:ascii="Helvetica" w:hAnsi="Helvetica" w:eastAsia="平成明朝" w:cs="Times New Roman"/>
      <w:color w:val="000000"/>
      <w:kern w:val="0"/>
      <w:sz w:val="28"/>
      <w:szCs w:val="20"/>
      <w:lang w:val="en-US" w:eastAsia="ja-JP" w:bidi="ar-SA"/>
    </w:rPr>
  </w:style>
  <w:style w:type="paragraph" w:customStyle="1" w:styleId="83">
    <w:name w:val="列出段落"/>
    <w:basedOn w:val="1"/>
    <w:qFormat/>
    <w:uiPriority w:val="99"/>
    <w:pPr>
      <w:ind w:firstLine="420" w:firstLineChars="200"/>
    </w:pPr>
    <w:rPr>
      <w:rFonts w:ascii="Calibri" w:hAnsi="Calibri"/>
      <w:szCs w:val="22"/>
    </w:rPr>
  </w:style>
  <w:style w:type="character" w:customStyle="1" w:styleId="84">
    <w:name w:val="font21"/>
    <w:basedOn w:val="30"/>
    <w:qFormat/>
    <w:uiPriority w:val="0"/>
    <w:rPr>
      <w:rFonts w:hint="eastAsia" w:ascii="宋体" w:hAnsi="宋体" w:eastAsia="宋体" w:cs="宋体"/>
      <w:color w:val="000000"/>
      <w:sz w:val="24"/>
      <w:szCs w:val="24"/>
      <w:u w:val="none"/>
    </w:rPr>
  </w:style>
  <w:style w:type="paragraph" w:customStyle="1" w:styleId="85">
    <w:name w:val="彩色列表 - 强调文字颜色 11"/>
    <w:basedOn w:val="1"/>
    <w:autoRedefine/>
    <w:qFormat/>
    <w:uiPriority w:val="0"/>
    <w:pPr>
      <w:widowControl/>
      <w:ind w:firstLine="200" w:firstLineChars="200"/>
      <w:jc w:val="left"/>
    </w:pPr>
    <w:rPr>
      <w:rFonts w:ascii="??" w:hAnsi="??" w:eastAsia="??" w:cs="??"/>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Sky123.Org</Company>
  <Pages>69</Pages>
  <Words>30523</Words>
  <Characters>33341</Characters>
  <Lines>0</Lines>
  <Paragraphs>0</Paragraphs>
  <TotalTime>4</TotalTime>
  <ScaleCrop>false</ScaleCrop>
  <LinksUpToDate>false</LinksUpToDate>
  <CharactersWithSpaces>35085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S-mile</dc:creator>
  <cp:lastModifiedBy>弄白白白</cp:lastModifiedBy>
  <cp:lastPrinted>2023-10-12T07:47:00Z</cp:lastPrinted>
  <dcterms:modified xsi:type="dcterms:W3CDTF">2023-12-28T06:56:27Z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8952985E73D94B2A920B0CA4407FA6BC_13</vt:lpwstr>
  </property>
</Properties>
</file>