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rPr>
          <w:rFonts w:ascii="宋体" w:hAnsi="宋体" w:cs="宋体"/>
          <w:b/>
          <w:color w:val="auto"/>
          <w:kern w:val="0"/>
          <w:sz w:val="52"/>
          <w:szCs w:val="52"/>
          <w:highlight w:val="none"/>
        </w:rPr>
      </w:pPr>
      <w:bookmarkStart w:id="98" w:name="_GoBack"/>
    </w:p>
    <w:p>
      <w:pPr>
        <w:jc w:val="center"/>
        <w:textAlignment w:val="baseline"/>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737235</wp:posOffset>
            </wp:positionH>
            <wp:positionV relativeFrom="page">
              <wp:posOffset>1409065</wp:posOffset>
            </wp:positionV>
            <wp:extent cx="2971800" cy="209169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lum contrast="12000"/>
                    </a:blip>
                    <a:srcRect/>
                    <a:stretch>
                      <a:fillRect/>
                    </a:stretch>
                  </pic:blipFill>
                  <pic:spPr>
                    <a:xfrm>
                      <a:off x="0" y="0"/>
                      <a:ext cx="2971800" cy="2091690"/>
                    </a:xfrm>
                    <a:prstGeom prst="rect">
                      <a:avLst/>
                    </a:prstGeom>
                    <a:noFill/>
                    <a:ln w="9525">
                      <a:noFill/>
                      <a:miter lim="800000"/>
                      <a:headEnd/>
                      <a:tailEnd/>
                    </a:ln>
                  </pic:spPr>
                </pic:pic>
              </a:graphicData>
            </a:graphic>
          </wp:anchor>
        </w:drawing>
      </w:r>
    </w:p>
    <w:p>
      <w:pPr>
        <w:jc w:val="center"/>
        <w:textAlignment w:val="baseline"/>
        <w:rPr>
          <w:rFonts w:ascii="宋体" w:hAnsi="宋体" w:cs="宋体"/>
          <w:color w:val="auto"/>
          <w:sz w:val="52"/>
          <w:szCs w:val="52"/>
          <w:highlight w:val="none"/>
        </w:rPr>
      </w:pPr>
    </w:p>
    <w:p>
      <w:pPr>
        <w:jc w:val="center"/>
        <w:textAlignment w:val="baseline"/>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pPr>
        <w:jc w:val="center"/>
        <w:textAlignment w:val="baseline"/>
        <w:rPr>
          <w:rFonts w:ascii="宋体" w:hAnsi="宋体" w:cs="宋体"/>
          <w:color w:val="auto"/>
          <w:sz w:val="36"/>
          <w:szCs w:val="36"/>
          <w:highlight w:val="none"/>
        </w:rPr>
      </w:pPr>
    </w:p>
    <w:p>
      <w:pPr>
        <w:jc w:val="center"/>
        <w:textAlignment w:val="baseline"/>
        <w:rPr>
          <w:rFonts w:ascii="宋体" w:hAnsi="宋体" w:cs="宋体"/>
          <w:b/>
          <w:color w:val="auto"/>
          <w:sz w:val="72"/>
          <w:szCs w:val="72"/>
          <w:highlight w:val="none"/>
        </w:rPr>
      </w:pPr>
    </w:p>
    <w:p>
      <w:pPr>
        <w:shd w:val="clear" w:color="auto" w:fill="FFFFFF"/>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政府采购招标文件</w:t>
      </w:r>
    </w:p>
    <w:p>
      <w:pPr>
        <w:shd w:val="clear" w:color="auto" w:fill="FFFFFF"/>
        <w:spacing w:line="360" w:lineRule="auto"/>
        <w:jc w:val="center"/>
        <w:textAlignment w:val="bottom"/>
        <w:rPr>
          <w:rFonts w:ascii="宋体" w:hAnsi="宋体" w:cs="宋体"/>
          <w:color w:val="auto"/>
          <w:sz w:val="28"/>
          <w:szCs w:val="28"/>
          <w:highlight w:val="none"/>
        </w:rPr>
      </w:pPr>
    </w:p>
    <w:p>
      <w:pPr>
        <w:shd w:val="clear" w:color="auto" w:fill="FFFFFF"/>
        <w:spacing w:line="360" w:lineRule="auto"/>
        <w:jc w:val="center"/>
        <w:textAlignment w:val="bottom"/>
        <w:rPr>
          <w:rFonts w:ascii="宋体" w:hAnsi="宋体" w:cs="宋体"/>
          <w:color w:val="auto"/>
          <w:sz w:val="28"/>
          <w:szCs w:val="28"/>
          <w:highlight w:val="none"/>
        </w:rPr>
      </w:pPr>
      <w:r>
        <w:rPr>
          <w:rFonts w:hint="eastAsia" w:ascii="宋体" w:hAnsi="宋体" w:cs="宋体"/>
          <w:color w:val="auto"/>
          <w:sz w:val="28"/>
          <w:szCs w:val="28"/>
          <w:highlight w:val="none"/>
        </w:rPr>
        <w:t>项目编号： ZJWS2022-JJ216</w:t>
      </w:r>
    </w:p>
    <w:p>
      <w:pPr>
        <w:shd w:val="clear" w:color="auto" w:fill="FFFFFF"/>
        <w:tabs>
          <w:tab w:val="left" w:pos="1860"/>
        </w:tabs>
        <w:spacing w:line="360" w:lineRule="auto"/>
        <w:textAlignment w:val="bottom"/>
        <w:rPr>
          <w:rFonts w:ascii="宋体" w:hAnsi="宋体" w:cs="宋体"/>
          <w:color w:val="auto"/>
          <w:kern w:val="0"/>
          <w:sz w:val="28"/>
          <w:highlight w:val="none"/>
        </w:rPr>
      </w:pPr>
    </w:p>
    <w:p>
      <w:pPr>
        <w:spacing w:line="360" w:lineRule="auto"/>
        <w:ind w:firstLine="1960" w:firstLineChars="700"/>
        <w:textAlignment w:val="baseline"/>
        <w:rPr>
          <w:rFonts w:ascii="宋体" w:hAnsi="宋体" w:cs="宋体"/>
          <w:color w:val="auto"/>
          <w:kern w:val="0"/>
          <w:sz w:val="28"/>
          <w:highlight w:val="none"/>
        </w:rPr>
      </w:pPr>
      <w:r>
        <w:rPr>
          <w:rFonts w:hint="eastAsia" w:ascii="宋体" w:hAnsi="宋体" w:cs="宋体"/>
          <w:color w:val="auto"/>
          <w:kern w:val="0"/>
          <w:sz w:val="28"/>
          <w:highlight w:val="none"/>
        </w:rPr>
        <w:t>采购项目：台州市不动产登记数据质量提升项目</w:t>
      </w:r>
    </w:p>
    <w:p>
      <w:pPr>
        <w:spacing w:line="360" w:lineRule="auto"/>
        <w:ind w:firstLine="1960" w:firstLineChars="700"/>
        <w:textAlignment w:val="baseline"/>
        <w:rPr>
          <w:rFonts w:ascii="宋体" w:hAnsi="宋体" w:cs="宋体"/>
          <w:color w:val="auto"/>
          <w:kern w:val="0"/>
          <w:sz w:val="28"/>
          <w:highlight w:val="none"/>
        </w:rPr>
      </w:pPr>
      <w:r>
        <w:rPr>
          <w:rFonts w:hint="eastAsia" w:ascii="宋体" w:hAnsi="宋体" w:cs="宋体"/>
          <w:color w:val="auto"/>
          <w:kern w:val="0"/>
          <w:sz w:val="28"/>
          <w:highlight w:val="none"/>
        </w:rPr>
        <w:t>采购单位：台州市</w:t>
      </w:r>
      <w:r>
        <w:rPr>
          <w:rFonts w:hint="eastAsia" w:ascii="宋体" w:hAnsi="宋体" w:cs="宋体"/>
          <w:color w:val="auto"/>
          <w:kern w:val="0"/>
          <w:sz w:val="28"/>
          <w:highlight w:val="none"/>
          <w:lang w:eastAsia="zh-CN"/>
        </w:rPr>
        <w:t>不动产登记服务中心</w:t>
      </w:r>
    </w:p>
    <w:p>
      <w:pPr>
        <w:spacing w:line="360" w:lineRule="auto"/>
        <w:jc w:val="center"/>
        <w:textAlignment w:val="baseline"/>
        <w:rPr>
          <w:rFonts w:ascii="宋体" w:hAnsi="宋体" w:cs="宋体"/>
          <w:color w:val="auto"/>
          <w:kern w:val="0"/>
          <w:sz w:val="28"/>
          <w:highlight w:val="none"/>
        </w:rPr>
      </w:pPr>
      <w:r>
        <w:rPr>
          <w:rFonts w:hint="eastAsia" w:ascii="宋体" w:hAnsi="宋体" w:cs="宋体"/>
          <w:color w:val="auto"/>
          <w:kern w:val="0"/>
          <w:sz w:val="28"/>
          <w:highlight w:val="none"/>
        </w:rPr>
        <w:t xml:space="preserve"> 采购代理机构：浙江五石中正工程咨询有限公司</w:t>
      </w:r>
    </w:p>
    <w:p>
      <w:pPr>
        <w:spacing w:line="360" w:lineRule="auto"/>
        <w:jc w:val="center"/>
        <w:textAlignment w:val="baseline"/>
        <w:rPr>
          <w:rFonts w:ascii="宋体" w:hAnsi="宋体" w:cs="宋体"/>
          <w:color w:val="auto"/>
          <w:kern w:val="0"/>
          <w:sz w:val="28"/>
          <w:highlight w:val="none"/>
        </w:rPr>
      </w:pPr>
      <w:r>
        <w:rPr>
          <w:rFonts w:hint="eastAsia" w:ascii="宋体" w:hAnsi="宋体" w:cs="宋体"/>
          <w:color w:val="auto"/>
          <w:kern w:val="0"/>
          <w:sz w:val="28"/>
          <w:highlight w:val="none"/>
        </w:rPr>
        <w:t>二○二二年九月</w:t>
      </w:r>
    </w:p>
    <w:p>
      <w:pPr>
        <w:spacing w:line="360" w:lineRule="auto"/>
        <w:ind w:firstLine="480" w:firstLineChars="200"/>
        <w:textAlignment w:val="baseline"/>
        <w:rPr>
          <w:rFonts w:ascii="宋体" w:hAnsi="宋体" w:cs="宋体"/>
          <w:color w:val="auto"/>
          <w:sz w:val="24"/>
          <w:szCs w:val="32"/>
          <w:highlight w:val="none"/>
        </w:rPr>
      </w:pPr>
    </w:p>
    <w:p>
      <w:pPr>
        <w:spacing w:line="360" w:lineRule="auto"/>
        <w:ind w:firstLine="480" w:firstLineChars="200"/>
        <w:textAlignment w:val="baseline"/>
        <w:rPr>
          <w:rFonts w:ascii="宋体" w:hAnsi="宋体" w:cs="宋体"/>
          <w:color w:val="auto"/>
          <w:sz w:val="24"/>
          <w:szCs w:val="32"/>
          <w:highlight w:val="none"/>
        </w:rPr>
        <w:sectPr>
          <w:headerReference r:id="rId3" w:type="default"/>
          <w:pgSz w:w="11906" w:h="16838"/>
          <w:pgMar w:top="1134" w:right="1077" w:bottom="1134" w:left="1077" w:header="851" w:footer="992" w:gutter="0"/>
          <w:cols w:space="720" w:num="1"/>
          <w:docGrid w:type="lines" w:linePitch="332" w:charSpace="0"/>
        </w:sectPr>
      </w:pPr>
    </w:p>
    <w:p>
      <w:pPr>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25"/>
        <w:tabs>
          <w:tab w:val="right" w:leader="dot" w:pos="8306"/>
        </w:tabs>
        <w:rPr>
          <w:i w:val="0"/>
          <w:iCs w:val="0"/>
          <w:color w:val="auto"/>
          <w:highlight w:val="none"/>
        </w:rPr>
      </w:pPr>
      <w:r>
        <w:rPr>
          <w:rFonts w:hint="eastAsia" w:ascii="宋体" w:hAnsi="宋体" w:cs="宋体"/>
          <w:b w:val="0"/>
          <w:caps w:val="0"/>
          <w:color w:val="auto"/>
          <w:sz w:val="28"/>
          <w:szCs w:val="28"/>
          <w:highlight w:val="none"/>
        </w:rPr>
        <w:fldChar w:fldCharType="begin"/>
      </w:r>
      <w:r>
        <w:rPr>
          <w:rFonts w:hint="eastAsia" w:ascii="宋体" w:hAnsi="宋体" w:cs="宋体"/>
          <w:b w:val="0"/>
          <w:caps w:val="0"/>
          <w:color w:val="auto"/>
          <w:sz w:val="28"/>
          <w:szCs w:val="28"/>
          <w:highlight w:val="none"/>
        </w:rPr>
        <w:instrText xml:space="preserve"> TOC \o "1-3" \h \z \u </w:instrText>
      </w:r>
      <w:r>
        <w:rPr>
          <w:rFonts w:hint="eastAsia" w:ascii="宋体" w:hAnsi="宋体" w:cs="宋体"/>
          <w:b w:val="0"/>
          <w:caps w:val="0"/>
          <w:color w:val="auto"/>
          <w:sz w:val="28"/>
          <w:szCs w:val="28"/>
          <w:highlight w:val="none"/>
        </w:rPr>
        <w:fldChar w:fldCharType="separate"/>
      </w:r>
      <w:r>
        <w:rPr>
          <w:rFonts w:hint="eastAsia" w:ascii="宋体" w:hAnsi="宋体" w:cs="宋体"/>
          <w:i w:val="0"/>
          <w:iCs w:val="0"/>
          <w:caps w:val="0"/>
          <w:color w:val="auto"/>
          <w:szCs w:val="28"/>
          <w:highlight w:val="none"/>
        </w:rPr>
        <w:fldChar w:fldCharType="begin"/>
      </w:r>
      <w:r>
        <w:rPr>
          <w:rFonts w:hint="eastAsia" w:ascii="宋体" w:hAnsi="宋体" w:cs="宋体"/>
          <w:i w:val="0"/>
          <w:iCs w:val="0"/>
          <w:caps w:val="0"/>
          <w:color w:val="auto"/>
          <w:szCs w:val="28"/>
          <w:highlight w:val="none"/>
        </w:rPr>
        <w:instrText xml:space="preserve"> HYPERLINK \l _Toc11199 </w:instrText>
      </w:r>
      <w:r>
        <w:rPr>
          <w:rFonts w:hint="eastAsia" w:ascii="宋体" w:hAnsi="宋体" w:cs="宋体"/>
          <w:i w:val="0"/>
          <w:iCs w:val="0"/>
          <w:caps w:val="0"/>
          <w:color w:val="auto"/>
          <w:szCs w:val="28"/>
          <w:highlight w:val="none"/>
        </w:rPr>
        <w:fldChar w:fldCharType="separate"/>
      </w:r>
      <w:r>
        <w:rPr>
          <w:rFonts w:hint="default" w:ascii="宋体" w:hAnsi="宋体" w:cs="宋体"/>
          <w:i w:val="0"/>
          <w:iCs w:val="0"/>
          <w:color w:val="auto"/>
          <w:highlight w:val="none"/>
        </w:rPr>
        <w:t xml:space="preserve">第一章 </w:t>
      </w:r>
      <w:r>
        <w:rPr>
          <w:rFonts w:hint="eastAsia" w:ascii="宋体" w:hAnsi="宋体" w:cs="宋体"/>
          <w:i w:val="0"/>
          <w:iCs w:val="0"/>
          <w:color w:val="auto"/>
          <w:highlight w:val="none"/>
        </w:rPr>
        <w:t>公开招标采购公告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_Toc11199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hint="eastAsia" w:ascii="宋体" w:hAnsi="宋体" w:cs="宋体"/>
          <w:i w:val="0"/>
          <w:iCs w:val="0"/>
          <w:caps w:val="0"/>
          <w:color w:val="auto"/>
          <w:szCs w:val="28"/>
          <w:highlight w:val="none"/>
        </w:rPr>
        <w:fldChar w:fldCharType="end"/>
      </w:r>
    </w:p>
    <w:p>
      <w:pPr>
        <w:pStyle w:val="25"/>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_Toc309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第二章 </w:t>
      </w:r>
      <w:r>
        <w:rPr>
          <w:rFonts w:hint="eastAsia" w:ascii="宋体" w:hAnsi="宋体" w:cs="宋体"/>
          <w:i w:val="0"/>
          <w:iCs w:val="0"/>
          <w:color w:val="auto"/>
          <w:highlight w:val="none"/>
        </w:rPr>
        <w:t>投标人须知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_Toc309 \h </w:instrText>
      </w:r>
      <w:r>
        <w:rPr>
          <w:i w:val="0"/>
          <w:iCs w:val="0"/>
          <w:color w:val="auto"/>
          <w:highlight w:val="none"/>
        </w:rPr>
        <w:fldChar w:fldCharType="separate"/>
      </w:r>
      <w:r>
        <w:rPr>
          <w:i w:val="0"/>
          <w:iCs w:val="0"/>
          <w:color w:val="auto"/>
          <w:highlight w:val="none"/>
        </w:rPr>
        <w:t>10</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_Toc32627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一、 </w:t>
      </w:r>
      <w:r>
        <w:rPr>
          <w:rFonts w:hint="eastAsia" w:ascii="宋体" w:hAnsi="宋体" w:cs="宋体"/>
          <w:i w:val="0"/>
          <w:iCs w:val="0"/>
          <w:color w:val="auto"/>
          <w:highlight w:val="none"/>
        </w:rPr>
        <w:t>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_Toc32627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_Toc11653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适用范围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_Toc11653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_Toc31452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定义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_Toc31452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_Toc22113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（三） </w:t>
      </w:r>
      <w:r>
        <w:rPr>
          <w:rFonts w:hint="eastAsia" w:ascii="宋体" w:hAnsi="宋体" w:cs="宋体"/>
          <w:i w:val="0"/>
          <w:iCs w:val="0"/>
          <w:color w:val="auto"/>
          <w:szCs w:val="28"/>
          <w:highlight w:val="none"/>
        </w:rPr>
        <w:t>投标费用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_Toc22113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_Toc23204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（四） </w:t>
      </w:r>
      <w:r>
        <w:rPr>
          <w:rFonts w:hint="eastAsia" w:ascii="宋体" w:hAnsi="宋体" w:cs="宋体"/>
          <w:i w:val="0"/>
          <w:iCs w:val="0"/>
          <w:color w:val="auto"/>
          <w:szCs w:val="28"/>
          <w:highlight w:val="none"/>
        </w:rPr>
        <w:t>特别说明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_Toc23204 \h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_Toc9490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二、 </w:t>
      </w:r>
      <w:r>
        <w:rPr>
          <w:rFonts w:hint="eastAsia" w:ascii="宋体" w:hAnsi="宋体" w:cs="宋体"/>
          <w:i w:val="0"/>
          <w:iCs w:val="0"/>
          <w:color w:val="auto"/>
          <w:highlight w:val="none"/>
        </w:rPr>
        <w:t>招标文件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_Toc9490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_Toc11542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招标文件由招标文件总目录所列内容组成。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_Toc11542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_Toc22612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招标文件的澄清或修改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_Toc22612 \h </w:instrText>
      </w:r>
      <w:r>
        <w:rPr>
          <w:i w:val="0"/>
          <w:iCs w:val="0"/>
          <w:color w:val="auto"/>
          <w:highlight w:val="none"/>
        </w:rPr>
        <w:fldChar w:fldCharType="separate"/>
      </w:r>
      <w:r>
        <w:rPr>
          <w:i w:val="0"/>
          <w:iCs w:val="0"/>
          <w:color w:val="auto"/>
          <w:highlight w:val="none"/>
        </w:rPr>
        <w:t>12</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_Toc24875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三、 </w:t>
      </w:r>
      <w:r>
        <w:rPr>
          <w:rFonts w:hint="eastAsia" w:ascii="宋体" w:hAnsi="宋体" w:cs="宋体"/>
          <w:i w:val="0"/>
          <w:iCs w:val="0"/>
          <w:color w:val="auto"/>
          <w:highlight w:val="none"/>
        </w:rPr>
        <w:t>投标文件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_Toc24875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_Toc27041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投标文件的组成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_Toc27041 \h </w:instrText>
      </w:r>
      <w:r>
        <w:rPr>
          <w:i w:val="0"/>
          <w:iCs w:val="0"/>
          <w:color w:val="auto"/>
          <w:highlight w:val="none"/>
        </w:rPr>
        <w:fldChar w:fldCharType="separate"/>
      </w:r>
      <w:r>
        <w:rPr>
          <w:i w:val="0"/>
          <w:iCs w:val="0"/>
          <w:color w:val="auto"/>
          <w:highlight w:val="none"/>
        </w:rPr>
        <w:t>13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_Toc24376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投标文件的制作及递交要求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_Toc24376 \h </w:instrText>
      </w:r>
      <w:r>
        <w:rPr>
          <w:i w:val="0"/>
          <w:iCs w:val="0"/>
          <w:color w:val="auto"/>
          <w:highlight w:val="none"/>
        </w:rPr>
        <w:fldChar w:fldCharType="separate"/>
      </w:r>
      <w:r>
        <w:rPr>
          <w:i w:val="0"/>
          <w:iCs w:val="0"/>
          <w:color w:val="auto"/>
          <w:highlight w:val="none"/>
        </w:rPr>
        <w:t>15</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_Toc10683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（三） </w:t>
      </w:r>
      <w:r>
        <w:rPr>
          <w:rFonts w:hint="eastAsia" w:ascii="宋体" w:hAnsi="宋体" w:cs="宋体"/>
          <w:i w:val="0"/>
          <w:iCs w:val="0"/>
          <w:color w:val="auto"/>
          <w:szCs w:val="28"/>
          <w:highlight w:val="none"/>
        </w:rPr>
        <w:t>投标文件的有效期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_Toc10683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_Toc32716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四、 </w:t>
      </w:r>
      <w:r>
        <w:rPr>
          <w:rFonts w:hint="eastAsia" w:ascii="宋体" w:hAnsi="宋体" w:cs="宋体"/>
          <w:i w:val="0"/>
          <w:iCs w:val="0"/>
          <w:color w:val="auto"/>
          <w:highlight w:val="none"/>
        </w:rPr>
        <w:t>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_Toc32716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_Toc30331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开标事项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_Toc30331 \h </w:instrText>
      </w:r>
      <w:r>
        <w:rPr>
          <w:i w:val="0"/>
          <w:iCs w:val="0"/>
          <w:color w:val="auto"/>
          <w:highlight w:val="none"/>
        </w:rPr>
        <w:fldChar w:fldCharType="separate"/>
      </w:r>
      <w:r>
        <w:rPr>
          <w:i w:val="0"/>
          <w:iCs w:val="0"/>
          <w:color w:val="auto"/>
          <w:highlight w:val="none"/>
        </w:rPr>
        <w:t>18</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_Toc6846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开标程序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_Toc6846 \h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_Toc31796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五、 </w:t>
      </w:r>
      <w:r>
        <w:rPr>
          <w:rFonts w:hint="eastAsia" w:ascii="宋体" w:hAnsi="宋体" w:cs="宋体"/>
          <w:i w:val="0"/>
          <w:iCs w:val="0"/>
          <w:color w:val="auto"/>
          <w:highlight w:val="none"/>
        </w:rPr>
        <w:t>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_Toc31796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_Toc30596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组建评标委员会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_Toc30596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_Toc18226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_Toc18226 \h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_Toc28986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（三） </w:t>
      </w:r>
      <w:r>
        <w:rPr>
          <w:rFonts w:hint="eastAsia" w:ascii="宋体" w:hAnsi="宋体" w:cs="宋体"/>
          <w:i w:val="0"/>
          <w:iCs w:val="0"/>
          <w:color w:val="auto"/>
          <w:szCs w:val="28"/>
          <w:highlight w:val="none"/>
        </w:rPr>
        <w:t>澄清问题的形式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_Toc28986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_Toc19992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（四） </w:t>
      </w:r>
      <w:r>
        <w:rPr>
          <w:rFonts w:hint="eastAsia" w:ascii="宋体" w:hAnsi="宋体" w:cs="宋体"/>
          <w:i w:val="0"/>
          <w:iCs w:val="0"/>
          <w:color w:val="auto"/>
          <w:szCs w:val="28"/>
          <w:highlight w:val="none"/>
        </w:rPr>
        <w:t>错误修正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_Toc19992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_Toc29712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（五） </w:t>
      </w:r>
      <w:r>
        <w:rPr>
          <w:rFonts w:hint="eastAsia" w:ascii="宋体" w:hAnsi="宋体" w:cs="宋体"/>
          <w:i w:val="0"/>
          <w:iCs w:val="0"/>
          <w:color w:val="auto"/>
          <w:szCs w:val="28"/>
          <w:highlight w:val="none"/>
        </w:rPr>
        <w:t>投标人存在下列情况之一的，投标无效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_Toc29712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_Toc9247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（六） </w:t>
      </w:r>
      <w:r>
        <w:rPr>
          <w:rFonts w:hint="eastAsia" w:ascii="宋体" w:hAnsi="宋体" w:cs="宋体"/>
          <w:i w:val="0"/>
          <w:iCs w:val="0"/>
          <w:color w:val="auto"/>
          <w:szCs w:val="28"/>
          <w:highlight w:val="none"/>
        </w:rPr>
        <w:t>有下列情况之一的，本次招标作为废标处理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_Toc9247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_Toc26358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（七） </w:t>
      </w:r>
      <w:r>
        <w:rPr>
          <w:rFonts w:hint="eastAsia" w:ascii="宋体" w:hAnsi="宋体" w:cs="宋体"/>
          <w:i w:val="0"/>
          <w:iCs w:val="0"/>
          <w:color w:val="auto"/>
          <w:szCs w:val="28"/>
          <w:highlight w:val="none"/>
        </w:rPr>
        <w:t>评标原则和评标办法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_Toc26358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_Toc14999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（八） </w:t>
      </w:r>
      <w:r>
        <w:rPr>
          <w:rFonts w:hint="eastAsia" w:ascii="宋体" w:hAnsi="宋体" w:cs="宋体"/>
          <w:i w:val="0"/>
          <w:iCs w:val="0"/>
          <w:color w:val="auto"/>
          <w:szCs w:val="28"/>
          <w:highlight w:val="none"/>
        </w:rPr>
        <w:t>评标过程的监控</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_Toc14999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_Toc27572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六、 </w:t>
      </w:r>
      <w:r>
        <w:rPr>
          <w:rFonts w:hint="eastAsia" w:ascii="宋体" w:hAnsi="宋体" w:cs="宋体"/>
          <w:i w:val="0"/>
          <w:iCs w:val="0"/>
          <w:color w:val="auto"/>
          <w:highlight w:val="none"/>
        </w:rPr>
        <w:t>定标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_Toc27572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9"/>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_Toc4879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highlight w:val="none"/>
        </w:rPr>
        <w:t xml:space="preserve">七、 </w:t>
      </w:r>
      <w:r>
        <w:rPr>
          <w:rFonts w:hint="eastAsia" w:ascii="宋体" w:hAnsi="宋体" w:cs="宋体"/>
          <w:i w:val="0"/>
          <w:iCs w:val="0"/>
          <w:color w:val="auto"/>
          <w:highlight w:val="none"/>
        </w:rPr>
        <w:t>合同签订及公告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_Toc4879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i w:val="0"/>
          <w:iCs w:val="0"/>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_Toc28891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（一） </w:t>
      </w:r>
      <w:r>
        <w:rPr>
          <w:rFonts w:hint="eastAsia" w:ascii="宋体" w:hAnsi="宋体" w:cs="宋体"/>
          <w:i w:val="0"/>
          <w:iCs w:val="0"/>
          <w:color w:val="auto"/>
          <w:szCs w:val="28"/>
          <w:highlight w:val="none"/>
        </w:rPr>
        <w:t>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_Toc28891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17"/>
        <w:tabs>
          <w:tab w:val="right" w:leader="dot" w:pos="8306"/>
        </w:tabs>
        <w:rPr>
          <w:color w:val="auto"/>
          <w:highlight w:val="none"/>
        </w:rPr>
      </w:pPr>
      <w:r>
        <w:rPr>
          <w:rFonts w:hint="eastAsia" w:ascii="宋体" w:hAnsi="宋体" w:cs="宋体"/>
          <w:i w:val="0"/>
          <w:iCs w:val="0"/>
          <w:color w:val="auto"/>
          <w:szCs w:val="28"/>
          <w:highlight w:val="none"/>
        </w:rPr>
        <w:fldChar w:fldCharType="begin"/>
      </w:r>
      <w:r>
        <w:rPr>
          <w:rFonts w:hint="eastAsia" w:ascii="宋体" w:hAnsi="宋体" w:cs="宋体"/>
          <w:i w:val="0"/>
          <w:iCs w:val="0"/>
          <w:color w:val="auto"/>
          <w:szCs w:val="28"/>
          <w:highlight w:val="none"/>
        </w:rPr>
        <w:instrText xml:space="preserve"> HYPERLINK \l _Toc4107 </w:instrText>
      </w:r>
      <w:r>
        <w:rPr>
          <w:rFonts w:hint="eastAsia" w:ascii="宋体" w:hAnsi="宋体" w:cs="宋体"/>
          <w:i w:val="0"/>
          <w:iCs w:val="0"/>
          <w:color w:val="auto"/>
          <w:szCs w:val="28"/>
          <w:highlight w:val="none"/>
        </w:rPr>
        <w:fldChar w:fldCharType="separate"/>
      </w:r>
      <w:r>
        <w:rPr>
          <w:rFonts w:hint="default" w:ascii="宋体" w:hAnsi="宋体" w:cs="宋体"/>
          <w:i w:val="0"/>
          <w:iCs w:val="0"/>
          <w:color w:val="auto"/>
          <w:szCs w:val="28"/>
          <w:highlight w:val="none"/>
        </w:rPr>
        <w:t xml:space="preserve">（二） </w:t>
      </w:r>
      <w:r>
        <w:rPr>
          <w:rFonts w:hint="eastAsia" w:ascii="宋体" w:hAnsi="宋体" w:cs="宋体"/>
          <w:i w:val="0"/>
          <w:iCs w:val="0"/>
          <w:color w:val="auto"/>
          <w:szCs w:val="28"/>
          <w:highlight w:val="none"/>
        </w:rPr>
        <w:t>合同公告及备案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_Toc4107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hint="eastAsia" w:ascii="宋体" w:hAnsi="宋体" w:cs="宋体"/>
          <w:i w:val="0"/>
          <w:iCs w:val="0"/>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_Toc11317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第三章 </w:t>
      </w:r>
      <w:r>
        <w:rPr>
          <w:rFonts w:hint="eastAsia" w:ascii="宋体" w:hAnsi="宋体" w:cs="宋体"/>
          <w:color w:val="auto"/>
          <w:highlight w:val="none"/>
        </w:rPr>
        <w:t>评标办法及评分标准</w:t>
      </w:r>
      <w:r>
        <w:rPr>
          <w:color w:val="auto"/>
          <w:highlight w:val="none"/>
        </w:rPr>
        <w:tab/>
      </w:r>
      <w:r>
        <w:rPr>
          <w:color w:val="auto"/>
          <w:highlight w:val="none"/>
        </w:rPr>
        <w:fldChar w:fldCharType="begin"/>
      </w:r>
      <w:r>
        <w:rPr>
          <w:color w:val="auto"/>
          <w:highlight w:val="none"/>
        </w:rPr>
        <w:instrText xml:space="preserve"> PAGEREF _Toc11317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_Toc16442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第四章 </w:t>
      </w:r>
      <w:r>
        <w:rPr>
          <w:rFonts w:hint="eastAsia" w:ascii="宋体" w:hAnsi="宋体" w:cs="宋体"/>
          <w:color w:val="auto"/>
          <w:highlight w:val="none"/>
        </w:rPr>
        <w:t>公开招标需求</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_Toc2449 </w:instrText>
      </w:r>
      <w:r>
        <w:rPr>
          <w:rFonts w:hint="eastAsia" w:ascii="宋体" w:hAnsi="宋体" w:cs="宋体"/>
          <w:color w:val="auto"/>
          <w:szCs w:val="28"/>
          <w:highlight w:val="none"/>
        </w:rPr>
        <w:fldChar w:fldCharType="separate"/>
      </w:r>
      <w:r>
        <w:rPr>
          <w:rFonts w:ascii="宋体" w:hAnsi="宋体"/>
          <w:bCs/>
          <w:color w:val="auto"/>
          <w:szCs w:val="30"/>
          <w:highlight w:val="none"/>
        </w:rPr>
        <w:t xml:space="preserve">1. </w:t>
      </w:r>
      <w:r>
        <w:rPr>
          <w:rFonts w:hint="eastAsia" w:ascii="宋体" w:hAnsi="宋体"/>
          <w:color w:val="auto"/>
          <w:szCs w:val="30"/>
          <w:highlight w:val="none"/>
        </w:rPr>
        <w:t>建设背景</w:t>
      </w:r>
      <w:r>
        <w:rPr>
          <w:color w:val="auto"/>
          <w:highlight w:val="none"/>
        </w:rPr>
        <w:tab/>
      </w:r>
      <w:r>
        <w:rPr>
          <w:color w:val="auto"/>
          <w:highlight w:val="none"/>
        </w:rPr>
        <w:fldChar w:fldCharType="begin"/>
      </w:r>
      <w:r>
        <w:rPr>
          <w:color w:val="auto"/>
          <w:highlight w:val="none"/>
        </w:rPr>
        <w:instrText xml:space="preserve"> PAGEREF _Toc2449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_Toc8326 </w:instrText>
      </w:r>
      <w:r>
        <w:rPr>
          <w:rFonts w:hint="eastAsia" w:ascii="宋体" w:hAnsi="宋体" w:cs="宋体"/>
          <w:color w:val="auto"/>
          <w:szCs w:val="28"/>
          <w:highlight w:val="none"/>
        </w:rPr>
        <w:fldChar w:fldCharType="separate"/>
      </w:r>
      <w:r>
        <w:rPr>
          <w:rFonts w:ascii="宋体" w:hAnsi="宋体"/>
          <w:bCs/>
          <w:color w:val="auto"/>
          <w:szCs w:val="30"/>
          <w:highlight w:val="none"/>
        </w:rPr>
        <w:t xml:space="preserve">2. </w:t>
      </w:r>
      <w:r>
        <w:rPr>
          <w:rFonts w:ascii="宋体" w:hAnsi="宋体"/>
          <w:color w:val="auto"/>
          <w:szCs w:val="30"/>
          <w:highlight w:val="none"/>
        </w:rPr>
        <w:t>建设目标</w:t>
      </w:r>
      <w:r>
        <w:rPr>
          <w:color w:val="auto"/>
          <w:highlight w:val="none"/>
        </w:rPr>
        <w:tab/>
      </w:r>
      <w:r>
        <w:rPr>
          <w:color w:val="auto"/>
          <w:highlight w:val="none"/>
        </w:rPr>
        <w:fldChar w:fldCharType="begin"/>
      </w:r>
      <w:r>
        <w:rPr>
          <w:color w:val="auto"/>
          <w:highlight w:val="none"/>
        </w:rPr>
        <w:instrText xml:space="preserve"> PAGEREF _Toc8326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_Toc14631 </w:instrText>
      </w:r>
      <w:r>
        <w:rPr>
          <w:rFonts w:hint="eastAsia" w:ascii="宋体" w:hAnsi="宋体" w:cs="宋体"/>
          <w:color w:val="auto"/>
          <w:szCs w:val="28"/>
          <w:highlight w:val="none"/>
        </w:rPr>
        <w:fldChar w:fldCharType="separate"/>
      </w:r>
      <w:r>
        <w:rPr>
          <w:rFonts w:ascii="宋体" w:hAnsi="宋体"/>
          <w:bCs/>
          <w:color w:val="auto"/>
          <w:szCs w:val="30"/>
          <w:highlight w:val="none"/>
        </w:rPr>
        <w:t xml:space="preserve">3. </w:t>
      </w:r>
      <w:r>
        <w:rPr>
          <w:rFonts w:hint="eastAsia" w:ascii="宋体" w:hAnsi="宋体"/>
          <w:color w:val="auto"/>
          <w:szCs w:val="30"/>
          <w:highlight w:val="none"/>
        </w:rPr>
        <w:t>建设依据</w:t>
      </w:r>
      <w:r>
        <w:rPr>
          <w:color w:val="auto"/>
          <w:highlight w:val="none"/>
        </w:rPr>
        <w:tab/>
      </w:r>
      <w:r>
        <w:rPr>
          <w:color w:val="auto"/>
          <w:highlight w:val="none"/>
        </w:rPr>
        <w:fldChar w:fldCharType="begin"/>
      </w:r>
      <w:r>
        <w:rPr>
          <w:color w:val="auto"/>
          <w:highlight w:val="none"/>
        </w:rPr>
        <w:instrText xml:space="preserve"> PAGEREF _Toc14631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_Toc29557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3.1 </w:t>
      </w:r>
      <w:r>
        <w:rPr>
          <w:rFonts w:hint="eastAsia" w:ascii="宋体" w:hAnsi="宋体"/>
          <w:color w:val="auto"/>
          <w:szCs w:val="28"/>
          <w:highlight w:val="none"/>
        </w:rPr>
        <w:t>法规和政策文件</w:t>
      </w:r>
      <w:r>
        <w:rPr>
          <w:color w:val="auto"/>
          <w:highlight w:val="none"/>
        </w:rPr>
        <w:tab/>
      </w:r>
      <w:r>
        <w:rPr>
          <w:color w:val="auto"/>
          <w:highlight w:val="none"/>
        </w:rPr>
        <w:fldChar w:fldCharType="begin"/>
      </w:r>
      <w:r>
        <w:rPr>
          <w:color w:val="auto"/>
          <w:highlight w:val="none"/>
        </w:rPr>
        <w:instrText xml:space="preserve"> PAGEREF _Toc29557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_Toc8680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3.2 </w:t>
      </w:r>
      <w:r>
        <w:rPr>
          <w:rFonts w:hint="eastAsia" w:ascii="宋体" w:hAnsi="宋体"/>
          <w:color w:val="auto"/>
          <w:szCs w:val="28"/>
          <w:highlight w:val="none"/>
        </w:rPr>
        <w:t>技术标准</w:t>
      </w:r>
      <w:r>
        <w:rPr>
          <w:color w:val="auto"/>
          <w:highlight w:val="none"/>
        </w:rPr>
        <w:tab/>
      </w:r>
      <w:r>
        <w:rPr>
          <w:color w:val="auto"/>
          <w:highlight w:val="none"/>
        </w:rPr>
        <w:fldChar w:fldCharType="begin"/>
      </w:r>
      <w:r>
        <w:rPr>
          <w:color w:val="auto"/>
          <w:highlight w:val="none"/>
        </w:rPr>
        <w:instrText xml:space="preserve"> PAGEREF _Toc8680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_Toc173 </w:instrText>
      </w:r>
      <w:r>
        <w:rPr>
          <w:rFonts w:hint="eastAsia" w:ascii="宋体" w:hAnsi="宋体" w:cs="宋体"/>
          <w:color w:val="auto"/>
          <w:szCs w:val="28"/>
          <w:highlight w:val="none"/>
        </w:rPr>
        <w:fldChar w:fldCharType="separate"/>
      </w:r>
      <w:r>
        <w:rPr>
          <w:rFonts w:ascii="宋体" w:hAnsi="宋体"/>
          <w:bCs/>
          <w:color w:val="auto"/>
          <w:szCs w:val="30"/>
          <w:highlight w:val="none"/>
        </w:rPr>
        <w:t xml:space="preserve">4. </w:t>
      </w:r>
      <w:r>
        <w:rPr>
          <w:rFonts w:hint="eastAsia" w:ascii="宋体" w:hAnsi="宋体"/>
          <w:color w:val="auto"/>
          <w:szCs w:val="30"/>
          <w:highlight w:val="none"/>
        </w:rPr>
        <w:t>建设内容</w:t>
      </w:r>
      <w:r>
        <w:rPr>
          <w:color w:val="auto"/>
          <w:highlight w:val="none"/>
        </w:rPr>
        <w:tab/>
      </w:r>
      <w:r>
        <w:rPr>
          <w:color w:val="auto"/>
          <w:highlight w:val="none"/>
        </w:rPr>
        <w:fldChar w:fldCharType="begin"/>
      </w:r>
      <w:r>
        <w:rPr>
          <w:color w:val="auto"/>
          <w:highlight w:val="none"/>
        </w:rPr>
        <w:instrText xml:space="preserve"> PAGEREF _Toc173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_Toc24431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4.1 </w:t>
      </w:r>
      <w:r>
        <w:rPr>
          <w:rFonts w:hint="eastAsia" w:ascii="宋体" w:hAnsi="宋体"/>
          <w:color w:val="auto"/>
          <w:szCs w:val="28"/>
          <w:highlight w:val="none"/>
        </w:rPr>
        <w:t>房地产权类现势关键字段质量提升</w:t>
      </w:r>
      <w:r>
        <w:rPr>
          <w:color w:val="auto"/>
          <w:highlight w:val="none"/>
        </w:rPr>
        <w:tab/>
      </w:r>
      <w:r>
        <w:rPr>
          <w:color w:val="auto"/>
          <w:highlight w:val="none"/>
        </w:rPr>
        <w:fldChar w:fldCharType="begin"/>
      </w:r>
      <w:r>
        <w:rPr>
          <w:color w:val="auto"/>
          <w:highlight w:val="none"/>
        </w:rPr>
        <w:instrText xml:space="preserve"> PAGEREF _Toc24431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_Toc26024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4.2 </w:t>
      </w:r>
      <w:r>
        <w:rPr>
          <w:rFonts w:hint="eastAsia" w:ascii="宋体" w:hAnsi="宋体"/>
          <w:color w:val="auto"/>
          <w:szCs w:val="28"/>
          <w:highlight w:val="none"/>
        </w:rPr>
        <w:t>抵押权类现势关键字段质量提升</w:t>
      </w:r>
      <w:r>
        <w:rPr>
          <w:color w:val="auto"/>
          <w:highlight w:val="none"/>
        </w:rPr>
        <w:tab/>
      </w:r>
      <w:r>
        <w:rPr>
          <w:color w:val="auto"/>
          <w:highlight w:val="none"/>
        </w:rPr>
        <w:fldChar w:fldCharType="begin"/>
      </w:r>
      <w:r>
        <w:rPr>
          <w:color w:val="auto"/>
          <w:highlight w:val="none"/>
        </w:rPr>
        <w:instrText xml:space="preserve"> PAGEREF _Toc26024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_Toc28791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4.3 </w:t>
      </w:r>
      <w:r>
        <w:rPr>
          <w:rFonts w:hint="eastAsia" w:ascii="宋体" w:hAnsi="宋体"/>
          <w:color w:val="auto"/>
          <w:szCs w:val="28"/>
          <w:highlight w:val="none"/>
        </w:rPr>
        <w:t>权利人类现势关键字段质量提升</w:t>
      </w:r>
      <w:r>
        <w:rPr>
          <w:color w:val="auto"/>
          <w:highlight w:val="none"/>
        </w:rPr>
        <w:tab/>
      </w:r>
      <w:r>
        <w:rPr>
          <w:color w:val="auto"/>
          <w:highlight w:val="none"/>
        </w:rPr>
        <w:fldChar w:fldCharType="begin"/>
      </w:r>
      <w:r>
        <w:rPr>
          <w:color w:val="auto"/>
          <w:highlight w:val="none"/>
        </w:rPr>
        <w:instrText xml:space="preserve"> PAGEREF _Toc28791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_Toc10442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4.4 </w:t>
      </w:r>
      <w:r>
        <w:rPr>
          <w:rFonts w:hint="eastAsia" w:ascii="宋体" w:hAnsi="宋体"/>
          <w:color w:val="auto"/>
          <w:szCs w:val="28"/>
          <w:highlight w:val="none"/>
        </w:rPr>
        <w:t>查封类现势关键字段质量提升</w:t>
      </w:r>
      <w:r>
        <w:rPr>
          <w:color w:val="auto"/>
          <w:highlight w:val="none"/>
        </w:rPr>
        <w:tab/>
      </w:r>
      <w:r>
        <w:rPr>
          <w:color w:val="auto"/>
          <w:highlight w:val="none"/>
        </w:rPr>
        <w:fldChar w:fldCharType="begin"/>
      </w:r>
      <w:r>
        <w:rPr>
          <w:color w:val="auto"/>
          <w:highlight w:val="none"/>
        </w:rPr>
        <w:instrText xml:space="preserve"> PAGEREF _Toc10442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_Toc8704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4.5 </w:t>
      </w:r>
      <w:r>
        <w:rPr>
          <w:rFonts w:hint="eastAsia" w:ascii="宋体" w:hAnsi="宋体"/>
          <w:color w:val="auto"/>
          <w:szCs w:val="28"/>
          <w:highlight w:val="none"/>
          <w:lang w:eastAsia="zh-CN"/>
        </w:rPr>
        <w:t>全面清理完善</w:t>
      </w:r>
      <w:r>
        <w:rPr>
          <w:rFonts w:hint="eastAsia" w:ascii="宋体" w:hAnsi="宋体"/>
          <w:color w:val="auto"/>
          <w:szCs w:val="28"/>
          <w:highlight w:val="none"/>
        </w:rPr>
        <w:t>不动产单元</w:t>
      </w:r>
      <w:r>
        <w:rPr>
          <w:rFonts w:hint="eastAsia" w:ascii="宋体" w:hAnsi="宋体"/>
          <w:color w:val="auto"/>
          <w:szCs w:val="28"/>
          <w:highlight w:val="none"/>
          <w:lang w:eastAsia="zh-CN"/>
        </w:rPr>
        <w:t>表</w:t>
      </w:r>
      <w:r>
        <w:rPr>
          <w:rFonts w:hint="eastAsia" w:ascii="宋体" w:hAnsi="宋体"/>
          <w:color w:val="auto"/>
          <w:szCs w:val="28"/>
          <w:highlight w:val="none"/>
        </w:rPr>
        <w:t>信息</w:t>
      </w:r>
      <w:r>
        <w:rPr>
          <w:color w:val="auto"/>
          <w:highlight w:val="none"/>
        </w:rPr>
        <w:tab/>
      </w:r>
      <w:r>
        <w:rPr>
          <w:color w:val="auto"/>
          <w:highlight w:val="none"/>
        </w:rPr>
        <w:fldChar w:fldCharType="begin"/>
      </w:r>
      <w:r>
        <w:rPr>
          <w:color w:val="auto"/>
          <w:highlight w:val="none"/>
        </w:rPr>
        <w:instrText xml:space="preserve"> PAGEREF _Toc8704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_Toc2689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4.6 </w:t>
      </w:r>
      <w:r>
        <w:rPr>
          <w:rFonts w:hint="eastAsia" w:ascii="宋体" w:hAnsi="宋体"/>
          <w:color w:val="auto"/>
          <w:szCs w:val="28"/>
          <w:highlight w:val="none"/>
        </w:rPr>
        <w:t>逻辑关系完善</w:t>
      </w:r>
      <w:r>
        <w:rPr>
          <w:color w:val="auto"/>
          <w:highlight w:val="none"/>
        </w:rPr>
        <w:tab/>
      </w:r>
      <w:r>
        <w:rPr>
          <w:color w:val="auto"/>
          <w:highlight w:val="none"/>
        </w:rPr>
        <w:fldChar w:fldCharType="begin"/>
      </w:r>
      <w:r>
        <w:rPr>
          <w:color w:val="auto"/>
          <w:highlight w:val="none"/>
        </w:rPr>
        <w:instrText xml:space="preserve"> PAGEREF _Toc2689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_Toc25731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4.7 </w:t>
      </w:r>
      <w:r>
        <w:rPr>
          <w:rFonts w:hint="eastAsia" w:ascii="宋体" w:hAnsi="宋体"/>
          <w:color w:val="auto"/>
          <w:szCs w:val="28"/>
          <w:highlight w:val="none"/>
          <w:lang w:eastAsia="zh-CN"/>
        </w:rPr>
        <w:t>图形</w:t>
      </w:r>
      <w:r>
        <w:rPr>
          <w:rFonts w:hint="eastAsia" w:ascii="宋体" w:hAnsi="宋体"/>
          <w:color w:val="auto"/>
          <w:szCs w:val="28"/>
          <w:highlight w:val="none"/>
        </w:rPr>
        <w:t>质量提升</w:t>
      </w:r>
      <w:r>
        <w:rPr>
          <w:color w:val="auto"/>
          <w:highlight w:val="none"/>
        </w:rPr>
        <w:tab/>
      </w:r>
      <w:r>
        <w:rPr>
          <w:color w:val="auto"/>
          <w:highlight w:val="none"/>
        </w:rPr>
        <w:fldChar w:fldCharType="begin"/>
      </w:r>
      <w:r>
        <w:rPr>
          <w:color w:val="auto"/>
          <w:highlight w:val="none"/>
        </w:rPr>
        <w:instrText xml:space="preserve"> PAGEREF _Toc25731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_Toc11292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4.8 </w:t>
      </w:r>
      <w:r>
        <w:rPr>
          <w:rFonts w:hint="eastAsia" w:ascii="宋体" w:hAnsi="宋体"/>
          <w:color w:val="auto"/>
          <w:szCs w:val="28"/>
          <w:highlight w:val="none"/>
        </w:rPr>
        <w:t>数据入库</w:t>
      </w:r>
      <w:r>
        <w:rPr>
          <w:color w:val="auto"/>
          <w:highlight w:val="none"/>
        </w:rPr>
        <w:tab/>
      </w:r>
      <w:r>
        <w:rPr>
          <w:color w:val="auto"/>
          <w:highlight w:val="none"/>
        </w:rPr>
        <w:fldChar w:fldCharType="begin"/>
      </w:r>
      <w:r>
        <w:rPr>
          <w:color w:val="auto"/>
          <w:highlight w:val="none"/>
        </w:rPr>
        <w:instrText xml:space="preserve"> PAGEREF _Toc11292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_Toc25576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4.9 </w:t>
      </w:r>
      <w:r>
        <w:rPr>
          <w:rFonts w:hint="eastAsia" w:ascii="宋体" w:hAnsi="宋体"/>
          <w:color w:val="auto"/>
          <w:szCs w:val="28"/>
          <w:highlight w:val="none"/>
        </w:rPr>
        <w:t>不动产数据汇交</w:t>
      </w:r>
      <w:r>
        <w:rPr>
          <w:color w:val="auto"/>
          <w:highlight w:val="none"/>
        </w:rPr>
        <w:tab/>
      </w:r>
      <w:r>
        <w:rPr>
          <w:color w:val="auto"/>
          <w:highlight w:val="none"/>
        </w:rPr>
        <w:fldChar w:fldCharType="begin"/>
      </w:r>
      <w:r>
        <w:rPr>
          <w:color w:val="auto"/>
          <w:highlight w:val="none"/>
        </w:rPr>
        <w:instrText xml:space="preserve"> PAGEREF _Toc25576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_Toc8810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4.10 </w:t>
      </w:r>
      <w:r>
        <w:rPr>
          <w:rFonts w:ascii="宋体" w:hAnsi="宋体"/>
          <w:color w:val="auto"/>
          <w:szCs w:val="28"/>
          <w:highlight w:val="none"/>
        </w:rPr>
        <w:t>不动产单元与标准地址库挂接关联</w:t>
      </w:r>
      <w:r>
        <w:rPr>
          <w:color w:val="auto"/>
          <w:highlight w:val="none"/>
        </w:rPr>
        <w:tab/>
      </w:r>
      <w:r>
        <w:rPr>
          <w:color w:val="auto"/>
          <w:highlight w:val="none"/>
        </w:rPr>
        <w:fldChar w:fldCharType="begin"/>
      </w:r>
      <w:r>
        <w:rPr>
          <w:color w:val="auto"/>
          <w:highlight w:val="none"/>
        </w:rPr>
        <w:instrText xml:space="preserve"> PAGEREF _Toc8810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_Toc16418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rPr>
        <w:t xml:space="preserve">4.11 </w:t>
      </w:r>
      <w:r>
        <w:rPr>
          <w:rFonts w:ascii="宋体" w:hAnsi="宋体"/>
          <w:color w:val="auto"/>
          <w:szCs w:val="28"/>
          <w:highlight w:val="none"/>
        </w:rPr>
        <w:t>专题数据</w:t>
      </w:r>
      <w:r>
        <w:rPr>
          <w:rFonts w:hint="eastAsia" w:ascii="宋体" w:hAnsi="宋体"/>
          <w:color w:val="auto"/>
          <w:szCs w:val="28"/>
          <w:highlight w:val="none"/>
        </w:rPr>
        <w:t>治理</w:t>
      </w:r>
      <w:r>
        <w:rPr>
          <w:color w:val="auto"/>
          <w:highlight w:val="none"/>
        </w:rPr>
        <w:tab/>
      </w:r>
      <w:r>
        <w:rPr>
          <w:color w:val="auto"/>
          <w:highlight w:val="none"/>
        </w:rPr>
        <w:fldChar w:fldCharType="begin"/>
      </w:r>
      <w:r>
        <w:rPr>
          <w:color w:val="auto"/>
          <w:highlight w:val="none"/>
        </w:rPr>
        <w:instrText xml:space="preserve"> PAGEREF _Toc16418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_Toc31346 </w:instrText>
      </w:r>
      <w:r>
        <w:rPr>
          <w:rFonts w:hint="eastAsia" w:ascii="宋体" w:hAnsi="宋体" w:cs="宋体"/>
          <w:color w:val="auto"/>
          <w:szCs w:val="28"/>
          <w:highlight w:val="none"/>
        </w:rPr>
        <w:fldChar w:fldCharType="separate"/>
      </w:r>
      <w:r>
        <w:rPr>
          <w:rFonts w:hint="eastAsia" w:ascii="宋体" w:hAnsi="宋体" w:eastAsia="宋体"/>
          <w:i w:val="0"/>
          <w:color w:val="auto"/>
          <w:szCs w:val="28"/>
          <w:highlight w:val="none"/>
          <w:lang w:val="en-US" w:eastAsia="zh-CN"/>
        </w:rPr>
        <w:t xml:space="preserve">4.12 </w:t>
      </w:r>
      <w:r>
        <w:rPr>
          <w:rFonts w:hint="eastAsia" w:ascii="宋体" w:hAnsi="宋体"/>
          <w:color w:val="auto"/>
          <w:szCs w:val="28"/>
          <w:highlight w:val="none"/>
          <w:lang w:val="en-US" w:eastAsia="zh-CN"/>
        </w:rPr>
        <w:t>其他事项</w:t>
      </w:r>
      <w:r>
        <w:rPr>
          <w:color w:val="auto"/>
          <w:highlight w:val="none"/>
        </w:rPr>
        <w:tab/>
      </w:r>
      <w:r>
        <w:rPr>
          <w:color w:val="auto"/>
          <w:highlight w:val="none"/>
        </w:rPr>
        <w:fldChar w:fldCharType="begin"/>
      </w:r>
      <w:r>
        <w:rPr>
          <w:color w:val="auto"/>
          <w:highlight w:val="none"/>
        </w:rPr>
        <w:instrText xml:space="preserve"> PAGEREF _Toc31346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_Toc29584 </w:instrText>
      </w:r>
      <w:r>
        <w:rPr>
          <w:rFonts w:hint="eastAsia" w:ascii="宋体" w:hAnsi="宋体" w:cs="宋体"/>
          <w:color w:val="auto"/>
          <w:szCs w:val="28"/>
          <w:highlight w:val="none"/>
        </w:rPr>
        <w:fldChar w:fldCharType="separate"/>
      </w:r>
      <w:r>
        <w:rPr>
          <w:rFonts w:ascii="宋体" w:hAnsi="宋体"/>
          <w:bCs/>
          <w:color w:val="auto"/>
          <w:szCs w:val="30"/>
          <w:highlight w:val="none"/>
        </w:rPr>
        <w:t xml:space="preserve">5. </w:t>
      </w:r>
      <w:r>
        <w:rPr>
          <w:rFonts w:hint="eastAsia"/>
          <w:color w:val="auto"/>
          <w:szCs w:val="30"/>
          <w:highlight w:val="none"/>
        </w:rPr>
        <w:t>服务要求</w:t>
      </w:r>
      <w:r>
        <w:rPr>
          <w:color w:val="auto"/>
          <w:highlight w:val="none"/>
        </w:rPr>
        <w:tab/>
      </w:r>
      <w:r>
        <w:rPr>
          <w:color w:val="auto"/>
          <w:highlight w:val="none"/>
        </w:rPr>
        <w:fldChar w:fldCharType="begin"/>
      </w:r>
      <w:r>
        <w:rPr>
          <w:color w:val="auto"/>
          <w:highlight w:val="none"/>
        </w:rPr>
        <w:instrText xml:space="preserve"> PAGEREF _Toc29584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_Toc10425 </w:instrText>
      </w:r>
      <w:r>
        <w:rPr>
          <w:rFonts w:hint="eastAsia" w:ascii="宋体" w:hAnsi="宋体" w:cs="宋体"/>
          <w:color w:val="auto"/>
          <w:szCs w:val="28"/>
          <w:highlight w:val="none"/>
        </w:rPr>
        <w:fldChar w:fldCharType="separate"/>
      </w:r>
      <w:r>
        <w:rPr>
          <w:rFonts w:hint="eastAsia" w:ascii="宋体" w:hAnsi="宋体" w:eastAsia="宋体" w:cs="宋体"/>
          <w:i w:val="0"/>
          <w:color w:val="auto"/>
          <w:szCs w:val="28"/>
          <w:highlight w:val="none"/>
        </w:rPr>
        <w:t xml:space="preserve">5.1 </w:t>
      </w:r>
      <w:r>
        <w:rPr>
          <w:rFonts w:hint="eastAsia" w:ascii="宋体" w:hAnsi="宋体" w:cs="宋体"/>
          <w:color w:val="auto"/>
          <w:szCs w:val="28"/>
          <w:highlight w:val="none"/>
        </w:rPr>
        <w:t>工期要求</w:t>
      </w:r>
      <w:r>
        <w:rPr>
          <w:color w:val="auto"/>
          <w:highlight w:val="none"/>
        </w:rPr>
        <w:tab/>
      </w:r>
      <w:r>
        <w:rPr>
          <w:color w:val="auto"/>
          <w:highlight w:val="none"/>
        </w:rPr>
        <w:fldChar w:fldCharType="begin"/>
      </w:r>
      <w:r>
        <w:rPr>
          <w:color w:val="auto"/>
          <w:highlight w:val="none"/>
        </w:rPr>
        <w:instrText xml:space="preserve"> PAGEREF _Toc10425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_Toc7583 </w:instrText>
      </w:r>
      <w:r>
        <w:rPr>
          <w:rFonts w:hint="eastAsia" w:ascii="宋体" w:hAnsi="宋体" w:cs="宋体"/>
          <w:color w:val="auto"/>
          <w:szCs w:val="28"/>
          <w:highlight w:val="none"/>
        </w:rPr>
        <w:fldChar w:fldCharType="separate"/>
      </w:r>
      <w:r>
        <w:rPr>
          <w:rFonts w:hint="eastAsia" w:ascii="宋体" w:hAnsi="宋体" w:eastAsia="宋体" w:cs="宋体"/>
          <w:i w:val="0"/>
          <w:color w:val="auto"/>
          <w:szCs w:val="28"/>
          <w:highlight w:val="none"/>
        </w:rPr>
        <w:t xml:space="preserve">5.2 </w:t>
      </w:r>
      <w:r>
        <w:rPr>
          <w:rFonts w:hint="eastAsia" w:ascii="宋体" w:hAnsi="宋体" w:cs="宋体"/>
          <w:color w:val="auto"/>
          <w:szCs w:val="28"/>
          <w:highlight w:val="none"/>
        </w:rPr>
        <w:t>技术要求</w:t>
      </w:r>
      <w:r>
        <w:rPr>
          <w:color w:val="auto"/>
          <w:highlight w:val="none"/>
        </w:rPr>
        <w:tab/>
      </w:r>
      <w:r>
        <w:rPr>
          <w:color w:val="auto"/>
          <w:highlight w:val="none"/>
        </w:rPr>
        <w:fldChar w:fldCharType="begin"/>
      </w:r>
      <w:r>
        <w:rPr>
          <w:color w:val="auto"/>
          <w:highlight w:val="none"/>
        </w:rPr>
        <w:instrText xml:space="preserve"> PAGEREF _Toc7583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_Toc24568 </w:instrText>
      </w:r>
      <w:r>
        <w:rPr>
          <w:rFonts w:hint="eastAsia" w:ascii="宋体" w:hAnsi="宋体" w:cs="宋体"/>
          <w:color w:val="auto"/>
          <w:szCs w:val="28"/>
          <w:highlight w:val="none"/>
        </w:rPr>
        <w:fldChar w:fldCharType="separate"/>
      </w:r>
      <w:r>
        <w:rPr>
          <w:rFonts w:hint="eastAsia" w:ascii="宋体" w:hAnsi="宋体" w:eastAsia="宋体" w:cs="宋体"/>
          <w:i w:val="0"/>
          <w:color w:val="auto"/>
          <w:szCs w:val="28"/>
          <w:highlight w:val="none"/>
        </w:rPr>
        <w:t xml:space="preserve">5.3 </w:t>
      </w:r>
      <w:r>
        <w:rPr>
          <w:rFonts w:hint="eastAsia" w:ascii="宋体" w:hAnsi="宋体" w:cs="宋体"/>
          <w:color w:val="auto"/>
          <w:szCs w:val="28"/>
          <w:highlight w:val="none"/>
        </w:rPr>
        <w:t>成果提交</w:t>
      </w:r>
      <w:r>
        <w:rPr>
          <w:color w:val="auto"/>
          <w:highlight w:val="none"/>
        </w:rPr>
        <w:tab/>
      </w:r>
      <w:r>
        <w:rPr>
          <w:color w:val="auto"/>
          <w:highlight w:val="none"/>
        </w:rPr>
        <w:fldChar w:fldCharType="begin"/>
      </w:r>
      <w:r>
        <w:rPr>
          <w:color w:val="auto"/>
          <w:highlight w:val="none"/>
        </w:rPr>
        <w:instrText xml:space="preserve"> PAGEREF _Toc24568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_Toc23359 </w:instrText>
      </w:r>
      <w:r>
        <w:rPr>
          <w:rFonts w:hint="eastAsia" w:ascii="宋体" w:hAnsi="宋体" w:cs="宋体"/>
          <w:color w:val="auto"/>
          <w:szCs w:val="28"/>
          <w:highlight w:val="none"/>
        </w:rPr>
        <w:fldChar w:fldCharType="separate"/>
      </w:r>
      <w:r>
        <w:rPr>
          <w:rFonts w:hint="eastAsia" w:ascii="宋体" w:hAnsi="宋体" w:eastAsia="宋体" w:cs="宋体"/>
          <w:i w:val="0"/>
          <w:color w:val="auto"/>
          <w:szCs w:val="28"/>
          <w:highlight w:val="none"/>
        </w:rPr>
        <w:t xml:space="preserve">5.4 </w:t>
      </w:r>
      <w:r>
        <w:rPr>
          <w:rFonts w:hint="eastAsia" w:ascii="宋体" w:hAnsi="宋体" w:cs="宋体"/>
          <w:color w:val="auto"/>
          <w:szCs w:val="28"/>
          <w:highlight w:val="none"/>
        </w:rPr>
        <w:t>保密要求</w:t>
      </w:r>
      <w:r>
        <w:rPr>
          <w:color w:val="auto"/>
          <w:highlight w:val="none"/>
        </w:rPr>
        <w:tab/>
      </w:r>
      <w:r>
        <w:rPr>
          <w:color w:val="auto"/>
          <w:highlight w:val="none"/>
        </w:rPr>
        <w:fldChar w:fldCharType="begin"/>
      </w:r>
      <w:r>
        <w:rPr>
          <w:color w:val="auto"/>
          <w:highlight w:val="none"/>
        </w:rPr>
        <w:instrText xml:space="preserve"> PAGEREF _Toc23359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_Toc29223 </w:instrText>
      </w:r>
      <w:r>
        <w:rPr>
          <w:rFonts w:hint="eastAsia" w:ascii="宋体" w:hAnsi="宋体" w:cs="宋体"/>
          <w:color w:val="auto"/>
          <w:szCs w:val="28"/>
          <w:highlight w:val="none"/>
        </w:rPr>
        <w:fldChar w:fldCharType="separate"/>
      </w:r>
      <w:r>
        <w:rPr>
          <w:rFonts w:ascii="宋体" w:hAnsi="宋体" w:cs="宋体"/>
          <w:bCs/>
          <w:color w:val="auto"/>
          <w:szCs w:val="30"/>
          <w:highlight w:val="none"/>
        </w:rPr>
        <w:t xml:space="preserve">6. </w:t>
      </w:r>
      <w:r>
        <w:rPr>
          <w:rFonts w:hint="eastAsia" w:ascii="宋体" w:hAnsi="宋体" w:cs="宋体"/>
          <w:color w:val="auto"/>
          <w:szCs w:val="30"/>
          <w:highlight w:val="none"/>
        </w:rPr>
        <w:t>付款方式</w:t>
      </w:r>
      <w:r>
        <w:rPr>
          <w:color w:val="auto"/>
          <w:highlight w:val="none"/>
        </w:rPr>
        <w:tab/>
      </w:r>
      <w:r>
        <w:rPr>
          <w:color w:val="auto"/>
          <w:highlight w:val="none"/>
        </w:rPr>
        <w:fldChar w:fldCharType="begin"/>
      </w:r>
      <w:r>
        <w:rPr>
          <w:color w:val="auto"/>
          <w:highlight w:val="none"/>
        </w:rPr>
        <w:instrText xml:space="preserve"> PAGEREF _Toc29223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_Toc25633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第五章 </w:t>
      </w:r>
      <w:r>
        <w:rPr>
          <w:rFonts w:hint="eastAsia" w:ascii="宋体" w:hAnsi="宋体" w:cs="宋体"/>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_Toc25633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szCs w:val="28"/>
          <w:highlight w:val="none"/>
        </w:rPr>
        <w:fldChar w:fldCharType="end"/>
      </w:r>
    </w:p>
    <w:p>
      <w:pPr>
        <w:pStyle w:val="25"/>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_Toc14160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第六章 </w:t>
      </w:r>
      <w:r>
        <w:rPr>
          <w:rFonts w:hint="eastAsia" w:ascii="宋体" w:hAnsi="宋体" w:cs="宋体"/>
          <w:color w:val="auto"/>
          <w:highlight w:val="none"/>
        </w:rPr>
        <w:t>投标文件格式附件</w:t>
      </w:r>
      <w:r>
        <w:rPr>
          <w:color w:val="auto"/>
          <w:highlight w:val="none"/>
        </w:rPr>
        <w:tab/>
      </w:r>
      <w:r>
        <w:rPr>
          <w:color w:val="auto"/>
          <w:highlight w:val="none"/>
        </w:rPr>
        <w:fldChar w:fldCharType="begin"/>
      </w:r>
      <w:r>
        <w:rPr>
          <w:color w:val="auto"/>
          <w:highlight w:val="none"/>
        </w:rPr>
        <w:instrText xml:space="preserve"> PAGEREF _Toc14160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_Toc6881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一、 </w:t>
      </w:r>
      <w:r>
        <w:rPr>
          <w:rFonts w:hint="eastAsia" w:ascii="宋体" w:hAnsi="宋体" w:cs="宋体"/>
          <w:color w:val="auto"/>
          <w:highlight w:val="none"/>
        </w:rPr>
        <w:t>附件1-资格证明文件封面和资格证明文件目录</w:t>
      </w:r>
      <w:r>
        <w:rPr>
          <w:color w:val="auto"/>
          <w:highlight w:val="none"/>
        </w:rPr>
        <w:tab/>
      </w:r>
      <w:r>
        <w:rPr>
          <w:color w:val="auto"/>
          <w:highlight w:val="none"/>
        </w:rPr>
        <w:fldChar w:fldCharType="begin"/>
      </w:r>
      <w:r>
        <w:rPr>
          <w:color w:val="auto"/>
          <w:highlight w:val="none"/>
        </w:rPr>
        <w:instrText xml:space="preserve"> PAGEREF _Toc6881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_Toc3972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二、 </w:t>
      </w:r>
      <w:r>
        <w:rPr>
          <w:rFonts w:hint="eastAsia" w:ascii="宋体" w:hAnsi="宋体" w:cs="宋体"/>
          <w:color w:val="auto"/>
          <w:highlight w:val="none"/>
        </w:rPr>
        <w:t>附件2-投标声明书</w:t>
      </w:r>
      <w:r>
        <w:rPr>
          <w:color w:val="auto"/>
          <w:highlight w:val="none"/>
        </w:rPr>
        <w:tab/>
      </w:r>
      <w:r>
        <w:rPr>
          <w:color w:val="auto"/>
          <w:highlight w:val="none"/>
        </w:rPr>
        <w:fldChar w:fldCharType="begin"/>
      </w:r>
      <w:r>
        <w:rPr>
          <w:color w:val="auto"/>
          <w:highlight w:val="none"/>
        </w:rPr>
        <w:instrText xml:space="preserve"> PAGEREF _Toc3972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_Toc28552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三、 </w:t>
      </w:r>
      <w:r>
        <w:rPr>
          <w:rFonts w:hint="eastAsia" w:ascii="宋体" w:hAnsi="宋体" w:cs="宋体"/>
          <w:color w:val="auto"/>
          <w:highlight w:val="none"/>
        </w:rPr>
        <w:t>附件3-授权委托书</w:t>
      </w:r>
      <w:r>
        <w:rPr>
          <w:color w:val="auto"/>
          <w:highlight w:val="none"/>
        </w:rPr>
        <w:tab/>
      </w:r>
      <w:r>
        <w:rPr>
          <w:color w:val="auto"/>
          <w:highlight w:val="none"/>
        </w:rPr>
        <w:fldChar w:fldCharType="begin"/>
      </w:r>
      <w:r>
        <w:rPr>
          <w:color w:val="auto"/>
          <w:highlight w:val="none"/>
        </w:rPr>
        <w:instrText xml:space="preserve"> PAGEREF _Toc28552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_Toc484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四、 </w:t>
      </w:r>
      <w:r>
        <w:rPr>
          <w:rFonts w:hint="eastAsia" w:ascii="宋体" w:hAnsi="宋体" w:cs="宋体"/>
          <w:color w:val="auto"/>
          <w:highlight w:val="none"/>
        </w:rPr>
        <w:t>附件4-有效的法人或者其他组织营业执照等证明文件</w:t>
      </w:r>
      <w:r>
        <w:rPr>
          <w:color w:val="auto"/>
          <w:highlight w:val="none"/>
        </w:rPr>
        <w:tab/>
      </w:r>
      <w:r>
        <w:rPr>
          <w:color w:val="auto"/>
          <w:highlight w:val="none"/>
        </w:rPr>
        <w:fldChar w:fldCharType="begin"/>
      </w:r>
      <w:r>
        <w:rPr>
          <w:color w:val="auto"/>
          <w:highlight w:val="none"/>
        </w:rPr>
        <w:instrText xml:space="preserve"> PAGEREF _Toc484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_Toc12039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五、 </w:t>
      </w:r>
      <w:r>
        <w:rPr>
          <w:rFonts w:hint="eastAsia" w:ascii="宋体" w:hAnsi="宋体" w:cs="宋体"/>
          <w:color w:val="auto"/>
          <w:highlight w:val="none"/>
        </w:rPr>
        <w:t>附件5-具备健全的财务会计制度的承诺函</w:t>
      </w:r>
      <w:r>
        <w:rPr>
          <w:color w:val="auto"/>
          <w:highlight w:val="none"/>
        </w:rPr>
        <w:tab/>
      </w:r>
      <w:r>
        <w:rPr>
          <w:color w:val="auto"/>
          <w:highlight w:val="none"/>
        </w:rPr>
        <w:fldChar w:fldCharType="begin"/>
      </w:r>
      <w:r>
        <w:rPr>
          <w:color w:val="auto"/>
          <w:highlight w:val="none"/>
        </w:rPr>
        <w:instrText xml:space="preserve"> PAGEREF _Toc12039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_Toc18601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六、 </w:t>
      </w:r>
      <w:r>
        <w:rPr>
          <w:rFonts w:hint="eastAsia" w:ascii="宋体" w:hAnsi="宋体" w:cs="宋体"/>
          <w:color w:val="auto"/>
          <w:highlight w:val="none"/>
        </w:rPr>
        <w:t>附件6-无税收缴纳、社会保障等方面的失信记录的承诺函</w:t>
      </w:r>
      <w:r>
        <w:rPr>
          <w:color w:val="auto"/>
          <w:highlight w:val="none"/>
        </w:rPr>
        <w:tab/>
      </w:r>
      <w:r>
        <w:rPr>
          <w:color w:val="auto"/>
          <w:highlight w:val="none"/>
        </w:rPr>
        <w:fldChar w:fldCharType="begin"/>
      </w:r>
      <w:r>
        <w:rPr>
          <w:color w:val="auto"/>
          <w:highlight w:val="none"/>
        </w:rPr>
        <w:instrText xml:space="preserve"> PAGEREF _Toc18601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_Toc28568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七、 </w:t>
      </w:r>
      <w:r>
        <w:rPr>
          <w:rFonts w:hint="eastAsia" w:ascii="宋体" w:hAnsi="宋体" w:cs="宋体"/>
          <w:color w:val="auto"/>
          <w:highlight w:val="none"/>
        </w:rPr>
        <w:t>附件7-参加政府采购活动前三年内，在经营活动中没有重大违法记录的声明函</w:t>
      </w:r>
      <w:r>
        <w:rPr>
          <w:color w:val="auto"/>
          <w:highlight w:val="none"/>
        </w:rPr>
        <w:tab/>
      </w:r>
      <w:r>
        <w:rPr>
          <w:color w:val="auto"/>
          <w:highlight w:val="none"/>
        </w:rPr>
        <w:fldChar w:fldCharType="begin"/>
      </w:r>
      <w:r>
        <w:rPr>
          <w:color w:val="auto"/>
          <w:highlight w:val="none"/>
        </w:rPr>
        <w:instrText xml:space="preserve"> PAGEREF _Toc28568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_Toc23163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八、 </w:t>
      </w:r>
      <w:r>
        <w:rPr>
          <w:rFonts w:hint="eastAsia" w:ascii="宋体" w:hAnsi="宋体" w:cs="宋体"/>
          <w:color w:val="auto"/>
          <w:highlight w:val="none"/>
        </w:rPr>
        <w:t>附件8-联合体协议（若有）</w:t>
      </w:r>
      <w:r>
        <w:rPr>
          <w:color w:val="auto"/>
          <w:highlight w:val="none"/>
        </w:rPr>
        <w:tab/>
      </w:r>
      <w:r>
        <w:rPr>
          <w:color w:val="auto"/>
          <w:highlight w:val="none"/>
        </w:rPr>
        <w:fldChar w:fldCharType="begin"/>
      </w:r>
      <w:r>
        <w:rPr>
          <w:color w:val="auto"/>
          <w:highlight w:val="none"/>
        </w:rPr>
        <w:instrText xml:space="preserve"> PAGEREF _Toc23163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_Toc2350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九、 </w:t>
      </w:r>
      <w:r>
        <w:rPr>
          <w:rFonts w:hint="eastAsia" w:ascii="宋体" w:hAnsi="宋体" w:cs="宋体"/>
          <w:color w:val="auto"/>
          <w:highlight w:val="none"/>
        </w:rPr>
        <w:t>附件9-商务与技术文件封面及目录</w:t>
      </w:r>
      <w:r>
        <w:rPr>
          <w:color w:val="auto"/>
          <w:highlight w:val="none"/>
        </w:rPr>
        <w:tab/>
      </w:r>
      <w:r>
        <w:rPr>
          <w:color w:val="auto"/>
          <w:highlight w:val="none"/>
        </w:rPr>
        <w:fldChar w:fldCharType="begin"/>
      </w:r>
      <w:r>
        <w:rPr>
          <w:color w:val="auto"/>
          <w:highlight w:val="none"/>
        </w:rPr>
        <w:instrText xml:space="preserve"> PAGEREF _Toc2350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_Toc17325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 </w:t>
      </w:r>
      <w:r>
        <w:rPr>
          <w:rFonts w:hint="eastAsia" w:ascii="宋体" w:hAnsi="宋体" w:cs="宋体"/>
          <w:color w:val="auto"/>
          <w:highlight w:val="none"/>
        </w:rPr>
        <w:t>附件10-投标人基本情况表</w:t>
      </w:r>
      <w:r>
        <w:rPr>
          <w:color w:val="auto"/>
          <w:highlight w:val="none"/>
        </w:rPr>
        <w:tab/>
      </w:r>
      <w:r>
        <w:rPr>
          <w:color w:val="auto"/>
          <w:highlight w:val="none"/>
        </w:rPr>
        <w:fldChar w:fldCharType="begin"/>
      </w:r>
      <w:r>
        <w:rPr>
          <w:color w:val="auto"/>
          <w:highlight w:val="none"/>
        </w:rPr>
        <w:instrText xml:space="preserve"> PAGEREF _Toc17325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_Toc16985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十一、 </w:t>
      </w:r>
      <w:r>
        <w:rPr>
          <w:rFonts w:hint="eastAsia" w:ascii="宋体" w:hAnsi="宋体" w:cs="宋体"/>
          <w:color w:val="auto"/>
          <w:highlight w:val="none"/>
        </w:rPr>
        <w:t>附件11-项目实施人员一览表</w:t>
      </w:r>
      <w:r>
        <w:rPr>
          <w:color w:val="auto"/>
          <w:highlight w:val="none"/>
        </w:rPr>
        <w:tab/>
      </w:r>
      <w:r>
        <w:rPr>
          <w:color w:val="auto"/>
          <w:highlight w:val="none"/>
        </w:rPr>
        <w:fldChar w:fldCharType="begin"/>
      </w:r>
      <w:r>
        <w:rPr>
          <w:color w:val="auto"/>
          <w:highlight w:val="none"/>
        </w:rPr>
        <w:instrText xml:space="preserve"> PAGEREF _Toc16985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_Toc30219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十二、 </w:t>
      </w:r>
      <w:r>
        <w:rPr>
          <w:rFonts w:hint="eastAsia" w:ascii="宋体" w:hAnsi="宋体" w:cs="宋体"/>
          <w:color w:val="auto"/>
          <w:highlight w:val="none"/>
        </w:rPr>
        <w:t>附件12-项目负责人资格情况表</w:t>
      </w:r>
      <w:r>
        <w:rPr>
          <w:color w:val="auto"/>
          <w:highlight w:val="none"/>
        </w:rPr>
        <w:tab/>
      </w:r>
      <w:r>
        <w:rPr>
          <w:color w:val="auto"/>
          <w:highlight w:val="none"/>
        </w:rPr>
        <w:fldChar w:fldCharType="begin"/>
      </w:r>
      <w:r>
        <w:rPr>
          <w:color w:val="auto"/>
          <w:highlight w:val="none"/>
        </w:rPr>
        <w:instrText xml:space="preserve"> PAGEREF _Toc30219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_Toc23876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十三、 </w:t>
      </w:r>
      <w:r>
        <w:rPr>
          <w:rFonts w:hint="eastAsia" w:ascii="宋体" w:hAnsi="宋体" w:cs="宋体"/>
          <w:color w:val="auto"/>
          <w:highlight w:val="none"/>
        </w:rPr>
        <w:t>附件13-技术参数响应表</w:t>
      </w:r>
      <w:r>
        <w:rPr>
          <w:color w:val="auto"/>
          <w:highlight w:val="none"/>
        </w:rPr>
        <w:tab/>
      </w:r>
      <w:r>
        <w:rPr>
          <w:color w:val="auto"/>
          <w:highlight w:val="none"/>
        </w:rPr>
        <w:fldChar w:fldCharType="begin"/>
      </w:r>
      <w:r>
        <w:rPr>
          <w:color w:val="auto"/>
          <w:highlight w:val="none"/>
        </w:rPr>
        <w:instrText xml:space="preserve"> PAGEREF _Toc23876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_Toc11356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十四、 </w:t>
      </w:r>
      <w:r>
        <w:rPr>
          <w:rFonts w:hint="eastAsia" w:ascii="宋体" w:hAnsi="宋体" w:cs="宋体"/>
          <w:color w:val="auto"/>
          <w:highlight w:val="none"/>
        </w:rPr>
        <w:t>附件14-投标人证书及荣誉证书格式</w:t>
      </w:r>
      <w:r>
        <w:rPr>
          <w:color w:val="auto"/>
          <w:highlight w:val="none"/>
        </w:rPr>
        <w:tab/>
      </w:r>
      <w:r>
        <w:rPr>
          <w:color w:val="auto"/>
          <w:highlight w:val="none"/>
        </w:rPr>
        <w:fldChar w:fldCharType="begin"/>
      </w:r>
      <w:r>
        <w:rPr>
          <w:color w:val="auto"/>
          <w:highlight w:val="none"/>
        </w:rPr>
        <w:instrText xml:space="preserve"> PAGEREF _Toc11356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_Toc19901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十五、 </w:t>
      </w:r>
      <w:r>
        <w:rPr>
          <w:rFonts w:hint="eastAsia" w:ascii="宋体" w:hAnsi="宋体" w:cs="宋体"/>
          <w:color w:val="auto"/>
          <w:highlight w:val="none"/>
        </w:rPr>
        <w:t>附件15-投标人类似业绩表</w:t>
      </w:r>
      <w:r>
        <w:rPr>
          <w:color w:val="auto"/>
          <w:highlight w:val="none"/>
        </w:rPr>
        <w:tab/>
      </w:r>
      <w:r>
        <w:rPr>
          <w:color w:val="auto"/>
          <w:highlight w:val="none"/>
        </w:rPr>
        <w:fldChar w:fldCharType="begin"/>
      </w:r>
      <w:r>
        <w:rPr>
          <w:color w:val="auto"/>
          <w:highlight w:val="none"/>
        </w:rPr>
        <w:instrText xml:space="preserve"> PAGEREF _Toc19901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_Toc9934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十六、 </w:t>
      </w:r>
      <w:r>
        <w:rPr>
          <w:rFonts w:hint="eastAsia" w:ascii="宋体" w:hAnsi="宋体" w:cs="宋体"/>
          <w:color w:val="auto"/>
          <w:highlight w:val="none"/>
        </w:rPr>
        <w:t>附件16-商务需求响应表</w:t>
      </w:r>
      <w:r>
        <w:rPr>
          <w:color w:val="auto"/>
          <w:highlight w:val="none"/>
        </w:rPr>
        <w:tab/>
      </w:r>
      <w:r>
        <w:rPr>
          <w:color w:val="auto"/>
          <w:highlight w:val="none"/>
        </w:rPr>
        <w:fldChar w:fldCharType="begin"/>
      </w:r>
      <w:r>
        <w:rPr>
          <w:color w:val="auto"/>
          <w:highlight w:val="none"/>
        </w:rPr>
        <w:instrText xml:space="preserve"> PAGEREF _Toc9934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_Toc26728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十七、 </w:t>
      </w:r>
      <w:r>
        <w:rPr>
          <w:rFonts w:hint="eastAsia" w:ascii="宋体" w:hAnsi="宋体" w:cs="宋体"/>
          <w:color w:val="auto"/>
          <w:highlight w:val="none"/>
        </w:rPr>
        <w:t>附件17-报价文件封面和目录</w:t>
      </w:r>
      <w:r>
        <w:rPr>
          <w:color w:val="auto"/>
          <w:highlight w:val="none"/>
        </w:rPr>
        <w:tab/>
      </w:r>
      <w:r>
        <w:rPr>
          <w:color w:val="auto"/>
          <w:highlight w:val="none"/>
        </w:rPr>
        <w:fldChar w:fldCharType="begin"/>
      </w:r>
      <w:r>
        <w:rPr>
          <w:color w:val="auto"/>
          <w:highlight w:val="none"/>
        </w:rPr>
        <w:instrText xml:space="preserve"> PAGEREF _Toc26728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_Toc28644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十八、 </w:t>
      </w:r>
      <w:r>
        <w:rPr>
          <w:rFonts w:hint="eastAsia" w:ascii="宋体" w:hAnsi="宋体" w:cs="宋体"/>
          <w:color w:val="auto"/>
          <w:highlight w:val="none"/>
        </w:rPr>
        <w:t>附件18-开标一览表</w:t>
      </w:r>
      <w:r>
        <w:rPr>
          <w:color w:val="auto"/>
          <w:highlight w:val="none"/>
        </w:rPr>
        <w:tab/>
      </w:r>
      <w:r>
        <w:rPr>
          <w:color w:val="auto"/>
          <w:highlight w:val="none"/>
        </w:rPr>
        <w:fldChar w:fldCharType="begin"/>
      </w:r>
      <w:r>
        <w:rPr>
          <w:color w:val="auto"/>
          <w:highlight w:val="none"/>
        </w:rPr>
        <w:instrText xml:space="preserve"> PAGEREF _Toc28644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_Toc7300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十九、 </w:t>
      </w:r>
      <w:r>
        <w:rPr>
          <w:rFonts w:hint="eastAsia" w:ascii="宋体" w:hAnsi="宋体" w:cs="宋体"/>
          <w:color w:val="auto"/>
          <w:highlight w:val="none"/>
        </w:rPr>
        <w:t>附件19-报价明细表</w:t>
      </w:r>
      <w:r>
        <w:rPr>
          <w:color w:val="auto"/>
          <w:highlight w:val="none"/>
        </w:rPr>
        <w:tab/>
      </w:r>
      <w:r>
        <w:rPr>
          <w:color w:val="auto"/>
          <w:highlight w:val="none"/>
        </w:rPr>
        <w:fldChar w:fldCharType="begin"/>
      </w:r>
      <w:r>
        <w:rPr>
          <w:color w:val="auto"/>
          <w:highlight w:val="none"/>
        </w:rPr>
        <w:instrText xml:space="preserve"> PAGEREF _Toc7300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_Toc5528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二十、 </w:t>
      </w:r>
      <w:r>
        <w:rPr>
          <w:rFonts w:hint="eastAsia" w:ascii="宋体" w:hAnsi="宋体" w:cs="宋体"/>
          <w:color w:val="auto"/>
          <w:highlight w:val="none"/>
        </w:rPr>
        <w:t>附件20-中小企业声明函</w:t>
      </w:r>
      <w:r>
        <w:rPr>
          <w:color w:val="auto"/>
          <w:highlight w:val="none"/>
        </w:rPr>
        <w:tab/>
      </w:r>
      <w:r>
        <w:rPr>
          <w:color w:val="auto"/>
          <w:highlight w:val="none"/>
        </w:rPr>
        <w:fldChar w:fldCharType="begin"/>
      </w:r>
      <w:r>
        <w:rPr>
          <w:color w:val="auto"/>
          <w:highlight w:val="none"/>
        </w:rPr>
        <w:instrText xml:space="preserve"> PAGEREF _Toc5528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28"/>
          <w:highlight w:val="none"/>
        </w:rPr>
        <w:fldChar w:fldCharType="end"/>
      </w:r>
    </w:p>
    <w:p>
      <w:pPr>
        <w:pStyle w:val="19"/>
        <w:tabs>
          <w:tab w:val="right" w:leader="dot" w:pos="8306"/>
        </w:tabs>
        <w:rPr>
          <w:color w:val="auto"/>
          <w:highlight w:val="none"/>
        </w:rPr>
      </w:pP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_Toc5362 </w:instrText>
      </w:r>
      <w:r>
        <w:rPr>
          <w:rFonts w:hint="eastAsia" w:ascii="宋体" w:hAnsi="宋体" w:cs="宋体"/>
          <w:color w:val="auto"/>
          <w:szCs w:val="28"/>
          <w:highlight w:val="none"/>
        </w:rPr>
        <w:fldChar w:fldCharType="separate"/>
      </w:r>
      <w:r>
        <w:rPr>
          <w:rFonts w:hint="default" w:ascii="宋体" w:hAnsi="宋体" w:cs="宋体"/>
          <w:color w:val="auto"/>
          <w:highlight w:val="none"/>
        </w:rPr>
        <w:t xml:space="preserve">二十一、 </w:t>
      </w:r>
      <w:r>
        <w:rPr>
          <w:rFonts w:hint="eastAsia" w:ascii="宋体" w:hAnsi="宋体" w:cs="宋体"/>
          <w:color w:val="auto"/>
          <w:highlight w:val="none"/>
        </w:rPr>
        <w:t>附件21-政府采购活动确认声明书</w:t>
      </w:r>
      <w:r>
        <w:rPr>
          <w:color w:val="auto"/>
          <w:highlight w:val="none"/>
        </w:rPr>
        <w:tab/>
      </w:r>
      <w:r>
        <w:rPr>
          <w:color w:val="auto"/>
          <w:highlight w:val="none"/>
        </w:rPr>
        <w:fldChar w:fldCharType="begin"/>
      </w:r>
      <w:r>
        <w:rPr>
          <w:color w:val="auto"/>
          <w:highlight w:val="none"/>
        </w:rPr>
        <w:instrText xml:space="preserve"> PAGEREF _Toc5362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28"/>
          <w:highlight w:val="none"/>
        </w:rPr>
        <w:fldChar w:fldCharType="end"/>
      </w:r>
    </w:p>
    <w:p>
      <w:pPr>
        <w:spacing w:line="360" w:lineRule="auto"/>
        <w:textAlignment w:val="baseline"/>
        <w:rPr>
          <w:rFonts w:ascii="宋体" w:hAnsi="宋体" w:cs="宋体"/>
          <w:color w:val="auto"/>
          <w:sz w:val="24"/>
          <w:szCs w:val="32"/>
          <w:highlight w:val="none"/>
        </w:rPr>
      </w:pPr>
      <w:r>
        <w:rPr>
          <w:rFonts w:hint="eastAsia" w:ascii="宋体" w:hAnsi="宋体" w:cs="宋体"/>
          <w:color w:val="auto"/>
          <w:szCs w:val="28"/>
          <w:highlight w:val="none"/>
        </w:rPr>
        <w:fldChar w:fldCharType="end"/>
      </w:r>
    </w:p>
    <w:p>
      <w:pPr>
        <w:pStyle w:val="5"/>
        <w:numPr>
          <w:ilvl w:val="0"/>
          <w:numId w:val="2"/>
        </w:numPr>
        <w:jc w:val="center"/>
        <w:textAlignment w:val="baseline"/>
        <w:rPr>
          <w:rFonts w:ascii="宋体" w:hAnsi="宋体" w:cs="宋体"/>
          <w:color w:val="auto"/>
          <w:highlight w:val="none"/>
        </w:rPr>
      </w:pPr>
      <w:bookmarkStart w:id="0" w:name="_Toc11199"/>
      <w:r>
        <w:rPr>
          <w:rFonts w:hint="eastAsia" w:ascii="宋体" w:hAnsi="宋体" w:cs="宋体"/>
          <w:color w:val="auto"/>
          <w:highlight w:val="none"/>
        </w:rPr>
        <w:t>公开招标采购公告</w:t>
      </w:r>
      <w:bookmarkEnd w:id="0"/>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台州市</w:t>
      </w:r>
      <w:r>
        <w:rPr>
          <w:rFonts w:hint="eastAsia" w:ascii="宋体" w:hAnsi="宋体" w:cs="宋体"/>
          <w:b/>
          <w:bCs/>
          <w:color w:val="auto"/>
          <w:sz w:val="24"/>
          <w:szCs w:val="32"/>
          <w:highlight w:val="none"/>
          <w:lang w:eastAsia="zh-CN"/>
        </w:rPr>
        <w:t>不动产登记服务中心</w:t>
      </w:r>
      <w:r>
        <w:rPr>
          <w:rFonts w:hint="eastAsia" w:ascii="宋体" w:hAnsi="宋体" w:cs="宋体"/>
          <w:color w:val="auto"/>
          <w:sz w:val="24"/>
          <w:szCs w:val="32"/>
          <w:highlight w:val="none"/>
        </w:rPr>
        <w:t>委托，现就其</w:t>
      </w:r>
      <w:r>
        <w:rPr>
          <w:rFonts w:ascii="宋体" w:hAnsi="宋体" w:cs="宋体"/>
          <w:b/>
          <w:bCs/>
          <w:color w:val="auto"/>
          <w:sz w:val="24"/>
          <w:highlight w:val="none"/>
        </w:rPr>
        <w:t>台州市不动产登记数据质量提升项目</w:t>
      </w:r>
      <w:r>
        <w:rPr>
          <w:rFonts w:hint="eastAsia" w:ascii="宋体" w:hAnsi="宋体" w:cs="宋体"/>
          <w:color w:val="auto"/>
          <w:sz w:val="24"/>
          <w:szCs w:val="32"/>
          <w:highlight w:val="none"/>
        </w:rPr>
        <w:t>进行公开招标采购，欢迎合格供应商前来投标。</w:t>
      </w:r>
    </w:p>
    <w:p>
      <w:pPr>
        <w:spacing w:line="360" w:lineRule="auto"/>
        <w:ind w:firstLine="482" w:firstLineChars="200"/>
        <w:textAlignment w:val="baseline"/>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eastAsia="zh-CN"/>
        </w:rPr>
        <w:t>ZJWS2022-JJ216</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5"/>
        <w:tblW w:w="90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
        <w:gridCol w:w="3833"/>
        <w:gridCol w:w="2202"/>
        <w:gridCol w:w="2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46" w:type="dxa"/>
            <w:shd w:val="clear" w:color="auto" w:fill="FFFFFF"/>
            <w:noWrap/>
            <w:vAlign w:val="center"/>
          </w:tcPr>
          <w:p>
            <w:pPr>
              <w:tabs>
                <w:tab w:val="left" w:pos="0"/>
              </w:tabs>
              <w:spacing w:line="360" w:lineRule="auto"/>
              <w:textAlignment w:val="baseline"/>
              <w:rPr>
                <w:rFonts w:ascii="宋体" w:hAnsi="宋体" w:cs="宋体"/>
                <w:b/>
                <w:color w:val="auto"/>
                <w:kern w:val="0"/>
                <w:sz w:val="24"/>
                <w:highlight w:val="none"/>
                <w:lang w:eastAsia="en-US" w:bidi="en-US"/>
              </w:rPr>
            </w:pPr>
            <w:r>
              <w:rPr>
                <w:rFonts w:hint="eastAsia" w:ascii="宋体" w:hAnsi="宋体" w:cs="宋体"/>
                <w:b/>
                <w:color w:val="auto"/>
                <w:kern w:val="0"/>
                <w:sz w:val="24"/>
                <w:highlight w:val="none"/>
                <w:lang w:eastAsia="en-US" w:bidi="en-US"/>
              </w:rPr>
              <w:t>序号</w:t>
            </w:r>
          </w:p>
        </w:tc>
        <w:tc>
          <w:tcPr>
            <w:tcW w:w="3833" w:type="dxa"/>
            <w:shd w:val="clear" w:color="auto" w:fill="FFFFFF"/>
            <w:noWrap/>
            <w:vAlign w:val="center"/>
          </w:tcPr>
          <w:p>
            <w:pPr>
              <w:tabs>
                <w:tab w:val="left" w:pos="0"/>
              </w:tabs>
              <w:spacing w:line="360" w:lineRule="auto"/>
              <w:jc w:val="center"/>
              <w:textAlignment w:val="baseline"/>
              <w:rPr>
                <w:rFonts w:ascii="宋体" w:hAnsi="宋体" w:cs="宋体"/>
                <w:b/>
                <w:color w:val="auto"/>
                <w:kern w:val="0"/>
                <w:sz w:val="24"/>
                <w:highlight w:val="none"/>
                <w:lang w:eastAsia="en-US" w:bidi="en-US"/>
              </w:rPr>
            </w:pPr>
            <w:r>
              <w:rPr>
                <w:rFonts w:hint="eastAsia" w:ascii="宋体" w:hAnsi="宋体" w:cs="宋体"/>
                <w:b/>
                <w:color w:val="auto"/>
                <w:kern w:val="0"/>
                <w:sz w:val="24"/>
                <w:highlight w:val="none"/>
                <w:lang w:eastAsia="en-US" w:bidi="en-US"/>
              </w:rPr>
              <w:t>名称</w:t>
            </w:r>
          </w:p>
        </w:tc>
        <w:tc>
          <w:tcPr>
            <w:tcW w:w="2202" w:type="dxa"/>
            <w:shd w:val="clear" w:color="auto" w:fill="FFFFFF"/>
            <w:noWrap/>
            <w:vAlign w:val="center"/>
          </w:tcPr>
          <w:p>
            <w:pPr>
              <w:tabs>
                <w:tab w:val="left" w:pos="0"/>
              </w:tabs>
              <w:spacing w:line="360" w:lineRule="auto"/>
              <w:jc w:val="center"/>
              <w:textAlignment w:val="baseline"/>
              <w:rPr>
                <w:rFonts w:ascii="宋体" w:hAnsi="宋体" w:cs="宋体"/>
                <w:b/>
                <w:bCs/>
                <w:color w:val="auto"/>
                <w:kern w:val="0"/>
                <w:sz w:val="24"/>
                <w:highlight w:val="none"/>
                <w:lang w:bidi="en-US"/>
              </w:rPr>
            </w:pPr>
            <w:r>
              <w:rPr>
                <w:rFonts w:hint="eastAsia" w:ascii="宋体" w:hAnsi="宋体" w:cs="宋体"/>
                <w:b/>
                <w:bCs/>
                <w:color w:val="auto"/>
                <w:kern w:val="0"/>
                <w:sz w:val="24"/>
                <w:highlight w:val="none"/>
                <w:lang w:bidi="en-US"/>
              </w:rPr>
              <w:t>数量</w:t>
            </w:r>
          </w:p>
        </w:tc>
        <w:tc>
          <w:tcPr>
            <w:tcW w:w="2202" w:type="dxa"/>
            <w:shd w:val="clear" w:color="auto" w:fill="FFFFFF"/>
            <w:noWrap/>
            <w:vAlign w:val="center"/>
          </w:tcPr>
          <w:p>
            <w:pPr>
              <w:tabs>
                <w:tab w:val="left" w:pos="0"/>
              </w:tabs>
              <w:spacing w:line="360" w:lineRule="auto"/>
              <w:jc w:val="center"/>
              <w:textAlignment w:val="baseline"/>
              <w:rPr>
                <w:rFonts w:ascii="宋体" w:hAnsi="宋体" w:cs="宋体"/>
                <w:b/>
                <w:color w:val="auto"/>
                <w:kern w:val="0"/>
                <w:sz w:val="24"/>
                <w:highlight w:val="none"/>
                <w:lang w:bidi="en-US"/>
              </w:rPr>
            </w:pPr>
            <w:r>
              <w:rPr>
                <w:rFonts w:hint="eastAsia" w:ascii="宋体" w:hAnsi="宋体" w:cs="宋体"/>
                <w:b/>
                <w:color w:val="auto"/>
                <w:kern w:val="0"/>
                <w:sz w:val="24"/>
                <w:highlight w:val="none"/>
                <w:lang w:bidi="en-US"/>
              </w:rPr>
              <w:t>预算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46" w:type="dxa"/>
            <w:noWrap/>
            <w:vAlign w:val="center"/>
          </w:tcPr>
          <w:p>
            <w:pPr>
              <w:tabs>
                <w:tab w:val="left" w:pos="0"/>
              </w:tabs>
              <w:spacing w:line="360" w:lineRule="auto"/>
              <w:jc w:val="center"/>
              <w:textAlignment w:val="baseline"/>
              <w:rPr>
                <w:rFonts w:ascii="宋体" w:hAnsi="宋体" w:cs="宋体"/>
                <w:b/>
                <w:color w:val="auto"/>
                <w:kern w:val="0"/>
                <w:sz w:val="24"/>
                <w:highlight w:val="none"/>
                <w:lang w:eastAsia="en-US" w:bidi="en-US"/>
              </w:rPr>
            </w:pPr>
            <w:r>
              <w:rPr>
                <w:rFonts w:hint="eastAsia" w:ascii="宋体" w:hAnsi="宋体" w:cs="宋体"/>
                <w:b/>
                <w:color w:val="auto"/>
                <w:kern w:val="0"/>
                <w:sz w:val="24"/>
                <w:highlight w:val="none"/>
                <w:lang w:eastAsia="en-US" w:bidi="en-US"/>
              </w:rPr>
              <w:t>1</w:t>
            </w:r>
          </w:p>
        </w:tc>
        <w:tc>
          <w:tcPr>
            <w:tcW w:w="3833" w:type="dxa"/>
            <w:noWrap/>
            <w:vAlign w:val="center"/>
          </w:tcPr>
          <w:p>
            <w:pPr>
              <w:tabs>
                <w:tab w:val="left" w:pos="0"/>
              </w:tabs>
              <w:spacing w:line="360" w:lineRule="auto"/>
              <w:jc w:val="center"/>
              <w:textAlignment w:val="baseline"/>
              <w:rPr>
                <w:rFonts w:ascii="宋体" w:hAnsi="宋体" w:cs="宋体"/>
                <w:b/>
                <w:color w:val="auto"/>
                <w:kern w:val="0"/>
                <w:sz w:val="24"/>
                <w:highlight w:val="none"/>
                <w:lang w:bidi="en-US"/>
              </w:rPr>
            </w:pPr>
            <w:r>
              <w:rPr>
                <w:rFonts w:ascii="宋体" w:hAnsi="宋体" w:cs="宋体"/>
                <w:b/>
                <w:bCs/>
                <w:color w:val="auto"/>
                <w:sz w:val="24"/>
                <w:highlight w:val="none"/>
              </w:rPr>
              <w:t>台州市不动产登记数据质量提升项目</w:t>
            </w:r>
          </w:p>
        </w:tc>
        <w:tc>
          <w:tcPr>
            <w:tcW w:w="2202" w:type="dxa"/>
            <w:vAlign w:val="center"/>
          </w:tcPr>
          <w:p>
            <w:pPr>
              <w:tabs>
                <w:tab w:val="left" w:pos="0"/>
              </w:tabs>
              <w:spacing w:line="360" w:lineRule="auto"/>
              <w:jc w:val="center"/>
              <w:textAlignment w:val="baseline"/>
              <w:rPr>
                <w:rFonts w:ascii="宋体" w:hAnsi="宋体" w:cs="宋体"/>
                <w:b/>
                <w:color w:val="auto"/>
                <w:kern w:val="0"/>
                <w:sz w:val="24"/>
                <w:highlight w:val="none"/>
                <w:lang w:bidi="en-US"/>
              </w:rPr>
            </w:pPr>
            <w:r>
              <w:rPr>
                <w:rFonts w:hint="eastAsia" w:ascii="宋体" w:hAnsi="宋体" w:cs="宋体"/>
                <w:b/>
                <w:color w:val="auto"/>
                <w:kern w:val="0"/>
                <w:sz w:val="24"/>
                <w:highlight w:val="none"/>
                <w:lang w:bidi="en-US"/>
              </w:rPr>
              <w:t>1项</w:t>
            </w:r>
          </w:p>
        </w:tc>
        <w:tc>
          <w:tcPr>
            <w:tcW w:w="2202" w:type="dxa"/>
            <w:vAlign w:val="center"/>
          </w:tcPr>
          <w:p>
            <w:pPr>
              <w:tabs>
                <w:tab w:val="left" w:pos="0"/>
              </w:tabs>
              <w:spacing w:line="360" w:lineRule="auto"/>
              <w:jc w:val="center"/>
              <w:textAlignment w:val="baseline"/>
              <w:rPr>
                <w:rFonts w:ascii="宋体" w:hAnsi="宋体" w:cs="宋体"/>
                <w:b/>
                <w:color w:val="auto"/>
                <w:kern w:val="0"/>
                <w:sz w:val="24"/>
                <w:highlight w:val="none"/>
                <w:lang w:bidi="en-US"/>
              </w:rPr>
            </w:pPr>
            <w:r>
              <w:rPr>
                <w:rFonts w:hint="eastAsia" w:ascii="宋体" w:hAnsi="宋体" w:cs="宋体"/>
                <w:b/>
                <w:color w:val="auto"/>
                <w:kern w:val="0"/>
                <w:sz w:val="24"/>
                <w:highlight w:val="none"/>
                <w:lang w:val="en-US" w:eastAsia="zh-CN" w:bidi="en-US"/>
              </w:rPr>
              <w:t>560</w:t>
            </w:r>
            <w:r>
              <w:rPr>
                <w:rFonts w:hint="eastAsia" w:ascii="宋体" w:hAnsi="宋体" w:cs="宋体"/>
                <w:b/>
                <w:color w:val="auto"/>
                <w:kern w:val="0"/>
                <w:sz w:val="24"/>
                <w:highlight w:val="none"/>
                <w:lang w:bidi="en-US"/>
              </w:rPr>
              <w:t>万元</w:t>
            </w:r>
          </w:p>
        </w:tc>
      </w:tr>
    </w:tbl>
    <w:p>
      <w:pPr>
        <w:pStyle w:val="94"/>
        <w:ind w:firstLine="0" w:firstLineChars="0"/>
        <w:textAlignment w:val="baseline"/>
        <w:rPr>
          <w:rFonts w:ascii="宋体" w:hAnsi="宋体" w:cs="宋体"/>
          <w:color w:val="auto"/>
          <w:highlight w:val="none"/>
        </w:rPr>
      </w:pP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3.本项目的特定资格要求：无。</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4.本项目允许联合体投标。</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四、</w:t>
      </w:r>
      <w:r>
        <w:rPr>
          <w:rFonts w:hint="eastAsia" w:ascii="宋体" w:hAnsi="宋体" w:cs="宋体"/>
          <w:b/>
          <w:bCs/>
          <w:color w:val="auto"/>
          <w:sz w:val="24"/>
          <w:szCs w:val="32"/>
          <w:highlight w:val="none"/>
        </w:rPr>
        <w:t>招标文件获取的时间、方式：</w:t>
      </w:r>
    </w:p>
    <w:p>
      <w:pPr>
        <w:pStyle w:val="31"/>
        <w:spacing w:before="0" w:beforeAutospacing="0" w:after="0" w:afterAutospacing="0" w:line="360" w:lineRule="auto"/>
        <w:ind w:firstLine="336"/>
        <w:textAlignment w:val="baseline"/>
        <w:rPr>
          <w:rFonts w:cs="宋体"/>
          <w:color w:val="auto"/>
          <w:kern w:val="2"/>
          <w:highlight w:val="none"/>
        </w:rPr>
      </w:pPr>
      <w:r>
        <w:rPr>
          <w:rFonts w:hint="eastAsia" w:cs="宋体"/>
          <w:color w:val="auto"/>
          <w:kern w:val="2"/>
          <w:highlight w:val="none"/>
        </w:rPr>
        <w:t>1、本项目招标文件实行“政府采购云平台”在线获取，不提供招标文件纸质版。供应商获取招标文件前应先完成“政府采购云平台”的账号注册；</w:t>
      </w:r>
    </w:p>
    <w:p>
      <w:pPr>
        <w:pStyle w:val="31"/>
        <w:spacing w:before="0" w:beforeAutospacing="0" w:after="0" w:afterAutospacing="0" w:line="360" w:lineRule="auto"/>
        <w:ind w:firstLine="336"/>
        <w:textAlignment w:val="baseline"/>
        <w:rPr>
          <w:rFonts w:cs="宋体"/>
          <w:color w:val="auto"/>
          <w:kern w:val="2"/>
          <w:highlight w:val="none"/>
        </w:rPr>
      </w:pPr>
      <w:r>
        <w:rPr>
          <w:rFonts w:hint="eastAsia" w:cs="宋体"/>
          <w:b/>
          <w:bCs/>
          <w:color w:val="auto"/>
          <w:kern w:val="2"/>
          <w:highlight w:val="none"/>
        </w:rPr>
        <w:t>2、获取时间：</w:t>
      </w:r>
      <w:r>
        <w:rPr>
          <w:rFonts w:hint="eastAsia" w:cs="宋体"/>
          <w:color w:val="auto"/>
          <w:kern w:val="2"/>
          <w:highlight w:val="none"/>
        </w:rPr>
        <w:t>自本公告发布之日起至响应文件递交截止时间止（以供应商完成获取采购文件申请后下载采购文件的时间为准）；</w:t>
      </w:r>
    </w:p>
    <w:p>
      <w:pPr>
        <w:pStyle w:val="31"/>
        <w:spacing w:before="0" w:beforeAutospacing="0" w:after="0" w:afterAutospacing="0" w:line="360" w:lineRule="auto"/>
        <w:ind w:firstLine="336"/>
        <w:textAlignment w:val="baseline"/>
        <w:rPr>
          <w:rFonts w:cs="宋体"/>
          <w:b/>
          <w:bCs/>
          <w:color w:val="auto"/>
          <w:kern w:val="2"/>
          <w:highlight w:val="none"/>
        </w:rPr>
      </w:pPr>
      <w:r>
        <w:rPr>
          <w:rFonts w:hint="eastAsia" w:cs="宋体"/>
          <w:b/>
          <w:bCs/>
          <w:color w:val="auto"/>
          <w:kern w:val="2"/>
          <w:highlight w:val="none"/>
        </w:rPr>
        <w:t>3、获取地点：</w:t>
      </w:r>
    </w:p>
    <w:p>
      <w:pPr>
        <w:pStyle w:val="31"/>
        <w:spacing w:before="0" w:beforeAutospacing="0" w:after="0" w:afterAutospacing="0" w:line="360" w:lineRule="auto"/>
        <w:ind w:firstLine="168"/>
        <w:textAlignment w:val="baseline"/>
        <w:rPr>
          <w:rFonts w:cs="宋体"/>
          <w:color w:val="auto"/>
          <w:kern w:val="2"/>
          <w:highlight w:val="none"/>
        </w:rPr>
      </w:pPr>
      <w:r>
        <w:rPr>
          <w:rFonts w:hint="eastAsia" w:cs="宋体"/>
          <w:color w:val="auto"/>
          <w:kern w:val="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cs="宋体"/>
          <w:color w:val="auto"/>
          <w:kern w:val="2"/>
          <w:highlight w:val="none"/>
        </w:rPr>
        <w:t>http://zfcg.czt.zj.gov.cn</w:t>
      </w:r>
      <w:r>
        <w:rPr>
          <w:rFonts w:hint="eastAsia" w:cs="宋体"/>
          <w:color w:val="auto"/>
          <w:kern w:val="2"/>
          <w:highlight w:val="none"/>
        </w:rPr>
        <w:fldChar w:fldCharType="end"/>
      </w:r>
      <w:r>
        <w:rPr>
          <w:rFonts w:hint="eastAsia" w:cs="宋体"/>
          <w:color w:val="auto"/>
          <w:kern w:val="2"/>
          <w:highlight w:val="none"/>
        </w:rPr>
        <w:t>）；</w:t>
      </w:r>
    </w:p>
    <w:p>
      <w:pPr>
        <w:pStyle w:val="31"/>
        <w:spacing w:before="0" w:beforeAutospacing="0" w:after="0" w:afterAutospacing="0" w:line="360" w:lineRule="auto"/>
        <w:ind w:firstLine="168"/>
        <w:textAlignment w:val="baseline"/>
        <w:rPr>
          <w:rFonts w:cs="宋体"/>
          <w:color w:val="auto"/>
          <w:kern w:val="2"/>
          <w:highlight w:val="none"/>
        </w:rPr>
      </w:pPr>
      <w:r>
        <w:rPr>
          <w:rFonts w:hint="eastAsia" w:cs="宋体"/>
          <w:color w:val="auto"/>
          <w:kern w:val="2"/>
          <w:highlight w:val="none"/>
        </w:rPr>
        <w:t>（2）供应商网上报名操作指南：“浙江政府采购网-办事指南-省采中心-网上报名”（http://zfcg.czt.zj.gov.cn/bs_other/2018-03-30/12002.html）。</w:t>
      </w:r>
    </w:p>
    <w:p>
      <w:pPr>
        <w:pStyle w:val="31"/>
        <w:spacing w:before="0" w:beforeAutospacing="0" w:after="0" w:afterAutospacing="0" w:line="360" w:lineRule="auto"/>
        <w:ind w:firstLine="336"/>
        <w:textAlignment w:val="baseline"/>
        <w:rPr>
          <w:rFonts w:cs="宋体"/>
          <w:color w:val="auto"/>
          <w:kern w:val="2"/>
          <w:highlight w:val="none"/>
        </w:rPr>
      </w:pPr>
      <w:r>
        <w:rPr>
          <w:rFonts w:hint="eastAsia" w:cs="宋体"/>
          <w:b/>
          <w:bCs/>
          <w:color w:val="auto"/>
          <w:kern w:val="2"/>
          <w:highlight w:val="none"/>
        </w:rPr>
        <w:t>4、获取方式：</w:t>
      </w:r>
      <w:r>
        <w:rPr>
          <w:rFonts w:hint="eastAsia" w:cs="宋体"/>
          <w:color w:val="auto"/>
          <w:kern w:val="2"/>
          <w:highlight w:val="none"/>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31"/>
        <w:spacing w:before="0" w:beforeAutospacing="0" w:after="0" w:afterAutospacing="0" w:line="360" w:lineRule="auto"/>
        <w:ind w:firstLine="336"/>
        <w:textAlignment w:val="baseline"/>
        <w:rPr>
          <w:rFonts w:cs="宋体"/>
          <w:color w:val="auto"/>
          <w:kern w:val="2"/>
          <w:highlight w:val="none"/>
        </w:rPr>
      </w:pPr>
      <w:r>
        <w:rPr>
          <w:rFonts w:hint="eastAsia" w:cs="宋体"/>
          <w:b/>
          <w:bCs/>
          <w:color w:val="auto"/>
          <w:kern w:val="2"/>
          <w:highlight w:val="none"/>
        </w:rPr>
        <w:t>5、提示：</w:t>
      </w:r>
      <w:r>
        <w:rPr>
          <w:rFonts w:hint="eastAsia" w:cs="宋体"/>
          <w:color w:val="auto"/>
          <w:kern w:val="2"/>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65"/>
        <w:spacing w:line="360" w:lineRule="auto"/>
        <w:ind w:firstLine="480"/>
        <w:rPr>
          <w:rStyle w:val="38"/>
          <w:rFonts w:ascii="宋体" w:hAnsi="宋体" w:cs="宋体"/>
          <w:color w:val="auto"/>
          <w:sz w:val="24"/>
          <w:highlight w:val="none"/>
        </w:rPr>
      </w:pPr>
      <w:r>
        <w:rPr>
          <w:rStyle w:val="38"/>
          <w:rFonts w:hint="eastAsia" w:ascii="宋体" w:hAnsi="宋体" w:cs="宋体"/>
          <w:color w:val="auto"/>
          <w:sz w:val="24"/>
          <w:highlight w:val="none"/>
        </w:rPr>
        <w:t>五、投标说明：</w:t>
      </w:r>
    </w:p>
    <w:p>
      <w:pPr>
        <w:spacing w:line="360" w:lineRule="auto"/>
        <w:ind w:firstLine="480" w:firstLineChars="200"/>
        <w:textAlignment w:val="baseline"/>
        <w:rPr>
          <w:rFonts w:ascii="宋体" w:hAnsi="宋体" w:cs="宋体"/>
          <w:color w:val="auto"/>
          <w:kern w:val="0"/>
          <w:sz w:val="24"/>
          <w:highlight w:val="none"/>
          <w:u w:val="single"/>
        </w:rPr>
      </w:pPr>
      <w:r>
        <w:rPr>
          <w:rFonts w:hint="eastAsia" w:ascii="宋体" w:hAnsi="宋体" w:cs="宋体"/>
          <w:color w:val="auto"/>
          <w:kern w:val="0"/>
          <w:sz w:val="24"/>
          <w:highlight w:val="none"/>
          <w:u w:val="single" w:color="000000"/>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textAlignment w:val="baseline"/>
        <w:rPr>
          <w:rFonts w:ascii="宋体" w:hAnsi="宋体" w:cs="宋体"/>
          <w:color w:val="auto"/>
          <w:kern w:val="0"/>
          <w:sz w:val="24"/>
          <w:highlight w:val="none"/>
          <w:u w:val="single"/>
        </w:rPr>
      </w:pPr>
      <w:r>
        <w:rPr>
          <w:rFonts w:hint="eastAsia" w:ascii="宋体" w:hAnsi="宋体" w:cs="宋体"/>
          <w:color w:val="auto"/>
          <w:kern w:val="0"/>
          <w:sz w:val="24"/>
          <w:highlight w:val="none"/>
          <w:u w:val="single" w:color="000000"/>
        </w:rPr>
        <w:t>2.投标人通过政采云平台电子投标工具制作投标文件，电子投标工具请供应商自行前往浙江政府采购网下载并安装，（下载网址：http://www.zjzfcg.gov.cn/bidClientTemplate/2019-05-27/12946.html），电子投标具体流程详见本招标公告附件：“政采云供应商项目采购-电子招投标操作指南.pdf”。</w:t>
      </w:r>
    </w:p>
    <w:p>
      <w:pPr>
        <w:spacing w:line="360" w:lineRule="auto"/>
        <w:ind w:firstLine="480" w:firstLineChars="200"/>
        <w:textAlignment w:val="baseline"/>
        <w:rPr>
          <w:rFonts w:ascii="宋体" w:hAnsi="宋体" w:cs="宋体"/>
          <w:color w:val="auto"/>
          <w:kern w:val="0"/>
          <w:sz w:val="24"/>
          <w:highlight w:val="none"/>
          <w:u w:val="single"/>
        </w:rPr>
      </w:pPr>
      <w:r>
        <w:rPr>
          <w:rFonts w:hint="eastAsia" w:ascii="宋体" w:hAnsi="宋体" w:cs="宋体"/>
          <w:color w:val="auto"/>
          <w:kern w:val="0"/>
          <w:sz w:val="24"/>
          <w:highlight w:val="none"/>
          <w:u w:val="single" w:color="000000"/>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color="000000"/>
        </w:rPr>
        <w:t>http://www.zjzfcg.gov.cn/bidClientTemplate/2019-05-27/12945.html</w:t>
      </w:r>
      <w:r>
        <w:rPr>
          <w:rFonts w:hint="eastAsia" w:ascii="宋体" w:hAnsi="宋体" w:cs="宋体"/>
          <w:color w:val="auto"/>
          <w:kern w:val="0"/>
          <w:sz w:val="24"/>
          <w:highlight w:val="none"/>
          <w:u w:val="single" w:color="000000"/>
        </w:rPr>
        <w:fldChar w:fldCharType="end"/>
      </w:r>
      <w:r>
        <w:rPr>
          <w:rFonts w:hint="eastAsia" w:ascii="宋体" w:hAnsi="宋体" w:cs="宋体"/>
          <w:color w:val="auto"/>
          <w:kern w:val="0"/>
          <w:sz w:val="24"/>
          <w:highlight w:val="none"/>
          <w:u w:val="single" w:color="000000"/>
        </w:rPr>
        <w:t>，完成CA数字证书办理预计一周左右，请各投标人自行把握时间）</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5.投标文件的组成、份数、密封、效力</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本项目实行电子投标，供应商应准备电子投标文件、以介质（U盘）存储的数据电文形式、纸质备份投标文件三类：</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5.1电子投标文件，按政采云平台项目采购--电子招投标操作指南及本招标文件要求编制。</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5.2纸质备份投标文件以纸质文件的形式编制，按资格及商务技术文件、报价文件分别编制并单独装订成册，数量均为2份（一正一副）。资格及商务技术文件、报价文件须分别密封封装，资格及商务技术文件、报价文件未分别密封的投标文件将为无效。</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①在投标截止时间前送交到开标地点；</w:t>
      </w:r>
    </w:p>
    <w:p>
      <w:pPr>
        <w:pStyle w:val="31"/>
        <w:spacing w:before="0" w:beforeAutospacing="0" w:after="0" w:afterAutospacing="0" w:line="360" w:lineRule="auto"/>
        <w:ind w:firstLine="480"/>
        <w:textAlignment w:val="baseline"/>
        <w:rPr>
          <w:rFonts w:cs="宋体"/>
          <w:color w:val="auto"/>
          <w:highlight w:val="none"/>
        </w:rPr>
      </w:pPr>
      <w:r>
        <w:rPr>
          <w:rFonts w:hint="eastAsia" w:cs="宋体"/>
          <w:color w:val="auto"/>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pPr>
        <w:pStyle w:val="31"/>
        <w:spacing w:before="0" w:beforeAutospacing="0" w:after="0" w:afterAutospacing="0" w:line="360" w:lineRule="auto"/>
        <w:ind w:firstLine="480"/>
        <w:textAlignment w:val="baseline"/>
        <w:rPr>
          <w:rFonts w:cs="宋体"/>
          <w:color w:val="auto"/>
          <w:highlight w:val="none"/>
        </w:rPr>
      </w:pPr>
      <w:r>
        <w:rPr>
          <w:rFonts w:hint="eastAsia" w:cs="宋体"/>
          <w:color w:val="auto"/>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1"/>
        <w:spacing w:before="0" w:beforeAutospacing="0" w:after="0" w:afterAutospacing="0" w:line="360" w:lineRule="auto"/>
        <w:ind w:firstLine="480"/>
        <w:textAlignment w:val="baseline"/>
        <w:rPr>
          <w:rFonts w:cs="宋体"/>
          <w:color w:val="auto"/>
          <w:highlight w:val="none"/>
        </w:rPr>
      </w:pPr>
      <w:r>
        <w:rPr>
          <w:rFonts w:hint="eastAsia" w:cs="宋体"/>
          <w:color w:val="auto"/>
          <w:highlight w:val="none"/>
        </w:rPr>
        <w:t>5.5投标文件启用顺序和效力：投标文件的启用，按先后顺位分别为电子投标文件、以介质（U盘）存储的数据电文形式的备份投标文件和纸质备份投标文件。全部投标人的电子投标文件均已按时解密的，备份投标文件自动失效，全部投标人的电子投标文件均无法按时解密的，启用纸质备份投标文件进行线下开评标。如果某位投标人的电子投标文件无法按时解密的，可启用以介质存储的数据电文形式的备份投标文件，不启用纸质备份投标文件。</w:t>
      </w:r>
    </w:p>
    <w:p>
      <w:pPr>
        <w:pStyle w:val="31"/>
        <w:spacing w:before="0" w:beforeAutospacing="0" w:after="0" w:afterAutospacing="0" w:line="360" w:lineRule="auto"/>
        <w:ind w:firstLine="480"/>
        <w:textAlignment w:val="baseline"/>
        <w:rPr>
          <w:rFonts w:cs="宋体"/>
          <w:color w:val="auto"/>
          <w:sz w:val="27"/>
          <w:szCs w:val="27"/>
          <w:highlight w:val="none"/>
        </w:rPr>
      </w:pPr>
      <w:r>
        <w:rPr>
          <w:rFonts w:hint="eastAsia" w:cs="宋体"/>
          <w:color w:val="auto"/>
          <w:highlight w:val="none"/>
        </w:rPr>
        <w:t>5.6未传输递交电子投标文件的，投标无效。未按规定提供相应的备份投标文件，造成项目开评标活动无法进行下去的，投标无效。</w:t>
      </w:r>
    </w:p>
    <w:p>
      <w:pPr>
        <w:spacing w:line="360" w:lineRule="auto"/>
        <w:ind w:firstLine="482" w:firstLineChars="200"/>
        <w:textAlignment w:val="baseline"/>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2022年10月18日上午9:00</w:t>
      </w:r>
    </w:p>
    <w:p>
      <w:pPr>
        <w:spacing w:line="360" w:lineRule="auto"/>
        <w:ind w:firstLine="482" w:firstLineChars="200"/>
        <w:textAlignment w:val="baseline"/>
        <w:rPr>
          <w:rFonts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lang w:eastAsia="zh-CN"/>
        </w:rPr>
        <w:t>台州市市府大道777号台州市公共资源交易中心3楼第4开标室</w:t>
      </w:r>
      <w:r>
        <w:rPr>
          <w:rFonts w:hint="eastAsia" w:ascii="宋体" w:hAnsi="宋体" w:cs="宋体"/>
          <w:color w:val="auto"/>
          <w:sz w:val="24"/>
          <w:szCs w:val="32"/>
          <w:highlight w:val="none"/>
        </w:rPr>
        <w:t>。</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3）信用信息查询记录和证据留存具体方式：采购代理机构经办人和监督人员将查询网页打印与其他采购文件一并保存；</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textAlignment w:val="baseline"/>
        <w:rPr>
          <w:rFonts w:ascii="宋体" w:hAnsi="宋体" w:cs="宋体"/>
          <w:b/>
          <w:bCs/>
          <w:color w:val="auto"/>
          <w:sz w:val="24"/>
          <w:szCs w:val="32"/>
          <w:highlight w:val="none"/>
        </w:rPr>
      </w:pPr>
      <w:r>
        <w:rPr>
          <w:rFonts w:hint="eastAsia" w:ascii="宋体" w:hAnsi="宋体" w:cs="宋体"/>
          <w:color w:val="auto"/>
          <w:sz w:val="24"/>
          <w:szCs w:val="32"/>
          <w:highlight w:val="none"/>
        </w:rPr>
        <w:t>4.</w:t>
      </w:r>
      <w:r>
        <w:rPr>
          <w:rFonts w:hint="eastAsia" w:ascii="宋体" w:hAnsi="宋体" w:cs="宋体"/>
          <w:b/>
          <w:bCs/>
          <w:color w:val="auto"/>
          <w:sz w:val="24"/>
          <w:szCs w:val="32"/>
          <w:highlight w:val="none"/>
        </w:rPr>
        <w:t>开标时间后30分钟内供应商须携带CA自备电脑登录“政采云”平台，用“项目采购-开标评标”功能解密投标文件，投标人未按时解密或解密失败的，其上传的电子投标文件自动失效。</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九、联系方式：</w:t>
      </w:r>
    </w:p>
    <w:p>
      <w:pPr>
        <w:spacing w:line="360" w:lineRule="auto"/>
        <w:ind w:firstLine="482" w:firstLineChars="200"/>
        <w:textAlignment w:val="baseline"/>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1、采购代理机构名称：</w:t>
      </w:r>
      <w:r>
        <w:rPr>
          <w:rFonts w:hint="eastAsia" w:ascii="宋体" w:hAnsi="宋体" w:cs="宋体"/>
          <w:color w:val="auto"/>
          <w:sz w:val="24"/>
          <w:szCs w:val="32"/>
          <w:highlight w:val="none"/>
        </w:rPr>
        <w:t>浙江五石中正工程咨询有限公司。</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项目负责人：徐名峰；联系电话：15088711407。</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质疑接受人：徐少媚；联系电话：0576-88785265。</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报名联系人：高女士；联系电话：0571-85334203；传真：0571-85342190。</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pPr>
        <w:spacing w:line="360" w:lineRule="auto"/>
        <w:ind w:firstLine="482" w:firstLineChars="200"/>
        <w:textAlignment w:val="baseline"/>
        <w:rPr>
          <w:rFonts w:ascii="宋体" w:hAnsi="宋体" w:cs="宋体"/>
          <w:color w:val="auto"/>
          <w:kern w:val="0"/>
          <w:sz w:val="24"/>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台州市</w:t>
      </w:r>
      <w:r>
        <w:rPr>
          <w:rFonts w:hint="eastAsia" w:ascii="宋体" w:hAnsi="宋体" w:cs="宋体"/>
          <w:color w:val="auto"/>
          <w:sz w:val="24"/>
          <w:szCs w:val="32"/>
          <w:highlight w:val="none"/>
          <w:lang w:eastAsia="zh-CN"/>
        </w:rPr>
        <w:t>不动产登记服务中心</w:t>
      </w:r>
      <w:r>
        <w:rPr>
          <w:rFonts w:hint="eastAsia" w:ascii="宋体" w:hAnsi="宋体" w:cs="宋体"/>
          <w:color w:val="auto"/>
          <w:kern w:val="0"/>
          <w:sz w:val="24"/>
          <w:highlight w:val="none"/>
        </w:rPr>
        <w:t>。</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项目联系人（询问）：束邱恺。  </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项目联系方式（询问）：17705861750。 </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质疑联系人：李梦。   </w:t>
      </w:r>
    </w:p>
    <w:p>
      <w:pPr>
        <w:spacing w:line="360" w:lineRule="auto"/>
        <w:ind w:firstLine="480" w:firstLineChars="200"/>
        <w:textAlignment w:val="baseline"/>
        <w:rPr>
          <w:rFonts w:ascii="宋体" w:hAnsi="宋体" w:cs="宋体"/>
          <w:color w:val="auto"/>
          <w:sz w:val="20"/>
          <w:highlight w:val="none"/>
        </w:rPr>
      </w:pPr>
      <w:r>
        <w:rPr>
          <w:rFonts w:hint="eastAsia" w:ascii="宋体" w:hAnsi="宋体" w:cs="宋体"/>
          <w:color w:val="auto"/>
          <w:sz w:val="24"/>
          <w:szCs w:val="32"/>
          <w:highlight w:val="none"/>
        </w:rPr>
        <w:t>质疑联系方式：17705861750。 </w:t>
      </w:r>
    </w:p>
    <w:p>
      <w:pPr>
        <w:spacing w:line="360" w:lineRule="auto"/>
        <w:ind w:firstLine="482" w:firstLineChars="200"/>
        <w:textAlignment w:val="baseline"/>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联系人：陈工，联系电话：0576-88206705。</w:t>
      </w:r>
    </w:p>
    <w:p>
      <w:pPr>
        <w:spacing w:line="360" w:lineRule="auto"/>
        <w:ind w:firstLine="480" w:firstLineChars="200"/>
        <w:textAlignment w:val="baseline"/>
        <w:rPr>
          <w:rFonts w:ascii="宋体" w:hAnsi="宋体" w:cs="宋体"/>
          <w:color w:val="auto"/>
          <w:sz w:val="20"/>
          <w:highlight w:val="none"/>
        </w:rPr>
      </w:pPr>
      <w:r>
        <w:rPr>
          <w:rFonts w:hint="eastAsia" w:ascii="宋体" w:hAnsi="宋体" w:cs="宋体"/>
          <w:color w:val="auto"/>
          <w:sz w:val="24"/>
          <w:szCs w:val="32"/>
          <w:highlight w:val="none"/>
        </w:rPr>
        <w:t>联系人：李工，联系电话：0576-88206731</w:t>
      </w:r>
      <w:r>
        <w:rPr>
          <w:rFonts w:hint="eastAsia" w:ascii="宋体" w:hAnsi="宋体" w:cs="宋体"/>
          <w:color w:val="auto"/>
          <w:highlight w:val="none"/>
        </w:rPr>
        <w:t>。</w:t>
      </w:r>
    </w:p>
    <w:p>
      <w:pPr>
        <w:spacing w:line="360" w:lineRule="auto"/>
        <w:ind w:firstLine="480" w:firstLineChars="200"/>
        <w:textAlignment w:val="baseline"/>
        <w:rPr>
          <w:rFonts w:ascii="宋体" w:hAnsi="宋体" w:cs="宋体"/>
          <w:color w:val="auto"/>
          <w:sz w:val="20"/>
          <w:highlight w:val="none"/>
        </w:rPr>
      </w:pPr>
      <w:r>
        <w:rPr>
          <w:rFonts w:hint="eastAsia" w:ascii="宋体" w:hAnsi="宋体" w:cs="宋体"/>
          <w:color w:val="auto"/>
          <w:sz w:val="24"/>
          <w:szCs w:val="32"/>
          <w:highlight w:val="none"/>
        </w:rPr>
        <w:t>地址：台州市椒江区纬一路66号天元大厦。</w:t>
      </w:r>
    </w:p>
    <w:p>
      <w:pPr>
        <w:spacing w:line="360" w:lineRule="auto"/>
        <w:ind w:firstLine="482" w:firstLineChars="200"/>
        <w:textAlignment w:val="baseline"/>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35"/>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贷款年利率</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联系人</w:t>
            </w:r>
          </w:p>
        </w:tc>
        <w:tc>
          <w:tcPr>
            <w:tcW w:w="2672"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中国工商银行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王霖</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88588246/13857654562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中国农业银行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龚盛</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中国建设银行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3.8%起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梅晶晶</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88525339/13736585303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任茜</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王渊</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孙瑞华</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3.75%起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周翔宇</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4.32%起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王海玲</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5.01%起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章涉漪</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81880185/13606681262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4.15%起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陈金园</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邱明达</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81871518/13736252233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梁宛莉</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5.8%起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陈慧珠</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5.1%起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郭庭斌</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4.55%起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王晓波</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6.53%起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李俊丽</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4.35%起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戴莉丽</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4.05%起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金雪婷</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81886670/15968661569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台州银行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5.6%起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洪婷</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4"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47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3.85%起</w:t>
            </w:r>
          </w:p>
        </w:tc>
        <w:tc>
          <w:tcPr>
            <w:tcW w:w="115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董庆</w:t>
            </w:r>
          </w:p>
        </w:tc>
        <w:tc>
          <w:tcPr>
            <w:tcW w:w="2672" w:type="dxa"/>
            <w:vAlign w:val="center"/>
          </w:tcPr>
          <w:p>
            <w:pPr>
              <w:textAlignment w:val="baseline"/>
              <w:rPr>
                <w:rFonts w:ascii="宋体" w:hAnsi="宋体" w:cs="宋体"/>
                <w:color w:val="auto"/>
                <w:sz w:val="24"/>
                <w:highlight w:val="none"/>
              </w:rPr>
            </w:pPr>
            <w:r>
              <w:rPr>
                <w:rFonts w:hint="eastAsia" w:ascii="宋体" w:hAnsi="宋体" w:cs="宋体"/>
                <w:color w:val="auto"/>
                <w:sz w:val="24"/>
                <w:highlight w:val="none"/>
              </w:rPr>
              <w:t>81888982/18957683735</w:t>
            </w:r>
          </w:p>
        </w:tc>
      </w:tr>
    </w:tbl>
    <w:p>
      <w:pPr>
        <w:jc w:val="center"/>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合同履约保函联系方式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0"/>
        <w:gridCol w:w="2631"/>
        <w:gridCol w:w="98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保险公司名称</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保费率</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37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33"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13676675331</w:t>
            </w:r>
          </w:p>
        </w:tc>
      </w:tr>
    </w:tbl>
    <w:p>
      <w:pPr>
        <w:ind w:firstLine="3360" w:firstLineChars="1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预付款保函联系方式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11"/>
        <w:gridCol w:w="2110"/>
        <w:gridCol w:w="1265"/>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11"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保险公司名称</w:t>
            </w:r>
          </w:p>
        </w:tc>
        <w:tc>
          <w:tcPr>
            <w:tcW w:w="211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保费率</w:t>
            </w:r>
          </w:p>
        </w:tc>
        <w:tc>
          <w:tcPr>
            <w:tcW w:w="126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11"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1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11"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1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11"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10"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5"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13736605643</w:t>
            </w:r>
          </w:p>
        </w:tc>
      </w:tr>
    </w:tbl>
    <w:p>
      <w:pPr>
        <w:pStyle w:val="2"/>
        <w:jc w:val="right"/>
        <w:textAlignment w:val="baseline"/>
        <w:rPr>
          <w:rFonts w:ascii="宋体" w:hAnsi="宋体" w:cs="宋体"/>
          <w:color w:val="auto"/>
          <w:highlight w:val="none"/>
        </w:rPr>
      </w:pPr>
      <w:r>
        <w:rPr>
          <w:rFonts w:hint="eastAsia" w:ascii="宋体" w:hAnsi="宋体" w:cs="宋体"/>
          <w:color w:val="auto"/>
          <w:highlight w:val="none"/>
        </w:rPr>
        <w:t>浙江五石中正工程咨询有限公司</w:t>
      </w:r>
    </w:p>
    <w:p>
      <w:pPr>
        <w:pStyle w:val="2"/>
        <w:jc w:val="right"/>
        <w:textAlignment w:val="baseline"/>
        <w:rPr>
          <w:rFonts w:ascii="宋体" w:hAnsi="宋体" w:cs="宋体"/>
          <w:color w:val="auto"/>
          <w:highlight w:val="none"/>
        </w:rPr>
      </w:pPr>
      <w:r>
        <w:rPr>
          <w:rFonts w:hint="eastAsia" w:ascii="宋体" w:hAnsi="宋体" w:cs="宋体"/>
          <w:color w:val="auto"/>
          <w:highlight w:val="none"/>
        </w:rPr>
        <w:t xml:space="preserve">                                    2022年9月</w:t>
      </w:r>
    </w:p>
    <w:p>
      <w:pPr>
        <w:spacing w:line="360" w:lineRule="auto"/>
        <w:ind w:firstLine="723" w:firstLineChars="200"/>
        <w:jc w:val="center"/>
        <w:textAlignment w:val="baseline"/>
        <w:rPr>
          <w:rFonts w:ascii="宋体" w:hAnsi="宋体" w:cs="宋体"/>
          <w:b/>
          <w:bCs/>
          <w:color w:val="auto"/>
          <w:sz w:val="36"/>
          <w:szCs w:val="44"/>
          <w:highlight w:val="none"/>
        </w:rPr>
      </w:pPr>
    </w:p>
    <w:p>
      <w:pPr>
        <w:spacing w:line="360" w:lineRule="auto"/>
        <w:ind w:firstLine="723" w:firstLineChars="200"/>
        <w:jc w:val="center"/>
        <w:textAlignment w:val="baseline"/>
        <w:rPr>
          <w:rFonts w:ascii="宋体" w:hAnsi="宋体" w:cs="宋体"/>
          <w:b/>
          <w:bCs/>
          <w:color w:val="auto"/>
          <w:sz w:val="36"/>
          <w:szCs w:val="44"/>
          <w:highlight w:val="none"/>
        </w:rPr>
      </w:pPr>
    </w:p>
    <w:p>
      <w:pPr>
        <w:spacing w:line="360" w:lineRule="auto"/>
        <w:ind w:firstLine="723" w:firstLineChars="200"/>
        <w:jc w:val="center"/>
        <w:textAlignment w:val="baseline"/>
        <w:rPr>
          <w:rFonts w:ascii="宋体" w:hAnsi="宋体" w:cs="宋体"/>
          <w:b/>
          <w:bCs/>
          <w:color w:val="auto"/>
          <w:sz w:val="36"/>
          <w:szCs w:val="44"/>
          <w:highlight w:val="none"/>
        </w:rPr>
      </w:pPr>
    </w:p>
    <w:p>
      <w:pPr>
        <w:pStyle w:val="5"/>
        <w:numPr>
          <w:ilvl w:val="0"/>
          <w:numId w:val="2"/>
        </w:numPr>
        <w:jc w:val="center"/>
        <w:textAlignment w:val="baseline"/>
        <w:rPr>
          <w:rFonts w:ascii="宋体" w:hAnsi="宋体" w:cs="宋体"/>
          <w:color w:val="auto"/>
          <w:highlight w:val="none"/>
        </w:rPr>
      </w:pPr>
      <w:bookmarkStart w:id="1" w:name="_Toc309"/>
      <w:r>
        <w:rPr>
          <w:rFonts w:hint="eastAsia" w:ascii="宋体" w:hAnsi="宋体" w:cs="宋体"/>
          <w:color w:val="auto"/>
          <w:highlight w:val="none"/>
        </w:rPr>
        <w:t>投标人须知</w:t>
      </w:r>
      <w:bookmarkEnd w:id="1"/>
    </w:p>
    <w:p>
      <w:pPr>
        <w:spacing w:line="360" w:lineRule="auto"/>
        <w:ind w:firstLine="482" w:firstLineChars="200"/>
        <w:jc w:val="center"/>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3"/>
        <w:gridCol w:w="2015"/>
        <w:gridCol w:w="5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序号</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项目</w:t>
            </w:r>
          </w:p>
        </w:tc>
        <w:tc>
          <w:tcPr>
            <w:tcW w:w="345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供应商特定资格要求</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2</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若有需要，投标单位可自行勘查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2"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3</w:t>
            </w:r>
          </w:p>
        </w:tc>
        <w:tc>
          <w:tcPr>
            <w:tcW w:w="1182" w:type="pct"/>
            <w:vAlign w:val="center"/>
          </w:tcPr>
          <w:p>
            <w:pPr>
              <w:spacing w:line="360" w:lineRule="auto"/>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投标文件递交要求</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本项目实行</w:t>
            </w:r>
            <w:r>
              <w:rPr>
                <w:rFonts w:hint="eastAsia" w:ascii="宋体" w:hAnsi="宋体" w:cs="宋体"/>
                <w:b/>
                <w:bCs/>
                <w:color w:val="auto"/>
                <w:szCs w:val="21"/>
                <w:highlight w:val="none"/>
              </w:rPr>
              <w:t>电子投标</w:t>
            </w:r>
            <w:r>
              <w:rPr>
                <w:rFonts w:hint="eastAsia" w:ascii="宋体" w:hAnsi="宋体" w:cs="宋体"/>
                <w:color w:val="auto"/>
                <w:szCs w:val="21"/>
                <w:highlight w:val="none"/>
              </w:rPr>
              <w:t>，供应商应准备电子投标文件、以介质存储的数据电文形式的备份投标文件、纸质备份投标文件三类：</w:t>
            </w:r>
          </w:p>
          <w:p>
            <w:pPr>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1.电子投标文件，按政采云平台项目采购--电子招投标操作指南及本招标文件要求编制、递交。</w:t>
            </w:r>
          </w:p>
          <w:p>
            <w:pPr>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w:t>
            </w:r>
          </w:p>
          <w:p>
            <w:pPr>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3.纸质备份投标文件以纸质文件的形式编制，按资格证明文件、商务技术文件、报价文件分别编制并单独装订成册，</w:t>
            </w:r>
            <w:r>
              <w:rPr>
                <w:rStyle w:val="38"/>
                <w:rFonts w:hint="eastAsia" w:ascii="宋体" w:hAnsi="宋体" w:cs="宋体"/>
                <w:color w:val="auto"/>
                <w:szCs w:val="21"/>
                <w:highlight w:val="none"/>
              </w:rPr>
              <w:t>数量均为2份（一正一副）</w:t>
            </w:r>
            <w:r>
              <w:rPr>
                <w:rFonts w:hint="eastAsia" w:ascii="宋体" w:hAnsi="宋体" w:cs="宋体"/>
                <w:color w:val="auto"/>
                <w:szCs w:val="21"/>
                <w:highlight w:val="none"/>
              </w:rPr>
              <w:t>。资格证明文件、商务技术文件、报价文件须分别密封封装，资格证明文件、商务技术文件、报价文件未分别密封的投标文件将为无效。</w:t>
            </w:r>
          </w:p>
          <w:p>
            <w:pPr>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5.▲未传输递交电子投标文件的，投标无效。未按规定提供相应的备份投标文件，造成项目开评标活动无法进行下去的，投标无效。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4</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投标有效期从提交投标文件的截止之日起算。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5</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投标文件递交</w:t>
            </w:r>
          </w:p>
        </w:tc>
        <w:tc>
          <w:tcPr>
            <w:tcW w:w="3452" w:type="pct"/>
            <w:vAlign w:val="center"/>
          </w:tcPr>
          <w:p>
            <w:pPr>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截止时间：北京时间</w:t>
            </w:r>
            <w:r>
              <w:rPr>
                <w:rFonts w:hint="eastAsia" w:ascii="宋体" w:hAnsi="宋体" w:cs="宋体"/>
                <w:color w:val="auto"/>
                <w:szCs w:val="21"/>
                <w:highlight w:val="none"/>
                <w:lang w:eastAsia="zh-CN"/>
              </w:rPr>
              <w:t>2022年10月18日上午9:00</w:t>
            </w:r>
          </w:p>
          <w:p>
            <w:pPr>
              <w:textAlignment w:val="baseline"/>
              <w:rPr>
                <w:rFonts w:ascii="宋体" w:hAnsi="宋体" w:cs="宋体"/>
                <w:color w:val="auto"/>
                <w:sz w:val="20"/>
                <w:szCs w:val="21"/>
                <w:highlight w:val="none"/>
              </w:rPr>
            </w:pPr>
            <w:r>
              <w:rPr>
                <w:rFonts w:hint="eastAsia" w:ascii="宋体" w:hAnsi="宋体" w:cs="宋体"/>
                <w:color w:val="auto"/>
                <w:szCs w:val="21"/>
                <w:highlight w:val="none"/>
              </w:rPr>
              <w:t>投标供应商应当在投标截止时间前将生成的“电子加密投标文件”上传递交至“政府采购云平台”。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6</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开标时间及地点</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时间：北京时间</w:t>
            </w:r>
            <w:r>
              <w:rPr>
                <w:rFonts w:hint="eastAsia" w:ascii="宋体" w:hAnsi="宋体" w:cs="宋体"/>
                <w:color w:val="auto"/>
                <w:szCs w:val="21"/>
                <w:highlight w:val="none"/>
                <w:lang w:eastAsia="zh-CN"/>
              </w:rPr>
              <w:t>2022年10月18日上午9:00</w:t>
            </w:r>
            <w:r>
              <w:rPr>
                <w:rFonts w:hint="eastAsia" w:ascii="宋体" w:hAnsi="宋体" w:cs="宋体"/>
                <w:color w:val="auto"/>
                <w:szCs w:val="21"/>
                <w:highlight w:val="none"/>
              </w:rPr>
              <w:t>。</w:t>
            </w:r>
          </w:p>
          <w:p>
            <w:pPr>
              <w:textAlignment w:val="baseline"/>
              <w:rPr>
                <w:rFonts w:ascii="宋体" w:hAnsi="宋体" w:cs="宋体"/>
                <w:color w:val="auto"/>
                <w:sz w:val="20"/>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lang w:eastAsia="zh-CN"/>
              </w:rPr>
              <w:t>台州市市府大道777号台州市公共资源交易中心3楼第4开标室</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7</w:t>
            </w:r>
          </w:p>
        </w:tc>
        <w:tc>
          <w:tcPr>
            <w:tcW w:w="118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lang w:val="zh-CN"/>
              </w:rPr>
              <w:t>实质性条款</w:t>
            </w:r>
          </w:p>
        </w:tc>
        <w:tc>
          <w:tcPr>
            <w:tcW w:w="3452" w:type="pct"/>
            <w:vAlign w:val="center"/>
          </w:tcPr>
          <w:p>
            <w:pPr>
              <w:jc w:val="left"/>
              <w:textAlignment w:val="baseline"/>
              <w:rPr>
                <w:rFonts w:ascii="宋体" w:hAnsi="宋体" w:cs="宋体"/>
                <w:color w:val="auto"/>
                <w:sz w:val="20"/>
                <w:szCs w:val="21"/>
                <w:highlight w:val="none"/>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8</w:t>
            </w:r>
          </w:p>
        </w:tc>
        <w:tc>
          <w:tcPr>
            <w:tcW w:w="1182"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样品或现场踏勘</w:t>
            </w:r>
          </w:p>
        </w:tc>
        <w:tc>
          <w:tcPr>
            <w:tcW w:w="3452" w:type="pct"/>
            <w:vAlign w:val="center"/>
          </w:tcPr>
          <w:p>
            <w:pPr>
              <w:spacing w:line="400" w:lineRule="exact"/>
              <w:jc w:val="left"/>
              <w:textAlignment w:val="baseline"/>
              <w:rPr>
                <w:rFonts w:ascii="宋体" w:hAnsi="宋体" w:cs="宋体"/>
                <w:color w:val="auto"/>
                <w:sz w:val="20"/>
                <w:szCs w:val="21"/>
                <w:highlight w:val="none"/>
              </w:rPr>
            </w:pPr>
            <w:r>
              <w:rPr>
                <w:rFonts w:hint="eastAsia" w:ascii="宋体" w:hAnsi="宋体" w:cs="宋体"/>
                <w:color w:val="auto"/>
                <w:szCs w:val="21"/>
                <w:highlight w:val="none"/>
              </w:rPr>
              <w:t>样品无。现场勘查，若有需要，投标单位可自行勘查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9</w:t>
            </w:r>
          </w:p>
        </w:tc>
        <w:tc>
          <w:tcPr>
            <w:tcW w:w="1182"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演示</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10</w:t>
            </w:r>
          </w:p>
        </w:tc>
        <w:tc>
          <w:tcPr>
            <w:tcW w:w="1182"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节能环保</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符合国家相关法律规定。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6"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11</w:t>
            </w:r>
          </w:p>
        </w:tc>
        <w:tc>
          <w:tcPr>
            <w:tcW w:w="1182"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履约保证金</w:t>
            </w:r>
          </w:p>
        </w:tc>
        <w:tc>
          <w:tcPr>
            <w:tcW w:w="3452" w:type="pct"/>
            <w:vAlign w:val="center"/>
          </w:tcPr>
          <w:p>
            <w:pPr>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lang w:eastAsia="zh-CN"/>
              </w:rPr>
              <w:t>合同金额</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中标单位收到中标通知书后向采购单位缴纳（可采用保函、担保等形式）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366" w:type="pct"/>
            <w:vAlign w:val="center"/>
          </w:tcPr>
          <w:p>
            <w:pPr>
              <w:spacing w:line="400" w:lineRule="exact"/>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12</w:t>
            </w:r>
          </w:p>
        </w:tc>
        <w:tc>
          <w:tcPr>
            <w:tcW w:w="1182" w:type="pct"/>
            <w:vAlign w:val="center"/>
          </w:tcPr>
          <w:p>
            <w:pPr>
              <w:ind w:firstLine="630" w:firstLineChars="300"/>
              <w:textAlignment w:val="baseline"/>
              <w:rPr>
                <w:rFonts w:ascii="宋体" w:hAnsi="宋体" w:cs="宋体"/>
                <w:color w:val="auto"/>
                <w:sz w:val="20"/>
                <w:szCs w:val="21"/>
                <w:highlight w:val="none"/>
              </w:rPr>
            </w:pPr>
            <w:r>
              <w:rPr>
                <w:rFonts w:hint="eastAsia" w:ascii="宋体" w:hAnsi="宋体" w:cs="宋体"/>
                <w:color w:val="auto"/>
                <w:szCs w:val="21"/>
                <w:highlight w:val="none"/>
              </w:rPr>
              <w:t>所属行业</w:t>
            </w:r>
          </w:p>
        </w:tc>
        <w:tc>
          <w:tcPr>
            <w:tcW w:w="3452" w:type="pct"/>
            <w:vAlign w:val="center"/>
          </w:tcPr>
          <w:p>
            <w:pPr>
              <w:textAlignment w:val="baseline"/>
              <w:rPr>
                <w:rFonts w:ascii="宋体" w:hAnsi="宋体" w:cs="宋体"/>
                <w:color w:val="auto"/>
                <w:sz w:val="20"/>
                <w:szCs w:val="21"/>
                <w:highlight w:val="none"/>
              </w:rPr>
            </w:pPr>
            <w:r>
              <w:rPr>
                <w:rFonts w:hint="eastAsia" w:ascii="宋体" w:hAnsi="宋体" w:cs="宋体"/>
                <w:color w:val="auto"/>
                <w:szCs w:val="21"/>
                <w:highlight w:val="none"/>
              </w:rPr>
              <w:t>商务服务业。</w:t>
            </w:r>
          </w:p>
        </w:tc>
      </w:tr>
    </w:tbl>
    <w:p>
      <w:pPr>
        <w:pStyle w:val="6"/>
        <w:numPr>
          <w:ilvl w:val="0"/>
          <w:numId w:val="3"/>
        </w:numPr>
        <w:textAlignment w:val="baseline"/>
        <w:rPr>
          <w:rFonts w:ascii="宋体" w:hAnsi="宋体" w:cs="宋体"/>
          <w:color w:val="auto"/>
          <w:highlight w:val="none"/>
        </w:rPr>
      </w:pPr>
      <w:bookmarkStart w:id="2" w:name="_Toc32627"/>
      <w:r>
        <w:rPr>
          <w:rFonts w:hint="eastAsia" w:ascii="宋体" w:hAnsi="宋体" w:cs="宋体"/>
          <w:color w:val="auto"/>
          <w:highlight w:val="none"/>
        </w:rPr>
        <w:t>总则</w:t>
      </w:r>
      <w:bookmarkEnd w:id="2"/>
    </w:p>
    <w:p>
      <w:pPr>
        <w:pStyle w:val="7"/>
        <w:numPr>
          <w:ilvl w:val="0"/>
          <w:numId w:val="4"/>
        </w:numPr>
        <w:textAlignment w:val="baseline"/>
        <w:rPr>
          <w:rFonts w:ascii="宋体" w:hAnsi="宋体" w:cs="宋体"/>
          <w:color w:val="auto"/>
          <w:sz w:val="28"/>
          <w:szCs w:val="28"/>
          <w:highlight w:val="none"/>
        </w:rPr>
      </w:pPr>
      <w:bookmarkStart w:id="3" w:name="_Toc11653"/>
      <w:r>
        <w:rPr>
          <w:rFonts w:hint="eastAsia" w:ascii="宋体" w:hAnsi="宋体" w:cs="宋体"/>
          <w:color w:val="auto"/>
          <w:sz w:val="28"/>
          <w:szCs w:val="28"/>
          <w:highlight w:val="none"/>
        </w:rPr>
        <w:t>适用范围</w:t>
      </w:r>
      <w:bookmarkEnd w:id="3"/>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pPr>
        <w:pStyle w:val="7"/>
        <w:numPr>
          <w:ilvl w:val="0"/>
          <w:numId w:val="4"/>
        </w:numPr>
        <w:textAlignment w:val="baseline"/>
        <w:rPr>
          <w:rFonts w:ascii="宋体" w:hAnsi="宋体" w:cs="宋体"/>
          <w:color w:val="auto"/>
          <w:sz w:val="28"/>
          <w:szCs w:val="28"/>
          <w:highlight w:val="none"/>
        </w:rPr>
      </w:pPr>
      <w:bookmarkStart w:id="4" w:name="_Toc31452"/>
      <w:r>
        <w:rPr>
          <w:rFonts w:hint="eastAsia" w:ascii="宋体" w:hAnsi="宋体" w:cs="宋体"/>
          <w:color w:val="auto"/>
          <w:sz w:val="28"/>
          <w:szCs w:val="28"/>
          <w:highlight w:val="none"/>
        </w:rPr>
        <w:t>定义</w:t>
      </w:r>
      <w:bookmarkEnd w:id="4"/>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pPr>
        <w:pStyle w:val="7"/>
        <w:numPr>
          <w:ilvl w:val="0"/>
          <w:numId w:val="4"/>
        </w:numPr>
        <w:textAlignment w:val="baseline"/>
        <w:rPr>
          <w:rFonts w:ascii="宋体" w:hAnsi="宋体" w:cs="宋体"/>
          <w:color w:val="auto"/>
          <w:sz w:val="28"/>
          <w:szCs w:val="28"/>
          <w:highlight w:val="none"/>
        </w:rPr>
      </w:pPr>
      <w:bookmarkStart w:id="5" w:name="_Toc22113"/>
      <w:r>
        <w:rPr>
          <w:rFonts w:hint="eastAsia" w:ascii="宋体" w:hAnsi="宋体" w:cs="宋体"/>
          <w:color w:val="auto"/>
          <w:sz w:val="28"/>
          <w:szCs w:val="28"/>
          <w:highlight w:val="none"/>
        </w:rPr>
        <w:t>投标费用</w:t>
      </w:r>
      <w:bookmarkEnd w:id="5"/>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pPr>
        <w:pStyle w:val="7"/>
        <w:numPr>
          <w:ilvl w:val="0"/>
          <w:numId w:val="4"/>
        </w:numPr>
        <w:textAlignment w:val="baseline"/>
        <w:rPr>
          <w:rFonts w:ascii="宋体" w:hAnsi="宋体" w:cs="宋体"/>
          <w:color w:val="auto"/>
          <w:sz w:val="28"/>
          <w:szCs w:val="28"/>
          <w:highlight w:val="none"/>
        </w:rPr>
      </w:pPr>
      <w:bookmarkStart w:id="6" w:name="_Toc23204"/>
      <w:r>
        <w:rPr>
          <w:rFonts w:hint="eastAsia" w:ascii="宋体" w:hAnsi="宋体" w:cs="宋体"/>
          <w:color w:val="auto"/>
          <w:sz w:val="28"/>
          <w:szCs w:val="28"/>
          <w:highlight w:val="none"/>
        </w:rPr>
        <w:t>特别说明</w:t>
      </w:r>
      <w:bookmarkEnd w:id="6"/>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pPr>
        <w:pStyle w:val="6"/>
        <w:numPr>
          <w:ilvl w:val="0"/>
          <w:numId w:val="3"/>
        </w:numPr>
        <w:textAlignment w:val="baseline"/>
        <w:rPr>
          <w:rFonts w:ascii="宋体" w:hAnsi="宋体" w:cs="宋体"/>
          <w:color w:val="auto"/>
          <w:highlight w:val="none"/>
        </w:rPr>
      </w:pPr>
      <w:bookmarkStart w:id="7" w:name="_Toc9490"/>
      <w:r>
        <w:rPr>
          <w:rFonts w:hint="eastAsia" w:ascii="宋体" w:hAnsi="宋体" w:cs="宋体"/>
          <w:color w:val="auto"/>
          <w:highlight w:val="none"/>
        </w:rPr>
        <w:t>招标文件</w:t>
      </w:r>
      <w:bookmarkEnd w:id="7"/>
    </w:p>
    <w:p>
      <w:pPr>
        <w:pStyle w:val="7"/>
        <w:numPr>
          <w:ilvl w:val="0"/>
          <w:numId w:val="5"/>
        </w:numPr>
        <w:textAlignment w:val="baseline"/>
        <w:rPr>
          <w:rFonts w:ascii="宋体" w:hAnsi="宋体" w:cs="宋体"/>
          <w:color w:val="auto"/>
          <w:sz w:val="28"/>
          <w:szCs w:val="28"/>
          <w:highlight w:val="none"/>
        </w:rPr>
      </w:pPr>
      <w:bookmarkStart w:id="8" w:name="_Toc11542"/>
      <w:r>
        <w:rPr>
          <w:rFonts w:hint="eastAsia" w:ascii="宋体" w:hAnsi="宋体" w:cs="宋体"/>
          <w:color w:val="auto"/>
          <w:sz w:val="28"/>
          <w:szCs w:val="28"/>
          <w:highlight w:val="none"/>
        </w:rPr>
        <w:t>招标文件由招标文件总目录所列内容组成。</w:t>
      </w:r>
      <w:bookmarkEnd w:id="8"/>
    </w:p>
    <w:p>
      <w:pPr>
        <w:pStyle w:val="7"/>
        <w:numPr>
          <w:ilvl w:val="0"/>
          <w:numId w:val="5"/>
        </w:numPr>
        <w:textAlignment w:val="baseline"/>
        <w:rPr>
          <w:rFonts w:ascii="宋体" w:hAnsi="宋体" w:cs="宋体"/>
          <w:color w:val="auto"/>
          <w:sz w:val="28"/>
          <w:szCs w:val="28"/>
          <w:highlight w:val="none"/>
        </w:rPr>
      </w:pPr>
      <w:bookmarkStart w:id="9" w:name="_Toc22612"/>
      <w:r>
        <w:rPr>
          <w:rFonts w:hint="eastAsia" w:ascii="宋体" w:hAnsi="宋体" w:cs="宋体"/>
          <w:color w:val="auto"/>
          <w:sz w:val="28"/>
          <w:szCs w:val="28"/>
          <w:highlight w:val="none"/>
        </w:rPr>
        <w:t>招标文件的澄清或修改</w:t>
      </w:r>
      <w:bookmarkEnd w:id="9"/>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6"/>
        <w:numPr>
          <w:ilvl w:val="0"/>
          <w:numId w:val="3"/>
        </w:numPr>
        <w:textAlignment w:val="baseline"/>
        <w:rPr>
          <w:rFonts w:ascii="宋体" w:hAnsi="宋体" w:cs="宋体"/>
          <w:color w:val="auto"/>
          <w:highlight w:val="none"/>
        </w:rPr>
      </w:pPr>
      <w:bookmarkStart w:id="10" w:name="_Toc24875"/>
      <w:r>
        <w:rPr>
          <w:rFonts w:hint="eastAsia" w:ascii="宋体" w:hAnsi="宋体" w:cs="宋体"/>
          <w:color w:val="auto"/>
          <w:highlight w:val="none"/>
        </w:rPr>
        <w:t>投标文件</w:t>
      </w:r>
      <w:bookmarkEnd w:id="10"/>
    </w:p>
    <w:p>
      <w:pPr>
        <w:pStyle w:val="7"/>
        <w:numPr>
          <w:ilvl w:val="0"/>
          <w:numId w:val="6"/>
        </w:numPr>
        <w:textAlignment w:val="baseline"/>
        <w:rPr>
          <w:rFonts w:ascii="宋体" w:hAnsi="宋体" w:cs="宋体"/>
          <w:color w:val="auto"/>
          <w:sz w:val="28"/>
          <w:szCs w:val="28"/>
          <w:highlight w:val="none"/>
        </w:rPr>
      </w:pPr>
      <w:bookmarkStart w:id="11" w:name="_Toc27041"/>
      <w:r>
        <w:rPr>
          <w:rFonts w:hint="eastAsia" w:ascii="宋体" w:hAnsi="宋体" w:cs="宋体"/>
          <w:color w:val="auto"/>
          <w:sz w:val="28"/>
          <w:szCs w:val="28"/>
          <w:highlight w:val="none"/>
        </w:rPr>
        <w:t>投标文件的组成</w:t>
      </w:r>
      <w:bookmarkEnd w:id="11"/>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highlight w:val="none"/>
        </w:rPr>
        <w:t>投标人接到招标文件后，按照采购组织机构的要求提供：资格及商务技术文件、报价文件。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pStyle w:val="8"/>
        <w:numPr>
          <w:ilvl w:val="0"/>
          <w:numId w:val="7"/>
        </w:numPr>
        <w:textAlignment w:val="baseline"/>
        <w:rPr>
          <w:rFonts w:ascii="宋体" w:hAnsi="宋体" w:cs="宋体"/>
          <w:color w:val="auto"/>
          <w:highlight w:val="none"/>
        </w:rPr>
      </w:pPr>
      <w:r>
        <w:rPr>
          <w:rFonts w:hint="eastAsia" w:ascii="宋体" w:hAnsi="宋体" w:cs="宋体"/>
          <w:color w:val="auto"/>
          <w:highlight w:val="none"/>
        </w:rPr>
        <w:t>资格证明文件的组成</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（1）投标声明书；</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（4）具有良好的商业信誉和健全的财务会计制度的承诺；</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（5）依法缴纳税收和社会保障资金的承诺；</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（6）参加政府采购活动前三年内，在经营活动中没有重大违法记录；</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（7）联合体协议；（如为联合体投标</w:t>
      </w:r>
      <w:r>
        <w:rPr>
          <w:rFonts w:hint="eastAsia" w:ascii="宋体" w:hAnsi="宋体" w:cs="宋体"/>
          <w:color w:val="auto"/>
          <w:sz w:val="24"/>
          <w:highlight w:val="none"/>
          <w:lang w:eastAsia="zh-CN"/>
        </w:rPr>
        <w:t>则</w:t>
      </w:r>
      <w:r>
        <w:rPr>
          <w:rFonts w:hint="eastAsia" w:ascii="宋体" w:hAnsi="宋体" w:cs="宋体"/>
          <w:color w:val="auto"/>
          <w:sz w:val="24"/>
          <w:highlight w:val="none"/>
          <w:lang w:val="en-US" w:eastAsia="zh-CN"/>
        </w:rPr>
        <w:t>需提供</w:t>
      </w:r>
      <w:r>
        <w:rPr>
          <w:rFonts w:hint="eastAsia" w:ascii="宋体" w:hAnsi="宋体" w:cs="宋体"/>
          <w:color w:val="auto"/>
          <w:sz w:val="24"/>
          <w:highlight w:val="none"/>
        </w:rPr>
        <w:t>）</w:t>
      </w:r>
    </w:p>
    <w:p>
      <w:pPr>
        <w:spacing w:line="360" w:lineRule="auto"/>
        <w:ind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（8）需要说明的其他资料。</w:t>
      </w:r>
    </w:p>
    <w:p>
      <w:pPr>
        <w:pStyle w:val="8"/>
        <w:numPr>
          <w:ilvl w:val="0"/>
          <w:numId w:val="7"/>
        </w:numPr>
        <w:textAlignment w:val="baseline"/>
        <w:rPr>
          <w:rFonts w:ascii="宋体" w:hAnsi="宋体" w:cs="宋体"/>
          <w:color w:val="auto"/>
          <w:highlight w:val="none"/>
        </w:rPr>
      </w:pPr>
      <w:r>
        <w:rPr>
          <w:rFonts w:hint="eastAsia" w:ascii="宋体" w:hAnsi="宋体" w:cs="宋体"/>
          <w:color w:val="auto"/>
          <w:highlight w:val="none"/>
        </w:rPr>
        <w:t>商务与技术文件的组成</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（1）投标人情况介绍。</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（2）技术服务响应表。</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（3）投标实施方案</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A、项目实施方案。</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B、投标人实施团队成员介绍（包括项目实施人员及项目负责人的资质及社保证明等）。</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C商务响应表</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(4)项目售后服务方案和售后服务机构情况</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(5)案例业绩</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提供2019年1月1日（以合同签订之日为准）起至今的同类型项目案例(投标文件中提供中标通知书复印件、合同复印件、验收报告复印件)；</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(6)评分办法中要求的相关的认证证书或文件及荣誉等；</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投标人认为需要提供的其他资料（包括可能影响投标人商务与技术文件评分的各类证明材料，如招标清单中技术参数中要求提供的承诺函等资料应该）。</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(7)投标人认为需要提供的其他内容。</w:t>
      </w:r>
    </w:p>
    <w:p>
      <w:pPr>
        <w:pStyle w:val="8"/>
        <w:numPr>
          <w:ilvl w:val="0"/>
          <w:numId w:val="7"/>
        </w:numPr>
        <w:textAlignment w:val="baseline"/>
        <w:rPr>
          <w:rFonts w:ascii="宋体" w:hAnsi="宋体" w:cs="宋体"/>
          <w:color w:val="auto"/>
          <w:highlight w:val="none"/>
        </w:rPr>
      </w:pPr>
      <w:r>
        <w:rPr>
          <w:rFonts w:hint="eastAsia" w:ascii="宋体" w:hAnsi="宋体" w:cs="宋体"/>
          <w:color w:val="auto"/>
          <w:highlight w:val="none"/>
        </w:rPr>
        <w:t>报价文件的组成</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（1）报价文件由开标一览表、报价明细表、中小企业等声明函以及投标人认为其他需要说明的内容组成。</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）投标报价是包括货款、</w:t>
      </w:r>
      <w:r>
        <w:rPr>
          <w:rFonts w:hint="eastAsia" w:ascii="宋体" w:hAnsi="宋体" w:cs="宋体"/>
          <w:color w:val="auto"/>
          <w:sz w:val="24"/>
          <w:szCs w:val="32"/>
          <w:highlight w:val="none"/>
        </w:rPr>
        <w:t>人工</w:t>
      </w:r>
      <w:r>
        <w:rPr>
          <w:rFonts w:hint="eastAsia" w:ascii="宋体" w:hAnsi="宋体" w:cs="宋体"/>
          <w:color w:val="auto"/>
          <w:sz w:val="24"/>
          <w:szCs w:val="32"/>
          <w:highlight w:val="none"/>
          <w:lang w:val="zh-CN"/>
        </w:rPr>
        <w:t>、保险、税金、培训、合同包含的所有风险责任等各项费用及不可预见费等所需的全部费用，全部费用已包含在开标一览表的投标总报价中。</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pPr>
        <w:pStyle w:val="7"/>
        <w:numPr>
          <w:ilvl w:val="0"/>
          <w:numId w:val="6"/>
        </w:numPr>
        <w:textAlignment w:val="baseline"/>
        <w:rPr>
          <w:rFonts w:ascii="宋体" w:hAnsi="宋体" w:cs="宋体"/>
          <w:color w:val="auto"/>
          <w:sz w:val="28"/>
          <w:szCs w:val="28"/>
          <w:highlight w:val="none"/>
        </w:rPr>
      </w:pPr>
      <w:bookmarkStart w:id="12" w:name="_Toc24376"/>
      <w:r>
        <w:rPr>
          <w:rFonts w:hint="eastAsia" w:ascii="宋体" w:hAnsi="宋体" w:cs="宋体"/>
          <w:color w:val="auto"/>
          <w:sz w:val="28"/>
          <w:szCs w:val="28"/>
          <w:highlight w:val="none"/>
        </w:rPr>
        <w:t>投标文件的制作及递交要求</w:t>
      </w:r>
      <w:bookmarkEnd w:id="12"/>
    </w:p>
    <w:p>
      <w:pPr>
        <w:pStyle w:val="8"/>
        <w:numPr>
          <w:ilvl w:val="0"/>
          <w:numId w:val="8"/>
        </w:numPr>
        <w:textAlignment w:val="baseline"/>
        <w:rPr>
          <w:rFonts w:ascii="宋体" w:hAnsi="宋体" w:cs="宋体"/>
          <w:color w:val="auto"/>
          <w:highlight w:val="none"/>
        </w:rPr>
      </w:pPr>
      <w:r>
        <w:rPr>
          <w:rFonts w:hint="eastAsia" w:ascii="宋体" w:hAnsi="宋体" w:cs="宋体"/>
          <w:color w:val="auto"/>
          <w:highlight w:val="none"/>
        </w:rPr>
        <w:t>投标文件的制作要求</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供应商应准备电子投标文件、以介质存储的数据电文形式的备份投标文件、纸质备份投标文件三类</w:t>
      </w:r>
      <w:r>
        <w:rPr>
          <w:rFonts w:hint="eastAsia" w:ascii="宋体" w:hAnsi="宋体" w:cs="宋体"/>
          <w:color w:val="auto"/>
          <w:sz w:val="24"/>
          <w:szCs w:val="32"/>
          <w:highlight w:val="none"/>
        </w:rPr>
        <w:t>：</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投标文件组成”规定的内容及顺序在“政采云电子交易客户端”编制投标文件。其中《资格及商务技术文件》中不得出现本项目投标报价，如因投标人原因提前泄露投标报价，是投标人的责任。</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投标文件分为资格证明文件、商务技术文件、报价文件。各投标人在编制投标文件时请按照采购文件第六部分规定的格式进行，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《投标文件》因字迹潦草或表达不清所引起的后果由投标人负责▲投标文件未按规定的格式编制的，投标无效。</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（2）以介质存储的数据电文形式的备份投标文件，按政采云平台项目采购-电子招投标操作指南中上传的电子投标文件格式，以U盘形式提供。数量为1份。</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分别编制并单独装订成册，数量均为1份。</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、报价文件未分别密封的投标文件将为无效。除报价文件外其余一律不准出现数字报价。如有不同标段，请按标段号分别装订，密封要求同上。</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浙江杭州汇信科技有限公司（400-8884636）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、报价文件分别编制并单独装订成册，活页装订的投标文件将被拒绝。投标文件需打印或用不褪色的墨水填写。</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en-GB"/>
        </w:rPr>
        <w:t>资格证明文件、商务技术文件、报价文件</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和报价文件）”、“开标时启封”字样，未按上述要求密封及加写标记，采购组织机构对投标文件的误投和提前启封不负责任。</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textAlignment w:val="baseline"/>
        <w:rPr>
          <w:rFonts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pPr>
        <w:pStyle w:val="8"/>
        <w:numPr>
          <w:ilvl w:val="0"/>
          <w:numId w:val="8"/>
        </w:numPr>
        <w:textAlignment w:val="baseline"/>
        <w:rPr>
          <w:rFonts w:ascii="宋体" w:hAnsi="宋体" w:cs="宋体"/>
          <w:color w:val="auto"/>
          <w:highlight w:val="none"/>
        </w:rPr>
      </w:pPr>
      <w:r>
        <w:rPr>
          <w:rFonts w:hint="eastAsia" w:ascii="宋体" w:hAnsi="宋体" w:cs="宋体"/>
          <w:color w:val="auto"/>
          <w:highlight w:val="none"/>
        </w:rPr>
        <w:t>投标文件的递交要求</w:t>
      </w:r>
    </w:p>
    <w:p>
      <w:pPr>
        <w:spacing w:line="30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pPr>
        <w:spacing w:line="30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（2）以介质存储的数据电文形式的备份投标文件和纸质备份投标文件必须在规定时间前送达或邮寄至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r>
        <w:rPr>
          <w:rFonts w:hint="eastAsia" w:ascii="宋体" w:hAnsi="宋体" w:cs="宋体"/>
          <w:color w:val="auto"/>
          <w:sz w:val="24"/>
          <w:highlight w:val="none"/>
          <w:lang w:val="en-GB"/>
        </w:rPr>
        <w:t>▲未按规定提供相应的备份投标文件，造成项目开评标活动无法进行下去的，投标无效。</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pPr>
        <w:pStyle w:val="7"/>
        <w:numPr>
          <w:ilvl w:val="0"/>
          <w:numId w:val="6"/>
        </w:numPr>
        <w:textAlignment w:val="baseline"/>
        <w:rPr>
          <w:rFonts w:ascii="宋体" w:hAnsi="宋体" w:cs="宋体"/>
          <w:color w:val="auto"/>
          <w:sz w:val="28"/>
          <w:szCs w:val="28"/>
          <w:highlight w:val="none"/>
        </w:rPr>
      </w:pPr>
      <w:bookmarkStart w:id="13" w:name="_Toc10683"/>
      <w:r>
        <w:rPr>
          <w:rFonts w:hint="eastAsia" w:ascii="宋体" w:hAnsi="宋体" w:cs="宋体"/>
          <w:color w:val="auto"/>
          <w:sz w:val="28"/>
          <w:szCs w:val="28"/>
          <w:highlight w:val="none"/>
        </w:rPr>
        <w:t>投标文件的有效期</w:t>
      </w:r>
      <w:bookmarkEnd w:id="13"/>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pPr>
        <w:spacing w:line="360" w:lineRule="auto"/>
        <w:ind w:firstLine="480" w:firstLineChars="200"/>
        <w:textAlignment w:val="baseline"/>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pPr>
        <w:pStyle w:val="6"/>
        <w:numPr>
          <w:ilvl w:val="0"/>
          <w:numId w:val="3"/>
        </w:numPr>
        <w:textAlignment w:val="baseline"/>
        <w:rPr>
          <w:rFonts w:ascii="宋体" w:hAnsi="宋体" w:cs="宋体"/>
          <w:color w:val="auto"/>
          <w:highlight w:val="none"/>
        </w:rPr>
      </w:pPr>
      <w:bookmarkStart w:id="14" w:name="_Toc32716"/>
      <w:r>
        <w:rPr>
          <w:rFonts w:hint="eastAsia" w:ascii="宋体" w:hAnsi="宋体" w:cs="宋体"/>
          <w:color w:val="auto"/>
          <w:highlight w:val="none"/>
        </w:rPr>
        <w:t>开标</w:t>
      </w:r>
      <w:bookmarkEnd w:id="14"/>
    </w:p>
    <w:p>
      <w:pPr>
        <w:pStyle w:val="7"/>
        <w:numPr>
          <w:ilvl w:val="0"/>
          <w:numId w:val="9"/>
        </w:numPr>
        <w:textAlignment w:val="baseline"/>
        <w:rPr>
          <w:rFonts w:ascii="宋体" w:hAnsi="宋体" w:cs="宋体"/>
          <w:color w:val="auto"/>
          <w:sz w:val="28"/>
          <w:szCs w:val="28"/>
          <w:highlight w:val="none"/>
        </w:rPr>
      </w:pPr>
      <w:bookmarkStart w:id="15" w:name="_Toc30331"/>
      <w:r>
        <w:rPr>
          <w:rFonts w:hint="eastAsia" w:ascii="宋体" w:hAnsi="宋体" w:cs="宋体"/>
          <w:color w:val="auto"/>
          <w:sz w:val="28"/>
          <w:szCs w:val="28"/>
          <w:highlight w:val="none"/>
        </w:rPr>
        <w:t>开标事项</w:t>
      </w:r>
      <w:bookmarkEnd w:id="15"/>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（1）电子交易平台发生故障而无法登录访问的；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7"/>
        <w:numPr>
          <w:ilvl w:val="0"/>
          <w:numId w:val="9"/>
        </w:numPr>
        <w:textAlignment w:val="baseline"/>
        <w:rPr>
          <w:rFonts w:ascii="宋体" w:hAnsi="宋体" w:cs="宋体"/>
          <w:color w:val="auto"/>
          <w:sz w:val="28"/>
          <w:szCs w:val="28"/>
          <w:highlight w:val="none"/>
        </w:rPr>
      </w:pPr>
      <w:bookmarkStart w:id="16" w:name="_Toc6846"/>
      <w:r>
        <w:rPr>
          <w:rFonts w:hint="eastAsia" w:ascii="宋体" w:hAnsi="宋体" w:cs="宋体"/>
          <w:color w:val="auto"/>
          <w:sz w:val="28"/>
          <w:szCs w:val="28"/>
          <w:highlight w:val="none"/>
        </w:rPr>
        <w:t>开标程序</w:t>
      </w:r>
      <w:bookmarkEnd w:id="16"/>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2、主持人介绍参加开标会的人员名单；</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评审；</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pPr>
        <w:pStyle w:val="6"/>
        <w:numPr>
          <w:ilvl w:val="0"/>
          <w:numId w:val="3"/>
        </w:numPr>
        <w:textAlignment w:val="baseline"/>
        <w:rPr>
          <w:rFonts w:ascii="宋体" w:hAnsi="宋体" w:cs="宋体"/>
          <w:color w:val="auto"/>
          <w:highlight w:val="none"/>
        </w:rPr>
      </w:pPr>
      <w:bookmarkStart w:id="17" w:name="_Toc31796"/>
      <w:r>
        <w:rPr>
          <w:rFonts w:hint="eastAsia" w:ascii="宋体" w:hAnsi="宋体" w:cs="宋体"/>
          <w:color w:val="auto"/>
          <w:highlight w:val="none"/>
        </w:rPr>
        <w:t>评标</w:t>
      </w:r>
      <w:bookmarkEnd w:id="17"/>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pStyle w:val="7"/>
        <w:numPr>
          <w:ilvl w:val="0"/>
          <w:numId w:val="10"/>
        </w:numPr>
        <w:textAlignment w:val="baseline"/>
        <w:rPr>
          <w:rFonts w:ascii="宋体" w:hAnsi="宋体" w:cs="宋体"/>
          <w:color w:val="auto"/>
          <w:sz w:val="28"/>
          <w:szCs w:val="28"/>
          <w:highlight w:val="none"/>
        </w:rPr>
      </w:pPr>
      <w:bookmarkStart w:id="18" w:name="_Toc30596"/>
      <w:r>
        <w:rPr>
          <w:rFonts w:hint="eastAsia" w:ascii="宋体" w:hAnsi="宋体" w:cs="宋体"/>
          <w:color w:val="auto"/>
          <w:sz w:val="28"/>
          <w:szCs w:val="28"/>
          <w:highlight w:val="none"/>
        </w:rPr>
        <w:t>组建评标委员会</w:t>
      </w:r>
      <w:bookmarkEnd w:id="18"/>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pPr>
        <w:pStyle w:val="7"/>
        <w:numPr>
          <w:ilvl w:val="0"/>
          <w:numId w:val="10"/>
        </w:numPr>
        <w:textAlignment w:val="baseline"/>
        <w:rPr>
          <w:rFonts w:ascii="宋体" w:hAnsi="宋体" w:cs="宋体"/>
          <w:color w:val="auto"/>
          <w:sz w:val="28"/>
          <w:szCs w:val="28"/>
          <w:highlight w:val="none"/>
        </w:rPr>
      </w:pPr>
      <w:bookmarkStart w:id="19" w:name="_Toc18226"/>
      <w:r>
        <w:rPr>
          <w:rFonts w:hint="eastAsia" w:ascii="宋体" w:hAnsi="宋体" w:cs="宋体"/>
          <w:color w:val="auto"/>
          <w:sz w:val="28"/>
          <w:szCs w:val="28"/>
          <w:highlight w:val="none"/>
        </w:rPr>
        <w:t>评标程序</w:t>
      </w:r>
      <w:bookmarkEnd w:id="19"/>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pPr>
        <w:spacing w:line="360" w:lineRule="auto"/>
        <w:ind w:firstLine="482" w:firstLineChars="200"/>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pPr>
        <w:pStyle w:val="7"/>
        <w:numPr>
          <w:ilvl w:val="0"/>
          <w:numId w:val="10"/>
        </w:numPr>
        <w:textAlignment w:val="baseline"/>
        <w:rPr>
          <w:rFonts w:ascii="宋体" w:hAnsi="宋体" w:cs="宋体"/>
          <w:color w:val="auto"/>
          <w:sz w:val="28"/>
          <w:szCs w:val="28"/>
          <w:highlight w:val="none"/>
        </w:rPr>
      </w:pPr>
      <w:bookmarkStart w:id="20" w:name="_Toc28986"/>
      <w:r>
        <w:rPr>
          <w:rFonts w:hint="eastAsia" w:ascii="宋体" w:hAnsi="宋体" w:cs="宋体"/>
          <w:color w:val="auto"/>
          <w:sz w:val="28"/>
          <w:szCs w:val="28"/>
          <w:highlight w:val="none"/>
        </w:rPr>
        <w:t>澄清问题的形式</w:t>
      </w:r>
      <w:bookmarkEnd w:id="20"/>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pPr>
        <w:pStyle w:val="7"/>
        <w:numPr>
          <w:ilvl w:val="0"/>
          <w:numId w:val="10"/>
        </w:numPr>
        <w:textAlignment w:val="baseline"/>
        <w:rPr>
          <w:rFonts w:ascii="宋体" w:hAnsi="宋体" w:cs="宋体"/>
          <w:color w:val="auto"/>
          <w:sz w:val="28"/>
          <w:szCs w:val="28"/>
          <w:highlight w:val="none"/>
        </w:rPr>
      </w:pPr>
      <w:bookmarkStart w:id="21" w:name="_Toc19992"/>
      <w:r>
        <w:rPr>
          <w:rFonts w:hint="eastAsia" w:ascii="宋体" w:hAnsi="宋体" w:cs="宋体"/>
          <w:color w:val="auto"/>
          <w:sz w:val="28"/>
          <w:szCs w:val="28"/>
          <w:highlight w:val="none"/>
        </w:rPr>
        <w:t>错误修正</w:t>
      </w:r>
      <w:bookmarkEnd w:id="21"/>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pStyle w:val="7"/>
        <w:numPr>
          <w:ilvl w:val="0"/>
          <w:numId w:val="10"/>
        </w:numPr>
        <w:textAlignment w:val="baseline"/>
        <w:rPr>
          <w:rFonts w:ascii="宋体" w:hAnsi="宋体" w:cs="宋体"/>
          <w:color w:val="auto"/>
          <w:sz w:val="28"/>
          <w:szCs w:val="28"/>
          <w:highlight w:val="none"/>
        </w:rPr>
      </w:pPr>
      <w:bookmarkStart w:id="22" w:name="_Toc29712"/>
      <w:r>
        <w:rPr>
          <w:rFonts w:hint="eastAsia" w:ascii="宋体" w:hAnsi="宋体" w:cs="宋体"/>
          <w:color w:val="auto"/>
          <w:sz w:val="28"/>
          <w:szCs w:val="28"/>
          <w:highlight w:val="none"/>
        </w:rPr>
        <w:t>投标人存在下列情况之一的，投标无效</w:t>
      </w:r>
      <w:bookmarkEnd w:id="22"/>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en-GB"/>
        </w:rPr>
        <w:t>资格及商务技术文件</w:t>
      </w:r>
      <w:r>
        <w:rPr>
          <w:rFonts w:hint="eastAsia" w:ascii="宋体" w:hAnsi="宋体" w:cs="宋体"/>
          <w:color w:val="auto"/>
          <w:sz w:val="24"/>
          <w:szCs w:val="32"/>
          <w:highlight w:val="none"/>
        </w:rPr>
        <w:t>中的投标货物出现重大偏差的；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8、投标参数未如实填写。</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10、投标人的电子投标文件无法按时解密的。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12、不符合法律、法规和招标文件中规定的其他实质性要求的（招标文件</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13、未传输递交电子投标文件的或者未按规定提供相应的备份投标文件，造成项目开评标活动无法进行下去的。</w:t>
      </w:r>
    </w:p>
    <w:p>
      <w:pPr>
        <w:pStyle w:val="7"/>
        <w:numPr>
          <w:ilvl w:val="0"/>
          <w:numId w:val="10"/>
        </w:numPr>
        <w:textAlignment w:val="baseline"/>
        <w:rPr>
          <w:rFonts w:ascii="宋体" w:hAnsi="宋体" w:cs="宋体"/>
          <w:color w:val="auto"/>
          <w:sz w:val="28"/>
          <w:szCs w:val="28"/>
          <w:highlight w:val="none"/>
        </w:rPr>
      </w:pPr>
      <w:bookmarkStart w:id="23" w:name="_Toc9247"/>
      <w:r>
        <w:rPr>
          <w:rFonts w:hint="eastAsia" w:ascii="宋体" w:hAnsi="宋体" w:cs="宋体"/>
          <w:color w:val="auto"/>
          <w:sz w:val="28"/>
          <w:szCs w:val="28"/>
          <w:highlight w:val="none"/>
        </w:rPr>
        <w:t>有下列情况之一的，本次招标作为废标处理</w:t>
      </w:r>
      <w:bookmarkEnd w:id="23"/>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2、评标委员会发现招标文件存在歧义、重大缺陷导致评标工作无法进行，或者招标文件内容违反国家有关强制性规定的；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pPr>
        <w:pStyle w:val="7"/>
        <w:numPr>
          <w:ilvl w:val="0"/>
          <w:numId w:val="10"/>
        </w:numPr>
        <w:textAlignment w:val="baseline"/>
        <w:rPr>
          <w:rFonts w:ascii="宋体" w:hAnsi="宋体" w:cs="宋体"/>
          <w:color w:val="auto"/>
          <w:sz w:val="28"/>
          <w:szCs w:val="28"/>
          <w:highlight w:val="none"/>
        </w:rPr>
      </w:pPr>
      <w:bookmarkStart w:id="24" w:name="_Toc26358"/>
      <w:r>
        <w:rPr>
          <w:rFonts w:hint="eastAsia" w:ascii="宋体" w:hAnsi="宋体" w:cs="宋体"/>
          <w:color w:val="auto"/>
          <w:sz w:val="28"/>
          <w:szCs w:val="28"/>
          <w:highlight w:val="none"/>
        </w:rPr>
        <w:t>评标原则和评标办法</w:t>
      </w:r>
      <w:bookmarkEnd w:id="24"/>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2、评标办法。具体评标内容及评分标准等详见《第三章：评标方法及评分标准》。</w:t>
      </w:r>
    </w:p>
    <w:p>
      <w:pPr>
        <w:pStyle w:val="7"/>
        <w:numPr>
          <w:ilvl w:val="0"/>
          <w:numId w:val="10"/>
        </w:numPr>
        <w:textAlignment w:val="baseline"/>
        <w:rPr>
          <w:rFonts w:ascii="宋体" w:hAnsi="宋体" w:cs="宋体"/>
          <w:color w:val="auto"/>
          <w:sz w:val="28"/>
          <w:szCs w:val="28"/>
          <w:highlight w:val="none"/>
        </w:rPr>
      </w:pPr>
      <w:bookmarkStart w:id="25" w:name="_Toc14999"/>
      <w:r>
        <w:rPr>
          <w:rFonts w:hint="eastAsia" w:ascii="宋体" w:hAnsi="宋体" w:cs="宋体"/>
          <w:color w:val="auto"/>
          <w:sz w:val="28"/>
          <w:szCs w:val="28"/>
          <w:highlight w:val="none"/>
        </w:rPr>
        <w:t>评标过程的监控</w:t>
      </w:r>
      <w:bookmarkEnd w:id="25"/>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pPr>
        <w:pStyle w:val="6"/>
        <w:numPr>
          <w:ilvl w:val="0"/>
          <w:numId w:val="3"/>
        </w:numPr>
        <w:textAlignment w:val="baseline"/>
        <w:rPr>
          <w:rFonts w:ascii="宋体" w:hAnsi="宋体" w:cs="宋体"/>
          <w:color w:val="auto"/>
          <w:highlight w:val="none"/>
        </w:rPr>
      </w:pPr>
      <w:bookmarkStart w:id="26" w:name="_Toc27572"/>
      <w:r>
        <w:rPr>
          <w:rFonts w:hint="eastAsia" w:ascii="宋体" w:hAnsi="宋体" w:cs="宋体"/>
          <w:color w:val="auto"/>
          <w:highlight w:val="none"/>
        </w:rPr>
        <w:t>定标</w:t>
      </w:r>
      <w:bookmarkEnd w:id="26"/>
    </w:p>
    <w:p>
      <w:pPr>
        <w:pStyle w:val="2"/>
        <w:spacing w:line="360" w:lineRule="auto"/>
        <w:ind w:firstLine="480" w:firstLineChars="200"/>
        <w:textAlignment w:val="baseline"/>
        <w:rPr>
          <w:rFonts w:ascii="宋体" w:hAnsi="宋体" w:cs="宋体"/>
          <w:color w:val="auto"/>
          <w:szCs w:val="32"/>
          <w:highlight w:val="none"/>
        </w:rPr>
      </w:pPr>
      <w:r>
        <w:rPr>
          <w:rFonts w:hint="eastAsia" w:ascii="宋体" w:hAnsi="宋体" w:cs="宋体"/>
          <w:color w:val="auto"/>
          <w:szCs w:val="32"/>
          <w:highlight w:val="none"/>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pPr>
        <w:pStyle w:val="31"/>
        <w:spacing w:before="0" w:beforeAutospacing="0" w:after="0" w:afterAutospacing="0" w:line="360" w:lineRule="auto"/>
        <w:ind w:firstLine="480" w:firstLineChars="200"/>
        <w:jc w:val="both"/>
        <w:textAlignment w:val="baseline"/>
        <w:rPr>
          <w:rFonts w:cs="宋体"/>
          <w:color w:val="auto"/>
          <w:highlight w:val="none"/>
        </w:rPr>
      </w:pPr>
      <w:r>
        <w:rPr>
          <w:rFonts w:hint="eastAsia" w:cs="宋体"/>
          <w:color w:val="auto"/>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招标代理费用：按照下列表格标准的50%向中标单位收取招标代理费，中标方须在中标通知书发出5日内一次性付清。（户名：浙江五石中正工程咨询有限公司；账号：1202003209900014176；开户银行：中国工商银行杭州市潮王路支行）财务电话：0571-88271625。</w:t>
      </w:r>
    </w:p>
    <w:tbl>
      <w:tblPr>
        <w:tblStyle w:val="3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1695"/>
        <w:gridCol w:w="144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货物招标</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服务招标</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100以下</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1.50%</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100-500</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1.10%</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0.80%</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500-1000</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0.80%</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0.45%</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1000-5000</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0.50%</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0.25%</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5000-10000</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0.25%</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0.10%</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10000-100000</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0.05%</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0.05%</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99"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100000以上</w:t>
            </w:r>
          </w:p>
        </w:tc>
        <w:tc>
          <w:tcPr>
            <w:tcW w:w="1695"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0.01%</w:t>
            </w:r>
          </w:p>
        </w:tc>
        <w:tc>
          <w:tcPr>
            <w:tcW w:w="1440"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0.01%</w:t>
            </w:r>
          </w:p>
        </w:tc>
        <w:tc>
          <w:tcPr>
            <w:tcW w:w="1437" w:type="dxa"/>
            <w:vAlign w:val="center"/>
          </w:tcPr>
          <w:p>
            <w:pPr>
              <w:spacing w:line="360" w:lineRule="auto"/>
              <w:jc w:val="center"/>
              <w:textAlignment w:val="baseline"/>
              <w:rPr>
                <w:rFonts w:ascii="宋体" w:hAnsi="宋体" w:cs="宋体"/>
                <w:color w:val="auto"/>
                <w:sz w:val="24"/>
                <w:highlight w:val="none"/>
              </w:rPr>
            </w:pPr>
            <w:r>
              <w:rPr>
                <w:rFonts w:hint="eastAsia" w:ascii="宋体" w:hAnsi="宋体" w:cs="宋体"/>
                <w:color w:val="auto"/>
                <w:sz w:val="24"/>
                <w:highlight w:val="none"/>
              </w:rPr>
              <w:t>0.01%</w:t>
            </w:r>
          </w:p>
        </w:tc>
      </w:tr>
    </w:tbl>
    <w:p>
      <w:pPr>
        <w:pStyle w:val="6"/>
        <w:numPr>
          <w:ilvl w:val="0"/>
          <w:numId w:val="3"/>
        </w:numPr>
        <w:textAlignment w:val="baseline"/>
        <w:rPr>
          <w:rFonts w:ascii="宋体" w:hAnsi="宋体" w:cs="宋体"/>
          <w:color w:val="auto"/>
          <w:highlight w:val="none"/>
        </w:rPr>
      </w:pPr>
      <w:bookmarkStart w:id="27" w:name="_Toc4879"/>
      <w:r>
        <w:rPr>
          <w:rFonts w:hint="eastAsia" w:ascii="宋体" w:hAnsi="宋体" w:cs="宋体"/>
          <w:color w:val="auto"/>
          <w:highlight w:val="none"/>
        </w:rPr>
        <w:t>合同签订及公告</w:t>
      </w:r>
      <w:bookmarkEnd w:id="27"/>
    </w:p>
    <w:p>
      <w:pPr>
        <w:pStyle w:val="7"/>
        <w:numPr>
          <w:ilvl w:val="0"/>
          <w:numId w:val="11"/>
        </w:numPr>
        <w:textAlignment w:val="baseline"/>
        <w:rPr>
          <w:rFonts w:ascii="宋体" w:hAnsi="宋体" w:cs="宋体"/>
          <w:color w:val="auto"/>
          <w:sz w:val="28"/>
          <w:szCs w:val="28"/>
          <w:highlight w:val="none"/>
        </w:rPr>
      </w:pPr>
      <w:bookmarkStart w:id="28" w:name="_Toc28891"/>
      <w:r>
        <w:rPr>
          <w:rFonts w:hint="eastAsia" w:ascii="宋体" w:hAnsi="宋体" w:cs="宋体"/>
          <w:color w:val="auto"/>
          <w:sz w:val="28"/>
          <w:szCs w:val="28"/>
          <w:highlight w:val="none"/>
        </w:rPr>
        <w:t>签订合同</w:t>
      </w:r>
      <w:bookmarkEnd w:id="28"/>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pPr>
        <w:pStyle w:val="7"/>
        <w:numPr>
          <w:ilvl w:val="0"/>
          <w:numId w:val="11"/>
        </w:numPr>
        <w:textAlignment w:val="baseline"/>
        <w:rPr>
          <w:rFonts w:ascii="宋体" w:hAnsi="宋体" w:cs="宋体"/>
          <w:color w:val="auto"/>
          <w:sz w:val="28"/>
          <w:szCs w:val="28"/>
          <w:highlight w:val="none"/>
        </w:rPr>
      </w:pPr>
      <w:bookmarkStart w:id="29" w:name="_Toc4107"/>
      <w:r>
        <w:rPr>
          <w:rFonts w:hint="eastAsia" w:ascii="宋体" w:hAnsi="宋体" w:cs="宋体"/>
          <w:color w:val="auto"/>
          <w:sz w:val="28"/>
          <w:szCs w:val="28"/>
          <w:highlight w:val="none"/>
        </w:rPr>
        <w:t>合同公告及备案</w:t>
      </w:r>
      <w:bookmarkEnd w:id="29"/>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pPr>
        <w:spacing w:line="360" w:lineRule="auto"/>
        <w:ind w:firstLine="480" w:firstLineChars="200"/>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5"/>
        <w:numPr>
          <w:ilvl w:val="0"/>
          <w:numId w:val="2"/>
        </w:numPr>
        <w:jc w:val="center"/>
        <w:textAlignment w:val="baseline"/>
        <w:rPr>
          <w:rFonts w:ascii="宋体" w:hAnsi="宋体" w:cs="宋体"/>
          <w:color w:val="auto"/>
          <w:highlight w:val="none"/>
        </w:rPr>
      </w:pPr>
      <w:bookmarkStart w:id="30" w:name="_Toc11317"/>
      <w:r>
        <w:rPr>
          <w:rFonts w:hint="eastAsia" w:ascii="宋体" w:hAnsi="宋体" w:cs="宋体"/>
          <w:color w:val="auto"/>
          <w:highlight w:val="none"/>
        </w:rPr>
        <w:t>评标办法及评分标准</w:t>
      </w:r>
      <w:bookmarkEnd w:id="30"/>
    </w:p>
    <w:p>
      <w:pPr>
        <w:spacing w:line="360" w:lineRule="auto"/>
        <w:ind w:firstLine="480" w:firstLineChars="200"/>
        <w:textAlignment w:val="baseline"/>
        <w:rPr>
          <w:rStyle w:val="100"/>
          <w:rFonts w:ascii="宋体" w:hAnsi="宋体" w:cs="宋体"/>
          <w:color w:val="auto"/>
          <w:sz w:val="24"/>
          <w:highlight w:val="none"/>
        </w:rPr>
      </w:pPr>
      <w:r>
        <w:rPr>
          <w:rStyle w:val="100"/>
          <w:rFonts w:hint="eastAsia" w:ascii="宋体" w:hAnsi="宋体" w:cs="宋体"/>
          <w:color w:val="auto"/>
          <w:sz w:val="24"/>
          <w:highlight w:val="none"/>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U盘）存储的数据电文形式的备份投标文件自动失效。</w:t>
      </w:r>
    </w:p>
    <w:p>
      <w:pPr>
        <w:spacing w:line="360" w:lineRule="auto"/>
        <w:ind w:firstLine="480" w:firstLineChars="200"/>
        <w:textAlignment w:val="baseline"/>
        <w:rPr>
          <w:rStyle w:val="100"/>
          <w:rFonts w:ascii="宋体" w:hAnsi="宋体" w:cs="宋体"/>
          <w:color w:val="auto"/>
          <w:sz w:val="24"/>
          <w:szCs w:val="32"/>
          <w:highlight w:val="none"/>
        </w:rPr>
      </w:pPr>
      <w:r>
        <w:rPr>
          <w:rStyle w:val="100"/>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rPr>
        <w:t>商务与技术文件得分</w:t>
      </w:r>
      <w:r>
        <w:rPr>
          <w:rStyle w:val="100"/>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textAlignment w:val="baseline"/>
        <w:rPr>
          <w:rStyle w:val="100"/>
          <w:rFonts w:ascii="宋体" w:hAnsi="宋体" w:cs="宋体"/>
          <w:color w:val="auto"/>
          <w:sz w:val="24"/>
          <w:szCs w:val="32"/>
          <w:highlight w:val="none"/>
          <w:u w:val="single" w:color="000000"/>
        </w:rPr>
      </w:pPr>
      <w:r>
        <w:rPr>
          <w:rStyle w:val="100"/>
          <w:rFonts w:hint="eastAsia" w:ascii="宋体" w:hAnsi="宋体" w:cs="宋体"/>
          <w:color w:val="auto"/>
          <w:sz w:val="24"/>
          <w:szCs w:val="32"/>
          <w:highlight w:val="none"/>
          <w:u w:val="single" w:color="000000"/>
        </w:rPr>
        <w:t>投标报价得分=（评标基准价／投标报价）×10%×100 。</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（五）政府采购政策及优惠：</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对符合规定的联合体或者大中型企业的报价给予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textAlignment w:val="baseline"/>
        <w:rPr>
          <w:rStyle w:val="100"/>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textAlignment w:val="baseline"/>
        <w:rPr>
          <w:rFonts w:ascii="宋体" w:hAnsi="宋体" w:cs="宋体"/>
          <w:color w:val="auto"/>
          <w:sz w:val="24"/>
          <w:szCs w:val="32"/>
          <w:highlight w:val="none"/>
          <w:lang w:val="zh-CN"/>
        </w:rPr>
      </w:pPr>
      <w:r>
        <w:rPr>
          <w:rStyle w:val="100"/>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3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94"/>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shd w:val="clear" w:color="auto" w:fill="auto"/>
            <w:vAlign w:val="center"/>
          </w:tcPr>
          <w:p>
            <w:pPr>
              <w:snapToGrid w:val="0"/>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4" w:type="dxa"/>
            <w:shd w:val="clear" w:color="auto" w:fill="auto"/>
            <w:vAlign w:val="center"/>
          </w:tcPr>
          <w:p>
            <w:pPr>
              <w:snapToGrid w:val="0"/>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评分因素</w:t>
            </w:r>
          </w:p>
        </w:tc>
        <w:tc>
          <w:tcPr>
            <w:tcW w:w="7675" w:type="dxa"/>
            <w:shd w:val="clear" w:color="auto" w:fill="auto"/>
            <w:vAlign w:val="center"/>
          </w:tcPr>
          <w:p>
            <w:pPr>
              <w:ind w:firstLine="3132" w:firstLineChars="1300"/>
              <w:textAlignment w:val="baseline"/>
              <w:rPr>
                <w:rFonts w:ascii="宋体" w:hAnsi="宋体" w:cs="宋体"/>
                <w:b/>
                <w:bCs/>
                <w:color w:val="auto"/>
                <w:sz w:val="24"/>
                <w:highlight w:val="none"/>
              </w:rPr>
            </w:pPr>
            <w:r>
              <w:rPr>
                <w:rFonts w:hint="eastAsia" w:ascii="宋体" w:hAnsi="宋体" w:cs="宋体"/>
                <w:b/>
                <w:bCs/>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58" w:type="dxa"/>
            <w:gridSpan w:val="3"/>
            <w:shd w:val="clear" w:color="auto" w:fill="auto"/>
            <w:vAlign w:val="center"/>
          </w:tcPr>
          <w:p>
            <w:pPr>
              <w:tabs>
                <w:tab w:val="left" w:pos="5769"/>
              </w:tabs>
              <w:jc w:val="center"/>
              <w:textAlignment w:val="baseline"/>
              <w:rPr>
                <w:rFonts w:ascii="宋体" w:hAnsi="宋体" w:cs="宋体"/>
                <w:color w:val="auto"/>
                <w:sz w:val="24"/>
                <w:highlight w:val="none"/>
              </w:rPr>
            </w:pPr>
            <w:r>
              <w:rPr>
                <w:rFonts w:hint="eastAsia" w:ascii="宋体" w:hAnsi="宋体" w:cs="宋体"/>
                <w:b/>
                <w:bCs/>
                <w:color w:val="auto"/>
                <w:sz w:val="24"/>
                <w:highlight w:val="none"/>
              </w:rPr>
              <w:t xml:space="preserve">      商务技术分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1294"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技术实施方案</w:t>
            </w:r>
          </w:p>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（45分）</w:t>
            </w:r>
          </w:p>
        </w:tc>
        <w:tc>
          <w:tcPr>
            <w:tcW w:w="7675" w:type="dxa"/>
            <w:shd w:val="clear" w:color="auto" w:fill="auto"/>
            <w:vAlign w:val="center"/>
          </w:tcPr>
          <w:p>
            <w:pPr>
              <w:numPr>
                <w:ilvl w:val="0"/>
                <w:numId w:val="12"/>
              </w:num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根据投标人对项目需求、对数据和业务现状、对目标库系统的了解情况评分。（9分）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对项目需求、数据和业务现状、目标库系统有明确的理解，能详细说明项目实际情况、现状并展开分析，内容符合实际得7-9分；对项目需求、数据和业务现状、目标库系统有较明确的理解，方案内容基本符合现状但未能详细说明得3-6.9分；对项目需求、数据和业务现状、目标库系统有明确的理解模糊不清，内容粗略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jc w:val="center"/>
        </w:trPr>
        <w:tc>
          <w:tcPr>
            <w:tcW w:w="789" w:type="dxa"/>
            <w:vMerge w:val="continue"/>
            <w:shd w:val="clear" w:color="auto" w:fill="auto"/>
            <w:vAlign w:val="center"/>
          </w:tcPr>
          <w:p>
            <w:pPr>
              <w:snapToGrid w:val="0"/>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numPr>
                <w:ilvl w:val="0"/>
                <w:numId w:val="12"/>
              </w:num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根据投标方案总体设计，技术路线、实现方法和关键技术评分。（9分）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有明确的总体设计方案，方案内容合理，详细阐述</w:t>
            </w:r>
            <w:r>
              <w:rPr>
                <w:rFonts w:hint="eastAsia" w:ascii="宋体" w:hAnsi="宋体" w:cs="宋体"/>
                <w:color w:val="auto"/>
                <w:sz w:val="24"/>
                <w:highlight w:val="none"/>
              </w:rPr>
              <w:t>数据质量提升</w:t>
            </w:r>
            <w:r>
              <w:rPr>
                <w:rFonts w:hint="eastAsia" w:ascii="宋体" w:hAnsi="宋体" w:cs="宋体"/>
                <w:color w:val="auto"/>
                <w:sz w:val="24"/>
                <w:highlight w:val="none"/>
                <w:lang w:eastAsia="zh-CN"/>
              </w:rPr>
              <w:t>（含数据汇交及数据治理）</w:t>
            </w:r>
            <w:r>
              <w:rPr>
                <w:rFonts w:hint="eastAsia" w:ascii="宋体" w:hAnsi="宋体" w:cs="宋体"/>
                <w:color w:val="auto"/>
                <w:sz w:val="24"/>
                <w:highlight w:val="none"/>
              </w:rPr>
              <w:t>的技术路线、技术路线符合项目实际需求，实现方法和关键技术科学合理，符合国家、行业和本市标准得7-9分；有较明确的设计方案，有具体的技术路线、但未详细阐述，实现方法基本符合国家、行业和本市标准得3-6.9分；方案内容模糊不够明确，且内容粗略未结合实际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89" w:type="dxa"/>
            <w:vMerge w:val="continue"/>
            <w:shd w:val="clear" w:color="auto" w:fill="auto"/>
            <w:vAlign w:val="center"/>
          </w:tcPr>
          <w:p>
            <w:pPr>
              <w:snapToGrid w:val="0"/>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）根据投标人数据库设计、数据采集、编码和建库方案评分。（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分）方案内容齐全、各项内容明确，有具体的设计、采集、编码建库人员安排，时间结点，具体工作安排，内容贴合实际得</w:t>
            </w:r>
            <w:r>
              <w:rPr>
                <w:rFonts w:hint="eastAsia" w:ascii="宋体" w:hAnsi="宋体" w:cs="宋体"/>
                <w:color w:val="auto"/>
                <w:sz w:val="24"/>
                <w:highlight w:val="none"/>
                <w:lang w:val="en-US" w:eastAsia="zh-CN"/>
              </w:rPr>
              <w:t>7-9</w:t>
            </w:r>
            <w:r>
              <w:rPr>
                <w:rFonts w:hint="eastAsia" w:ascii="宋体" w:hAnsi="宋体" w:cs="宋体"/>
                <w:color w:val="auto"/>
                <w:sz w:val="24"/>
                <w:highlight w:val="none"/>
              </w:rPr>
              <w:t>分；</w:t>
            </w:r>
            <w:r>
              <w:rPr>
                <w:rFonts w:hint="eastAsia" w:ascii="宋体" w:hAnsi="宋体" w:cs="宋体"/>
                <w:color w:val="auto"/>
                <w:sz w:val="24"/>
                <w:highlight w:val="none"/>
                <w:lang w:eastAsia="zh-CN"/>
              </w:rPr>
              <w:t>有较明确的</w:t>
            </w:r>
            <w:r>
              <w:rPr>
                <w:rFonts w:hint="eastAsia" w:ascii="宋体" w:hAnsi="宋体" w:cs="宋体"/>
                <w:color w:val="auto"/>
                <w:sz w:val="24"/>
                <w:highlight w:val="none"/>
              </w:rPr>
              <w:t>数据库设计、数据采集、编码和建库方案</w:t>
            </w:r>
            <w:r>
              <w:rPr>
                <w:rFonts w:hint="eastAsia" w:ascii="宋体" w:hAnsi="宋体" w:cs="宋体"/>
                <w:color w:val="auto"/>
                <w:sz w:val="24"/>
                <w:highlight w:val="none"/>
                <w:lang w:eastAsia="zh-CN"/>
              </w:rPr>
              <w:t>，但方案内容未详细展开描述得</w:t>
            </w:r>
            <w:r>
              <w:rPr>
                <w:rFonts w:hint="eastAsia" w:ascii="宋体" w:hAnsi="宋体" w:cs="宋体"/>
                <w:color w:val="auto"/>
                <w:sz w:val="24"/>
                <w:highlight w:val="none"/>
                <w:lang w:val="en-US" w:eastAsia="zh-CN"/>
              </w:rPr>
              <w:t>3-6.9分；</w:t>
            </w:r>
            <w:r>
              <w:rPr>
                <w:rFonts w:hint="eastAsia" w:ascii="宋体" w:hAnsi="宋体" w:cs="宋体"/>
                <w:color w:val="auto"/>
                <w:sz w:val="24"/>
                <w:highlight w:val="none"/>
              </w:rPr>
              <w:t>方案内容模糊不够明确，且内容粗略未结合实际得</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vMerge w:val="continue"/>
            <w:shd w:val="clear" w:color="auto" w:fill="auto"/>
            <w:vAlign w:val="center"/>
          </w:tcPr>
          <w:p>
            <w:pPr>
              <w:snapToGrid w:val="0"/>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）根据投标人对本次项目的关键技术难点分析、风险分析和解决难题、规避风险措施评分。（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方案内容齐全、各项内容明确，有具体的关键技术难点分析、并能针对分析内容提出具体的解决措施，内容贴合实际得</w:t>
            </w:r>
            <w:r>
              <w:rPr>
                <w:rFonts w:hint="eastAsia" w:ascii="宋体" w:hAnsi="宋体" w:cs="宋体"/>
                <w:color w:val="auto"/>
                <w:sz w:val="24"/>
                <w:highlight w:val="none"/>
                <w:lang w:val="en-US" w:eastAsia="zh-CN"/>
              </w:rPr>
              <w:t>7-9</w:t>
            </w:r>
            <w:r>
              <w:rPr>
                <w:rFonts w:hint="eastAsia" w:ascii="宋体" w:hAnsi="宋体" w:cs="宋体"/>
                <w:color w:val="auto"/>
                <w:sz w:val="24"/>
                <w:highlight w:val="none"/>
              </w:rPr>
              <w:t>分；</w:t>
            </w:r>
            <w:r>
              <w:rPr>
                <w:rFonts w:hint="eastAsia" w:ascii="宋体" w:hAnsi="宋体" w:cs="宋体"/>
                <w:color w:val="auto"/>
                <w:sz w:val="24"/>
                <w:highlight w:val="none"/>
                <w:lang w:eastAsia="zh-CN"/>
              </w:rPr>
              <w:t>有较明确的</w:t>
            </w:r>
            <w:r>
              <w:rPr>
                <w:rFonts w:hint="eastAsia" w:ascii="宋体" w:hAnsi="宋体" w:cs="宋体"/>
                <w:color w:val="auto"/>
                <w:sz w:val="24"/>
                <w:highlight w:val="none"/>
              </w:rPr>
              <w:t>技术难点分析、风险分析和解决方案</w:t>
            </w:r>
            <w:r>
              <w:rPr>
                <w:rFonts w:hint="eastAsia" w:ascii="宋体" w:hAnsi="宋体" w:cs="宋体"/>
                <w:color w:val="auto"/>
                <w:sz w:val="24"/>
                <w:highlight w:val="none"/>
                <w:lang w:eastAsia="zh-CN"/>
              </w:rPr>
              <w:t>，但方案内容未详细展开描述得</w:t>
            </w:r>
            <w:r>
              <w:rPr>
                <w:rFonts w:hint="eastAsia" w:ascii="宋体" w:hAnsi="宋体" w:cs="宋体"/>
                <w:color w:val="auto"/>
                <w:sz w:val="24"/>
                <w:highlight w:val="none"/>
                <w:lang w:val="en-US" w:eastAsia="zh-CN"/>
              </w:rPr>
              <w:t>3-6.9分；</w:t>
            </w:r>
            <w:r>
              <w:rPr>
                <w:rFonts w:hint="eastAsia" w:ascii="宋体" w:hAnsi="宋体" w:cs="宋体"/>
                <w:color w:val="auto"/>
                <w:sz w:val="24"/>
                <w:highlight w:val="none"/>
              </w:rPr>
              <w:t>方案内容模糊不够明确，且内容粗略未结合实际得</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9" w:type="dxa"/>
            <w:vMerge w:val="continue"/>
            <w:shd w:val="clear" w:color="auto" w:fill="auto"/>
            <w:vAlign w:val="center"/>
          </w:tcPr>
          <w:p>
            <w:pPr>
              <w:snapToGrid w:val="0"/>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）根据投标方案与当前数据共享的衔接方案评分。(9分)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有明确的衔接方案，方案根据当前数据共享情况展开，有具体的衔接时间节点、人员安排，衔接内容，衔接内容与当前数据情况符合可操作性强得</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-9分；</w:t>
            </w:r>
            <w:r>
              <w:rPr>
                <w:rFonts w:hint="eastAsia" w:ascii="宋体" w:hAnsi="宋体" w:cs="宋体"/>
                <w:color w:val="auto"/>
                <w:sz w:val="24"/>
                <w:highlight w:val="none"/>
                <w:lang w:eastAsia="zh-CN"/>
              </w:rPr>
              <w:t>有较明确的</w:t>
            </w:r>
            <w:r>
              <w:rPr>
                <w:rFonts w:hint="eastAsia" w:ascii="宋体" w:hAnsi="宋体" w:cs="宋体"/>
                <w:color w:val="auto"/>
                <w:sz w:val="24"/>
                <w:highlight w:val="none"/>
              </w:rPr>
              <w:t>数据共享的衔接方案</w:t>
            </w:r>
            <w:r>
              <w:rPr>
                <w:rFonts w:hint="eastAsia" w:ascii="宋体" w:hAnsi="宋体" w:cs="宋体"/>
                <w:color w:val="auto"/>
                <w:sz w:val="24"/>
                <w:highlight w:val="none"/>
                <w:lang w:eastAsia="zh-CN"/>
              </w:rPr>
              <w:t>，但方案内容未详细展开描述得</w:t>
            </w:r>
            <w:r>
              <w:rPr>
                <w:rFonts w:hint="eastAsia" w:ascii="宋体" w:hAnsi="宋体" w:cs="宋体"/>
                <w:color w:val="auto"/>
                <w:sz w:val="24"/>
                <w:highlight w:val="none"/>
                <w:lang w:val="en-US" w:eastAsia="zh-CN"/>
              </w:rPr>
              <w:t>3-6.9分；</w:t>
            </w:r>
            <w:r>
              <w:rPr>
                <w:rFonts w:hint="eastAsia" w:ascii="宋体" w:hAnsi="宋体" w:cs="宋体"/>
                <w:color w:val="auto"/>
                <w:sz w:val="24"/>
                <w:highlight w:val="none"/>
              </w:rPr>
              <w:t>方案内容模糊不够明确，且内容粗略未结合实际得</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1294"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组织实施方案</w:t>
            </w:r>
          </w:p>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（10分）</w:t>
            </w:r>
          </w:p>
        </w:tc>
        <w:tc>
          <w:tcPr>
            <w:tcW w:w="7675" w:type="dxa"/>
            <w:shd w:val="clear" w:color="auto" w:fill="auto"/>
            <w:vAlign w:val="center"/>
          </w:tcPr>
          <w:p>
            <w:pPr>
              <w:numPr>
                <w:ilvl w:val="0"/>
                <w:numId w:val="13"/>
              </w:num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根据投标人项目组织实施方案进行评分。（5分）有明确的组织实施方案，方案内容详细，有具体的调研、工作程序、系统部署内容，内容根据项目实际情况展开阐述得3-5分；方案内容有缺漏或者内容简略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numPr>
                <w:ilvl w:val="0"/>
                <w:numId w:val="13"/>
              </w:num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根据投标人的组织机构、</w:t>
            </w:r>
            <w:r>
              <w:rPr>
                <w:rFonts w:hint="eastAsia" w:ascii="宋体" w:hAnsi="宋体" w:cs="宋体"/>
                <w:color w:val="auto"/>
                <w:sz w:val="24"/>
                <w:highlight w:val="none"/>
                <w:lang w:eastAsia="zh-CN"/>
              </w:rPr>
              <w:t>实施场所、</w:t>
            </w:r>
            <w:r>
              <w:rPr>
                <w:rFonts w:hint="eastAsia" w:ascii="宋体" w:hAnsi="宋体" w:cs="宋体"/>
                <w:color w:val="auto"/>
                <w:sz w:val="24"/>
                <w:highlight w:val="none"/>
              </w:rPr>
              <w:t>工作时间进度表、管理和协调方法、关键步骤的思路和要点内容进行评分。（5分）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有明确的组织架构设置，实施场所安排，具体的工作时间进度安排，明确的管理制度以及明确的管理和协调方法，有具体的关键步骤安排和要求点内容布置实施得3-5分；方案内容有缺漏或者内容简略得0-2.9分。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1294" w:type="dxa"/>
            <w:shd w:val="clear" w:color="auto" w:fill="auto"/>
            <w:vAlign w:val="center"/>
          </w:tcPr>
          <w:p>
            <w:pPr>
              <w:spacing w:line="4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项目人员设备配置</w:t>
            </w:r>
          </w:p>
          <w:p>
            <w:pPr>
              <w:spacing w:line="4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（10分）</w:t>
            </w: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1.拟投入本项目的项目负责人获得过地理信息科技进步奖且同时具有高级工程师证书的，得3分；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2.拟投入本项目的技术团队中具有高级工程师证书的，每1人得1分，最高得4分；</w:t>
            </w:r>
          </w:p>
          <w:p>
            <w:pPr>
              <w:pStyle w:val="2"/>
              <w:textAlignment w:val="baseline"/>
              <w:rPr>
                <w:rFonts w:ascii="宋体" w:hAnsi="宋体" w:cs="宋体"/>
                <w:color w:val="auto"/>
                <w:highlight w:val="none"/>
              </w:rPr>
            </w:pPr>
            <w:r>
              <w:rPr>
                <w:rFonts w:hint="eastAsia" w:ascii="宋体" w:hAnsi="宋体" w:cs="宋体"/>
                <w:color w:val="auto"/>
                <w:highlight w:val="none"/>
              </w:rPr>
              <w:t>3.拟投入本项目服务团队中具有信息系统项目管理师，每1人得1分，最高得2分；</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4.拟投入本项目的质量管理成员具有质量管理体系（QMS）内审员证书的，得1分；</w:t>
            </w:r>
          </w:p>
          <w:p>
            <w:pPr>
              <w:spacing w:line="420" w:lineRule="exact"/>
              <w:textAlignment w:val="baseline"/>
              <w:rPr>
                <w:rFonts w:ascii="宋体" w:hAnsi="宋体" w:cs="宋体"/>
                <w:b/>
                <w:color w:val="auto"/>
                <w:sz w:val="24"/>
                <w:highlight w:val="none"/>
              </w:rPr>
            </w:pPr>
            <w:r>
              <w:rPr>
                <w:rFonts w:hint="eastAsia" w:ascii="宋体" w:hAnsi="宋体" w:cs="宋体"/>
                <w:b/>
                <w:color w:val="auto"/>
                <w:sz w:val="24"/>
                <w:highlight w:val="none"/>
              </w:rPr>
              <w:t>注：以上人员不重复计分，须提供证书原件或其证明材料原件扫描件（不发实体证书的提供网页查询截图），以及常驻地行政部门出具的社保证明原件电子文档或社保网站打印投标方的社保证明原件电子文档，未提供或者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89" w:type="dxa"/>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1294" w:type="dxa"/>
            <w:shd w:val="clear" w:color="auto" w:fill="auto"/>
            <w:vAlign w:val="center"/>
          </w:tcPr>
          <w:p>
            <w:pPr>
              <w:snapToGrid w:val="0"/>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服务承诺</w:t>
            </w:r>
          </w:p>
          <w:p>
            <w:pPr>
              <w:snapToGrid w:val="0"/>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（6分</w:t>
            </w:r>
            <w:r>
              <w:rPr>
                <w:rFonts w:hint="eastAsia" w:ascii="宋体" w:hAnsi="宋体" w:cs="宋体"/>
                <w:color w:val="auto"/>
                <w:sz w:val="24"/>
                <w:highlight w:val="none"/>
              </w:rPr>
              <w:t>）</w:t>
            </w:r>
          </w:p>
        </w:tc>
        <w:tc>
          <w:tcPr>
            <w:tcW w:w="7675" w:type="dxa"/>
            <w:shd w:val="clear" w:color="auto" w:fill="auto"/>
            <w:vAlign w:val="center"/>
          </w:tcPr>
          <w:p>
            <w:pPr>
              <w:spacing w:line="420" w:lineRule="exact"/>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1.根据投标人对技术服务、售后服务的具体内容和措施的描述进行打分。</w:t>
            </w:r>
          </w:p>
          <w:p>
            <w:pPr>
              <w:spacing w:line="420" w:lineRule="exact"/>
              <w:textAlignment w:val="baseline"/>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有</w:t>
            </w:r>
            <w:r>
              <w:rPr>
                <w:rFonts w:hint="eastAsia" w:ascii="Times New Roman" w:hAnsi="Times New Roman" w:eastAsia="宋体" w:cs="Times New Roman"/>
                <w:color w:val="auto"/>
                <w:kern w:val="2"/>
                <w:sz w:val="24"/>
                <w:szCs w:val="24"/>
                <w:highlight w:val="none"/>
                <w:lang w:val="en-US" w:eastAsia="zh-CN" w:bidi="ar-SA"/>
              </w:rPr>
              <w:t>合理可行的服务和措施得1分，</w:t>
            </w:r>
            <w:r>
              <w:rPr>
                <w:rFonts w:hint="eastAsia" w:cs="Times New Roman"/>
                <w:color w:val="auto"/>
                <w:kern w:val="2"/>
                <w:sz w:val="24"/>
                <w:szCs w:val="24"/>
                <w:highlight w:val="none"/>
                <w:lang w:val="en-US" w:eastAsia="zh-CN" w:bidi="ar-SA"/>
              </w:rPr>
              <w:t>每条得1分，</w:t>
            </w:r>
            <w:r>
              <w:rPr>
                <w:rFonts w:hint="eastAsia" w:ascii="Times New Roman" w:hAnsi="Times New Roman" w:eastAsia="宋体" w:cs="Times New Roman"/>
                <w:color w:val="auto"/>
                <w:kern w:val="2"/>
                <w:sz w:val="24"/>
                <w:szCs w:val="24"/>
                <w:highlight w:val="none"/>
                <w:lang w:val="en-US" w:eastAsia="zh-CN" w:bidi="ar-SA"/>
              </w:rPr>
              <w:t>最高得2分。</w:t>
            </w:r>
            <w:r>
              <w:rPr>
                <w:rFonts w:hint="eastAsia" w:cs="Times New Roman"/>
                <w:color w:val="auto"/>
                <w:kern w:val="2"/>
                <w:sz w:val="24"/>
                <w:szCs w:val="24"/>
                <w:highlight w:val="none"/>
                <w:lang w:val="en-US" w:eastAsia="zh-CN" w:bidi="ar-SA"/>
              </w:rPr>
              <w:t>（除驻场年限及驻场服务人员外的服务和措施）</w:t>
            </w:r>
          </w:p>
          <w:p>
            <w:pPr>
              <w:pStyle w:val="2"/>
              <w:numPr>
                <w:ilvl w:val="0"/>
                <w:numId w:val="14"/>
              </w:numPr>
              <w:rPr>
                <w:rFonts w:hint="eastAsia"/>
                <w:color w:val="auto"/>
                <w:highlight w:val="none"/>
                <w:lang w:val="en-US" w:eastAsia="zh-CN"/>
              </w:rPr>
            </w:pPr>
            <w:r>
              <w:rPr>
                <w:rFonts w:hint="eastAsia"/>
                <w:color w:val="auto"/>
                <w:highlight w:val="none"/>
                <w:lang w:eastAsia="zh-CN"/>
              </w:rPr>
              <w:t>项目验收后提供驻场服务不少于</w:t>
            </w:r>
            <w:r>
              <w:rPr>
                <w:rFonts w:hint="eastAsia"/>
                <w:color w:val="auto"/>
                <w:highlight w:val="none"/>
                <w:lang w:val="en-US" w:eastAsia="zh-CN"/>
              </w:rPr>
              <w:t>2年得1分，3年及以上的加1分，最高得2分。</w:t>
            </w:r>
          </w:p>
          <w:p>
            <w:pPr>
              <w:pStyle w:val="2"/>
              <w:numPr>
                <w:ilvl w:val="0"/>
                <w:numId w:val="14"/>
              </w:numPr>
              <w:rPr>
                <w:rFonts w:hint="eastAsia"/>
                <w:color w:val="auto"/>
                <w:highlight w:val="none"/>
                <w:lang w:val="en-US" w:eastAsia="zh-CN"/>
              </w:rPr>
            </w:pPr>
            <w:r>
              <w:rPr>
                <w:rFonts w:hint="eastAsia"/>
                <w:color w:val="auto"/>
                <w:highlight w:val="none"/>
                <w:lang w:eastAsia="zh-CN"/>
              </w:rPr>
              <w:t>项目验收后</w:t>
            </w:r>
            <w:r>
              <w:rPr>
                <w:rFonts w:hint="eastAsia"/>
                <w:color w:val="auto"/>
                <w:highlight w:val="none"/>
                <w:lang w:val="en-US" w:eastAsia="zh-CN"/>
              </w:rPr>
              <w:t>各区驻场服务人员（须从事不动产登记相关数据服务工作两年以上</w:t>
            </w:r>
            <w:r>
              <w:rPr>
                <w:rFonts w:hint="eastAsia" w:ascii="宋体" w:hAnsi="宋体" w:cs="宋体"/>
                <w:color w:val="auto"/>
                <w:highlight w:val="none"/>
              </w:rPr>
              <w:t>并接受采购人的日常考勤</w:t>
            </w:r>
            <w:r>
              <w:rPr>
                <w:rFonts w:hint="eastAsia"/>
                <w:color w:val="auto"/>
                <w:highlight w:val="none"/>
                <w:lang w:val="en-US" w:eastAsia="zh-CN"/>
              </w:rPr>
              <w:t>）不少于1名得1分，2名及以上的加1分，最高得2分。</w:t>
            </w:r>
          </w:p>
          <w:p>
            <w:pPr>
              <w:pStyle w:val="3"/>
              <w:numPr>
                <w:ilvl w:val="0"/>
                <w:numId w:val="0"/>
              </w:numPr>
              <w:rPr>
                <w:rFonts w:hint="default"/>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注：需提供</w:t>
            </w:r>
            <w:r>
              <w:rPr>
                <w:rFonts w:hint="eastAsia" w:cs="Times New Roman"/>
                <w:b/>
                <w:bCs/>
                <w:color w:val="auto"/>
                <w:kern w:val="2"/>
                <w:sz w:val="24"/>
                <w:szCs w:val="24"/>
                <w:highlight w:val="none"/>
                <w:lang w:val="en-US" w:eastAsia="zh-CN" w:bidi="ar-SA"/>
              </w:rPr>
              <w:t>原驻场</w:t>
            </w:r>
            <w:r>
              <w:rPr>
                <w:rFonts w:hint="eastAsia" w:ascii="Times New Roman" w:hAnsi="Times New Roman" w:eastAsia="宋体" w:cs="Times New Roman"/>
                <w:b/>
                <w:bCs/>
                <w:color w:val="auto"/>
                <w:kern w:val="2"/>
                <w:sz w:val="24"/>
                <w:szCs w:val="24"/>
                <w:highlight w:val="none"/>
                <w:lang w:val="en-US" w:eastAsia="zh-CN" w:bidi="ar-SA"/>
              </w:rPr>
              <w:t>单位</w:t>
            </w:r>
            <w:r>
              <w:rPr>
                <w:rFonts w:hint="eastAsia" w:cs="Times New Roman"/>
                <w:b/>
                <w:bCs/>
                <w:color w:val="auto"/>
                <w:kern w:val="2"/>
                <w:sz w:val="24"/>
                <w:szCs w:val="24"/>
                <w:highlight w:val="none"/>
                <w:lang w:val="en-US" w:eastAsia="zh-CN" w:bidi="ar-SA"/>
              </w:rPr>
              <w:t>开具给该驻场人员的从业</w:t>
            </w:r>
            <w:r>
              <w:rPr>
                <w:rFonts w:hint="eastAsia" w:ascii="Times New Roman" w:hAnsi="Times New Roman" w:eastAsia="宋体" w:cs="Times New Roman"/>
                <w:b/>
                <w:bCs/>
                <w:color w:val="auto"/>
                <w:kern w:val="2"/>
                <w:sz w:val="24"/>
                <w:szCs w:val="24"/>
                <w:highlight w:val="none"/>
                <w:lang w:val="en-US" w:eastAsia="zh-CN" w:bidi="ar-SA"/>
              </w:rPr>
              <w:t>证明</w:t>
            </w:r>
            <w:r>
              <w:rPr>
                <w:rFonts w:hint="eastAsia" w:cs="Times New Roman"/>
                <w:b/>
                <w:bCs/>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89"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1294" w:type="dxa"/>
            <w:vMerge w:val="restart"/>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供应商实力（18分）</w:t>
            </w:r>
          </w:p>
        </w:tc>
        <w:tc>
          <w:tcPr>
            <w:tcW w:w="7675" w:type="dxa"/>
            <w:shd w:val="clear" w:color="auto" w:fill="auto"/>
            <w:vAlign w:val="center"/>
          </w:tcPr>
          <w:p>
            <w:pPr>
              <w:pStyle w:val="95"/>
              <w:jc w:val="both"/>
              <w:textAlignment w:val="baseline"/>
              <w:rPr>
                <w:rFonts w:ascii="宋体" w:hAnsi="宋体" w:cs="宋体"/>
                <w:color w:val="auto"/>
                <w:highlight w:val="none"/>
              </w:rPr>
            </w:pPr>
            <w:r>
              <w:rPr>
                <w:rFonts w:hint="eastAsia" w:ascii="宋体" w:hAnsi="宋体" w:cs="宋体"/>
                <w:color w:val="auto"/>
                <w:highlight w:val="none"/>
              </w:rPr>
              <w:t>（1）投标人具有ISO9001质量管理体系认证证书、ISO27001信息安全管理体系认证证书、ISO 20000 IT服务管理</w:t>
            </w:r>
            <w:r>
              <w:rPr>
                <w:rFonts w:hint="eastAsia" w:ascii="宋体" w:hAnsi="宋体" w:cs="宋体"/>
                <w:color w:val="auto"/>
                <w:highlight w:val="none"/>
                <w:lang w:eastAsia="zh-CN"/>
              </w:rPr>
              <w:t>体</w:t>
            </w:r>
            <w:r>
              <w:rPr>
                <w:rFonts w:hint="eastAsia" w:ascii="宋体" w:hAnsi="宋体" w:cs="宋体"/>
                <w:color w:val="auto"/>
                <w:highlight w:val="none"/>
              </w:rPr>
              <w:t xml:space="preserve">系认证证书的，每项得1分，最高得3分。 </w:t>
            </w:r>
          </w:p>
          <w:p>
            <w:pPr>
              <w:spacing w:line="420" w:lineRule="exact"/>
              <w:textAlignment w:val="baseline"/>
              <w:rPr>
                <w:rFonts w:ascii="宋体" w:hAnsi="宋体" w:cs="宋体"/>
                <w:b/>
                <w:color w:val="auto"/>
                <w:kern w:val="1"/>
                <w:sz w:val="24"/>
                <w:highlight w:val="none"/>
              </w:rPr>
            </w:pPr>
            <w:r>
              <w:rPr>
                <w:rFonts w:hint="eastAsia" w:ascii="宋体" w:hAnsi="宋体" w:cs="宋体"/>
                <w:b/>
                <w:color w:val="auto"/>
                <w:sz w:val="24"/>
                <w:highlight w:val="none"/>
              </w:rPr>
              <w:t xml:space="preserve">注：需提供相关证书材料复印件并加盖公章。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kern w:val="1"/>
                <w:sz w:val="24"/>
                <w:highlight w:val="none"/>
              </w:rPr>
            </w:pPr>
            <w:r>
              <w:rPr>
                <w:rFonts w:hint="eastAsia" w:ascii="宋体" w:hAnsi="宋体" w:cs="宋体"/>
                <w:color w:val="auto"/>
                <w:kern w:val="1"/>
                <w:sz w:val="24"/>
                <w:highlight w:val="none"/>
              </w:rPr>
              <w:t>（2）投标人具有高新技术企业证书、软件企业证书的，</w:t>
            </w:r>
            <w:r>
              <w:rPr>
                <w:rFonts w:hint="eastAsia" w:ascii="宋体" w:hAnsi="宋体" w:cs="宋体"/>
                <w:color w:val="auto"/>
                <w:sz w:val="24"/>
                <w:highlight w:val="none"/>
              </w:rPr>
              <w:t>每项得1分，最高得2分。</w:t>
            </w:r>
          </w:p>
          <w:p>
            <w:pPr>
              <w:spacing w:line="420" w:lineRule="exact"/>
              <w:textAlignment w:val="baseline"/>
              <w:rPr>
                <w:rFonts w:ascii="宋体" w:hAnsi="宋体" w:cs="宋体"/>
                <w:color w:val="auto"/>
                <w:kern w:val="1"/>
                <w:sz w:val="24"/>
                <w:highlight w:val="none"/>
              </w:rPr>
            </w:pPr>
            <w:r>
              <w:rPr>
                <w:rFonts w:hint="eastAsia" w:ascii="宋体" w:hAnsi="宋体" w:cs="宋体"/>
                <w:b/>
                <w:color w:val="auto"/>
                <w:sz w:val="24"/>
                <w:highlight w:val="none"/>
              </w:rPr>
              <w:t>注：需提供相关证书材料原件扫描件。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pStyle w:val="95"/>
              <w:jc w:val="both"/>
              <w:textAlignment w:val="baseline"/>
              <w:rPr>
                <w:rFonts w:ascii="宋体" w:hAnsi="宋体" w:cs="宋体"/>
                <w:color w:val="auto"/>
                <w:highlight w:val="none"/>
              </w:rPr>
            </w:pPr>
            <w:r>
              <w:rPr>
                <w:rFonts w:hint="eastAsia" w:ascii="宋体" w:hAnsi="宋体" w:cs="宋体"/>
                <w:color w:val="auto"/>
                <w:highlight w:val="none"/>
              </w:rPr>
              <w:t xml:space="preserve">(3) 投标人被评为 “守合同重信用企业”得1分,信用级别为AAA级加1分,最高得2分 。 </w:t>
            </w:r>
          </w:p>
          <w:p>
            <w:pPr>
              <w:spacing w:line="420" w:lineRule="exact"/>
              <w:textAlignment w:val="baseline"/>
              <w:rPr>
                <w:rFonts w:ascii="宋体" w:hAnsi="宋体" w:cs="宋体"/>
                <w:color w:val="auto"/>
                <w:sz w:val="24"/>
                <w:highlight w:val="none"/>
              </w:rPr>
            </w:pPr>
            <w:r>
              <w:rPr>
                <w:rFonts w:hint="eastAsia" w:ascii="宋体" w:hAnsi="宋体" w:cs="宋体"/>
                <w:b/>
                <w:color w:val="auto"/>
                <w:sz w:val="24"/>
                <w:highlight w:val="none"/>
              </w:rPr>
              <w:t>注：需提供相关证书材料原件扫描件。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（4）投标人具有与不动产登记相关（不动产登记管理软件、不动产数据迁移软件、测绘成果管理软件、档案扫描管理软件等）的软件著作权证书的，每项得1分，最高得4分。</w:t>
            </w:r>
          </w:p>
          <w:p>
            <w:pPr>
              <w:textAlignment w:val="baseline"/>
              <w:rPr>
                <w:rFonts w:ascii="宋体" w:hAnsi="宋体" w:cs="宋体"/>
                <w:color w:val="auto"/>
                <w:sz w:val="24"/>
                <w:highlight w:val="none"/>
              </w:rPr>
            </w:pPr>
            <w:r>
              <w:rPr>
                <w:rFonts w:hint="eastAsia" w:ascii="宋体" w:hAnsi="宋体" w:cs="宋体"/>
                <w:b/>
                <w:color w:val="auto"/>
                <w:sz w:val="24"/>
                <w:highlight w:val="none"/>
              </w:rPr>
              <w:t>注：需提供相关证书材料原件扫描件。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（5）投标人承担的不动产数据整</w:t>
            </w:r>
            <w:r>
              <w:rPr>
                <w:rFonts w:hint="eastAsia" w:ascii="宋体" w:hAnsi="宋体" w:cs="宋体"/>
                <w:color w:val="auto"/>
                <w:sz w:val="24"/>
                <w:highlight w:val="none"/>
                <w:lang w:eastAsia="zh-CN"/>
              </w:rPr>
              <w:t>理</w:t>
            </w:r>
            <w:r>
              <w:rPr>
                <w:rFonts w:hint="eastAsia" w:ascii="宋体" w:hAnsi="宋体" w:cs="宋体"/>
                <w:color w:val="auto"/>
                <w:sz w:val="24"/>
                <w:highlight w:val="none"/>
              </w:rPr>
              <w:t>相关项目，获得过县级以上政府部门或行业协会颁发的优质奖项或者表彰的，得3分。</w:t>
            </w:r>
          </w:p>
          <w:p>
            <w:pPr>
              <w:pStyle w:val="34"/>
              <w:ind w:left="0" w:leftChars="0" w:firstLine="0"/>
              <w:textAlignment w:val="baseline"/>
              <w:rPr>
                <w:rFonts w:ascii="宋体" w:hAnsi="宋体" w:cs="宋体"/>
                <w:color w:val="auto"/>
                <w:sz w:val="24"/>
                <w:highlight w:val="none"/>
              </w:rPr>
            </w:pPr>
            <w:r>
              <w:rPr>
                <w:rFonts w:hint="eastAsia" w:ascii="宋体" w:hAnsi="宋体" w:cs="宋体"/>
                <w:b/>
                <w:color w:val="auto"/>
                <w:sz w:val="24"/>
                <w:highlight w:val="none"/>
              </w:rPr>
              <w:t>注：需提供相关证书材料原件扫描件。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89" w:type="dxa"/>
            <w:vMerge w:val="continue"/>
            <w:shd w:val="clear" w:color="auto" w:fill="auto"/>
            <w:vAlign w:val="center"/>
          </w:tcPr>
          <w:p>
            <w:pPr>
              <w:snapToGrid w:val="0"/>
              <w:jc w:val="center"/>
              <w:textAlignment w:val="baseline"/>
              <w:rPr>
                <w:rFonts w:ascii="宋体" w:hAnsi="宋体" w:cs="宋体"/>
                <w:color w:val="auto"/>
                <w:sz w:val="24"/>
                <w:highlight w:val="none"/>
              </w:rPr>
            </w:pPr>
          </w:p>
        </w:tc>
        <w:tc>
          <w:tcPr>
            <w:tcW w:w="1294" w:type="dxa"/>
            <w:vMerge w:val="continue"/>
            <w:shd w:val="clear" w:color="auto" w:fill="auto"/>
            <w:vAlign w:val="center"/>
          </w:tcPr>
          <w:p>
            <w:pPr>
              <w:snapToGrid w:val="0"/>
              <w:textAlignment w:val="baseline"/>
              <w:rPr>
                <w:rFonts w:ascii="宋体" w:hAnsi="宋体" w:cs="宋体"/>
                <w:color w:val="auto"/>
                <w:sz w:val="24"/>
                <w:highlight w:val="none"/>
              </w:rPr>
            </w:pPr>
          </w:p>
        </w:tc>
        <w:tc>
          <w:tcPr>
            <w:tcW w:w="7675" w:type="dxa"/>
            <w:shd w:val="clear" w:color="auto" w:fill="auto"/>
            <w:vAlign w:val="center"/>
          </w:tcPr>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（6）投标人承担过土地登记（所有权或使用权）、房屋登记等不动产登记相关的国家级数据库标准或技术规范编制的每项得2分，最高4分。</w:t>
            </w:r>
          </w:p>
          <w:p>
            <w:pPr>
              <w:spacing w:line="420" w:lineRule="exact"/>
              <w:textAlignment w:val="baseline"/>
              <w:rPr>
                <w:rFonts w:ascii="宋体" w:hAnsi="宋体" w:cs="宋体"/>
                <w:b/>
                <w:color w:val="auto"/>
                <w:sz w:val="24"/>
                <w:highlight w:val="none"/>
              </w:rPr>
            </w:pPr>
            <w:r>
              <w:rPr>
                <w:rFonts w:hint="eastAsia" w:ascii="宋体" w:hAnsi="宋体" w:cs="宋体"/>
                <w:b/>
                <w:color w:val="auto"/>
                <w:sz w:val="24"/>
                <w:highlight w:val="none"/>
              </w:rPr>
              <w:t>注;需提供参与编制的技术规范或标准的前言与封面原件扫描件，否则不得分。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789" w:type="dxa"/>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1294" w:type="dxa"/>
            <w:shd w:val="clear" w:color="auto" w:fill="auto"/>
            <w:vAlign w:val="center"/>
          </w:tcPr>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类似项目业绩</w:t>
            </w:r>
          </w:p>
          <w:p>
            <w:pPr>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（1分）</w:t>
            </w:r>
          </w:p>
        </w:tc>
        <w:tc>
          <w:tcPr>
            <w:tcW w:w="7675" w:type="dxa"/>
            <w:shd w:val="clear" w:color="auto" w:fill="auto"/>
            <w:vAlign w:val="center"/>
          </w:tcPr>
          <w:p>
            <w:pPr>
              <w:pStyle w:val="174"/>
              <w:spacing w:line="420" w:lineRule="exact"/>
              <w:ind w:firstLine="0" w:firstLineChars="0"/>
              <w:textAlignment w:val="baseline"/>
              <w:rPr>
                <w:rFonts w:ascii="宋体" w:hAnsi="宋体" w:cs="宋体"/>
                <w:color w:val="auto"/>
                <w:sz w:val="24"/>
                <w:highlight w:val="none"/>
              </w:rPr>
            </w:pPr>
            <w:r>
              <w:rPr>
                <w:rFonts w:hint="eastAsia" w:ascii="宋体" w:hAnsi="宋体" w:cs="宋体"/>
                <w:color w:val="auto"/>
                <w:sz w:val="24"/>
                <w:highlight w:val="none"/>
              </w:rPr>
              <w:t>（1）投标人自2019年1月1日至今具有从事不动产登记数据整</w:t>
            </w:r>
            <w:r>
              <w:rPr>
                <w:rFonts w:hint="eastAsia" w:ascii="宋体" w:hAnsi="宋体" w:cs="宋体"/>
                <w:color w:val="auto"/>
                <w:sz w:val="24"/>
                <w:highlight w:val="none"/>
                <w:lang w:eastAsia="zh-CN"/>
              </w:rPr>
              <w:t>理</w:t>
            </w:r>
            <w:r>
              <w:rPr>
                <w:rFonts w:hint="eastAsia" w:ascii="宋体" w:hAnsi="宋体" w:cs="宋体"/>
                <w:color w:val="auto"/>
                <w:sz w:val="24"/>
                <w:highlight w:val="none"/>
              </w:rPr>
              <w:t>或数据质量提升相关项目业绩，得0.5分，本项最高得0.5分；</w:t>
            </w:r>
          </w:p>
          <w:p>
            <w:pPr>
              <w:pStyle w:val="174"/>
              <w:spacing w:line="420" w:lineRule="exact"/>
              <w:ind w:firstLine="0" w:firstLineChars="0"/>
              <w:textAlignment w:val="baseline"/>
              <w:rPr>
                <w:rFonts w:ascii="宋体" w:hAnsi="宋体" w:cs="宋体"/>
                <w:color w:val="auto"/>
                <w:sz w:val="24"/>
                <w:highlight w:val="none"/>
              </w:rPr>
            </w:pPr>
            <w:r>
              <w:rPr>
                <w:rFonts w:hint="eastAsia" w:ascii="宋体" w:hAnsi="宋体" w:cs="宋体"/>
                <w:color w:val="auto"/>
                <w:sz w:val="24"/>
                <w:highlight w:val="none"/>
              </w:rPr>
              <w:t>（2）投标人自2019年1月1日至今具有从事不动产档案扫描整理相关项目业绩，得0.5分，本项最高的0.5分。</w:t>
            </w:r>
            <w:r>
              <w:rPr>
                <w:rFonts w:hint="eastAsia" w:ascii="宋体" w:hAnsi="宋体" w:cs="宋体"/>
                <w:b/>
                <w:color w:val="auto"/>
                <w:sz w:val="24"/>
                <w:highlight w:val="none"/>
              </w:rPr>
              <w:t>注：以上需提供合同原件扫描件。</w:t>
            </w:r>
          </w:p>
        </w:tc>
      </w:tr>
    </w:tbl>
    <w:p>
      <w:pPr>
        <w:pStyle w:val="94"/>
        <w:ind w:firstLine="420"/>
        <w:textAlignment w:val="baseline"/>
        <w:rPr>
          <w:rFonts w:ascii="宋体" w:hAnsi="宋体" w:cs="宋体"/>
          <w:color w:val="auto"/>
          <w:highlight w:val="none"/>
        </w:rPr>
      </w:pPr>
    </w:p>
    <w:p>
      <w:pPr>
        <w:spacing w:line="360" w:lineRule="auto"/>
        <w:jc w:val="center"/>
        <w:textAlignment w:val="baseline"/>
        <w:rPr>
          <w:rFonts w:ascii="宋体" w:hAnsi="宋体"/>
          <w:b/>
          <w:color w:val="auto"/>
          <w:sz w:val="36"/>
          <w:szCs w:val="36"/>
          <w:highlight w:val="none"/>
        </w:rPr>
      </w:pPr>
    </w:p>
    <w:p>
      <w:pPr>
        <w:pStyle w:val="2"/>
        <w:textAlignment w:val="baseline"/>
        <w:rPr>
          <w:rFonts w:ascii="宋体" w:hAnsi="宋体"/>
          <w:b/>
          <w:color w:val="auto"/>
          <w:sz w:val="36"/>
          <w:szCs w:val="36"/>
          <w:highlight w:val="none"/>
        </w:rPr>
      </w:pPr>
    </w:p>
    <w:p>
      <w:pPr>
        <w:pStyle w:val="3"/>
        <w:textAlignment w:val="baseline"/>
        <w:rPr>
          <w:rFonts w:ascii="宋体" w:hAnsi="宋体"/>
          <w:b/>
          <w:color w:val="auto"/>
          <w:sz w:val="36"/>
          <w:szCs w:val="36"/>
          <w:highlight w:val="none"/>
        </w:rPr>
      </w:pPr>
    </w:p>
    <w:p>
      <w:pPr>
        <w:pStyle w:val="4"/>
        <w:textAlignment w:val="baseline"/>
        <w:rPr>
          <w:rFonts w:ascii="宋体" w:hAnsi="宋体"/>
          <w:b/>
          <w:color w:val="auto"/>
          <w:sz w:val="36"/>
          <w:szCs w:val="36"/>
          <w:highlight w:val="none"/>
        </w:rPr>
      </w:pPr>
    </w:p>
    <w:p>
      <w:pPr>
        <w:textAlignment w:val="baseline"/>
        <w:rPr>
          <w:rFonts w:ascii="宋体" w:hAnsi="宋体"/>
          <w:b/>
          <w:color w:val="auto"/>
          <w:sz w:val="36"/>
          <w:szCs w:val="36"/>
          <w:highlight w:val="none"/>
        </w:rPr>
      </w:pPr>
    </w:p>
    <w:p>
      <w:pPr>
        <w:pStyle w:val="2"/>
        <w:textAlignment w:val="baseline"/>
        <w:rPr>
          <w:rFonts w:ascii="宋体" w:hAnsi="宋体"/>
          <w:b/>
          <w:color w:val="auto"/>
          <w:sz w:val="36"/>
          <w:szCs w:val="36"/>
          <w:highlight w:val="none"/>
        </w:rPr>
      </w:pPr>
    </w:p>
    <w:p>
      <w:pPr>
        <w:pStyle w:val="3"/>
        <w:textAlignment w:val="baseline"/>
        <w:rPr>
          <w:rFonts w:ascii="宋体" w:hAnsi="宋体"/>
          <w:b/>
          <w:color w:val="auto"/>
          <w:sz w:val="36"/>
          <w:szCs w:val="36"/>
          <w:highlight w:val="none"/>
        </w:rPr>
      </w:pPr>
    </w:p>
    <w:p>
      <w:pPr>
        <w:pStyle w:val="4"/>
        <w:textAlignment w:val="baseline"/>
        <w:rPr>
          <w:rFonts w:ascii="宋体" w:hAnsi="宋体"/>
          <w:b/>
          <w:color w:val="auto"/>
          <w:sz w:val="36"/>
          <w:szCs w:val="36"/>
          <w:highlight w:val="none"/>
        </w:rPr>
      </w:pPr>
    </w:p>
    <w:p>
      <w:pPr>
        <w:textAlignment w:val="baseline"/>
        <w:rPr>
          <w:rFonts w:ascii="宋体" w:hAnsi="宋体"/>
          <w:b/>
          <w:color w:val="auto"/>
          <w:sz w:val="36"/>
          <w:szCs w:val="36"/>
          <w:highlight w:val="none"/>
        </w:rPr>
      </w:pPr>
    </w:p>
    <w:p>
      <w:pPr>
        <w:pStyle w:val="2"/>
        <w:textAlignment w:val="baseline"/>
        <w:rPr>
          <w:rFonts w:ascii="宋体" w:hAnsi="宋体"/>
          <w:b/>
          <w:color w:val="auto"/>
          <w:sz w:val="36"/>
          <w:szCs w:val="36"/>
          <w:highlight w:val="none"/>
        </w:rPr>
      </w:pPr>
    </w:p>
    <w:p>
      <w:pPr>
        <w:pStyle w:val="3"/>
        <w:textAlignment w:val="baseline"/>
        <w:rPr>
          <w:rFonts w:ascii="宋体" w:hAnsi="宋体"/>
          <w:b/>
          <w:color w:val="auto"/>
          <w:sz w:val="36"/>
          <w:szCs w:val="36"/>
          <w:highlight w:val="none"/>
        </w:rPr>
      </w:pPr>
    </w:p>
    <w:p>
      <w:pPr>
        <w:pStyle w:val="4"/>
        <w:textAlignment w:val="baseline"/>
        <w:rPr>
          <w:rFonts w:ascii="宋体" w:hAnsi="宋体"/>
          <w:b/>
          <w:color w:val="auto"/>
          <w:sz w:val="36"/>
          <w:szCs w:val="36"/>
          <w:highlight w:val="none"/>
        </w:rPr>
      </w:pPr>
    </w:p>
    <w:p>
      <w:pPr>
        <w:textAlignment w:val="baseline"/>
        <w:rPr>
          <w:color w:val="auto"/>
          <w:sz w:val="20"/>
          <w:highlight w:val="none"/>
        </w:rPr>
      </w:pPr>
    </w:p>
    <w:p>
      <w:pPr>
        <w:pStyle w:val="5"/>
        <w:numPr>
          <w:ilvl w:val="0"/>
          <w:numId w:val="2"/>
        </w:numPr>
        <w:jc w:val="center"/>
        <w:textAlignment w:val="baseline"/>
        <w:rPr>
          <w:rFonts w:ascii="宋体" w:hAnsi="宋体" w:cs="宋体"/>
          <w:color w:val="auto"/>
          <w:highlight w:val="none"/>
        </w:rPr>
      </w:pPr>
      <w:bookmarkStart w:id="31" w:name="_Toc16442"/>
      <w:r>
        <w:rPr>
          <w:rFonts w:hint="eastAsia" w:ascii="宋体" w:hAnsi="宋体" w:cs="宋体"/>
          <w:color w:val="auto"/>
          <w:highlight w:val="none"/>
        </w:rPr>
        <w:t>公开招标需求</w:t>
      </w:r>
      <w:bookmarkEnd w:id="31"/>
    </w:p>
    <w:p>
      <w:pPr>
        <w:pStyle w:val="5"/>
        <w:widowControl/>
        <w:numPr>
          <w:ilvl w:val="0"/>
          <w:numId w:val="15"/>
        </w:numPr>
        <w:spacing w:before="0" w:after="0" w:line="360" w:lineRule="auto"/>
        <w:ind w:left="0" w:firstLine="0"/>
        <w:jc w:val="left"/>
        <w:textAlignment w:val="baseline"/>
        <w:rPr>
          <w:rFonts w:ascii="宋体" w:hAnsi="宋体"/>
          <w:color w:val="auto"/>
          <w:sz w:val="30"/>
          <w:szCs w:val="30"/>
          <w:highlight w:val="none"/>
        </w:rPr>
      </w:pPr>
      <w:bookmarkStart w:id="32" w:name="_Toc110946961"/>
      <w:bookmarkStart w:id="33" w:name="_Toc2449"/>
      <w:r>
        <w:rPr>
          <w:rFonts w:hint="eastAsia" w:ascii="宋体" w:hAnsi="宋体"/>
          <w:color w:val="auto"/>
          <w:sz w:val="30"/>
          <w:szCs w:val="30"/>
          <w:highlight w:val="none"/>
        </w:rPr>
        <w:t>建设背景</w:t>
      </w:r>
      <w:bookmarkEnd w:id="32"/>
      <w:bookmarkEnd w:id="33"/>
    </w:p>
    <w:p>
      <w:pPr>
        <w:spacing w:line="360" w:lineRule="auto"/>
        <w:ind w:firstLine="480" w:firstLineChars="200"/>
        <w:textAlignment w:val="baseline"/>
        <w:rPr>
          <w:rFonts w:ascii="宋体" w:hAnsi="宋体"/>
          <w:color w:val="auto"/>
          <w:sz w:val="24"/>
          <w:szCs w:val="22"/>
          <w:highlight w:val="none"/>
        </w:rPr>
      </w:pPr>
      <w:r>
        <w:rPr>
          <w:rFonts w:ascii="宋体" w:hAnsi="宋体"/>
          <w:color w:val="auto"/>
          <w:sz w:val="24"/>
          <w:highlight w:val="none"/>
        </w:rPr>
        <w:t>2022</w:t>
      </w:r>
      <w:r>
        <w:rPr>
          <w:rFonts w:hint="eastAsia" w:ascii="宋体" w:hAnsi="宋体"/>
          <w:color w:val="auto"/>
          <w:sz w:val="24"/>
          <w:highlight w:val="none"/>
        </w:rPr>
        <w:t>年1月</w:t>
      </w:r>
      <w:r>
        <w:rPr>
          <w:rFonts w:ascii="宋体" w:hAnsi="宋体"/>
          <w:color w:val="auto"/>
          <w:sz w:val="24"/>
          <w:highlight w:val="none"/>
        </w:rPr>
        <w:t>，自然资源部召开视频工作会议，对提升不动产登记数据质量和共享应用能力工作提出了具体要求</w:t>
      </w:r>
      <w:r>
        <w:rPr>
          <w:rFonts w:hint="eastAsia" w:ascii="宋体" w:hAnsi="宋体"/>
          <w:color w:val="auto"/>
          <w:sz w:val="24"/>
          <w:highlight w:val="none"/>
        </w:rPr>
        <w:t>，</w:t>
      </w:r>
      <w:r>
        <w:rPr>
          <w:rFonts w:ascii="宋体" w:hAnsi="宋体"/>
          <w:color w:val="auto"/>
          <w:sz w:val="24"/>
          <w:highlight w:val="none"/>
        </w:rPr>
        <w:t>会议指出提升不动产数据质量、夯实数据基础是破解查询应用存在问题的根本解决方法。</w:t>
      </w:r>
      <w:r>
        <w:rPr>
          <w:rFonts w:hint="eastAsia" w:ascii="宋体" w:hAnsi="宋体"/>
          <w:color w:val="auto"/>
          <w:sz w:val="24"/>
          <w:szCs w:val="22"/>
          <w:highlight w:val="none"/>
        </w:rPr>
        <w:t>2022年3月，浙江省自然资源厅召开全省“不动产智治应用”视频培训会中也明确数据质量提升是保障不动产数据的完整性、准确性和可用性的基础，可满足不动产智治应用数据归集需求。</w:t>
      </w:r>
    </w:p>
    <w:p>
      <w:pPr>
        <w:spacing w:line="360" w:lineRule="auto"/>
        <w:textAlignment w:val="baseline"/>
        <w:rPr>
          <w:rFonts w:ascii="宋体" w:hAnsi="宋体"/>
          <w:color w:val="auto"/>
          <w:sz w:val="24"/>
          <w:highlight w:val="none"/>
        </w:rPr>
      </w:pPr>
      <w:r>
        <w:rPr>
          <w:rFonts w:ascii="宋体" w:hAnsi="宋体"/>
          <w:color w:val="auto"/>
          <w:sz w:val="24"/>
          <w:highlight w:val="none"/>
        </w:rPr>
        <w:t>2022年4月，《自然资源部办公厅关于全面提升不动产登记数据质量的通知》，强调各地要进一步提高对登记数据质量重要性的认识，周密组织部署，切实提升不动产登记数据质量</w:t>
      </w:r>
      <w:r>
        <w:rPr>
          <w:rFonts w:hint="eastAsia" w:ascii="宋体" w:hAnsi="宋体"/>
          <w:color w:val="auto"/>
          <w:sz w:val="24"/>
          <w:highlight w:val="none"/>
        </w:rPr>
        <w:t>，</w:t>
      </w:r>
      <w:r>
        <w:rPr>
          <w:rFonts w:ascii="宋体" w:hAnsi="宋体"/>
          <w:color w:val="auto"/>
          <w:sz w:val="24"/>
          <w:highlight w:val="none"/>
        </w:rPr>
        <w:t>要求于</w:t>
      </w:r>
      <w:r>
        <w:rPr>
          <w:rFonts w:hint="eastAsia" w:ascii="宋体" w:hAnsi="宋体"/>
          <w:color w:val="auto"/>
          <w:sz w:val="24"/>
          <w:highlight w:val="none"/>
        </w:rPr>
        <w:t>2022年11月底前完成存量数据汇交。</w:t>
      </w:r>
      <w:r>
        <w:rPr>
          <w:rFonts w:ascii="宋体" w:hAnsi="宋体"/>
          <w:color w:val="auto"/>
          <w:sz w:val="24"/>
          <w:highlight w:val="none"/>
        </w:rPr>
        <w:t>《通知》对各地存量数据和现势数据中不完整、不准确、不规范的相关情况提出具体整改要求和整改期限，对提升不动产登记数据质量和成果汇交标准提出了具体要求</w:t>
      </w:r>
      <w:r>
        <w:rPr>
          <w:rFonts w:hint="eastAsia" w:ascii="宋体" w:hAnsi="宋体"/>
          <w:color w:val="auto"/>
          <w:sz w:val="24"/>
          <w:highlight w:val="none"/>
        </w:rPr>
        <w:t>。</w:t>
      </w:r>
      <w:r>
        <w:rPr>
          <w:rFonts w:hint="eastAsia" w:ascii="宋体" w:hAnsi="宋体" w:cs="Arial"/>
          <w:bCs/>
          <w:color w:val="auto"/>
          <w:sz w:val="24"/>
          <w:highlight w:val="none"/>
        </w:rPr>
        <w:t>随着机构调整的完成、政府部门间数据协同共享的推进以及不动产登记存量数据成果汇交规范的完善更新，不动产登记数据有了进一步质量提升条件。</w:t>
      </w:r>
      <w:r>
        <w:rPr>
          <w:rFonts w:hint="eastAsia" w:ascii="宋体" w:hAnsi="宋体"/>
          <w:color w:val="auto"/>
          <w:sz w:val="24"/>
          <w:highlight w:val="none"/>
        </w:rPr>
        <w:t>省自然资源厅下发了2022年自然资源确权登记工作要点要求聚焦整体智治，</w:t>
      </w:r>
      <w:r>
        <w:rPr>
          <w:rFonts w:hint="eastAsia" w:ascii="宋体" w:hAnsi="宋体"/>
          <w:color w:val="auto"/>
          <w:sz w:val="24"/>
          <w:highlight w:val="none"/>
        </w:rPr>
        <w:t>全力推进不动产登记数字化改革，持续提升不动产登记服务水平。</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通过开展不动产登记</w:t>
      </w:r>
      <w:r>
        <w:rPr>
          <w:rFonts w:hint="eastAsia" w:ascii="宋体" w:hAnsi="宋体"/>
          <w:color w:val="auto"/>
          <w:sz w:val="24"/>
          <w:highlight w:val="none"/>
          <w:lang w:eastAsia="zh-CN"/>
        </w:rPr>
        <w:t>数据质量提升（含数据汇交及数据治理）</w:t>
      </w:r>
      <w:r>
        <w:rPr>
          <w:rFonts w:hint="eastAsia" w:ascii="宋体" w:hAnsi="宋体"/>
          <w:color w:val="auto"/>
          <w:sz w:val="24"/>
          <w:highlight w:val="none"/>
        </w:rPr>
        <w:t>，夯实不动产登记数据基础，满足不动产登记业务高效运转，进一步提升不动产登记服务水平。</w:t>
      </w:r>
    </w:p>
    <w:p>
      <w:pPr>
        <w:pStyle w:val="5"/>
        <w:widowControl/>
        <w:numPr>
          <w:ilvl w:val="0"/>
          <w:numId w:val="15"/>
        </w:numPr>
        <w:spacing w:before="0" w:after="0" w:line="360" w:lineRule="auto"/>
        <w:ind w:left="0" w:firstLine="0"/>
        <w:jc w:val="left"/>
        <w:textAlignment w:val="baseline"/>
        <w:rPr>
          <w:rFonts w:ascii="宋体" w:hAnsi="宋体"/>
          <w:color w:val="auto"/>
          <w:sz w:val="30"/>
          <w:szCs w:val="30"/>
          <w:highlight w:val="none"/>
        </w:rPr>
      </w:pPr>
      <w:bookmarkStart w:id="34" w:name="_Toc110946962"/>
      <w:bookmarkStart w:id="35" w:name="_Toc8326"/>
      <w:r>
        <w:rPr>
          <w:rFonts w:ascii="宋体" w:hAnsi="宋体"/>
          <w:color w:val="auto"/>
          <w:sz w:val="30"/>
          <w:szCs w:val="30"/>
          <w:highlight w:val="none"/>
        </w:rPr>
        <w:t>建设目标</w:t>
      </w:r>
      <w:bookmarkEnd w:id="34"/>
      <w:bookmarkEnd w:id="35"/>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以正在运营的</w:t>
      </w:r>
      <w:r>
        <w:rPr>
          <w:rFonts w:ascii="宋体" w:hAnsi="宋体"/>
          <w:color w:val="auto"/>
          <w:sz w:val="24"/>
          <w:highlight w:val="none"/>
        </w:rPr>
        <w:t>不动产登记</w:t>
      </w:r>
      <w:r>
        <w:rPr>
          <w:rFonts w:hint="eastAsia" w:ascii="宋体" w:hAnsi="宋体"/>
          <w:color w:val="auto"/>
          <w:sz w:val="24"/>
          <w:highlight w:val="none"/>
        </w:rPr>
        <w:t>信息管理平台中的</w:t>
      </w:r>
      <w:r>
        <w:rPr>
          <w:rFonts w:ascii="宋体" w:hAnsi="宋体"/>
          <w:color w:val="auto"/>
          <w:sz w:val="24"/>
          <w:highlight w:val="none"/>
        </w:rPr>
        <w:t>不动产登记数据</w:t>
      </w:r>
      <w:r>
        <w:rPr>
          <w:rFonts w:hint="eastAsia" w:ascii="宋体" w:hAnsi="宋体"/>
          <w:color w:val="auto"/>
          <w:sz w:val="24"/>
          <w:highlight w:val="none"/>
        </w:rPr>
        <w:t>库为基础</w:t>
      </w:r>
      <w:r>
        <w:rPr>
          <w:rFonts w:ascii="宋体" w:hAnsi="宋体"/>
          <w:color w:val="auto"/>
          <w:sz w:val="24"/>
          <w:highlight w:val="none"/>
        </w:rPr>
        <w:t>，</w:t>
      </w:r>
      <w:r>
        <w:rPr>
          <w:rFonts w:hint="eastAsia" w:ascii="宋体" w:hAnsi="宋体"/>
          <w:color w:val="auto"/>
          <w:sz w:val="24"/>
          <w:highlight w:val="none"/>
        </w:rPr>
        <w:t>在不影响不动产登记系统正常运营的前提下，</w:t>
      </w:r>
      <w:r>
        <w:rPr>
          <w:rFonts w:ascii="宋体" w:hAnsi="宋体"/>
          <w:color w:val="auto"/>
          <w:sz w:val="24"/>
          <w:highlight w:val="none"/>
        </w:rPr>
        <w:t>将已经形成的登记数据按照</w:t>
      </w:r>
      <w:r>
        <w:rPr>
          <w:rFonts w:hint="eastAsia" w:ascii="宋体" w:hAnsi="宋体"/>
          <w:color w:val="auto"/>
          <w:sz w:val="24"/>
          <w:highlight w:val="none"/>
        </w:rPr>
        <w:t>《不动产登记数据库标准》等</w:t>
      </w:r>
      <w:r>
        <w:rPr>
          <w:rFonts w:ascii="宋体" w:hAnsi="宋体"/>
          <w:color w:val="auto"/>
          <w:sz w:val="24"/>
          <w:highlight w:val="none"/>
        </w:rPr>
        <w:t>要求进行数据</w:t>
      </w:r>
      <w:r>
        <w:rPr>
          <w:rFonts w:hint="eastAsia" w:ascii="宋体" w:hAnsi="宋体"/>
          <w:color w:val="auto"/>
          <w:sz w:val="24"/>
          <w:highlight w:val="none"/>
        </w:rPr>
        <w:t>质量提升，</w:t>
      </w:r>
      <w:r>
        <w:rPr>
          <w:color w:val="auto"/>
          <w:sz w:val="24"/>
          <w:highlight w:val="none"/>
        </w:rPr>
        <w:t>按照《</w:t>
      </w:r>
      <w:r>
        <w:rPr>
          <w:rFonts w:hint="eastAsia"/>
          <w:color w:val="auto"/>
          <w:sz w:val="24"/>
          <w:highlight w:val="none"/>
        </w:rPr>
        <w:t>“</w:t>
      </w:r>
      <w:r>
        <w:rPr>
          <w:color w:val="auto"/>
          <w:sz w:val="24"/>
          <w:highlight w:val="none"/>
        </w:rPr>
        <w:t>不动产智治应用</w:t>
      </w:r>
      <w:r>
        <w:rPr>
          <w:rFonts w:hint="eastAsia"/>
          <w:color w:val="auto"/>
          <w:sz w:val="24"/>
          <w:highlight w:val="none"/>
        </w:rPr>
        <w:t>”</w:t>
      </w:r>
      <w:r>
        <w:rPr>
          <w:color w:val="auto"/>
          <w:sz w:val="24"/>
          <w:highlight w:val="none"/>
        </w:rPr>
        <w:t>首期子场景建设成果全省推广方案》的文件通知进行数据治理</w:t>
      </w:r>
      <w:r>
        <w:rPr>
          <w:rFonts w:hint="eastAsia"/>
          <w:color w:val="auto"/>
          <w:sz w:val="24"/>
          <w:highlight w:val="none"/>
        </w:rPr>
        <w:t>。</w:t>
      </w:r>
      <w:r>
        <w:rPr>
          <w:rFonts w:hint="eastAsia" w:ascii="宋体" w:hAnsi="宋体"/>
          <w:color w:val="auto"/>
          <w:sz w:val="24"/>
          <w:highlight w:val="none"/>
        </w:rPr>
        <w:t>对存在的历史遗留问题数据和分户图等进行专项处理，</w:t>
      </w:r>
      <w:r>
        <w:rPr>
          <w:rFonts w:ascii="宋体" w:hAnsi="宋体"/>
          <w:color w:val="auto"/>
          <w:sz w:val="24"/>
          <w:highlight w:val="none"/>
        </w:rPr>
        <w:t>对基础地理信息、宗地数据、自然幢数据、房屋数据</w:t>
      </w:r>
      <w:r>
        <w:rPr>
          <w:rFonts w:hint="eastAsia" w:ascii="宋体" w:hAnsi="宋体"/>
          <w:color w:val="auto"/>
          <w:sz w:val="24"/>
          <w:highlight w:val="none"/>
        </w:rPr>
        <w:t>、</w:t>
      </w:r>
      <w:r>
        <w:rPr>
          <w:rFonts w:ascii="宋体" w:hAnsi="宋体"/>
          <w:color w:val="auto"/>
          <w:sz w:val="24"/>
          <w:highlight w:val="none"/>
        </w:rPr>
        <w:t>权利数据、权利人数据、登记业务等进行数据组织、编码、入库</w:t>
      </w:r>
      <w:r>
        <w:rPr>
          <w:rFonts w:hint="eastAsia" w:ascii="宋体" w:hAnsi="宋体"/>
          <w:color w:val="auto"/>
          <w:sz w:val="24"/>
          <w:highlight w:val="none"/>
        </w:rPr>
        <w:t>，建成</w:t>
      </w:r>
      <w:r>
        <w:rPr>
          <w:rFonts w:ascii="宋体" w:hAnsi="宋体"/>
          <w:color w:val="auto"/>
          <w:sz w:val="24"/>
          <w:highlight w:val="none"/>
        </w:rPr>
        <w:t>支撑不动产登记信息管理平台运行的不动产登记数据库和权籍调查成果数据库</w:t>
      </w:r>
      <w:r>
        <w:rPr>
          <w:rFonts w:hint="eastAsia" w:ascii="宋体" w:hAnsi="宋体"/>
          <w:color w:val="auto"/>
          <w:sz w:val="24"/>
          <w:highlight w:val="none"/>
        </w:rPr>
        <w:t>，</w:t>
      </w:r>
      <w:r>
        <w:rPr>
          <w:rFonts w:ascii="宋体" w:hAnsi="宋体"/>
          <w:color w:val="auto"/>
          <w:sz w:val="24"/>
          <w:highlight w:val="none"/>
        </w:rPr>
        <w:t>为不动产登记业务的</w:t>
      </w:r>
      <w:r>
        <w:rPr>
          <w:rFonts w:hint="eastAsia" w:ascii="宋体" w:hAnsi="宋体"/>
          <w:color w:val="auto"/>
          <w:sz w:val="24"/>
          <w:highlight w:val="none"/>
        </w:rPr>
        <w:t>准确便捷</w:t>
      </w:r>
      <w:r>
        <w:rPr>
          <w:rFonts w:ascii="宋体" w:hAnsi="宋体"/>
          <w:color w:val="auto"/>
          <w:sz w:val="24"/>
          <w:highlight w:val="none"/>
        </w:rPr>
        <w:t>开展</w:t>
      </w:r>
      <w:r>
        <w:rPr>
          <w:rFonts w:hint="eastAsia" w:ascii="宋体" w:hAnsi="宋体"/>
          <w:color w:val="auto"/>
          <w:sz w:val="24"/>
          <w:highlight w:val="none"/>
        </w:rPr>
        <w:t>和不动产登记信息管理平台运行提供数据支撑和数据服务。</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根据台州实际情况，以</w:t>
      </w:r>
      <w:r>
        <w:rPr>
          <w:rFonts w:hint="eastAsia" w:ascii="宋体" w:hAnsi="宋体"/>
          <w:strike w:val="0"/>
          <w:dstrike w:val="0"/>
          <w:color w:val="auto"/>
          <w:sz w:val="24"/>
          <w:highlight w:val="none"/>
        </w:rPr>
        <w:t>标准地址库和IRS公共数据平台</w:t>
      </w:r>
      <w:r>
        <w:rPr>
          <w:rFonts w:hint="eastAsia" w:ascii="宋体" w:hAnsi="宋体"/>
          <w:strike w:val="0"/>
          <w:dstrike w:val="0"/>
          <w:color w:val="auto"/>
          <w:sz w:val="24"/>
          <w:highlight w:val="none"/>
          <w:lang w:eastAsia="zh-CN"/>
        </w:rPr>
        <w:t>等</w:t>
      </w:r>
      <w:r>
        <w:rPr>
          <w:rFonts w:hint="eastAsia" w:ascii="宋体" w:hAnsi="宋体"/>
          <w:color w:val="auto"/>
          <w:sz w:val="24"/>
          <w:highlight w:val="none"/>
        </w:rPr>
        <w:t>数据基础开展不动产智治数据治理，可实现自然资源、公安、住建、税务、法院、银监、电力、水务、教育、民政等多部门协同高效配合，以及多部门的数据相互关联、融合，进一步构建自然资源资产和不动产产权保护、利用、处置、监管及信息集成应用的全要素、全方位、全链条整体智治体系。</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全面解决历史遗留问题数据</w:t>
      </w:r>
      <w:r>
        <w:rPr>
          <w:rFonts w:hint="eastAsia" w:ascii="宋体" w:hAnsi="宋体"/>
          <w:color w:val="auto"/>
          <w:sz w:val="24"/>
          <w:highlight w:val="none"/>
        </w:rPr>
        <w:t>。</w:t>
      </w:r>
      <w:r>
        <w:rPr>
          <w:rFonts w:ascii="宋体" w:hAnsi="宋体"/>
          <w:color w:val="auto"/>
          <w:sz w:val="24"/>
          <w:highlight w:val="none"/>
        </w:rPr>
        <w:t>本着“尊重历史、注重现实、保障群众权益、维护社会稳定”的原则，全面梳理不动产历史遗留问题数据，列出问题数据的详细清单，追踪到不动产单元，依据法律法规，利用查档案、补录等方式，“解决一个，销号一个”，全面有效解决各类历史遗留问题数据</w:t>
      </w:r>
      <w:r>
        <w:rPr>
          <w:rFonts w:hint="eastAsia" w:ascii="宋体" w:hAnsi="宋体"/>
          <w:color w:val="auto"/>
          <w:sz w:val="24"/>
          <w:highlight w:val="none"/>
        </w:rPr>
        <w:t>。</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2）支撑日常登记。数据质量提升的首要目标是支撑日常各类不动产登记业务，保障不动产登记的准确性和合法性，维护不动产登记结果的权威性，提高不动产登记业务办理效率。</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3）推进不动产数据</w:t>
      </w:r>
      <w:r>
        <w:rPr>
          <w:rFonts w:ascii="宋体" w:hAnsi="宋体"/>
          <w:color w:val="auto"/>
          <w:sz w:val="24"/>
          <w:highlight w:val="none"/>
        </w:rPr>
        <w:t>集成应用服务</w:t>
      </w:r>
      <w:r>
        <w:rPr>
          <w:rFonts w:hint="eastAsia" w:ascii="宋体" w:hAnsi="宋体"/>
          <w:color w:val="auto"/>
          <w:sz w:val="24"/>
          <w:highlight w:val="none"/>
        </w:rPr>
        <w:t>。</w:t>
      </w:r>
      <w:r>
        <w:rPr>
          <w:rFonts w:ascii="宋体" w:hAnsi="宋体"/>
          <w:color w:val="auto"/>
          <w:sz w:val="24"/>
          <w:highlight w:val="none"/>
        </w:rPr>
        <w:t>让企业群众办理不动产产权相关事项时更便捷、更安全，为政府治理能力提升提供不动产产权数据支撑</w:t>
      </w:r>
      <w:r>
        <w:rPr>
          <w:rFonts w:hint="eastAsia" w:ascii="宋体" w:hAnsi="宋体"/>
          <w:color w:val="auto"/>
          <w:sz w:val="24"/>
          <w:highlight w:val="none"/>
        </w:rPr>
        <w:t>，更大程度满足登记要求。</w:t>
      </w:r>
    </w:p>
    <w:p>
      <w:pPr>
        <w:spacing w:line="360" w:lineRule="auto"/>
        <w:ind w:firstLine="484" w:firstLineChars="202"/>
        <w:textAlignment w:val="baseline"/>
        <w:rPr>
          <w:rFonts w:ascii="宋体" w:hAnsi="宋体"/>
          <w:color w:val="auto"/>
          <w:sz w:val="24"/>
          <w:highlight w:val="none"/>
        </w:rPr>
      </w:pPr>
      <w:r>
        <w:rPr>
          <w:rFonts w:hint="eastAsia" w:ascii="宋体" w:hAnsi="宋体"/>
          <w:color w:val="auto"/>
          <w:sz w:val="24"/>
          <w:highlight w:val="none"/>
        </w:rPr>
        <w:t>4）满足管理需要。不动产登记数据是反映国民经济及社会发展水平的重要基础，也是自然资源管理的重要内容，数据质量的完整性、正确性直接影响后期查询、统计、分析等各类管理需要。</w:t>
      </w:r>
    </w:p>
    <w:p>
      <w:pPr>
        <w:spacing w:line="360" w:lineRule="auto"/>
        <w:ind w:firstLine="484" w:firstLineChars="202"/>
        <w:textAlignment w:val="baseline"/>
        <w:rPr>
          <w:rFonts w:ascii="宋体" w:hAnsi="宋体"/>
          <w:color w:val="auto"/>
          <w:sz w:val="24"/>
          <w:highlight w:val="none"/>
        </w:rPr>
      </w:pPr>
      <w:bookmarkStart w:id="36" w:name="_Toc103802522"/>
      <w:r>
        <w:rPr>
          <w:rFonts w:hint="eastAsia" w:ascii="宋体" w:hAnsi="宋体"/>
          <w:color w:val="auto"/>
          <w:sz w:val="24"/>
          <w:highlight w:val="none"/>
        </w:rPr>
        <w:t>5）高效展示，辅助决策</w:t>
      </w:r>
      <w:bookmarkEnd w:id="36"/>
      <w:r>
        <w:rPr>
          <w:rFonts w:hint="eastAsia" w:ascii="宋体" w:hAnsi="宋体"/>
          <w:color w:val="auto"/>
          <w:sz w:val="24"/>
          <w:highlight w:val="none"/>
        </w:rPr>
        <w:t>。对不动产相关数据运用科学的模型和方法进行深入分析，挖掘其中蕴含的高价值信息，对于政府针对性地完善政策方案、优化营商环境、引导自然资源行业健康发展。通过开展不动产智治数据治理，给不动产智治系统提供数据支撑，为政府部门之间</w:t>
      </w:r>
      <w:r>
        <w:rPr>
          <w:rFonts w:ascii="宋体" w:hAnsi="宋体"/>
          <w:color w:val="auto"/>
          <w:sz w:val="24"/>
          <w:highlight w:val="none"/>
        </w:rPr>
        <w:t>落实登记信息实时共享，开展查询应用等各项工作夯实基础</w:t>
      </w:r>
      <w:r>
        <w:rPr>
          <w:rFonts w:hint="eastAsia" w:ascii="宋体" w:hAnsi="宋体"/>
          <w:color w:val="auto"/>
          <w:sz w:val="24"/>
          <w:highlight w:val="none"/>
        </w:rPr>
        <w:t>。</w:t>
      </w:r>
    </w:p>
    <w:p>
      <w:pPr>
        <w:pStyle w:val="5"/>
        <w:widowControl/>
        <w:numPr>
          <w:ilvl w:val="0"/>
          <w:numId w:val="15"/>
        </w:numPr>
        <w:spacing w:before="0" w:after="0" w:line="360" w:lineRule="auto"/>
        <w:ind w:left="0" w:firstLine="0"/>
        <w:jc w:val="left"/>
        <w:textAlignment w:val="baseline"/>
        <w:rPr>
          <w:rFonts w:ascii="宋体" w:hAnsi="宋体"/>
          <w:color w:val="auto"/>
          <w:sz w:val="30"/>
          <w:szCs w:val="30"/>
          <w:highlight w:val="none"/>
        </w:rPr>
      </w:pPr>
      <w:bookmarkStart w:id="37" w:name="_Toc14631"/>
      <w:r>
        <w:rPr>
          <w:rFonts w:hint="eastAsia" w:ascii="宋体" w:hAnsi="宋体"/>
          <w:color w:val="auto"/>
          <w:sz w:val="30"/>
          <w:szCs w:val="30"/>
          <w:highlight w:val="none"/>
        </w:rPr>
        <w:t>建设依据</w:t>
      </w:r>
      <w:bookmarkEnd w:id="37"/>
    </w:p>
    <w:p>
      <w:pPr>
        <w:pStyle w:val="6"/>
        <w:widowControl/>
        <w:numPr>
          <w:ilvl w:val="0"/>
          <w:numId w:val="16"/>
        </w:numPr>
        <w:spacing w:before="0" w:after="0" w:line="360" w:lineRule="auto"/>
        <w:ind w:left="0" w:firstLine="0"/>
        <w:jc w:val="left"/>
        <w:textAlignment w:val="baseline"/>
        <w:rPr>
          <w:rFonts w:ascii="宋体" w:hAnsi="宋体"/>
          <w:color w:val="auto"/>
          <w:sz w:val="28"/>
          <w:szCs w:val="28"/>
          <w:highlight w:val="none"/>
        </w:rPr>
      </w:pPr>
      <w:bookmarkStart w:id="38" w:name="_Toc29557"/>
      <w:bookmarkStart w:id="39" w:name="_Toc110946978"/>
      <w:r>
        <w:rPr>
          <w:rFonts w:hint="eastAsia" w:ascii="宋体" w:hAnsi="宋体"/>
          <w:color w:val="auto"/>
          <w:sz w:val="28"/>
          <w:szCs w:val="28"/>
          <w:highlight w:val="none"/>
        </w:rPr>
        <w:t>法规和政策文件</w:t>
      </w:r>
      <w:bookmarkEnd w:id="38"/>
      <w:bookmarkEnd w:id="39"/>
    </w:p>
    <w:p>
      <w:pPr>
        <w:pStyle w:val="175"/>
        <w:spacing w:line="360" w:lineRule="auto"/>
        <w:ind w:firstLine="480" w:firstLineChars="200"/>
        <w:textAlignment w:val="baseline"/>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《土地登记办法》（国土资源部40号令，2008）</w:t>
      </w:r>
    </w:p>
    <w:p>
      <w:pPr>
        <w:pStyle w:val="175"/>
        <w:spacing w:line="360" w:lineRule="auto"/>
        <w:ind w:firstLine="480" w:firstLineChars="200"/>
        <w:textAlignment w:val="baseline"/>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《房屋登记办法》（住建部第168号令，2008）</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（3）《不动产登记暂行条例》（国务院令第656号）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（4）《不动产登记暂行条例实施细则》（国土资源部令第63号）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s="宋体"/>
          <w:color w:val="auto"/>
          <w:sz w:val="24"/>
          <w:highlight w:val="none"/>
        </w:rPr>
        <w:t>）《浙江省自然资源厅办公室关于集中印发2022年全省自然资源调查监测等14个条线工作要点的通知》（浙自然资办函〔2022〕3号）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）《浙江省自然资源厅关于加快推进不动产登记存量数据汇交的通知》（浙自然资厅函〔</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758</w:t>
      </w:r>
      <w:r>
        <w:rPr>
          <w:rFonts w:hint="eastAsia" w:ascii="宋体" w:hAnsi="宋体" w:cs="宋体"/>
          <w:color w:val="auto"/>
          <w:sz w:val="24"/>
          <w:highlight w:val="none"/>
        </w:rPr>
        <w:t>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）《自然资源部办公厅关于全面提升不动产登记数据质量的通知》（自然资办发〔</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）《浙江省自然资源厅转发自然资源部办公厅关于全面提升不动产登记数据质量的通知》（浙自然资函〔</w:t>
      </w:r>
      <w:r>
        <w:rPr>
          <w:rFonts w:ascii="宋体" w:hAnsi="宋体" w:cs="宋体"/>
          <w:color w:val="auto"/>
          <w:sz w:val="24"/>
          <w:highlight w:val="none"/>
        </w:rPr>
        <w:t>2022</w:t>
      </w:r>
      <w:r>
        <w:rPr>
          <w:rFonts w:hint="eastAsia" w:ascii="宋体" w:hAnsi="宋体" w:cs="宋体"/>
          <w:color w:val="auto"/>
          <w:sz w:val="24"/>
          <w:highlight w:val="none"/>
        </w:rPr>
        <w:t>〕30号）</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）浙江省自然资源厅关于印发《“不动产智治应用” 首期子场景建设成果全省推广方案》的通知（浙自然资函〔</w:t>
      </w:r>
      <w:r>
        <w:rPr>
          <w:rFonts w:ascii="宋体" w:hAnsi="宋体" w:cs="宋体"/>
          <w:color w:val="auto"/>
          <w:sz w:val="24"/>
          <w:highlight w:val="none"/>
        </w:rPr>
        <w:t>2022</w:t>
      </w:r>
      <w:r>
        <w:rPr>
          <w:rFonts w:hint="eastAsia" w:ascii="宋体" w:hAnsi="宋体" w:cs="宋体"/>
          <w:color w:val="auto"/>
          <w:sz w:val="24"/>
          <w:highlight w:val="none"/>
        </w:rPr>
        <w:t>〕28号）</w:t>
      </w:r>
    </w:p>
    <w:p>
      <w:pPr>
        <w:snapToGrid w:val="0"/>
        <w:spacing w:line="360" w:lineRule="auto"/>
        <w:ind w:firstLine="480" w:firstLineChars="200"/>
        <w:textAlignment w:val="baseline"/>
        <w:rPr>
          <w:rFonts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0</w:t>
      </w:r>
      <w:r>
        <w:rPr>
          <w:rFonts w:hint="eastAsia" w:ascii="宋体" w:hAnsi="宋体" w:cs="仿宋_GB2312"/>
          <w:color w:val="auto"/>
          <w:sz w:val="24"/>
          <w:highlight w:val="none"/>
        </w:rPr>
        <w:t>）《浙江省自然资源厅关于印发&lt;“不动产智治应用”总体技术方案》&gt;的通知》（浙自然资函〔2022〕31号）</w:t>
      </w:r>
    </w:p>
    <w:p>
      <w:pPr>
        <w:snapToGrid w:val="0"/>
        <w:spacing w:line="360" w:lineRule="auto"/>
        <w:ind w:firstLine="480" w:firstLineChars="200"/>
        <w:textAlignment w:val="baseline"/>
        <w:rPr>
          <w:rFonts w:ascii="宋体" w:hAnsi="宋体" w:cs="仿宋_GB2312"/>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）《浙江省自然资源厅关于印发&lt;“不动产智治应用”建设指南（V1.0）&gt;的通知》</w:t>
      </w:r>
      <w:r>
        <w:rPr>
          <w:rFonts w:hint="eastAsia" w:ascii="宋体" w:hAnsi="宋体" w:cs="仿宋_GB2312"/>
          <w:color w:val="auto"/>
          <w:sz w:val="24"/>
          <w:highlight w:val="none"/>
        </w:rPr>
        <w:t>（浙自然资函〔2022〕122号）</w:t>
      </w:r>
    </w:p>
    <w:p>
      <w:pPr>
        <w:snapToGrid w:val="0"/>
        <w:spacing w:line="360" w:lineRule="auto"/>
        <w:ind w:firstLine="480" w:firstLineChars="200"/>
        <w:textAlignment w:val="baseline"/>
        <w:rPr>
          <w:rFonts w:ascii="宋体" w:hAnsi="宋体"/>
          <w:color w:val="auto"/>
          <w:sz w:val="24"/>
          <w:highlight w:val="none"/>
        </w:rPr>
      </w:pPr>
      <w:r>
        <w:rPr>
          <w:rFonts w:hint="eastAsia" w:ascii="宋体" w:hAnsi="宋体" w:cs="仿宋_GB2312"/>
          <w:color w:val="auto"/>
          <w:sz w:val="24"/>
          <w:highlight w:val="none"/>
        </w:rPr>
        <w:t>（1</w:t>
      </w: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）《台州市门牌标准地址编制规范》的通知（台民〔2022〕52号）</w:t>
      </w:r>
    </w:p>
    <w:p>
      <w:pPr>
        <w:pStyle w:val="6"/>
        <w:widowControl/>
        <w:numPr>
          <w:ilvl w:val="0"/>
          <w:numId w:val="16"/>
        </w:numPr>
        <w:spacing w:before="0" w:after="0" w:line="360" w:lineRule="auto"/>
        <w:ind w:left="0" w:firstLine="0"/>
        <w:jc w:val="left"/>
        <w:textAlignment w:val="baseline"/>
        <w:rPr>
          <w:rFonts w:ascii="宋体" w:hAnsi="宋体"/>
          <w:color w:val="auto"/>
          <w:sz w:val="28"/>
          <w:szCs w:val="28"/>
          <w:highlight w:val="none"/>
        </w:rPr>
      </w:pPr>
      <w:bookmarkStart w:id="40" w:name="_Toc110946979"/>
      <w:bookmarkStart w:id="41" w:name="_Toc8680"/>
      <w:r>
        <w:rPr>
          <w:rFonts w:hint="eastAsia" w:ascii="宋体" w:hAnsi="宋体"/>
          <w:color w:val="auto"/>
          <w:sz w:val="28"/>
          <w:szCs w:val="28"/>
          <w:highlight w:val="none"/>
        </w:rPr>
        <w:t>技术标准</w:t>
      </w:r>
      <w:bookmarkEnd w:id="40"/>
      <w:bookmarkEnd w:id="41"/>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（1）《不动产</w:t>
      </w:r>
      <w:r>
        <w:rPr>
          <w:rFonts w:ascii="宋体" w:hAnsi="宋体" w:cs="宋体"/>
          <w:color w:val="auto"/>
          <w:sz w:val="24"/>
          <w:highlight w:val="none"/>
        </w:rPr>
        <w:t>登记数据库标准》</w:t>
      </w:r>
      <w:r>
        <w:rPr>
          <w:rFonts w:hint="eastAsia" w:ascii="宋体" w:hAnsi="宋体" w:cs="宋体"/>
          <w:color w:val="auto"/>
          <w:sz w:val="24"/>
          <w:highlight w:val="none"/>
        </w:rPr>
        <w:t>（TD／T1066—2021）</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不动产登记数据</w:t>
      </w:r>
      <w:r>
        <w:rPr>
          <w:rFonts w:hint="eastAsia" w:ascii="宋体" w:hAnsi="宋体" w:cs="宋体"/>
          <w:color w:val="auto"/>
          <w:sz w:val="24"/>
          <w:highlight w:val="none"/>
        </w:rPr>
        <w:t>整合</w:t>
      </w:r>
      <w:r>
        <w:rPr>
          <w:rFonts w:ascii="宋体" w:hAnsi="宋体" w:cs="宋体"/>
          <w:color w:val="auto"/>
          <w:sz w:val="24"/>
          <w:highlight w:val="none"/>
        </w:rPr>
        <w:t>建库技术规范》</w:t>
      </w:r>
      <w:r>
        <w:rPr>
          <w:rFonts w:hint="eastAsia" w:ascii="宋体" w:hAnsi="宋体" w:cs="宋体"/>
          <w:color w:val="auto"/>
          <w:sz w:val="24"/>
          <w:highlight w:val="none"/>
        </w:rPr>
        <w:t>（TD／T1067—2021）</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（3）《不动产登记存量数据成果汇交规范（2021年修订版）》</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（4）《不动产登记信息管理基础平台接入技术规范（2021年修订版）》</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（5）《地籍调查规程》（TD／T100l—2012）</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（6）《不动产单元设定与代码编制规则》（GB／T37346—2019）</w:t>
      </w:r>
    </w:p>
    <w:p>
      <w:pPr>
        <w:spacing w:line="360" w:lineRule="auto"/>
        <w:ind w:firstLine="480" w:firstLineChars="200"/>
        <w:textAlignment w:val="baseline"/>
        <w:rPr>
          <w:rFonts w:ascii="宋体" w:hAnsi="宋体"/>
          <w:color w:val="auto"/>
          <w:sz w:val="24"/>
          <w:highlight w:val="none"/>
        </w:rPr>
      </w:pPr>
      <w:r>
        <w:rPr>
          <w:rFonts w:hint="eastAsia" w:ascii="宋体" w:hAnsi="宋体" w:cs="仿宋_GB2312"/>
          <w:color w:val="auto"/>
          <w:sz w:val="24"/>
          <w:highlight w:val="none"/>
        </w:rPr>
        <w:t>（7）《不动产智治专题库数据结构》</w:t>
      </w:r>
    </w:p>
    <w:p>
      <w:pPr>
        <w:pStyle w:val="5"/>
        <w:widowControl/>
        <w:numPr>
          <w:ilvl w:val="0"/>
          <w:numId w:val="15"/>
        </w:numPr>
        <w:spacing w:before="0" w:after="0" w:line="360" w:lineRule="auto"/>
        <w:ind w:left="0" w:firstLine="0"/>
        <w:jc w:val="left"/>
        <w:textAlignment w:val="baseline"/>
        <w:rPr>
          <w:rFonts w:ascii="宋体" w:hAnsi="宋体"/>
          <w:color w:val="auto"/>
          <w:sz w:val="30"/>
          <w:szCs w:val="30"/>
          <w:highlight w:val="none"/>
        </w:rPr>
      </w:pPr>
      <w:bookmarkStart w:id="42" w:name="_Toc110946964"/>
      <w:bookmarkStart w:id="43" w:name="_Toc173"/>
      <w:r>
        <w:rPr>
          <w:rFonts w:hint="eastAsia" w:ascii="宋体" w:hAnsi="宋体"/>
          <w:color w:val="auto"/>
          <w:sz w:val="30"/>
          <w:szCs w:val="30"/>
          <w:highlight w:val="none"/>
        </w:rPr>
        <w:t>建设内容</w:t>
      </w:r>
      <w:bookmarkEnd w:id="42"/>
      <w:bookmarkEnd w:id="43"/>
    </w:p>
    <w:p>
      <w:pPr>
        <w:pStyle w:val="176"/>
        <w:keepNext w:val="0"/>
        <w:keepLines w:val="0"/>
        <w:pageBreakBefore w:val="0"/>
        <w:widowControl w:val="0"/>
        <w:kinsoku/>
        <w:wordWrap/>
        <w:overflowPunct/>
        <w:topLinePunct w:val="0"/>
        <w:autoSpaceDE/>
        <w:autoSpaceDN/>
        <w:bidi w:val="0"/>
        <w:adjustRightInd w:val="0"/>
        <w:snapToGrid/>
        <w:ind w:firstLine="480" w:firstLineChars="200"/>
        <w:textAlignment w:val="baseline"/>
        <w:rPr>
          <w:color w:val="auto"/>
          <w:highlight w:val="none"/>
        </w:rPr>
      </w:pPr>
      <w:r>
        <w:rPr>
          <w:rFonts w:hint="eastAsia" w:ascii="宋体" w:hAnsi="宋体" w:eastAsia="宋体" w:cs="宋体"/>
          <w:color w:val="auto"/>
          <w:kern w:val="0"/>
          <w:sz w:val="24"/>
          <w:szCs w:val="24"/>
          <w:highlight w:val="none"/>
          <w:lang w:val="en-US" w:eastAsia="zh-CN" w:bidi="ar-SA"/>
        </w:rPr>
        <w:t>根据《浙江省自然资源厅关于转发自然资源部自然资源确权登记局关于严格规范登簿行为切实提高登记数据质量的通知》及《浙江省自然资源厅办公室关于进一步提高不动产登记数据质量的通知》。自然资源部确权登记局</w:t>
      </w:r>
      <w:r>
        <w:rPr>
          <w:rFonts w:hint="eastAsia" w:cs="宋体"/>
          <w:color w:val="auto"/>
          <w:kern w:val="0"/>
          <w:sz w:val="24"/>
          <w:szCs w:val="24"/>
          <w:highlight w:val="none"/>
          <w:lang w:val="en-US" w:eastAsia="zh-CN" w:bidi="ar-SA"/>
        </w:rPr>
        <w:t>要求</w:t>
      </w:r>
      <w:r>
        <w:rPr>
          <w:rFonts w:hint="eastAsia" w:ascii="宋体" w:hAnsi="宋体" w:eastAsia="宋体" w:cs="宋体"/>
          <w:color w:val="auto"/>
          <w:kern w:val="0"/>
          <w:sz w:val="24"/>
          <w:szCs w:val="24"/>
          <w:highlight w:val="none"/>
          <w:lang w:val="en-US" w:eastAsia="zh-CN" w:bidi="ar-SA"/>
        </w:rPr>
        <w:t>严格规范登簿行为，切实提高登记数据质量，确保各项必填数据的完整、规范和准确的要求，按照新的不动产登记数据库标准，在已有数据整合工作成果基础上，对房地产权类现势字段的空值进行补录、完善。依据收件资料、通过翻阅档案对现势登记数据进行不动产数据补充录入，完善登记数据库字段内容，实现登记数据库数据的完整性、规范性和准确性。</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44" w:name="_Toc24431"/>
      <w:bookmarkStart w:id="45" w:name="_Toc110946965"/>
      <w:r>
        <w:rPr>
          <w:rFonts w:hint="eastAsia" w:ascii="宋体" w:hAnsi="宋体"/>
          <w:color w:val="auto"/>
          <w:sz w:val="28"/>
          <w:szCs w:val="28"/>
          <w:highlight w:val="none"/>
        </w:rPr>
        <w:t>房地产权类现势关键字段质量提升</w:t>
      </w:r>
      <w:bookmarkEnd w:id="44"/>
    </w:p>
    <w:p>
      <w:pPr>
        <w:pStyle w:val="176"/>
        <w:ind w:firstLine="480" w:firstLineChars="200"/>
        <w:textAlignment w:val="baseline"/>
        <w:rPr>
          <w:color w:val="auto"/>
          <w:highlight w:val="none"/>
        </w:rPr>
      </w:pPr>
      <w:r>
        <w:rPr>
          <w:rFonts w:hint="eastAsia" w:cs="宋体"/>
          <w:color w:val="auto"/>
          <w:kern w:val="0"/>
          <w:highlight w:val="none"/>
        </w:rPr>
        <w:t>针对历史事实情况，无法处理和解决的问题，进行情况说明，利用系统标签，提示说明内容</w:t>
      </w:r>
      <w:r>
        <w:rPr>
          <w:rFonts w:hint="eastAsia"/>
          <w:color w:val="auto"/>
          <w:highlight w:val="none"/>
        </w:rPr>
        <w:t>。</w:t>
      </w:r>
    </w:p>
    <w:p>
      <w:pPr>
        <w:pStyle w:val="176"/>
        <w:ind w:firstLine="480" w:firstLineChars="200"/>
        <w:textAlignment w:val="baseline"/>
        <w:rPr>
          <w:rFonts w:hint="eastAsia"/>
          <w:color w:val="auto"/>
          <w:highlight w:val="none"/>
        </w:rPr>
      </w:pPr>
      <w:r>
        <w:rPr>
          <w:rFonts w:hint="eastAsia"/>
          <w:color w:val="auto"/>
          <w:highlight w:val="none"/>
        </w:rPr>
        <w:t>本次针对房地产权类现势数据进行分析、处理的关键字段有权利类型、交易价格、不动产权证号、登记时间、权属状态等</w:t>
      </w:r>
      <w:r>
        <w:rPr>
          <w:rFonts w:hint="eastAsia"/>
          <w:color w:val="auto"/>
          <w:highlight w:val="none"/>
          <w:lang w:eastAsia="zh-CN"/>
        </w:rPr>
        <w:t>。</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46" w:name="_Toc26024"/>
      <w:r>
        <w:rPr>
          <w:rFonts w:hint="eastAsia" w:ascii="宋体" w:hAnsi="宋体"/>
          <w:color w:val="auto"/>
          <w:sz w:val="28"/>
          <w:szCs w:val="28"/>
          <w:highlight w:val="none"/>
        </w:rPr>
        <w:t>抵押权类现势关键字段质量提升</w:t>
      </w:r>
      <w:bookmarkEnd w:id="46"/>
    </w:p>
    <w:p>
      <w:pPr>
        <w:pStyle w:val="176"/>
        <w:ind w:firstLine="480" w:firstLineChars="200"/>
        <w:textAlignment w:val="baseline"/>
        <w:rPr>
          <w:color w:val="auto"/>
          <w:highlight w:val="none"/>
        </w:rPr>
      </w:pPr>
      <w:r>
        <w:rPr>
          <w:rFonts w:hint="eastAsia" w:cs="宋体"/>
          <w:color w:val="auto"/>
          <w:kern w:val="0"/>
          <w:highlight w:val="none"/>
        </w:rPr>
        <w:t>针对历史事实情况，无法处理和解决的问题，进行情况说明，利用系统标签，提示说明内容</w:t>
      </w:r>
      <w:r>
        <w:rPr>
          <w:rFonts w:hint="eastAsia"/>
          <w:color w:val="auto"/>
          <w:highlight w:val="none"/>
        </w:rPr>
        <w:t>。</w:t>
      </w:r>
    </w:p>
    <w:p>
      <w:pPr>
        <w:pStyle w:val="176"/>
        <w:ind w:firstLine="480" w:firstLineChars="200"/>
        <w:textAlignment w:val="baseline"/>
        <w:rPr>
          <w:color w:val="auto"/>
          <w:highlight w:val="none"/>
        </w:rPr>
      </w:pPr>
      <w:r>
        <w:rPr>
          <w:rFonts w:hint="eastAsia"/>
          <w:color w:val="auto"/>
          <w:highlight w:val="none"/>
        </w:rPr>
        <w:t>本次针对抵押权类现势数据进行分析、处理的关键字段有抵押权人、抵押面积、抵押金额类型、被担保主债权人民币价值、债务履行起始日期、债务履行结束日期等。</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47" w:name="_Toc28791"/>
      <w:r>
        <w:rPr>
          <w:rFonts w:hint="eastAsia" w:ascii="宋体" w:hAnsi="宋体"/>
          <w:color w:val="auto"/>
          <w:sz w:val="28"/>
          <w:szCs w:val="28"/>
          <w:highlight w:val="none"/>
        </w:rPr>
        <w:t>权利人类现势关键字段质量提升</w:t>
      </w:r>
      <w:bookmarkEnd w:id="47"/>
    </w:p>
    <w:p>
      <w:pPr>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不动产登记数据库标准及数据汇交质检要求，对房地现势权利人证件种类和证件号为空或影响登记业务办理的，通过批量匹配转换和档案核查两种方式,对相关证件进行补充完善，如有必要进行外业调查进一步补充。工作包括：</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权利人为空的补充完善</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证件种类为空的补充调查</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15位身份证号码转18位身份证号码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9位身份证号码匹配转18位身份证号码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身份证号码错误或为空的补充调查</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Ø  统一社会信用代码错误错误或为空的补充调查</w:t>
      </w:r>
    </w:p>
    <w:p>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本次针对权利人类现势数据进行分析、处理的关键字段类型有15位身份证号码转换、9位身份证号码转换、身份证号码错误与缺失、统一社会信用代码错误与缺失等。</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48" w:name="_Toc10442"/>
      <w:r>
        <w:rPr>
          <w:rFonts w:hint="eastAsia" w:ascii="宋体" w:hAnsi="宋体"/>
          <w:color w:val="auto"/>
          <w:sz w:val="28"/>
          <w:szCs w:val="28"/>
          <w:highlight w:val="none"/>
        </w:rPr>
        <w:t>查封类现势关键字段质量提升</w:t>
      </w:r>
      <w:bookmarkEnd w:id="48"/>
    </w:p>
    <w:p>
      <w:pPr>
        <w:pStyle w:val="176"/>
        <w:ind w:firstLine="480" w:firstLineChars="200"/>
        <w:textAlignment w:val="baseline"/>
        <w:rPr>
          <w:color w:val="auto"/>
          <w:highlight w:val="none"/>
        </w:rPr>
      </w:pPr>
      <w:r>
        <w:rPr>
          <w:rFonts w:hint="eastAsia" w:cs="宋体"/>
          <w:color w:val="auto"/>
          <w:highlight w:val="none"/>
        </w:rPr>
        <w:t>按照新的不动产登记数据库标准，在已有数据整合工作成果基础上，</w:t>
      </w:r>
      <w:r>
        <w:rPr>
          <w:rFonts w:hint="eastAsia"/>
          <w:color w:val="auto"/>
          <w:highlight w:val="none"/>
        </w:rPr>
        <w:t>对</w:t>
      </w:r>
      <w:r>
        <w:rPr>
          <w:rFonts w:hint="eastAsia"/>
          <w:color w:val="auto"/>
          <w:highlight w:val="none"/>
          <w:lang w:eastAsia="zh-CN"/>
        </w:rPr>
        <w:t>查封</w:t>
      </w:r>
      <w:r>
        <w:rPr>
          <w:rFonts w:hint="eastAsia"/>
          <w:color w:val="auto"/>
          <w:highlight w:val="none"/>
        </w:rPr>
        <w:t>类</w:t>
      </w:r>
      <w:r>
        <w:rPr>
          <w:color w:val="auto"/>
          <w:highlight w:val="none"/>
        </w:rPr>
        <w:t>现势字段的空值进行补录</w:t>
      </w:r>
      <w:r>
        <w:rPr>
          <w:rFonts w:hint="eastAsia"/>
          <w:color w:val="auto"/>
          <w:highlight w:val="none"/>
        </w:rPr>
        <w:t>、</w:t>
      </w:r>
      <w:r>
        <w:rPr>
          <w:color w:val="auto"/>
          <w:highlight w:val="none"/>
        </w:rPr>
        <w:t>完善。依据收件资料、通过翻阅档案对现势登记数据进行不动产数据补充录入，完善登记数据库字段内容，实现登记数据库数据的完整性、规范性和准确性</w:t>
      </w:r>
      <w:r>
        <w:rPr>
          <w:rFonts w:hint="eastAsia"/>
          <w:color w:val="auto"/>
          <w:highlight w:val="none"/>
        </w:rPr>
        <w:t>。</w:t>
      </w:r>
    </w:p>
    <w:p>
      <w:pPr>
        <w:pStyle w:val="176"/>
        <w:ind w:firstLine="480" w:firstLineChars="200"/>
        <w:textAlignment w:val="baseline"/>
        <w:rPr>
          <w:color w:val="auto"/>
          <w:highlight w:val="none"/>
        </w:rPr>
      </w:pPr>
      <w:r>
        <w:rPr>
          <w:rFonts w:hint="eastAsia" w:cs="宋体"/>
          <w:color w:val="auto"/>
          <w:kern w:val="0"/>
          <w:highlight w:val="none"/>
        </w:rPr>
        <w:t>针对历史事实情况，无法处理和解决的问题，进行情况说明，利用系统标签，提示说明内容</w:t>
      </w:r>
      <w:r>
        <w:rPr>
          <w:rFonts w:hint="eastAsia"/>
          <w:color w:val="auto"/>
          <w:highlight w:val="none"/>
        </w:rPr>
        <w:t>。</w:t>
      </w:r>
    </w:p>
    <w:p>
      <w:pPr>
        <w:spacing w:line="360" w:lineRule="auto"/>
        <w:ind w:firstLine="480" w:firstLineChars="200"/>
        <w:textAlignment w:val="baseline"/>
        <w:rPr>
          <w:rFonts w:hint="eastAsia" w:ascii="宋体" w:hAnsi="宋体" w:eastAsia="宋体"/>
          <w:color w:val="auto"/>
          <w:sz w:val="24"/>
          <w:highlight w:val="none"/>
          <w:lang w:eastAsia="zh-CN"/>
        </w:rPr>
      </w:pPr>
      <w:r>
        <w:rPr>
          <w:rFonts w:hint="eastAsia" w:ascii="宋体" w:hAnsi="宋体"/>
          <w:color w:val="auto"/>
          <w:sz w:val="24"/>
          <w:highlight w:val="none"/>
        </w:rPr>
        <w:t>本次针对查封类现势数据进行分析、处理的关键字段有</w:t>
      </w:r>
      <w:r>
        <w:rPr>
          <w:rFonts w:ascii="宋体" w:hAnsi="宋体"/>
          <w:color w:val="auto"/>
          <w:sz w:val="24"/>
          <w:highlight w:val="none"/>
        </w:rPr>
        <w:t>查封机关</w:t>
      </w:r>
      <w:r>
        <w:rPr>
          <w:rFonts w:hint="eastAsia" w:ascii="宋体" w:hAnsi="宋体"/>
          <w:color w:val="auto"/>
          <w:sz w:val="24"/>
          <w:highlight w:val="none"/>
        </w:rPr>
        <w:t>、</w:t>
      </w:r>
      <w:r>
        <w:rPr>
          <w:rFonts w:ascii="宋体" w:hAnsi="宋体"/>
          <w:color w:val="auto"/>
          <w:sz w:val="24"/>
          <w:highlight w:val="none"/>
        </w:rPr>
        <w:t>查封类型</w:t>
      </w:r>
      <w:r>
        <w:rPr>
          <w:rFonts w:hint="eastAsia" w:ascii="宋体" w:hAnsi="宋体"/>
          <w:color w:val="auto"/>
          <w:sz w:val="24"/>
          <w:highlight w:val="none"/>
        </w:rPr>
        <w:t>等</w:t>
      </w:r>
      <w:r>
        <w:rPr>
          <w:rFonts w:hint="eastAsia" w:ascii="宋体" w:hAnsi="宋体"/>
          <w:color w:val="auto"/>
          <w:sz w:val="24"/>
          <w:highlight w:val="none"/>
          <w:lang w:eastAsia="zh-CN"/>
        </w:rPr>
        <w:t>。</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49" w:name="_Toc8704"/>
      <w:r>
        <w:rPr>
          <w:rFonts w:hint="eastAsia" w:ascii="宋体" w:hAnsi="宋体"/>
          <w:color w:val="auto"/>
          <w:sz w:val="28"/>
          <w:szCs w:val="28"/>
          <w:highlight w:val="none"/>
          <w:lang w:eastAsia="zh-CN"/>
        </w:rPr>
        <w:t>全面清理完善</w:t>
      </w:r>
      <w:r>
        <w:rPr>
          <w:rFonts w:hint="eastAsia" w:ascii="宋体" w:hAnsi="宋体"/>
          <w:color w:val="auto"/>
          <w:sz w:val="28"/>
          <w:szCs w:val="28"/>
          <w:highlight w:val="none"/>
        </w:rPr>
        <w:t>不动产单元</w:t>
      </w:r>
      <w:r>
        <w:rPr>
          <w:rFonts w:hint="eastAsia" w:ascii="宋体" w:hAnsi="宋体"/>
          <w:color w:val="auto"/>
          <w:sz w:val="28"/>
          <w:szCs w:val="28"/>
          <w:highlight w:val="none"/>
          <w:lang w:eastAsia="zh-CN"/>
        </w:rPr>
        <w:t>表</w:t>
      </w:r>
      <w:r>
        <w:rPr>
          <w:rFonts w:hint="eastAsia" w:ascii="宋体" w:hAnsi="宋体"/>
          <w:color w:val="auto"/>
          <w:sz w:val="28"/>
          <w:szCs w:val="28"/>
          <w:highlight w:val="none"/>
        </w:rPr>
        <w:t>信息</w:t>
      </w:r>
      <w:bookmarkEnd w:id="49"/>
    </w:p>
    <w:p>
      <w:pPr>
        <w:pStyle w:val="176"/>
        <w:ind w:firstLine="480" w:firstLineChars="200"/>
        <w:textAlignment w:val="baseline"/>
        <w:rPr>
          <w:rFonts w:cs="宋体"/>
          <w:color w:val="auto"/>
          <w:kern w:val="0"/>
          <w:highlight w:val="none"/>
        </w:rPr>
      </w:pPr>
      <w:r>
        <w:rPr>
          <w:rFonts w:hint="eastAsia"/>
          <w:color w:val="auto"/>
          <w:highlight w:val="none"/>
        </w:rPr>
        <w:t>对权调数据库里现势不动产单元信息为空字段进行补充完善，</w:t>
      </w:r>
      <w:r>
        <w:rPr>
          <w:rFonts w:hint="eastAsia"/>
          <w:color w:val="auto"/>
          <w:highlight w:val="none"/>
          <w:lang w:eastAsia="zh-CN"/>
        </w:rPr>
        <w:t>清理冗余数据，</w:t>
      </w:r>
      <w:r>
        <w:rPr>
          <w:rFonts w:hint="eastAsia"/>
          <w:color w:val="auto"/>
          <w:highlight w:val="none"/>
        </w:rPr>
        <w:t>包含不动产单元号编码、宗地属性、户属性，</w:t>
      </w:r>
      <w:r>
        <w:rPr>
          <w:rFonts w:hint="eastAsia" w:cs="宋体"/>
          <w:color w:val="auto"/>
          <w:kern w:val="0"/>
          <w:highlight w:val="none"/>
          <w:lang w:eastAsia="zh-CN"/>
        </w:rPr>
        <w:t>全面梳理并</w:t>
      </w:r>
      <w:r>
        <w:rPr>
          <w:rFonts w:hint="eastAsia" w:cs="宋体"/>
          <w:color w:val="auto"/>
          <w:kern w:val="0"/>
          <w:highlight w:val="none"/>
        </w:rPr>
        <w:t>建立</w:t>
      </w:r>
      <w:r>
        <w:rPr>
          <w:rFonts w:hint="eastAsia" w:cs="宋体"/>
          <w:color w:val="auto"/>
          <w:kern w:val="0"/>
          <w:highlight w:val="none"/>
          <w:lang w:eastAsia="zh-CN"/>
        </w:rPr>
        <w:t>完善</w:t>
      </w:r>
      <w:r>
        <w:rPr>
          <w:rFonts w:hint="eastAsia" w:cs="宋体"/>
          <w:color w:val="auto"/>
          <w:kern w:val="0"/>
          <w:highlight w:val="none"/>
        </w:rPr>
        <w:t>不动产单元表，为后期不动产智治与外部门数据关联关系建立提供基础。</w:t>
      </w:r>
    </w:p>
    <w:p>
      <w:pPr>
        <w:spacing w:line="360" w:lineRule="auto"/>
        <w:ind w:firstLine="480" w:firstLineChars="200"/>
        <w:textAlignment w:val="baseline"/>
        <w:rPr>
          <w:rFonts w:hint="eastAsia" w:ascii="宋体" w:hAnsi="宋体" w:eastAsia="宋体"/>
          <w:color w:val="auto"/>
          <w:sz w:val="24"/>
          <w:highlight w:val="none"/>
          <w:lang w:eastAsia="zh-CN"/>
        </w:rPr>
      </w:pPr>
      <w:r>
        <w:rPr>
          <w:rFonts w:hint="eastAsia" w:ascii="宋体" w:hAnsi="宋体"/>
          <w:color w:val="auto"/>
          <w:sz w:val="24"/>
          <w:highlight w:val="none"/>
        </w:rPr>
        <w:t>本次针对</w:t>
      </w:r>
      <w:r>
        <w:rPr>
          <w:rFonts w:hint="eastAsia"/>
          <w:color w:val="auto"/>
          <w:sz w:val="24"/>
          <w:highlight w:val="none"/>
        </w:rPr>
        <w:t>不动产单元</w:t>
      </w:r>
      <w:r>
        <w:rPr>
          <w:rFonts w:hint="eastAsia" w:ascii="宋体" w:hAnsi="宋体"/>
          <w:color w:val="auto"/>
          <w:sz w:val="24"/>
          <w:highlight w:val="none"/>
        </w:rPr>
        <w:t>表</w:t>
      </w:r>
      <w:r>
        <w:rPr>
          <w:rFonts w:hint="eastAsia"/>
          <w:color w:val="auto"/>
          <w:sz w:val="24"/>
          <w:highlight w:val="none"/>
        </w:rPr>
        <w:t>信息</w:t>
      </w:r>
      <w:r>
        <w:rPr>
          <w:rFonts w:hint="eastAsia" w:ascii="宋体" w:hAnsi="宋体"/>
          <w:color w:val="auto"/>
          <w:sz w:val="24"/>
          <w:highlight w:val="none"/>
        </w:rPr>
        <w:t>数据进行分析，处理的关键字段包含</w:t>
      </w:r>
      <w:r>
        <w:rPr>
          <w:rFonts w:hint="eastAsia" w:ascii="宋体" w:hAnsi="宋体"/>
          <w:color w:val="auto"/>
          <w:sz w:val="24"/>
          <w:highlight w:val="none"/>
          <w:lang w:eastAsia="zh-CN"/>
        </w:rPr>
        <w:t>并不限于</w:t>
      </w:r>
      <w:r>
        <w:rPr>
          <w:rFonts w:hint="eastAsia" w:ascii="宋体" w:hAnsi="宋体"/>
          <w:color w:val="auto"/>
          <w:sz w:val="24"/>
          <w:highlight w:val="none"/>
        </w:rPr>
        <w:t>坐落、</w:t>
      </w:r>
      <w:r>
        <w:rPr>
          <w:rFonts w:ascii="宋体" w:hAnsi="宋体"/>
          <w:color w:val="auto"/>
          <w:sz w:val="24"/>
          <w:highlight w:val="none"/>
        </w:rPr>
        <w:t>不动产单元号</w:t>
      </w:r>
      <w:r>
        <w:rPr>
          <w:rFonts w:hint="eastAsia" w:ascii="宋体" w:hAnsi="宋体"/>
          <w:color w:val="auto"/>
          <w:sz w:val="24"/>
          <w:highlight w:val="none"/>
        </w:rPr>
        <w:t>、</w:t>
      </w:r>
      <w:r>
        <w:rPr>
          <w:rFonts w:ascii="宋体" w:hAnsi="宋体"/>
          <w:color w:val="auto"/>
          <w:sz w:val="24"/>
          <w:highlight w:val="none"/>
        </w:rPr>
        <w:t>建筑面积</w:t>
      </w:r>
      <w:r>
        <w:rPr>
          <w:rFonts w:hint="eastAsia" w:ascii="宋体" w:hAnsi="宋体"/>
          <w:color w:val="auto"/>
          <w:sz w:val="24"/>
          <w:highlight w:val="none"/>
        </w:rPr>
        <w:t>、</w:t>
      </w:r>
      <w:r>
        <w:rPr>
          <w:rFonts w:ascii="宋体" w:hAnsi="宋体"/>
          <w:color w:val="auto"/>
          <w:sz w:val="24"/>
          <w:highlight w:val="none"/>
        </w:rPr>
        <w:t>房屋性质</w:t>
      </w:r>
      <w:r>
        <w:rPr>
          <w:rFonts w:hint="eastAsia" w:ascii="宋体" w:hAnsi="宋体"/>
          <w:color w:val="auto"/>
          <w:sz w:val="24"/>
          <w:highlight w:val="none"/>
        </w:rPr>
        <w:t>、</w:t>
      </w:r>
      <w:r>
        <w:rPr>
          <w:rFonts w:ascii="宋体" w:hAnsi="宋体"/>
          <w:color w:val="auto"/>
          <w:sz w:val="24"/>
          <w:highlight w:val="none"/>
        </w:rPr>
        <w:t>土地用途</w:t>
      </w:r>
      <w:r>
        <w:rPr>
          <w:rFonts w:hint="eastAsia" w:ascii="宋体" w:hAnsi="宋体"/>
          <w:color w:val="auto"/>
          <w:sz w:val="24"/>
          <w:highlight w:val="none"/>
        </w:rPr>
        <w:t>、权利类型、权利性质等</w:t>
      </w:r>
      <w:r>
        <w:rPr>
          <w:rFonts w:hint="eastAsia" w:ascii="宋体" w:hAnsi="宋体"/>
          <w:color w:val="auto"/>
          <w:sz w:val="24"/>
          <w:highlight w:val="none"/>
          <w:lang w:eastAsia="zh-CN"/>
        </w:rPr>
        <w:t>。</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50" w:name="_Toc2689"/>
      <w:r>
        <w:rPr>
          <w:rFonts w:hint="eastAsia" w:ascii="宋体" w:hAnsi="宋体"/>
          <w:color w:val="auto"/>
          <w:sz w:val="28"/>
          <w:szCs w:val="28"/>
          <w:highlight w:val="none"/>
        </w:rPr>
        <w:t>逻辑关系完善</w:t>
      </w:r>
      <w:bookmarkEnd w:id="45"/>
      <w:bookmarkEnd w:id="50"/>
    </w:p>
    <w:p>
      <w:pPr>
        <w:spacing w:line="360" w:lineRule="auto"/>
        <w:ind w:firstLine="480" w:firstLineChars="200"/>
        <w:textAlignment w:val="baseline"/>
        <w:rPr>
          <w:rFonts w:ascii="宋体" w:hAnsi="宋体" w:cs="宋体"/>
          <w:color w:val="auto"/>
          <w:sz w:val="24"/>
          <w:highlight w:val="none"/>
        </w:rPr>
      </w:pPr>
      <w:r>
        <w:rPr>
          <w:rFonts w:hint="eastAsia" w:ascii="宋体" w:hAnsi="宋体"/>
          <w:color w:val="auto"/>
          <w:sz w:val="24"/>
          <w:highlight w:val="none"/>
        </w:rPr>
        <w:t>当前不动产登记数据库中，存在部分户还未与宗地关联，户的不动产单元号前19位与宗地的宗地代码不一致，现势产权户登记与权调的不动产单元号不一致，同一登记簿存在多手现势产权等情况。结合自然资源部要求检查的的逻辑关联问题，对上述数据进行核实、处理，对逻辑关系冲突数据处理，按照“完整、一致、规范”的原则，分析逻辑关系失败的原因，判断</w:t>
      </w:r>
      <w:r>
        <w:rPr>
          <w:rFonts w:hint="eastAsia" w:ascii="宋体" w:hAnsi="宋体" w:cs="宋体"/>
          <w:color w:val="auto"/>
          <w:sz w:val="24"/>
          <w:highlight w:val="none"/>
        </w:rPr>
        <w:t>数据问题，对重复数据、冗余数据予以确认注销，对于关联关系错误的数据通过正确的地-幢-户关联进行修正完善。</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针对历史事实情况，无法处理和解决的问题，进行情况说明，利用系统</w:t>
      </w:r>
      <w:r>
        <w:rPr>
          <w:rFonts w:hint="eastAsia" w:cs="宋体"/>
          <w:color w:val="auto"/>
          <w:sz w:val="24"/>
          <w:highlight w:val="none"/>
        </w:rPr>
        <w:t>标签</w:t>
      </w:r>
      <w:r>
        <w:rPr>
          <w:rFonts w:hint="eastAsia" w:ascii="宋体" w:hAnsi="宋体" w:cs="宋体"/>
          <w:color w:val="auto"/>
          <w:sz w:val="24"/>
          <w:highlight w:val="none"/>
        </w:rPr>
        <w:t>，提示说明内容。</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本次针对</w:t>
      </w:r>
      <w:r>
        <w:rPr>
          <w:rFonts w:hint="eastAsia"/>
          <w:color w:val="auto"/>
          <w:sz w:val="24"/>
          <w:highlight w:val="none"/>
        </w:rPr>
        <w:t>逻辑关系完善进行分析、处理的问题类型</w:t>
      </w:r>
      <w:r>
        <w:rPr>
          <w:rFonts w:hint="eastAsia" w:ascii="宋体" w:hAnsi="宋体"/>
          <w:color w:val="auto"/>
          <w:sz w:val="24"/>
          <w:highlight w:val="none"/>
        </w:rPr>
        <w:t>包含户未落地、户不动产单元号前19位与宗地代码不一致、现势产权登记户的不动产单元号与权调不一致、同一登记簿存在多手现势产权等</w:t>
      </w:r>
      <w:r>
        <w:rPr>
          <w:rFonts w:hint="eastAsia" w:ascii="宋体" w:hAnsi="宋体"/>
          <w:color w:val="auto"/>
          <w:sz w:val="24"/>
          <w:highlight w:val="none"/>
          <w:lang w:eastAsia="zh-CN"/>
        </w:rPr>
        <w:t>。</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51" w:name="_Toc110946970"/>
      <w:bookmarkStart w:id="52" w:name="_Toc25731"/>
      <w:r>
        <w:rPr>
          <w:rFonts w:hint="eastAsia" w:ascii="宋体" w:hAnsi="宋体"/>
          <w:color w:val="auto"/>
          <w:sz w:val="28"/>
          <w:szCs w:val="28"/>
          <w:highlight w:val="none"/>
          <w:lang w:eastAsia="zh-CN"/>
        </w:rPr>
        <w:t>图形</w:t>
      </w:r>
      <w:r>
        <w:rPr>
          <w:rFonts w:hint="eastAsia" w:ascii="宋体" w:hAnsi="宋体"/>
          <w:color w:val="auto"/>
          <w:sz w:val="28"/>
          <w:szCs w:val="28"/>
          <w:highlight w:val="none"/>
        </w:rPr>
        <w:t>质量提升</w:t>
      </w:r>
      <w:bookmarkEnd w:id="51"/>
      <w:bookmarkEnd w:id="52"/>
    </w:p>
    <w:p>
      <w:pPr>
        <w:spacing w:line="360" w:lineRule="auto"/>
        <w:ind w:firstLine="480" w:firstLineChars="200"/>
        <w:textAlignment w:val="baseline"/>
        <w:rPr>
          <w:rFonts w:ascii="宋体" w:hAnsi="宋体"/>
          <w:color w:val="auto"/>
          <w:sz w:val="24"/>
          <w:highlight w:val="none"/>
        </w:rPr>
      </w:pPr>
      <w:r>
        <w:rPr>
          <w:rFonts w:hint="eastAsia" w:ascii="宋体" w:hAnsi="宋体" w:cs="宋体"/>
          <w:color w:val="auto"/>
          <w:sz w:val="24"/>
          <w:highlight w:val="none"/>
        </w:rPr>
        <w:t>按照数字化改革的工作要求，</w:t>
      </w:r>
      <w:r>
        <w:rPr>
          <w:rFonts w:hint="eastAsia" w:ascii="宋体" w:hAnsi="宋体"/>
          <w:color w:val="auto"/>
          <w:sz w:val="24"/>
          <w:highlight w:val="none"/>
        </w:rPr>
        <w:t>为做好不动产登记工作，实现一证一码和自助打印证书的管理需要，</w:t>
      </w:r>
      <w:r>
        <w:rPr>
          <w:rFonts w:hint="eastAsia" w:ascii="宋体" w:hAnsi="宋体"/>
          <w:color w:val="auto"/>
          <w:sz w:val="24"/>
          <w:highlight w:val="none"/>
          <w:lang w:eastAsia="zh-CN"/>
        </w:rPr>
        <w:t>其中</w:t>
      </w:r>
      <w:r>
        <w:rPr>
          <w:rFonts w:hint="eastAsia" w:ascii="宋体" w:hAnsi="宋体"/>
          <w:color w:val="auto"/>
          <w:sz w:val="24"/>
          <w:highlight w:val="none"/>
        </w:rPr>
        <w:t>对目前</w:t>
      </w:r>
      <w:r>
        <w:rPr>
          <w:rFonts w:hint="eastAsia" w:ascii="宋体" w:hAnsi="宋体"/>
          <w:color w:val="auto"/>
          <w:sz w:val="24"/>
          <w:highlight w:val="none"/>
          <w:lang w:eastAsia="zh-CN"/>
        </w:rPr>
        <w:t>掌握的各类</w:t>
      </w:r>
      <w:r>
        <w:rPr>
          <w:rFonts w:hint="eastAsia" w:ascii="宋体" w:hAnsi="宋体"/>
          <w:color w:val="auto"/>
          <w:sz w:val="24"/>
          <w:highlight w:val="none"/>
        </w:rPr>
        <w:t>格式的</w:t>
      </w:r>
      <w:r>
        <w:rPr>
          <w:rFonts w:hint="eastAsia" w:ascii="宋体" w:hAnsi="宋体"/>
          <w:color w:val="auto"/>
          <w:sz w:val="24"/>
          <w:highlight w:val="none"/>
          <w:lang w:eastAsia="zh-CN"/>
        </w:rPr>
        <w:t>宗地图及</w:t>
      </w:r>
      <w:r>
        <w:rPr>
          <w:rFonts w:hint="eastAsia" w:ascii="宋体" w:hAnsi="宋体"/>
          <w:color w:val="auto"/>
          <w:sz w:val="24"/>
          <w:highlight w:val="none"/>
        </w:rPr>
        <w:t>分</w:t>
      </w:r>
      <w:r>
        <w:rPr>
          <w:rFonts w:hint="eastAsia" w:ascii="宋体" w:hAnsi="宋体"/>
          <w:color w:val="auto"/>
          <w:sz w:val="24"/>
          <w:highlight w:val="none"/>
          <w:lang w:eastAsia="zh-CN"/>
        </w:rPr>
        <w:t>层分</w:t>
      </w:r>
      <w:r>
        <w:rPr>
          <w:rFonts w:hint="eastAsia" w:ascii="宋体" w:hAnsi="宋体"/>
          <w:color w:val="auto"/>
          <w:sz w:val="24"/>
          <w:highlight w:val="none"/>
        </w:rPr>
        <w:t>户图，通过数据格式转换，按照部、省级要求，转换为标准的JPG或者PDF格式，并通过不动产单元号与户属性进行挂接，</w:t>
      </w:r>
      <w:r>
        <w:rPr>
          <w:rFonts w:hint="eastAsia" w:ascii="宋体" w:hAnsi="宋体" w:cs="宋体"/>
          <w:color w:val="auto"/>
          <w:sz w:val="24"/>
          <w:highlight w:val="none"/>
        </w:rPr>
        <w:t>用于支持权利人通过服务端进行在线查看。</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53" w:name="_Toc11292"/>
      <w:bookmarkStart w:id="54" w:name="_Toc110946975"/>
      <w:r>
        <w:rPr>
          <w:rFonts w:hint="eastAsia" w:ascii="宋体" w:hAnsi="宋体"/>
          <w:color w:val="auto"/>
          <w:sz w:val="28"/>
          <w:szCs w:val="28"/>
          <w:highlight w:val="none"/>
        </w:rPr>
        <w:t>数据入库</w:t>
      </w:r>
      <w:bookmarkEnd w:id="53"/>
      <w:bookmarkEnd w:id="54"/>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对所有完成的工作，整理成标准的入库格式，对数据的逻辑关系进行检查，并与数据库已有数据进行比对，在确定符合入库标准的情况下，进行更新入库。</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55" w:name="_Toc25576"/>
      <w:bookmarkStart w:id="56" w:name="_Toc110946976"/>
      <w:r>
        <w:rPr>
          <w:rFonts w:hint="eastAsia" w:ascii="宋体" w:hAnsi="宋体"/>
          <w:color w:val="auto"/>
          <w:sz w:val="28"/>
          <w:szCs w:val="28"/>
          <w:highlight w:val="none"/>
        </w:rPr>
        <w:t>不动产数据汇交</w:t>
      </w:r>
      <w:bookmarkEnd w:id="55"/>
      <w:bookmarkEnd w:id="56"/>
    </w:p>
    <w:p>
      <w:pPr>
        <w:spacing w:line="360" w:lineRule="auto"/>
        <w:ind w:firstLine="480" w:firstLineChars="200"/>
        <w:textAlignment w:val="baseline"/>
        <w:rPr>
          <w:rFonts w:ascii="宋体" w:hAnsi="宋体" w:cs="Arial"/>
          <w:bCs/>
          <w:color w:val="auto"/>
          <w:sz w:val="24"/>
          <w:highlight w:val="none"/>
        </w:rPr>
      </w:pPr>
      <w:r>
        <w:rPr>
          <w:rFonts w:hint="eastAsia" w:ascii="宋体" w:hAnsi="宋体" w:cs="Arial"/>
          <w:bCs/>
          <w:color w:val="auto"/>
          <w:sz w:val="24"/>
          <w:highlight w:val="none"/>
        </w:rPr>
        <w:t>按照《不动产登记存量数据成果汇交规范（2021修订版）》</w:t>
      </w:r>
      <w:r>
        <w:rPr>
          <w:rFonts w:ascii="宋体" w:hAnsi="宋体" w:cs="Arial"/>
          <w:bCs/>
          <w:color w:val="auto"/>
          <w:sz w:val="24"/>
          <w:highlight w:val="none"/>
        </w:rPr>
        <w:t>等有关标准和规范</w:t>
      </w:r>
      <w:r>
        <w:rPr>
          <w:rFonts w:hint="eastAsia" w:ascii="宋体" w:hAnsi="宋体" w:cs="Arial"/>
          <w:bCs/>
          <w:color w:val="auto"/>
          <w:sz w:val="24"/>
          <w:highlight w:val="none"/>
        </w:rPr>
        <w:t>，对现状不动产数据库数据进行映射转换，准确、规范、完整地填写各项内容，</w:t>
      </w:r>
      <w:r>
        <w:rPr>
          <w:rFonts w:hint="eastAsia" w:ascii="宋体" w:hAnsi="宋体"/>
          <w:color w:val="auto"/>
          <w:sz w:val="24"/>
          <w:highlight w:val="none"/>
        </w:rPr>
        <w:t>配合完成部、省布置的2022年底的房地不动产登记数据的汇交任务</w:t>
      </w:r>
      <w:r>
        <w:rPr>
          <w:rFonts w:hint="eastAsia" w:ascii="宋体" w:hAnsi="宋体" w:cs="Arial"/>
          <w:bCs/>
          <w:color w:val="auto"/>
          <w:sz w:val="24"/>
          <w:highlight w:val="none"/>
        </w:rPr>
        <w:t>。</w:t>
      </w:r>
      <w:r>
        <w:rPr>
          <w:rFonts w:hint="eastAsia" w:ascii="宋体" w:hAnsi="宋体"/>
          <w:color w:val="auto"/>
          <w:sz w:val="24"/>
          <w:highlight w:val="none"/>
        </w:rPr>
        <w:t>工作包括：</w:t>
      </w:r>
    </w:p>
    <w:p>
      <w:pPr>
        <w:pStyle w:val="176"/>
        <w:textAlignment w:val="baseline"/>
        <w:rPr>
          <w:color w:val="auto"/>
          <w:highlight w:val="none"/>
        </w:rPr>
      </w:pPr>
      <w:bookmarkStart w:id="57" w:name="_Toc101689433"/>
      <w:r>
        <w:rPr>
          <w:rFonts w:hint="eastAsia"/>
          <w:color w:val="auto"/>
          <w:highlight w:val="none"/>
        </w:rPr>
        <w:t>1）导出数据</w:t>
      </w:r>
      <w:bookmarkEnd w:id="57"/>
    </w:p>
    <w:p>
      <w:pPr>
        <w:pStyle w:val="176"/>
        <w:ind w:firstLine="480" w:firstLineChars="200"/>
        <w:textAlignment w:val="baseline"/>
        <w:rPr>
          <w:rFonts w:hint="default" w:eastAsia="宋体"/>
          <w:color w:val="auto"/>
          <w:highlight w:val="none"/>
          <w:lang w:val="en-US" w:eastAsia="zh-CN"/>
        </w:rPr>
      </w:pPr>
      <w:r>
        <w:rPr>
          <w:rFonts w:hint="eastAsia"/>
          <w:color w:val="auto"/>
          <w:highlight w:val="none"/>
        </w:rPr>
        <w:t>按照标准规范要求，将本地不动产登记数据库中的属性数据，映射、转换、导入至标准的MDB数据库，将空间数据按照数据库标准分层要求，形成shapefile格式文件。</w:t>
      </w:r>
    </w:p>
    <w:p>
      <w:pPr>
        <w:pStyle w:val="176"/>
        <w:textAlignment w:val="baseline"/>
        <w:rPr>
          <w:color w:val="auto"/>
          <w:highlight w:val="none"/>
        </w:rPr>
      </w:pPr>
      <w:bookmarkStart w:id="58" w:name="_Toc101689434"/>
      <w:r>
        <w:rPr>
          <w:rFonts w:hint="eastAsia"/>
          <w:color w:val="auto"/>
          <w:highlight w:val="none"/>
        </w:rPr>
        <w:t>2）数据</w:t>
      </w:r>
      <w:r>
        <w:rPr>
          <w:rFonts w:hint="eastAsia"/>
          <w:color w:val="auto"/>
          <w:highlight w:val="none"/>
          <w:lang w:eastAsia="zh-CN"/>
        </w:rPr>
        <w:t>质</w:t>
      </w:r>
      <w:r>
        <w:rPr>
          <w:rFonts w:hint="eastAsia"/>
          <w:color w:val="auto"/>
          <w:highlight w:val="none"/>
        </w:rPr>
        <w:t>检</w:t>
      </w:r>
      <w:bookmarkEnd w:id="58"/>
    </w:p>
    <w:p>
      <w:pPr>
        <w:pStyle w:val="176"/>
        <w:ind w:firstLine="480" w:firstLineChars="200"/>
        <w:textAlignment w:val="baseline"/>
        <w:rPr>
          <w:color w:val="auto"/>
          <w:highlight w:val="none"/>
        </w:rPr>
      </w:pPr>
      <w:r>
        <w:rPr>
          <w:rFonts w:hint="eastAsia"/>
          <w:color w:val="auto"/>
          <w:highlight w:val="none"/>
        </w:rPr>
        <w:t>地方导出汇交数据后，用新版质检软件检查数据成果，重点关注数据完整性、规范性、数据关联与挂接等。</w:t>
      </w:r>
    </w:p>
    <w:p>
      <w:pPr>
        <w:pStyle w:val="176"/>
        <w:textAlignment w:val="baseline"/>
        <w:rPr>
          <w:color w:val="auto"/>
          <w:highlight w:val="none"/>
        </w:rPr>
      </w:pPr>
      <w:bookmarkStart w:id="59" w:name="_Toc101689435"/>
      <w:r>
        <w:rPr>
          <w:rFonts w:hint="eastAsia"/>
          <w:color w:val="auto"/>
          <w:highlight w:val="none"/>
        </w:rPr>
        <w:t>3）填写数据台账、汇交</w:t>
      </w:r>
      <w:bookmarkEnd w:id="59"/>
    </w:p>
    <w:p>
      <w:pPr>
        <w:pStyle w:val="176"/>
        <w:ind w:firstLine="480" w:firstLineChars="200"/>
        <w:textAlignment w:val="baseline"/>
        <w:rPr>
          <w:rFonts w:hint="eastAsia"/>
          <w:color w:val="auto"/>
          <w:highlight w:val="none"/>
        </w:rPr>
      </w:pPr>
      <w:r>
        <w:rPr>
          <w:rFonts w:hint="eastAsia"/>
          <w:color w:val="auto"/>
          <w:highlight w:val="none"/>
        </w:rPr>
        <w:t>数据质量检查通过后，按照最新台账模板，配合完成汇交台账清单规范填写、汇交。</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60" w:name="_Toc110946971"/>
      <w:bookmarkStart w:id="61" w:name="_Toc8810"/>
      <w:r>
        <w:rPr>
          <w:rFonts w:ascii="宋体" w:hAnsi="宋体"/>
          <w:color w:val="auto"/>
          <w:sz w:val="28"/>
          <w:szCs w:val="28"/>
          <w:highlight w:val="none"/>
        </w:rPr>
        <w:t>不动产单元与标准地址库挂接关联</w:t>
      </w:r>
      <w:bookmarkEnd w:id="60"/>
      <w:bookmarkEnd w:id="61"/>
    </w:p>
    <w:p>
      <w:pPr>
        <w:spacing w:line="360" w:lineRule="auto"/>
        <w:ind w:firstLine="480" w:firstLineChars="200"/>
        <w:textAlignment w:val="baseline"/>
        <w:rPr>
          <w:color w:val="auto"/>
          <w:sz w:val="24"/>
          <w:highlight w:val="none"/>
        </w:rPr>
      </w:pPr>
      <w:r>
        <w:rPr>
          <w:rFonts w:hint="eastAsia" w:ascii="宋体" w:hAnsi="宋体"/>
          <w:color w:val="auto"/>
          <w:sz w:val="24"/>
          <w:highlight w:val="none"/>
        </w:rPr>
        <w:t>根据台州市政府《关于征求台州市“一标三实”建设工作实施方案意见的通知》[2022]112号的要求，</w:t>
      </w:r>
      <w:r>
        <w:rPr>
          <w:rFonts w:hint="eastAsia"/>
          <w:color w:val="auto"/>
          <w:sz w:val="24"/>
          <w:highlight w:val="none"/>
        </w:rPr>
        <w:t>依据台州市民政和测绘管理部门整理的“标准地址”，与不动产权籍调查系</w:t>
      </w:r>
      <w:r>
        <w:rPr>
          <w:rFonts w:hint="eastAsia" w:ascii="宋体" w:hAnsi="宋体"/>
          <w:color w:val="auto"/>
          <w:sz w:val="24"/>
          <w:highlight w:val="none"/>
        </w:rPr>
        <w:t>统中约145万户进行匹</w:t>
      </w:r>
      <w:r>
        <w:rPr>
          <w:rFonts w:hint="eastAsia"/>
          <w:color w:val="auto"/>
          <w:sz w:val="24"/>
          <w:highlight w:val="none"/>
        </w:rPr>
        <w:t>配和挂接。挂接时通过不动产幢图形和标准地址成果坐标匹配，再参照幢号、单元号、室号等字段生成，实现不动产权籍调查户坐落与标准地址一一对应，可自动匹配对接水电气、公安、教育等外部门信息。</w:t>
      </w:r>
    </w:p>
    <w:p>
      <w:pPr>
        <w:pStyle w:val="6"/>
        <w:widowControl/>
        <w:numPr>
          <w:ilvl w:val="0"/>
          <w:numId w:val="17"/>
        </w:numPr>
        <w:spacing w:before="0" w:after="0" w:line="360" w:lineRule="auto"/>
        <w:ind w:left="0" w:firstLine="0"/>
        <w:jc w:val="left"/>
        <w:textAlignment w:val="baseline"/>
        <w:rPr>
          <w:rFonts w:ascii="宋体" w:hAnsi="宋体"/>
          <w:color w:val="auto"/>
          <w:sz w:val="28"/>
          <w:szCs w:val="28"/>
          <w:highlight w:val="none"/>
        </w:rPr>
      </w:pPr>
      <w:bookmarkStart w:id="62" w:name="_Toc110946973"/>
      <w:bookmarkStart w:id="63" w:name="_Toc16418"/>
      <w:r>
        <w:rPr>
          <w:rFonts w:ascii="宋体" w:hAnsi="宋体"/>
          <w:color w:val="auto"/>
          <w:sz w:val="28"/>
          <w:szCs w:val="28"/>
          <w:highlight w:val="none"/>
        </w:rPr>
        <w:t>专题数据</w:t>
      </w:r>
      <w:bookmarkEnd w:id="62"/>
      <w:r>
        <w:rPr>
          <w:rFonts w:hint="eastAsia" w:ascii="宋体" w:hAnsi="宋体"/>
          <w:color w:val="auto"/>
          <w:sz w:val="28"/>
          <w:szCs w:val="28"/>
          <w:highlight w:val="none"/>
        </w:rPr>
        <w:t>治理</w:t>
      </w:r>
      <w:bookmarkEnd w:id="63"/>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highlight w:val="none"/>
          <w:lang w:eastAsia="zh-CN"/>
        </w:rPr>
      </w:pPr>
      <w:r>
        <w:rPr>
          <w:rFonts w:hint="eastAsia"/>
          <w:color w:val="auto"/>
          <w:highlight w:val="none"/>
        </w:rPr>
        <w:t>基于省厅不动产智治专题库建设规范、数据清单，采取与19个部门（44项清单）对接、共享、复制等方式。采集不动产登记信息、不动产权利人信息、土地出让信息、工业用地指标、网签房屋交易信息、本地常住人口户籍信息、空置率信息、房屋用水信息、房屋用电信息、学位占用情况、人口婚姻信息、企业规模信息、人口户信息等部门数据。通过汇聚、初步分析和清洗、关联融合不动产登记及协同部门数据，初步建立“不动产智治应用”数据仓（专题库）， 为不动产智治应用提供有效的数据支撑。</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说明：“清洗”是指按要求筛除不符合应用要求的数据，不包括对协同部门数据的整理、补充、修正。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专题数据库包含</w:t>
      </w:r>
      <w:r>
        <w:rPr>
          <w:rFonts w:hint="eastAsia"/>
          <w:color w:val="auto"/>
          <w:highlight w:val="none"/>
          <w:lang w:eastAsia="zh-CN"/>
        </w:rPr>
        <w:t>但不限于</w:t>
      </w:r>
      <w:r>
        <w:rPr>
          <w:rFonts w:hint="eastAsia"/>
          <w:color w:val="auto"/>
          <w:highlight w:val="none"/>
        </w:rPr>
        <w:t>市场动态专题</w:t>
      </w:r>
      <w:r>
        <w:rPr>
          <w:rFonts w:hint="eastAsia"/>
          <w:color w:val="auto"/>
          <w:highlight w:val="none"/>
          <w:lang w:eastAsia="zh-CN"/>
        </w:rPr>
        <w:t>、</w:t>
      </w:r>
      <w:r>
        <w:rPr>
          <w:rFonts w:hint="eastAsia"/>
          <w:color w:val="auto"/>
          <w:highlight w:val="none"/>
        </w:rPr>
        <w:t>抵押融资专题</w:t>
      </w:r>
      <w:r>
        <w:rPr>
          <w:rFonts w:hint="eastAsia"/>
          <w:color w:val="auto"/>
          <w:highlight w:val="none"/>
          <w:lang w:eastAsia="zh-CN"/>
        </w:rPr>
        <w:t>、</w:t>
      </w:r>
      <w:r>
        <w:rPr>
          <w:rFonts w:hint="eastAsia"/>
          <w:color w:val="auto"/>
          <w:highlight w:val="none"/>
        </w:rPr>
        <w:t>居住水平专题</w:t>
      </w:r>
      <w:r>
        <w:rPr>
          <w:rFonts w:hint="eastAsia"/>
          <w:color w:val="auto"/>
          <w:highlight w:val="none"/>
          <w:lang w:eastAsia="zh-CN"/>
        </w:rPr>
        <w:t>、</w:t>
      </w:r>
      <w:r>
        <w:rPr>
          <w:rFonts w:hint="eastAsia"/>
          <w:color w:val="auto"/>
          <w:highlight w:val="none"/>
        </w:rPr>
        <w:t>工业用地专题</w:t>
      </w:r>
      <w:r>
        <w:rPr>
          <w:rFonts w:hint="eastAsia"/>
          <w:color w:val="auto"/>
          <w:highlight w:val="none"/>
          <w:lang w:eastAsia="zh-CN"/>
        </w:rPr>
        <w:t>、</w:t>
      </w:r>
      <w:r>
        <w:rPr>
          <w:rFonts w:hint="eastAsia"/>
          <w:color w:val="auto"/>
          <w:highlight w:val="none"/>
        </w:rPr>
        <w:t>异常提醒专题</w:t>
      </w:r>
      <w:r>
        <w:rPr>
          <w:rFonts w:hint="eastAsia"/>
          <w:color w:val="auto"/>
          <w:highlight w:val="none"/>
          <w:lang w:eastAsia="zh-CN"/>
        </w:rPr>
        <w:t>、不动产登记分析专题等</w:t>
      </w:r>
      <w:r>
        <w:rPr>
          <w:rFonts w:hint="eastAsia"/>
          <w:color w:val="auto"/>
          <w:highlight w:val="none"/>
        </w:rPr>
        <w:t>。</w:t>
      </w:r>
    </w:p>
    <w:p>
      <w:pPr>
        <w:pStyle w:val="6"/>
        <w:widowControl/>
        <w:numPr>
          <w:ilvl w:val="0"/>
          <w:numId w:val="17"/>
        </w:numPr>
        <w:spacing w:before="0" w:after="0" w:line="360" w:lineRule="auto"/>
        <w:ind w:left="0" w:firstLine="0"/>
        <w:jc w:val="left"/>
        <w:textAlignment w:val="baseline"/>
        <w:rPr>
          <w:rFonts w:hint="eastAsia" w:ascii="宋体" w:hAnsi="宋体"/>
          <w:color w:val="auto"/>
          <w:sz w:val="28"/>
          <w:szCs w:val="28"/>
          <w:highlight w:val="none"/>
          <w:lang w:val="en-US" w:eastAsia="zh-CN"/>
        </w:rPr>
      </w:pPr>
      <w:bookmarkStart w:id="64" w:name="_Toc31346"/>
      <w:r>
        <w:rPr>
          <w:rFonts w:hint="eastAsia" w:ascii="宋体" w:hAnsi="宋体"/>
          <w:color w:val="auto"/>
          <w:sz w:val="28"/>
          <w:szCs w:val="28"/>
          <w:highlight w:val="none"/>
          <w:lang w:val="en-US" w:eastAsia="zh-CN"/>
        </w:rPr>
        <w:t>其他事项</w:t>
      </w:r>
      <w:bookmarkEnd w:id="64"/>
    </w:p>
    <w:p>
      <w:pPr>
        <w:pStyle w:val="176"/>
        <w:ind w:firstLine="480" w:firstLineChars="200"/>
        <w:textAlignment w:val="baseline"/>
        <w:rPr>
          <w:color w:val="auto"/>
          <w:highlight w:val="none"/>
        </w:rPr>
      </w:pPr>
      <w:r>
        <w:rPr>
          <w:rFonts w:hint="eastAsia" w:ascii="Times New Roman" w:hAnsi="Times New Roman" w:eastAsia="宋体" w:cs="Times New Roman"/>
          <w:color w:val="auto"/>
          <w:kern w:val="2"/>
          <w:sz w:val="24"/>
          <w:szCs w:val="24"/>
          <w:highlight w:val="none"/>
          <w:lang w:val="en-US" w:eastAsia="zh-CN" w:bidi="ar-SA"/>
        </w:rPr>
        <w:t>该项目中标后，如果部、省、市的技术规范调整，中标单位技术规范也必须随之调整。</w:t>
      </w:r>
    </w:p>
    <w:p>
      <w:pPr>
        <w:pStyle w:val="5"/>
        <w:widowControl/>
        <w:numPr>
          <w:ilvl w:val="0"/>
          <w:numId w:val="15"/>
        </w:numPr>
        <w:spacing w:before="0" w:after="0" w:line="360" w:lineRule="auto"/>
        <w:ind w:left="0" w:firstLine="0"/>
        <w:jc w:val="left"/>
        <w:textAlignment w:val="baseline"/>
        <w:rPr>
          <w:rFonts w:ascii="宋体" w:hAnsi="宋体"/>
          <w:color w:val="auto"/>
          <w:sz w:val="30"/>
          <w:szCs w:val="30"/>
          <w:highlight w:val="none"/>
        </w:rPr>
      </w:pPr>
      <w:bookmarkStart w:id="65" w:name="_Toc29584"/>
      <w:r>
        <w:rPr>
          <w:rFonts w:hint="eastAsia"/>
          <w:color w:val="auto"/>
          <w:sz w:val="30"/>
          <w:szCs w:val="30"/>
          <w:highlight w:val="none"/>
        </w:rPr>
        <w:t>服务要求</w:t>
      </w:r>
      <w:bookmarkEnd w:id="65"/>
    </w:p>
    <w:p>
      <w:pPr>
        <w:pStyle w:val="6"/>
        <w:widowControl/>
        <w:numPr>
          <w:ilvl w:val="0"/>
          <w:numId w:val="18"/>
        </w:numPr>
        <w:spacing w:before="0" w:after="0" w:line="360" w:lineRule="auto"/>
        <w:ind w:left="0" w:firstLine="0"/>
        <w:jc w:val="left"/>
        <w:textAlignment w:val="baseline"/>
        <w:rPr>
          <w:rFonts w:ascii="宋体" w:hAnsi="宋体" w:cs="宋体"/>
          <w:color w:val="auto"/>
          <w:sz w:val="28"/>
          <w:szCs w:val="28"/>
          <w:highlight w:val="none"/>
        </w:rPr>
      </w:pPr>
      <w:bookmarkStart w:id="66" w:name="_Toc27757"/>
      <w:bookmarkStart w:id="67" w:name="_Toc10425"/>
      <w:r>
        <w:rPr>
          <w:rFonts w:hint="eastAsia" w:ascii="宋体" w:hAnsi="宋体" w:cs="宋体"/>
          <w:color w:val="auto"/>
          <w:sz w:val="28"/>
          <w:szCs w:val="28"/>
          <w:highlight w:val="none"/>
        </w:rPr>
        <w:t>工期要求</w:t>
      </w:r>
      <w:bookmarkEnd w:id="66"/>
      <w:bookmarkEnd w:id="67"/>
    </w:p>
    <w:p>
      <w:pPr>
        <w:pStyle w:val="177"/>
        <w:ind w:firstLine="480" w:firstLineChars="200"/>
        <w:textAlignment w:val="baseline"/>
        <w:rPr>
          <w:rFonts w:ascii="宋体" w:hAnsi="宋体" w:cs="宋体"/>
          <w:color w:val="auto"/>
          <w:highlight w:val="none"/>
        </w:rPr>
      </w:pPr>
      <w:r>
        <w:rPr>
          <w:rFonts w:hint="eastAsia" w:ascii="宋体" w:hAnsi="宋体" w:cs="宋体"/>
          <w:color w:val="auto"/>
          <w:highlight w:val="none"/>
        </w:rPr>
        <w:t>本项目根据实际工作安排分阶段进行，中标单位需在2022年11月底前完成不动产数据汇交等工作，在2023年11月底前完成不动产登记数据质量提升工作并通过验收。详细如下：</w:t>
      </w:r>
    </w:p>
    <w:p>
      <w:pPr>
        <w:pStyle w:val="177"/>
        <w:ind w:firstLine="480" w:firstLineChars="200"/>
        <w:textAlignment w:val="baseline"/>
        <w:rPr>
          <w:rFonts w:ascii="宋体" w:hAnsi="宋体" w:cs="宋体"/>
          <w:color w:val="auto"/>
          <w:highlight w:val="none"/>
        </w:rPr>
      </w:pPr>
      <w:r>
        <w:rPr>
          <w:rFonts w:hint="eastAsia" w:ascii="宋体" w:hAnsi="宋体" w:cs="宋体"/>
          <w:color w:val="auto"/>
          <w:highlight w:val="none"/>
        </w:rPr>
        <w:t>2022年11月底前完成不动产数据汇交任务；</w:t>
      </w:r>
    </w:p>
    <w:p>
      <w:pPr>
        <w:pStyle w:val="177"/>
        <w:ind w:firstLine="480" w:firstLineChars="200"/>
        <w:jc w:val="left"/>
        <w:textAlignment w:val="baseline"/>
        <w:rPr>
          <w:rFonts w:ascii="宋体" w:hAnsi="宋体"/>
          <w:color w:val="auto"/>
          <w:highlight w:val="none"/>
        </w:rPr>
      </w:pPr>
      <w:r>
        <w:rPr>
          <w:rFonts w:ascii="宋体" w:hAnsi="宋体"/>
          <w:color w:val="auto"/>
          <w:highlight w:val="none"/>
        </w:rPr>
        <w:t>2022年1</w:t>
      </w:r>
      <w:r>
        <w:rPr>
          <w:rFonts w:hint="eastAsia" w:ascii="宋体" w:hAnsi="宋体"/>
          <w:color w:val="auto"/>
          <w:highlight w:val="none"/>
        </w:rPr>
        <w:t>1</w:t>
      </w:r>
      <w:r>
        <w:rPr>
          <w:rFonts w:ascii="宋体" w:hAnsi="宋体"/>
          <w:color w:val="auto"/>
          <w:highlight w:val="none"/>
        </w:rPr>
        <w:t>月底前完成</w:t>
      </w:r>
      <w:r>
        <w:rPr>
          <w:rFonts w:hint="eastAsia" w:ascii="宋体" w:hAnsi="宋体"/>
          <w:color w:val="auto"/>
          <w:highlight w:val="none"/>
        </w:rPr>
        <w:t>房地产权类数据质量</w:t>
      </w:r>
      <w:r>
        <w:rPr>
          <w:rFonts w:ascii="宋体" w:hAnsi="宋体"/>
          <w:color w:val="auto"/>
          <w:highlight w:val="none"/>
        </w:rPr>
        <w:t>提升工作；</w:t>
      </w:r>
    </w:p>
    <w:p>
      <w:pPr>
        <w:pStyle w:val="177"/>
        <w:ind w:firstLine="480" w:firstLineChars="200"/>
        <w:jc w:val="left"/>
        <w:textAlignment w:val="baseline"/>
        <w:rPr>
          <w:rFonts w:ascii="宋体" w:hAnsi="宋体"/>
          <w:color w:val="auto"/>
          <w:highlight w:val="none"/>
        </w:rPr>
      </w:pPr>
      <w:r>
        <w:rPr>
          <w:rFonts w:ascii="宋体" w:hAnsi="宋体"/>
          <w:color w:val="auto"/>
          <w:highlight w:val="none"/>
        </w:rPr>
        <w:t>2022年1</w:t>
      </w:r>
      <w:r>
        <w:rPr>
          <w:rFonts w:hint="eastAsia" w:ascii="宋体" w:hAnsi="宋体"/>
          <w:color w:val="auto"/>
          <w:highlight w:val="none"/>
        </w:rPr>
        <w:t>1</w:t>
      </w:r>
      <w:r>
        <w:rPr>
          <w:rFonts w:ascii="宋体" w:hAnsi="宋体"/>
          <w:color w:val="auto"/>
          <w:highlight w:val="none"/>
        </w:rPr>
        <w:t>月底前完成</w:t>
      </w:r>
      <w:r>
        <w:rPr>
          <w:rFonts w:hint="eastAsia" w:ascii="宋体" w:hAnsi="宋体"/>
          <w:color w:val="auto"/>
          <w:highlight w:val="none"/>
        </w:rPr>
        <w:t>抵押权类数据质量</w:t>
      </w:r>
      <w:r>
        <w:rPr>
          <w:rFonts w:ascii="宋体" w:hAnsi="宋体"/>
          <w:color w:val="auto"/>
          <w:highlight w:val="none"/>
        </w:rPr>
        <w:t>提升工作；</w:t>
      </w:r>
    </w:p>
    <w:p>
      <w:pPr>
        <w:pStyle w:val="176"/>
        <w:ind w:firstLine="480" w:firstLineChars="200"/>
        <w:jc w:val="left"/>
        <w:textAlignment w:val="baseline"/>
        <w:rPr>
          <w:rFonts w:cs="宋体"/>
          <w:color w:val="auto"/>
          <w:highlight w:val="none"/>
        </w:rPr>
      </w:pPr>
      <w:r>
        <w:rPr>
          <w:color w:val="auto"/>
          <w:highlight w:val="none"/>
        </w:rPr>
        <w:t>202</w:t>
      </w:r>
      <w:r>
        <w:rPr>
          <w:rFonts w:hint="eastAsia"/>
          <w:color w:val="auto"/>
          <w:highlight w:val="none"/>
        </w:rPr>
        <w:t>2</w:t>
      </w:r>
      <w:r>
        <w:rPr>
          <w:color w:val="auto"/>
          <w:highlight w:val="none"/>
        </w:rPr>
        <w:t>年</w:t>
      </w:r>
      <w:r>
        <w:rPr>
          <w:rFonts w:hint="eastAsia"/>
          <w:color w:val="auto"/>
          <w:highlight w:val="none"/>
        </w:rPr>
        <w:t>11</w:t>
      </w:r>
      <w:r>
        <w:rPr>
          <w:color w:val="auto"/>
          <w:highlight w:val="none"/>
        </w:rPr>
        <w:t>月底前</w:t>
      </w:r>
      <w:r>
        <w:rPr>
          <w:rFonts w:hint="eastAsia"/>
          <w:color w:val="auto"/>
          <w:highlight w:val="none"/>
          <w:lang w:eastAsia="zh-CN"/>
        </w:rPr>
        <w:t>开展</w:t>
      </w:r>
      <w:r>
        <w:rPr>
          <w:color w:val="auto"/>
          <w:highlight w:val="none"/>
        </w:rPr>
        <w:t>专题数据治理</w:t>
      </w:r>
      <w:r>
        <w:rPr>
          <w:rFonts w:hint="eastAsia"/>
          <w:color w:val="auto"/>
          <w:highlight w:val="none"/>
        </w:rPr>
        <w:t>，初步建立“不动产智治应用”数据仓（专题库）；</w:t>
      </w:r>
    </w:p>
    <w:p>
      <w:pPr>
        <w:pStyle w:val="176"/>
        <w:ind w:firstLine="480" w:firstLineChars="200"/>
        <w:jc w:val="left"/>
        <w:textAlignment w:val="baseline"/>
        <w:rPr>
          <w:color w:val="auto"/>
          <w:highlight w:val="none"/>
        </w:rPr>
      </w:pPr>
      <w:r>
        <w:rPr>
          <w:rFonts w:hint="eastAsia"/>
          <w:color w:val="auto"/>
          <w:highlight w:val="none"/>
        </w:rPr>
        <w:t>2023年3月底前完成权利人和查封类数据质量提升工作；</w:t>
      </w:r>
    </w:p>
    <w:p>
      <w:pPr>
        <w:pStyle w:val="176"/>
        <w:ind w:firstLine="480" w:firstLineChars="200"/>
        <w:jc w:val="left"/>
        <w:textAlignment w:val="baseline"/>
        <w:rPr>
          <w:color w:val="auto"/>
          <w:highlight w:val="none"/>
        </w:rPr>
      </w:pPr>
      <w:r>
        <w:rPr>
          <w:color w:val="auto"/>
          <w:highlight w:val="none"/>
        </w:rPr>
        <w:t>2023年</w:t>
      </w:r>
      <w:r>
        <w:rPr>
          <w:rFonts w:hint="eastAsia"/>
          <w:color w:val="auto"/>
          <w:highlight w:val="none"/>
        </w:rPr>
        <w:t>5</w:t>
      </w:r>
      <w:r>
        <w:rPr>
          <w:color w:val="auto"/>
          <w:highlight w:val="none"/>
        </w:rPr>
        <w:t>月底前完成不动产单元和标准地址库挂接关联</w:t>
      </w:r>
      <w:r>
        <w:rPr>
          <w:rFonts w:hint="eastAsia"/>
          <w:color w:val="auto"/>
          <w:highlight w:val="none"/>
        </w:rPr>
        <w:t>；</w:t>
      </w:r>
    </w:p>
    <w:p>
      <w:pPr>
        <w:pStyle w:val="176"/>
        <w:ind w:firstLine="480" w:firstLineChars="200"/>
        <w:jc w:val="left"/>
        <w:textAlignment w:val="baseline"/>
        <w:rPr>
          <w:color w:val="auto"/>
          <w:highlight w:val="none"/>
        </w:rPr>
      </w:pPr>
      <w:r>
        <w:rPr>
          <w:rFonts w:hint="eastAsia"/>
          <w:color w:val="auto"/>
          <w:highlight w:val="none"/>
        </w:rPr>
        <w:t>2023年8月底前完成</w:t>
      </w:r>
      <w:r>
        <w:rPr>
          <w:rFonts w:hint="eastAsia"/>
          <w:color w:val="auto"/>
          <w:highlight w:val="none"/>
          <w:lang w:eastAsia="zh-CN"/>
        </w:rPr>
        <w:t>清理完善</w:t>
      </w:r>
      <w:r>
        <w:rPr>
          <w:rFonts w:hint="eastAsia"/>
          <w:color w:val="auto"/>
          <w:highlight w:val="none"/>
        </w:rPr>
        <w:t>不动产单元</w:t>
      </w:r>
      <w:r>
        <w:rPr>
          <w:rFonts w:hint="eastAsia"/>
          <w:color w:val="auto"/>
          <w:highlight w:val="none"/>
          <w:lang w:eastAsia="zh-CN"/>
        </w:rPr>
        <w:t>表信息</w:t>
      </w:r>
      <w:r>
        <w:rPr>
          <w:rFonts w:hint="eastAsia"/>
          <w:color w:val="auto"/>
          <w:highlight w:val="none"/>
        </w:rPr>
        <w:t>工作</w:t>
      </w:r>
      <w:r>
        <w:rPr>
          <w:rFonts w:hint="eastAsia"/>
          <w:color w:val="auto"/>
          <w:highlight w:val="none"/>
        </w:rPr>
        <w:t>；</w:t>
      </w:r>
    </w:p>
    <w:p>
      <w:pPr>
        <w:pStyle w:val="177"/>
        <w:ind w:firstLine="480" w:firstLineChars="200"/>
        <w:jc w:val="left"/>
        <w:textAlignment w:val="baseline"/>
        <w:rPr>
          <w:rFonts w:ascii="宋体" w:hAnsi="宋体"/>
          <w:color w:val="auto"/>
          <w:highlight w:val="none"/>
        </w:rPr>
      </w:pPr>
      <w:r>
        <w:rPr>
          <w:rFonts w:hint="eastAsia" w:ascii="宋体" w:hAnsi="宋体"/>
          <w:color w:val="auto"/>
          <w:highlight w:val="none"/>
        </w:rPr>
        <w:t>2023年9月底前完成逻辑关系完善；</w:t>
      </w:r>
    </w:p>
    <w:p>
      <w:pPr>
        <w:pStyle w:val="178"/>
        <w:ind w:firstLine="480"/>
        <w:jc w:val="left"/>
        <w:textAlignment w:val="baseline"/>
        <w:rPr>
          <w:rFonts w:ascii="宋体" w:hAnsi="宋体"/>
          <w:color w:val="auto"/>
          <w:highlight w:val="none"/>
        </w:rPr>
      </w:pPr>
      <w:r>
        <w:rPr>
          <w:rFonts w:hint="eastAsia" w:ascii="宋体" w:hAnsi="宋体"/>
          <w:color w:val="auto"/>
          <w:highlight w:val="none"/>
        </w:rPr>
        <w:t>2023年10月底前完成</w:t>
      </w:r>
      <w:r>
        <w:rPr>
          <w:rFonts w:hint="eastAsia" w:ascii="宋体" w:hAnsi="宋体"/>
          <w:color w:val="auto"/>
          <w:highlight w:val="none"/>
          <w:lang w:eastAsia="zh-CN"/>
        </w:rPr>
        <w:t>图形</w:t>
      </w:r>
      <w:r>
        <w:rPr>
          <w:rFonts w:hint="eastAsia" w:ascii="宋体" w:hAnsi="宋体"/>
          <w:color w:val="auto"/>
          <w:highlight w:val="none"/>
        </w:rPr>
        <w:t>质量提升</w:t>
      </w:r>
      <w:r>
        <w:rPr>
          <w:rFonts w:hint="eastAsia" w:ascii="宋体" w:hAnsi="宋体"/>
          <w:color w:val="auto"/>
          <w:highlight w:val="none"/>
        </w:rPr>
        <w:t>工作；</w:t>
      </w:r>
    </w:p>
    <w:p>
      <w:pPr>
        <w:pStyle w:val="176"/>
        <w:ind w:firstLine="480" w:firstLineChars="200"/>
        <w:jc w:val="left"/>
        <w:textAlignment w:val="baseline"/>
        <w:rPr>
          <w:rFonts w:cs="宋体"/>
          <w:color w:val="auto"/>
          <w:highlight w:val="none"/>
        </w:rPr>
      </w:pPr>
      <w:r>
        <w:rPr>
          <w:color w:val="auto"/>
          <w:highlight w:val="none"/>
        </w:rPr>
        <w:t>2023年</w:t>
      </w:r>
      <w:r>
        <w:rPr>
          <w:rFonts w:hint="eastAsia"/>
          <w:color w:val="auto"/>
          <w:highlight w:val="none"/>
        </w:rPr>
        <w:t>11</w:t>
      </w:r>
      <w:r>
        <w:rPr>
          <w:color w:val="auto"/>
          <w:highlight w:val="none"/>
        </w:rPr>
        <w:t>月底前完成并通过验收。</w:t>
      </w:r>
    </w:p>
    <w:p>
      <w:pPr>
        <w:pStyle w:val="6"/>
        <w:widowControl/>
        <w:numPr>
          <w:ilvl w:val="0"/>
          <w:numId w:val="18"/>
        </w:numPr>
        <w:spacing w:before="0" w:after="0" w:line="360" w:lineRule="auto"/>
        <w:ind w:left="0" w:firstLine="0"/>
        <w:jc w:val="left"/>
        <w:textAlignment w:val="baseline"/>
        <w:rPr>
          <w:rFonts w:ascii="宋体" w:hAnsi="宋体" w:cs="宋体"/>
          <w:color w:val="auto"/>
          <w:sz w:val="28"/>
          <w:szCs w:val="28"/>
          <w:highlight w:val="none"/>
        </w:rPr>
      </w:pPr>
      <w:bookmarkStart w:id="68" w:name="_Toc7583"/>
      <w:bookmarkStart w:id="69" w:name="_Toc2427"/>
      <w:r>
        <w:rPr>
          <w:rFonts w:hint="eastAsia" w:ascii="宋体" w:hAnsi="宋体" w:cs="宋体"/>
          <w:color w:val="auto"/>
          <w:sz w:val="28"/>
          <w:szCs w:val="28"/>
          <w:highlight w:val="none"/>
        </w:rPr>
        <w:t>技术要求</w:t>
      </w:r>
      <w:bookmarkEnd w:id="68"/>
      <w:bookmarkEnd w:id="69"/>
    </w:p>
    <w:p>
      <w:pPr>
        <w:pStyle w:val="177"/>
        <w:ind w:firstLine="600" w:firstLineChars="250"/>
        <w:textAlignment w:val="baseline"/>
        <w:rPr>
          <w:rFonts w:ascii="宋体" w:hAnsi="宋体" w:cs="宋体"/>
          <w:color w:val="auto"/>
          <w:highlight w:val="none"/>
        </w:rPr>
      </w:pPr>
      <w:r>
        <w:rPr>
          <w:rFonts w:hint="eastAsia"/>
          <w:color w:val="auto"/>
          <w:highlight w:val="none"/>
        </w:rPr>
        <w:t>1）</w:t>
      </w:r>
      <w:r>
        <w:rPr>
          <w:rFonts w:hint="eastAsia" w:ascii="宋体" w:hAnsi="宋体" w:cs="宋体"/>
          <w:color w:val="auto"/>
          <w:highlight w:val="none"/>
        </w:rPr>
        <w:t>本项目数据提升结果能满足日常业务需要和数据提升标准，在项目建设过程中要注重与不动产登记信息平台的衔接，建设成果满足不动产登记信息平台的数据要求，从而使得提升后数据能在不动产登记信息平台中正常运行。</w:t>
      </w:r>
    </w:p>
    <w:p>
      <w:pPr>
        <w:pStyle w:val="177"/>
        <w:ind w:firstLine="480" w:firstLineChars="200"/>
        <w:textAlignment w:val="baseline"/>
        <w:rPr>
          <w:rFonts w:ascii="宋体" w:hAnsi="宋体" w:cs="宋体"/>
          <w:color w:val="auto"/>
          <w:highlight w:val="none"/>
        </w:rPr>
      </w:pPr>
      <w:r>
        <w:rPr>
          <w:rFonts w:hint="eastAsia" w:ascii="宋体" w:hAnsi="宋体" w:cs="宋体"/>
          <w:color w:val="auto"/>
          <w:highlight w:val="none"/>
        </w:rPr>
        <w:t>2）中标人按照采购的要求，配合采购人及时完成上级部门要求的数据提升增量数据汇交。</w:t>
      </w:r>
    </w:p>
    <w:p>
      <w:pPr>
        <w:pStyle w:val="177"/>
        <w:ind w:firstLine="480" w:firstLineChars="200"/>
        <w:textAlignment w:val="baseline"/>
        <w:rPr>
          <w:rFonts w:ascii="宋体" w:hAnsi="宋体" w:cs="宋体"/>
          <w:color w:val="auto"/>
          <w:highlight w:val="none"/>
        </w:rPr>
      </w:pPr>
      <w:r>
        <w:rPr>
          <w:rFonts w:hint="eastAsia" w:ascii="宋体" w:hAnsi="宋体" w:cs="宋体"/>
          <w:color w:val="auto"/>
          <w:highlight w:val="none"/>
        </w:rPr>
        <w:t>3）项目实施中应保障中心不动产登记业务平台及后续不动产智治首期场景应用系统正常运转使用。</w:t>
      </w:r>
    </w:p>
    <w:p>
      <w:pPr>
        <w:pStyle w:val="6"/>
        <w:widowControl/>
        <w:numPr>
          <w:ilvl w:val="0"/>
          <w:numId w:val="18"/>
        </w:numPr>
        <w:spacing w:before="0" w:after="0" w:line="360" w:lineRule="auto"/>
        <w:ind w:left="0" w:firstLine="0"/>
        <w:jc w:val="left"/>
        <w:textAlignment w:val="baseline"/>
        <w:rPr>
          <w:rFonts w:ascii="宋体" w:hAnsi="宋体" w:cs="宋体"/>
          <w:color w:val="auto"/>
          <w:sz w:val="28"/>
          <w:szCs w:val="28"/>
          <w:highlight w:val="none"/>
        </w:rPr>
      </w:pPr>
      <w:bookmarkStart w:id="70" w:name="_Toc24568"/>
      <w:r>
        <w:rPr>
          <w:rFonts w:hint="eastAsia" w:ascii="宋体" w:hAnsi="宋体" w:cs="宋体"/>
          <w:color w:val="auto"/>
          <w:sz w:val="28"/>
          <w:szCs w:val="28"/>
          <w:highlight w:val="none"/>
        </w:rPr>
        <w:t>成果提交</w:t>
      </w:r>
      <w:bookmarkEnd w:id="70"/>
    </w:p>
    <w:p>
      <w:pPr>
        <w:pStyle w:val="176"/>
        <w:ind w:firstLine="480" w:firstLineChars="200"/>
        <w:textAlignment w:val="baseline"/>
        <w:rPr>
          <w:color w:val="auto"/>
          <w:highlight w:val="none"/>
        </w:rPr>
      </w:pPr>
      <w:r>
        <w:rPr>
          <w:rFonts w:hint="eastAsia"/>
          <w:color w:val="auto"/>
          <w:highlight w:val="none"/>
        </w:rPr>
        <w:t>1）</w:t>
      </w:r>
      <w:r>
        <w:rPr>
          <w:color w:val="auto"/>
          <w:highlight w:val="none"/>
        </w:rPr>
        <w:t xml:space="preserve">文字成果 </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hint="eastAsia" w:ascii="宋体" w:hAnsi="宋体"/>
          <w:color w:val="auto"/>
          <w:sz w:val="24"/>
          <w:highlight w:val="none"/>
        </w:rPr>
        <w:t>台州市</w:t>
      </w:r>
      <w:r>
        <w:rPr>
          <w:rFonts w:ascii="宋体" w:hAnsi="宋体"/>
          <w:color w:val="auto"/>
          <w:sz w:val="24"/>
          <w:highlight w:val="none"/>
        </w:rPr>
        <w:t>不动产登记数据质量提升和不动产智治数据治理项目技术</w:t>
      </w:r>
      <w:r>
        <w:rPr>
          <w:rFonts w:hint="eastAsia" w:ascii="宋体" w:hAnsi="宋体"/>
          <w:color w:val="auto"/>
          <w:sz w:val="24"/>
          <w:highlight w:val="none"/>
        </w:rPr>
        <w:t>方案。</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hint="eastAsia" w:ascii="宋体" w:hAnsi="宋体"/>
          <w:color w:val="auto"/>
          <w:sz w:val="24"/>
          <w:highlight w:val="none"/>
        </w:rPr>
        <w:t>台州市</w:t>
      </w:r>
      <w:r>
        <w:rPr>
          <w:rFonts w:ascii="宋体" w:hAnsi="宋体"/>
          <w:color w:val="auto"/>
          <w:sz w:val="24"/>
          <w:highlight w:val="none"/>
        </w:rPr>
        <w:t>不动产登记数据质量提升和不动产智治数据治理项目质量检查报告。</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hint="eastAsia" w:ascii="宋体" w:hAnsi="宋体"/>
          <w:color w:val="auto"/>
          <w:sz w:val="24"/>
          <w:highlight w:val="none"/>
        </w:rPr>
        <w:t>台州市</w:t>
      </w:r>
      <w:r>
        <w:rPr>
          <w:rFonts w:ascii="宋体" w:hAnsi="宋体"/>
          <w:color w:val="auto"/>
          <w:sz w:val="24"/>
          <w:highlight w:val="none"/>
        </w:rPr>
        <w:t>不动产登记数据质量提升和不动产智治数据治理项目总结报告。</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hint="eastAsia" w:ascii="宋体" w:hAnsi="宋体"/>
          <w:color w:val="auto"/>
          <w:sz w:val="24"/>
          <w:highlight w:val="none"/>
        </w:rPr>
        <w:t>台州市</w:t>
      </w:r>
      <w:r>
        <w:rPr>
          <w:rFonts w:ascii="宋体" w:hAnsi="宋体"/>
          <w:color w:val="auto"/>
          <w:sz w:val="24"/>
          <w:highlight w:val="none"/>
        </w:rPr>
        <w:t xml:space="preserve">不动产登记数据质量提升和不动产智治数据治理项目整理问题清单。 </w:t>
      </w:r>
    </w:p>
    <w:p>
      <w:pPr>
        <w:spacing w:line="360" w:lineRule="auto"/>
        <w:ind w:firstLine="480" w:firstLineChars="200"/>
        <w:textAlignment w:val="baseline"/>
        <w:rPr>
          <w:rFonts w:ascii="宋体" w:hAnsi="宋体"/>
          <w:color w:val="auto"/>
          <w:sz w:val="24"/>
          <w:highlight w:val="none"/>
        </w:rPr>
      </w:pPr>
      <w:r>
        <w:rPr>
          <w:rFonts w:ascii="宋体" w:hAnsi="宋体"/>
          <w:color w:val="auto"/>
          <w:sz w:val="24"/>
          <w:highlight w:val="none"/>
        </w:rPr>
        <w:t xml:space="preserve">以上成果包括电子、纸质两种存储方式。 </w:t>
      </w:r>
    </w:p>
    <w:p>
      <w:pPr>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数据成果 </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ascii="宋体" w:hAnsi="宋体"/>
          <w:color w:val="auto"/>
          <w:sz w:val="24"/>
          <w:highlight w:val="none"/>
        </w:rPr>
        <w:t>数据质量提升整理库：包括所有整理作业情况</w:t>
      </w:r>
      <w:r>
        <w:rPr>
          <w:rFonts w:hint="eastAsia" w:ascii="宋体" w:hAnsi="宋体"/>
          <w:color w:val="auto"/>
          <w:sz w:val="24"/>
          <w:highlight w:val="none"/>
        </w:rPr>
        <w:t>，数据治理</w:t>
      </w:r>
      <w:r>
        <w:rPr>
          <w:rFonts w:ascii="宋体" w:hAnsi="宋体"/>
          <w:color w:val="auto"/>
          <w:sz w:val="24"/>
          <w:highlight w:val="none"/>
        </w:rPr>
        <w:t>专题数据库</w:t>
      </w:r>
      <w:r>
        <w:rPr>
          <w:rFonts w:hint="eastAsia" w:ascii="宋体" w:hAnsi="宋体"/>
          <w:color w:val="auto"/>
          <w:sz w:val="24"/>
          <w:highlight w:val="none"/>
        </w:rPr>
        <w:t>。</w:t>
      </w:r>
    </w:p>
    <w:p>
      <w:pPr>
        <w:pStyle w:val="92"/>
        <w:widowControl/>
        <w:numPr>
          <w:ilvl w:val="0"/>
          <w:numId w:val="19"/>
        </w:numPr>
        <w:spacing w:line="360" w:lineRule="auto"/>
        <w:ind w:left="0" w:firstLine="480"/>
        <w:jc w:val="left"/>
        <w:textAlignment w:val="baseline"/>
        <w:rPr>
          <w:rFonts w:ascii="宋体" w:hAnsi="宋体"/>
          <w:color w:val="auto"/>
          <w:sz w:val="24"/>
          <w:highlight w:val="none"/>
        </w:rPr>
      </w:pPr>
      <w:r>
        <w:rPr>
          <w:rFonts w:hint="eastAsia" w:ascii="宋体" w:hAnsi="宋体"/>
          <w:color w:val="auto"/>
          <w:sz w:val="24"/>
          <w:highlight w:val="none"/>
          <w:lang w:eastAsia="zh-CN"/>
        </w:rPr>
        <w:t>不动产</w:t>
      </w:r>
      <w:r>
        <w:rPr>
          <w:rFonts w:ascii="宋体" w:hAnsi="宋体"/>
          <w:color w:val="auto"/>
          <w:sz w:val="24"/>
          <w:highlight w:val="none"/>
        </w:rPr>
        <w:t>数据正式库</w:t>
      </w:r>
      <w:r>
        <w:rPr>
          <w:rFonts w:hint="eastAsia" w:ascii="宋体" w:hAnsi="宋体"/>
          <w:color w:val="auto"/>
          <w:sz w:val="24"/>
          <w:highlight w:val="none"/>
        </w:rPr>
        <w:t>。</w:t>
      </w:r>
    </w:p>
    <w:p>
      <w:pPr>
        <w:pStyle w:val="6"/>
        <w:widowControl/>
        <w:numPr>
          <w:ilvl w:val="0"/>
          <w:numId w:val="18"/>
        </w:numPr>
        <w:spacing w:before="0" w:after="0" w:line="360" w:lineRule="auto"/>
        <w:ind w:left="0" w:firstLine="0"/>
        <w:jc w:val="left"/>
        <w:textAlignment w:val="baseline"/>
        <w:rPr>
          <w:rFonts w:ascii="宋体" w:hAnsi="宋体" w:cs="宋体"/>
          <w:color w:val="auto"/>
          <w:sz w:val="28"/>
          <w:szCs w:val="28"/>
          <w:highlight w:val="none"/>
        </w:rPr>
      </w:pPr>
      <w:bookmarkStart w:id="71" w:name="_Toc22314"/>
      <w:bookmarkStart w:id="72" w:name="_Toc23359"/>
      <w:r>
        <w:rPr>
          <w:rFonts w:hint="eastAsia" w:ascii="宋体" w:hAnsi="宋体" w:cs="宋体"/>
          <w:color w:val="auto"/>
          <w:sz w:val="28"/>
          <w:szCs w:val="28"/>
          <w:highlight w:val="none"/>
        </w:rPr>
        <w:t>保密要求</w:t>
      </w:r>
      <w:bookmarkEnd w:id="71"/>
      <w:bookmarkEnd w:id="72"/>
    </w:p>
    <w:p>
      <w:pPr>
        <w:pStyle w:val="177"/>
        <w:ind w:firstLine="480" w:firstLineChars="200"/>
        <w:textAlignment w:val="baseline"/>
        <w:rPr>
          <w:color w:val="auto"/>
          <w:highlight w:val="none"/>
        </w:rPr>
      </w:pPr>
      <w:r>
        <w:rPr>
          <w:rFonts w:hint="eastAsia"/>
          <w:color w:val="auto"/>
          <w:highlight w:val="none"/>
        </w:rPr>
        <w:t>1）</w:t>
      </w:r>
      <w:r>
        <w:rPr>
          <w:color w:val="auto"/>
          <w:highlight w:val="none"/>
        </w:rPr>
        <w:t xml:space="preserve">项目过程保密及数据保密：在项目实施过程中和系统运行过程中（包括合同解除、终止后）， 中标方必须对采购人提供的任何数据及文档有保密的责任和义务。不得以任何理由留存，不得转让和使用本项目的成果。否则，中标单位应承担由此产生的一切法律和经济责任。 </w:t>
      </w:r>
    </w:p>
    <w:p>
      <w:pPr>
        <w:pStyle w:val="177"/>
        <w:ind w:firstLine="480" w:firstLineChars="200"/>
        <w:textAlignment w:val="baseline"/>
        <w:rPr>
          <w:color w:val="auto"/>
          <w:highlight w:val="none"/>
        </w:rPr>
      </w:pPr>
      <w:r>
        <w:rPr>
          <w:rFonts w:hint="eastAsia"/>
          <w:color w:val="auto"/>
          <w:highlight w:val="none"/>
        </w:rPr>
        <w:t>2）</w:t>
      </w:r>
      <w:r>
        <w:rPr>
          <w:color w:val="auto"/>
          <w:highlight w:val="none"/>
        </w:rPr>
        <w:t>版权与保密</w:t>
      </w:r>
      <w:r>
        <w:rPr>
          <w:rFonts w:hint="eastAsia"/>
          <w:color w:val="auto"/>
          <w:highlight w:val="none"/>
        </w:rPr>
        <w:t>：</w:t>
      </w:r>
      <w:r>
        <w:rPr>
          <w:color w:val="auto"/>
          <w:highlight w:val="none"/>
        </w:rPr>
        <w:t xml:space="preserve">本项目所有数据的版权属采购人所有，未经同意，中标方不得以任何形式向第三方提供；采购人提供的任何业务资料，中标方需认真保管、 严格保密，并在使用完毕后及时归还。 </w:t>
      </w:r>
    </w:p>
    <w:p>
      <w:pPr>
        <w:pStyle w:val="177"/>
        <w:ind w:firstLine="480" w:firstLineChars="200"/>
        <w:textAlignment w:val="baseline"/>
        <w:rPr>
          <w:rFonts w:ascii="宋体" w:hAnsi="宋体" w:cs="宋体"/>
          <w:color w:val="auto"/>
          <w:highlight w:val="none"/>
        </w:rPr>
      </w:pPr>
      <w:r>
        <w:rPr>
          <w:rFonts w:hint="eastAsia"/>
          <w:color w:val="auto"/>
          <w:highlight w:val="none"/>
        </w:rPr>
        <w:t>3）</w:t>
      </w:r>
      <w:r>
        <w:rPr>
          <w:color w:val="auto"/>
          <w:highlight w:val="none"/>
        </w:rPr>
        <w:t>保密期限：</w:t>
      </w:r>
      <w:r>
        <w:rPr>
          <w:rFonts w:hint="eastAsia" w:ascii="宋体" w:hAnsi="宋体" w:cs="宋体"/>
          <w:color w:val="auto"/>
          <w:highlight w:val="none"/>
        </w:rPr>
        <w:t>双方的保密义务自本次项目合同签订时开始，保密期限不受本项目期限的限制，在本项目履行完毕后，投标方及中标方仍应承担保密义务</w:t>
      </w:r>
      <w:r>
        <w:rPr>
          <w:color w:val="auto"/>
          <w:highlight w:val="none"/>
        </w:rPr>
        <w:t>。</w:t>
      </w:r>
    </w:p>
    <w:p>
      <w:pPr>
        <w:pStyle w:val="5"/>
        <w:widowControl/>
        <w:numPr>
          <w:ilvl w:val="0"/>
          <w:numId w:val="15"/>
        </w:numPr>
        <w:spacing w:before="0" w:after="0" w:line="360" w:lineRule="auto"/>
        <w:ind w:left="0" w:firstLine="0"/>
        <w:jc w:val="left"/>
        <w:textAlignment w:val="baseline"/>
        <w:rPr>
          <w:rFonts w:ascii="宋体" w:hAnsi="宋体" w:cs="宋体"/>
          <w:color w:val="auto"/>
          <w:sz w:val="30"/>
          <w:szCs w:val="30"/>
          <w:highlight w:val="none"/>
        </w:rPr>
      </w:pPr>
      <w:bookmarkStart w:id="73" w:name="_Toc8334"/>
      <w:bookmarkStart w:id="74" w:name="_Toc29223"/>
      <w:r>
        <w:rPr>
          <w:rFonts w:hint="eastAsia" w:ascii="宋体" w:hAnsi="宋体" w:cs="宋体"/>
          <w:color w:val="auto"/>
          <w:sz w:val="30"/>
          <w:szCs w:val="30"/>
          <w:highlight w:val="none"/>
        </w:rPr>
        <w:t>付款方式</w:t>
      </w:r>
      <w:bookmarkEnd w:id="73"/>
      <w:bookmarkEnd w:id="74"/>
    </w:p>
    <w:p>
      <w:pPr>
        <w:pStyle w:val="178"/>
        <w:ind w:firstLine="480"/>
        <w:jc w:val="left"/>
        <w:textAlignment w:val="baseline"/>
        <w:rPr>
          <w:rFonts w:ascii="宋体" w:hAnsi="宋体"/>
          <w:color w:val="auto"/>
          <w:highlight w:val="none"/>
        </w:rPr>
      </w:pPr>
      <w:r>
        <w:rPr>
          <w:rFonts w:hint="eastAsia" w:ascii="宋体" w:hAnsi="宋体"/>
          <w:color w:val="auto"/>
          <w:highlight w:val="none"/>
        </w:rPr>
        <w:t>1）</w:t>
      </w:r>
      <w:r>
        <w:rPr>
          <w:rFonts w:hint="eastAsia" w:ascii="宋体" w:hAnsi="宋体" w:cs="宋体"/>
          <w:color w:val="auto"/>
          <w:highlight w:val="none"/>
        </w:rPr>
        <w:t>合同签订后在乙方提供正式发票后，甲方预付合同金额的40%；</w:t>
      </w:r>
    </w:p>
    <w:p>
      <w:pPr>
        <w:pStyle w:val="176"/>
        <w:ind w:firstLine="480" w:firstLineChars="200"/>
        <w:jc w:val="left"/>
        <w:textAlignment w:val="baseline"/>
        <w:rPr>
          <w:color w:val="auto"/>
          <w:highlight w:val="none"/>
        </w:rPr>
      </w:pPr>
      <w:r>
        <w:rPr>
          <w:rFonts w:hint="eastAsia"/>
          <w:color w:val="auto"/>
          <w:highlight w:val="none"/>
        </w:rPr>
        <w:t>2）</w:t>
      </w:r>
      <w:r>
        <w:rPr>
          <w:rFonts w:hint="eastAsia" w:cs="宋体"/>
          <w:color w:val="auto"/>
          <w:highlight w:val="none"/>
        </w:rPr>
        <w:t>乙方完成不动产数据汇交、</w:t>
      </w:r>
      <w:r>
        <w:rPr>
          <w:rFonts w:cs="宋体"/>
          <w:color w:val="auto"/>
          <w:highlight w:val="none"/>
        </w:rPr>
        <w:t>不动产智治数据治理</w:t>
      </w:r>
      <w:r>
        <w:rPr>
          <w:rFonts w:hint="eastAsia" w:cs="宋体"/>
          <w:color w:val="auto"/>
          <w:highlight w:val="none"/>
        </w:rPr>
        <w:t>、房地产权类、抵押权类数据质量提升工作，经监理确认后，支付合同金额的20%；</w:t>
      </w:r>
    </w:p>
    <w:p>
      <w:pPr>
        <w:pStyle w:val="178"/>
        <w:ind w:firstLine="480"/>
        <w:jc w:val="left"/>
        <w:textAlignment w:val="baseline"/>
        <w:rPr>
          <w:rFonts w:ascii="宋体" w:hAnsi="宋体"/>
          <w:color w:val="auto"/>
          <w:highlight w:val="none"/>
        </w:rPr>
      </w:pPr>
      <w:r>
        <w:rPr>
          <w:rFonts w:hint="eastAsia" w:ascii="宋体" w:hAnsi="宋体"/>
          <w:color w:val="auto"/>
          <w:highlight w:val="none"/>
        </w:rPr>
        <w:t>3）乙方完成所有工作，</w:t>
      </w:r>
      <w:r>
        <w:rPr>
          <w:rFonts w:ascii="宋体" w:hAnsi="宋体"/>
          <w:color w:val="auto"/>
          <w:highlight w:val="none"/>
        </w:rPr>
        <w:t>项目通过监理确认以及采购人组织的验收后，支付剩余</w:t>
      </w:r>
      <w:r>
        <w:rPr>
          <w:rFonts w:hint="eastAsia" w:ascii="宋体" w:hAnsi="宋体"/>
          <w:color w:val="auto"/>
          <w:highlight w:val="none"/>
        </w:rPr>
        <w:t>40%</w:t>
      </w:r>
      <w:r>
        <w:rPr>
          <w:rFonts w:ascii="宋体" w:hAnsi="宋体"/>
          <w:color w:val="auto"/>
          <w:highlight w:val="none"/>
        </w:rPr>
        <w:t>尾款</w:t>
      </w:r>
      <w:r>
        <w:rPr>
          <w:rFonts w:hint="eastAsia" w:ascii="宋体" w:hAnsi="宋体"/>
          <w:color w:val="auto"/>
          <w:highlight w:val="none"/>
        </w:rPr>
        <w:t>。</w:t>
      </w:r>
    </w:p>
    <w:p>
      <w:pPr>
        <w:spacing w:line="360" w:lineRule="auto"/>
        <w:ind w:firstLine="480" w:firstLineChars="200"/>
        <w:textAlignment w:val="baseline"/>
        <w:rPr>
          <w:rFonts w:ascii="宋体" w:hAnsi="宋体" w:cs="宋体"/>
          <w:color w:val="auto"/>
          <w:sz w:val="24"/>
          <w:highlight w:val="none"/>
        </w:rPr>
      </w:pPr>
    </w:p>
    <w:p>
      <w:pPr>
        <w:pStyle w:val="94"/>
        <w:ind w:firstLine="420"/>
        <w:textAlignment w:val="baseline"/>
        <w:rPr>
          <w:rFonts w:ascii="宋体" w:hAnsi="宋体" w:cs="宋体"/>
          <w:color w:val="auto"/>
          <w:highlight w:val="none"/>
        </w:rPr>
      </w:pPr>
    </w:p>
    <w:p>
      <w:pPr>
        <w:pStyle w:val="94"/>
        <w:ind w:firstLine="0" w:firstLineChars="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5"/>
        <w:numPr>
          <w:ilvl w:val="0"/>
          <w:numId w:val="2"/>
        </w:numPr>
        <w:jc w:val="center"/>
        <w:textAlignment w:val="baseline"/>
        <w:rPr>
          <w:rFonts w:ascii="宋体" w:hAnsi="宋体" w:cs="宋体"/>
          <w:color w:val="auto"/>
          <w:highlight w:val="none"/>
        </w:rPr>
      </w:pPr>
      <w:bookmarkStart w:id="75" w:name="_Toc25633"/>
      <w:r>
        <w:rPr>
          <w:rFonts w:hint="eastAsia" w:ascii="宋体" w:hAnsi="宋体" w:cs="宋体"/>
          <w:color w:val="auto"/>
          <w:highlight w:val="none"/>
        </w:rPr>
        <w:t>合同主要条款</w:t>
      </w:r>
      <w:bookmarkEnd w:id="75"/>
    </w:p>
    <w:p>
      <w:pPr>
        <w:spacing w:line="360" w:lineRule="auto"/>
        <w:textAlignment w:val="baseline"/>
        <w:rPr>
          <w:rFonts w:ascii="宋体" w:hAnsi="宋体" w:cs="宋体"/>
          <w:color w:val="auto"/>
          <w:sz w:val="24"/>
          <w:highlight w:val="none"/>
        </w:rPr>
      </w:pPr>
      <w:r>
        <w:rPr>
          <w:rFonts w:hint="eastAsia" w:ascii="宋体" w:hAnsi="宋体" w:cs="宋体"/>
          <w:b/>
          <w:bCs/>
          <w:color w:val="auto"/>
          <w:sz w:val="24"/>
          <w:highlight w:val="none"/>
        </w:rPr>
        <w:t>项目名称：</w:t>
      </w:r>
      <w:r>
        <w:rPr>
          <w:rFonts w:ascii="宋体" w:hAnsi="宋体" w:cs="宋体"/>
          <w:color w:val="auto"/>
          <w:sz w:val="24"/>
          <w:highlight w:val="none"/>
        </w:rPr>
        <w:t>台州市不动产登记数据质量提升项目</w:t>
      </w:r>
    </w:p>
    <w:p>
      <w:pPr>
        <w:spacing w:line="360" w:lineRule="auto"/>
        <w:textAlignment w:val="baseline"/>
        <w:rPr>
          <w:rFonts w:ascii="宋体" w:hAnsi="宋体" w:cs="宋体"/>
          <w:color w:val="auto"/>
          <w:sz w:val="24"/>
          <w:highlight w:val="none"/>
        </w:rPr>
      </w:pPr>
      <w:r>
        <w:rPr>
          <w:rFonts w:hint="eastAsia" w:ascii="宋体" w:hAnsi="宋体" w:cs="宋体"/>
          <w:b/>
          <w:bCs/>
          <w:color w:val="auto"/>
          <w:sz w:val="24"/>
          <w:highlight w:val="none"/>
        </w:rPr>
        <w:t>项目编号：</w:t>
      </w:r>
    </w:p>
    <w:p>
      <w:pPr>
        <w:spacing w:line="360" w:lineRule="auto"/>
        <w:textAlignment w:val="baseline"/>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甲方（采购方）：</w:t>
      </w:r>
      <w:r>
        <w:rPr>
          <w:rFonts w:hint="eastAsia" w:ascii="宋体" w:hAnsi="宋体" w:cs="宋体"/>
          <w:color w:val="auto"/>
          <w:sz w:val="24"/>
          <w:highlight w:val="none"/>
          <w:lang w:eastAsia="zh-CN"/>
        </w:rPr>
        <w:t>台州市不动产登记服务中心</w:t>
      </w:r>
    </w:p>
    <w:p>
      <w:pPr>
        <w:spacing w:line="360" w:lineRule="auto"/>
        <w:textAlignment w:val="baseline"/>
        <w:rPr>
          <w:rFonts w:ascii="宋体" w:hAnsi="宋体" w:cs="宋体"/>
          <w:color w:val="auto"/>
          <w:sz w:val="24"/>
          <w:highlight w:val="none"/>
        </w:rPr>
      </w:pPr>
      <w:r>
        <w:rPr>
          <w:rFonts w:hint="eastAsia" w:ascii="宋体" w:hAnsi="宋体" w:cs="宋体"/>
          <w:b/>
          <w:bCs/>
          <w:color w:val="auto"/>
          <w:sz w:val="24"/>
          <w:highlight w:val="none"/>
        </w:rPr>
        <w:t>乙方（供应商）：</w:t>
      </w:r>
    </w:p>
    <w:p>
      <w:pPr>
        <w:spacing w:line="360" w:lineRule="auto"/>
        <w:textAlignment w:val="baseline"/>
        <w:rPr>
          <w:rFonts w:ascii="宋体" w:hAnsi="宋体" w:cs="宋体"/>
          <w:color w:val="auto"/>
          <w:sz w:val="24"/>
          <w:highlight w:val="none"/>
        </w:rPr>
      </w:pPr>
      <w:r>
        <w:rPr>
          <w:rFonts w:hint="eastAsia" w:ascii="宋体" w:hAnsi="宋体" w:cs="宋体"/>
          <w:b/>
          <w:bCs/>
          <w:color w:val="auto"/>
          <w:sz w:val="24"/>
          <w:highlight w:val="none"/>
        </w:rPr>
        <w:t>鉴证方（招标方）：</w:t>
      </w:r>
      <w:r>
        <w:rPr>
          <w:rFonts w:hint="eastAsia" w:ascii="宋体" w:hAnsi="宋体" w:cs="宋体"/>
          <w:color w:val="auto"/>
          <w:sz w:val="24"/>
          <w:highlight w:val="none"/>
        </w:rPr>
        <w:t>浙江五石中正工程咨询有限公司</w:t>
      </w:r>
    </w:p>
    <w:p>
      <w:pPr>
        <w:numPr>
          <w:ilvl w:val="0"/>
          <w:numId w:val="20"/>
        </w:num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乙双方根据</w:t>
      </w:r>
      <w:r>
        <w:rPr>
          <w:rFonts w:hint="eastAsia" w:ascii="宋体" w:hAnsi="宋体" w:cs="宋体"/>
          <w:color w:val="auto"/>
          <w:sz w:val="24"/>
          <w:highlight w:val="none"/>
          <w:lang w:eastAsia="zh-CN"/>
        </w:rPr>
        <w:t>台州市不动产登记服务中心</w:t>
      </w:r>
      <w:r>
        <w:rPr>
          <w:rFonts w:ascii="宋体" w:hAnsi="宋体" w:cs="宋体"/>
          <w:color w:val="auto"/>
          <w:sz w:val="24"/>
          <w:highlight w:val="none"/>
        </w:rPr>
        <w:t>台州市不动产登记数据质量提升项目</w:t>
      </w:r>
      <w:r>
        <w:rPr>
          <w:rFonts w:hint="eastAsia" w:ascii="宋体" w:hAnsi="宋体" w:cs="宋体"/>
          <w:color w:val="auto"/>
          <w:sz w:val="24"/>
          <w:highlight w:val="none"/>
        </w:rPr>
        <w:t>公开招标的结果，签署本合同。合同文本内容如下：</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6.其他。</w:t>
      </w:r>
    </w:p>
    <w:p>
      <w:pPr>
        <w:spacing w:line="360" w:lineRule="auto"/>
        <w:ind w:firstLine="480" w:firstLineChars="200"/>
        <w:textAlignment w:val="baseline"/>
        <w:rPr>
          <w:color w:val="auto"/>
          <w:sz w:val="20"/>
          <w:highlight w:val="none"/>
        </w:rPr>
      </w:pPr>
      <w:r>
        <w:rPr>
          <w:rFonts w:hint="eastAsia" w:ascii="宋体" w:hAnsi="宋体" w:cs="宋体"/>
          <w:color w:val="auto"/>
          <w:sz w:val="24"/>
          <w:highlight w:val="none"/>
          <w:lang w:val="zh-CN"/>
        </w:rPr>
        <w:t>上述所指合同文件应认为是互相补充和解释的，但是有模棱两可或互相矛盾之处，以其所列内容顺序为准。</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一、服务内容  </w:t>
      </w:r>
    </w:p>
    <w:p>
      <w:pPr>
        <w:spacing w:line="360" w:lineRule="auto"/>
        <w:ind w:left="960" w:hanging="960"/>
        <w:textAlignment w:val="baseline"/>
        <w:rPr>
          <w:rFonts w:ascii="宋体" w:hAnsi="宋体" w:cs="宋体"/>
          <w:color w:val="auto"/>
          <w:sz w:val="24"/>
          <w:highlight w:val="none"/>
        </w:rPr>
      </w:pPr>
      <w:r>
        <w:rPr>
          <w:rFonts w:hint="eastAsia" w:ascii="宋体" w:hAnsi="宋体" w:cs="宋体"/>
          <w:color w:val="auto"/>
          <w:sz w:val="24"/>
          <w:highlight w:val="none"/>
        </w:rPr>
        <w:t>本合同包含的服务内容：按照采购需求及投标承诺执行。</w:t>
      </w:r>
    </w:p>
    <w:p>
      <w:pPr>
        <w:spacing w:line="360" w:lineRule="auto"/>
        <w:ind w:left="960" w:hanging="960"/>
        <w:textAlignment w:val="baseline"/>
        <w:rPr>
          <w:rFonts w:ascii="宋体" w:hAnsi="宋体" w:cs="宋体"/>
          <w:color w:val="auto"/>
          <w:sz w:val="24"/>
          <w:highlight w:val="none"/>
        </w:rPr>
      </w:pPr>
      <w:r>
        <w:rPr>
          <w:rFonts w:hint="eastAsia" w:ascii="宋体" w:hAnsi="宋体" w:cs="宋体"/>
          <w:color w:val="auto"/>
          <w:sz w:val="24"/>
          <w:highlight w:val="none"/>
        </w:rPr>
        <w:t xml:space="preserve">二、合同总价 </w:t>
      </w:r>
    </w:p>
    <w:p>
      <w:pPr>
        <w:spacing w:line="360" w:lineRule="auto"/>
        <w:ind w:left="960" w:hanging="960"/>
        <w:textAlignment w:val="baseline"/>
        <w:rPr>
          <w:rFonts w:ascii="宋体" w:hAnsi="宋体" w:cs="宋体"/>
          <w:color w:val="auto"/>
          <w:sz w:val="24"/>
          <w:highlight w:val="none"/>
        </w:rPr>
      </w:pPr>
      <w:r>
        <w:rPr>
          <w:rFonts w:hint="eastAsia" w:ascii="宋体" w:hAnsi="宋体" w:cs="宋体"/>
          <w:color w:val="auto"/>
          <w:sz w:val="24"/>
          <w:highlight w:val="none"/>
        </w:rPr>
        <w:t>本合同总价：¥：元，大写：</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三、付款方式：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1．合同签订后在乙方提供正式发票后，甲方预付合同金额的40%；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2．乙方完成不动产数据汇交、</w:t>
      </w:r>
      <w:r>
        <w:rPr>
          <w:rFonts w:ascii="宋体" w:hAnsi="宋体" w:cs="宋体"/>
          <w:color w:val="auto"/>
          <w:sz w:val="24"/>
          <w:highlight w:val="none"/>
        </w:rPr>
        <w:t>不动产智治数据治理</w:t>
      </w:r>
      <w:r>
        <w:rPr>
          <w:rFonts w:hint="eastAsia" w:ascii="宋体" w:hAnsi="宋体" w:cs="宋体"/>
          <w:color w:val="auto"/>
          <w:sz w:val="24"/>
          <w:highlight w:val="none"/>
        </w:rPr>
        <w:t>、房地产权类、抵押权类数据质量提升工作，经监理确认后</w:t>
      </w:r>
      <w:r>
        <w:rPr>
          <w:rFonts w:hint="eastAsia" w:ascii="宋体" w:hAnsi="宋体" w:cs="宋体"/>
          <w:color w:val="auto"/>
          <w:sz w:val="24"/>
          <w:highlight w:val="none"/>
          <w:lang w:val="en-US" w:eastAsia="zh-CN"/>
        </w:rPr>
        <w:t>并在</w:t>
      </w:r>
      <w:r>
        <w:rPr>
          <w:rFonts w:hint="eastAsia" w:ascii="宋体" w:hAnsi="宋体" w:cs="宋体"/>
          <w:color w:val="auto"/>
          <w:sz w:val="24"/>
          <w:highlight w:val="none"/>
          <w:lang w:val="en-US" w:eastAsia="zh-CN"/>
        </w:rPr>
        <w:t>乙方提供正式发票后</w:t>
      </w:r>
      <w:r>
        <w:rPr>
          <w:rFonts w:hint="eastAsia" w:ascii="宋体" w:hAnsi="宋体" w:cs="宋体"/>
          <w:color w:val="auto"/>
          <w:sz w:val="24"/>
          <w:highlight w:val="none"/>
        </w:rPr>
        <w:t xml:space="preserve">，支付合同金额的20%；；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3．乙方完成所有工作，项目通过监理确认以及采购人组织的验收后</w:t>
      </w:r>
      <w:r>
        <w:rPr>
          <w:rFonts w:hint="eastAsia" w:ascii="宋体" w:hAnsi="宋体" w:cs="宋体"/>
          <w:color w:val="auto"/>
          <w:sz w:val="24"/>
          <w:highlight w:val="none"/>
          <w:lang w:val="en-US" w:eastAsia="zh-CN"/>
        </w:rPr>
        <w:t>并在乙方提供正式发票后</w:t>
      </w:r>
      <w:r>
        <w:rPr>
          <w:rFonts w:hint="eastAsia" w:ascii="宋体" w:hAnsi="宋体" w:cs="宋体"/>
          <w:color w:val="auto"/>
          <w:sz w:val="24"/>
          <w:highlight w:val="none"/>
        </w:rPr>
        <w:t xml:space="preserve">，支付剩余40%尾款。 </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四、服务期限：</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五、资料保密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1． 未经甲方同意，乙方不得将由甲方或代表甲方提供的任何合同条文、计划、图纸或资料提供给与履行本合同无关的任何其他人。即使向与履行本合同有关的人员提供，也应注意保密并限于本履行合同必须的范围。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2．任何一方不得将保密信息披露用于除本合同合作事项以外的任何地方。</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 xml:space="preserve">六、知识产权 </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 xml:space="preserve">乙方应保证提供服务过程中不会侵犯任何第三方的知识产权，如果任何第三方提出侵权指控，乙方须与第三方交涉并承担可能发生的一切法律责任和费用。 </w:t>
      </w:r>
    </w:p>
    <w:p>
      <w:pPr>
        <w:spacing w:line="360" w:lineRule="auto"/>
        <w:textAlignment w:val="baseline"/>
        <w:rPr>
          <w:rFonts w:ascii="宋体" w:hAnsi="宋体" w:cs="宋体"/>
          <w:bCs/>
          <w:color w:val="auto"/>
          <w:sz w:val="24"/>
          <w:highlight w:val="none"/>
        </w:rPr>
      </w:pPr>
      <w:r>
        <w:rPr>
          <w:rFonts w:hint="eastAsia" w:ascii="宋体" w:hAnsi="宋体" w:cs="宋体"/>
          <w:bCs/>
          <w:color w:val="auto"/>
          <w:sz w:val="24"/>
          <w:highlight w:val="none"/>
        </w:rPr>
        <w:t>七、违约责任</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1.甲方无故逾期未支付合同款的,甲方应按逾期付款总额每日万分之五向乙方支付违约金。</w:t>
      </w:r>
    </w:p>
    <w:p>
      <w:pPr>
        <w:spacing w:line="360" w:lineRule="auto"/>
        <w:ind w:firstLine="480" w:firstLineChars="200"/>
        <w:textAlignment w:val="baseline"/>
        <w:rPr>
          <w:rFonts w:hint="default" w:ascii="宋体" w:hAnsi="宋体" w:cs="宋体"/>
          <w:color w:val="auto"/>
          <w:sz w:val="24"/>
          <w:highlight w:val="none"/>
          <w:lang w:val="en-US"/>
        </w:rPr>
      </w:pPr>
      <w:r>
        <w:rPr>
          <w:rFonts w:hint="eastAsia" w:ascii="宋体" w:hAnsi="宋体" w:cs="宋体"/>
          <w:color w:val="auto"/>
          <w:sz w:val="24"/>
          <w:highlight w:val="none"/>
        </w:rPr>
        <w:t>2.乙方未及时提供服务或乙方提供的服务不符合合同约定的，甲方经函要求整改，乙方</w:t>
      </w:r>
      <w:r>
        <w:rPr>
          <w:rFonts w:hint="eastAsia" w:ascii="宋体" w:hAnsi="宋体" w:cs="宋体"/>
          <w:color w:val="auto"/>
          <w:sz w:val="24"/>
          <w:highlight w:val="none"/>
          <w:lang w:val="en-US" w:eastAsia="zh-CN"/>
        </w:rPr>
        <w:t>超过7天</w:t>
      </w:r>
      <w:r>
        <w:rPr>
          <w:rFonts w:hint="eastAsia" w:ascii="宋体" w:hAnsi="宋体" w:cs="宋体"/>
          <w:color w:val="auto"/>
          <w:sz w:val="24"/>
          <w:highlight w:val="none"/>
        </w:rPr>
        <w:t>仍未整改的，甲方可单方面解除合同，并追究乙方的违约责任。</w:t>
      </w:r>
      <w:r>
        <w:rPr>
          <w:rFonts w:hint="eastAsia" w:ascii="宋体" w:hAnsi="宋体" w:cs="宋体"/>
          <w:color w:val="auto"/>
          <w:sz w:val="24"/>
          <w:highlight w:val="none"/>
          <w:lang w:val="en-US" w:eastAsia="zh-CN"/>
        </w:rPr>
        <w:t>乙方需按合同金额5%支付违约金。乙方如出现违反保密义务的或其他未列明违约行为，甲方可单方面接触合同并要求乙方按合同金额5%支付违约金</w:t>
      </w:r>
      <w:r>
        <w:rPr>
          <w:rFonts w:hint="eastAsia" w:ascii="宋体" w:hAnsi="宋体" w:cs="宋体"/>
          <w:color w:val="auto"/>
          <w:sz w:val="24"/>
          <w:highlight w:val="none"/>
          <w:lang w:val="en-US" w:eastAsia="zh-CN"/>
        </w:rPr>
        <w:t>。</w:t>
      </w:r>
    </w:p>
    <w:p>
      <w:pPr>
        <w:pStyle w:val="2"/>
        <w:rPr>
          <w:color w:val="auto"/>
          <w:highlight w:val="none"/>
        </w:rPr>
      </w:pPr>
    </w:p>
    <w:p>
      <w:pPr>
        <w:spacing w:line="360" w:lineRule="auto"/>
        <w:textAlignment w:val="baseline"/>
        <w:rPr>
          <w:rFonts w:ascii="宋体" w:hAnsi="宋体" w:cs="宋体"/>
          <w:bCs/>
          <w:color w:val="auto"/>
          <w:sz w:val="24"/>
          <w:highlight w:val="none"/>
        </w:rPr>
      </w:pPr>
      <w:r>
        <w:rPr>
          <w:rFonts w:hint="eastAsia" w:ascii="宋体" w:hAnsi="宋体" w:cs="宋体"/>
          <w:bCs/>
          <w:color w:val="auto"/>
          <w:sz w:val="24"/>
          <w:highlight w:val="none"/>
        </w:rPr>
        <w:t>八、不可抗力事件处理</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pPr>
        <w:spacing w:line="360" w:lineRule="auto"/>
        <w:textAlignment w:val="baseline"/>
        <w:rPr>
          <w:rFonts w:ascii="宋体" w:hAnsi="宋体" w:cs="宋体"/>
          <w:bCs/>
          <w:color w:val="auto"/>
          <w:sz w:val="24"/>
          <w:highlight w:val="none"/>
        </w:rPr>
      </w:pPr>
      <w:r>
        <w:rPr>
          <w:rFonts w:hint="eastAsia" w:ascii="宋体" w:hAnsi="宋体" w:cs="宋体"/>
          <w:bCs/>
          <w:color w:val="auto"/>
          <w:sz w:val="24"/>
          <w:highlight w:val="none"/>
        </w:rPr>
        <w:t>九、争议解决</w:t>
      </w:r>
    </w:p>
    <w:p>
      <w:pPr>
        <w:spacing w:line="360" w:lineRule="auto"/>
        <w:ind w:firstLine="480" w:firstLineChars="200"/>
        <w:textAlignment w:val="baseline"/>
        <w:rPr>
          <w:rFonts w:ascii="宋体" w:hAnsi="宋体" w:cs="宋体"/>
          <w:bCs/>
          <w:color w:val="auto"/>
          <w:sz w:val="24"/>
          <w:highlight w:val="none"/>
        </w:rPr>
      </w:pPr>
      <w:r>
        <w:rPr>
          <w:rFonts w:hint="eastAsia" w:ascii="宋体" w:hAnsi="宋体" w:cs="宋体"/>
          <w:color w:val="auto"/>
          <w:sz w:val="24"/>
          <w:highlight w:val="none"/>
        </w:rPr>
        <w:t>因履行本合同引起的或与本合同有关的争议，甲方、乙方应首先通过友好协商解决，如果协商不能解决争议，则采取向甲方所在地人民法院提起诉讼方式解决争议。</w:t>
      </w:r>
    </w:p>
    <w:p>
      <w:pPr>
        <w:pStyle w:val="18"/>
        <w:spacing w:before="120" w:after="120" w:line="360" w:lineRule="auto"/>
        <w:textAlignment w:val="baseline"/>
        <w:rPr>
          <w:rFonts w:hAnsi="宋体" w:cs="宋体"/>
          <w:color w:val="auto"/>
          <w:sz w:val="24"/>
          <w:highlight w:val="none"/>
        </w:rPr>
      </w:pPr>
      <w:r>
        <w:rPr>
          <w:rFonts w:hint="eastAsia" w:hAnsi="宋体" w:cs="宋体"/>
          <w:color w:val="auto"/>
          <w:sz w:val="24"/>
          <w:highlight w:val="none"/>
        </w:rPr>
        <w:t>十、合同生效及其它</w:t>
      </w:r>
    </w:p>
    <w:p>
      <w:pPr>
        <w:spacing w:line="360"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1．合同经双方法定代表人或授权委托代理人签名加盖单位公章后生效。</w:t>
      </w:r>
    </w:p>
    <w:p>
      <w:pPr>
        <w:spacing w:line="360" w:lineRule="auto"/>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2．如需修改或补充合同内容，经协商，双方应签署书面修改或补充协议，该协议将作为本合同的一个组成部分。</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bCs/>
          <w:color w:val="auto"/>
          <w:sz w:val="24"/>
          <w:highlight w:val="none"/>
        </w:rPr>
        <w:t>3．本合同未尽事宜，遵照《民法典》有关条文执行。</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4.本合同一式六份。甲、乙双方各执两份，采购代理机构及政府采购监管处两份。本项目未尽事宜以招标文件、投标文件及澄清文件等为准。</w:t>
      </w:r>
    </w:p>
    <w:p>
      <w:pPr>
        <w:pStyle w:val="34"/>
        <w:textAlignment w:val="baseline"/>
        <w:rPr>
          <w:rFonts w:ascii="宋体" w:hAnsi="宋体" w:cs="宋体"/>
          <w:color w:val="auto"/>
          <w:highlight w:val="none"/>
        </w:rPr>
      </w:pP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甲方（公章）：                          乙方（公章）：</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法定代表人或委托代理人（签字）：          法定代表人或委托代理人（签字）：</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开户银行（必填）：                      开户银行（必填）：</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账号（必填）：                          账号（必填）：</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签订时间：年月日                        签订时间：年月日</w:t>
      </w:r>
    </w:p>
    <w:p>
      <w:pPr>
        <w:spacing w:line="360" w:lineRule="auto"/>
        <w:textAlignment w:val="baseline"/>
        <w:rPr>
          <w:rFonts w:ascii="宋体" w:hAnsi="宋体" w:cs="宋体"/>
          <w:color w:val="auto"/>
          <w:sz w:val="24"/>
          <w:highlight w:val="none"/>
        </w:rPr>
      </w:pP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鉴证方（鉴证章）：</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日期：年月日</w:t>
      </w: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5"/>
        <w:numPr>
          <w:ilvl w:val="0"/>
          <w:numId w:val="2"/>
        </w:numPr>
        <w:jc w:val="center"/>
        <w:textAlignment w:val="baseline"/>
        <w:rPr>
          <w:rFonts w:ascii="宋体" w:hAnsi="宋体" w:cs="宋体"/>
          <w:color w:val="auto"/>
          <w:highlight w:val="none"/>
        </w:rPr>
      </w:pPr>
      <w:bookmarkStart w:id="76" w:name="_Toc14160"/>
      <w:r>
        <w:rPr>
          <w:rFonts w:hint="eastAsia" w:ascii="宋体" w:hAnsi="宋体" w:cs="宋体"/>
          <w:color w:val="auto"/>
          <w:highlight w:val="none"/>
        </w:rPr>
        <w:t>投标文件格式附件</w:t>
      </w:r>
      <w:bookmarkEnd w:id="76"/>
    </w:p>
    <w:p>
      <w:pPr>
        <w:pStyle w:val="6"/>
        <w:numPr>
          <w:ilvl w:val="0"/>
          <w:numId w:val="21"/>
        </w:numPr>
        <w:textAlignment w:val="baseline"/>
        <w:rPr>
          <w:rFonts w:ascii="宋体" w:hAnsi="宋体" w:cs="宋体"/>
          <w:color w:val="auto"/>
          <w:highlight w:val="none"/>
        </w:rPr>
      </w:pPr>
      <w:bookmarkStart w:id="77" w:name="_Toc6881"/>
      <w:r>
        <w:rPr>
          <w:rFonts w:hint="eastAsia" w:ascii="宋体" w:hAnsi="宋体" w:cs="宋体"/>
          <w:color w:val="auto"/>
          <w:highlight w:val="none"/>
        </w:rPr>
        <w:t>附件1-资格证明文件封面和资格证明文件目录</w:t>
      </w:r>
      <w:bookmarkEnd w:id="77"/>
    </w:p>
    <w:p>
      <w:pPr>
        <w:textAlignment w:val="baseline"/>
        <w:rPr>
          <w:rFonts w:ascii="宋体" w:hAnsi="宋体" w:cs="宋体"/>
          <w:b/>
          <w:color w:val="auto"/>
          <w:kern w:val="0"/>
          <w:sz w:val="28"/>
          <w:szCs w:val="28"/>
          <w:highlight w:val="none"/>
        </w:rPr>
      </w:pPr>
      <w:r>
        <w:rPr>
          <w:rFonts w:hint="eastAsia" w:ascii="宋体" w:hAnsi="宋体" w:cs="宋体"/>
          <w:b/>
          <w:bCs/>
          <w:color w:val="auto"/>
          <w:sz w:val="28"/>
          <w:szCs w:val="36"/>
          <w:highlight w:val="none"/>
        </w:rPr>
        <w:t>　</w:t>
      </w:r>
      <w:r>
        <w:rPr>
          <w:rFonts w:hint="eastAsia" w:ascii="宋体" w:hAnsi="宋体" w:cs="宋体"/>
          <w:color w:val="auto"/>
          <w:sz w:val="30"/>
          <w:szCs w:val="30"/>
          <w:highlight w:val="none"/>
        </w:rPr>
        <w:t xml:space="preserve">　　                                        </w:t>
      </w:r>
    </w:p>
    <w:p>
      <w:pPr>
        <w:spacing w:line="360" w:lineRule="auto"/>
        <w:textAlignment w:val="baseline"/>
        <w:rPr>
          <w:rFonts w:ascii="宋体" w:hAnsi="宋体" w:cs="宋体"/>
          <w:b/>
          <w:color w:val="auto"/>
          <w:sz w:val="30"/>
          <w:szCs w:val="30"/>
          <w:highlight w:val="none"/>
        </w:rPr>
      </w:pPr>
    </w:p>
    <w:p>
      <w:pPr>
        <w:spacing w:line="360" w:lineRule="auto"/>
        <w:jc w:val="center"/>
        <w:textAlignment w:val="baseline"/>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pPr>
        <w:spacing w:line="360" w:lineRule="auto"/>
        <w:jc w:val="center"/>
        <w:textAlignment w:val="baseline"/>
        <w:rPr>
          <w:rFonts w:ascii="宋体" w:hAnsi="宋体" w:cs="宋体"/>
          <w:color w:val="auto"/>
          <w:sz w:val="84"/>
          <w:szCs w:val="84"/>
          <w:highlight w:val="none"/>
          <w:lang w:val="zh-CN"/>
        </w:rPr>
      </w:pPr>
    </w:p>
    <w:p>
      <w:pPr>
        <w:spacing w:line="360" w:lineRule="auto"/>
        <w:jc w:val="center"/>
        <w:textAlignment w:val="baseline"/>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投标文件</w:t>
      </w:r>
    </w:p>
    <w:p>
      <w:pPr>
        <w:spacing w:line="360" w:lineRule="auto"/>
        <w:jc w:val="center"/>
        <w:textAlignment w:val="baseline"/>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pacing w:line="360" w:lineRule="auto"/>
        <w:textAlignment w:val="baseline"/>
        <w:rPr>
          <w:rFonts w:ascii="宋体" w:hAnsi="宋体" w:cs="宋体"/>
          <w:color w:val="auto"/>
          <w:sz w:val="36"/>
          <w:szCs w:val="36"/>
          <w:highlight w:val="none"/>
        </w:rPr>
      </w:pP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地址：</w:t>
      </w: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spacing w:line="360" w:lineRule="auto"/>
        <w:jc w:val="center"/>
        <w:textAlignment w:val="baseline"/>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pPr>
        <w:spacing w:line="360" w:lineRule="auto"/>
        <w:textAlignment w:val="baseline"/>
        <w:rPr>
          <w:rFonts w:ascii="宋体" w:hAnsi="宋体" w:cs="宋体"/>
          <w:color w:val="auto"/>
          <w:sz w:val="24"/>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（1）投标声明书（附件2）；</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（2）授权委托书；（法定代表人亲自办理投标事宜的，则无需提交）（附件3）</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（4）具有良好的商业信誉和健全的财务会计制度的承诺（附件5）；</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（5）依法缴纳税收和社会保障资金的承诺（附件6）；</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（6）参加政府采购活动前三年内，在经营活动中没有重大违法记录（附件7）；</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（7）联合体协议；（如为联合体投标）（附件8）</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（8）需要说明的其他资料。</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6"/>
        <w:numPr>
          <w:ilvl w:val="0"/>
          <w:numId w:val="21"/>
        </w:numPr>
        <w:jc w:val="center"/>
        <w:textAlignment w:val="baseline"/>
        <w:rPr>
          <w:rFonts w:ascii="宋体" w:hAnsi="宋体" w:cs="宋体"/>
          <w:color w:val="auto"/>
          <w:highlight w:val="none"/>
        </w:rPr>
      </w:pPr>
      <w:bookmarkStart w:id="78" w:name="_Toc3972"/>
      <w:r>
        <w:rPr>
          <w:rFonts w:hint="eastAsia" w:ascii="宋体" w:hAnsi="宋体" w:cs="宋体"/>
          <w:color w:val="auto"/>
          <w:highlight w:val="none"/>
        </w:rPr>
        <w:t>附件2-投标声明书</w:t>
      </w:r>
      <w:bookmarkEnd w:id="78"/>
    </w:p>
    <w:p>
      <w:pPr>
        <w:snapToGrid w:val="0"/>
        <w:spacing w:line="360" w:lineRule="auto"/>
        <w:ind w:right="480"/>
        <w:jc w:val="center"/>
        <w:textAlignment w:val="baseline"/>
        <w:rPr>
          <w:rFonts w:ascii="宋体" w:hAnsi="宋体" w:cs="宋体"/>
          <w:color w:val="auto"/>
          <w:sz w:val="24"/>
          <w:highlight w:val="none"/>
          <w:u w:val="single"/>
        </w:rPr>
      </w:pPr>
      <w:r>
        <w:rPr>
          <w:rFonts w:hint="eastAsia" w:ascii="宋体" w:hAnsi="宋体" w:cs="宋体"/>
          <w:b/>
          <w:color w:val="auto"/>
          <w:kern w:val="0"/>
          <w:sz w:val="24"/>
          <w:highlight w:val="none"/>
          <w:lang w:val="zh-CN"/>
        </w:rPr>
        <w:t>投标声明书</w:t>
      </w:r>
    </w:p>
    <w:p>
      <w:pPr>
        <w:snapToGrid w:val="0"/>
        <w:spacing w:line="360" w:lineRule="auto"/>
        <w:textAlignment w:val="baseline"/>
        <w:rPr>
          <w:rFonts w:ascii="宋体" w:hAnsi="宋体" w:cs="宋体"/>
          <w:color w:val="auto"/>
          <w:kern w:val="0"/>
          <w:sz w:val="24"/>
          <w:highlight w:val="none"/>
          <w:u w:val="single"/>
        </w:rPr>
      </w:pPr>
      <w:r>
        <w:rPr>
          <w:rFonts w:hint="eastAsia" w:ascii="宋体" w:hAnsi="宋体" w:cs="宋体"/>
          <w:color w:val="auto"/>
          <w:sz w:val="24"/>
          <w:highlight w:val="none"/>
          <w:u w:val="single" w:color="000000"/>
        </w:rPr>
        <w:t>浙江五石中正工程咨询有限公司</w:t>
      </w:r>
      <w:r>
        <w:rPr>
          <w:rFonts w:hint="eastAsia" w:ascii="宋体" w:hAnsi="宋体" w:cs="宋体"/>
          <w:color w:val="auto"/>
          <w:sz w:val="24"/>
          <w:highlight w:val="none"/>
        </w:rPr>
        <w:t>（采购代理机构名称）：</w:t>
      </w:r>
    </w:p>
    <w:p>
      <w:pPr>
        <w:snapToGrid w:val="0"/>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u w:val="single" w:color="000000"/>
        </w:rPr>
        <w:t>（投标人名称）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color="000000"/>
        </w:rPr>
        <w:t>姓名</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color="000000"/>
        </w:rPr>
        <w:t>投标人名称</w:t>
      </w:r>
      <w:r>
        <w:rPr>
          <w:rFonts w:hint="eastAsia" w:ascii="宋体" w:hAnsi="宋体" w:cs="宋体"/>
          <w:color w:val="auto"/>
          <w:kern w:val="0"/>
          <w:sz w:val="24"/>
          <w:highlight w:val="none"/>
        </w:rPr>
        <w:t>）的法定代表人，我公司自愿参加贵方组织的</w:t>
      </w:r>
      <w:r>
        <w:rPr>
          <w:rFonts w:ascii="宋体" w:hAnsi="宋体" w:cs="宋体"/>
          <w:color w:val="auto"/>
          <w:sz w:val="24"/>
          <w:highlight w:val="none"/>
          <w:u w:val="single"/>
        </w:rPr>
        <w:t>台州市不动产登记数据质量提升项目</w:t>
      </w:r>
      <w:r>
        <w:rPr>
          <w:rFonts w:hint="eastAsia" w:ascii="宋体" w:hAnsi="宋体" w:cs="宋体"/>
          <w:color w:val="auto"/>
          <w:kern w:val="0"/>
          <w:sz w:val="24"/>
          <w:highlight w:val="none"/>
        </w:rPr>
        <w:t>（编号为）的投标，为此，我公司就本次投标有关事项郑重声明如下：</w:t>
      </w:r>
    </w:p>
    <w:p>
      <w:pPr>
        <w:snapToGrid w:val="0"/>
        <w:spacing w:line="360" w:lineRule="auto"/>
        <w:ind w:firstLine="480" w:firstLineChars="200"/>
        <w:textAlignment w:val="baseline"/>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textAlignment w:val="baseline"/>
        <w:rPr>
          <w:rFonts w:ascii="宋体" w:hAnsi="宋体" w:cs="宋体"/>
          <w:color w:val="auto"/>
          <w:kern w:val="0"/>
          <w:sz w:val="24"/>
          <w:highlight w:val="none"/>
          <w:lang w:val="af-ZA"/>
        </w:rPr>
      </w:pPr>
      <w:r>
        <w:rPr>
          <w:rFonts w:hint="eastAsia" w:ascii="宋体" w:hAnsi="宋体" w:cs="宋体"/>
          <w:color w:val="auto"/>
          <w:sz w:val="24"/>
          <w:highlight w:val="none"/>
        </w:rPr>
        <w:t>4、</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s="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textAlignment w:val="baseline"/>
        <w:rPr>
          <w:rFonts w:ascii="宋体" w:hAnsi="宋体" w:cs="宋体"/>
          <w:color w:val="auto"/>
          <w:kern w:val="0"/>
          <w:sz w:val="24"/>
          <w:highlight w:val="none"/>
        </w:rPr>
      </w:pPr>
      <w:r>
        <w:rPr>
          <w:rFonts w:hint="eastAsia" w:ascii="宋体" w:hAnsi="宋体" w:cs="宋体"/>
          <w:color w:val="auto"/>
          <w:sz w:val="24"/>
          <w:highlight w:val="none"/>
        </w:rPr>
        <w:t>6、以上事项如有虚假或隐瞒，我</w:t>
      </w:r>
      <w:r>
        <w:rPr>
          <w:rFonts w:hint="eastAsia" w:ascii="宋体" w:hAnsi="宋体" w:cs="宋体"/>
          <w:color w:val="auto"/>
          <w:kern w:val="0"/>
          <w:sz w:val="24"/>
          <w:highlight w:val="none"/>
          <w:lang w:val="zh-CN"/>
        </w:rPr>
        <w:t>公司</w:t>
      </w:r>
      <w:r>
        <w:rPr>
          <w:rFonts w:hint="eastAsia" w:ascii="宋体" w:hAnsi="宋体" w:cs="宋体"/>
          <w:color w:val="auto"/>
          <w:sz w:val="24"/>
          <w:highlight w:val="none"/>
        </w:rPr>
        <w:t>愿意承担一切后果，并不再寻求任何旨在减轻或免除法律责任的辩解。</w:t>
      </w:r>
    </w:p>
    <w:p>
      <w:pPr>
        <w:snapToGrid w:val="0"/>
        <w:spacing w:line="360" w:lineRule="auto"/>
        <w:jc w:val="left"/>
        <w:textAlignment w:val="baseline"/>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投标人名称(公章)：</w:t>
      </w:r>
    </w:p>
    <w:p>
      <w:pPr>
        <w:snapToGrid w:val="0"/>
        <w:spacing w:line="360" w:lineRule="auto"/>
        <w:jc w:val="left"/>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w:t>
      </w:r>
      <w:r>
        <w:rPr>
          <w:rFonts w:hint="eastAsia" w:ascii="宋体" w:hAnsi="宋体" w:cs="宋体"/>
          <w:color w:val="auto"/>
          <w:sz w:val="24"/>
          <w:highlight w:val="none"/>
        </w:rPr>
        <w:t>签字或盖章</w:t>
      </w:r>
      <w:r>
        <w:rPr>
          <w:rFonts w:hint="eastAsia" w:ascii="宋体" w:hAnsi="宋体" w:cs="宋体"/>
          <w:color w:val="auto"/>
          <w:kern w:val="0"/>
          <w:sz w:val="24"/>
          <w:highlight w:val="none"/>
          <w:lang w:val="zh-CN"/>
        </w:rPr>
        <w:t>)或授权委托代理人(签字)：</w:t>
      </w:r>
    </w:p>
    <w:p>
      <w:pPr>
        <w:snapToGrid w:val="0"/>
        <w:spacing w:line="360" w:lineRule="auto"/>
        <w:ind w:right="480"/>
        <w:jc w:val="left"/>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日期：年月日</w:t>
      </w:r>
    </w:p>
    <w:p>
      <w:pPr>
        <w:pStyle w:val="6"/>
        <w:numPr>
          <w:ilvl w:val="0"/>
          <w:numId w:val="21"/>
        </w:numPr>
        <w:jc w:val="center"/>
        <w:textAlignment w:val="baseline"/>
        <w:rPr>
          <w:rFonts w:ascii="宋体" w:hAnsi="宋体" w:cs="宋体"/>
          <w:color w:val="auto"/>
          <w:highlight w:val="none"/>
        </w:rPr>
      </w:pPr>
      <w:bookmarkStart w:id="79" w:name="_Toc28552"/>
      <w:r>
        <w:rPr>
          <w:rFonts w:hint="eastAsia" w:ascii="宋体" w:hAnsi="宋体" w:cs="宋体"/>
          <w:color w:val="auto"/>
          <w:highlight w:val="none"/>
        </w:rPr>
        <w:t>附件3-授权委托书</w:t>
      </w:r>
      <w:bookmarkEnd w:id="79"/>
    </w:p>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授权委托书</w:t>
      </w:r>
    </w:p>
    <w:p>
      <w:pPr>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u w:val="single" w:color="000000"/>
        </w:rPr>
        <w:t>浙江五石中正工程咨询有限公司</w:t>
      </w:r>
      <w:r>
        <w:rPr>
          <w:rFonts w:hint="eastAsia" w:ascii="宋体" w:hAnsi="宋体" w:cs="宋体"/>
          <w:color w:val="auto"/>
          <w:sz w:val="24"/>
          <w:highlight w:val="none"/>
        </w:rPr>
        <w:t>（采购代理机构名称）：</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u w:val="single" w:color="000000"/>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color="000000"/>
        </w:rPr>
        <w:tab/>
      </w:r>
      <w:r>
        <w:rPr>
          <w:rFonts w:hint="eastAsia" w:ascii="宋体" w:hAnsi="宋体" w:cs="宋体"/>
          <w:color w:val="auto"/>
          <w:sz w:val="24"/>
          <w:highlight w:val="none"/>
          <w:u w:val="single" w:color="000000"/>
        </w:rPr>
        <w:t>（法定代表人或营业执照中单位负责人姓名）</w:t>
      </w:r>
      <w:r>
        <w:rPr>
          <w:rFonts w:hint="eastAsia" w:ascii="宋体" w:hAnsi="宋体" w:cs="宋体"/>
          <w:color w:val="auto"/>
          <w:sz w:val="24"/>
          <w:highlight w:val="none"/>
        </w:rPr>
        <w:t>授权</w:t>
      </w:r>
      <w:r>
        <w:rPr>
          <w:rFonts w:hint="eastAsia" w:ascii="宋体" w:hAnsi="宋体" w:cs="宋体"/>
          <w:color w:val="auto"/>
          <w:sz w:val="24"/>
          <w:highlight w:val="none"/>
          <w:u w:val="single" w:color="000000"/>
        </w:rPr>
        <w:t>（授权委托代理人姓名）</w:t>
      </w:r>
      <w:r>
        <w:rPr>
          <w:rFonts w:hint="eastAsia" w:ascii="宋体" w:hAnsi="宋体" w:cs="宋体"/>
          <w:color w:val="auto"/>
          <w:sz w:val="24"/>
          <w:highlight w:val="none"/>
        </w:rPr>
        <w:t>为授权委托代理人，参加贵单位组织的</w:t>
      </w:r>
      <w:r>
        <w:rPr>
          <w:rFonts w:ascii="宋体" w:hAnsi="宋体" w:cs="宋体"/>
          <w:color w:val="auto"/>
          <w:sz w:val="24"/>
          <w:highlight w:val="none"/>
          <w:u w:val="single"/>
        </w:rPr>
        <w:t>台州市不动产登记数据质量提升项目</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授权委托代理人无转委托权，特此委托。</w:t>
      </w: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投标人全称（公章）：</w:t>
      </w:r>
      <w:r>
        <w:rPr>
          <w:rFonts w:hint="eastAsia" w:ascii="宋体" w:hAnsi="宋体" w:cs="宋体"/>
          <w:color w:val="auto"/>
          <w:sz w:val="24"/>
          <w:highlight w:val="none"/>
          <w:lang w:val="zh-CN"/>
        </w:rPr>
        <w:t>日期：年月日</w:t>
      </w:r>
    </w:p>
    <w:p>
      <w:pPr>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法定代表人姓名：</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手机：</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textAlignment w:val="baseline"/>
        <w:rPr>
          <w:rFonts w:ascii="宋体" w:hAnsi="宋体" w:cs="宋体"/>
          <w:b/>
          <w:color w:val="auto"/>
          <w:sz w:val="24"/>
          <w:highlight w:val="none"/>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授权委托代理人姓名：</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职务：</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手机：</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邮政编码：</w:t>
      </w:r>
    </w:p>
    <w:p>
      <w:pPr>
        <w:pStyle w:val="6"/>
        <w:numPr>
          <w:ilvl w:val="0"/>
          <w:numId w:val="21"/>
        </w:numPr>
        <w:textAlignment w:val="baseline"/>
        <w:rPr>
          <w:rFonts w:ascii="宋体" w:hAnsi="宋体" w:cs="宋体"/>
          <w:color w:val="auto"/>
          <w:highlight w:val="none"/>
        </w:rPr>
      </w:pPr>
      <w:bookmarkStart w:id="80" w:name="_Toc484"/>
      <w:r>
        <w:rPr>
          <w:rFonts w:hint="eastAsia" w:ascii="宋体" w:hAnsi="宋体" w:cs="宋体"/>
          <w:color w:val="auto"/>
          <w:highlight w:val="none"/>
        </w:rPr>
        <w:t>附件4-有效的法人或者其他组织营业执照等证明文件</w:t>
      </w:r>
      <w:bookmarkEnd w:id="80"/>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有效的法人或者其他组织的营业执照等证明文件（复印件），自然人的身份证明</w:t>
      </w:r>
    </w:p>
    <w:p>
      <w:pPr>
        <w:pStyle w:val="27"/>
        <w:spacing w:line="360" w:lineRule="auto"/>
        <w:ind w:left="458" w:hanging="458"/>
        <w:jc w:val="center"/>
        <w:textAlignment w:val="baseline"/>
        <w:rPr>
          <w:rFonts w:ascii="宋体" w:hAnsi="宋体" w:cs="宋体"/>
          <w:b/>
          <w:color w:val="auto"/>
          <w:spacing w:val="-6"/>
          <w:sz w:val="24"/>
          <w:highlight w:val="none"/>
        </w:rPr>
      </w:pPr>
    </w:p>
    <w:p>
      <w:pPr>
        <w:pStyle w:val="27"/>
        <w:spacing w:line="360" w:lineRule="auto"/>
        <w:ind w:left="458" w:hanging="458"/>
        <w:jc w:val="center"/>
        <w:textAlignment w:val="baseline"/>
        <w:rPr>
          <w:rFonts w:ascii="宋体" w:hAnsi="宋体" w:cs="宋体"/>
          <w:b/>
          <w:color w:val="auto"/>
          <w:spacing w:val="-6"/>
          <w:sz w:val="24"/>
          <w:highlight w:val="none"/>
        </w:rPr>
      </w:pPr>
    </w:p>
    <w:p>
      <w:pPr>
        <w:spacing w:line="360" w:lineRule="auto"/>
        <w:textAlignment w:val="baseline"/>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1.如供应商是企业（包括合伙企业），提供在工商部门注册的有效“企业法人营业执照”或“营业执照”；</w:t>
      </w: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2.如供应商是事业单位，提供有效的“事业单位法人证书”；</w:t>
      </w: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3.如供应商是非企业专业服务机构的，提供执业许可证等证明文件；</w:t>
      </w: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4.如供应商是个体工商户，提供有效的“个体工商户营业执照”；</w:t>
      </w:r>
    </w:p>
    <w:p>
      <w:pPr>
        <w:spacing w:line="360" w:lineRule="auto"/>
        <w:textAlignment w:val="baseline"/>
        <w:rPr>
          <w:rFonts w:ascii="宋体" w:hAnsi="宋体" w:cs="宋体"/>
          <w:b/>
          <w:color w:val="auto"/>
          <w:sz w:val="24"/>
          <w:highlight w:val="none"/>
        </w:rPr>
      </w:pPr>
      <w:r>
        <w:rPr>
          <w:rFonts w:hint="eastAsia" w:ascii="宋体" w:hAnsi="宋体" w:cs="宋体"/>
          <w:b/>
          <w:color w:val="auto"/>
          <w:sz w:val="24"/>
          <w:highlight w:val="none"/>
        </w:rPr>
        <w:t>5.如供应商是自然人，提供有效的自然人身份证明。</w:t>
      </w:r>
    </w:p>
    <w:p>
      <w:pPr>
        <w:spacing w:after="312" w:line="480" w:lineRule="auto"/>
        <w:jc w:val="left"/>
        <w:textAlignment w:val="baseline"/>
        <w:rPr>
          <w:rFonts w:ascii="宋体" w:hAnsi="宋体" w:cs="宋体"/>
          <w:b/>
          <w:color w:val="auto"/>
          <w:sz w:val="28"/>
          <w:highlight w:val="none"/>
        </w:rPr>
      </w:pPr>
      <w:r>
        <w:rPr>
          <w:rFonts w:hint="eastAsia" w:ascii="宋体" w:hAnsi="宋体" w:cs="宋体"/>
          <w:b/>
          <w:color w:val="auto"/>
          <w:sz w:val="24"/>
          <w:highlight w:val="none"/>
        </w:rPr>
        <w:br w:type="page"/>
      </w:r>
    </w:p>
    <w:p>
      <w:pPr>
        <w:pStyle w:val="6"/>
        <w:numPr>
          <w:ilvl w:val="0"/>
          <w:numId w:val="21"/>
        </w:numPr>
        <w:jc w:val="center"/>
        <w:textAlignment w:val="baseline"/>
        <w:rPr>
          <w:rFonts w:ascii="宋体" w:hAnsi="宋体" w:cs="宋体"/>
          <w:color w:val="auto"/>
          <w:highlight w:val="none"/>
        </w:rPr>
      </w:pPr>
      <w:bookmarkStart w:id="81" w:name="_Toc12039"/>
      <w:r>
        <w:rPr>
          <w:rFonts w:hint="eastAsia" w:ascii="宋体" w:hAnsi="宋体" w:cs="宋体"/>
          <w:color w:val="auto"/>
          <w:highlight w:val="none"/>
        </w:rPr>
        <w:t>附件5-具备健全的财务会计制度的承诺函</w:t>
      </w:r>
      <w:bookmarkEnd w:id="81"/>
    </w:p>
    <w:p>
      <w:pPr>
        <w:spacing w:after="312" w:line="480" w:lineRule="auto"/>
        <w:jc w:val="center"/>
        <w:textAlignment w:val="baseline"/>
        <w:rPr>
          <w:rFonts w:ascii="宋体" w:hAnsi="宋体" w:cs="宋体"/>
          <w:color w:val="auto"/>
          <w:sz w:val="24"/>
          <w:highlight w:val="none"/>
        </w:rPr>
      </w:pPr>
      <w:r>
        <w:rPr>
          <w:rFonts w:hint="eastAsia" w:ascii="宋体" w:hAnsi="宋体" w:cs="宋体"/>
          <w:b/>
          <w:bCs/>
          <w:color w:val="auto"/>
          <w:kern w:val="0"/>
          <w:sz w:val="24"/>
          <w:highlight w:val="none"/>
          <w:lang w:val="zh-CN"/>
        </w:rPr>
        <w:t>具备健全的财务会计制度的承诺函</w:t>
      </w:r>
    </w:p>
    <w:p>
      <w:pPr>
        <w:widowControl/>
        <w:spacing w:line="600" w:lineRule="exact"/>
        <w:textAlignment w:val="baseline"/>
        <w:rPr>
          <w:rFonts w:ascii="宋体" w:hAnsi="宋体" w:cs="宋体"/>
          <w:color w:val="auto"/>
          <w:kern w:val="0"/>
          <w:sz w:val="24"/>
          <w:highlight w:val="none"/>
        </w:rPr>
      </w:pPr>
    </w:p>
    <w:p>
      <w:pPr>
        <w:widowControl/>
        <w:spacing w:line="600" w:lineRule="exact"/>
        <w:textAlignment w:val="baseline"/>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color="000000"/>
        </w:rPr>
        <w:t>台州市</w:t>
      </w:r>
      <w:r>
        <w:rPr>
          <w:rFonts w:hint="eastAsia" w:ascii="宋体" w:hAnsi="宋体" w:cs="宋体"/>
          <w:color w:val="auto"/>
          <w:sz w:val="24"/>
          <w:highlight w:val="none"/>
          <w:u w:val="single" w:color="000000"/>
          <w:lang w:eastAsia="zh-CN"/>
        </w:rPr>
        <w:t>不动产登记服务中心</w:t>
      </w:r>
      <w:r>
        <w:rPr>
          <w:rFonts w:hint="eastAsia" w:ascii="宋体" w:hAnsi="宋体" w:cs="宋体"/>
          <w:color w:val="auto"/>
          <w:sz w:val="24"/>
          <w:highlight w:val="none"/>
          <w:u w:val="single" w:color="000000"/>
        </w:rPr>
        <w:t>、浙江五石中正工程咨询有限公司</w:t>
      </w:r>
    </w:p>
    <w:p>
      <w:pPr>
        <w:pStyle w:val="2"/>
        <w:spacing w:line="600" w:lineRule="exact"/>
        <w:ind w:firstLine="480" w:firstLineChars="200"/>
        <w:textAlignment w:val="baseline"/>
        <w:rPr>
          <w:rFonts w:ascii="宋体" w:hAnsi="宋体" w:cs="宋体"/>
          <w:color w:val="auto"/>
          <w:highlight w:val="none"/>
        </w:rPr>
      </w:pPr>
      <w:r>
        <w:rPr>
          <w:rFonts w:hint="eastAsia" w:ascii="宋体" w:hAnsi="宋体" w:cs="宋体"/>
          <w:color w:val="auto"/>
          <w:highlight w:val="none"/>
        </w:rPr>
        <w:t>我公司参加</w:t>
      </w:r>
      <w:r>
        <w:rPr>
          <w:rFonts w:ascii="宋体" w:hAnsi="宋体" w:cs="宋体"/>
          <w:color w:val="auto"/>
          <w:highlight w:val="none"/>
          <w:u w:val="single"/>
        </w:rPr>
        <w:t>台州市不动产登记数据质量提升项目</w:t>
      </w:r>
      <w:r>
        <w:rPr>
          <w:rFonts w:hint="eastAsia" w:ascii="宋体" w:hAnsi="宋体" w:cs="宋体"/>
          <w:color w:val="auto"/>
          <w:highlight w:val="none"/>
          <w:u w:val="single" w:color="000000"/>
        </w:rPr>
        <w:t>（编号为）</w:t>
      </w:r>
      <w:r>
        <w:rPr>
          <w:rFonts w:hint="eastAsia" w:ascii="宋体" w:hAnsi="宋体" w:cs="宋体"/>
          <w:color w:val="auto"/>
          <w:highlight w:val="none"/>
        </w:rPr>
        <w:t>的投标活动，作如下承诺：</w:t>
      </w:r>
    </w:p>
    <w:p>
      <w:pPr>
        <w:pStyle w:val="2"/>
        <w:spacing w:line="600" w:lineRule="exact"/>
        <w:ind w:firstLine="480" w:firstLineChars="200"/>
        <w:textAlignment w:val="baseline"/>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pPr>
        <w:spacing w:line="60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360" w:lineRule="auto"/>
        <w:textAlignment w:val="baseline"/>
        <w:rPr>
          <w:rFonts w:ascii="宋体" w:hAnsi="宋体" w:cs="宋体"/>
          <w:color w:val="auto"/>
          <w:sz w:val="24"/>
          <w:highlight w:val="none"/>
          <w:lang w:val="zh-CN"/>
        </w:rPr>
      </w:pPr>
    </w:p>
    <w:p>
      <w:pPr>
        <w:pStyle w:val="2"/>
        <w:textAlignment w:val="baseline"/>
        <w:rPr>
          <w:rFonts w:ascii="宋体" w:hAnsi="宋体" w:cs="宋体"/>
          <w:color w:val="auto"/>
          <w:highlight w:val="none"/>
          <w:lang w:val="zh-CN"/>
        </w:rPr>
      </w:pPr>
    </w:p>
    <w:p>
      <w:pPr>
        <w:pStyle w:val="2"/>
        <w:textAlignment w:val="baseline"/>
        <w:rPr>
          <w:rFonts w:ascii="宋体" w:hAnsi="宋体" w:cs="宋体"/>
          <w:color w:val="auto"/>
          <w:highlight w:val="none"/>
          <w:lang w:val="zh-CN"/>
        </w:rPr>
      </w:pPr>
    </w:p>
    <w:p>
      <w:pPr>
        <w:pStyle w:val="2"/>
        <w:textAlignment w:val="baseline"/>
        <w:rPr>
          <w:rFonts w:ascii="宋体" w:hAnsi="宋体" w:cs="宋体"/>
          <w:color w:val="auto"/>
          <w:highlight w:val="none"/>
          <w:lang w:val="zh-CN"/>
        </w:rPr>
      </w:pPr>
    </w:p>
    <w:p>
      <w:pPr>
        <w:widowControl/>
        <w:spacing w:line="360" w:lineRule="auto"/>
        <w:jc w:val="right"/>
        <w:textAlignment w:val="baseline"/>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pPr>
        <w:widowControl/>
        <w:spacing w:line="360" w:lineRule="auto"/>
        <w:jc w:val="left"/>
        <w:textAlignment w:val="baseline"/>
        <w:rPr>
          <w:rFonts w:ascii="宋体" w:hAnsi="宋体" w:cs="宋体"/>
          <w:color w:val="auto"/>
          <w:kern w:val="0"/>
          <w:sz w:val="24"/>
          <w:highlight w:val="none"/>
        </w:rPr>
      </w:pPr>
    </w:p>
    <w:p>
      <w:pPr>
        <w:widowControl/>
        <w:spacing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line="360" w:lineRule="auto"/>
        <w:jc w:val="left"/>
        <w:textAlignment w:val="baseline"/>
        <w:rPr>
          <w:rFonts w:ascii="宋体" w:hAnsi="宋体" w:cs="宋体"/>
          <w:color w:val="auto"/>
          <w:kern w:val="0"/>
          <w:sz w:val="24"/>
          <w:highlight w:val="none"/>
        </w:rPr>
      </w:pPr>
    </w:p>
    <w:p>
      <w:pPr>
        <w:spacing w:line="360" w:lineRule="auto"/>
        <w:jc w:val="right"/>
        <w:textAlignment w:val="baseline"/>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lang w:val="zh-CN"/>
        </w:rPr>
        <w:t>年月日</w:t>
      </w:r>
    </w:p>
    <w:p>
      <w:pPr>
        <w:spacing w:line="360" w:lineRule="auto"/>
        <w:textAlignment w:val="baseline"/>
        <w:rPr>
          <w:rFonts w:ascii="宋体" w:hAnsi="宋体" w:cs="宋体"/>
          <w:b/>
          <w:bCs/>
          <w:color w:val="auto"/>
          <w:spacing w:val="-6"/>
          <w:sz w:val="24"/>
          <w:highlight w:val="none"/>
        </w:rPr>
      </w:pPr>
    </w:p>
    <w:p>
      <w:pPr>
        <w:spacing w:line="360" w:lineRule="auto"/>
        <w:textAlignment w:val="baseline"/>
        <w:rPr>
          <w:rFonts w:ascii="宋体" w:hAnsi="宋体" w:cs="宋体"/>
          <w:b/>
          <w:color w:val="auto"/>
          <w:sz w:val="28"/>
          <w:highlight w:val="none"/>
        </w:rPr>
      </w:pPr>
      <w:r>
        <w:rPr>
          <w:rFonts w:hint="eastAsia" w:ascii="宋体" w:hAnsi="宋体" w:cs="宋体"/>
          <w:b/>
          <w:bCs/>
          <w:color w:val="auto"/>
          <w:spacing w:val="-6"/>
          <w:sz w:val="24"/>
          <w:highlight w:val="none"/>
        </w:rPr>
        <w:br w:type="page"/>
      </w:r>
    </w:p>
    <w:p>
      <w:pPr>
        <w:pStyle w:val="6"/>
        <w:numPr>
          <w:ilvl w:val="0"/>
          <w:numId w:val="21"/>
        </w:numPr>
        <w:textAlignment w:val="baseline"/>
        <w:rPr>
          <w:rFonts w:ascii="宋体" w:hAnsi="宋体" w:cs="宋体"/>
          <w:color w:val="auto"/>
          <w:highlight w:val="none"/>
        </w:rPr>
      </w:pPr>
      <w:bookmarkStart w:id="82" w:name="_Toc18601"/>
      <w:r>
        <w:rPr>
          <w:rFonts w:hint="eastAsia" w:ascii="宋体" w:hAnsi="宋体" w:cs="宋体"/>
          <w:color w:val="auto"/>
          <w:highlight w:val="none"/>
        </w:rPr>
        <w:t>附件6-无税收缴纳、社会保障等方面的失信记录的承诺函</w:t>
      </w:r>
      <w:bookmarkEnd w:id="82"/>
    </w:p>
    <w:p>
      <w:pPr>
        <w:spacing w:after="312" w:line="480" w:lineRule="auto"/>
        <w:jc w:val="center"/>
        <w:textAlignment w:val="baseline"/>
        <w:rPr>
          <w:rFonts w:ascii="宋体" w:hAnsi="宋体" w:cs="宋体"/>
          <w:color w:val="auto"/>
          <w:sz w:val="24"/>
          <w:highlight w:val="none"/>
        </w:rPr>
      </w:pPr>
      <w:r>
        <w:rPr>
          <w:rFonts w:hint="eastAsia" w:ascii="宋体" w:hAnsi="宋体" w:cs="宋体"/>
          <w:b/>
          <w:bCs/>
          <w:color w:val="auto"/>
          <w:kern w:val="0"/>
          <w:sz w:val="24"/>
          <w:highlight w:val="none"/>
          <w:lang w:val="zh-CN"/>
        </w:rPr>
        <w:t>无税收缴纳、社会保障等方面的失信记录的承诺函</w:t>
      </w:r>
    </w:p>
    <w:p>
      <w:pPr>
        <w:widowControl/>
        <w:spacing w:line="600" w:lineRule="exact"/>
        <w:textAlignment w:val="baseline"/>
        <w:rPr>
          <w:rFonts w:ascii="宋体" w:hAnsi="宋体" w:cs="宋体"/>
          <w:color w:val="auto"/>
          <w:kern w:val="0"/>
          <w:sz w:val="24"/>
          <w:highlight w:val="none"/>
        </w:rPr>
      </w:pPr>
    </w:p>
    <w:p>
      <w:pPr>
        <w:widowControl/>
        <w:spacing w:line="600" w:lineRule="exact"/>
        <w:textAlignment w:val="baseline"/>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color="000000"/>
        </w:rPr>
        <w:t>台州市</w:t>
      </w:r>
      <w:r>
        <w:rPr>
          <w:rFonts w:hint="eastAsia" w:ascii="宋体" w:hAnsi="宋体" w:cs="宋体"/>
          <w:color w:val="auto"/>
          <w:sz w:val="24"/>
          <w:highlight w:val="none"/>
          <w:u w:val="single" w:color="000000"/>
          <w:lang w:eastAsia="zh-CN"/>
        </w:rPr>
        <w:t>不动产登记服务中心</w:t>
      </w:r>
      <w:r>
        <w:rPr>
          <w:rFonts w:hint="eastAsia" w:ascii="宋体" w:hAnsi="宋体" w:cs="宋体"/>
          <w:color w:val="auto"/>
          <w:sz w:val="24"/>
          <w:highlight w:val="none"/>
          <w:u w:val="single" w:color="000000"/>
        </w:rPr>
        <w:t>、浙江五石中正工程咨询有限公司</w:t>
      </w:r>
    </w:p>
    <w:p>
      <w:pPr>
        <w:pStyle w:val="2"/>
        <w:spacing w:line="600" w:lineRule="exact"/>
        <w:ind w:firstLine="480" w:firstLineChars="200"/>
        <w:textAlignment w:val="baseline"/>
        <w:rPr>
          <w:rFonts w:ascii="宋体" w:hAnsi="宋体" w:cs="宋体"/>
          <w:color w:val="auto"/>
          <w:highlight w:val="none"/>
        </w:rPr>
      </w:pPr>
      <w:r>
        <w:rPr>
          <w:rFonts w:hint="eastAsia" w:ascii="宋体" w:hAnsi="宋体" w:cs="宋体"/>
          <w:color w:val="auto"/>
          <w:highlight w:val="none"/>
        </w:rPr>
        <w:t>我公司参加</w:t>
      </w:r>
      <w:r>
        <w:rPr>
          <w:rFonts w:ascii="宋体" w:hAnsi="宋体" w:cs="宋体"/>
          <w:color w:val="auto"/>
          <w:highlight w:val="none"/>
          <w:u w:val="single"/>
        </w:rPr>
        <w:t>台州市不动产登记数据质量提升项目</w:t>
      </w:r>
      <w:r>
        <w:rPr>
          <w:rFonts w:hint="eastAsia" w:ascii="宋体" w:hAnsi="宋体" w:cs="宋体"/>
          <w:color w:val="auto"/>
          <w:highlight w:val="none"/>
          <w:u w:val="single" w:color="000000"/>
        </w:rPr>
        <w:t xml:space="preserve">（编号为：       </w:t>
      </w:r>
      <w:r>
        <w:rPr>
          <w:rFonts w:hint="eastAsia" w:ascii="宋体" w:hAnsi="宋体" w:cs="宋体"/>
          <w:color w:val="auto"/>
          <w:highlight w:val="none"/>
        </w:rPr>
        <w:t>）的投标活动，作如下承诺：</w:t>
      </w:r>
    </w:p>
    <w:p>
      <w:pPr>
        <w:pStyle w:val="2"/>
        <w:spacing w:line="600" w:lineRule="exact"/>
        <w:ind w:firstLine="480" w:firstLineChars="200"/>
        <w:textAlignment w:val="baseline"/>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textAlignment w:val="baseline"/>
        <w:rPr>
          <w:rFonts w:ascii="宋体" w:hAnsi="宋体" w:cs="宋体"/>
          <w:color w:val="auto"/>
          <w:sz w:val="24"/>
          <w:highlight w:val="none"/>
        </w:rPr>
      </w:pPr>
      <w:r>
        <w:rPr>
          <w:rFonts w:hint="eastAsia" w:ascii="宋体" w:hAnsi="宋体" w:cs="宋体"/>
          <w:color w:val="auto"/>
          <w:sz w:val="24"/>
          <w:highlight w:val="none"/>
        </w:rPr>
        <w:t>如违反以上承诺，本公司愿承担一切法律责任。</w:t>
      </w:r>
    </w:p>
    <w:p>
      <w:pPr>
        <w:spacing w:line="360" w:lineRule="auto"/>
        <w:textAlignment w:val="baseline"/>
        <w:rPr>
          <w:rFonts w:ascii="宋体" w:hAnsi="宋体" w:cs="宋体"/>
          <w:color w:val="auto"/>
          <w:sz w:val="24"/>
          <w:highlight w:val="none"/>
          <w:lang w:val="zh-CN"/>
        </w:rPr>
      </w:pPr>
    </w:p>
    <w:p>
      <w:pPr>
        <w:pStyle w:val="2"/>
        <w:textAlignment w:val="baseline"/>
        <w:rPr>
          <w:rFonts w:ascii="宋体" w:hAnsi="宋体" w:cs="宋体"/>
          <w:color w:val="auto"/>
          <w:highlight w:val="none"/>
          <w:lang w:val="zh-CN"/>
        </w:rPr>
      </w:pPr>
    </w:p>
    <w:p>
      <w:pPr>
        <w:pStyle w:val="2"/>
        <w:textAlignment w:val="baseline"/>
        <w:rPr>
          <w:rFonts w:ascii="宋体" w:hAnsi="宋体" w:cs="宋体"/>
          <w:color w:val="auto"/>
          <w:highlight w:val="none"/>
          <w:lang w:val="zh-CN"/>
        </w:rPr>
      </w:pPr>
    </w:p>
    <w:p>
      <w:pPr>
        <w:widowControl/>
        <w:spacing w:line="360" w:lineRule="auto"/>
        <w:jc w:val="right"/>
        <w:textAlignment w:val="baseline"/>
        <w:rPr>
          <w:rFonts w:ascii="宋体" w:hAnsi="宋体" w:cs="宋体"/>
          <w:color w:val="auto"/>
          <w:kern w:val="0"/>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rPr>
        <w:t>(公章)：</w:t>
      </w:r>
    </w:p>
    <w:p>
      <w:pPr>
        <w:widowControl/>
        <w:spacing w:line="360" w:lineRule="auto"/>
        <w:jc w:val="left"/>
        <w:textAlignment w:val="baseline"/>
        <w:rPr>
          <w:rFonts w:ascii="宋体" w:hAnsi="宋体" w:cs="宋体"/>
          <w:color w:val="auto"/>
          <w:kern w:val="0"/>
          <w:sz w:val="24"/>
          <w:highlight w:val="none"/>
        </w:rPr>
      </w:pPr>
    </w:p>
    <w:p>
      <w:pPr>
        <w:widowControl/>
        <w:spacing w:line="360" w:lineRule="auto"/>
        <w:jc w:val="righ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法定代表人(签字或盖章)或授权委托代理人(签字)：</w:t>
      </w:r>
    </w:p>
    <w:p>
      <w:pPr>
        <w:widowControl/>
        <w:spacing w:line="360" w:lineRule="auto"/>
        <w:jc w:val="left"/>
        <w:textAlignment w:val="baseline"/>
        <w:rPr>
          <w:rFonts w:ascii="宋体" w:hAnsi="宋体" w:cs="宋体"/>
          <w:color w:val="auto"/>
          <w:kern w:val="0"/>
          <w:sz w:val="24"/>
          <w:highlight w:val="none"/>
        </w:rPr>
      </w:pPr>
    </w:p>
    <w:p>
      <w:pPr>
        <w:spacing w:line="360" w:lineRule="auto"/>
        <w:jc w:val="right"/>
        <w:textAlignment w:val="baseline"/>
        <w:rPr>
          <w:rFonts w:ascii="宋体" w:hAnsi="宋体" w:cs="宋体"/>
          <w:color w:val="auto"/>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lang w:val="zh-CN"/>
        </w:rPr>
        <w:t>年月日</w:t>
      </w:r>
    </w:p>
    <w:p>
      <w:pPr>
        <w:snapToGrid w:val="0"/>
        <w:spacing w:line="360" w:lineRule="auto"/>
        <w:ind w:right="480"/>
        <w:textAlignment w:val="baseline"/>
        <w:rPr>
          <w:rFonts w:ascii="宋体" w:hAnsi="宋体" w:cs="宋体"/>
          <w:b/>
          <w:color w:val="auto"/>
          <w:sz w:val="28"/>
          <w:highlight w:val="none"/>
        </w:rPr>
      </w:pPr>
    </w:p>
    <w:p>
      <w:pPr>
        <w:snapToGrid w:val="0"/>
        <w:spacing w:line="360" w:lineRule="auto"/>
        <w:ind w:right="480"/>
        <w:textAlignment w:val="baseline"/>
        <w:rPr>
          <w:rFonts w:ascii="宋体" w:hAnsi="宋体" w:cs="宋体"/>
          <w:b/>
          <w:color w:val="auto"/>
          <w:sz w:val="28"/>
          <w:highlight w:val="none"/>
        </w:rPr>
      </w:pPr>
    </w:p>
    <w:p>
      <w:pPr>
        <w:snapToGrid w:val="0"/>
        <w:spacing w:line="360" w:lineRule="auto"/>
        <w:ind w:right="480"/>
        <w:textAlignment w:val="baseline"/>
        <w:rPr>
          <w:rFonts w:ascii="宋体" w:hAnsi="宋体" w:cs="宋体"/>
          <w:b/>
          <w:color w:val="auto"/>
          <w:sz w:val="28"/>
          <w:highlight w:val="none"/>
        </w:rPr>
      </w:pPr>
    </w:p>
    <w:p>
      <w:pPr>
        <w:snapToGrid w:val="0"/>
        <w:spacing w:line="360" w:lineRule="auto"/>
        <w:ind w:right="480"/>
        <w:textAlignment w:val="baseline"/>
        <w:rPr>
          <w:rFonts w:ascii="宋体" w:hAnsi="宋体" w:cs="宋体"/>
          <w:b/>
          <w:color w:val="auto"/>
          <w:sz w:val="28"/>
          <w:highlight w:val="none"/>
        </w:rPr>
      </w:pPr>
    </w:p>
    <w:p>
      <w:pPr>
        <w:pStyle w:val="6"/>
        <w:numPr>
          <w:ilvl w:val="0"/>
          <w:numId w:val="21"/>
        </w:numPr>
        <w:textAlignment w:val="baseline"/>
        <w:rPr>
          <w:rFonts w:ascii="宋体" w:hAnsi="宋体" w:cs="宋体"/>
          <w:color w:val="auto"/>
          <w:highlight w:val="none"/>
        </w:rPr>
      </w:pPr>
      <w:bookmarkStart w:id="83" w:name="_Toc28568"/>
      <w:r>
        <w:rPr>
          <w:rFonts w:hint="eastAsia" w:ascii="宋体" w:hAnsi="宋体" w:cs="宋体"/>
          <w:color w:val="auto"/>
          <w:highlight w:val="none"/>
        </w:rPr>
        <w:t>附件7-参加政府采购活动前三年内，在经营活动中没有重大违法记录的声明函</w:t>
      </w:r>
      <w:bookmarkEnd w:id="83"/>
    </w:p>
    <w:p>
      <w:pPr>
        <w:spacing w:line="360" w:lineRule="auto"/>
        <w:ind w:firstLine="576" w:firstLineChars="200"/>
        <w:jc w:val="center"/>
        <w:textAlignment w:val="baseline"/>
        <w:rPr>
          <w:rFonts w:ascii="宋体" w:hAnsi="宋体" w:cs="宋体"/>
          <w:color w:val="auto"/>
          <w:spacing w:val="-6"/>
          <w:sz w:val="30"/>
          <w:szCs w:val="30"/>
          <w:highlight w:val="none"/>
        </w:rPr>
      </w:pPr>
      <w:r>
        <w:rPr>
          <w:rFonts w:hint="eastAsia" w:ascii="宋体" w:hAnsi="宋体" w:cs="宋体"/>
          <w:color w:val="auto"/>
          <w:spacing w:val="-6"/>
          <w:sz w:val="30"/>
          <w:szCs w:val="30"/>
          <w:highlight w:val="none"/>
        </w:rPr>
        <w:t>参加政府采购活动前3年内在经营活动中没有重大违法记录的声明函</w:t>
      </w:r>
    </w:p>
    <w:p>
      <w:pPr>
        <w:spacing w:line="360" w:lineRule="auto"/>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z w:val="24"/>
          <w:highlight w:val="none"/>
          <w:u w:val="single" w:color="000000"/>
        </w:rPr>
        <w:t>台州市</w:t>
      </w:r>
      <w:r>
        <w:rPr>
          <w:rFonts w:hint="eastAsia" w:ascii="宋体" w:hAnsi="宋体" w:cs="宋体"/>
          <w:color w:val="auto"/>
          <w:sz w:val="24"/>
          <w:highlight w:val="none"/>
          <w:u w:val="single" w:color="000000"/>
          <w:lang w:eastAsia="zh-CN"/>
        </w:rPr>
        <w:t>不动产登记服务中心</w:t>
      </w:r>
      <w:r>
        <w:rPr>
          <w:rFonts w:hint="eastAsia" w:ascii="宋体" w:hAnsi="宋体" w:cs="宋体"/>
          <w:color w:val="auto"/>
          <w:spacing w:val="-6"/>
          <w:sz w:val="24"/>
          <w:highlight w:val="none"/>
          <w:u w:val="single" w:color="000000"/>
        </w:rPr>
        <w:t>、浙江五石中正工程咨询有限公司</w:t>
      </w:r>
    </w:p>
    <w:p>
      <w:pPr>
        <w:spacing w:line="360" w:lineRule="auto"/>
        <w:ind w:firstLine="456" w:firstLineChars="200"/>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我公司郑重承诺在参加本项目政府采购活动前三年内，在经营活动中</w:t>
      </w:r>
      <w:r>
        <w:rPr>
          <w:rFonts w:hint="eastAsia" w:ascii="宋体" w:hAnsi="宋体" w:cs="宋体"/>
          <w:b/>
          <w:color w:val="auto"/>
          <w:spacing w:val="-6"/>
          <w:sz w:val="24"/>
          <w:highlight w:val="none"/>
        </w:rPr>
        <w:t>（填写“有”或“没有”，如实填写，如不填写视同未提供本声明函）</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以上事项如有虚假或隐瞒，我方愿意承担一切后果和责任。</w:t>
      </w:r>
    </w:p>
    <w:p>
      <w:pPr>
        <w:spacing w:line="360" w:lineRule="auto"/>
        <w:ind w:firstLine="456" w:firstLineChars="200"/>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特此声明。</w:t>
      </w:r>
    </w:p>
    <w:p>
      <w:pPr>
        <w:spacing w:line="360" w:lineRule="auto"/>
        <w:textAlignment w:val="baseline"/>
        <w:rPr>
          <w:rFonts w:ascii="宋体" w:hAnsi="宋体" w:cs="宋体"/>
          <w:color w:val="auto"/>
          <w:spacing w:val="-6"/>
          <w:sz w:val="24"/>
          <w:highlight w:val="none"/>
        </w:rPr>
      </w:pPr>
    </w:p>
    <w:p>
      <w:pPr>
        <w:pStyle w:val="95"/>
        <w:spacing w:line="360" w:lineRule="auto"/>
        <w:jc w:val="both"/>
        <w:textAlignment w:val="baseline"/>
        <w:rPr>
          <w:rFonts w:ascii="宋体" w:hAnsi="宋体" w:cs="宋体"/>
          <w:color w:val="auto"/>
          <w:spacing w:val="-6"/>
          <w:highlight w:val="none"/>
        </w:rPr>
      </w:pPr>
    </w:p>
    <w:p>
      <w:pPr>
        <w:pStyle w:val="96"/>
        <w:spacing w:line="360" w:lineRule="auto"/>
        <w:ind w:left="0"/>
        <w:textAlignment w:val="baseline"/>
        <w:rPr>
          <w:rFonts w:ascii="宋体" w:hAnsi="宋体" w:cs="宋体"/>
          <w:color w:val="auto"/>
          <w:sz w:val="24"/>
          <w:szCs w:val="24"/>
          <w:highlight w:val="none"/>
        </w:rPr>
      </w:pPr>
    </w:p>
    <w:p>
      <w:pPr>
        <w:spacing w:line="360" w:lineRule="auto"/>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供应商名称（盖章）：</w:t>
      </w:r>
    </w:p>
    <w:p>
      <w:pPr>
        <w:spacing w:line="360" w:lineRule="auto"/>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供应商授权代表签字：</w:t>
      </w:r>
    </w:p>
    <w:p>
      <w:pPr>
        <w:widowControl/>
        <w:tabs>
          <w:tab w:val="left" w:pos="3225"/>
        </w:tabs>
        <w:spacing w:line="360" w:lineRule="auto"/>
        <w:textAlignment w:val="baseline"/>
        <w:rPr>
          <w:rFonts w:ascii="宋体" w:hAnsi="宋体" w:cs="宋体"/>
          <w:color w:val="auto"/>
          <w:spacing w:val="-6"/>
          <w:sz w:val="24"/>
          <w:highlight w:val="none"/>
        </w:rPr>
      </w:pPr>
      <w:r>
        <w:rPr>
          <w:rFonts w:hint="eastAsia" w:ascii="宋体" w:hAnsi="宋体" w:cs="宋体"/>
          <w:color w:val="auto"/>
          <w:spacing w:val="-6"/>
          <w:sz w:val="24"/>
          <w:highlight w:val="none"/>
        </w:rPr>
        <w:t>日期：年月日</w:t>
      </w:r>
    </w:p>
    <w:p>
      <w:pPr>
        <w:snapToGrid w:val="0"/>
        <w:spacing w:line="360" w:lineRule="auto"/>
        <w:ind w:firstLine="2160" w:firstLineChars="900"/>
        <w:textAlignment w:val="baseline"/>
        <w:rPr>
          <w:rFonts w:ascii="宋体" w:hAnsi="宋体" w:cs="宋体"/>
          <w:color w:val="auto"/>
          <w:sz w:val="24"/>
          <w:highlight w:val="none"/>
          <w:lang w:val="zh-CN"/>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pStyle w:val="94"/>
        <w:ind w:firstLine="420"/>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6"/>
        <w:numPr>
          <w:ilvl w:val="0"/>
          <w:numId w:val="21"/>
        </w:numPr>
        <w:jc w:val="center"/>
        <w:textAlignment w:val="baseline"/>
        <w:rPr>
          <w:rFonts w:ascii="宋体" w:hAnsi="宋体" w:cs="宋体"/>
          <w:color w:val="auto"/>
          <w:highlight w:val="none"/>
        </w:rPr>
      </w:pPr>
      <w:bookmarkStart w:id="84" w:name="_Toc23163"/>
      <w:r>
        <w:rPr>
          <w:rFonts w:hint="eastAsia" w:ascii="宋体" w:hAnsi="宋体" w:cs="宋体"/>
          <w:color w:val="auto"/>
          <w:highlight w:val="none"/>
        </w:rPr>
        <w:t>附件8-联合体协议（若有）</w:t>
      </w:r>
      <w:bookmarkEnd w:id="84"/>
    </w:p>
    <w:p>
      <w:pPr>
        <w:snapToGrid w:val="0"/>
        <w:spacing w:line="360" w:lineRule="auto"/>
        <w:ind w:firstLine="576"/>
        <w:jc w:val="center"/>
        <w:textAlignment w:val="baseline"/>
        <w:rPr>
          <w:rFonts w:ascii="宋体" w:hAnsi="宋体" w:cs="宋体"/>
          <w:color w:val="auto"/>
          <w:kern w:val="0"/>
          <w:sz w:val="44"/>
          <w:szCs w:val="44"/>
          <w:highlight w:val="none"/>
        </w:rPr>
      </w:pPr>
      <w:r>
        <w:rPr>
          <w:rFonts w:hint="eastAsia" w:ascii="宋体" w:hAnsi="宋体" w:cs="宋体"/>
          <w:color w:val="auto"/>
          <w:kern w:val="0"/>
          <w:sz w:val="44"/>
          <w:szCs w:val="44"/>
          <w:highlight w:val="none"/>
        </w:rPr>
        <w:t>联合体协议</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u w:val="single" w:color="000000"/>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color="000000"/>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color="000000"/>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u w:val="single" w:color="000000"/>
        </w:rPr>
        <w:t>（联合体其中一方成员名称）</w:t>
      </w:r>
      <w:r>
        <w:rPr>
          <w:rFonts w:hint="eastAsia" w:ascii="宋体" w:hAnsi="宋体" w:cs="宋体"/>
          <w:color w:val="auto"/>
          <w:kern w:val="0"/>
          <w:sz w:val="24"/>
          <w:highlight w:val="none"/>
          <w:lang w:val="zh-CN"/>
        </w:rPr>
        <w:t>承担的工作和义务为： ；……。</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中小企业合同金额达到%，小微企业合同金额达到%</w:t>
      </w:r>
      <w:r>
        <w:rPr>
          <w:rFonts w:hint="eastAsia" w:ascii="宋体" w:hAnsi="宋体" w:cs="宋体"/>
          <w:color w:val="auto"/>
          <w:kern w:val="0"/>
          <w:sz w:val="24"/>
          <w:highlight w:val="none"/>
          <w:lang w:val="zh-CN"/>
        </w:rPr>
        <w:t>。</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4080" w:firstLineChars="17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080" w:firstLineChars="1700"/>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textAlignment w:val="baseline"/>
        <w:rPr>
          <w:rFonts w:ascii="宋体" w:hAnsi="宋体" w:cs="宋体"/>
          <w:color w:val="auto"/>
          <w:sz w:val="20"/>
          <w:highlight w:val="none"/>
        </w:rPr>
      </w:pPr>
      <w:r>
        <w:rPr>
          <w:rFonts w:hint="eastAsia" w:ascii="宋体" w:hAnsi="宋体" w:cs="宋体"/>
          <w:color w:val="auto"/>
          <w:kern w:val="0"/>
          <w:sz w:val="24"/>
          <w:highlight w:val="none"/>
          <w:lang w:val="zh-CN"/>
        </w:rPr>
        <w:t>……</w:t>
      </w:r>
    </w:p>
    <w:p>
      <w:pPr>
        <w:snapToGrid w:val="0"/>
        <w:spacing w:line="360" w:lineRule="auto"/>
        <w:textAlignment w:val="baseline"/>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firstLine="480" w:firstLineChars="200"/>
        <w:textAlignment w:val="baseline"/>
        <w:rPr>
          <w:rFonts w:ascii="宋体" w:hAnsi="宋体" w:cs="宋体"/>
          <w:color w:val="auto"/>
          <w:sz w:val="24"/>
          <w:highlight w:val="none"/>
        </w:rPr>
      </w:pPr>
    </w:p>
    <w:p>
      <w:pPr>
        <w:pStyle w:val="34"/>
        <w:textAlignment w:val="baseline"/>
        <w:rPr>
          <w:rFonts w:ascii="宋体" w:hAnsi="宋体" w:cs="宋体"/>
          <w:color w:val="auto"/>
          <w:highlight w:val="none"/>
        </w:rPr>
      </w:pPr>
    </w:p>
    <w:p>
      <w:pPr>
        <w:pStyle w:val="6"/>
        <w:numPr>
          <w:ilvl w:val="0"/>
          <w:numId w:val="21"/>
        </w:numPr>
        <w:jc w:val="center"/>
        <w:textAlignment w:val="baseline"/>
        <w:rPr>
          <w:rFonts w:ascii="宋体" w:hAnsi="宋体" w:cs="宋体"/>
          <w:color w:val="auto"/>
          <w:highlight w:val="none"/>
        </w:rPr>
      </w:pPr>
      <w:bookmarkStart w:id="85" w:name="_Toc2350"/>
      <w:r>
        <w:rPr>
          <w:rFonts w:hint="eastAsia" w:ascii="宋体" w:hAnsi="宋体" w:cs="宋体"/>
          <w:color w:val="auto"/>
          <w:highlight w:val="none"/>
        </w:rPr>
        <w:t>附件9-商务与技术文件封面及目录</w:t>
      </w:r>
      <w:bookmarkEnd w:id="85"/>
    </w:p>
    <w:p>
      <w:pPr>
        <w:spacing w:line="360" w:lineRule="auto"/>
        <w:textAlignment w:val="baseline"/>
        <w:rPr>
          <w:rFonts w:ascii="宋体" w:hAnsi="宋体" w:cs="宋体"/>
          <w:color w:val="auto"/>
          <w:sz w:val="24"/>
          <w:szCs w:val="32"/>
          <w:highlight w:val="none"/>
        </w:rPr>
      </w:pPr>
    </w:p>
    <w:p>
      <w:pPr>
        <w:spacing w:line="360" w:lineRule="auto"/>
        <w:jc w:val="center"/>
        <w:textAlignment w:val="baseline"/>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spacing w:line="360" w:lineRule="auto"/>
        <w:jc w:val="center"/>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pPr>
        <w:spacing w:line="360" w:lineRule="auto"/>
        <w:jc w:val="center"/>
        <w:textAlignment w:val="baseline"/>
        <w:rPr>
          <w:rFonts w:ascii="宋体" w:hAnsi="宋体" w:cs="宋体"/>
          <w:color w:val="auto"/>
          <w:sz w:val="84"/>
          <w:szCs w:val="84"/>
          <w:highlight w:val="none"/>
          <w:lang w:val="zh-CN"/>
        </w:rPr>
      </w:pPr>
    </w:p>
    <w:p>
      <w:pPr>
        <w:spacing w:line="360" w:lineRule="auto"/>
        <w:jc w:val="center"/>
        <w:textAlignment w:val="baseline"/>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投标文件</w:t>
      </w:r>
    </w:p>
    <w:p>
      <w:pPr>
        <w:spacing w:line="360" w:lineRule="auto"/>
        <w:jc w:val="center"/>
        <w:textAlignment w:val="baseline"/>
        <w:rPr>
          <w:rFonts w:ascii="宋体" w:hAnsi="宋体" w:cs="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pPr>
        <w:spacing w:line="360" w:lineRule="auto"/>
        <w:textAlignment w:val="baseline"/>
        <w:rPr>
          <w:rFonts w:ascii="宋体" w:hAnsi="宋体" w:cs="宋体"/>
          <w:color w:val="auto"/>
          <w:sz w:val="36"/>
          <w:szCs w:val="36"/>
          <w:highlight w:val="none"/>
        </w:rPr>
      </w:pP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地址：</w:t>
      </w:r>
    </w:p>
    <w:p>
      <w:pPr>
        <w:spacing w:line="360" w:lineRule="auto"/>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32"/>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spacing w:line="360" w:lineRule="auto"/>
        <w:jc w:val="center"/>
        <w:textAlignment w:val="baseline"/>
        <w:rPr>
          <w:rFonts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一、投标人情况介绍。</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二、技术服务响应表（包括建设内容、技术标准等）。</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三、投标实施方案</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1、项目实施方案。</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2、投标人实施团队成员介绍（包括项目实施人员及项目负责人的资质及社保证明等）。</w:t>
      </w:r>
    </w:p>
    <w:p>
      <w:pPr>
        <w:pStyle w:val="94"/>
        <w:spacing w:line="360" w:lineRule="auto"/>
        <w:ind w:firstLine="720" w:firstLineChars="300"/>
        <w:textAlignment w:val="baseline"/>
        <w:rPr>
          <w:rFonts w:ascii="宋体" w:hAnsi="宋体" w:cs="宋体"/>
          <w:color w:val="auto"/>
          <w:sz w:val="24"/>
          <w:highlight w:val="none"/>
        </w:rPr>
      </w:pPr>
      <w:r>
        <w:rPr>
          <w:rFonts w:hint="eastAsia" w:ascii="宋体" w:hAnsi="宋体" w:cs="宋体"/>
          <w:color w:val="auto"/>
          <w:sz w:val="24"/>
          <w:highlight w:val="none"/>
        </w:rPr>
        <w:t>3、商务响应表</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四、项目售后服务方案和售后服务机构情况</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五、案例业绩</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提供2019年1月1日（以合同签订之日为准）起至今的同类型指挥中心大屏系统项目案例(投标文件中提供中标通知书复印件、合同复印件、验收报告复印件)；</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六、评分办法中要求的相关的认证证书或文件及荣誉、方案等；</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投标人认为需要提供的其他资料。</w:t>
      </w:r>
    </w:p>
    <w:p>
      <w:pPr>
        <w:pStyle w:val="94"/>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七、投标人认为需要提供的其他内容。</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2"/>
        <w:textAlignment w:val="baseline"/>
        <w:rPr>
          <w:rFonts w:ascii="宋体" w:hAnsi="宋体" w:cs="宋体"/>
          <w:color w:val="auto"/>
          <w:szCs w:val="32"/>
          <w:highlight w:val="none"/>
        </w:rPr>
      </w:pPr>
    </w:p>
    <w:p>
      <w:pPr>
        <w:pStyle w:val="3"/>
        <w:textAlignment w:val="baseline"/>
        <w:rPr>
          <w:rFonts w:ascii="宋体" w:hAnsi="宋体" w:cs="宋体"/>
          <w:color w:val="auto"/>
          <w:sz w:val="24"/>
          <w:szCs w:val="32"/>
          <w:highlight w:val="none"/>
        </w:rPr>
      </w:pPr>
    </w:p>
    <w:p>
      <w:pPr>
        <w:pStyle w:val="4"/>
        <w:textAlignment w:val="baseline"/>
        <w:rPr>
          <w:rFonts w:ascii="宋体" w:hAnsi="宋体" w:cs="宋体"/>
          <w:color w:val="auto"/>
          <w:sz w:val="24"/>
          <w:szCs w:val="32"/>
          <w:highlight w:val="none"/>
        </w:rPr>
      </w:pPr>
    </w:p>
    <w:p>
      <w:pPr>
        <w:textAlignment w:val="baseline"/>
        <w:rPr>
          <w:rFonts w:ascii="宋体" w:hAnsi="宋体" w:cs="宋体"/>
          <w:color w:val="auto"/>
          <w:sz w:val="24"/>
          <w:szCs w:val="32"/>
          <w:highlight w:val="none"/>
        </w:rPr>
      </w:pPr>
    </w:p>
    <w:p>
      <w:pPr>
        <w:pStyle w:val="2"/>
        <w:textAlignment w:val="baseline"/>
        <w:rPr>
          <w:rFonts w:ascii="宋体" w:hAnsi="宋体" w:cs="宋体"/>
          <w:color w:val="auto"/>
          <w:szCs w:val="32"/>
          <w:highlight w:val="none"/>
        </w:rPr>
      </w:pPr>
    </w:p>
    <w:p>
      <w:pPr>
        <w:pStyle w:val="3"/>
        <w:textAlignment w:val="baseline"/>
        <w:rPr>
          <w:rFonts w:ascii="宋体" w:hAnsi="宋体" w:cs="宋体"/>
          <w:color w:val="auto"/>
          <w:sz w:val="24"/>
          <w:szCs w:val="32"/>
          <w:highlight w:val="none"/>
        </w:rPr>
      </w:pPr>
    </w:p>
    <w:p>
      <w:pPr>
        <w:pStyle w:val="4"/>
        <w:textAlignment w:val="baseline"/>
        <w:rPr>
          <w:rFonts w:ascii="宋体" w:hAnsi="宋体" w:cs="宋体"/>
          <w:color w:val="auto"/>
          <w:sz w:val="24"/>
          <w:szCs w:val="32"/>
          <w:highlight w:val="none"/>
        </w:rPr>
      </w:pPr>
    </w:p>
    <w:p>
      <w:pPr>
        <w:textAlignment w:val="baseline"/>
        <w:rPr>
          <w:rFonts w:ascii="宋体" w:hAnsi="宋体" w:cs="宋体"/>
          <w:color w:val="auto"/>
          <w:sz w:val="24"/>
          <w:szCs w:val="32"/>
          <w:highlight w:val="none"/>
        </w:rPr>
      </w:pPr>
    </w:p>
    <w:p>
      <w:pPr>
        <w:pStyle w:val="2"/>
        <w:textAlignment w:val="baseline"/>
        <w:rPr>
          <w:rFonts w:ascii="宋体" w:hAnsi="宋体" w:cs="宋体"/>
          <w:color w:val="auto"/>
          <w:szCs w:val="32"/>
          <w:highlight w:val="none"/>
        </w:rPr>
      </w:pPr>
    </w:p>
    <w:p>
      <w:pPr>
        <w:pStyle w:val="3"/>
        <w:textAlignment w:val="baseline"/>
        <w:rPr>
          <w:color w:val="auto"/>
          <w:highlight w:val="none"/>
        </w:rPr>
      </w:pPr>
    </w:p>
    <w:p>
      <w:pPr>
        <w:textAlignment w:val="baseline"/>
        <w:rPr>
          <w:color w:val="auto"/>
          <w:sz w:val="20"/>
          <w:highlight w:val="none"/>
        </w:rPr>
      </w:pPr>
    </w:p>
    <w:p>
      <w:pPr>
        <w:pStyle w:val="6"/>
        <w:numPr>
          <w:ilvl w:val="0"/>
          <w:numId w:val="21"/>
        </w:numPr>
        <w:jc w:val="center"/>
        <w:textAlignment w:val="baseline"/>
        <w:rPr>
          <w:rFonts w:ascii="宋体" w:hAnsi="宋体" w:cs="宋体"/>
          <w:color w:val="auto"/>
          <w:highlight w:val="none"/>
        </w:rPr>
      </w:pPr>
      <w:bookmarkStart w:id="86" w:name="_Toc17325"/>
      <w:r>
        <w:rPr>
          <w:rFonts w:hint="eastAsia" w:ascii="宋体" w:hAnsi="宋体" w:cs="宋体"/>
          <w:color w:val="auto"/>
          <w:highlight w:val="none"/>
        </w:rPr>
        <w:t>附件10-投标人基本情况表</w:t>
      </w:r>
      <w:bookmarkEnd w:id="86"/>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35"/>
        <w:tblW w:w="88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617"/>
        <w:gridCol w:w="367"/>
        <w:gridCol w:w="1251"/>
        <w:gridCol w:w="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880" w:type="dxa"/>
            <w:vAlign w:val="center"/>
          </w:tcPr>
          <w:p>
            <w:pPr>
              <w:pStyle w:val="68"/>
              <w:shd w:val="clear" w:color="auto" w:fill="FFFFFF"/>
              <w:spacing w:before="0" w:after="0"/>
              <w:jc w:val="both"/>
              <w:textAlignment w:val="baseline"/>
              <w:rPr>
                <w:bCs/>
                <w:color w:val="auto"/>
                <w:sz w:val="21"/>
                <w:szCs w:val="21"/>
                <w:highlight w:val="none"/>
              </w:rPr>
            </w:pPr>
            <w:r>
              <w:rPr>
                <w:rFonts w:hint="eastAsia"/>
                <w:bCs/>
                <w:color w:val="auto"/>
                <w:spacing w:val="27"/>
                <w:sz w:val="21"/>
                <w:szCs w:val="21"/>
                <w:highlight w:val="none"/>
              </w:rPr>
              <w:t>企业名称</w:t>
            </w:r>
          </w:p>
        </w:tc>
        <w:tc>
          <w:tcPr>
            <w:tcW w:w="3765" w:type="dxa"/>
            <w:gridSpan w:val="6"/>
            <w:vAlign w:val="center"/>
          </w:tcPr>
          <w:p>
            <w:pPr>
              <w:pStyle w:val="68"/>
              <w:shd w:val="clear" w:color="auto" w:fill="FFFFFF"/>
              <w:spacing w:before="0" w:after="0"/>
              <w:jc w:val="both"/>
              <w:textAlignment w:val="baseline"/>
              <w:rPr>
                <w:bCs/>
                <w:color w:val="auto"/>
                <w:sz w:val="21"/>
                <w:szCs w:val="21"/>
                <w:highlight w:val="none"/>
              </w:rPr>
            </w:pPr>
          </w:p>
        </w:tc>
        <w:tc>
          <w:tcPr>
            <w:tcW w:w="1984" w:type="dxa"/>
            <w:gridSpan w:val="2"/>
            <w:vAlign w:val="center"/>
          </w:tcPr>
          <w:p>
            <w:pPr>
              <w:pStyle w:val="68"/>
              <w:shd w:val="clear" w:color="auto" w:fill="FFFFFF"/>
              <w:spacing w:before="0" w:after="0"/>
              <w:jc w:val="center"/>
              <w:textAlignment w:val="baseline"/>
              <w:rPr>
                <w:bCs/>
                <w:color w:val="auto"/>
                <w:sz w:val="21"/>
                <w:szCs w:val="21"/>
                <w:highlight w:val="none"/>
              </w:rPr>
            </w:pPr>
            <w:r>
              <w:rPr>
                <w:rFonts w:hint="eastAsia"/>
                <w:bCs/>
                <w:color w:val="auto"/>
                <w:spacing w:val="16"/>
                <w:sz w:val="21"/>
                <w:szCs w:val="21"/>
                <w:highlight w:val="none"/>
              </w:rPr>
              <w:t>法人代表</w:t>
            </w:r>
          </w:p>
        </w:tc>
        <w:tc>
          <w:tcPr>
            <w:tcW w:w="2184" w:type="dxa"/>
            <w:gridSpan w:val="2"/>
            <w:vAlign w:val="center"/>
          </w:tcPr>
          <w:p>
            <w:pPr>
              <w:pStyle w:val="68"/>
              <w:shd w:val="clear" w:color="auto" w:fill="FFFFFF"/>
              <w:spacing w:before="0" w:after="0"/>
              <w:jc w:val="both"/>
              <w:textAlignment w:val="baseline"/>
              <w:rPr>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880" w:type="dxa"/>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27"/>
                <w:sz w:val="21"/>
                <w:szCs w:val="21"/>
                <w:highlight w:val="none"/>
              </w:rPr>
              <w:t>地址</w:t>
            </w:r>
          </w:p>
        </w:tc>
        <w:tc>
          <w:tcPr>
            <w:tcW w:w="3765" w:type="dxa"/>
            <w:gridSpan w:val="6"/>
            <w:vAlign w:val="center"/>
          </w:tcPr>
          <w:p>
            <w:pPr>
              <w:pStyle w:val="68"/>
              <w:shd w:val="clear" w:color="auto" w:fill="FFFFFF"/>
              <w:spacing w:before="0" w:after="0"/>
              <w:jc w:val="both"/>
              <w:textAlignment w:val="baseline"/>
              <w:rPr>
                <w:bCs/>
                <w:color w:val="auto"/>
                <w:spacing w:val="16"/>
                <w:sz w:val="21"/>
                <w:szCs w:val="21"/>
                <w:highlight w:val="none"/>
              </w:rPr>
            </w:pPr>
          </w:p>
        </w:tc>
        <w:tc>
          <w:tcPr>
            <w:tcW w:w="1984" w:type="dxa"/>
            <w:gridSpan w:val="2"/>
            <w:vAlign w:val="center"/>
          </w:tcPr>
          <w:p>
            <w:pPr>
              <w:pStyle w:val="68"/>
              <w:shd w:val="clear" w:color="auto" w:fill="FFFFFF"/>
              <w:spacing w:before="0" w:after="0"/>
              <w:jc w:val="center"/>
              <w:textAlignment w:val="baseline"/>
              <w:rPr>
                <w:bCs/>
                <w:color w:val="auto"/>
                <w:spacing w:val="16"/>
                <w:sz w:val="21"/>
                <w:szCs w:val="21"/>
                <w:highlight w:val="none"/>
              </w:rPr>
            </w:pPr>
            <w:r>
              <w:rPr>
                <w:rFonts w:hint="eastAsia"/>
                <w:bCs/>
                <w:color w:val="auto"/>
                <w:spacing w:val="16"/>
                <w:sz w:val="21"/>
                <w:szCs w:val="21"/>
                <w:highlight w:val="none"/>
              </w:rPr>
              <w:t>企业性质</w:t>
            </w:r>
          </w:p>
        </w:tc>
        <w:tc>
          <w:tcPr>
            <w:tcW w:w="2184" w:type="dxa"/>
            <w:gridSpan w:val="2"/>
            <w:vAlign w:val="center"/>
          </w:tcPr>
          <w:p>
            <w:pPr>
              <w:pStyle w:val="68"/>
              <w:shd w:val="clear" w:color="auto" w:fill="FFFFFF"/>
              <w:spacing w:before="0" w:after="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2" w:hRule="atLeast"/>
        </w:trPr>
        <w:tc>
          <w:tcPr>
            <w:tcW w:w="880" w:type="dxa"/>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27"/>
                <w:sz w:val="21"/>
                <w:szCs w:val="21"/>
                <w:highlight w:val="none"/>
              </w:rPr>
              <w:t>股东姓名</w:t>
            </w:r>
          </w:p>
        </w:tc>
        <w:tc>
          <w:tcPr>
            <w:tcW w:w="690" w:type="dxa"/>
            <w:vAlign w:val="center"/>
          </w:tcPr>
          <w:p>
            <w:pPr>
              <w:pStyle w:val="68"/>
              <w:shd w:val="clear" w:color="auto" w:fill="FFFFFF"/>
              <w:spacing w:before="0" w:beforeAutospacing="0" w:after="0" w:afterAutospacing="0"/>
              <w:jc w:val="both"/>
              <w:textAlignment w:val="baseline"/>
              <w:rPr>
                <w:bCs/>
                <w:color w:val="auto"/>
                <w:spacing w:val="16"/>
                <w:sz w:val="21"/>
                <w:szCs w:val="21"/>
                <w:highlight w:val="none"/>
              </w:rPr>
            </w:pPr>
          </w:p>
        </w:tc>
        <w:tc>
          <w:tcPr>
            <w:tcW w:w="960" w:type="dxa"/>
            <w:gridSpan w:val="2"/>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16"/>
                <w:sz w:val="21"/>
                <w:szCs w:val="21"/>
                <w:highlight w:val="none"/>
              </w:rPr>
              <w:t>股权结构（%）</w:t>
            </w:r>
          </w:p>
        </w:tc>
        <w:tc>
          <w:tcPr>
            <w:tcW w:w="2115" w:type="dxa"/>
            <w:gridSpan w:val="3"/>
            <w:vAlign w:val="center"/>
          </w:tcPr>
          <w:p>
            <w:pPr>
              <w:widowControl/>
              <w:textAlignment w:val="baseline"/>
              <w:rPr>
                <w:rFonts w:ascii="宋体" w:hAnsi="宋体" w:cs="宋体"/>
                <w:bCs/>
                <w:color w:val="auto"/>
                <w:spacing w:val="16"/>
                <w:kern w:val="0"/>
                <w:sz w:val="20"/>
                <w:szCs w:val="21"/>
                <w:highlight w:val="none"/>
              </w:rPr>
            </w:pPr>
          </w:p>
          <w:p>
            <w:pPr>
              <w:pStyle w:val="68"/>
              <w:shd w:val="clear" w:color="auto" w:fill="FFFFFF"/>
              <w:spacing w:before="312" w:after="0"/>
              <w:jc w:val="both"/>
              <w:textAlignment w:val="baseline"/>
              <w:rPr>
                <w:bCs/>
                <w:color w:val="auto"/>
                <w:spacing w:val="16"/>
                <w:sz w:val="21"/>
                <w:szCs w:val="21"/>
                <w:highlight w:val="none"/>
              </w:rPr>
            </w:pPr>
          </w:p>
        </w:tc>
        <w:tc>
          <w:tcPr>
            <w:tcW w:w="1984" w:type="dxa"/>
            <w:gridSpan w:val="2"/>
            <w:vAlign w:val="center"/>
          </w:tcPr>
          <w:p>
            <w:pPr>
              <w:pStyle w:val="68"/>
              <w:shd w:val="clear" w:color="auto" w:fill="FFFFFF"/>
              <w:spacing w:before="0" w:after="0"/>
              <w:ind w:left="107"/>
              <w:jc w:val="center"/>
              <w:textAlignment w:val="baseline"/>
              <w:rPr>
                <w:bCs/>
                <w:color w:val="auto"/>
                <w:spacing w:val="16"/>
                <w:sz w:val="21"/>
                <w:szCs w:val="21"/>
                <w:highlight w:val="none"/>
              </w:rPr>
            </w:pPr>
            <w:r>
              <w:rPr>
                <w:rFonts w:hint="eastAsia"/>
                <w:bCs/>
                <w:color w:val="auto"/>
                <w:spacing w:val="16"/>
                <w:sz w:val="21"/>
                <w:szCs w:val="21"/>
                <w:highlight w:val="none"/>
              </w:rPr>
              <w:t>股东关系</w:t>
            </w:r>
          </w:p>
        </w:tc>
        <w:tc>
          <w:tcPr>
            <w:tcW w:w="2184" w:type="dxa"/>
            <w:gridSpan w:val="2"/>
            <w:vAlign w:val="center"/>
          </w:tcPr>
          <w:p>
            <w:pPr>
              <w:pStyle w:val="68"/>
              <w:shd w:val="clear" w:color="auto" w:fill="FFFFFF"/>
              <w:spacing w:before="0" w:after="0"/>
              <w:ind w:left="107"/>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0" w:type="dxa"/>
            <w:vMerge w:val="restart"/>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90" w:type="dxa"/>
            <w:vMerge w:val="restart"/>
            <w:vAlign w:val="center"/>
          </w:tcPr>
          <w:p>
            <w:pPr>
              <w:pStyle w:val="68"/>
              <w:shd w:val="clear" w:color="auto" w:fill="FFFFFF"/>
              <w:spacing w:before="0" w:after="0"/>
              <w:jc w:val="both"/>
              <w:textAlignment w:val="baseline"/>
              <w:rPr>
                <w:bCs/>
                <w:color w:val="auto"/>
                <w:spacing w:val="16"/>
                <w:sz w:val="21"/>
                <w:szCs w:val="21"/>
                <w:highlight w:val="none"/>
              </w:rPr>
            </w:pPr>
          </w:p>
        </w:tc>
        <w:tc>
          <w:tcPr>
            <w:tcW w:w="960" w:type="dxa"/>
            <w:gridSpan w:val="2"/>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16"/>
                <w:sz w:val="21"/>
                <w:szCs w:val="21"/>
                <w:highlight w:val="none"/>
              </w:rPr>
              <w:t>固定电话</w:t>
            </w:r>
          </w:p>
        </w:tc>
        <w:tc>
          <w:tcPr>
            <w:tcW w:w="2115" w:type="dxa"/>
            <w:gridSpan w:val="3"/>
            <w:vAlign w:val="center"/>
          </w:tcPr>
          <w:p>
            <w:pPr>
              <w:widowControl/>
              <w:textAlignment w:val="baseline"/>
              <w:rPr>
                <w:rFonts w:ascii="宋体" w:hAnsi="宋体" w:cs="宋体"/>
                <w:bCs/>
                <w:color w:val="auto"/>
                <w:spacing w:val="16"/>
                <w:kern w:val="0"/>
                <w:sz w:val="20"/>
                <w:szCs w:val="21"/>
                <w:highlight w:val="none"/>
              </w:rPr>
            </w:pPr>
          </w:p>
          <w:p>
            <w:pPr>
              <w:pStyle w:val="68"/>
              <w:shd w:val="clear" w:color="auto" w:fill="FFFFFF"/>
              <w:spacing w:before="312" w:after="0"/>
              <w:jc w:val="both"/>
              <w:textAlignment w:val="baseline"/>
              <w:rPr>
                <w:bCs/>
                <w:color w:val="auto"/>
                <w:spacing w:val="16"/>
                <w:sz w:val="21"/>
                <w:szCs w:val="21"/>
                <w:highlight w:val="none"/>
              </w:rPr>
            </w:pPr>
          </w:p>
        </w:tc>
        <w:tc>
          <w:tcPr>
            <w:tcW w:w="1984" w:type="dxa"/>
            <w:gridSpan w:val="2"/>
            <w:vMerge w:val="restart"/>
            <w:vAlign w:val="center"/>
          </w:tcPr>
          <w:p>
            <w:pPr>
              <w:pStyle w:val="68"/>
              <w:shd w:val="clear" w:color="auto" w:fill="FFFFFF"/>
              <w:spacing w:before="0" w:beforeAutospacing="0" w:after="0" w:afterAutospacing="0"/>
              <w:jc w:val="center"/>
              <w:textAlignment w:val="baseline"/>
              <w:rPr>
                <w:bCs/>
                <w:color w:val="auto"/>
                <w:spacing w:val="16"/>
                <w:sz w:val="21"/>
                <w:szCs w:val="21"/>
                <w:highlight w:val="none"/>
              </w:rPr>
            </w:pPr>
            <w:r>
              <w:rPr>
                <w:rFonts w:hint="eastAsia"/>
                <w:bCs/>
                <w:color w:val="auto"/>
                <w:spacing w:val="16"/>
                <w:sz w:val="21"/>
                <w:szCs w:val="21"/>
                <w:highlight w:val="none"/>
              </w:rPr>
              <w:t>传真</w:t>
            </w:r>
          </w:p>
        </w:tc>
        <w:tc>
          <w:tcPr>
            <w:tcW w:w="2184" w:type="dxa"/>
            <w:gridSpan w:val="2"/>
            <w:vMerge w:val="restart"/>
            <w:vAlign w:val="center"/>
          </w:tcPr>
          <w:p>
            <w:pPr>
              <w:pStyle w:val="68"/>
              <w:shd w:val="clear" w:color="auto" w:fill="FFFFFF"/>
              <w:spacing w:before="0" w:after="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690" w:type="dxa"/>
            <w:vMerge w:val="continue"/>
            <w:vAlign w:val="center"/>
          </w:tcPr>
          <w:p>
            <w:pPr>
              <w:pStyle w:val="68"/>
              <w:shd w:val="clear" w:color="auto" w:fill="FFFFFF"/>
              <w:spacing w:before="0" w:after="0"/>
              <w:jc w:val="both"/>
              <w:textAlignment w:val="baseline"/>
              <w:rPr>
                <w:bCs/>
                <w:color w:val="auto"/>
                <w:spacing w:val="16"/>
                <w:sz w:val="21"/>
                <w:szCs w:val="21"/>
                <w:highlight w:val="none"/>
              </w:rPr>
            </w:pPr>
          </w:p>
        </w:tc>
        <w:tc>
          <w:tcPr>
            <w:tcW w:w="960" w:type="dxa"/>
            <w:gridSpan w:val="2"/>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27"/>
                <w:sz w:val="21"/>
                <w:szCs w:val="21"/>
                <w:highlight w:val="none"/>
              </w:rPr>
              <w:t>手机</w:t>
            </w:r>
          </w:p>
        </w:tc>
        <w:tc>
          <w:tcPr>
            <w:tcW w:w="2115" w:type="dxa"/>
            <w:gridSpan w:val="3"/>
            <w:vAlign w:val="center"/>
          </w:tcPr>
          <w:p>
            <w:pPr>
              <w:pStyle w:val="68"/>
              <w:shd w:val="clear" w:color="auto" w:fill="FFFFFF"/>
              <w:spacing w:before="0" w:after="0"/>
              <w:jc w:val="both"/>
              <w:textAlignment w:val="baseline"/>
              <w:rPr>
                <w:bCs/>
                <w:color w:val="auto"/>
                <w:spacing w:val="16"/>
                <w:sz w:val="21"/>
                <w:szCs w:val="21"/>
                <w:highlight w:val="none"/>
              </w:rPr>
            </w:pPr>
          </w:p>
        </w:tc>
        <w:tc>
          <w:tcPr>
            <w:tcW w:w="1984" w:type="dxa"/>
            <w:gridSpan w:val="2"/>
            <w:vMerge w:val="continue"/>
            <w:vAlign w:val="center"/>
          </w:tcPr>
          <w:p>
            <w:pPr>
              <w:pStyle w:val="68"/>
              <w:shd w:val="clear" w:color="auto" w:fill="FFFFFF"/>
              <w:spacing w:before="0" w:after="0"/>
              <w:jc w:val="center"/>
              <w:textAlignment w:val="baseline"/>
              <w:rPr>
                <w:bCs/>
                <w:color w:val="auto"/>
                <w:spacing w:val="16"/>
                <w:sz w:val="21"/>
                <w:szCs w:val="21"/>
                <w:highlight w:val="none"/>
              </w:rPr>
            </w:pPr>
          </w:p>
        </w:tc>
        <w:tc>
          <w:tcPr>
            <w:tcW w:w="2184" w:type="dxa"/>
            <w:gridSpan w:val="2"/>
            <w:vMerge w:val="continue"/>
            <w:vAlign w:val="center"/>
          </w:tcPr>
          <w:p>
            <w:pPr>
              <w:pStyle w:val="68"/>
              <w:shd w:val="clear" w:color="auto" w:fill="FFFFFF"/>
              <w:spacing w:before="0" w:after="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7" w:hRule="atLeast"/>
        </w:trPr>
        <w:tc>
          <w:tcPr>
            <w:tcW w:w="880" w:type="dxa"/>
            <w:vMerge w:val="restart"/>
            <w:vAlign w:val="center"/>
          </w:tcPr>
          <w:p>
            <w:pPr>
              <w:pStyle w:val="68"/>
              <w:shd w:val="clear" w:color="auto" w:fill="FFFFFF"/>
              <w:spacing w:before="0" w:after="312"/>
              <w:ind w:left="107"/>
              <w:jc w:val="both"/>
              <w:textAlignment w:val="baseline"/>
              <w:rPr>
                <w:bCs/>
                <w:color w:val="auto"/>
                <w:sz w:val="21"/>
                <w:szCs w:val="21"/>
                <w:highlight w:val="none"/>
              </w:rPr>
            </w:pPr>
            <w:r>
              <w:rPr>
                <w:rFonts w:hint="eastAsia"/>
                <w:bCs/>
                <w:color w:val="auto"/>
                <w:sz w:val="21"/>
                <w:szCs w:val="21"/>
                <w:highlight w:val="none"/>
              </w:rPr>
              <w:t>1.</w:t>
            </w:r>
          </w:p>
          <w:p>
            <w:pPr>
              <w:pStyle w:val="68"/>
              <w:shd w:val="clear" w:color="auto" w:fill="FFFFFF"/>
              <w:spacing w:before="312" w:after="312"/>
              <w:ind w:left="107"/>
              <w:jc w:val="both"/>
              <w:textAlignment w:val="baseline"/>
              <w:rPr>
                <w:bCs/>
                <w:color w:val="auto"/>
                <w:sz w:val="21"/>
                <w:szCs w:val="21"/>
                <w:highlight w:val="none"/>
              </w:rPr>
            </w:pPr>
            <w:r>
              <w:rPr>
                <w:rFonts w:hint="eastAsia"/>
                <w:bCs/>
                <w:color w:val="auto"/>
                <w:sz w:val="21"/>
                <w:szCs w:val="21"/>
                <w:highlight w:val="none"/>
              </w:rPr>
              <w:t>企</w:t>
            </w:r>
          </w:p>
          <w:p>
            <w:pPr>
              <w:pStyle w:val="68"/>
              <w:shd w:val="clear" w:color="auto" w:fill="FFFFFF"/>
              <w:spacing w:before="312" w:after="312"/>
              <w:ind w:left="107"/>
              <w:jc w:val="both"/>
              <w:textAlignment w:val="baseline"/>
              <w:rPr>
                <w:bCs/>
                <w:color w:val="auto"/>
                <w:sz w:val="21"/>
                <w:szCs w:val="21"/>
                <w:highlight w:val="none"/>
              </w:rPr>
            </w:pPr>
            <w:r>
              <w:rPr>
                <w:rFonts w:hint="eastAsia"/>
                <w:bCs/>
                <w:color w:val="auto"/>
                <w:sz w:val="21"/>
                <w:szCs w:val="21"/>
                <w:highlight w:val="none"/>
              </w:rPr>
              <w:t>业</w:t>
            </w:r>
          </w:p>
          <w:p>
            <w:pPr>
              <w:pStyle w:val="68"/>
              <w:shd w:val="clear" w:color="auto" w:fill="FFFFFF"/>
              <w:spacing w:before="312" w:after="312"/>
              <w:ind w:left="107"/>
              <w:jc w:val="both"/>
              <w:textAlignment w:val="baseline"/>
              <w:rPr>
                <w:bCs/>
                <w:color w:val="auto"/>
                <w:spacing w:val="27"/>
                <w:sz w:val="21"/>
                <w:szCs w:val="21"/>
                <w:highlight w:val="none"/>
              </w:rPr>
            </w:pPr>
            <w:r>
              <w:rPr>
                <w:rFonts w:hint="eastAsia"/>
                <w:bCs/>
                <w:color w:val="auto"/>
                <w:spacing w:val="27"/>
                <w:sz w:val="21"/>
                <w:szCs w:val="21"/>
                <w:highlight w:val="none"/>
              </w:rPr>
              <w:t>概</w:t>
            </w:r>
          </w:p>
          <w:p>
            <w:pPr>
              <w:pStyle w:val="68"/>
              <w:shd w:val="clear" w:color="auto" w:fill="FFFFFF"/>
              <w:spacing w:before="312" w:after="0"/>
              <w:ind w:left="107"/>
              <w:jc w:val="both"/>
              <w:textAlignment w:val="baseline"/>
              <w:rPr>
                <w:bCs/>
                <w:color w:val="auto"/>
                <w:sz w:val="21"/>
                <w:szCs w:val="21"/>
                <w:highlight w:val="none"/>
              </w:rPr>
            </w:pPr>
            <w:r>
              <w:rPr>
                <w:rFonts w:hint="eastAsia"/>
                <w:bCs/>
                <w:color w:val="auto"/>
                <w:spacing w:val="27"/>
                <w:sz w:val="21"/>
                <w:szCs w:val="21"/>
                <w:highlight w:val="none"/>
              </w:rPr>
              <w:t>况</w:t>
            </w:r>
          </w:p>
        </w:tc>
        <w:tc>
          <w:tcPr>
            <w:tcW w:w="690" w:type="dxa"/>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16"/>
                <w:sz w:val="21"/>
                <w:szCs w:val="21"/>
                <w:highlight w:val="none"/>
              </w:rPr>
              <w:t>职工人数</w:t>
            </w:r>
          </w:p>
        </w:tc>
        <w:tc>
          <w:tcPr>
            <w:tcW w:w="960" w:type="dxa"/>
            <w:gridSpan w:val="2"/>
            <w:vAlign w:val="center"/>
          </w:tcPr>
          <w:p>
            <w:pPr>
              <w:pStyle w:val="68"/>
              <w:shd w:val="clear" w:color="auto" w:fill="FFFFFF"/>
              <w:spacing w:before="0" w:after="0"/>
              <w:jc w:val="both"/>
              <w:textAlignment w:val="baseline"/>
              <w:rPr>
                <w:bCs/>
                <w:color w:val="auto"/>
                <w:spacing w:val="16"/>
                <w:sz w:val="21"/>
                <w:szCs w:val="21"/>
                <w:highlight w:val="none"/>
              </w:rPr>
            </w:pPr>
          </w:p>
        </w:tc>
        <w:tc>
          <w:tcPr>
            <w:tcW w:w="926" w:type="dxa"/>
            <w:vAlign w:val="center"/>
          </w:tcPr>
          <w:p>
            <w:pPr>
              <w:pStyle w:val="68"/>
              <w:shd w:val="clear" w:color="auto" w:fill="FFFFFF"/>
              <w:spacing w:before="0" w:beforeAutospacing="0" w:after="0" w:afterAutospacing="0"/>
              <w:jc w:val="both"/>
              <w:textAlignment w:val="baseline"/>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189" w:type="dxa"/>
            <w:gridSpan w:val="2"/>
            <w:vAlign w:val="center"/>
          </w:tcPr>
          <w:p>
            <w:pPr>
              <w:widowControl/>
              <w:textAlignment w:val="baseline"/>
              <w:rPr>
                <w:rFonts w:ascii="宋体" w:hAnsi="宋体" w:cs="宋体"/>
                <w:bCs/>
                <w:color w:val="auto"/>
                <w:spacing w:val="16"/>
                <w:kern w:val="0"/>
                <w:sz w:val="20"/>
                <w:szCs w:val="21"/>
                <w:highlight w:val="none"/>
              </w:rPr>
            </w:pPr>
          </w:p>
          <w:p>
            <w:pPr>
              <w:widowControl/>
              <w:textAlignment w:val="baseline"/>
              <w:rPr>
                <w:rFonts w:ascii="宋体" w:hAnsi="宋体" w:cs="宋体"/>
                <w:bCs/>
                <w:color w:val="auto"/>
                <w:spacing w:val="16"/>
                <w:kern w:val="0"/>
                <w:sz w:val="20"/>
                <w:szCs w:val="21"/>
                <w:highlight w:val="none"/>
              </w:rPr>
            </w:pPr>
          </w:p>
          <w:p>
            <w:pPr>
              <w:pStyle w:val="68"/>
              <w:shd w:val="clear" w:color="auto" w:fill="FFFFFF"/>
              <w:spacing w:before="312" w:after="0"/>
              <w:jc w:val="both"/>
              <w:textAlignment w:val="baseline"/>
              <w:rPr>
                <w:bCs/>
                <w:color w:val="auto"/>
                <w:spacing w:val="16"/>
                <w:sz w:val="21"/>
                <w:szCs w:val="21"/>
                <w:highlight w:val="none"/>
              </w:rPr>
            </w:pPr>
          </w:p>
        </w:tc>
        <w:tc>
          <w:tcPr>
            <w:tcW w:w="1984" w:type="dxa"/>
            <w:gridSpan w:val="2"/>
            <w:vAlign w:val="center"/>
          </w:tcPr>
          <w:p>
            <w:pPr>
              <w:pStyle w:val="68"/>
              <w:shd w:val="clear" w:color="auto" w:fill="FFFFFF"/>
              <w:spacing w:before="0" w:after="0"/>
              <w:jc w:val="center"/>
              <w:textAlignment w:val="baseline"/>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84" w:type="dxa"/>
            <w:gridSpan w:val="2"/>
            <w:vAlign w:val="center"/>
          </w:tcPr>
          <w:p>
            <w:pPr>
              <w:widowControl/>
              <w:textAlignment w:val="baseline"/>
              <w:rPr>
                <w:rFonts w:ascii="宋体" w:hAnsi="宋体" w:cs="宋体"/>
                <w:bCs/>
                <w:color w:val="auto"/>
                <w:spacing w:val="16"/>
                <w:kern w:val="0"/>
                <w:sz w:val="20"/>
                <w:szCs w:val="21"/>
                <w:highlight w:val="none"/>
              </w:rPr>
            </w:pPr>
          </w:p>
          <w:p>
            <w:pPr>
              <w:pStyle w:val="68"/>
              <w:shd w:val="clear" w:color="auto" w:fill="FFFFFF"/>
              <w:spacing w:before="312" w:after="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2"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690" w:type="dxa"/>
            <w:vAlign w:val="center"/>
          </w:tcPr>
          <w:p>
            <w:pPr>
              <w:pStyle w:val="68"/>
              <w:shd w:val="clear" w:color="auto" w:fill="FFFFFF"/>
              <w:spacing w:before="0" w:after="0"/>
              <w:jc w:val="both"/>
              <w:textAlignment w:val="baseline"/>
              <w:rPr>
                <w:bCs/>
                <w:color w:val="auto"/>
                <w:sz w:val="21"/>
                <w:szCs w:val="21"/>
                <w:highlight w:val="none"/>
              </w:rPr>
            </w:pPr>
            <w:r>
              <w:rPr>
                <w:rFonts w:hint="eastAsia"/>
                <w:bCs/>
                <w:color w:val="auto"/>
                <w:spacing w:val="16"/>
                <w:sz w:val="21"/>
                <w:szCs w:val="21"/>
                <w:highlight w:val="none"/>
              </w:rPr>
              <w:t>占地面积</w:t>
            </w:r>
          </w:p>
        </w:tc>
        <w:tc>
          <w:tcPr>
            <w:tcW w:w="960" w:type="dxa"/>
            <w:gridSpan w:val="2"/>
            <w:vAlign w:val="center"/>
          </w:tcPr>
          <w:p>
            <w:pPr>
              <w:pStyle w:val="68"/>
              <w:shd w:val="clear" w:color="auto" w:fill="FFFFFF"/>
              <w:spacing w:before="0" w:after="0"/>
              <w:jc w:val="both"/>
              <w:textAlignment w:val="baseline"/>
              <w:rPr>
                <w:bCs/>
                <w:color w:val="auto"/>
                <w:sz w:val="21"/>
                <w:szCs w:val="21"/>
                <w:highlight w:val="none"/>
              </w:rPr>
            </w:pPr>
          </w:p>
        </w:tc>
        <w:tc>
          <w:tcPr>
            <w:tcW w:w="926" w:type="dxa"/>
            <w:vAlign w:val="center"/>
          </w:tcPr>
          <w:p>
            <w:pPr>
              <w:pStyle w:val="68"/>
              <w:shd w:val="clear" w:color="auto" w:fill="FFFFFF"/>
              <w:spacing w:before="0" w:after="0"/>
              <w:jc w:val="both"/>
              <w:textAlignment w:val="baseline"/>
              <w:rPr>
                <w:bCs/>
                <w:color w:val="auto"/>
                <w:sz w:val="21"/>
                <w:szCs w:val="21"/>
                <w:highlight w:val="none"/>
              </w:rPr>
            </w:pPr>
            <w:r>
              <w:rPr>
                <w:rFonts w:hint="eastAsia"/>
                <w:bCs/>
                <w:color w:val="auto"/>
                <w:spacing w:val="16"/>
                <w:sz w:val="21"/>
                <w:szCs w:val="21"/>
                <w:highlight w:val="none"/>
              </w:rPr>
              <w:t>建筑面积</w:t>
            </w:r>
          </w:p>
        </w:tc>
        <w:tc>
          <w:tcPr>
            <w:tcW w:w="1189" w:type="dxa"/>
            <w:gridSpan w:val="2"/>
            <w:vAlign w:val="center"/>
          </w:tcPr>
          <w:p>
            <w:pPr>
              <w:pStyle w:val="68"/>
              <w:shd w:val="clear" w:color="auto" w:fill="FFFFFF"/>
              <w:spacing w:before="0" w:after="312"/>
              <w:jc w:val="both"/>
              <w:textAlignment w:val="baseline"/>
              <w:rPr>
                <w:bCs/>
                <w:color w:val="auto"/>
                <w:sz w:val="21"/>
                <w:szCs w:val="21"/>
                <w:highlight w:val="none"/>
              </w:rPr>
            </w:pPr>
            <w:r>
              <w:rPr>
                <w:rFonts w:hint="eastAsia"/>
                <w:bCs/>
                <w:color w:val="auto"/>
                <w:sz w:val="21"/>
                <w:szCs w:val="21"/>
                <w:highlight w:val="none"/>
              </w:rPr>
              <w:t>平方米</w:t>
            </w:r>
          </w:p>
          <w:p>
            <w:pPr>
              <w:pStyle w:val="68"/>
              <w:shd w:val="clear" w:color="auto" w:fill="FFFFFF"/>
              <w:spacing w:before="312" w:after="0"/>
              <w:jc w:val="both"/>
              <w:textAlignment w:val="baseline"/>
              <w:rPr>
                <w:bCs/>
                <w:color w:val="auto"/>
                <w:sz w:val="21"/>
                <w:szCs w:val="21"/>
                <w:highlight w:val="none"/>
              </w:rPr>
            </w:pPr>
            <w:r>
              <w:rPr>
                <w:rFonts w:hint="eastAsia"/>
                <w:bCs/>
                <w:color w:val="auto"/>
                <w:spacing w:val="16"/>
                <w:sz w:val="21"/>
                <w:szCs w:val="21"/>
                <w:highlight w:val="none"/>
              </w:rPr>
              <w:t>□自有□租赁</w:t>
            </w:r>
          </w:p>
        </w:tc>
        <w:tc>
          <w:tcPr>
            <w:tcW w:w="1984" w:type="dxa"/>
            <w:gridSpan w:val="2"/>
            <w:vAlign w:val="center"/>
          </w:tcPr>
          <w:p>
            <w:pPr>
              <w:pStyle w:val="68"/>
              <w:shd w:val="clear" w:color="auto" w:fill="FFFFFF"/>
              <w:spacing w:before="0" w:after="0"/>
              <w:jc w:val="center"/>
              <w:textAlignment w:val="baseline"/>
              <w:rPr>
                <w:bCs/>
                <w:color w:val="auto"/>
                <w:sz w:val="21"/>
                <w:szCs w:val="21"/>
                <w:highlight w:val="none"/>
              </w:rPr>
            </w:pPr>
            <w:r>
              <w:rPr>
                <w:rFonts w:hint="eastAsia"/>
                <w:bCs/>
                <w:color w:val="auto"/>
                <w:spacing w:val="16"/>
                <w:sz w:val="21"/>
                <w:szCs w:val="21"/>
                <w:highlight w:val="none"/>
              </w:rPr>
              <w:t>生产经营场所及场所的设施与设备</w:t>
            </w:r>
          </w:p>
        </w:tc>
        <w:tc>
          <w:tcPr>
            <w:tcW w:w="2184" w:type="dxa"/>
            <w:gridSpan w:val="2"/>
            <w:vAlign w:val="center"/>
          </w:tcPr>
          <w:p>
            <w:pPr>
              <w:pStyle w:val="68"/>
              <w:shd w:val="clear" w:color="auto" w:fill="FFFFFF"/>
              <w:spacing w:before="0" w:beforeAutospacing="0" w:after="0" w:afterAutospacing="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690" w:type="dxa"/>
            <w:vAlign w:val="center"/>
          </w:tcPr>
          <w:p>
            <w:pPr>
              <w:pStyle w:val="68"/>
              <w:shd w:val="clear" w:color="auto" w:fill="FFFFFF"/>
              <w:spacing w:before="0" w:after="0"/>
              <w:ind w:left="2"/>
              <w:jc w:val="both"/>
              <w:textAlignment w:val="baseline"/>
              <w:rPr>
                <w:bCs/>
                <w:color w:val="auto"/>
                <w:spacing w:val="16"/>
                <w:sz w:val="21"/>
                <w:szCs w:val="21"/>
                <w:highlight w:val="none"/>
              </w:rPr>
            </w:pPr>
            <w:r>
              <w:rPr>
                <w:rFonts w:hint="eastAsia"/>
                <w:bCs/>
                <w:color w:val="auto"/>
                <w:spacing w:val="16"/>
                <w:sz w:val="21"/>
                <w:szCs w:val="21"/>
                <w:highlight w:val="none"/>
              </w:rPr>
              <w:t>注册资金</w:t>
            </w:r>
          </w:p>
        </w:tc>
        <w:tc>
          <w:tcPr>
            <w:tcW w:w="960" w:type="dxa"/>
            <w:gridSpan w:val="2"/>
            <w:vAlign w:val="center"/>
          </w:tcPr>
          <w:p>
            <w:pPr>
              <w:pStyle w:val="68"/>
              <w:shd w:val="clear" w:color="auto" w:fill="FFFFFF"/>
              <w:spacing w:before="0" w:after="0"/>
              <w:ind w:left="2"/>
              <w:jc w:val="both"/>
              <w:textAlignment w:val="baseline"/>
              <w:rPr>
                <w:bCs/>
                <w:color w:val="auto"/>
                <w:sz w:val="21"/>
                <w:szCs w:val="21"/>
                <w:highlight w:val="none"/>
              </w:rPr>
            </w:pPr>
          </w:p>
        </w:tc>
        <w:tc>
          <w:tcPr>
            <w:tcW w:w="926" w:type="dxa"/>
            <w:vAlign w:val="center"/>
          </w:tcPr>
          <w:p>
            <w:pPr>
              <w:pStyle w:val="68"/>
              <w:shd w:val="clear" w:color="auto" w:fill="FFFFFF"/>
              <w:spacing w:before="0" w:after="0"/>
              <w:ind w:left="107"/>
              <w:jc w:val="both"/>
              <w:textAlignment w:val="baseline"/>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173" w:type="dxa"/>
            <w:gridSpan w:val="4"/>
            <w:vAlign w:val="center"/>
          </w:tcPr>
          <w:p>
            <w:pPr>
              <w:widowControl/>
              <w:textAlignment w:val="baseline"/>
              <w:rPr>
                <w:rFonts w:ascii="宋体" w:hAnsi="宋体" w:cs="宋体"/>
                <w:bCs/>
                <w:color w:val="auto"/>
                <w:kern w:val="0"/>
                <w:sz w:val="20"/>
                <w:szCs w:val="21"/>
                <w:highlight w:val="none"/>
              </w:rPr>
            </w:pPr>
          </w:p>
          <w:p>
            <w:pPr>
              <w:pStyle w:val="68"/>
              <w:shd w:val="clear" w:color="auto" w:fill="FFFFFF"/>
              <w:spacing w:before="312" w:after="0"/>
              <w:ind w:left="107"/>
              <w:jc w:val="both"/>
              <w:textAlignment w:val="baseline"/>
              <w:rPr>
                <w:bCs/>
                <w:color w:val="auto"/>
                <w:sz w:val="21"/>
                <w:szCs w:val="21"/>
                <w:highlight w:val="none"/>
              </w:rPr>
            </w:pPr>
          </w:p>
        </w:tc>
        <w:tc>
          <w:tcPr>
            <w:tcW w:w="1251" w:type="dxa"/>
            <w:vAlign w:val="center"/>
          </w:tcPr>
          <w:p>
            <w:pPr>
              <w:pStyle w:val="68"/>
              <w:shd w:val="clear" w:color="auto" w:fill="FFFFFF"/>
              <w:spacing w:before="0" w:after="0"/>
              <w:ind w:left="107"/>
              <w:jc w:val="both"/>
              <w:textAlignment w:val="baseline"/>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vAlign w:val="center"/>
          </w:tcPr>
          <w:p>
            <w:pPr>
              <w:pStyle w:val="68"/>
              <w:shd w:val="clear" w:color="auto" w:fill="FFFFFF"/>
              <w:spacing w:before="0" w:after="0"/>
              <w:ind w:left="107"/>
              <w:jc w:val="both"/>
              <w:textAlignment w:val="baseline"/>
              <w:rPr>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690" w:type="dxa"/>
            <w:vAlign w:val="center"/>
          </w:tcPr>
          <w:p>
            <w:pPr>
              <w:pStyle w:val="68"/>
              <w:shd w:val="clear" w:color="auto" w:fill="FFFFFF"/>
              <w:spacing w:before="0" w:after="0"/>
              <w:ind w:left="2"/>
              <w:jc w:val="both"/>
              <w:textAlignment w:val="baseline"/>
              <w:rPr>
                <w:bCs/>
                <w:color w:val="auto"/>
                <w:sz w:val="21"/>
                <w:szCs w:val="21"/>
                <w:highlight w:val="none"/>
              </w:rPr>
            </w:pPr>
            <w:r>
              <w:rPr>
                <w:rFonts w:hint="eastAsia"/>
                <w:bCs/>
                <w:color w:val="auto"/>
                <w:sz w:val="21"/>
                <w:szCs w:val="21"/>
                <w:highlight w:val="none"/>
              </w:rPr>
              <w:t>核准经营范围</w:t>
            </w:r>
          </w:p>
        </w:tc>
        <w:tc>
          <w:tcPr>
            <w:tcW w:w="7243" w:type="dxa"/>
            <w:gridSpan w:val="9"/>
            <w:vAlign w:val="center"/>
          </w:tcPr>
          <w:p>
            <w:pPr>
              <w:pStyle w:val="68"/>
              <w:shd w:val="clear" w:color="auto" w:fill="FFFFFF"/>
              <w:spacing w:before="0" w:after="0"/>
              <w:ind w:left="107"/>
              <w:jc w:val="both"/>
              <w:textAlignment w:val="baseline"/>
              <w:rPr>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7933" w:type="dxa"/>
            <w:gridSpan w:val="10"/>
            <w:vAlign w:val="center"/>
          </w:tcPr>
          <w:p>
            <w:pPr>
              <w:pStyle w:val="68"/>
              <w:shd w:val="clear" w:color="auto" w:fill="FFFFFF"/>
              <w:spacing w:before="0" w:after="0"/>
              <w:jc w:val="both"/>
              <w:textAlignment w:val="baseline"/>
              <w:rPr>
                <w:bCs/>
                <w:color w:val="auto"/>
                <w:spacing w:val="13"/>
                <w:sz w:val="21"/>
                <w:szCs w:val="21"/>
                <w:highlight w:val="none"/>
              </w:rPr>
            </w:pPr>
            <w:r>
              <w:rPr>
                <w:rFonts w:hint="eastAsia"/>
                <w:bCs/>
                <w:color w:val="auto"/>
                <w:spacing w:val="13"/>
                <w:sz w:val="21"/>
                <w:szCs w:val="21"/>
                <w:highlight w:val="none"/>
              </w:rPr>
              <w:t>发展历程及主要荣誉：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80" w:type="dxa"/>
            <w:vMerge w:val="restart"/>
            <w:vAlign w:val="center"/>
          </w:tcPr>
          <w:p>
            <w:pPr>
              <w:pStyle w:val="68"/>
              <w:shd w:val="clear" w:color="auto" w:fill="FFFFFF"/>
              <w:spacing w:before="0" w:after="312"/>
              <w:ind w:left="107"/>
              <w:jc w:val="both"/>
              <w:textAlignment w:val="baseline"/>
              <w:rPr>
                <w:bCs/>
                <w:color w:val="auto"/>
                <w:sz w:val="21"/>
                <w:szCs w:val="21"/>
                <w:highlight w:val="none"/>
              </w:rPr>
            </w:pPr>
            <w:r>
              <w:rPr>
                <w:rFonts w:hint="eastAsia"/>
                <w:bCs/>
                <w:color w:val="auto"/>
                <w:sz w:val="21"/>
                <w:szCs w:val="21"/>
                <w:highlight w:val="none"/>
              </w:rPr>
              <w:t>2．</w:t>
            </w:r>
          </w:p>
          <w:p>
            <w:pPr>
              <w:pStyle w:val="68"/>
              <w:shd w:val="clear" w:color="auto" w:fill="FFFFFF"/>
              <w:spacing w:before="312" w:after="0"/>
              <w:ind w:left="107"/>
              <w:jc w:val="both"/>
              <w:textAlignment w:val="baseline"/>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355" w:type="dxa"/>
            <w:gridSpan w:val="2"/>
            <w:vMerge w:val="restart"/>
            <w:vAlign w:val="center"/>
          </w:tcPr>
          <w:p>
            <w:pPr>
              <w:pStyle w:val="68"/>
              <w:shd w:val="clear" w:color="auto" w:fill="FFFFFF"/>
              <w:spacing w:before="0" w:beforeAutospacing="0" w:after="0" w:afterAutospacing="0"/>
              <w:jc w:val="both"/>
              <w:textAlignment w:val="baseline"/>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33" w:type="dxa"/>
            <w:gridSpan w:val="3"/>
            <w:vAlign w:val="center"/>
          </w:tcPr>
          <w:p>
            <w:pPr>
              <w:pStyle w:val="68"/>
              <w:shd w:val="clear" w:color="auto" w:fill="FFFFFF"/>
              <w:spacing w:before="0" w:after="0"/>
              <w:ind w:right="-77"/>
              <w:jc w:val="both"/>
              <w:textAlignment w:val="baseline"/>
              <w:rPr>
                <w:bCs/>
                <w:color w:val="auto"/>
                <w:spacing w:val="16"/>
                <w:sz w:val="21"/>
                <w:szCs w:val="21"/>
                <w:highlight w:val="none"/>
              </w:rPr>
            </w:pPr>
            <w:r>
              <w:rPr>
                <w:rFonts w:hint="eastAsia"/>
                <w:bCs/>
                <w:color w:val="auto"/>
                <w:spacing w:val="16"/>
                <w:sz w:val="21"/>
                <w:szCs w:val="21"/>
                <w:highlight w:val="none"/>
              </w:rPr>
              <w:t>产品名称</w:t>
            </w:r>
          </w:p>
        </w:tc>
        <w:tc>
          <w:tcPr>
            <w:tcW w:w="1077" w:type="dxa"/>
            <w:vAlign w:val="center"/>
          </w:tcPr>
          <w:p>
            <w:pPr>
              <w:pStyle w:val="68"/>
              <w:shd w:val="clear" w:color="auto" w:fill="FFFFFF"/>
              <w:spacing w:before="0" w:beforeAutospacing="0" w:after="0" w:afterAutospacing="0"/>
              <w:jc w:val="both"/>
              <w:textAlignment w:val="baseline"/>
              <w:rPr>
                <w:bCs/>
                <w:color w:val="auto"/>
                <w:sz w:val="21"/>
                <w:szCs w:val="21"/>
                <w:highlight w:val="none"/>
              </w:rPr>
            </w:pPr>
            <w:r>
              <w:rPr>
                <w:rFonts w:hint="eastAsia"/>
                <w:bCs/>
                <w:color w:val="auto"/>
                <w:spacing w:val="16"/>
                <w:sz w:val="21"/>
                <w:szCs w:val="21"/>
                <w:highlight w:val="none"/>
              </w:rPr>
              <w:t>发证机关</w:t>
            </w:r>
          </w:p>
        </w:tc>
        <w:tc>
          <w:tcPr>
            <w:tcW w:w="1617" w:type="dxa"/>
            <w:vAlign w:val="center"/>
          </w:tcPr>
          <w:p>
            <w:pPr>
              <w:pStyle w:val="68"/>
              <w:shd w:val="clear" w:color="auto" w:fill="FFFFFF"/>
              <w:spacing w:before="0" w:after="0"/>
              <w:jc w:val="both"/>
              <w:textAlignment w:val="baseline"/>
              <w:rPr>
                <w:bCs/>
                <w:color w:val="auto"/>
                <w:sz w:val="21"/>
                <w:szCs w:val="21"/>
                <w:highlight w:val="none"/>
              </w:rPr>
            </w:pPr>
            <w:r>
              <w:rPr>
                <w:rFonts w:hint="eastAsia"/>
                <w:bCs/>
                <w:color w:val="auto"/>
                <w:spacing w:val="27"/>
                <w:sz w:val="21"/>
                <w:szCs w:val="21"/>
                <w:highlight w:val="none"/>
              </w:rPr>
              <w:t>编号</w:t>
            </w:r>
          </w:p>
        </w:tc>
        <w:tc>
          <w:tcPr>
            <w:tcW w:w="1618" w:type="dxa"/>
            <w:gridSpan w:val="2"/>
            <w:vAlign w:val="center"/>
          </w:tcPr>
          <w:p>
            <w:pPr>
              <w:pStyle w:val="68"/>
              <w:shd w:val="clear" w:color="auto" w:fill="FFFFFF"/>
              <w:spacing w:before="0" w:after="0"/>
              <w:jc w:val="both"/>
              <w:textAlignment w:val="baseline"/>
              <w:rPr>
                <w:bCs/>
                <w:color w:val="auto"/>
                <w:sz w:val="21"/>
                <w:szCs w:val="21"/>
                <w:highlight w:val="none"/>
              </w:rPr>
            </w:pPr>
            <w:r>
              <w:rPr>
                <w:rFonts w:hint="eastAsia"/>
                <w:bCs/>
                <w:color w:val="auto"/>
                <w:spacing w:val="16"/>
                <w:sz w:val="21"/>
                <w:szCs w:val="21"/>
                <w:highlight w:val="none"/>
              </w:rPr>
              <w:t>发证时间</w:t>
            </w:r>
          </w:p>
        </w:tc>
        <w:tc>
          <w:tcPr>
            <w:tcW w:w="933" w:type="dxa"/>
            <w:vAlign w:val="center"/>
          </w:tcPr>
          <w:p>
            <w:pPr>
              <w:pStyle w:val="68"/>
              <w:shd w:val="clear" w:color="auto" w:fill="FFFFFF"/>
              <w:spacing w:before="0" w:beforeAutospacing="0" w:after="0" w:afterAutospacing="0"/>
              <w:jc w:val="both"/>
              <w:textAlignment w:val="baseline"/>
              <w:rPr>
                <w:bCs/>
                <w:color w:val="auto"/>
                <w:sz w:val="21"/>
                <w:szCs w:val="21"/>
                <w:highlight w:val="none"/>
              </w:rPr>
            </w:pPr>
            <w:r>
              <w:rPr>
                <w:rFonts w:hint="eastAsia"/>
                <w:bCs/>
                <w:color w:val="auto"/>
                <w:spacing w:val="27"/>
                <w:sz w:val="21"/>
                <w:szCs w:val="21"/>
                <w:highlight w:val="none"/>
              </w:rPr>
              <w:t>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8" w:hRule="atLeast"/>
        </w:trPr>
        <w:tc>
          <w:tcPr>
            <w:tcW w:w="880" w:type="dxa"/>
            <w:vMerge w:val="continue"/>
            <w:vAlign w:val="center"/>
          </w:tcPr>
          <w:p>
            <w:pPr>
              <w:pStyle w:val="68"/>
              <w:shd w:val="clear" w:color="auto" w:fill="FFFFFF"/>
              <w:spacing w:before="0" w:after="0"/>
              <w:ind w:left="107"/>
              <w:jc w:val="both"/>
              <w:textAlignment w:val="baseline"/>
              <w:rPr>
                <w:bCs/>
                <w:color w:val="auto"/>
                <w:sz w:val="21"/>
                <w:szCs w:val="21"/>
                <w:highlight w:val="none"/>
              </w:rPr>
            </w:pPr>
          </w:p>
        </w:tc>
        <w:tc>
          <w:tcPr>
            <w:tcW w:w="1355" w:type="dxa"/>
            <w:gridSpan w:val="2"/>
            <w:vMerge w:val="continue"/>
            <w:vAlign w:val="center"/>
          </w:tcPr>
          <w:p>
            <w:pPr>
              <w:pStyle w:val="68"/>
              <w:shd w:val="clear" w:color="auto" w:fill="FFFFFF"/>
              <w:spacing w:before="0" w:after="0"/>
              <w:jc w:val="both"/>
              <w:textAlignment w:val="baseline"/>
              <w:rPr>
                <w:bCs/>
                <w:color w:val="auto"/>
                <w:sz w:val="21"/>
                <w:szCs w:val="21"/>
                <w:highlight w:val="none"/>
              </w:rPr>
            </w:pPr>
          </w:p>
        </w:tc>
        <w:tc>
          <w:tcPr>
            <w:tcW w:w="1333" w:type="dxa"/>
            <w:gridSpan w:val="3"/>
            <w:vAlign w:val="center"/>
          </w:tcPr>
          <w:p>
            <w:pPr>
              <w:pStyle w:val="68"/>
              <w:shd w:val="clear" w:color="auto" w:fill="FFFFFF"/>
              <w:spacing w:before="0" w:after="0"/>
              <w:jc w:val="both"/>
              <w:textAlignment w:val="baseline"/>
              <w:rPr>
                <w:bCs/>
                <w:color w:val="auto"/>
                <w:sz w:val="21"/>
                <w:szCs w:val="21"/>
                <w:highlight w:val="none"/>
              </w:rPr>
            </w:pPr>
          </w:p>
        </w:tc>
        <w:tc>
          <w:tcPr>
            <w:tcW w:w="1077" w:type="dxa"/>
            <w:vAlign w:val="center"/>
          </w:tcPr>
          <w:p>
            <w:pPr>
              <w:pStyle w:val="68"/>
              <w:shd w:val="clear" w:color="auto" w:fill="FFFFFF"/>
              <w:spacing w:before="0" w:after="0"/>
              <w:jc w:val="both"/>
              <w:textAlignment w:val="baseline"/>
              <w:rPr>
                <w:bCs/>
                <w:color w:val="auto"/>
                <w:sz w:val="21"/>
                <w:szCs w:val="21"/>
                <w:highlight w:val="none"/>
              </w:rPr>
            </w:pPr>
          </w:p>
        </w:tc>
        <w:tc>
          <w:tcPr>
            <w:tcW w:w="1617" w:type="dxa"/>
            <w:vAlign w:val="center"/>
          </w:tcPr>
          <w:p>
            <w:pPr>
              <w:pStyle w:val="68"/>
              <w:shd w:val="clear" w:color="auto" w:fill="FFFFFF"/>
              <w:spacing w:before="0" w:after="0"/>
              <w:jc w:val="both"/>
              <w:textAlignment w:val="baseline"/>
              <w:rPr>
                <w:bCs/>
                <w:color w:val="auto"/>
                <w:sz w:val="21"/>
                <w:szCs w:val="21"/>
                <w:highlight w:val="none"/>
              </w:rPr>
            </w:pPr>
          </w:p>
        </w:tc>
        <w:tc>
          <w:tcPr>
            <w:tcW w:w="2551" w:type="dxa"/>
            <w:gridSpan w:val="3"/>
            <w:vAlign w:val="center"/>
          </w:tcPr>
          <w:p>
            <w:pPr>
              <w:pStyle w:val="68"/>
              <w:shd w:val="clear" w:color="auto" w:fill="FFFFFF"/>
              <w:spacing w:before="0" w:after="0"/>
              <w:jc w:val="both"/>
              <w:textAlignment w:val="baseline"/>
              <w:rPr>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5" w:hRule="atLeast"/>
        </w:trPr>
        <w:tc>
          <w:tcPr>
            <w:tcW w:w="880" w:type="dxa"/>
            <w:vMerge w:val="continue"/>
            <w:vAlign w:val="center"/>
          </w:tcPr>
          <w:p>
            <w:pPr>
              <w:pStyle w:val="68"/>
              <w:shd w:val="clear" w:color="auto" w:fill="FFFFFF"/>
              <w:spacing w:before="0" w:after="0"/>
              <w:ind w:left="107"/>
              <w:jc w:val="both"/>
              <w:textAlignment w:val="baseline"/>
              <w:rPr>
                <w:bCs/>
                <w:color w:val="auto"/>
                <w:spacing w:val="16"/>
                <w:sz w:val="21"/>
                <w:szCs w:val="21"/>
                <w:highlight w:val="none"/>
              </w:rPr>
            </w:pPr>
          </w:p>
        </w:tc>
        <w:tc>
          <w:tcPr>
            <w:tcW w:w="1355" w:type="dxa"/>
            <w:gridSpan w:val="2"/>
            <w:vAlign w:val="center"/>
          </w:tcPr>
          <w:p>
            <w:pPr>
              <w:pStyle w:val="68"/>
              <w:shd w:val="clear" w:color="auto" w:fill="FFFFFF"/>
              <w:spacing w:before="0" w:beforeAutospacing="0" w:after="0" w:afterAutospacing="0"/>
              <w:ind w:right="-107"/>
              <w:jc w:val="both"/>
              <w:textAlignment w:val="baseline"/>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578" w:type="dxa"/>
            <w:gridSpan w:val="8"/>
            <w:vAlign w:val="center"/>
          </w:tcPr>
          <w:p>
            <w:pPr>
              <w:pStyle w:val="68"/>
              <w:shd w:val="clear" w:color="auto" w:fill="FFFFFF"/>
              <w:spacing w:before="0" w:after="0"/>
              <w:jc w:val="both"/>
              <w:textAlignment w:val="baseline"/>
              <w:rPr>
                <w:bCs/>
                <w:color w:val="auto"/>
                <w:spacing w:val="16"/>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atLeast"/>
        </w:trPr>
        <w:tc>
          <w:tcPr>
            <w:tcW w:w="880" w:type="dxa"/>
            <w:vMerge w:val="continue"/>
            <w:vAlign w:val="center"/>
          </w:tcPr>
          <w:p>
            <w:pPr>
              <w:pStyle w:val="68"/>
              <w:shd w:val="clear" w:color="auto" w:fill="FFFFFF"/>
              <w:spacing w:before="0" w:after="0"/>
              <w:ind w:left="107"/>
              <w:jc w:val="both"/>
              <w:textAlignment w:val="baseline"/>
              <w:rPr>
                <w:bCs/>
                <w:color w:val="auto"/>
                <w:spacing w:val="27"/>
                <w:sz w:val="21"/>
                <w:szCs w:val="21"/>
                <w:highlight w:val="none"/>
              </w:rPr>
            </w:pPr>
          </w:p>
        </w:tc>
        <w:tc>
          <w:tcPr>
            <w:tcW w:w="1355" w:type="dxa"/>
            <w:gridSpan w:val="2"/>
            <w:vAlign w:val="center"/>
          </w:tcPr>
          <w:p>
            <w:pPr>
              <w:pStyle w:val="68"/>
              <w:shd w:val="clear" w:color="auto" w:fill="FFFFFF"/>
              <w:spacing w:before="0" w:after="0"/>
              <w:jc w:val="both"/>
              <w:textAlignment w:val="baseline"/>
              <w:rPr>
                <w:bCs/>
                <w:color w:val="auto"/>
                <w:spacing w:val="16"/>
                <w:sz w:val="21"/>
                <w:szCs w:val="21"/>
                <w:highlight w:val="none"/>
              </w:rPr>
            </w:pPr>
            <w:r>
              <w:rPr>
                <w:rFonts w:hint="eastAsia"/>
                <w:bCs/>
                <w:color w:val="auto"/>
                <w:spacing w:val="10"/>
                <w:sz w:val="21"/>
                <w:szCs w:val="21"/>
                <w:highlight w:val="none"/>
              </w:rPr>
              <w:t>企业获得专利情况</w:t>
            </w:r>
          </w:p>
        </w:tc>
        <w:tc>
          <w:tcPr>
            <w:tcW w:w="6578" w:type="dxa"/>
            <w:gridSpan w:val="8"/>
            <w:vAlign w:val="center"/>
          </w:tcPr>
          <w:p>
            <w:pPr>
              <w:pStyle w:val="68"/>
              <w:shd w:val="clear" w:color="auto" w:fill="FFFFFF"/>
              <w:spacing w:before="0" w:after="0"/>
              <w:jc w:val="both"/>
              <w:textAlignment w:val="baseline"/>
              <w:rPr>
                <w:bCs/>
                <w:color w:val="auto"/>
                <w:spacing w:val="16"/>
                <w:sz w:val="21"/>
                <w:szCs w:val="21"/>
                <w:highlight w:val="none"/>
              </w:rPr>
            </w:pPr>
          </w:p>
        </w:tc>
      </w:tr>
    </w:tbl>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pPr>
        <w:spacing w:line="360" w:lineRule="auto"/>
        <w:textAlignment w:val="baseline"/>
        <w:rPr>
          <w:rFonts w:ascii="宋体" w:hAnsi="宋体" w:cs="宋体"/>
          <w:color w:val="auto"/>
          <w:sz w:val="24"/>
          <w:szCs w:val="32"/>
          <w:highlight w:val="none"/>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b/>
          <w:color w:val="auto"/>
          <w:sz w:val="28"/>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6"/>
        <w:numPr>
          <w:ilvl w:val="0"/>
          <w:numId w:val="21"/>
        </w:numPr>
        <w:jc w:val="center"/>
        <w:textAlignment w:val="baseline"/>
        <w:rPr>
          <w:rFonts w:ascii="宋体" w:hAnsi="宋体" w:cs="宋体"/>
          <w:color w:val="auto"/>
          <w:highlight w:val="none"/>
        </w:rPr>
      </w:pPr>
      <w:bookmarkStart w:id="87" w:name="_Toc16985"/>
      <w:r>
        <w:rPr>
          <w:rFonts w:hint="eastAsia" w:ascii="宋体" w:hAnsi="宋体" w:cs="宋体"/>
          <w:color w:val="auto"/>
          <w:highlight w:val="none"/>
        </w:rPr>
        <w:t>附件11-项目实施人员一览表</w:t>
      </w:r>
      <w:bookmarkEnd w:id="87"/>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pPr>
        <w:spacing w:line="360" w:lineRule="auto"/>
        <w:jc w:val="center"/>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3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2"/>
        <w:gridCol w:w="2258"/>
        <w:gridCol w:w="1437"/>
        <w:gridCol w:w="1437"/>
        <w:gridCol w:w="1439"/>
        <w:gridCol w:w="1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序号</w:t>
            </w:r>
          </w:p>
        </w:tc>
        <w:tc>
          <w:tcPr>
            <w:tcW w:w="1325"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姓名</w:t>
            </w:r>
          </w:p>
        </w:tc>
        <w:tc>
          <w:tcPr>
            <w:tcW w:w="843"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拟任岗位</w:t>
            </w:r>
          </w:p>
        </w:tc>
        <w:tc>
          <w:tcPr>
            <w:tcW w:w="843"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专业技术资格</w:t>
            </w:r>
          </w:p>
        </w:tc>
        <w:tc>
          <w:tcPr>
            <w:tcW w:w="844"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证书编号</w:t>
            </w:r>
          </w:p>
        </w:tc>
        <w:tc>
          <w:tcPr>
            <w:tcW w:w="844" w:type="pct"/>
            <w:vAlign w:val="center"/>
          </w:tcPr>
          <w:p>
            <w:pPr>
              <w:pStyle w:val="3"/>
              <w:ind w:firstLine="0"/>
              <w:jc w:val="center"/>
              <w:textAlignment w:val="baseline"/>
              <w:rPr>
                <w:rFonts w:ascii="宋体" w:hAnsi="宋体" w:cs="宋体"/>
                <w:color w:val="auto"/>
                <w:highlight w:val="none"/>
              </w:rPr>
            </w:pPr>
            <w:r>
              <w:rPr>
                <w:rFonts w:hint="eastAsia" w:ascii="宋体" w:hAnsi="宋体" w:cs="宋体"/>
                <w:color w:val="auto"/>
                <w:highlight w:val="none"/>
              </w:rPr>
              <w:t>工作年限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3"/>
              <w:ind w:firstLine="0"/>
              <w:jc w:val="center"/>
              <w:textAlignment w:val="baseline"/>
              <w:rPr>
                <w:rFonts w:ascii="宋体" w:hAnsi="宋体" w:cs="宋体"/>
                <w:color w:val="auto"/>
                <w:highlight w:val="none"/>
              </w:rPr>
            </w:pPr>
          </w:p>
        </w:tc>
        <w:tc>
          <w:tcPr>
            <w:tcW w:w="1325" w:type="pct"/>
            <w:vAlign w:val="center"/>
          </w:tcPr>
          <w:p>
            <w:pPr>
              <w:pStyle w:val="3"/>
              <w:ind w:firstLine="0"/>
              <w:jc w:val="center"/>
              <w:textAlignment w:val="baseline"/>
              <w:rPr>
                <w:rFonts w:ascii="宋体" w:hAnsi="宋体" w:cs="宋体"/>
                <w:color w:val="auto"/>
                <w:highlight w:val="none"/>
              </w:rPr>
            </w:pPr>
          </w:p>
        </w:tc>
        <w:tc>
          <w:tcPr>
            <w:tcW w:w="843" w:type="pct"/>
            <w:vAlign w:val="center"/>
          </w:tcPr>
          <w:p>
            <w:pPr>
              <w:pStyle w:val="3"/>
              <w:ind w:firstLine="0"/>
              <w:jc w:val="center"/>
              <w:textAlignment w:val="baseline"/>
              <w:rPr>
                <w:rFonts w:ascii="宋体" w:hAnsi="宋体" w:cs="宋体"/>
                <w:color w:val="auto"/>
                <w:highlight w:val="none"/>
              </w:rPr>
            </w:pPr>
          </w:p>
        </w:tc>
        <w:tc>
          <w:tcPr>
            <w:tcW w:w="843" w:type="pct"/>
            <w:vAlign w:val="center"/>
          </w:tcPr>
          <w:p>
            <w:pPr>
              <w:pStyle w:val="3"/>
              <w:ind w:firstLine="0"/>
              <w:jc w:val="center"/>
              <w:textAlignment w:val="baseline"/>
              <w:rPr>
                <w:rFonts w:ascii="宋体" w:hAnsi="宋体" w:cs="宋体"/>
                <w:color w:val="auto"/>
                <w:highlight w:val="none"/>
              </w:rPr>
            </w:pPr>
          </w:p>
        </w:tc>
        <w:tc>
          <w:tcPr>
            <w:tcW w:w="844" w:type="pct"/>
            <w:vAlign w:val="center"/>
          </w:tcPr>
          <w:p>
            <w:pPr>
              <w:pStyle w:val="3"/>
              <w:ind w:firstLine="0"/>
              <w:jc w:val="center"/>
              <w:textAlignment w:val="baseline"/>
              <w:rPr>
                <w:rFonts w:ascii="宋体" w:hAnsi="宋体" w:cs="宋体"/>
                <w:color w:val="auto"/>
                <w:highlight w:val="none"/>
              </w:rPr>
            </w:pPr>
          </w:p>
        </w:tc>
        <w:tc>
          <w:tcPr>
            <w:tcW w:w="844" w:type="pct"/>
            <w:vAlign w:val="center"/>
          </w:tcPr>
          <w:p>
            <w:pPr>
              <w:pStyle w:val="3"/>
              <w:ind w:firstLine="0"/>
              <w:jc w:val="center"/>
              <w:textAlignment w:val="baseline"/>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01" w:type="pct"/>
            <w:vAlign w:val="center"/>
          </w:tcPr>
          <w:p>
            <w:pPr>
              <w:pStyle w:val="3"/>
              <w:ind w:firstLine="0"/>
              <w:jc w:val="center"/>
              <w:textAlignment w:val="baseline"/>
              <w:rPr>
                <w:rFonts w:ascii="宋体" w:hAnsi="宋体" w:cs="宋体"/>
                <w:color w:val="auto"/>
                <w:highlight w:val="none"/>
              </w:rPr>
            </w:pPr>
          </w:p>
        </w:tc>
        <w:tc>
          <w:tcPr>
            <w:tcW w:w="1325" w:type="pct"/>
            <w:vAlign w:val="center"/>
          </w:tcPr>
          <w:p>
            <w:pPr>
              <w:pStyle w:val="3"/>
              <w:ind w:firstLine="0"/>
              <w:jc w:val="center"/>
              <w:textAlignment w:val="baseline"/>
              <w:rPr>
                <w:rFonts w:ascii="宋体" w:hAnsi="宋体" w:cs="宋体"/>
                <w:color w:val="auto"/>
                <w:highlight w:val="none"/>
              </w:rPr>
            </w:pPr>
          </w:p>
        </w:tc>
        <w:tc>
          <w:tcPr>
            <w:tcW w:w="843" w:type="pct"/>
            <w:vAlign w:val="center"/>
          </w:tcPr>
          <w:p>
            <w:pPr>
              <w:pStyle w:val="3"/>
              <w:ind w:firstLine="0"/>
              <w:jc w:val="center"/>
              <w:textAlignment w:val="baseline"/>
              <w:rPr>
                <w:rFonts w:ascii="宋体" w:hAnsi="宋体" w:cs="宋体"/>
                <w:color w:val="auto"/>
                <w:highlight w:val="none"/>
              </w:rPr>
            </w:pPr>
          </w:p>
        </w:tc>
        <w:tc>
          <w:tcPr>
            <w:tcW w:w="843" w:type="pct"/>
            <w:vAlign w:val="center"/>
          </w:tcPr>
          <w:p>
            <w:pPr>
              <w:pStyle w:val="3"/>
              <w:ind w:firstLine="0"/>
              <w:jc w:val="center"/>
              <w:textAlignment w:val="baseline"/>
              <w:rPr>
                <w:rFonts w:ascii="宋体" w:hAnsi="宋体" w:cs="宋体"/>
                <w:color w:val="auto"/>
                <w:highlight w:val="none"/>
              </w:rPr>
            </w:pPr>
          </w:p>
        </w:tc>
        <w:tc>
          <w:tcPr>
            <w:tcW w:w="844" w:type="pct"/>
            <w:vAlign w:val="center"/>
          </w:tcPr>
          <w:p>
            <w:pPr>
              <w:pStyle w:val="3"/>
              <w:ind w:firstLine="0"/>
              <w:jc w:val="center"/>
              <w:textAlignment w:val="baseline"/>
              <w:rPr>
                <w:rFonts w:ascii="宋体" w:hAnsi="宋体" w:cs="宋体"/>
                <w:color w:val="auto"/>
                <w:highlight w:val="none"/>
              </w:rPr>
            </w:pPr>
          </w:p>
        </w:tc>
        <w:tc>
          <w:tcPr>
            <w:tcW w:w="844" w:type="pct"/>
            <w:vAlign w:val="center"/>
          </w:tcPr>
          <w:p>
            <w:pPr>
              <w:pStyle w:val="3"/>
              <w:ind w:firstLine="0"/>
              <w:jc w:val="center"/>
              <w:textAlignment w:val="baseline"/>
              <w:rPr>
                <w:rFonts w:ascii="宋体" w:hAnsi="宋体" w:cs="宋体"/>
                <w:color w:val="auto"/>
                <w:highlight w:val="none"/>
              </w:rPr>
            </w:pPr>
          </w:p>
        </w:tc>
      </w:tr>
    </w:tbl>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spacing w:line="360" w:lineRule="auto"/>
        <w:jc w:val="left"/>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pPr>
        <w:spacing w:line="360" w:lineRule="auto"/>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3.出具上述人员在本单位服务的外部证明，如：投标截止日之前三个月以内的代缴个税税单或参加社会保险的《投保单》或《社会保险参保人员证明》等。</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36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pStyle w:val="6"/>
        <w:numPr>
          <w:ilvl w:val="0"/>
          <w:numId w:val="21"/>
        </w:numPr>
        <w:jc w:val="center"/>
        <w:textAlignment w:val="baseline"/>
        <w:rPr>
          <w:rFonts w:ascii="宋体" w:hAnsi="宋体" w:cs="宋体"/>
          <w:color w:val="auto"/>
          <w:highlight w:val="none"/>
        </w:rPr>
      </w:pPr>
      <w:bookmarkStart w:id="88" w:name="_Toc30219"/>
      <w:r>
        <w:rPr>
          <w:rFonts w:hint="eastAsia" w:ascii="宋体" w:hAnsi="宋体" w:cs="宋体"/>
          <w:color w:val="auto"/>
          <w:highlight w:val="none"/>
        </w:rPr>
        <w:t>附件12-项目负责人资格情况表</w:t>
      </w:r>
      <w:bookmarkEnd w:id="88"/>
    </w:p>
    <w:p>
      <w:pPr>
        <w:spacing w:before="156" w:after="156" w:line="360" w:lineRule="auto"/>
        <w:ind w:right="-1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pPr>
        <w:spacing w:line="360" w:lineRule="auto"/>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3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pPr>
              <w:jc w:val="center"/>
              <w:textAlignment w:val="baseline"/>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pPr>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pPr>
              <w:jc w:val="center"/>
              <w:textAlignment w:val="baseline"/>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pPr>
              <w:jc w:val="center"/>
              <w:textAlignment w:val="baseline"/>
              <w:rPr>
                <w:rFonts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textAlignment w:val="baseline"/>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textAlignment w:val="baseline"/>
              <w:rPr>
                <w:rFonts w:ascii="宋体" w:hAnsi="宋体" w:cs="宋体"/>
                <w:b/>
                <w:bCs/>
                <w:color w:val="auto"/>
                <w:sz w:val="24"/>
                <w:highlight w:val="none"/>
                <w:lang w:val="zh-CN"/>
              </w:rPr>
            </w:pPr>
          </w:p>
        </w:tc>
      </w:tr>
    </w:tbl>
    <w:p>
      <w:pPr>
        <w:spacing w:line="360" w:lineRule="auto"/>
        <w:textAlignment w:val="baseline"/>
        <w:rPr>
          <w:rFonts w:ascii="宋体" w:hAnsi="宋体" w:cs="宋体"/>
          <w:color w:val="auto"/>
          <w:sz w:val="24"/>
          <w:highlight w:val="none"/>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highlight w:val="none"/>
        </w:rPr>
      </w:pPr>
    </w:p>
    <w:p>
      <w:pPr>
        <w:pStyle w:val="6"/>
        <w:numPr>
          <w:ilvl w:val="0"/>
          <w:numId w:val="21"/>
        </w:numPr>
        <w:jc w:val="center"/>
        <w:textAlignment w:val="baseline"/>
        <w:rPr>
          <w:rFonts w:ascii="宋体" w:hAnsi="宋体" w:cs="宋体"/>
          <w:color w:val="auto"/>
          <w:highlight w:val="none"/>
        </w:rPr>
      </w:pPr>
      <w:bookmarkStart w:id="89" w:name="_Toc23876"/>
      <w:r>
        <w:rPr>
          <w:rFonts w:hint="eastAsia" w:ascii="宋体" w:hAnsi="宋体" w:cs="宋体"/>
          <w:color w:val="auto"/>
          <w:highlight w:val="none"/>
        </w:rPr>
        <w:t>附件13-技术参数响应表</w:t>
      </w:r>
      <w:bookmarkEnd w:id="89"/>
    </w:p>
    <w:p>
      <w:pPr>
        <w:spacing w:line="360" w:lineRule="auto"/>
        <w:jc w:val="center"/>
        <w:textAlignment w:val="baseline"/>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技术参数响应表</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853"/>
        <w:gridCol w:w="1503"/>
        <w:gridCol w:w="1570"/>
        <w:gridCol w:w="1416"/>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449" w:type="pct"/>
            <w:vAlign w:val="center"/>
          </w:tcPr>
          <w:p>
            <w:pPr>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序号</w:t>
            </w:r>
          </w:p>
        </w:tc>
        <w:tc>
          <w:tcPr>
            <w:tcW w:w="1087" w:type="pct"/>
            <w:vAlign w:val="center"/>
          </w:tcPr>
          <w:p>
            <w:pPr>
              <w:ind w:left="13" w:leftChars="6"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设备名称</w:t>
            </w:r>
          </w:p>
        </w:tc>
        <w:tc>
          <w:tcPr>
            <w:tcW w:w="882" w:type="pct"/>
            <w:vAlign w:val="center"/>
          </w:tcPr>
          <w:p>
            <w:pP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招标技术参数</w:t>
            </w:r>
          </w:p>
        </w:tc>
        <w:tc>
          <w:tcPr>
            <w:tcW w:w="921" w:type="pct"/>
            <w:vAlign w:val="center"/>
          </w:tcPr>
          <w:p>
            <w:pPr>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投标响应参数</w:t>
            </w:r>
          </w:p>
        </w:tc>
        <w:tc>
          <w:tcPr>
            <w:tcW w:w="831" w:type="pct"/>
            <w:vAlign w:val="center"/>
          </w:tcPr>
          <w:p>
            <w:pPr>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偏离说明</w:t>
            </w:r>
          </w:p>
        </w:tc>
        <w:tc>
          <w:tcPr>
            <w:tcW w:w="831" w:type="pct"/>
            <w:vAlign w:val="center"/>
          </w:tcPr>
          <w:p>
            <w:pPr>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备注（见页码或者章节）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r>
              <w:rPr>
                <w:rFonts w:hint="eastAsia" w:ascii="宋体" w:hAnsi="宋体" w:cs="宋体"/>
                <w:color w:val="auto"/>
                <w:spacing w:val="20"/>
                <w:szCs w:val="21"/>
                <w:highlight w:val="none"/>
              </w:rPr>
              <w:t>请复制第四章招标清单中的技术参数和要求</w:t>
            </w: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9" w:type="pct"/>
            <w:vAlign w:val="center"/>
          </w:tcPr>
          <w:p>
            <w:pPr>
              <w:textAlignment w:val="baseline"/>
              <w:rPr>
                <w:rFonts w:ascii="宋体" w:hAnsi="宋体" w:cs="宋体"/>
                <w:bCs/>
                <w:color w:val="auto"/>
                <w:sz w:val="20"/>
                <w:szCs w:val="21"/>
                <w:highlight w:val="none"/>
              </w:rPr>
            </w:pPr>
          </w:p>
        </w:tc>
        <w:tc>
          <w:tcPr>
            <w:tcW w:w="1087" w:type="pct"/>
            <w:vAlign w:val="center"/>
          </w:tcPr>
          <w:p>
            <w:pPr>
              <w:textAlignment w:val="baseline"/>
              <w:rPr>
                <w:rFonts w:ascii="宋体" w:hAnsi="宋体" w:cs="宋体"/>
                <w:bCs/>
                <w:color w:val="auto"/>
                <w:sz w:val="20"/>
                <w:szCs w:val="21"/>
                <w:highlight w:val="none"/>
              </w:rPr>
            </w:pPr>
          </w:p>
        </w:tc>
        <w:tc>
          <w:tcPr>
            <w:tcW w:w="882" w:type="pct"/>
            <w:vAlign w:val="center"/>
          </w:tcPr>
          <w:p>
            <w:pPr>
              <w:textAlignment w:val="baseline"/>
              <w:rPr>
                <w:rFonts w:ascii="宋体" w:hAnsi="宋体" w:cs="宋体"/>
                <w:bCs/>
                <w:color w:val="auto"/>
                <w:sz w:val="20"/>
                <w:szCs w:val="21"/>
                <w:highlight w:val="none"/>
              </w:rPr>
            </w:pPr>
          </w:p>
        </w:tc>
        <w:tc>
          <w:tcPr>
            <w:tcW w:w="921" w:type="pct"/>
            <w:vAlign w:val="center"/>
          </w:tcPr>
          <w:p>
            <w:pPr>
              <w:textAlignment w:val="baseline"/>
              <w:rPr>
                <w:rFonts w:ascii="宋体" w:hAnsi="宋体" w:cs="宋体"/>
                <w:bCs/>
                <w:color w:val="auto"/>
                <w:sz w:val="20"/>
                <w:szCs w:val="21"/>
                <w:highlight w:val="none"/>
              </w:rPr>
            </w:pPr>
          </w:p>
        </w:tc>
        <w:tc>
          <w:tcPr>
            <w:tcW w:w="831" w:type="pct"/>
            <w:vAlign w:val="center"/>
          </w:tcPr>
          <w:p>
            <w:pPr>
              <w:textAlignment w:val="baseline"/>
              <w:rPr>
                <w:rFonts w:ascii="宋体" w:hAnsi="宋体" w:cs="宋体"/>
                <w:bCs/>
                <w:color w:val="auto"/>
                <w:sz w:val="20"/>
                <w:szCs w:val="21"/>
                <w:highlight w:val="none"/>
              </w:rPr>
            </w:pPr>
          </w:p>
        </w:tc>
        <w:tc>
          <w:tcPr>
            <w:tcW w:w="831" w:type="pct"/>
            <w:vAlign w:val="center"/>
          </w:tcPr>
          <w:p>
            <w:pPr>
              <w:jc w:val="center"/>
              <w:textAlignment w:val="baseline"/>
              <w:rPr>
                <w:rFonts w:ascii="宋体" w:hAnsi="宋体" w:cs="宋体"/>
                <w:bCs/>
                <w:color w:val="auto"/>
                <w:sz w:val="20"/>
                <w:szCs w:val="21"/>
                <w:highlight w:val="none"/>
              </w:rPr>
            </w:pPr>
          </w:p>
        </w:tc>
      </w:tr>
    </w:tbl>
    <w:p>
      <w:pPr>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4、投标人所投产品的规格参数与招标文件要求的规格参数有不同时，应逐条列在该偏离表中，要求提供证明材料的，若投标单位未提供，则视为负偏离。</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 日期：</w:t>
      </w:r>
    </w:p>
    <w:p>
      <w:pPr>
        <w:pStyle w:val="6"/>
        <w:numPr>
          <w:ilvl w:val="0"/>
          <w:numId w:val="21"/>
        </w:numPr>
        <w:jc w:val="center"/>
        <w:textAlignment w:val="baseline"/>
        <w:rPr>
          <w:rFonts w:ascii="宋体" w:hAnsi="宋体" w:cs="宋体"/>
          <w:color w:val="auto"/>
          <w:highlight w:val="none"/>
        </w:rPr>
      </w:pPr>
      <w:bookmarkStart w:id="90" w:name="_Toc11356"/>
      <w:r>
        <w:rPr>
          <w:rFonts w:hint="eastAsia" w:ascii="宋体" w:hAnsi="宋体" w:cs="宋体"/>
          <w:color w:val="auto"/>
          <w:highlight w:val="none"/>
        </w:rPr>
        <w:t>附件14-投标人证书及荣誉证书格式</w:t>
      </w:r>
      <w:bookmarkEnd w:id="90"/>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pPr>
        <w:spacing w:line="360" w:lineRule="auto"/>
        <w:jc w:val="left"/>
        <w:textAlignment w:val="baseline"/>
        <w:rPr>
          <w:rFonts w:ascii="宋体" w:hAnsi="宋体" w:cs="宋体"/>
          <w:b/>
          <w:bCs/>
          <w:color w:val="auto"/>
          <w:sz w:val="24"/>
          <w:szCs w:val="32"/>
          <w:highlight w:val="none"/>
          <w:lang w:val="zh-CN"/>
        </w:rPr>
      </w:pPr>
    </w:p>
    <w:tbl>
      <w:tblPr>
        <w:tblStyle w:val="35"/>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684"/>
        <w:gridCol w:w="2037"/>
        <w:gridCol w:w="2040"/>
        <w:gridCol w:w="18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36" w:type="pct"/>
            <w:tcBorders>
              <w:top w:val="double" w:color="auto" w:sz="4" w:space="0"/>
              <w:left w:val="single" w:color="auto" w:sz="4" w:space="0"/>
            </w:tcBorders>
          </w:tcPr>
          <w:p>
            <w:pPr>
              <w:pStyle w:val="73"/>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序号</w:t>
            </w:r>
          </w:p>
        </w:tc>
        <w:tc>
          <w:tcPr>
            <w:tcW w:w="988" w:type="pct"/>
            <w:tcBorders>
              <w:top w:val="double" w:color="auto" w:sz="4" w:space="0"/>
              <w:left w:val="single" w:color="auto" w:sz="4" w:space="0"/>
            </w:tcBorders>
          </w:tcPr>
          <w:p>
            <w:pPr>
              <w:pStyle w:val="73"/>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1195" w:type="pct"/>
            <w:tcBorders>
              <w:top w:val="double" w:color="auto" w:sz="4" w:space="0"/>
            </w:tcBorders>
          </w:tcPr>
          <w:p>
            <w:pPr>
              <w:pStyle w:val="73"/>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1197" w:type="pct"/>
            <w:tcBorders>
              <w:top w:val="double" w:color="auto" w:sz="4" w:space="0"/>
            </w:tcBorders>
          </w:tcPr>
          <w:p>
            <w:pPr>
              <w:pStyle w:val="73"/>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1084" w:type="pct"/>
            <w:tcBorders>
              <w:top w:val="double" w:color="auto" w:sz="4" w:space="0"/>
              <w:right w:val="single" w:color="auto" w:sz="4" w:space="0"/>
            </w:tcBorders>
          </w:tcPr>
          <w:p>
            <w:pPr>
              <w:pStyle w:val="73"/>
              <w:spacing w:line="360" w:lineRule="auto"/>
              <w:jc w:val="center"/>
              <w:textAlignment w:val="baseline"/>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Pr>
          <w:p>
            <w:pPr>
              <w:pStyle w:val="73"/>
              <w:spacing w:line="360" w:lineRule="auto"/>
              <w:jc w:val="center"/>
              <w:textAlignment w:val="baseline"/>
              <w:rPr>
                <w:rFonts w:ascii="宋体" w:hAnsi="宋体" w:cs="宋体"/>
                <w:color w:val="auto"/>
                <w:szCs w:val="21"/>
                <w:highlight w:val="none"/>
              </w:rPr>
            </w:pPr>
          </w:p>
        </w:tc>
        <w:tc>
          <w:tcPr>
            <w:tcW w:w="1197" w:type="pct"/>
          </w:tcPr>
          <w:p>
            <w:pPr>
              <w:pStyle w:val="73"/>
              <w:spacing w:line="360" w:lineRule="auto"/>
              <w:jc w:val="center"/>
              <w:textAlignment w:val="baseline"/>
              <w:rPr>
                <w:rFonts w:ascii="宋体" w:hAnsi="宋体" w:cs="宋体"/>
                <w:color w:val="auto"/>
                <w:szCs w:val="21"/>
                <w:highlight w:val="none"/>
              </w:rPr>
            </w:pPr>
          </w:p>
        </w:tc>
        <w:tc>
          <w:tcPr>
            <w:tcW w:w="1084" w:type="pct"/>
            <w:tcBorders>
              <w:right w:val="single" w:color="auto" w:sz="4" w:space="0"/>
            </w:tcBorders>
          </w:tcPr>
          <w:p>
            <w:pPr>
              <w:pStyle w:val="73"/>
              <w:spacing w:line="360" w:lineRule="auto"/>
              <w:jc w:val="center"/>
              <w:textAlignment w:val="baseline"/>
              <w:rPr>
                <w:rFonts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bottom w:val="double" w:color="auto" w:sz="4" w:space="0"/>
            </w:tcBorders>
          </w:tcPr>
          <w:p>
            <w:pPr>
              <w:pStyle w:val="73"/>
              <w:spacing w:line="360" w:lineRule="auto"/>
              <w:jc w:val="center"/>
              <w:textAlignment w:val="baseline"/>
              <w:rPr>
                <w:rFonts w:ascii="宋体" w:hAnsi="宋体" w:cs="宋体"/>
                <w:color w:val="auto"/>
                <w:szCs w:val="21"/>
                <w:highlight w:val="none"/>
              </w:rPr>
            </w:pPr>
          </w:p>
        </w:tc>
        <w:tc>
          <w:tcPr>
            <w:tcW w:w="988" w:type="pct"/>
            <w:tcBorders>
              <w:left w:val="single" w:color="auto" w:sz="4" w:space="0"/>
              <w:bottom w:val="double" w:color="auto" w:sz="4" w:space="0"/>
            </w:tcBorders>
          </w:tcPr>
          <w:p>
            <w:pPr>
              <w:pStyle w:val="73"/>
              <w:spacing w:line="360" w:lineRule="auto"/>
              <w:jc w:val="center"/>
              <w:textAlignment w:val="baseline"/>
              <w:rPr>
                <w:rFonts w:ascii="宋体" w:hAnsi="宋体" w:cs="宋体"/>
                <w:color w:val="auto"/>
                <w:szCs w:val="21"/>
                <w:highlight w:val="none"/>
              </w:rPr>
            </w:pPr>
          </w:p>
        </w:tc>
        <w:tc>
          <w:tcPr>
            <w:tcW w:w="1195" w:type="pct"/>
            <w:tcBorders>
              <w:bottom w:val="double" w:color="auto" w:sz="4" w:space="0"/>
            </w:tcBorders>
          </w:tcPr>
          <w:p>
            <w:pPr>
              <w:pStyle w:val="73"/>
              <w:spacing w:line="360" w:lineRule="auto"/>
              <w:jc w:val="center"/>
              <w:textAlignment w:val="baseline"/>
              <w:rPr>
                <w:rFonts w:ascii="宋体" w:hAnsi="宋体" w:cs="宋体"/>
                <w:color w:val="auto"/>
                <w:szCs w:val="21"/>
                <w:highlight w:val="none"/>
              </w:rPr>
            </w:pPr>
          </w:p>
        </w:tc>
        <w:tc>
          <w:tcPr>
            <w:tcW w:w="1197" w:type="pct"/>
            <w:tcBorders>
              <w:bottom w:val="double" w:color="auto" w:sz="4" w:space="0"/>
            </w:tcBorders>
          </w:tcPr>
          <w:p>
            <w:pPr>
              <w:pStyle w:val="73"/>
              <w:spacing w:line="360" w:lineRule="auto"/>
              <w:jc w:val="center"/>
              <w:textAlignment w:val="baseline"/>
              <w:rPr>
                <w:rFonts w:ascii="宋体" w:hAnsi="宋体" w:cs="宋体"/>
                <w:color w:val="auto"/>
                <w:szCs w:val="21"/>
                <w:highlight w:val="none"/>
              </w:rPr>
            </w:pPr>
          </w:p>
        </w:tc>
        <w:tc>
          <w:tcPr>
            <w:tcW w:w="1084" w:type="pct"/>
            <w:tcBorders>
              <w:bottom w:val="double" w:color="auto" w:sz="4" w:space="0"/>
              <w:right w:val="single" w:color="auto" w:sz="4" w:space="0"/>
            </w:tcBorders>
          </w:tcPr>
          <w:p>
            <w:pPr>
              <w:pStyle w:val="73"/>
              <w:spacing w:line="360" w:lineRule="auto"/>
              <w:jc w:val="center"/>
              <w:textAlignment w:val="baseline"/>
              <w:rPr>
                <w:rFonts w:ascii="宋体" w:hAnsi="宋体" w:cs="宋体"/>
                <w:color w:val="auto"/>
                <w:szCs w:val="21"/>
                <w:highlight w:val="none"/>
              </w:rPr>
            </w:pPr>
          </w:p>
        </w:tc>
      </w:tr>
    </w:tbl>
    <w:p>
      <w:pPr>
        <w:spacing w:line="360" w:lineRule="auto"/>
        <w:jc w:val="left"/>
        <w:textAlignment w:val="baseline"/>
        <w:rPr>
          <w:rFonts w:ascii="宋体" w:hAnsi="宋体" w:cs="宋体"/>
          <w:b/>
          <w:bCs/>
          <w:color w:val="auto"/>
          <w:sz w:val="24"/>
          <w:szCs w:val="32"/>
          <w:highlight w:val="none"/>
          <w:lang w:val="zh-CN"/>
        </w:rPr>
      </w:pPr>
    </w:p>
    <w:p>
      <w:pPr>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pPr>
        <w:spacing w:line="360" w:lineRule="auto"/>
        <w:jc w:val="left"/>
        <w:textAlignment w:val="baseline"/>
        <w:rPr>
          <w:rFonts w:ascii="宋体" w:hAnsi="宋体" w:cs="宋体"/>
          <w:b/>
          <w:bCs/>
          <w:color w:val="auto"/>
          <w:sz w:val="24"/>
          <w:szCs w:val="32"/>
          <w:highlight w:val="none"/>
          <w:lang w:val="zh-CN"/>
        </w:rPr>
      </w:pPr>
    </w:p>
    <w:p>
      <w:pPr>
        <w:spacing w:line="360" w:lineRule="auto"/>
        <w:jc w:val="left"/>
        <w:textAlignment w:val="baseline"/>
        <w:rPr>
          <w:rFonts w:ascii="宋体" w:hAnsi="宋体" w:cs="宋体"/>
          <w:b/>
          <w:bCs/>
          <w:color w:val="auto"/>
          <w:sz w:val="24"/>
          <w:szCs w:val="32"/>
          <w:highlight w:val="none"/>
          <w:lang w:val="zh-CN"/>
        </w:rPr>
      </w:pPr>
    </w:p>
    <w:p>
      <w:pPr>
        <w:spacing w:line="360" w:lineRule="auto"/>
        <w:jc w:val="left"/>
        <w:textAlignment w:val="baseline"/>
        <w:rPr>
          <w:rFonts w:ascii="宋体" w:hAnsi="宋体" w:cs="宋体"/>
          <w:b/>
          <w:bCs/>
          <w:color w:val="auto"/>
          <w:sz w:val="24"/>
          <w:szCs w:val="32"/>
          <w:highlight w:val="none"/>
          <w:lang w:val="zh-CN"/>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textAlignment w:val="baseline"/>
        <w:rPr>
          <w:rFonts w:ascii="宋体" w:hAnsi="宋体" w:cs="宋体"/>
          <w:b/>
          <w:bCs/>
          <w:color w:val="auto"/>
          <w:sz w:val="24"/>
          <w:highlight w:val="none"/>
        </w:rPr>
      </w:pPr>
    </w:p>
    <w:p>
      <w:pPr>
        <w:spacing w:line="360" w:lineRule="auto"/>
        <w:textAlignment w:val="baseline"/>
        <w:rPr>
          <w:rFonts w:ascii="宋体" w:hAnsi="宋体" w:cs="宋体"/>
          <w:b/>
          <w:bCs/>
          <w:color w:val="auto"/>
          <w:sz w:val="24"/>
          <w:highlight w:val="none"/>
        </w:rPr>
      </w:pPr>
    </w:p>
    <w:p>
      <w:pPr>
        <w:spacing w:line="360" w:lineRule="auto"/>
        <w:textAlignment w:val="baseline"/>
        <w:rPr>
          <w:rFonts w:ascii="宋体" w:hAnsi="宋体" w:cs="宋体"/>
          <w:b/>
          <w:bCs/>
          <w:color w:val="auto"/>
          <w:sz w:val="24"/>
          <w:highlight w:val="none"/>
        </w:rPr>
      </w:pPr>
    </w:p>
    <w:p>
      <w:pPr>
        <w:spacing w:line="360" w:lineRule="auto"/>
        <w:textAlignment w:val="baseline"/>
        <w:rPr>
          <w:rFonts w:ascii="宋体" w:hAnsi="宋体" w:cs="宋体"/>
          <w:b/>
          <w:bCs/>
          <w:color w:val="auto"/>
          <w:sz w:val="24"/>
          <w:highlight w:val="none"/>
        </w:rPr>
      </w:pPr>
    </w:p>
    <w:p>
      <w:pPr>
        <w:spacing w:line="360" w:lineRule="auto"/>
        <w:textAlignment w:val="baseline"/>
        <w:rPr>
          <w:rFonts w:ascii="宋体" w:hAnsi="宋体" w:cs="宋体"/>
          <w:b/>
          <w:bCs/>
          <w:color w:val="auto"/>
          <w:sz w:val="24"/>
          <w:highlight w:val="none"/>
        </w:rPr>
      </w:pPr>
    </w:p>
    <w:p>
      <w:pPr>
        <w:spacing w:line="360" w:lineRule="auto"/>
        <w:textAlignment w:val="baseline"/>
        <w:rPr>
          <w:rFonts w:ascii="宋体" w:hAnsi="宋体" w:cs="宋体"/>
          <w:b/>
          <w:bCs/>
          <w:color w:val="auto"/>
          <w:sz w:val="24"/>
          <w:highlight w:val="none"/>
        </w:rPr>
      </w:pPr>
    </w:p>
    <w:p>
      <w:pPr>
        <w:pStyle w:val="6"/>
        <w:numPr>
          <w:ilvl w:val="0"/>
          <w:numId w:val="21"/>
        </w:numPr>
        <w:jc w:val="center"/>
        <w:textAlignment w:val="baseline"/>
        <w:rPr>
          <w:rFonts w:ascii="宋体" w:hAnsi="宋体" w:cs="宋体"/>
          <w:color w:val="auto"/>
          <w:highlight w:val="none"/>
        </w:rPr>
      </w:pPr>
      <w:bookmarkStart w:id="91" w:name="_Toc19901"/>
      <w:r>
        <w:rPr>
          <w:rFonts w:hint="eastAsia" w:ascii="宋体" w:hAnsi="宋体" w:cs="宋体"/>
          <w:color w:val="auto"/>
          <w:highlight w:val="none"/>
        </w:rPr>
        <w:t>附件15-投标人类似业绩表</w:t>
      </w:r>
      <w:bookmarkEnd w:id="91"/>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pPr>
        <w:spacing w:line="360" w:lineRule="auto"/>
        <w:textAlignment w:val="baseline"/>
        <w:rPr>
          <w:rFonts w:ascii="宋体" w:hAnsi="宋体" w:cs="宋体"/>
          <w:b/>
          <w:bCs/>
          <w:color w:val="auto"/>
          <w:sz w:val="24"/>
          <w:highlight w:val="none"/>
        </w:rPr>
      </w:pP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
        <w:gridCol w:w="1156"/>
        <w:gridCol w:w="1406"/>
        <w:gridCol w:w="1125"/>
        <w:gridCol w:w="1297"/>
        <w:gridCol w:w="1236"/>
        <w:gridCol w:w="1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3"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序号</w:t>
            </w:r>
          </w:p>
        </w:tc>
        <w:tc>
          <w:tcPr>
            <w:tcW w:w="678"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项目名称</w:t>
            </w:r>
          </w:p>
        </w:tc>
        <w:tc>
          <w:tcPr>
            <w:tcW w:w="825"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项目地址</w:t>
            </w:r>
          </w:p>
        </w:tc>
        <w:tc>
          <w:tcPr>
            <w:tcW w:w="660"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合同总价</w:t>
            </w:r>
          </w:p>
        </w:tc>
        <w:tc>
          <w:tcPr>
            <w:tcW w:w="761"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实施时间</w:t>
            </w:r>
          </w:p>
        </w:tc>
        <w:tc>
          <w:tcPr>
            <w:tcW w:w="725"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项目质量</w:t>
            </w:r>
          </w:p>
        </w:tc>
        <w:tc>
          <w:tcPr>
            <w:tcW w:w="1068" w:type="pct"/>
            <w:vAlign w:val="center"/>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项目单位名称及其联系人电话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283" w:type="pct"/>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83" w:type="pct"/>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283" w:type="pct"/>
          </w:tcPr>
          <w:p>
            <w:pPr>
              <w:pStyle w:val="67"/>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83" w:type="pct"/>
          </w:tcPr>
          <w:p>
            <w:pPr>
              <w:pStyle w:val="67"/>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w:t>
            </w: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83" w:type="pct"/>
          </w:tcPr>
          <w:p>
            <w:pPr>
              <w:pStyle w:val="67"/>
              <w:spacing w:line="360" w:lineRule="auto"/>
              <w:textAlignment w:val="baseline"/>
              <w:rPr>
                <w:rFonts w:ascii="宋体" w:hAnsi="宋体" w:cs="宋体"/>
                <w:color w:val="auto"/>
                <w:szCs w:val="21"/>
                <w:highlight w:val="none"/>
              </w:rPr>
            </w:pP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83" w:type="pct"/>
          </w:tcPr>
          <w:p>
            <w:pPr>
              <w:pStyle w:val="67"/>
              <w:spacing w:line="360" w:lineRule="auto"/>
              <w:textAlignment w:val="baseline"/>
              <w:rPr>
                <w:rFonts w:ascii="宋体" w:hAnsi="宋体" w:cs="宋体"/>
                <w:color w:val="auto"/>
                <w:szCs w:val="21"/>
                <w:highlight w:val="none"/>
              </w:rPr>
            </w:pP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283" w:type="pct"/>
          </w:tcPr>
          <w:p>
            <w:pPr>
              <w:pStyle w:val="67"/>
              <w:spacing w:line="360" w:lineRule="auto"/>
              <w:textAlignment w:val="baseline"/>
              <w:rPr>
                <w:rFonts w:ascii="宋体" w:hAnsi="宋体" w:cs="宋体"/>
                <w:color w:val="auto"/>
                <w:szCs w:val="21"/>
                <w:highlight w:val="none"/>
              </w:rPr>
            </w:pPr>
          </w:p>
        </w:tc>
        <w:tc>
          <w:tcPr>
            <w:tcW w:w="678" w:type="pct"/>
          </w:tcPr>
          <w:p>
            <w:pPr>
              <w:pStyle w:val="67"/>
              <w:spacing w:line="360" w:lineRule="auto"/>
              <w:textAlignment w:val="baseline"/>
              <w:rPr>
                <w:rFonts w:ascii="宋体" w:hAnsi="宋体" w:cs="宋体"/>
                <w:color w:val="auto"/>
                <w:szCs w:val="21"/>
                <w:highlight w:val="none"/>
              </w:rPr>
            </w:pPr>
          </w:p>
        </w:tc>
        <w:tc>
          <w:tcPr>
            <w:tcW w:w="825" w:type="pct"/>
          </w:tcPr>
          <w:p>
            <w:pPr>
              <w:pStyle w:val="67"/>
              <w:spacing w:line="360" w:lineRule="auto"/>
              <w:textAlignment w:val="baseline"/>
              <w:rPr>
                <w:rFonts w:ascii="宋体" w:hAnsi="宋体" w:cs="宋体"/>
                <w:color w:val="auto"/>
                <w:szCs w:val="21"/>
                <w:highlight w:val="none"/>
              </w:rPr>
            </w:pPr>
          </w:p>
        </w:tc>
        <w:tc>
          <w:tcPr>
            <w:tcW w:w="660" w:type="pct"/>
          </w:tcPr>
          <w:p>
            <w:pPr>
              <w:pStyle w:val="67"/>
              <w:spacing w:line="360" w:lineRule="auto"/>
              <w:textAlignment w:val="baseline"/>
              <w:rPr>
                <w:rFonts w:ascii="宋体" w:hAnsi="宋体" w:cs="宋体"/>
                <w:color w:val="auto"/>
                <w:szCs w:val="21"/>
                <w:highlight w:val="none"/>
              </w:rPr>
            </w:pPr>
          </w:p>
        </w:tc>
        <w:tc>
          <w:tcPr>
            <w:tcW w:w="761" w:type="pct"/>
          </w:tcPr>
          <w:p>
            <w:pPr>
              <w:pStyle w:val="67"/>
              <w:spacing w:line="360" w:lineRule="auto"/>
              <w:textAlignment w:val="baseline"/>
              <w:rPr>
                <w:rFonts w:ascii="宋体" w:hAnsi="宋体" w:cs="宋体"/>
                <w:color w:val="auto"/>
                <w:szCs w:val="21"/>
                <w:highlight w:val="none"/>
              </w:rPr>
            </w:pPr>
          </w:p>
        </w:tc>
        <w:tc>
          <w:tcPr>
            <w:tcW w:w="725" w:type="pct"/>
          </w:tcPr>
          <w:p>
            <w:pPr>
              <w:pStyle w:val="67"/>
              <w:spacing w:line="360" w:lineRule="auto"/>
              <w:textAlignment w:val="baseline"/>
              <w:rPr>
                <w:rFonts w:ascii="宋体" w:hAnsi="宋体" w:cs="宋体"/>
                <w:color w:val="auto"/>
                <w:szCs w:val="21"/>
                <w:highlight w:val="none"/>
              </w:rPr>
            </w:pPr>
          </w:p>
        </w:tc>
        <w:tc>
          <w:tcPr>
            <w:tcW w:w="1068" w:type="pct"/>
          </w:tcPr>
          <w:p>
            <w:pPr>
              <w:pStyle w:val="67"/>
              <w:spacing w:line="360" w:lineRule="auto"/>
              <w:textAlignment w:val="baseline"/>
              <w:rPr>
                <w:rFonts w:ascii="宋体" w:hAnsi="宋体" w:cs="宋体"/>
                <w:color w:val="auto"/>
                <w:szCs w:val="21"/>
                <w:highlight w:val="none"/>
              </w:rPr>
            </w:pPr>
          </w:p>
        </w:tc>
      </w:tr>
    </w:tbl>
    <w:p>
      <w:pPr>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要求：</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p>
    <w:p>
      <w:pPr>
        <w:spacing w:line="360" w:lineRule="auto"/>
        <w:ind w:firstLine="480" w:firstLineChars="200"/>
        <w:textAlignment w:val="baseline"/>
        <w:rPr>
          <w:rFonts w:ascii="宋体" w:hAnsi="宋体" w:cs="宋体"/>
          <w:color w:val="auto"/>
          <w:sz w:val="24"/>
          <w:highlight w:val="none"/>
        </w:rPr>
      </w:pPr>
    </w:p>
    <w:p>
      <w:pPr>
        <w:pStyle w:val="6"/>
        <w:numPr>
          <w:ilvl w:val="0"/>
          <w:numId w:val="21"/>
        </w:numPr>
        <w:jc w:val="center"/>
        <w:textAlignment w:val="baseline"/>
        <w:rPr>
          <w:rFonts w:ascii="宋体" w:hAnsi="宋体" w:cs="宋体"/>
          <w:color w:val="auto"/>
          <w:highlight w:val="none"/>
        </w:rPr>
      </w:pPr>
      <w:bookmarkStart w:id="92" w:name="_Toc9934"/>
      <w:r>
        <w:rPr>
          <w:rFonts w:hint="eastAsia" w:ascii="宋体" w:hAnsi="宋体" w:cs="宋体"/>
          <w:color w:val="auto"/>
          <w:highlight w:val="none"/>
        </w:rPr>
        <w:t>附件16-商务需求响应表</w:t>
      </w:r>
      <w:bookmarkEnd w:id="92"/>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pPr>
        <w:spacing w:line="360" w:lineRule="auto"/>
        <w:textAlignment w:val="baseline"/>
        <w:rPr>
          <w:rFonts w:ascii="宋体" w:hAnsi="宋体" w:cs="宋体"/>
          <w:b/>
          <w:color w:val="auto"/>
          <w:sz w:val="24"/>
          <w:highlight w:val="none"/>
        </w:rPr>
      </w:pP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835"/>
        <w:gridCol w:w="1835"/>
        <w:gridCol w:w="1403"/>
        <w:gridCol w:w="2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6" w:hRule="atLeast"/>
        </w:trPr>
        <w:tc>
          <w:tcPr>
            <w:tcW w:w="442" w:type="pct"/>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序号</w:t>
            </w:r>
          </w:p>
        </w:tc>
        <w:tc>
          <w:tcPr>
            <w:tcW w:w="1076" w:type="pct"/>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内容</w:t>
            </w:r>
          </w:p>
        </w:tc>
        <w:tc>
          <w:tcPr>
            <w:tcW w:w="1076" w:type="pct"/>
            <w:vAlign w:val="center"/>
          </w:tcPr>
          <w:p>
            <w:pPr>
              <w:ind w:left="53" w:leftChars="25" w:firstLine="211" w:firstLineChars="100"/>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招标需求</w:t>
            </w:r>
          </w:p>
        </w:tc>
        <w:tc>
          <w:tcPr>
            <w:tcW w:w="823" w:type="pct"/>
            <w:vAlign w:val="center"/>
          </w:tcPr>
          <w:p>
            <w:pPr>
              <w:ind w:left="152"/>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是否响应</w:t>
            </w:r>
          </w:p>
        </w:tc>
        <w:tc>
          <w:tcPr>
            <w:tcW w:w="1581" w:type="pct"/>
            <w:vAlign w:val="center"/>
          </w:tcPr>
          <w:p>
            <w:pPr>
              <w:jc w:val="center"/>
              <w:textAlignment w:val="baseline"/>
              <w:rPr>
                <w:rFonts w:ascii="宋体" w:hAnsi="宋体" w:cs="宋体"/>
                <w:b/>
                <w:color w:val="auto"/>
                <w:sz w:val="20"/>
                <w:szCs w:val="21"/>
                <w:highlight w:val="none"/>
              </w:rPr>
            </w:pPr>
            <w:r>
              <w:rPr>
                <w:rFonts w:hint="eastAsia" w:ascii="宋体" w:hAnsi="宋体" w:cs="宋体"/>
                <w:b/>
                <w:color w:val="auto"/>
                <w:szCs w:val="21"/>
                <w:highlight w:val="none"/>
              </w:rPr>
              <w:t>投标人的承诺或说明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1</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服务时间及地点</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2</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付款方式</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3</w:t>
            </w:r>
          </w:p>
        </w:tc>
        <w:tc>
          <w:tcPr>
            <w:tcW w:w="1076" w:type="pct"/>
            <w:vAlign w:val="center"/>
          </w:tcPr>
          <w:p>
            <w:pPr>
              <w:snapToGrid w:val="0"/>
              <w:jc w:val="center"/>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项目验收</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4</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培训</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5</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质保</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6</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风险及处理要求</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2" w:type="pct"/>
            <w:vAlign w:val="center"/>
          </w:tcPr>
          <w:p>
            <w:pPr>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7</w:t>
            </w:r>
          </w:p>
        </w:tc>
        <w:tc>
          <w:tcPr>
            <w:tcW w:w="1076" w:type="pct"/>
            <w:vAlign w:val="center"/>
          </w:tcPr>
          <w:p>
            <w:pPr>
              <w:snapToGrid w:val="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其他</w:t>
            </w:r>
          </w:p>
        </w:tc>
        <w:tc>
          <w:tcPr>
            <w:tcW w:w="1076" w:type="pct"/>
            <w:vAlign w:val="center"/>
          </w:tcPr>
          <w:p>
            <w:pPr>
              <w:jc w:val="center"/>
              <w:textAlignment w:val="baseline"/>
              <w:rPr>
                <w:rFonts w:ascii="宋体" w:hAnsi="宋体" w:cs="宋体"/>
                <w:color w:val="auto"/>
                <w:sz w:val="20"/>
                <w:szCs w:val="21"/>
                <w:highlight w:val="none"/>
              </w:rPr>
            </w:pPr>
          </w:p>
        </w:tc>
        <w:tc>
          <w:tcPr>
            <w:tcW w:w="823" w:type="pct"/>
            <w:vAlign w:val="center"/>
          </w:tcPr>
          <w:p>
            <w:pPr>
              <w:jc w:val="center"/>
              <w:textAlignment w:val="baseline"/>
              <w:rPr>
                <w:rFonts w:ascii="宋体" w:hAnsi="宋体" w:cs="宋体"/>
                <w:color w:val="auto"/>
                <w:sz w:val="20"/>
                <w:szCs w:val="21"/>
                <w:highlight w:val="none"/>
              </w:rPr>
            </w:pPr>
          </w:p>
        </w:tc>
        <w:tc>
          <w:tcPr>
            <w:tcW w:w="1581" w:type="pct"/>
            <w:vAlign w:val="center"/>
          </w:tcPr>
          <w:p>
            <w:pPr>
              <w:jc w:val="center"/>
              <w:textAlignment w:val="baseline"/>
              <w:rPr>
                <w:rFonts w:ascii="宋体" w:hAnsi="宋体" w:cs="宋体"/>
                <w:color w:val="auto"/>
                <w:sz w:val="20"/>
                <w:szCs w:val="21"/>
                <w:highlight w:val="none"/>
              </w:rPr>
            </w:pPr>
          </w:p>
        </w:tc>
      </w:tr>
    </w:tbl>
    <w:p>
      <w:pPr>
        <w:spacing w:line="360" w:lineRule="auto"/>
        <w:textAlignment w:val="baseline"/>
        <w:rPr>
          <w:rFonts w:ascii="宋体" w:hAnsi="宋体" w:cs="宋体"/>
          <w:b/>
          <w:color w:val="auto"/>
          <w:sz w:val="24"/>
          <w:highlight w:val="none"/>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spacing w:line="360" w:lineRule="auto"/>
        <w:textAlignment w:val="baseline"/>
        <w:rPr>
          <w:rFonts w:ascii="宋体" w:hAnsi="宋体" w:cs="宋体"/>
          <w:b/>
          <w:color w:val="auto"/>
          <w:sz w:val="24"/>
          <w:highlight w:val="none"/>
        </w:rPr>
      </w:pPr>
    </w:p>
    <w:p>
      <w:pPr>
        <w:pStyle w:val="6"/>
        <w:numPr>
          <w:ilvl w:val="0"/>
          <w:numId w:val="21"/>
        </w:numPr>
        <w:jc w:val="center"/>
        <w:textAlignment w:val="baseline"/>
        <w:rPr>
          <w:rFonts w:ascii="宋体" w:hAnsi="宋体" w:cs="宋体"/>
          <w:color w:val="auto"/>
          <w:highlight w:val="none"/>
        </w:rPr>
      </w:pPr>
      <w:bookmarkStart w:id="93" w:name="_Toc26728"/>
      <w:r>
        <w:rPr>
          <w:rFonts w:hint="eastAsia" w:ascii="宋体" w:hAnsi="宋体" w:cs="宋体"/>
          <w:color w:val="auto"/>
          <w:highlight w:val="none"/>
        </w:rPr>
        <w:t>附件17-报价文件封面和目录</w:t>
      </w:r>
      <w:bookmarkEnd w:id="93"/>
    </w:p>
    <w:p>
      <w:pPr>
        <w:textAlignment w:val="baseline"/>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p>
    <w:p>
      <w:pPr>
        <w:jc w:val="center"/>
        <w:textAlignment w:val="baseline"/>
        <w:rPr>
          <w:rFonts w:ascii="宋体" w:hAnsi="宋体" w:cs="宋体"/>
          <w:color w:val="auto"/>
          <w:spacing w:val="40"/>
          <w:sz w:val="52"/>
          <w:szCs w:val="52"/>
          <w:highlight w:val="none"/>
        </w:rPr>
      </w:pPr>
    </w:p>
    <w:p>
      <w:pPr>
        <w:jc w:val="center"/>
        <w:textAlignment w:val="baseline"/>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pPr>
        <w:jc w:val="center"/>
        <w:textAlignment w:val="baseline"/>
        <w:rPr>
          <w:rFonts w:ascii="宋体" w:hAnsi="宋体" w:cs="宋体"/>
          <w:b/>
          <w:color w:val="auto"/>
          <w:spacing w:val="40"/>
          <w:sz w:val="84"/>
          <w:szCs w:val="84"/>
          <w:highlight w:val="none"/>
        </w:rPr>
      </w:pPr>
      <w:r>
        <w:rPr>
          <w:rFonts w:hint="eastAsia" w:ascii="宋体" w:hAnsi="宋体" w:cs="宋体"/>
          <w:color w:val="auto"/>
          <w:sz w:val="36"/>
          <w:szCs w:val="36"/>
          <w:highlight w:val="none"/>
        </w:rPr>
        <w:t>项目编号：</w:t>
      </w:r>
    </w:p>
    <w:p>
      <w:pPr>
        <w:jc w:val="center"/>
        <w:textAlignment w:val="baseline"/>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报价文件</w:t>
      </w:r>
    </w:p>
    <w:p>
      <w:pPr>
        <w:jc w:val="center"/>
        <w:textAlignment w:val="baseline"/>
        <w:rPr>
          <w:rFonts w:ascii="宋体" w:hAnsi="宋体" w:cs="宋体"/>
          <w:color w:val="auto"/>
          <w:sz w:val="36"/>
          <w:szCs w:val="36"/>
          <w:highlight w:val="none"/>
        </w:rPr>
      </w:pPr>
    </w:p>
    <w:p>
      <w:pPr>
        <w:jc w:val="center"/>
        <w:textAlignment w:val="baseline"/>
        <w:rPr>
          <w:rFonts w:ascii="宋体" w:hAnsi="宋体" w:cs="宋体"/>
          <w:color w:val="auto"/>
          <w:sz w:val="36"/>
          <w:szCs w:val="36"/>
          <w:highlight w:val="none"/>
        </w:rPr>
      </w:pPr>
    </w:p>
    <w:p>
      <w:pPr>
        <w:spacing w:line="360" w:lineRule="auto"/>
        <w:ind w:right="532"/>
        <w:jc w:val="center"/>
        <w:textAlignment w:val="baseline"/>
        <w:rPr>
          <w:rFonts w:ascii="宋体" w:hAnsi="宋体" w:cs="宋体"/>
          <w:color w:val="auto"/>
          <w:sz w:val="36"/>
          <w:szCs w:val="36"/>
          <w:highlight w:val="none"/>
        </w:rPr>
      </w:pPr>
    </w:p>
    <w:p>
      <w:pPr>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pPr>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地址：</w:t>
      </w:r>
    </w:p>
    <w:p>
      <w:pPr>
        <w:textAlignment w:val="baseline"/>
        <w:rPr>
          <w:rFonts w:ascii="宋体" w:hAnsi="宋体" w:cs="宋体"/>
          <w:color w:val="auto"/>
          <w:sz w:val="36"/>
          <w:szCs w:val="36"/>
          <w:highlight w:val="none"/>
        </w:rPr>
      </w:pPr>
      <w:r>
        <w:rPr>
          <w:rFonts w:hint="eastAsia" w:ascii="宋体" w:hAnsi="宋体" w:cs="宋体"/>
          <w:color w:val="auto"/>
          <w:sz w:val="36"/>
          <w:szCs w:val="36"/>
          <w:highlight w:val="none"/>
        </w:rPr>
        <w:t>时间：</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pStyle w:val="3"/>
        <w:textAlignment w:val="baseline"/>
        <w:rPr>
          <w:rFonts w:ascii="宋体" w:hAnsi="宋体" w:cs="宋体"/>
          <w:color w:val="auto"/>
          <w:highlight w:val="none"/>
        </w:rPr>
      </w:pPr>
    </w:p>
    <w:p>
      <w:pPr>
        <w:textAlignment w:val="baseline"/>
        <w:rPr>
          <w:rFonts w:ascii="宋体" w:hAnsi="宋体" w:cs="宋体"/>
          <w:color w:val="auto"/>
          <w:sz w:val="20"/>
          <w:highlight w:val="none"/>
        </w:rPr>
      </w:pPr>
    </w:p>
    <w:p>
      <w:pPr>
        <w:spacing w:line="360" w:lineRule="auto"/>
        <w:textAlignment w:val="baseline"/>
        <w:rPr>
          <w:rFonts w:ascii="宋体" w:hAnsi="宋体" w:cs="宋体"/>
          <w:color w:val="auto"/>
          <w:sz w:val="24"/>
          <w:szCs w:val="32"/>
          <w:highlight w:val="none"/>
        </w:rPr>
      </w:pPr>
    </w:p>
    <w:p>
      <w:pPr>
        <w:spacing w:line="360" w:lineRule="auto"/>
        <w:jc w:val="center"/>
        <w:textAlignment w:val="baseline"/>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pPr>
        <w:spacing w:line="360" w:lineRule="auto"/>
        <w:textAlignment w:val="baseline"/>
        <w:rPr>
          <w:rFonts w:ascii="宋体" w:hAnsi="宋体" w:cs="宋体"/>
          <w:color w:val="auto"/>
          <w:sz w:val="24"/>
          <w:highlight w:val="none"/>
        </w:rPr>
      </w:pPr>
    </w:p>
    <w:p>
      <w:pPr>
        <w:spacing w:line="360" w:lineRule="auto"/>
        <w:jc w:val="left"/>
        <w:textAlignment w:val="baseline"/>
        <w:rPr>
          <w:rFonts w:ascii="宋体" w:hAnsi="宋体" w:cs="宋体"/>
          <w:color w:val="auto"/>
          <w:sz w:val="28"/>
          <w:szCs w:val="36"/>
          <w:highlight w:val="none"/>
        </w:rPr>
      </w:pPr>
      <w:r>
        <w:rPr>
          <w:rFonts w:hint="eastAsia" w:ascii="宋体" w:hAnsi="宋体" w:cs="宋体"/>
          <w:color w:val="auto"/>
          <w:sz w:val="28"/>
          <w:szCs w:val="36"/>
          <w:highlight w:val="none"/>
        </w:rPr>
        <w:t>1、开标一览表（附件19）；</w:t>
      </w:r>
    </w:p>
    <w:p>
      <w:pPr>
        <w:spacing w:line="360" w:lineRule="auto"/>
        <w:jc w:val="left"/>
        <w:textAlignment w:val="baseline"/>
        <w:rPr>
          <w:rFonts w:ascii="宋体" w:hAnsi="宋体" w:cs="宋体"/>
          <w:color w:val="auto"/>
          <w:sz w:val="28"/>
          <w:szCs w:val="36"/>
          <w:highlight w:val="none"/>
        </w:rPr>
      </w:pPr>
      <w:r>
        <w:rPr>
          <w:rFonts w:hint="eastAsia" w:ascii="宋体" w:hAnsi="宋体" w:cs="宋体"/>
          <w:color w:val="auto"/>
          <w:sz w:val="28"/>
          <w:szCs w:val="36"/>
          <w:highlight w:val="none"/>
        </w:rPr>
        <w:t>2、报价明细表（附件20）；</w:t>
      </w:r>
    </w:p>
    <w:p>
      <w:pPr>
        <w:spacing w:line="360" w:lineRule="auto"/>
        <w:jc w:val="left"/>
        <w:textAlignment w:val="baseline"/>
        <w:rPr>
          <w:rFonts w:ascii="宋体" w:hAnsi="宋体" w:cs="宋体"/>
          <w:color w:val="auto"/>
          <w:sz w:val="28"/>
          <w:szCs w:val="36"/>
          <w:highlight w:val="none"/>
        </w:rPr>
      </w:pPr>
      <w:r>
        <w:rPr>
          <w:rFonts w:hint="eastAsia" w:ascii="宋体" w:hAnsi="宋体" w:cs="宋体"/>
          <w:color w:val="auto"/>
          <w:sz w:val="28"/>
          <w:szCs w:val="36"/>
          <w:highlight w:val="none"/>
        </w:rPr>
        <w:t>3、针对报价投标人认为其他需要说明的；</w:t>
      </w:r>
    </w:p>
    <w:p>
      <w:pPr>
        <w:spacing w:line="360" w:lineRule="auto"/>
        <w:jc w:val="left"/>
        <w:textAlignment w:val="baseline"/>
        <w:rPr>
          <w:rFonts w:ascii="宋体" w:hAnsi="宋体" w:cs="宋体"/>
          <w:color w:val="auto"/>
          <w:sz w:val="28"/>
          <w:szCs w:val="36"/>
          <w:highlight w:val="none"/>
        </w:rPr>
      </w:pPr>
      <w:r>
        <w:rPr>
          <w:rFonts w:hint="eastAsia" w:ascii="宋体" w:hAnsi="宋体" w:cs="宋体"/>
          <w:color w:val="auto"/>
          <w:sz w:val="28"/>
          <w:szCs w:val="36"/>
          <w:highlight w:val="none"/>
        </w:rPr>
        <w:t>4、中小企业等声明函（附件21）；</w:t>
      </w: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spacing w:line="360" w:lineRule="auto"/>
        <w:textAlignment w:val="baseline"/>
        <w:rPr>
          <w:rFonts w:ascii="宋体" w:hAnsi="宋体" w:cs="宋体"/>
          <w:color w:val="auto"/>
          <w:sz w:val="24"/>
          <w:szCs w:val="32"/>
          <w:highlight w:val="none"/>
        </w:rPr>
      </w:pPr>
    </w:p>
    <w:p>
      <w:pPr>
        <w:pStyle w:val="6"/>
        <w:numPr>
          <w:ilvl w:val="0"/>
          <w:numId w:val="21"/>
        </w:numPr>
        <w:jc w:val="center"/>
        <w:textAlignment w:val="baseline"/>
        <w:rPr>
          <w:rFonts w:ascii="宋体" w:hAnsi="宋体" w:cs="宋体"/>
          <w:color w:val="auto"/>
          <w:highlight w:val="none"/>
        </w:rPr>
      </w:pPr>
      <w:bookmarkStart w:id="94" w:name="_Toc28644"/>
      <w:r>
        <w:rPr>
          <w:rFonts w:hint="eastAsia" w:ascii="宋体" w:hAnsi="宋体" w:cs="宋体"/>
          <w:color w:val="auto"/>
          <w:highlight w:val="none"/>
        </w:rPr>
        <w:t>附件18-开标一览表</w:t>
      </w:r>
      <w:bookmarkEnd w:id="94"/>
    </w:p>
    <w:p>
      <w:pPr>
        <w:spacing w:line="360" w:lineRule="auto"/>
        <w:ind w:left="-2" w:hanging="2"/>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pPr>
        <w:spacing w:line="360" w:lineRule="auto"/>
        <w:ind w:left="-2" w:hanging="2"/>
        <w:jc w:val="center"/>
        <w:textAlignment w:val="baseline"/>
        <w:rPr>
          <w:rFonts w:ascii="宋体" w:hAnsi="宋体" w:cs="宋体"/>
          <w:b/>
          <w:color w:val="auto"/>
          <w:sz w:val="32"/>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5"/>
        <w:tblW w:w="86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694"/>
        <w:gridCol w:w="1349"/>
        <w:gridCol w:w="46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pPr>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pPr>
              <w:spacing w:line="450" w:lineRule="exact"/>
              <w:jc w:val="center"/>
              <w:textAlignment w:val="bottom"/>
              <w:rPr>
                <w:rFonts w:ascii="宋体" w:hAnsi="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1200" w:hRule="atLeast"/>
          <w:jc w:val="center"/>
        </w:trPr>
        <w:tc>
          <w:tcPr>
            <w:tcW w:w="2694" w:type="dxa"/>
            <w:vMerge w:val="continue"/>
            <w:vAlign w:val="center"/>
          </w:tcPr>
          <w:p>
            <w:pPr>
              <w:textAlignment w:val="baseline"/>
              <w:rPr>
                <w:rFonts w:ascii="宋体" w:hAnsi="宋体" w:cs="宋体"/>
                <w:color w:val="auto"/>
                <w:sz w:val="24"/>
                <w:highlight w:val="none"/>
              </w:rPr>
            </w:pPr>
          </w:p>
        </w:tc>
        <w:tc>
          <w:tcPr>
            <w:tcW w:w="1349" w:type="dxa"/>
            <w:vAlign w:val="center"/>
          </w:tcPr>
          <w:p>
            <w:pPr>
              <w:spacing w:line="45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pPr>
              <w:spacing w:line="450" w:lineRule="exact"/>
              <w:jc w:val="center"/>
              <w:textAlignment w:val="bottom"/>
              <w:rPr>
                <w:rFonts w:ascii="宋体" w:hAnsi="宋体" w:cs="宋体"/>
                <w:color w:val="auto"/>
                <w:sz w:val="24"/>
                <w:highlight w:val="none"/>
              </w:rPr>
            </w:pPr>
          </w:p>
        </w:tc>
      </w:tr>
    </w:tbl>
    <w:p>
      <w:pPr>
        <w:spacing w:line="360" w:lineRule="auto"/>
        <w:ind w:firstLine="480" w:firstLineChars="200"/>
        <w:jc w:val="left"/>
        <w:textAlignment w:val="baseline"/>
        <w:rPr>
          <w:rFonts w:ascii="宋体" w:hAnsi="宋体" w:cs="宋体"/>
          <w:color w:val="auto"/>
          <w:sz w:val="24"/>
          <w:szCs w:val="32"/>
          <w:highlight w:val="none"/>
        </w:rPr>
      </w:pPr>
    </w:p>
    <w:p>
      <w:pPr>
        <w:spacing w:line="360" w:lineRule="auto"/>
        <w:jc w:val="left"/>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pPr>
        <w:spacing w:line="360" w:lineRule="auto"/>
        <w:ind w:firstLine="480" w:firstLineChars="200"/>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rPr>
        <w:t>1.投标总报价包括</w:t>
      </w:r>
      <w:r>
        <w:rPr>
          <w:rFonts w:hint="eastAsia" w:ascii="宋体" w:hAnsi="宋体" w:cs="宋体"/>
          <w:color w:val="auto"/>
          <w:sz w:val="24"/>
          <w:szCs w:val="32"/>
          <w:highlight w:val="none"/>
          <w:lang w:val="zh-CN"/>
        </w:rPr>
        <w:t>货款、</w:t>
      </w:r>
      <w:r>
        <w:rPr>
          <w:rFonts w:hint="eastAsia" w:ascii="宋体" w:hAnsi="宋体" w:cs="宋体"/>
          <w:color w:val="auto"/>
          <w:sz w:val="24"/>
          <w:szCs w:val="32"/>
          <w:highlight w:val="none"/>
        </w:rPr>
        <w:t>人工</w:t>
      </w:r>
      <w:r>
        <w:rPr>
          <w:rFonts w:hint="eastAsia" w:ascii="宋体" w:hAnsi="宋体" w:cs="宋体"/>
          <w:color w:val="auto"/>
          <w:sz w:val="24"/>
          <w:szCs w:val="32"/>
          <w:highlight w:val="none"/>
          <w:lang w:val="zh-CN"/>
        </w:rPr>
        <w:t>、保险、税金、培训、合同包含的所有风险责任等各项费用及不可预见费等所需的全部费用。</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textAlignment w:val="baseline"/>
        <w:rPr>
          <w:rFonts w:ascii="宋体" w:hAnsi="宋体" w:cs="宋体"/>
          <w:color w:val="auto"/>
          <w:sz w:val="24"/>
          <w:highlight w:val="none"/>
        </w:rPr>
      </w:pP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spacing w:line="360" w:lineRule="auto"/>
        <w:jc w:val="left"/>
        <w:textAlignment w:val="baseline"/>
        <w:rPr>
          <w:rFonts w:ascii="宋体" w:hAnsi="宋体" w:cs="宋体"/>
          <w:color w:val="auto"/>
          <w:sz w:val="24"/>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p>
    <w:p>
      <w:pPr>
        <w:spacing w:line="360" w:lineRule="auto"/>
        <w:ind w:firstLine="480" w:firstLineChars="200"/>
        <w:jc w:val="left"/>
        <w:textAlignment w:val="baseline"/>
        <w:rPr>
          <w:rFonts w:ascii="宋体" w:hAnsi="宋体" w:cs="宋体"/>
          <w:color w:val="auto"/>
          <w:sz w:val="24"/>
          <w:szCs w:val="32"/>
          <w:highlight w:val="none"/>
        </w:rPr>
      </w:pPr>
    </w:p>
    <w:p>
      <w:pPr>
        <w:pStyle w:val="6"/>
        <w:numPr>
          <w:ilvl w:val="0"/>
          <w:numId w:val="21"/>
        </w:numPr>
        <w:jc w:val="left"/>
        <w:textAlignment w:val="baseline"/>
        <w:rPr>
          <w:rFonts w:ascii="宋体" w:hAnsi="宋体" w:cs="宋体"/>
          <w:color w:val="auto"/>
          <w:highlight w:val="none"/>
        </w:rPr>
      </w:pPr>
      <w:bookmarkStart w:id="95" w:name="_Toc7300"/>
      <w:r>
        <w:rPr>
          <w:rFonts w:hint="eastAsia" w:ascii="宋体" w:hAnsi="宋体" w:cs="宋体"/>
          <w:color w:val="auto"/>
          <w:highlight w:val="none"/>
        </w:rPr>
        <w:t>附件19-报价明细表</w:t>
      </w:r>
      <w:bookmarkEnd w:id="95"/>
    </w:p>
    <w:p>
      <w:pPr>
        <w:spacing w:line="360" w:lineRule="auto"/>
        <w:jc w:val="center"/>
        <w:textAlignment w:val="baseline"/>
        <w:rPr>
          <w:rFonts w:ascii="宋体" w:hAnsi="宋体" w:cs="宋体"/>
          <w:color w:val="auto"/>
          <w:sz w:val="20"/>
          <w:highlight w:val="none"/>
        </w:rPr>
      </w:pPr>
      <w:r>
        <w:rPr>
          <w:rFonts w:hint="eastAsia" w:ascii="宋体" w:hAnsi="宋体" w:cs="宋体"/>
          <w:b/>
          <w:color w:val="auto"/>
          <w:sz w:val="32"/>
          <w:szCs w:val="32"/>
          <w:highlight w:val="none"/>
        </w:rPr>
        <w:t>报价明细表</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项目名称：</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45"/>
        <w:gridCol w:w="1233"/>
        <w:gridCol w:w="1920"/>
        <w:gridCol w:w="793"/>
        <w:gridCol w:w="793"/>
        <w:gridCol w:w="1584"/>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68" w:type="pct"/>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序号</w:t>
            </w:r>
          </w:p>
        </w:tc>
        <w:tc>
          <w:tcPr>
            <w:tcW w:w="672" w:type="pct"/>
            <w:vAlign w:val="center"/>
          </w:tcPr>
          <w:p>
            <w:pPr>
              <w:tabs>
                <w:tab w:val="left" w:pos="8280"/>
              </w:tabs>
              <w:spacing w:line="360" w:lineRule="auto"/>
              <w:ind w:right="25"/>
              <w:jc w:val="center"/>
              <w:textAlignment w:val="baseline"/>
              <w:rPr>
                <w:rFonts w:ascii="宋体" w:hAnsi="宋体" w:cs="宋体"/>
                <w:b/>
                <w:color w:val="auto"/>
                <w:sz w:val="24"/>
                <w:highlight w:val="none"/>
              </w:rPr>
            </w:pPr>
            <w:r>
              <w:rPr>
                <w:rFonts w:hint="eastAsia" w:ascii="宋体" w:hAnsi="宋体" w:cs="宋体"/>
                <w:b/>
                <w:color w:val="auto"/>
                <w:sz w:val="24"/>
                <w:highlight w:val="none"/>
              </w:rPr>
              <w:t>名称</w:t>
            </w:r>
          </w:p>
        </w:tc>
        <w:tc>
          <w:tcPr>
            <w:tcW w:w="724" w:type="pct"/>
            <w:vAlign w:val="center"/>
          </w:tcPr>
          <w:p>
            <w:pPr>
              <w:tabs>
                <w:tab w:val="left" w:pos="8280"/>
              </w:tabs>
              <w:spacing w:line="360" w:lineRule="auto"/>
              <w:ind w:right="25"/>
              <w:jc w:val="center"/>
              <w:textAlignment w:val="baseline"/>
              <w:rPr>
                <w:rFonts w:ascii="宋体" w:hAnsi="宋体" w:cs="宋体"/>
                <w:b/>
                <w:color w:val="auto"/>
                <w:sz w:val="24"/>
                <w:highlight w:val="none"/>
              </w:rPr>
            </w:pPr>
            <w:r>
              <w:rPr>
                <w:rFonts w:hint="eastAsia" w:ascii="宋体" w:hAnsi="宋体" w:cs="宋体"/>
                <w:b/>
                <w:color w:val="auto"/>
                <w:sz w:val="24"/>
                <w:highlight w:val="none"/>
              </w:rPr>
              <w:t>内容</w:t>
            </w:r>
          </w:p>
        </w:tc>
        <w:tc>
          <w:tcPr>
            <w:tcW w:w="1126" w:type="pct"/>
            <w:vAlign w:val="center"/>
          </w:tcPr>
          <w:p>
            <w:pPr>
              <w:spacing w:line="360" w:lineRule="auto"/>
              <w:ind w:left="152"/>
              <w:jc w:val="center"/>
              <w:textAlignment w:val="baseline"/>
              <w:rPr>
                <w:rFonts w:ascii="宋体" w:hAnsi="宋体" w:cs="宋体"/>
                <w:b/>
                <w:color w:val="auto"/>
                <w:sz w:val="24"/>
                <w:highlight w:val="none"/>
              </w:rPr>
            </w:pPr>
            <w:r>
              <w:rPr>
                <w:rFonts w:hint="eastAsia" w:ascii="宋体" w:hAnsi="宋体" w:cs="宋体"/>
                <w:b/>
                <w:color w:val="auto"/>
                <w:sz w:val="24"/>
                <w:highlight w:val="none"/>
              </w:rPr>
              <w:t>数量</w:t>
            </w:r>
          </w:p>
        </w:tc>
        <w:tc>
          <w:tcPr>
            <w:tcW w:w="465" w:type="pct"/>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单位</w:t>
            </w:r>
          </w:p>
        </w:tc>
        <w:tc>
          <w:tcPr>
            <w:tcW w:w="465" w:type="pct"/>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单价</w:t>
            </w:r>
          </w:p>
        </w:tc>
        <w:tc>
          <w:tcPr>
            <w:tcW w:w="929" w:type="pct"/>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小计</w:t>
            </w:r>
          </w:p>
        </w:tc>
        <w:tc>
          <w:tcPr>
            <w:tcW w:w="349" w:type="pct"/>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68" w:type="pct"/>
            <w:vAlign w:val="center"/>
          </w:tcPr>
          <w:p>
            <w:pPr>
              <w:spacing w:line="360" w:lineRule="auto"/>
              <w:jc w:val="center"/>
              <w:textAlignment w:val="baseline"/>
              <w:rPr>
                <w:rFonts w:ascii="宋体" w:hAnsi="宋体" w:cs="宋体"/>
                <w:color w:val="auto"/>
                <w:sz w:val="24"/>
                <w:highlight w:val="none"/>
              </w:rPr>
            </w:pPr>
          </w:p>
        </w:tc>
        <w:tc>
          <w:tcPr>
            <w:tcW w:w="672" w:type="pct"/>
            <w:vAlign w:val="center"/>
          </w:tcPr>
          <w:p>
            <w:pPr>
              <w:spacing w:line="360" w:lineRule="auto"/>
              <w:jc w:val="center"/>
              <w:textAlignment w:val="baseline"/>
              <w:rPr>
                <w:rFonts w:ascii="宋体" w:hAnsi="宋体" w:cs="宋体"/>
                <w:color w:val="auto"/>
                <w:sz w:val="24"/>
                <w:highlight w:val="none"/>
              </w:rPr>
            </w:pPr>
          </w:p>
        </w:tc>
        <w:tc>
          <w:tcPr>
            <w:tcW w:w="724" w:type="pct"/>
            <w:vAlign w:val="center"/>
          </w:tcPr>
          <w:p>
            <w:pPr>
              <w:spacing w:line="360" w:lineRule="auto"/>
              <w:jc w:val="center"/>
              <w:textAlignment w:val="baseline"/>
              <w:rPr>
                <w:rFonts w:ascii="宋体" w:hAnsi="宋体" w:cs="宋体"/>
                <w:color w:val="auto"/>
                <w:sz w:val="24"/>
                <w:highlight w:val="none"/>
              </w:rPr>
            </w:pPr>
          </w:p>
        </w:tc>
        <w:tc>
          <w:tcPr>
            <w:tcW w:w="1126"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929" w:type="pct"/>
            <w:vAlign w:val="center"/>
          </w:tcPr>
          <w:p>
            <w:pPr>
              <w:spacing w:line="360" w:lineRule="auto"/>
              <w:jc w:val="center"/>
              <w:textAlignment w:val="baseline"/>
              <w:rPr>
                <w:rFonts w:ascii="宋体" w:hAnsi="宋体" w:cs="宋体"/>
                <w:color w:val="auto"/>
                <w:sz w:val="24"/>
                <w:highlight w:val="none"/>
              </w:rPr>
            </w:pPr>
          </w:p>
        </w:tc>
        <w:tc>
          <w:tcPr>
            <w:tcW w:w="349" w:type="pct"/>
            <w:vAlign w:val="center"/>
          </w:tcPr>
          <w:p>
            <w:pPr>
              <w:spacing w:line="360" w:lineRule="auto"/>
              <w:jc w:val="center"/>
              <w:textAlignment w:val="baseline"/>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68" w:type="pct"/>
            <w:vAlign w:val="center"/>
          </w:tcPr>
          <w:p>
            <w:pPr>
              <w:spacing w:line="360" w:lineRule="auto"/>
              <w:jc w:val="center"/>
              <w:textAlignment w:val="baseline"/>
              <w:rPr>
                <w:rFonts w:ascii="宋体" w:hAnsi="宋体" w:cs="宋体"/>
                <w:color w:val="auto"/>
                <w:sz w:val="24"/>
                <w:highlight w:val="none"/>
              </w:rPr>
            </w:pPr>
          </w:p>
        </w:tc>
        <w:tc>
          <w:tcPr>
            <w:tcW w:w="672" w:type="pct"/>
            <w:vAlign w:val="center"/>
          </w:tcPr>
          <w:p>
            <w:pPr>
              <w:spacing w:line="360" w:lineRule="auto"/>
              <w:jc w:val="center"/>
              <w:textAlignment w:val="baseline"/>
              <w:rPr>
                <w:rFonts w:ascii="宋体" w:hAnsi="宋体" w:cs="宋体"/>
                <w:color w:val="auto"/>
                <w:sz w:val="24"/>
                <w:highlight w:val="none"/>
              </w:rPr>
            </w:pPr>
          </w:p>
        </w:tc>
        <w:tc>
          <w:tcPr>
            <w:tcW w:w="724" w:type="pct"/>
            <w:vAlign w:val="center"/>
          </w:tcPr>
          <w:p>
            <w:pPr>
              <w:spacing w:line="360" w:lineRule="auto"/>
              <w:jc w:val="center"/>
              <w:textAlignment w:val="baseline"/>
              <w:rPr>
                <w:rFonts w:ascii="宋体" w:hAnsi="宋体" w:cs="宋体"/>
                <w:color w:val="auto"/>
                <w:sz w:val="24"/>
                <w:highlight w:val="none"/>
              </w:rPr>
            </w:pPr>
          </w:p>
        </w:tc>
        <w:tc>
          <w:tcPr>
            <w:tcW w:w="1126"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929" w:type="pct"/>
            <w:vAlign w:val="center"/>
          </w:tcPr>
          <w:p>
            <w:pPr>
              <w:spacing w:line="360" w:lineRule="auto"/>
              <w:jc w:val="center"/>
              <w:textAlignment w:val="baseline"/>
              <w:rPr>
                <w:rFonts w:ascii="宋体" w:hAnsi="宋体" w:cs="宋体"/>
                <w:color w:val="auto"/>
                <w:sz w:val="24"/>
                <w:highlight w:val="none"/>
              </w:rPr>
            </w:pPr>
          </w:p>
        </w:tc>
        <w:tc>
          <w:tcPr>
            <w:tcW w:w="349" w:type="pct"/>
            <w:vAlign w:val="center"/>
          </w:tcPr>
          <w:p>
            <w:pPr>
              <w:spacing w:line="360" w:lineRule="auto"/>
              <w:jc w:val="center"/>
              <w:textAlignment w:val="baseline"/>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8" w:type="pct"/>
            <w:vAlign w:val="center"/>
          </w:tcPr>
          <w:p>
            <w:pPr>
              <w:spacing w:line="360" w:lineRule="auto"/>
              <w:jc w:val="center"/>
              <w:textAlignment w:val="baseline"/>
              <w:rPr>
                <w:rFonts w:ascii="宋体" w:hAnsi="宋体" w:cs="宋体"/>
                <w:color w:val="auto"/>
                <w:sz w:val="24"/>
                <w:highlight w:val="none"/>
              </w:rPr>
            </w:pPr>
          </w:p>
        </w:tc>
        <w:tc>
          <w:tcPr>
            <w:tcW w:w="672" w:type="pct"/>
            <w:vAlign w:val="center"/>
          </w:tcPr>
          <w:p>
            <w:pPr>
              <w:spacing w:line="360" w:lineRule="auto"/>
              <w:jc w:val="center"/>
              <w:textAlignment w:val="baseline"/>
              <w:rPr>
                <w:rFonts w:ascii="宋体" w:hAnsi="宋体" w:cs="宋体"/>
                <w:color w:val="auto"/>
                <w:sz w:val="24"/>
                <w:highlight w:val="none"/>
              </w:rPr>
            </w:pPr>
          </w:p>
        </w:tc>
        <w:tc>
          <w:tcPr>
            <w:tcW w:w="724" w:type="pct"/>
            <w:vAlign w:val="center"/>
          </w:tcPr>
          <w:p>
            <w:pPr>
              <w:spacing w:line="360" w:lineRule="auto"/>
              <w:jc w:val="center"/>
              <w:textAlignment w:val="baseline"/>
              <w:rPr>
                <w:rFonts w:ascii="宋体" w:hAnsi="宋体" w:cs="宋体"/>
                <w:color w:val="auto"/>
                <w:sz w:val="24"/>
                <w:highlight w:val="none"/>
              </w:rPr>
            </w:pPr>
          </w:p>
        </w:tc>
        <w:tc>
          <w:tcPr>
            <w:tcW w:w="1126"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929" w:type="pct"/>
            <w:vAlign w:val="center"/>
          </w:tcPr>
          <w:p>
            <w:pPr>
              <w:spacing w:line="360" w:lineRule="auto"/>
              <w:jc w:val="center"/>
              <w:textAlignment w:val="baseline"/>
              <w:rPr>
                <w:rFonts w:ascii="宋体" w:hAnsi="宋体" w:cs="宋体"/>
                <w:color w:val="auto"/>
                <w:sz w:val="24"/>
                <w:highlight w:val="none"/>
              </w:rPr>
            </w:pPr>
          </w:p>
        </w:tc>
        <w:tc>
          <w:tcPr>
            <w:tcW w:w="349" w:type="pct"/>
            <w:vAlign w:val="center"/>
          </w:tcPr>
          <w:p>
            <w:pPr>
              <w:spacing w:line="360" w:lineRule="auto"/>
              <w:jc w:val="center"/>
              <w:textAlignment w:val="baseline"/>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8" w:type="pct"/>
            <w:vAlign w:val="center"/>
          </w:tcPr>
          <w:p>
            <w:pPr>
              <w:spacing w:line="360" w:lineRule="auto"/>
              <w:jc w:val="center"/>
              <w:textAlignment w:val="baseline"/>
              <w:rPr>
                <w:rFonts w:ascii="宋体" w:hAnsi="宋体" w:cs="宋体"/>
                <w:color w:val="auto"/>
                <w:sz w:val="24"/>
                <w:highlight w:val="none"/>
              </w:rPr>
            </w:pPr>
          </w:p>
        </w:tc>
        <w:tc>
          <w:tcPr>
            <w:tcW w:w="672" w:type="pct"/>
            <w:vAlign w:val="center"/>
          </w:tcPr>
          <w:p>
            <w:pPr>
              <w:spacing w:line="360" w:lineRule="auto"/>
              <w:jc w:val="center"/>
              <w:textAlignment w:val="baseline"/>
              <w:rPr>
                <w:rFonts w:ascii="宋体" w:hAnsi="宋体" w:cs="宋体"/>
                <w:color w:val="auto"/>
                <w:sz w:val="24"/>
                <w:highlight w:val="none"/>
              </w:rPr>
            </w:pPr>
          </w:p>
        </w:tc>
        <w:tc>
          <w:tcPr>
            <w:tcW w:w="724" w:type="pct"/>
            <w:vAlign w:val="center"/>
          </w:tcPr>
          <w:p>
            <w:pPr>
              <w:spacing w:line="360" w:lineRule="auto"/>
              <w:jc w:val="center"/>
              <w:textAlignment w:val="baseline"/>
              <w:rPr>
                <w:rFonts w:ascii="宋体" w:hAnsi="宋体" w:cs="宋体"/>
                <w:color w:val="auto"/>
                <w:sz w:val="24"/>
                <w:highlight w:val="none"/>
              </w:rPr>
            </w:pPr>
          </w:p>
        </w:tc>
        <w:tc>
          <w:tcPr>
            <w:tcW w:w="1126"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465" w:type="pct"/>
            <w:vAlign w:val="center"/>
          </w:tcPr>
          <w:p>
            <w:pPr>
              <w:spacing w:line="360" w:lineRule="auto"/>
              <w:jc w:val="center"/>
              <w:textAlignment w:val="baseline"/>
              <w:rPr>
                <w:rFonts w:ascii="宋体" w:hAnsi="宋体" w:cs="宋体"/>
                <w:color w:val="auto"/>
                <w:sz w:val="24"/>
                <w:highlight w:val="none"/>
              </w:rPr>
            </w:pPr>
          </w:p>
        </w:tc>
        <w:tc>
          <w:tcPr>
            <w:tcW w:w="929" w:type="pct"/>
            <w:vAlign w:val="center"/>
          </w:tcPr>
          <w:p>
            <w:pPr>
              <w:spacing w:line="360" w:lineRule="auto"/>
              <w:jc w:val="center"/>
              <w:textAlignment w:val="baseline"/>
              <w:rPr>
                <w:rFonts w:ascii="宋体" w:hAnsi="宋体" w:cs="宋体"/>
                <w:color w:val="auto"/>
                <w:sz w:val="24"/>
                <w:highlight w:val="none"/>
              </w:rPr>
            </w:pPr>
          </w:p>
        </w:tc>
        <w:tc>
          <w:tcPr>
            <w:tcW w:w="349" w:type="pct"/>
            <w:vAlign w:val="center"/>
          </w:tcPr>
          <w:p>
            <w:pPr>
              <w:spacing w:line="360" w:lineRule="auto"/>
              <w:jc w:val="center"/>
              <w:textAlignment w:val="baseline"/>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40" w:type="pct"/>
            <w:gridSpan w:val="2"/>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合计</w:t>
            </w:r>
          </w:p>
        </w:tc>
        <w:tc>
          <w:tcPr>
            <w:tcW w:w="4059" w:type="pct"/>
            <w:gridSpan w:val="6"/>
            <w:vAlign w:val="center"/>
          </w:tcPr>
          <w:p>
            <w:pPr>
              <w:spacing w:line="360" w:lineRule="auto"/>
              <w:jc w:val="center"/>
              <w:textAlignment w:val="baseline"/>
              <w:rPr>
                <w:rFonts w:ascii="宋体" w:hAnsi="宋体" w:cs="宋体"/>
                <w:b/>
                <w:color w:val="auto"/>
                <w:sz w:val="24"/>
                <w:highlight w:val="none"/>
              </w:rPr>
            </w:pPr>
            <w:r>
              <w:rPr>
                <w:rFonts w:hint="eastAsia" w:ascii="宋体" w:hAnsi="宋体" w:cs="宋体"/>
                <w:b/>
                <w:color w:val="auto"/>
                <w:sz w:val="24"/>
                <w:highlight w:val="none"/>
              </w:rPr>
              <w:t>合计人民币：大写                    小写</w:t>
            </w:r>
          </w:p>
        </w:tc>
      </w:tr>
    </w:tbl>
    <w:p>
      <w:pPr>
        <w:spacing w:line="360" w:lineRule="auto"/>
        <w:jc w:val="left"/>
        <w:textAlignment w:val="baseline"/>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pPr>
        <w:spacing w:line="360" w:lineRule="auto"/>
        <w:ind w:firstLine="480" w:firstLineChars="200"/>
        <w:jc w:val="left"/>
        <w:textAlignment w:val="baseline"/>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pPr>
        <w:spacing w:line="360" w:lineRule="auto"/>
        <w:ind w:firstLine="480" w:firstLineChars="200"/>
        <w:jc w:val="left"/>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textAlignment w:val="baseline"/>
        <w:rPr>
          <w:rFonts w:ascii="宋体" w:hAnsi="宋体" w:cs="宋体"/>
          <w:color w:val="auto"/>
          <w:sz w:val="24"/>
          <w:szCs w:val="32"/>
          <w:highlight w:val="none"/>
          <w:lang w:val="zh-CN"/>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投标人名称（盖章）：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授权委托代理人签字或盖章：</w:t>
      </w:r>
    </w:p>
    <w:p>
      <w:pPr>
        <w:spacing w:line="480" w:lineRule="auto"/>
        <w:textAlignment w:val="baseline"/>
        <w:rPr>
          <w:rFonts w:ascii="宋体" w:hAnsi="宋体" w:cs="宋体"/>
          <w:color w:val="auto"/>
          <w:sz w:val="24"/>
          <w:highlight w:val="none"/>
        </w:rPr>
      </w:pPr>
      <w:r>
        <w:rPr>
          <w:rFonts w:hint="eastAsia" w:ascii="宋体" w:hAnsi="宋体" w:cs="宋体"/>
          <w:color w:val="auto"/>
          <w:sz w:val="24"/>
          <w:highlight w:val="none"/>
        </w:rPr>
        <w:t>日期：</w:t>
      </w:r>
    </w:p>
    <w:p>
      <w:pPr>
        <w:pStyle w:val="2"/>
        <w:textAlignment w:val="baseline"/>
        <w:rPr>
          <w:rFonts w:ascii="宋体" w:hAnsi="宋体" w:cs="宋体"/>
          <w:color w:val="auto"/>
          <w:highlight w:val="none"/>
        </w:rPr>
      </w:pPr>
    </w:p>
    <w:p>
      <w:pPr>
        <w:pStyle w:val="3"/>
        <w:textAlignment w:val="baseline"/>
        <w:rPr>
          <w:rFonts w:ascii="宋体" w:hAnsi="宋体" w:cs="宋体"/>
          <w:color w:val="auto"/>
          <w:sz w:val="24"/>
          <w:highlight w:val="none"/>
        </w:rPr>
      </w:pPr>
    </w:p>
    <w:p>
      <w:pPr>
        <w:pStyle w:val="4"/>
        <w:textAlignment w:val="baseline"/>
        <w:rPr>
          <w:rFonts w:ascii="宋体" w:hAnsi="宋体" w:cs="宋体"/>
          <w:color w:val="auto"/>
          <w:sz w:val="24"/>
          <w:highlight w:val="none"/>
        </w:rPr>
      </w:pPr>
    </w:p>
    <w:p>
      <w:pPr>
        <w:textAlignment w:val="baseline"/>
        <w:rPr>
          <w:color w:val="auto"/>
          <w:sz w:val="20"/>
          <w:highlight w:val="none"/>
        </w:rPr>
      </w:pPr>
    </w:p>
    <w:p>
      <w:pPr>
        <w:pStyle w:val="6"/>
        <w:numPr>
          <w:ilvl w:val="0"/>
          <w:numId w:val="21"/>
        </w:numPr>
        <w:jc w:val="left"/>
        <w:textAlignment w:val="baseline"/>
        <w:rPr>
          <w:rFonts w:ascii="宋体" w:hAnsi="宋体" w:cs="宋体"/>
          <w:color w:val="auto"/>
          <w:highlight w:val="none"/>
        </w:rPr>
      </w:pPr>
      <w:bookmarkStart w:id="96" w:name="_Toc5528"/>
      <w:r>
        <w:rPr>
          <w:rFonts w:hint="eastAsia" w:ascii="宋体" w:hAnsi="宋体" w:cs="宋体"/>
          <w:color w:val="auto"/>
          <w:highlight w:val="none"/>
        </w:rPr>
        <w:t>附件20-中小企业声明函</w:t>
      </w:r>
      <w:bookmarkEnd w:id="96"/>
    </w:p>
    <w:p>
      <w:pPr>
        <w:textAlignment w:val="baseline"/>
        <w:rPr>
          <w:rFonts w:ascii="宋体" w:hAnsi="宋体" w:cs="宋体"/>
          <w:color w:val="auto"/>
          <w:sz w:val="20"/>
          <w:highlight w:val="none"/>
        </w:rPr>
      </w:pPr>
    </w:p>
    <w:p>
      <w:pPr>
        <w:spacing w:line="360" w:lineRule="auto"/>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color="000000"/>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color="000000"/>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color="000000"/>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color="000000"/>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color="000000"/>
        </w:rPr>
        <w:t>（企业名称）</w:t>
      </w:r>
      <w:r>
        <w:rPr>
          <w:rFonts w:hint="eastAsia" w:ascii="宋体" w:hAnsi="宋体" w:cs="宋体"/>
          <w:bCs/>
          <w:color w:val="auto"/>
          <w:sz w:val="24"/>
          <w:highlight w:val="none"/>
        </w:rPr>
        <w:t>，从业人员人，营业收入为万元，资产总额为万元</w:t>
      </w:r>
      <w:r>
        <w:rPr>
          <w:rStyle w:val="43"/>
          <w:rFonts w:hint="eastAsia" w:ascii="宋体" w:hAnsi="宋体" w:cs="宋体"/>
          <w:bCs/>
          <w:color w:val="auto"/>
          <w:sz w:val="24"/>
          <w:highlight w:val="none"/>
        </w:rPr>
        <w:t>1</w:t>
      </w:r>
      <w:r>
        <w:rPr>
          <w:rFonts w:hint="eastAsia" w:ascii="宋体" w:hAnsi="宋体" w:cs="宋体"/>
          <w:bCs/>
          <w:color w:val="auto"/>
          <w:sz w:val="24"/>
          <w:highlight w:val="none"/>
        </w:rPr>
        <w:t>，属于</w:t>
      </w:r>
      <w:r>
        <w:rPr>
          <w:rFonts w:hint="eastAsia" w:ascii="宋体" w:hAnsi="宋体" w:cs="宋体"/>
          <w:bCs/>
          <w:color w:val="auto"/>
          <w:sz w:val="24"/>
          <w:highlight w:val="none"/>
          <w:u w:val="single" w:color="000000"/>
        </w:rPr>
        <w:t>（中型企业、小型企业、微型企业）</w:t>
      </w:r>
      <w:r>
        <w:rPr>
          <w:rFonts w:hint="eastAsia" w:ascii="宋体" w:hAnsi="宋体" w:cs="宋体"/>
          <w:bCs/>
          <w:color w:val="auto"/>
          <w:sz w:val="24"/>
          <w:highlight w:val="none"/>
        </w:rPr>
        <w:t>；</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color="000000"/>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color="000000"/>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color="000000"/>
        </w:rPr>
        <w:t>（企业名称）</w:t>
      </w:r>
      <w:r>
        <w:rPr>
          <w:rFonts w:hint="eastAsia" w:ascii="宋体" w:hAnsi="宋体" w:cs="宋体"/>
          <w:bCs/>
          <w:color w:val="auto"/>
          <w:sz w:val="24"/>
          <w:highlight w:val="none"/>
        </w:rPr>
        <w:t>，从业人员人，营业收入为万元，资产总额为万元，属于</w:t>
      </w:r>
      <w:r>
        <w:rPr>
          <w:rFonts w:hint="eastAsia" w:ascii="宋体" w:hAnsi="宋体" w:cs="宋体"/>
          <w:bCs/>
          <w:color w:val="auto"/>
          <w:sz w:val="24"/>
          <w:highlight w:val="none"/>
          <w:u w:val="single" w:color="000000"/>
        </w:rPr>
        <w:t>（中型企业、小型企业、微型企业）</w:t>
      </w:r>
      <w:r>
        <w:rPr>
          <w:rFonts w:hint="eastAsia" w:ascii="宋体" w:hAnsi="宋体" w:cs="宋体"/>
          <w:bCs/>
          <w:color w:val="auto"/>
          <w:sz w:val="24"/>
          <w:highlight w:val="none"/>
        </w:rPr>
        <w:t>；</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spacing w:line="360" w:lineRule="auto"/>
        <w:jc w:val="left"/>
        <w:textAlignment w:val="baseline"/>
        <w:rPr>
          <w:rFonts w:ascii="宋体" w:hAnsi="宋体" w:cs="宋体"/>
          <w:bCs/>
          <w:color w:val="auto"/>
          <w:sz w:val="24"/>
          <w:highlight w:val="none"/>
        </w:rPr>
      </w:pPr>
    </w:p>
    <w:p>
      <w:pPr>
        <w:spacing w:line="360" w:lineRule="auto"/>
        <w:ind w:firstLine="4800" w:firstLineChars="20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jc w:val="left"/>
        <w:textAlignment w:val="baseline"/>
        <w:rPr>
          <w:rFonts w:ascii="宋体" w:hAnsi="宋体" w:cs="宋体"/>
          <w:bCs/>
          <w:color w:val="auto"/>
          <w:sz w:val="24"/>
          <w:highlight w:val="none"/>
        </w:rPr>
      </w:pPr>
      <w:r>
        <w:rPr>
          <w:rFonts w:hint="eastAsia" w:ascii="宋体" w:hAnsi="宋体" w:cs="宋体"/>
          <w:bCs/>
          <w:color w:val="auto"/>
          <w:sz w:val="24"/>
          <w:highlight w:val="none"/>
        </w:rPr>
        <w:t>日期：</w:t>
      </w: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spacing w:line="360" w:lineRule="auto"/>
        <w:jc w:val="left"/>
        <w:textAlignment w:val="baseline"/>
        <w:rPr>
          <w:rFonts w:ascii="宋体" w:hAnsi="宋体" w:cs="宋体"/>
          <w:bCs/>
          <w:color w:val="auto"/>
          <w:sz w:val="24"/>
          <w:highlight w:val="none"/>
        </w:rPr>
      </w:pPr>
    </w:p>
    <w:p>
      <w:pPr>
        <w:pStyle w:val="3"/>
        <w:ind w:firstLine="0"/>
        <w:textAlignment w:val="baseline"/>
        <w:rPr>
          <w:rFonts w:ascii="宋体" w:hAnsi="宋体" w:cs="宋体"/>
          <w:bCs/>
          <w:color w:val="auto"/>
          <w:sz w:val="24"/>
          <w:highlight w:val="none"/>
        </w:rPr>
      </w:pPr>
    </w:p>
    <w:p>
      <w:pPr>
        <w:spacing w:line="360" w:lineRule="auto"/>
        <w:textAlignment w:val="baseline"/>
        <w:rPr>
          <w:rFonts w:ascii="宋体" w:hAnsi="宋体" w:cs="宋体"/>
          <w:b/>
          <w:color w:val="auto"/>
          <w:sz w:val="32"/>
          <w:szCs w:val="32"/>
          <w:highlight w:val="none"/>
          <w:lang w:val="en-GB"/>
        </w:rPr>
      </w:pPr>
    </w:p>
    <w:p>
      <w:pPr>
        <w:spacing w:line="360" w:lineRule="auto"/>
        <w:ind w:left="-2" w:hanging="2"/>
        <w:jc w:val="center"/>
        <w:textAlignment w:val="baseline"/>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3120" w:firstLineChars="1300"/>
        <w:textAlignment w:val="baseline"/>
        <w:rPr>
          <w:rFonts w:ascii="宋体" w:hAnsi="宋体" w:cs="宋体"/>
          <w:bCs/>
          <w:color w:val="auto"/>
          <w:sz w:val="24"/>
          <w:highlight w:val="none"/>
        </w:rPr>
      </w:pPr>
      <w:r>
        <w:rPr>
          <w:rFonts w:hint="eastAsia" w:ascii="宋体" w:hAnsi="宋体" w:cs="宋体"/>
          <w:bCs/>
          <w:color w:val="auto"/>
          <w:sz w:val="24"/>
          <w:highlight w:val="none"/>
        </w:rPr>
        <w:t>单位名称（单位公章）：</w:t>
      </w:r>
    </w:p>
    <w:p>
      <w:pPr>
        <w:spacing w:line="360" w:lineRule="auto"/>
        <w:ind w:firstLine="5040" w:firstLineChars="2100"/>
        <w:textAlignment w:val="baseline"/>
        <w:rPr>
          <w:rFonts w:ascii="宋体" w:hAnsi="宋体" w:cs="宋体"/>
          <w:color w:val="auto"/>
          <w:sz w:val="20"/>
          <w:highlight w:val="none"/>
        </w:rPr>
      </w:pPr>
      <w:r>
        <w:rPr>
          <w:rFonts w:hint="eastAsia" w:ascii="宋体" w:hAnsi="宋体" w:cs="宋体"/>
          <w:bCs/>
          <w:color w:val="auto"/>
          <w:sz w:val="24"/>
          <w:highlight w:val="none"/>
        </w:rPr>
        <w:t>日期：年月日</w:t>
      </w: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中小企业等声明函填表说明：</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http://202.106.120.146/baosong/appweb/orgScale.html</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3、供应商未提供《中小企业声明函》的、《中小企业声明函》中内容应填写而未进行填写或未如实填写，供应商自行承担责任。</w:t>
      </w:r>
    </w:p>
    <w:p>
      <w:pPr>
        <w:spacing w:line="360" w:lineRule="auto"/>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4、如国家对中小企业划型标准有新的规定的，从其规定。</w:t>
      </w: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spacing w:line="360" w:lineRule="auto"/>
        <w:textAlignment w:val="baseline"/>
        <w:rPr>
          <w:rFonts w:ascii="宋体" w:hAnsi="宋体" w:cs="宋体"/>
          <w:bCs/>
          <w:color w:val="auto"/>
          <w:sz w:val="24"/>
          <w:highlight w:val="none"/>
        </w:rPr>
      </w:pPr>
    </w:p>
    <w:p>
      <w:pPr>
        <w:pStyle w:val="6"/>
        <w:numPr>
          <w:ilvl w:val="0"/>
          <w:numId w:val="21"/>
        </w:numPr>
        <w:jc w:val="left"/>
        <w:textAlignment w:val="baseline"/>
        <w:rPr>
          <w:rFonts w:ascii="宋体" w:hAnsi="宋体" w:cs="宋体"/>
          <w:color w:val="auto"/>
          <w:highlight w:val="none"/>
        </w:rPr>
      </w:pPr>
      <w:bookmarkStart w:id="97" w:name="_Toc5362"/>
      <w:r>
        <w:rPr>
          <w:rFonts w:hint="eastAsia" w:ascii="宋体" w:hAnsi="宋体" w:cs="宋体"/>
          <w:color w:val="auto"/>
          <w:highlight w:val="none"/>
        </w:rPr>
        <w:t>附件21-政府采购活动确认声明书</w:t>
      </w:r>
      <w:bookmarkEnd w:id="97"/>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u w:val="single" w:color="000000"/>
        </w:rPr>
        <w:t>浙江五石中正工程咨询有限公司</w:t>
      </w:r>
      <w:r>
        <w:rPr>
          <w:rFonts w:hint="eastAsia" w:ascii="宋体" w:hAnsi="宋体" w:cs="宋体"/>
          <w:color w:val="auto"/>
          <w:sz w:val="24"/>
          <w:highlight w:val="none"/>
        </w:rPr>
        <w:t>（采购组织机构名称）：</w:t>
      </w:r>
    </w:p>
    <w:p>
      <w:pPr>
        <w:spacing w:line="420" w:lineRule="exact"/>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本人经由单位（法人代表（负责人））合法授权参加</w:t>
      </w:r>
      <w:r>
        <w:rPr>
          <w:rFonts w:ascii="宋体" w:hAnsi="宋体" w:cs="宋体"/>
          <w:b/>
          <w:bCs/>
          <w:color w:val="auto"/>
          <w:sz w:val="24"/>
          <w:highlight w:val="none"/>
          <w:u w:val="single"/>
        </w:rPr>
        <w:t>台州市不动产登记数据质量提升项目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color w:val="auto"/>
          <w:sz w:val="24"/>
          <w:highlight w:val="none"/>
          <w:u w:val="single"/>
          <w:lang w:val="zh-CN"/>
        </w:rPr>
        <w:t>ZJWS2022-JJ216</w:t>
      </w:r>
      <w:r>
        <w:rPr>
          <w:rFonts w:hint="eastAsia" w:ascii="宋体" w:hAnsi="宋体" w:cs="宋体"/>
          <w:color w:val="auto"/>
          <w:sz w:val="24"/>
          <w:highlight w:val="none"/>
          <w:lang w:val="zh-CN"/>
        </w:rPr>
        <w:t>）政府采购活动，经与本单位法人代表（负责人）联系确认，现就有关公平竞争事项郑重声明如下：</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□与（供应商名称）之间存在下列利害关系：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420"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I.其他利害关系情况。</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四、我发现供应商之间存在或可能存在上述第二条第项利害关系。</w:t>
      </w:r>
    </w:p>
    <w:p>
      <w:pPr>
        <w:spacing w:line="420" w:lineRule="exact"/>
        <w:textAlignment w:val="baseline"/>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1928" w:firstLineChars="800"/>
        <w:textAlignment w:val="baseline"/>
        <w:rPr>
          <w:rFonts w:ascii="宋体" w:hAnsi="宋体" w:cs="宋体"/>
          <w:color w:val="auto"/>
          <w:sz w:val="24"/>
          <w:highlight w:val="none"/>
        </w:rPr>
      </w:pPr>
      <w:r>
        <w:rPr>
          <w:rFonts w:hint="eastAsia" w:ascii="宋体" w:hAnsi="宋体" w:cs="宋体"/>
          <w:b/>
          <w:bCs/>
          <w:color w:val="auto"/>
          <w:sz w:val="24"/>
          <w:highlight w:val="none"/>
        </w:rPr>
        <w:t xml:space="preserve">供应商代表签名：               </w:t>
      </w:r>
      <w:r>
        <w:rPr>
          <w:rFonts w:hint="eastAsia" w:ascii="宋体" w:hAnsi="宋体" w:cs="宋体"/>
          <w:color w:val="auto"/>
          <w:sz w:val="24"/>
          <w:highlight w:val="none"/>
        </w:rPr>
        <w:t>2022年  月  日</w:t>
      </w:r>
    </w:p>
    <w:p>
      <w:pPr>
        <w:spacing w:line="420" w:lineRule="exact"/>
        <w:ind w:firstLine="422" w:firstLineChars="200"/>
        <w:textAlignment w:val="baseline"/>
        <w:rPr>
          <w:rFonts w:ascii="宋体" w:hAnsi="宋体" w:cs="宋体"/>
          <w:color w:val="auto"/>
          <w:sz w:val="20"/>
          <w:szCs w:val="21"/>
          <w:highlight w:val="none"/>
          <w:u w:val="single"/>
        </w:rPr>
      </w:pPr>
      <w:r>
        <w:rPr>
          <w:rFonts w:hint="eastAsia" w:ascii="宋体" w:hAnsi="宋体" w:cs="宋体"/>
          <w:b/>
          <w:bCs/>
          <w:color w:val="auto"/>
          <w:szCs w:val="21"/>
          <w:highlight w:val="none"/>
          <w:u w:val="single" w:color="000000"/>
        </w:rPr>
        <w:t>说明：商务技术文件开启后30分钟内，供应商通过邮件形式将经授权代表签署的《</w:t>
      </w:r>
      <w:r>
        <w:rPr>
          <w:rFonts w:hint="eastAsia" w:ascii="宋体" w:hAnsi="宋体" w:cs="宋体"/>
          <w:b/>
          <w:bCs/>
          <w:color w:val="auto"/>
          <w:szCs w:val="21"/>
          <w:highlight w:val="none"/>
          <w:u w:val="single" w:color="000000"/>
          <w:lang w:val="en-GB"/>
        </w:rPr>
        <w:t>政府采购活动确认声明书</w:t>
      </w:r>
      <w:r>
        <w:rPr>
          <w:rFonts w:hint="eastAsia" w:ascii="宋体" w:hAnsi="宋体" w:cs="宋体"/>
          <w:b/>
          <w:bCs/>
          <w:color w:val="auto"/>
          <w:szCs w:val="21"/>
          <w:highlight w:val="none"/>
          <w:u w:val="single" w:color="000000"/>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Cs w:val="21"/>
          <w:highlight w:val="none"/>
          <w:u w:val="single" w:color="000000"/>
        </w:rPr>
        <w:t>zjwstz@163.com）；</w:t>
      </w:r>
      <w:r>
        <w:rPr>
          <w:rFonts w:hint="eastAsia" w:ascii="宋体" w:hAnsi="宋体" w:cs="宋体"/>
          <w:b/>
          <w:bCs/>
          <w:color w:val="auto"/>
          <w:szCs w:val="21"/>
          <w:highlight w:val="none"/>
          <w:u w:val="single" w:color="000000"/>
        </w:rPr>
        <w:fldChar w:fldCharType="end"/>
      </w:r>
      <w:r>
        <w:rPr>
          <w:rFonts w:hint="eastAsia" w:ascii="宋体" w:hAnsi="宋体" w:cs="宋体"/>
          <w:b/>
          <w:bCs/>
          <w:color w:val="auto"/>
          <w:szCs w:val="21"/>
          <w:highlight w:val="none"/>
          <w:u w:val="single" w:color="000000"/>
        </w:rPr>
        <w:t>不填写或未按规定发出邮件的，视同默认不存在确认声明书中的相关违规情形。</w:t>
      </w:r>
    </w:p>
    <w:bookmarkEnd w:id="98"/>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iCs/>
      </w:rPr>
    </w:pPr>
    <w:r>
      <w:rPr>
        <w:rFonts w:hint="eastAsia"/>
        <w:b/>
        <w:iCs/>
        <w:color w:val="000000"/>
        <w:kern w:val="0"/>
        <w:sz w:val="18"/>
        <w:u w:val="single"/>
      </w:rPr>
      <w:t xml:space="preserve">台州市政府采购招标文件                                                                           </w:t>
    </w:r>
    <w:r>
      <w:rPr>
        <w:rFonts w:hint="eastAsia"/>
        <w:b/>
        <w:iCs/>
        <w:color w:val="000000"/>
        <w:spacing w:val="-20"/>
        <w:kern w:val="0"/>
        <w:sz w:val="18"/>
        <w:u w:val="single"/>
      </w:rPr>
      <w:t>第</w:t>
    </w:r>
    <w:r>
      <w:rPr>
        <w:b/>
        <w:iCs/>
        <w:color w:val="000000"/>
        <w:spacing w:val="-20"/>
        <w:kern w:val="0"/>
        <w:sz w:val="18"/>
        <w:u w:val="single"/>
      </w:rPr>
      <w:fldChar w:fldCharType="begin"/>
    </w:r>
    <w:r>
      <w:rPr>
        <w:b/>
        <w:iCs/>
        <w:color w:val="000000"/>
        <w:spacing w:val="-20"/>
        <w:kern w:val="0"/>
        <w:sz w:val="18"/>
        <w:u w:val="single"/>
      </w:rPr>
      <w:instrText xml:space="preserve"> PAGE </w:instrText>
    </w:r>
    <w:r>
      <w:rPr>
        <w:b/>
        <w:iCs/>
        <w:color w:val="000000"/>
        <w:spacing w:val="-20"/>
        <w:kern w:val="0"/>
        <w:sz w:val="18"/>
        <w:u w:val="single"/>
      </w:rPr>
      <w:fldChar w:fldCharType="separate"/>
    </w:r>
    <w:r>
      <w:rPr>
        <w:b/>
        <w:iCs/>
        <w:color w:val="000000"/>
        <w:spacing w:val="-20"/>
        <w:kern w:val="0"/>
        <w:sz w:val="18"/>
        <w:u w:val="single"/>
      </w:rPr>
      <w:t>1</w:t>
    </w:r>
    <w:r>
      <w:rPr>
        <w:b/>
        <w:iCs/>
        <w:color w:val="000000"/>
        <w:spacing w:val="-20"/>
        <w:kern w:val="0"/>
        <w:sz w:val="18"/>
        <w:u w:val="single"/>
      </w:rPr>
      <w:fldChar w:fldCharType="end"/>
    </w:r>
    <w:r>
      <w:rPr>
        <w:rFonts w:hint="eastAsia"/>
        <w:b/>
        <w:iCs/>
        <w:color w:val="000000"/>
        <w:spacing w:val="-20"/>
        <w:kern w:val="0"/>
        <w:sz w:val="18"/>
        <w:u w:val="single"/>
      </w:rPr>
      <w:t>页共</w:t>
    </w:r>
    <w:r>
      <w:rPr>
        <w:b/>
        <w:iCs/>
        <w:color w:val="000000"/>
        <w:spacing w:val="-20"/>
        <w:kern w:val="0"/>
        <w:sz w:val="18"/>
        <w:u w:val="single"/>
      </w:rPr>
      <w:fldChar w:fldCharType="begin"/>
    </w:r>
    <w:r>
      <w:rPr>
        <w:b/>
        <w:iCs/>
        <w:color w:val="000000"/>
        <w:spacing w:val="-20"/>
        <w:kern w:val="0"/>
        <w:sz w:val="18"/>
        <w:u w:val="single"/>
      </w:rPr>
      <w:instrText xml:space="preserve"> NUMPAGES </w:instrText>
    </w:r>
    <w:r>
      <w:rPr>
        <w:b/>
        <w:iCs/>
        <w:color w:val="000000"/>
        <w:spacing w:val="-20"/>
        <w:kern w:val="0"/>
        <w:sz w:val="18"/>
        <w:u w:val="single"/>
      </w:rPr>
      <w:fldChar w:fldCharType="separate"/>
    </w:r>
    <w:r>
      <w:rPr>
        <w:b/>
        <w:iCs/>
        <w:color w:val="000000"/>
        <w:spacing w:val="-20"/>
        <w:kern w:val="0"/>
        <w:sz w:val="18"/>
        <w:u w:val="single"/>
      </w:rPr>
      <w:t>69</w:t>
    </w:r>
    <w:r>
      <w:rPr>
        <w:b/>
        <w:iCs/>
        <w:color w:val="000000"/>
        <w:spacing w:val="-20"/>
        <w:kern w:val="0"/>
        <w:sz w:val="18"/>
        <w:u w:val="single"/>
      </w:rPr>
      <w:fldChar w:fldCharType="end"/>
    </w:r>
    <w:r>
      <w:rPr>
        <w:rFonts w:hint="eastAsia"/>
        <w:b/>
        <w:iCs/>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iCs/>
        <w:color w:val="000000"/>
        <w:sz w:val="10"/>
        <w:u w:val="single"/>
      </w:rPr>
    </w:pPr>
    <w:r>
      <w:rPr>
        <w:rFonts w:hint="eastAsia"/>
        <w:b/>
        <w:iCs/>
        <w:color w:val="000000"/>
        <w:kern w:val="0"/>
        <w:sz w:val="18"/>
        <w:u w:val="single"/>
      </w:rPr>
      <w:t xml:space="preserve">台州市政府采购招标文件                                                     </w:t>
    </w:r>
    <w:r>
      <w:rPr>
        <w:rFonts w:hint="eastAsia"/>
        <w:b/>
        <w:iCs/>
        <w:color w:val="000000"/>
        <w:spacing w:val="-20"/>
        <w:kern w:val="0"/>
        <w:sz w:val="18"/>
        <w:u w:val="single"/>
      </w:rPr>
      <w:t xml:space="preserve">第 </w:t>
    </w:r>
    <w:r>
      <w:rPr>
        <w:b/>
        <w:iCs/>
        <w:color w:val="000000"/>
        <w:spacing w:val="-20"/>
        <w:kern w:val="0"/>
        <w:sz w:val="18"/>
        <w:u w:val="single"/>
      </w:rPr>
      <w:fldChar w:fldCharType="begin"/>
    </w:r>
    <w:r>
      <w:rPr>
        <w:b/>
        <w:iCs/>
        <w:color w:val="000000"/>
        <w:spacing w:val="-20"/>
        <w:kern w:val="0"/>
        <w:sz w:val="18"/>
        <w:u w:val="single"/>
      </w:rPr>
      <w:instrText xml:space="preserve"> PAGE </w:instrText>
    </w:r>
    <w:r>
      <w:rPr>
        <w:b/>
        <w:iCs/>
        <w:color w:val="000000"/>
        <w:spacing w:val="-20"/>
        <w:kern w:val="0"/>
        <w:sz w:val="18"/>
        <w:u w:val="single"/>
      </w:rPr>
      <w:fldChar w:fldCharType="separate"/>
    </w:r>
    <w:r>
      <w:rPr>
        <w:b/>
        <w:iCs/>
        <w:color w:val="000000"/>
        <w:spacing w:val="-20"/>
        <w:kern w:val="0"/>
        <w:sz w:val="18"/>
        <w:u w:val="single"/>
      </w:rPr>
      <w:t>34</w:t>
    </w:r>
    <w:r>
      <w:rPr>
        <w:b/>
        <w:iCs/>
        <w:color w:val="000000"/>
        <w:spacing w:val="-20"/>
        <w:kern w:val="0"/>
        <w:sz w:val="18"/>
        <w:u w:val="single"/>
      </w:rPr>
      <w:fldChar w:fldCharType="end"/>
    </w:r>
    <w:r>
      <w:rPr>
        <w:rFonts w:hint="eastAsia"/>
        <w:b/>
        <w:iCs/>
        <w:color w:val="000000"/>
        <w:spacing w:val="-20"/>
        <w:kern w:val="0"/>
        <w:sz w:val="18"/>
        <w:u w:val="single"/>
      </w:rPr>
      <w:t xml:space="preserve">页 共 </w:t>
    </w:r>
    <w:r>
      <w:rPr>
        <w:b/>
        <w:iCs/>
        <w:color w:val="000000"/>
        <w:spacing w:val="-20"/>
        <w:kern w:val="0"/>
        <w:sz w:val="18"/>
        <w:u w:val="single"/>
      </w:rPr>
      <w:fldChar w:fldCharType="begin"/>
    </w:r>
    <w:r>
      <w:rPr>
        <w:b/>
        <w:iCs/>
        <w:color w:val="000000"/>
        <w:spacing w:val="-20"/>
        <w:kern w:val="0"/>
        <w:sz w:val="18"/>
        <w:u w:val="single"/>
      </w:rPr>
      <w:instrText xml:space="preserve"> NUMPAGES </w:instrText>
    </w:r>
    <w:r>
      <w:rPr>
        <w:b/>
        <w:iCs/>
        <w:color w:val="000000"/>
        <w:spacing w:val="-20"/>
        <w:kern w:val="0"/>
        <w:sz w:val="18"/>
        <w:u w:val="single"/>
      </w:rPr>
      <w:fldChar w:fldCharType="separate"/>
    </w:r>
    <w:r>
      <w:rPr>
        <w:b/>
        <w:iCs/>
        <w:color w:val="000000"/>
        <w:spacing w:val="-20"/>
        <w:kern w:val="0"/>
        <w:sz w:val="18"/>
        <w:u w:val="single"/>
      </w:rPr>
      <w:t>69</w:t>
    </w:r>
    <w:r>
      <w:rPr>
        <w:b/>
        <w:iCs/>
        <w:color w:val="000000"/>
        <w:spacing w:val="-20"/>
        <w:kern w:val="0"/>
        <w:sz w:val="18"/>
        <w:u w:val="single"/>
      </w:rPr>
      <w:fldChar w:fldCharType="end"/>
    </w:r>
    <w:r>
      <w:rPr>
        <w:rFonts w:hint="eastAsia"/>
        <w:b/>
        <w:iCs/>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1421"/>
    <w:multiLevelType w:val="singleLevel"/>
    <w:tmpl w:val="82151421"/>
    <w:lvl w:ilvl="0" w:tentative="0">
      <w:start w:val="1"/>
      <w:numFmt w:val="ideographTraditional"/>
      <w:suff w:val="nothing"/>
      <w:lvlText w:val="%1、"/>
      <w:lvlJc w:val="left"/>
      <w:rPr>
        <w:rFonts w:hint="eastAsia"/>
      </w:rPr>
    </w:lvl>
  </w:abstractNum>
  <w:abstractNum w:abstractNumId="1">
    <w:nsid w:val="00000001"/>
    <w:multiLevelType w:val="singleLevel"/>
    <w:tmpl w:val="00000001"/>
    <w:lvl w:ilvl="0" w:tentative="0">
      <w:start w:val="1"/>
      <w:numFmt w:val="decimal"/>
      <w:pStyle w:val="11"/>
      <w:lvlText w:val="%1."/>
      <w:lvlJc w:val="left"/>
      <w:pPr>
        <w:tabs>
          <w:tab w:val="left" w:pos="360"/>
        </w:tabs>
        <w:ind w:left="360" w:hanging="360"/>
      </w:pPr>
      <w:rPr>
        <w:rFonts w:cs="Times New Roman"/>
      </w:rPr>
    </w:lvl>
  </w:abstractNum>
  <w:abstractNum w:abstractNumId="2">
    <w:nsid w:val="00403D52"/>
    <w:multiLevelType w:val="multilevel"/>
    <w:tmpl w:val="00403D52"/>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6C2764"/>
    <w:multiLevelType w:val="multilevel"/>
    <w:tmpl w:val="096C2764"/>
    <w:lvl w:ilvl="0" w:tentative="0">
      <w:start w:val="1"/>
      <w:numFmt w:val="decimal"/>
      <w:lvlText w:val="%1."/>
      <w:lvlJc w:val="left"/>
      <w:pPr>
        <w:ind w:left="425" w:hanging="425"/>
      </w:pPr>
      <w:rPr>
        <w:b/>
        <w:bCs/>
        <w:sz w:val="30"/>
        <w:szCs w:val="30"/>
      </w:rPr>
    </w:lvl>
    <w:lvl w:ilvl="1" w:tentative="0">
      <w:start w:val="1"/>
      <w:numFmt w:val="decimal"/>
      <w:lvlText w:val="%1.%2."/>
      <w:lvlJc w:val="left"/>
      <w:pPr>
        <w:ind w:left="567" w:hanging="567"/>
      </w:pPr>
      <w:rPr>
        <w:rFonts w:ascii="宋体" w:hAnsi="宋体" w:eastAsia="宋体"/>
        <w:sz w:val="28"/>
        <w:szCs w:val="28"/>
      </w:rPr>
    </w:lvl>
    <w:lvl w:ilvl="2" w:tentative="0">
      <w:start w:val="1"/>
      <w:numFmt w:val="decimal"/>
      <w:lvlText w:val="3.%3"/>
      <w:lvlJc w:val="left"/>
      <w:pPr>
        <w:ind w:left="709" w:hanging="709"/>
      </w:pPr>
      <w:rPr>
        <w:rFonts w:hint="eastAsia" w:ascii="宋体" w:hAnsi="宋体" w:eastAsia="宋体"/>
        <w:b/>
        <w:i w:val="0"/>
        <w:sz w:val="32"/>
        <w:szCs w:val="32"/>
      </w:rPr>
    </w:lvl>
    <w:lvl w:ilvl="3" w:tentative="0">
      <w:start w:val="1"/>
      <w:numFmt w:val="decimal"/>
      <w:lvlText w:val="%1.%2.%3.%4."/>
      <w:lvlJc w:val="left"/>
      <w:pPr>
        <w:ind w:left="851" w:hanging="851"/>
      </w:pPr>
      <w:rPr>
        <w:rFonts w:ascii="宋体" w:hAnsi="宋体" w:eastAsia="宋体"/>
        <w:b/>
        <w:bCs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A02463A"/>
    <w:multiLevelType w:val="singleLevel"/>
    <w:tmpl w:val="0A02463A"/>
    <w:lvl w:ilvl="0" w:tentative="0">
      <w:start w:val="1"/>
      <w:numFmt w:val="decimal"/>
      <w:suff w:val="nothing"/>
      <w:lvlText w:val="（%1）"/>
      <w:lvlJc w:val="left"/>
    </w:lvl>
  </w:abstractNum>
  <w:abstractNum w:abstractNumId="5">
    <w:nsid w:val="18FF168B"/>
    <w:multiLevelType w:val="multilevel"/>
    <w:tmpl w:val="18FF168B"/>
    <w:lvl w:ilvl="0" w:tentative="0">
      <w:start w:val="1"/>
      <w:numFmt w:val="decimal"/>
      <w:lvlText w:val="3.%1"/>
      <w:lvlJc w:val="left"/>
      <w:pPr>
        <w:ind w:left="420" w:hanging="420"/>
      </w:pPr>
      <w:rPr>
        <w:rFonts w:hint="eastAsia" w:ascii="宋体" w:hAnsi="宋体" w:eastAsia="宋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08783D"/>
    <w:multiLevelType w:val="multilevel"/>
    <w:tmpl w:val="2108783D"/>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717065"/>
    <w:multiLevelType w:val="multilevel"/>
    <w:tmpl w:val="22717065"/>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3A588D"/>
    <w:multiLevelType w:val="multilevel"/>
    <w:tmpl w:val="253A588D"/>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0E1623"/>
    <w:multiLevelType w:val="multilevel"/>
    <w:tmpl w:val="2E0E1623"/>
    <w:lvl w:ilvl="0" w:tentative="0">
      <w:start w:val="1"/>
      <w:numFmt w:val="decimal"/>
      <w:lvlText w:val="4.%1"/>
      <w:lvlJc w:val="left"/>
      <w:pPr>
        <w:ind w:left="420" w:hanging="420"/>
      </w:pPr>
      <w:rPr>
        <w:rFonts w:hint="eastAsia" w:ascii="宋体" w:hAnsi="宋体" w:eastAsia="宋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2C8655C"/>
    <w:multiLevelType w:val="multilevel"/>
    <w:tmpl w:val="32C8655C"/>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340621C"/>
    <w:multiLevelType w:val="multilevel"/>
    <w:tmpl w:val="3340621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343C2B7E"/>
    <w:multiLevelType w:val="multilevel"/>
    <w:tmpl w:val="343C2B7E"/>
    <w:lvl w:ilvl="0" w:tentative="0">
      <w:start w:val="1"/>
      <w:numFmt w:val="decimal"/>
      <w:lvlText w:val="5.%1"/>
      <w:lvlJc w:val="left"/>
      <w:pPr>
        <w:ind w:left="420" w:hanging="420"/>
      </w:pPr>
      <w:rPr>
        <w:rFonts w:hint="eastAsia" w:ascii="宋体" w:hAnsi="宋体" w:eastAsia="宋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FD1BDE"/>
    <w:multiLevelType w:val="multilevel"/>
    <w:tmpl w:val="34FD1BDE"/>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ED6981"/>
    <w:multiLevelType w:val="multilevel"/>
    <w:tmpl w:val="4CED6981"/>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697BCA2"/>
    <w:multiLevelType w:val="singleLevel"/>
    <w:tmpl w:val="5697BCA2"/>
    <w:lvl w:ilvl="0" w:tentative="0">
      <w:start w:val="1"/>
      <w:numFmt w:val="decimal"/>
      <w:suff w:val="nothing"/>
      <w:lvlText w:val="（%1）"/>
      <w:lvlJc w:val="left"/>
    </w:lvl>
  </w:abstractNum>
  <w:abstractNum w:abstractNumId="16">
    <w:nsid w:val="56B34F05"/>
    <w:multiLevelType w:val="multilevel"/>
    <w:tmpl w:val="56B34F05"/>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EBA53CE"/>
    <w:multiLevelType w:val="singleLevel"/>
    <w:tmpl w:val="5EBA53CE"/>
    <w:lvl w:ilvl="0" w:tentative="0">
      <w:start w:val="2"/>
      <w:numFmt w:val="decimal"/>
      <w:lvlText w:val="%1."/>
      <w:lvlJc w:val="left"/>
      <w:pPr>
        <w:tabs>
          <w:tab w:val="left" w:pos="312"/>
        </w:tabs>
      </w:pPr>
    </w:lvl>
  </w:abstractNum>
  <w:abstractNum w:abstractNumId="18">
    <w:nsid w:val="74651D50"/>
    <w:multiLevelType w:val="multilevel"/>
    <w:tmpl w:val="74651D50"/>
    <w:lvl w:ilvl="0" w:tentative="0">
      <w:start w:val="1"/>
      <w:numFmt w:val="japaneseCounting"/>
      <w:lvlText w:val="（%1）"/>
      <w:lvlJc w:val="left"/>
      <w:pPr>
        <w:ind w:left="983" w:hanging="98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4059A0"/>
    <w:multiLevelType w:val="multilevel"/>
    <w:tmpl w:val="754059A0"/>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E81546"/>
    <w:multiLevelType w:val="multilevel"/>
    <w:tmpl w:val="75E81546"/>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0"/>
  </w:num>
  <w:num w:numId="3">
    <w:abstractNumId w:val="8"/>
  </w:num>
  <w:num w:numId="4">
    <w:abstractNumId w:val="2"/>
  </w:num>
  <w:num w:numId="5">
    <w:abstractNumId w:val="18"/>
  </w:num>
  <w:num w:numId="6">
    <w:abstractNumId w:val="6"/>
  </w:num>
  <w:num w:numId="7">
    <w:abstractNumId w:val="10"/>
  </w:num>
  <w:num w:numId="8">
    <w:abstractNumId w:val="16"/>
  </w:num>
  <w:num w:numId="9">
    <w:abstractNumId w:val="14"/>
  </w:num>
  <w:num w:numId="10">
    <w:abstractNumId w:val="7"/>
  </w:num>
  <w:num w:numId="11">
    <w:abstractNumId w:val="19"/>
  </w:num>
  <w:num w:numId="12">
    <w:abstractNumId w:val="15"/>
  </w:num>
  <w:num w:numId="13">
    <w:abstractNumId w:val="4"/>
  </w:num>
  <w:num w:numId="14">
    <w:abstractNumId w:val="17"/>
  </w:num>
  <w:num w:numId="15">
    <w:abstractNumId w:val="3"/>
  </w:num>
  <w:num w:numId="16">
    <w:abstractNumId w:val="5"/>
  </w:num>
  <w:num w:numId="17">
    <w:abstractNumId w:val="9"/>
  </w:num>
  <w:num w:numId="18">
    <w:abstractNumId w:val="12"/>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GEyYzExMGVhNmMzYzkzMTkwZWY3NGNkYzFlMTIifQ=="/>
  </w:docVars>
  <w:rsids>
    <w:rsidRoot w:val="00172A27"/>
    <w:rsid w:val="00010E76"/>
    <w:rsid w:val="00016260"/>
    <w:rsid w:val="00017057"/>
    <w:rsid w:val="0002035B"/>
    <w:rsid w:val="00022FB8"/>
    <w:rsid w:val="000236E8"/>
    <w:rsid w:val="00027567"/>
    <w:rsid w:val="0003741D"/>
    <w:rsid w:val="0004006B"/>
    <w:rsid w:val="000403F7"/>
    <w:rsid w:val="00054F6D"/>
    <w:rsid w:val="0006294D"/>
    <w:rsid w:val="00062AB3"/>
    <w:rsid w:val="000630DA"/>
    <w:rsid w:val="00077C5A"/>
    <w:rsid w:val="00082C5B"/>
    <w:rsid w:val="0009269F"/>
    <w:rsid w:val="0009792D"/>
    <w:rsid w:val="000A2B0F"/>
    <w:rsid w:val="000A7A07"/>
    <w:rsid w:val="000D71A4"/>
    <w:rsid w:val="000D758D"/>
    <w:rsid w:val="000D7598"/>
    <w:rsid w:val="00107BF6"/>
    <w:rsid w:val="00112619"/>
    <w:rsid w:val="0011280A"/>
    <w:rsid w:val="00115786"/>
    <w:rsid w:val="001164CC"/>
    <w:rsid w:val="00120214"/>
    <w:rsid w:val="0012177E"/>
    <w:rsid w:val="0012595D"/>
    <w:rsid w:val="001334F2"/>
    <w:rsid w:val="001358F3"/>
    <w:rsid w:val="0014385D"/>
    <w:rsid w:val="00157E7C"/>
    <w:rsid w:val="00163405"/>
    <w:rsid w:val="00165F2A"/>
    <w:rsid w:val="00172A27"/>
    <w:rsid w:val="00180836"/>
    <w:rsid w:val="00181CA9"/>
    <w:rsid w:val="00186933"/>
    <w:rsid w:val="00197969"/>
    <w:rsid w:val="001A4143"/>
    <w:rsid w:val="001A539F"/>
    <w:rsid w:val="001B7703"/>
    <w:rsid w:val="001C0132"/>
    <w:rsid w:val="001E29F7"/>
    <w:rsid w:val="001F4CD3"/>
    <w:rsid w:val="001F53CB"/>
    <w:rsid w:val="001F571D"/>
    <w:rsid w:val="00201D2F"/>
    <w:rsid w:val="00201D62"/>
    <w:rsid w:val="00203C2F"/>
    <w:rsid w:val="002049E1"/>
    <w:rsid w:val="00211799"/>
    <w:rsid w:val="0021318F"/>
    <w:rsid w:val="00231C97"/>
    <w:rsid w:val="00241352"/>
    <w:rsid w:val="00250CCB"/>
    <w:rsid w:val="002514CD"/>
    <w:rsid w:val="00252234"/>
    <w:rsid w:val="00252E7F"/>
    <w:rsid w:val="00257F19"/>
    <w:rsid w:val="00265DB0"/>
    <w:rsid w:val="00270F18"/>
    <w:rsid w:val="002727AF"/>
    <w:rsid w:val="00276769"/>
    <w:rsid w:val="00286DC1"/>
    <w:rsid w:val="0029177D"/>
    <w:rsid w:val="002A1620"/>
    <w:rsid w:val="002B2A83"/>
    <w:rsid w:val="002B60E7"/>
    <w:rsid w:val="002B6305"/>
    <w:rsid w:val="002C0D3B"/>
    <w:rsid w:val="002C5C4C"/>
    <w:rsid w:val="002D3042"/>
    <w:rsid w:val="002E390B"/>
    <w:rsid w:val="0030238E"/>
    <w:rsid w:val="0030434C"/>
    <w:rsid w:val="003102FB"/>
    <w:rsid w:val="0031109C"/>
    <w:rsid w:val="00325A10"/>
    <w:rsid w:val="003267BF"/>
    <w:rsid w:val="0033011F"/>
    <w:rsid w:val="003324ED"/>
    <w:rsid w:val="00332E30"/>
    <w:rsid w:val="00346CCE"/>
    <w:rsid w:val="00353DAF"/>
    <w:rsid w:val="00361389"/>
    <w:rsid w:val="00365907"/>
    <w:rsid w:val="00377985"/>
    <w:rsid w:val="00383C73"/>
    <w:rsid w:val="00394F4B"/>
    <w:rsid w:val="003B1B76"/>
    <w:rsid w:val="003B5E94"/>
    <w:rsid w:val="003C020E"/>
    <w:rsid w:val="003C5E00"/>
    <w:rsid w:val="003E1BDA"/>
    <w:rsid w:val="003E6DE1"/>
    <w:rsid w:val="003F4AA2"/>
    <w:rsid w:val="003F595C"/>
    <w:rsid w:val="003F78E0"/>
    <w:rsid w:val="00411D45"/>
    <w:rsid w:val="004120E6"/>
    <w:rsid w:val="00412C3D"/>
    <w:rsid w:val="00414A3D"/>
    <w:rsid w:val="004407CF"/>
    <w:rsid w:val="00441FAE"/>
    <w:rsid w:val="00445520"/>
    <w:rsid w:val="00446CEF"/>
    <w:rsid w:val="00455E52"/>
    <w:rsid w:val="00490BFA"/>
    <w:rsid w:val="00491BDF"/>
    <w:rsid w:val="004B4165"/>
    <w:rsid w:val="004B725E"/>
    <w:rsid w:val="004C2601"/>
    <w:rsid w:val="004C55D6"/>
    <w:rsid w:val="004D69D3"/>
    <w:rsid w:val="004F3401"/>
    <w:rsid w:val="00501A00"/>
    <w:rsid w:val="00511776"/>
    <w:rsid w:val="00515AD4"/>
    <w:rsid w:val="00531666"/>
    <w:rsid w:val="00542F87"/>
    <w:rsid w:val="0054326C"/>
    <w:rsid w:val="00587A35"/>
    <w:rsid w:val="005A5A3C"/>
    <w:rsid w:val="005A6700"/>
    <w:rsid w:val="005A74B0"/>
    <w:rsid w:val="005E026A"/>
    <w:rsid w:val="005E3102"/>
    <w:rsid w:val="005E7A02"/>
    <w:rsid w:val="005F5A61"/>
    <w:rsid w:val="00600BC8"/>
    <w:rsid w:val="00607AD7"/>
    <w:rsid w:val="00616E31"/>
    <w:rsid w:val="0062332A"/>
    <w:rsid w:val="00636172"/>
    <w:rsid w:val="006363FA"/>
    <w:rsid w:val="006373EB"/>
    <w:rsid w:val="00646CA0"/>
    <w:rsid w:val="006518C4"/>
    <w:rsid w:val="006540F3"/>
    <w:rsid w:val="00655E3C"/>
    <w:rsid w:val="006615A1"/>
    <w:rsid w:val="00674C42"/>
    <w:rsid w:val="00677976"/>
    <w:rsid w:val="00686534"/>
    <w:rsid w:val="006B52D0"/>
    <w:rsid w:val="006B6BE5"/>
    <w:rsid w:val="006C0376"/>
    <w:rsid w:val="006D6513"/>
    <w:rsid w:val="006E1152"/>
    <w:rsid w:val="006E5A80"/>
    <w:rsid w:val="006F043E"/>
    <w:rsid w:val="006F33A6"/>
    <w:rsid w:val="006F4DFE"/>
    <w:rsid w:val="00714BB0"/>
    <w:rsid w:val="0073543B"/>
    <w:rsid w:val="00742434"/>
    <w:rsid w:val="0075349E"/>
    <w:rsid w:val="00771B0C"/>
    <w:rsid w:val="00782E2E"/>
    <w:rsid w:val="00783370"/>
    <w:rsid w:val="00786ED2"/>
    <w:rsid w:val="00793C81"/>
    <w:rsid w:val="007A2629"/>
    <w:rsid w:val="007B61C4"/>
    <w:rsid w:val="007B7148"/>
    <w:rsid w:val="007C1005"/>
    <w:rsid w:val="007D2A59"/>
    <w:rsid w:val="007D5CDA"/>
    <w:rsid w:val="007E4FDA"/>
    <w:rsid w:val="007F5FAF"/>
    <w:rsid w:val="007F738F"/>
    <w:rsid w:val="00800D93"/>
    <w:rsid w:val="00800F52"/>
    <w:rsid w:val="00802325"/>
    <w:rsid w:val="0080536B"/>
    <w:rsid w:val="008154BD"/>
    <w:rsid w:val="00823978"/>
    <w:rsid w:val="008264AF"/>
    <w:rsid w:val="00835952"/>
    <w:rsid w:val="00846A14"/>
    <w:rsid w:val="00847BE5"/>
    <w:rsid w:val="0088066B"/>
    <w:rsid w:val="00885C76"/>
    <w:rsid w:val="008863B9"/>
    <w:rsid w:val="008A4030"/>
    <w:rsid w:val="008A6DF5"/>
    <w:rsid w:val="008A7F9A"/>
    <w:rsid w:val="008B2213"/>
    <w:rsid w:val="008B33DF"/>
    <w:rsid w:val="008B3680"/>
    <w:rsid w:val="008B3D61"/>
    <w:rsid w:val="008B6C1A"/>
    <w:rsid w:val="008B7866"/>
    <w:rsid w:val="008C1833"/>
    <w:rsid w:val="008D03D6"/>
    <w:rsid w:val="008D0876"/>
    <w:rsid w:val="008D3EC9"/>
    <w:rsid w:val="008E4C2D"/>
    <w:rsid w:val="008E5004"/>
    <w:rsid w:val="008E7473"/>
    <w:rsid w:val="008E781F"/>
    <w:rsid w:val="00912983"/>
    <w:rsid w:val="00914A91"/>
    <w:rsid w:val="00923F60"/>
    <w:rsid w:val="009327E5"/>
    <w:rsid w:val="00936DE1"/>
    <w:rsid w:val="00937191"/>
    <w:rsid w:val="00944004"/>
    <w:rsid w:val="00946162"/>
    <w:rsid w:val="0096156E"/>
    <w:rsid w:val="00961AEC"/>
    <w:rsid w:val="00961C39"/>
    <w:rsid w:val="00964073"/>
    <w:rsid w:val="00966677"/>
    <w:rsid w:val="00971EB1"/>
    <w:rsid w:val="00977966"/>
    <w:rsid w:val="00985596"/>
    <w:rsid w:val="00986274"/>
    <w:rsid w:val="009927AA"/>
    <w:rsid w:val="009A0AF0"/>
    <w:rsid w:val="009A706E"/>
    <w:rsid w:val="009A7EDA"/>
    <w:rsid w:val="009B1C83"/>
    <w:rsid w:val="009B3E22"/>
    <w:rsid w:val="009E4F3B"/>
    <w:rsid w:val="009E6A48"/>
    <w:rsid w:val="009F2B78"/>
    <w:rsid w:val="009F3459"/>
    <w:rsid w:val="009F36F6"/>
    <w:rsid w:val="009F4386"/>
    <w:rsid w:val="00A066E3"/>
    <w:rsid w:val="00A07731"/>
    <w:rsid w:val="00A12F71"/>
    <w:rsid w:val="00A14713"/>
    <w:rsid w:val="00A164A2"/>
    <w:rsid w:val="00A17880"/>
    <w:rsid w:val="00A204A5"/>
    <w:rsid w:val="00A21178"/>
    <w:rsid w:val="00A24237"/>
    <w:rsid w:val="00A30B75"/>
    <w:rsid w:val="00A37810"/>
    <w:rsid w:val="00A64297"/>
    <w:rsid w:val="00A730CA"/>
    <w:rsid w:val="00A925C1"/>
    <w:rsid w:val="00AA3B62"/>
    <w:rsid w:val="00AB4860"/>
    <w:rsid w:val="00AC16B9"/>
    <w:rsid w:val="00AC738D"/>
    <w:rsid w:val="00AD5566"/>
    <w:rsid w:val="00AF0704"/>
    <w:rsid w:val="00AF276E"/>
    <w:rsid w:val="00B0420E"/>
    <w:rsid w:val="00B15A8F"/>
    <w:rsid w:val="00B17EA8"/>
    <w:rsid w:val="00B207C1"/>
    <w:rsid w:val="00B441F5"/>
    <w:rsid w:val="00B53AC9"/>
    <w:rsid w:val="00B71CD0"/>
    <w:rsid w:val="00B7248C"/>
    <w:rsid w:val="00B72D56"/>
    <w:rsid w:val="00B87301"/>
    <w:rsid w:val="00B954FF"/>
    <w:rsid w:val="00BA2320"/>
    <w:rsid w:val="00BB45F2"/>
    <w:rsid w:val="00BC6B97"/>
    <w:rsid w:val="00BD7BF1"/>
    <w:rsid w:val="00BE0ADF"/>
    <w:rsid w:val="00BE101E"/>
    <w:rsid w:val="00BF0A0F"/>
    <w:rsid w:val="00C179BF"/>
    <w:rsid w:val="00C17E8C"/>
    <w:rsid w:val="00C20FDE"/>
    <w:rsid w:val="00C366CB"/>
    <w:rsid w:val="00C44AFB"/>
    <w:rsid w:val="00C52E14"/>
    <w:rsid w:val="00C56CFB"/>
    <w:rsid w:val="00C57611"/>
    <w:rsid w:val="00C60DE1"/>
    <w:rsid w:val="00C60EBC"/>
    <w:rsid w:val="00C767D4"/>
    <w:rsid w:val="00C86165"/>
    <w:rsid w:val="00C8799F"/>
    <w:rsid w:val="00CA54AE"/>
    <w:rsid w:val="00CA6C33"/>
    <w:rsid w:val="00CB0437"/>
    <w:rsid w:val="00CC212F"/>
    <w:rsid w:val="00CC232E"/>
    <w:rsid w:val="00CD1804"/>
    <w:rsid w:val="00CD28F0"/>
    <w:rsid w:val="00CD3122"/>
    <w:rsid w:val="00CD47E3"/>
    <w:rsid w:val="00CD538A"/>
    <w:rsid w:val="00CF6E5A"/>
    <w:rsid w:val="00D02C08"/>
    <w:rsid w:val="00D03743"/>
    <w:rsid w:val="00D04A18"/>
    <w:rsid w:val="00D11A04"/>
    <w:rsid w:val="00D212D0"/>
    <w:rsid w:val="00D264AC"/>
    <w:rsid w:val="00D33B96"/>
    <w:rsid w:val="00D35037"/>
    <w:rsid w:val="00D37807"/>
    <w:rsid w:val="00D42931"/>
    <w:rsid w:val="00D42F59"/>
    <w:rsid w:val="00D43C4F"/>
    <w:rsid w:val="00D45AB5"/>
    <w:rsid w:val="00D5269F"/>
    <w:rsid w:val="00D55778"/>
    <w:rsid w:val="00D56968"/>
    <w:rsid w:val="00D623C7"/>
    <w:rsid w:val="00D64EDF"/>
    <w:rsid w:val="00D73D72"/>
    <w:rsid w:val="00D820B0"/>
    <w:rsid w:val="00D92819"/>
    <w:rsid w:val="00D93920"/>
    <w:rsid w:val="00DA1803"/>
    <w:rsid w:val="00DA25C4"/>
    <w:rsid w:val="00DA5D22"/>
    <w:rsid w:val="00DB1C05"/>
    <w:rsid w:val="00DB2B95"/>
    <w:rsid w:val="00DB6334"/>
    <w:rsid w:val="00DC04A3"/>
    <w:rsid w:val="00DC2EAE"/>
    <w:rsid w:val="00DC320A"/>
    <w:rsid w:val="00DC6964"/>
    <w:rsid w:val="00DC722D"/>
    <w:rsid w:val="00DD7ECD"/>
    <w:rsid w:val="00DE1E5F"/>
    <w:rsid w:val="00DE4BB8"/>
    <w:rsid w:val="00E1534F"/>
    <w:rsid w:val="00E319E7"/>
    <w:rsid w:val="00E353A2"/>
    <w:rsid w:val="00E372BC"/>
    <w:rsid w:val="00E44FF9"/>
    <w:rsid w:val="00E5539C"/>
    <w:rsid w:val="00E67763"/>
    <w:rsid w:val="00E75265"/>
    <w:rsid w:val="00E9263B"/>
    <w:rsid w:val="00EC5263"/>
    <w:rsid w:val="00EF2797"/>
    <w:rsid w:val="00F03A76"/>
    <w:rsid w:val="00F127FF"/>
    <w:rsid w:val="00F602C3"/>
    <w:rsid w:val="00F63238"/>
    <w:rsid w:val="00F64E95"/>
    <w:rsid w:val="00F6554D"/>
    <w:rsid w:val="00F74D1E"/>
    <w:rsid w:val="00F830E9"/>
    <w:rsid w:val="00F835F4"/>
    <w:rsid w:val="00F83FD8"/>
    <w:rsid w:val="00F84D81"/>
    <w:rsid w:val="00F91F78"/>
    <w:rsid w:val="00F92851"/>
    <w:rsid w:val="00F94869"/>
    <w:rsid w:val="00F94947"/>
    <w:rsid w:val="00FA1601"/>
    <w:rsid w:val="00FA339E"/>
    <w:rsid w:val="00FA5675"/>
    <w:rsid w:val="00FC1DB0"/>
    <w:rsid w:val="00FC28B3"/>
    <w:rsid w:val="00FD7934"/>
    <w:rsid w:val="00FE2BF3"/>
    <w:rsid w:val="00FF2DBD"/>
    <w:rsid w:val="00FF6745"/>
    <w:rsid w:val="01221ADB"/>
    <w:rsid w:val="0146582F"/>
    <w:rsid w:val="0162067B"/>
    <w:rsid w:val="01935887"/>
    <w:rsid w:val="021154D6"/>
    <w:rsid w:val="0225285D"/>
    <w:rsid w:val="022F3D89"/>
    <w:rsid w:val="0248373E"/>
    <w:rsid w:val="02597876"/>
    <w:rsid w:val="026B5F45"/>
    <w:rsid w:val="029A1B3E"/>
    <w:rsid w:val="02E01C47"/>
    <w:rsid w:val="02F80E9F"/>
    <w:rsid w:val="03887300"/>
    <w:rsid w:val="045E051E"/>
    <w:rsid w:val="04AE50DC"/>
    <w:rsid w:val="04C51A89"/>
    <w:rsid w:val="04CC341D"/>
    <w:rsid w:val="04E15DC0"/>
    <w:rsid w:val="05137CD7"/>
    <w:rsid w:val="06093262"/>
    <w:rsid w:val="060B26E0"/>
    <w:rsid w:val="06903A8B"/>
    <w:rsid w:val="06C4428B"/>
    <w:rsid w:val="06EF446D"/>
    <w:rsid w:val="06F73904"/>
    <w:rsid w:val="072B4167"/>
    <w:rsid w:val="075372D6"/>
    <w:rsid w:val="07881372"/>
    <w:rsid w:val="079F0256"/>
    <w:rsid w:val="07B54360"/>
    <w:rsid w:val="07D46172"/>
    <w:rsid w:val="08097BDB"/>
    <w:rsid w:val="080A1F87"/>
    <w:rsid w:val="086973C1"/>
    <w:rsid w:val="086C0E69"/>
    <w:rsid w:val="08713E12"/>
    <w:rsid w:val="08A16C6F"/>
    <w:rsid w:val="090B6394"/>
    <w:rsid w:val="097A796A"/>
    <w:rsid w:val="09EB6542"/>
    <w:rsid w:val="0A487114"/>
    <w:rsid w:val="0A570314"/>
    <w:rsid w:val="0A590382"/>
    <w:rsid w:val="0A9667FD"/>
    <w:rsid w:val="0AD934DF"/>
    <w:rsid w:val="0ADB4F19"/>
    <w:rsid w:val="0B1F671C"/>
    <w:rsid w:val="0C1E2BA0"/>
    <w:rsid w:val="0C290818"/>
    <w:rsid w:val="0C484FF0"/>
    <w:rsid w:val="0C765CB2"/>
    <w:rsid w:val="0CCE3D8B"/>
    <w:rsid w:val="0D9066DE"/>
    <w:rsid w:val="0D914D66"/>
    <w:rsid w:val="0DD061AE"/>
    <w:rsid w:val="0DF66D0E"/>
    <w:rsid w:val="0DFA6BCE"/>
    <w:rsid w:val="0E7B0FD4"/>
    <w:rsid w:val="0E970358"/>
    <w:rsid w:val="0F454BF6"/>
    <w:rsid w:val="0F6F2D8B"/>
    <w:rsid w:val="0FAA25C8"/>
    <w:rsid w:val="0FBD4514"/>
    <w:rsid w:val="10053DFB"/>
    <w:rsid w:val="100F05DE"/>
    <w:rsid w:val="101C3B92"/>
    <w:rsid w:val="101F1EB6"/>
    <w:rsid w:val="10392EAE"/>
    <w:rsid w:val="104863C2"/>
    <w:rsid w:val="10706EC2"/>
    <w:rsid w:val="11060CDB"/>
    <w:rsid w:val="110F1F8C"/>
    <w:rsid w:val="114D620F"/>
    <w:rsid w:val="115A30DB"/>
    <w:rsid w:val="11621A79"/>
    <w:rsid w:val="118A0564"/>
    <w:rsid w:val="11D364F2"/>
    <w:rsid w:val="121217D2"/>
    <w:rsid w:val="12234209"/>
    <w:rsid w:val="12445B3A"/>
    <w:rsid w:val="127549CB"/>
    <w:rsid w:val="12807280"/>
    <w:rsid w:val="12A372EC"/>
    <w:rsid w:val="132A0908"/>
    <w:rsid w:val="134B0D26"/>
    <w:rsid w:val="136E0BA9"/>
    <w:rsid w:val="13BD6E79"/>
    <w:rsid w:val="13FC1BC3"/>
    <w:rsid w:val="146F05F9"/>
    <w:rsid w:val="147A52C5"/>
    <w:rsid w:val="148463E6"/>
    <w:rsid w:val="14891A12"/>
    <w:rsid w:val="14D20D9B"/>
    <w:rsid w:val="15180DDD"/>
    <w:rsid w:val="15243E60"/>
    <w:rsid w:val="15A72BED"/>
    <w:rsid w:val="1621170E"/>
    <w:rsid w:val="162627F7"/>
    <w:rsid w:val="16371C35"/>
    <w:rsid w:val="16625909"/>
    <w:rsid w:val="167046B6"/>
    <w:rsid w:val="174758FD"/>
    <w:rsid w:val="179F3E26"/>
    <w:rsid w:val="17EC19C2"/>
    <w:rsid w:val="18312DCB"/>
    <w:rsid w:val="186D503D"/>
    <w:rsid w:val="18820ED2"/>
    <w:rsid w:val="1885471A"/>
    <w:rsid w:val="188A686F"/>
    <w:rsid w:val="18B91D2B"/>
    <w:rsid w:val="18C40414"/>
    <w:rsid w:val="18E11A7C"/>
    <w:rsid w:val="19157D18"/>
    <w:rsid w:val="195F3769"/>
    <w:rsid w:val="19AC6AA6"/>
    <w:rsid w:val="19AD1410"/>
    <w:rsid w:val="19D90C2D"/>
    <w:rsid w:val="19E0747E"/>
    <w:rsid w:val="1A13137A"/>
    <w:rsid w:val="1A6A6D44"/>
    <w:rsid w:val="1A817123"/>
    <w:rsid w:val="1A836548"/>
    <w:rsid w:val="1AA5044A"/>
    <w:rsid w:val="1B674FFA"/>
    <w:rsid w:val="1B76076C"/>
    <w:rsid w:val="1BB8490A"/>
    <w:rsid w:val="1BDA4026"/>
    <w:rsid w:val="1C093ECB"/>
    <w:rsid w:val="1C2A1FDB"/>
    <w:rsid w:val="1C4D10D4"/>
    <w:rsid w:val="1C735589"/>
    <w:rsid w:val="1CAE097A"/>
    <w:rsid w:val="1CC00D29"/>
    <w:rsid w:val="1CE4433A"/>
    <w:rsid w:val="1D150A30"/>
    <w:rsid w:val="1D9F5E03"/>
    <w:rsid w:val="1DC530BD"/>
    <w:rsid w:val="1E58234F"/>
    <w:rsid w:val="1ECF472D"/>
    <w:rsid w:val="1EE84AA8"/>
    <w:rsid w:val="1F031196"/>
    <w:rsid w:val="1F3E384B"/>
    <w:rsid w:val="1F59624F"/>
    <w:rsid w:val="1F7E03C6"/>
    <w:rsid w:val="208B01A6"/>
    <w:rsid w:val="20D32DCE"/>
    <w:rsid w:val="20E049A9"/>
    <w:rsid w:val="21000984"/>
    <w:rsid w:val="21D74311"/>
    <w:rsid w:val="227840A5"/>
    <w:rsid w:val="228165F6"/>
    <w:rsid w:val="228447E5"/>
    <w:rsid w:val="23424F53"/>
    <w:rsid w:val="23450E3C"/>
    <w:rsid w:val="236D627A"/>
    <w:rsid w:val="236E14E2"/>
    <w:rsid w:val="23E91F51"/>
    <w:rsid w:val="2421202A"/>
    <w:rsid w:val="24457193"/>
    <w:rsid w:val="24CD6279"/>
    <w:rsid w:val="24E96AC6"/>
    <w:rsid w:val="258A1AE1"/>
    <w:rsid w:val="259005B7"/>
    <w:rsid w:val="265E2776"/>
    <w:rsid w:val="268A132E"/>
    <w:rsid w:val="26AB5818"/>
    <w:rsid w:val="27872633"/>
    <w:rsid w:val="2787623F"/>
    <w:rsid w:val="27F80384"/>
    <w:rsid w:val="28076A74"/>
    <w:rsid w:val="28870C9F"/>
    <w:rsid w:val="288D1679"/>
    <w:rsid w:val="29803A90"/>
    <w:rsid w:val="29AA1528"/>
    <w:rsid w:val="29D148D0"/>
    <w:rsid w:val="29E5116A"/>
    <w:rsid w:val="2A155C4B"/>
    <w:rsid w:val="2AC803DC"/>
    <w:rsid w:val="2ACA243E"/>
    <w:rsid w:val="2AF71430"/>
    <w:rsid w:val="2B0D0850"/>
    <w:rsid w:val="2B520C88"/>
    <w:rsid w:val="2BCA3B51"/>
    <w:rsid w:val="2BD530ED"/>
    <w:rsid w:val="2C6A240D"/>
    <w:rsid w:val="2CCC26BD"/>
    <w:rsid w:val="2D4060F2"/>
    <w:rsid w:val="2D9F11C5"/>
    <w:rsid w:val="2DA07D6D"/>
    <w:rsid w:val="2E440A2C"/>
    <w:rsid w:val="2EB2150F"/>
    <w:rsid w:val="2EC854D0"/>
    <w:rsid w:val="2ECA3D6D"/>
    <w:rsid w:val="2F146C96"/>
    <w:rsid w:val="2F402F53"/>
    <w:rsid w:val="2FB30883"/>
    <w:rsid w:val="2FCC3729"/>
    <w:rsid w:val="30143D85"/>
    <w:rsid w:val="307849BD"/>
    <w:rsid w:val="310308E1"/>
    <w:rsid w:val="3143066A"/>
    <w:rsid w:val="31752B09"/>
    <w:rsid w:val="32A775F4"/>
    <w:rsid w:val="32AC7E5E"/>
    <w:rsid w:val="32DD159F"/>
    <w:rsid w:val="335D305E"/>
    <w:rsid w:val="33AD0F31"/>
    <w:rsid w:val="33F77211"/>
    <w:rsid w:val="341548E3"/>
    <w:rsid w:val="34A27FE6"/>
    <w:rsid w:val="34AE4E51"/>
    <w:rsid w:val="35671120"/>
    <w:rsid w:val="35723DBA"/>
    <w:rsid w:val="359A4143"/>
    <w:rsid w:val="359B739A"/>
    <w:rsid w:val="35AB313F"/>
    <w:rsid w:val="35C05FE9"/>
    <w:rsid w:val="35E7353B"/>
    <w:rsid w:val="36110746"/>
    <w:rsid w:val="365D0E69"/>
    <w:rsid w:val="36602F80"/>
    <w:rsid w:val="36623E0E"/>
    <w:rsid w:val="3670532E"/>
    <w:rsid w:val="370623B0"/>
    <w:rsid w:val="37712A39"/>
    <w:rsid w:val="37D35706"/>
    <w:rsid w:val="37E90138"/>
    <w:rsid w:val="380438F2"/>
    <w:rsid w:val="395104A1"/>
    <w:rsid w:val="39566B09"/>
    <w:rsid w:val="39E1476A"/>
    <w:rsid w:val="3A3D1CFB"/>
    <w:rsid w:val="3AE50133"/>
    <w:rsid w:val="3B0E77B2"/>
    <w:rsid w:val="3B345EA5"/>
    <w:rsid w:val="3B550335"/>
    <w:rsid w:val="3B6867E5"/>
    <w:rsid w:val="3C724604"/>
    <w:rsid w:val="3C8225A7"/>
    <w:rsid w:val="3D1275D3"/>
    <w:rsid w:val="3DA04075"/>
    <w:rsid w:val="3DB531EC"/>
    <w:rsid w:val="3DBB71E5"/>
    <w:rsid w:val="3DC93D93"/>
    <w:rsid w:val="3E0E0D4E"/>
    <w:rsid w:val="3E4708A2"/>
    <w:rsid w:val="3E83469F"/>
    <w:rsid w:val="3F3442E5"/>
    <w:rsid w:val="3FCA5515"/>
    <w:rsid w:val="3FED78DC"/>
    <w:rsid w:val="3FEF6784"/>
    <w:rsid w:val="40950A96"/>
    <w:rsid w:val="40AF43CA"/>
    <w:rsid w:val="40D83598"/>
    <w:rsid w:val="410626FD"/>
    <w:rsid w:val="41114342"/>
    <w:rsid w:val="41197AF6"/>
    <w:rsid w:val="427A0FAE"/>
    <w:rsid w:val="42962E63"/>
    <w:rsid w:val="43036342"/>
    <w:rsid w:val="432930B3"/>
    <w:rsid w:val="43346686"/>
    <w:rsid w:val="43D911A2"/>
    <w:rsid w:val="44222E5D"/>
    <w:rsid w:val="445D0443"/>
    <w:rsid w:val="44DD4A6B"/>
    <w:rsid w:val="44E23928"/>
    <w:rsid w:val="45044E52"/>
    <w:rsid w:val="454964D0"/>
    <w:rsid w:val="4563730C"/>
    <w:rsid w:val="456B496E"/>
    <w:rsid w:val="45753AC8"/>
    <w:rsid w:val="459B4F7E"/>
    <w:rsid w:val="45DE55DB"/>
    <w:rsid w:val="463948A0"/>
    <w:rsid w:val="464557C9"/>
    <w:rsid w:val="46867CEE"/>
    <w:rsid w:val="47CC401F"/>
    <w:rsid w:val="48065F91"/>
    <w:rsid w:val="480D5086"/>
    <w:rsid w:val="4866212B"/>
    <w:rsid w:val="48694FA0"/>
    <w:rsid w:val="488E768B"/>
    <w:rsid w:val="49F41D5E"/>
    <w:rsid w:val="4A007AA5"/>
    <w:rsid w:val="4AA05BAE"/>
    <w:rsid w:val="4AA27E92"/>
    <w:rsid w:val="4AFF6678"/>
    <w:rsid w:val="4B1E31F7"/>
    <w:rsid w:val="4B6D2E85"/>
    <w:rsid w:val="4B8D3361"/>
    <w:rsid w:val="4B9A5CD8"/>
    <w:rsid w:val="4BB273C9"/>
    <w:rsid w:val="4BCB3573"/>
    <w:rsid w:val="4BE82DE5"/>
    <w:rsid w:val="4C012361"/>
    <w:rsid w:val="4C433193"/>
    <w:rsid w:val="4C696BA0"/>
    <w:rsid w:val="4C84477F"/>
    <w:rsid w:val="4C8A18A8"/>
    <w:rsid w:val="4C976ED3"/>
    <w:rsid w:val="4CCA1E70"/>
    <w:rsid w:val="4CE75373"/>
    <w:rsid w:val="4D331D1F"/>
    <w:rsid w:val="4D5934CA"/>
    <w:rsid w:val="4D9176FF"/>
    <w:rsid w:val="4DBA747C"/>
    <w:rsid w:val="4E105EFB"/>
    <w:rsid w:val="4E7B6655"/>
    <w:rsid w:val="4EC272FA"/>
    <w:rsid w:val="4F0009EE"/>
    <w:rsid w:val="4F0A2110"/>
    <w:rsid w:val="4F2C212A"/>
    <w:rsid w:val="4F90486A"/>
    <w:rsid w:val="4FC212AC"/>
    <w:rsid w:val="4FC728A2"/>
    <w:rsid w:val="4FFC3A42"/>
    <w:rsid w:val="507E0FE9"/>
    <w:rsid w:val="50847247"/>
    <w:rsid w:val="50A069B5"/>
    <w:rsid w:val="50D26B5C"/>
    <w:rsid w:val="51025EB1"/>
    <w:rsid w:val="51593D56"/>
    <w:rsid w:val="517363A0"/>
    <w:rsid w:val="51776BB3"/>
    <w:rsid w:val="51C6204F"/>
    <w:rsid w:val="523A3433"/>
    <w:rsid w:val="529C2C7E"/>
    <w:rsid w:val="533A22C0"/>
    <w:rsid w:val="53556D44"/>
    <w:rsid w:val="53560721"/>
    <w:rsid w:val="537A2677"/>
    <w:rsid w:val="541303D5"/>
    <w:rsid w:val="54143E2C"/>
    <w:rsid w:val="543701B4"/>
    <w:rsid w:val="543809DD"/>
    <w:rsid w:val="54502028"/>
    <w:rsid w:val="54817A35"/>
    <w:rsid w:val="54A506C8"/>
    <w:rsid w:val="54DB0444"/>
    <w:rsid w:val="54EF217D"/>
    <w:rsid w:val="55E04146"/>
    <w:rsid w:val="55E45E4A"/>
    <w:rsid w:val="56531827"/>
    <w:rsid w:val="566D4B95"/>
    <w:rsid w:val="56F33A85"/>
    <w:rsid w:val="57005DA5"/>
    <w:rsid w:val="571B5F1F"/>
    <w:rsid w:val="572656D4"/>
    <w:rsid w:val="57313C7A"/>
    <w:rsid w:val="574C19F6"/>
    <w:rsid w:val="577859A4"/>
    <w:rsid w:val="578671EF"/>
    <w:rsid w:val="578D0B51"/>
    <w:rsid w:val="579D397B"/>
    <w:rsid w:val="57A674E7"/>
    <w:rsid w:val="58204A41"/>
    <w:rsid w:val="58572B42"/>
    <w:rsid w:val="59234CED"/>
    <w:rsid w:val="592C11C2"/>
    <w:rsid w:val="595233B1"/>
    <w:rsid w:val="598C712E"/>
    <w:rsid w:val="59AD06A4"/>
    <w:rsid w:val="59BD4088"/>
    <w:rsid w:val="59C76154"/>
    <w:rsid w:val="59D40EB9"/>
    <w:rsid w:val="5A366BCB"/>
    <w:rsid w:val="5A4D586D"/>
    <w:rsid w:val="5A6249B0"/>
    <w:rsid w:val="5A9E604B"/>
    <w:rsid w:val="5AD6029C"/>
    <w:rsid w:val="5AFA338F"/>
    <w:rsid w:val="5BA37CD6"/>
    <w:rsid w:val="5C131EE5"/>
    <w:rsid w:val="5C244B26"/>
    <w:rsid w:val="5C584744"/>
    <w:rsid w:val="5C995E78"/>
    <w:rsid w:val="5CF21778"/>
    <w:rsid w:val="5E665952"/>
    <w:rsid w:val="5EDD42F9"/>
    <w:rsid w:val="5EE84C68"/>
    <w:rsid w:val="5FA703FC"/>
    <w:rsid w:val="5FE56379"/>
    <w:rsid w:val="602463B0"/>
    <w:rsid w:val="6026592A"/>
    <w:rsid w:val="6091506D"/>
    <w:rsid w:val="60E07B05"/>
    <w:rsid w:val="611C2FBF"/>
    <w:rsid w:val="611F4954"/>
    <w:rsid w:val="61467567"/>
    <w:rsid w:val="617E39ED"/>
    <w:rsid w:val="61932504"/>
    <w:rsid w:val="61AD1E69"/>
    <w:rsid w:val="61F4087F"/>
    <w:rsid w:val="62002F4A"/>
    <w:rsid w:val="621D5BA4"/>
    <w:rsid w:val="6256701D"/>
    <w:rsid w:val="626B7D02"/>
    <w:rsid w:val="62C85520"/>
    <w:rsid w:val="62F852B9"/>
    <w:rsid w:val="63197EAF"/>
    <w:rsid w:val="635B6748"/>
    <w:rsid w:val="638E57A9"/>
    <w:rsid w:val="63947A95"/>
    <w:rsid w:val="639D5F0D"/>
    <w:rsid w:val="63E37DC4"/>
    <w:rsid w:val="64093676"/>
    <w:rsid w:val="640A4880"/>
    <w:rsid w:val="64220681"/>
    <w:rsid w:val="64CA620D"/>
    <w:rsid w:val="64D861CD"/>
    <w:rsid w:val="64DB7264"/>
    <w:rsid w:val="6563651B"/>
    <w:rsid w:val="6587055A"/>
    <w:rsid w:val="666F3C2D"/>
    <w:rsid w:val="669358D0"/>
    <w:rsid w:val="6721435E"/>
    <w:rsid w:val="672A39B3"/>
    <w:rsid w:val="678825A6"/>
    <w:rsid w:val="67955748"/>
    <w:rsid w:val="67B05ABC"/>
    <w:rsid w:val="67B167D1"/>
    <w:rsid w:val="67DB0789"/>
    <w:rsid w:val="67FE7192"/>
    <w:rsid w:val="681914A9"/>
    <w:rsid w:val="684C32DB"/>
    <w:rsid w:val="685D4F36"/>
    <w:rsid w:val="685F1C50"/>
    <w:rsid w:val="68646806"/>
    <w:rsid w:val="68AA7102"/>
    <w:rsid w:val="68C1444C"/>
    <w:rsid w:val="690D12D9"/>
    <w:rsid w:val="699022E9"/>
    <w:rsid w:val="69E25B62"/>
    <w:rsid w:val="69E317A7"/>
    <w:rsid w:val="6A1B38EE"/>
    <w:rsid w:val="6A4316AC"/>
    <w:rsid w:val="6A4D1A1F"/>
    <w:rsid w:val="6A69105A"/>
    <w:rsid w:val="6A714498"/>
    <w:rsid w:val="6B3B2E42"/>
    <w:rsid w:val="6B6C7187"/>
    <w:rsid w:val="6CC53843"/>
    <w:rsid w:val="6CCA3E19"/>
    <w:rsid w:val="6CDB1F80"/>
    <w:rsid w:val="6CEB3F4F"/>
    <w:rsid w:val="6CFD44DF"/>
    <w:rsid w:val="6D954EC9"/>
    <w:rsid w:val="6E7C4E33"/>
    <w:rsid w:val="6E880AEF"/>
    <w:rsid w:val="6F7D1903"/>
    <w:rsid w:val="6FA019E9"/>
    <w:rsid w:val="6FD90C53"/>
    <w:rsid w:val="6FF739FD"/>
    <w:rsid w:val="70284E6B"/>
    <w:rsid w:val="71230DD5"/>
    <w:rsid w:val="714C5892"/>
    <w:rsid w:val="718F71B4"/>
    <w:rsid w:val="71962695"/>
    <w:rsid w:val="71FE04BF"/>
    <w:rsid w:val="723A7CB1"/>
    <w:rsid w:val="727151E7"/>
    <w:rsid w:val="72D23BA6"/>
    <w:rsid w:val="72E2168C"/>
    <w:rsid w:val="738022F0"/>
    <w:rsid w:val="745919C6"/>
    <w:rsid w:val="74702A9A"/>
    <w:rsid w:val="74C046C2"/>
    <w:rsid w:val="751929F4"/>
    <w:rsid w:val="75412B9C"/>
    <w:rsid w:val="755D22E5"/>
    <w:rsid w:val="756C2BEA"/>
    <w:rsid w:val="75745308"/>
    <w:rsid w:val="75E76059"/>
    <w:rsid w:val="75FA76EF"/>
    <w:rsid w:val="761C2BBB"/>
    <w:rsid w:val="7620437E"/>
    <w:rsid w:val="76456711"/>
    <w:rsid w:val="764F12E9"/>
    <w:rsid w:val="7671701C"/>
    <w:rsid w:val="76C31F3F"/>
    <w:rsid w:val="76C77E2A"/>
    <w:rsid w:val="76F9017B"/>
    <w:rsid w:val="776A1DE8"/>
    <w:rsid w:val="77AA6501"/>
    <w:rsid w:val="77CB6175"/>
    <w:rsid w:val="77D86A06"/>
    <w:rsid w:val="780B4915"/>
    <w:rsid w:val="785D00CA"/>
    <w:rsid w:val="787417E9"/>
    <w:rsid w:val="78746DE5"/>
    <w:rsid w:val="78E16973"/>
    <w:rsid w:val="78E725A4"/>
    <w:rsid w:val="78FD21F4"/>
    <w:rsid w:val="794A5B32"/>
    <w:rsid w:val="794E4F7C"/>
    <w:rsid w:val="79646E59"/>
    <w:rsid w:val="7A730192"/>
    <w:rsid w:val="7A910122"/>
    <w:rsid w:val="7A9D0BD2"/>
    <w:rsid w:val="7B8356EC"/>
    <w:rsid w:val="7B8A5EC2"/>
    <w:rsid w:val="7BCB320B"/>
    <w:rsid w:val="7BD33A1D"/>
    <w:rsid w:val="7C80540C"/>
    <w:rsid w:val="7CDB1252"/>
    <w:rsid w:val="7CE17663"/>
    <w:rsid w:val="7D2A2168"/>
    <w:rsid w:val="7D3C42DB"/>
    <w:rsid w:val="7D5C6ADB"/>
    <w:rsid w:val="7D6E784A"/>
    <w:rsid w:val="7DA075A5"/>
    <w:rsid w:val="7DDD6CEA"/>
    <w:rsid w:val="7DED0920"/>
    <w:rsid w:val="7E3A10B9"/>
    <w:rsid w:val="7E551467"/>
    <w:rsid w:val="7E636E14"/>
    <w:rsid w:val="7F5B6EA1"/>
    <w:rsid w:val="7F8677A0"/>
    <w:rsid w:val="7F8D4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link w:val="57"/>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9">
    <w:name w:val="heading 5"/>
    <w:basedOn w:val="1"/>
    <w:next w:val="1"/>
    <w:qFormat/>
    <w:uiPriority w:val="9"/>
    <w:pPr>
      <w:keepNext/>
      <w:keepLines/>
      <w:spacing w:before="280" w:after="290" w:line="376" w:lineRule="auto"/>
      <w:outlineLvl w:val="4"/>
    </w:pPr>
    <w:rPr>
      <w:b/>
      <w:bCs/>
      <w:sz w:val="28"/>
      <w:szCs w:val="28"/>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99"/>
    <w:pPr>
      <w:spacing w:line="360" w:lineRule="exact"/>
    </w:pPr>
    <w:rPr>
      <w:sz w:val="24"/>
    </w:rPr>
  </w:style>
  <w:style w:type="paragraph" w:styleId="3">
    <w:name w:val="Body Text First Indent"/>
    <w:basedOn w:val="2"/>
    <w:next w:val="4"/>
    <w:link w:val="101"/>
    <w:qFormat/>
    <w:uiPriority w:val="99"/>
    <w:pPr>
      <w:ind w:firstLine="420"/>
    </w:pPr>
    <w:rPr>
      <w:sz w:val="21"/>
    </w:rPr>
  </w:style>
  <w:style w:type="paragraph" w:styleId="4">
    <w:name w:val="toc 6"/>
    <w:basedOn w:val="1"/>
    <w:next w:val="1"/>
    <w:qFormat/>
    <w:uiPriority w:val="39"/>
    <w:pPr>
      <w:ind w:left="1050"/>
      <w:jc w:val="left"/>
    </w:pPr>
    <w:rPr>
      <w:rFonts w:asciiTheme="minorHAnsi" w:hAnsiTheme="minorHAnsi" w:cstheme="minorHAnsi"/>
      <w:sz w:val="18"/>
      <w:szCs w:val="18"/>
    </w:rPr>
  </w:style>
  <w:style w:type="paragraph" w:styleId="10">
    <w:name w:val="toc 7"/>
    <w:basedOn w:val="1"/>
    <w:next w:val="1"/>
    <w:qFormat/>
    <w:uiPriority w:val="0"/>
    <w:pPr>
      <w:ind w:left="1260"/>
      <w:jc w:val="left"/>
    </w:pPr>
    <w:rPr>
      <w:rFonts w:asciiTheme="minorHAnsi" w:hAnsiTheme="minorHAnsi" w:cstheme="minorHAnsi"/>
      <w:sz w:val="18"/>
      <w:szCs w:val="18"/>
    </w:rPr>
  </w:style>
  <w:style w:type="paragraph" w:styleId="11">
    <w:name w:val="List Number"/>
    <w:basedOn w:val="1"/>
    <w:qFormat/>
    <w:uiPriority w:val="0"/>
    <w:pPr>
      <w:numPr>
        <w:ilvl w:val="0"/>
        <w:numId w:val="1"/>
      </w:numPr>
    </w:pPr>
  </w:style>
  <w:style w:type="paragraph" w:styleId="12">
    <w:name w:val="Normal Indent"/>
    <w:basedOn w:val="1"/>
    <w:next w:val="13"/>
    <w:qFormat/>
    <w:uiPriority w:val="0"/>
    <w:pPr>
      <w:ind w:firstLine="420"/>
    </w:pPr>
    <w:rPr>
      <w:szCs w:val="20"/>
    </w:rPr>
  </w:style>
  <w:style w:type="paragraph" w:styleId="13">
    <w:name w:val="Body Text Indent"/>
    <w:basedOn w:val="1"/>
    <w:next w:val="1"/>
    <w:link w:val="59"/>
    <w:qFormat/>
    <w:uiPriority w:val="0"/>
    <w:pPr>
      <w:spacing w:after="120"/>
      <w:ind w:left="420" w:leftChars="200"/>
    </w:pPr>
  </w:style>
  <w:style w:type="paragraph" w:styleId="14">
    <w:name w:val="annotation text"/>
    <w:basedOn w:val="1"/>
    <w:link w:val="52"/>
    <w:qFormat/>
    <w:uiPriority w:val="0"/>
    <w:pPr>
      <w:jc w:val="left"/>
    </w:p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toc 5"/>
    <w:basedOn w:val="1"/>
    <w:next w:val="1"/>
    <w:qFormat/>
    <w:uiPriority w:val="0"/>
    <w:pPr>
      <w:ind w:left="840"/>
      <w:jc w:val="left"/>
    </w:pPr>
    <w:rPr>
      <w:rFonts w:asciiTheme="minorHAnsi" w:hAnsiTheme="minorHAnsi" w:cstheme="minorHAnsi"/>
      <w:sz w:val="18"/>
      <w:szCs w:val="18"/>
    </w:rPr>
  </w:style>
  <w:style w:type="paragraph" w:styleId="17">
    <w:name w:val="toc 3"/>
    <w:basedOn w:val="1"/>
    <w:next w:val="1"/>
    <w:qFormat/>
    <w:uiPriority w:val="39"/>
    <w:pPr>
      <w:ind w:left="420"/>
      <w:jc w:val="left"/>
    </w:pPr>
    <w:rPr>
      <w:rFonts w:asciiTheme="minorHAnsi" w:hAnsiTheme="minorHAnsi" w:cstheme="minorHAnsi"/>
      <w:i/>
      <w:iCs/>
      <w:sz w:val="20"/>
      <w:szCs w:val="20"/>
    </w:rPr>
  </w:style>
  <w:style w:type="paragraph" w:styleId="18">
    <w:name w:val="Plain Text"/>
    <w:basedOn w:val="1"/>
    <w:next w:val="19"/>
    <w:link w:val="46"/>
    <w:qFormat/>
    <w:uiPriority w:val="0"/>
    <w:rPr>
      <w:rFonts w:ascii="宋体" w:hAnsi="Courier New"/>
    </w:rPr>
  </w:style>
  <w:style w:type="paragraph" w:styleId="19">
    <w:name w:val="toc 2"/>
    <w:basedOn w:val="1"/>
    <w:next w:val="1"/>
    <w:qFormat/>
    <w:uiPriority w:val="39"/>
    <w:pPr>
      <w:ind w:left="210"/>
      <w:jc w:val="left"/>
    </w:pPr>
    <w:rPr>
      <w:rFonts w:asciiTheme="minorHAnsi" w:hAnsiTheme="minorHAnsi" w:cstheme="minorHAnsi"/>
      <w:smallCaps/>
      <w:sz w:val="20"/>
      <w:szCs w:val="20"/>
    </w:rPr>
  </w:style>
  <w:style w:type="paragraph" w:styleId="20">
    <w:name w:val="toc 8"/>
    <w:basedOn w:val="1"/>
    <w:next w:val="1"/>
    <w:qFormat/>
    <w:uiPriority w:val="0"/>
    <w:pPr>
      <w:ind w:left="1470"/>
      <w:jc w:val="left"/>
    </w:pPr>
    <w:rPr>
      <w:rFonts w:asciiTheme="minorHAnsi" w:hAnsiTheme="minorHAnsi" w:cstheme="minorHAnsi"/>
      <w:sz w:val="18"/>
      <w:szCs w:val="18"/>
    </w:rPr>
  </w:style>
  <w:style w:type="paragraph" w:styleId="21">
    <w:name w:val="Date"/>
    <w:basedOn w:val="1"/>
    <w:next w:val="1"/>
    <w:link w:val="58"/>
    <w:qFormat/>
    <w:uiPriority w:val="0"/>
    <w:pPr>
      <w:ind w:left="2500" w:leftChars="2500"/>
    </w:pPr>
    <w:rPr>
      <w:rFonts w:ascii="Calibri" w:hAnsi="Calibri" w:eastAsia="楷体_GB2312"/>
      <w:sz w:val="32"/>
      <w:szCs w:val="22"/>
    </w:rPr>
  </w:style>
  <w:style w:type="paragraph" w:styleId="22">
    <w:name w:val="Balloon Text"/>
    <w:basedOn w:val="1"/>
    <w:link w:val="47"/>
    <w:qFormat/>
    <w:uiPriority w:val="0"/>
    <w:rPr>
      <w:sz w:val="18"/>
      <w:szCs w:val="18"/>
    </w:rPr>
  </w:style>
  <w:style w:type="paragraph" w:styleId="23">
    <w:name w:val="footer"/>
    <w:basedOn w:val="1"/>
    <w:link w:val="48"/>
    <w:qFormat/>
    <w:uiPriority w:val="0"/>
    <w:pPr>
      <w:tabs>
        <w:tab w:val="center" w:pos="4153"/>
        <w:tab w:val="right" w:pos="8306"/>
      </w:tabs>
      <w:snapToGrid w:val="0"/>
      <w:jc w:val="left"/>
    </w:pPr>
    <w:rPr>
      <w:sz w:val="18"/>
    </w:rPr>
  </w:style>
  <w:style w:type="paragraph" w:styleId="24">
    <w:name w:val="header"/>
    <w:basedOn w:val="1"/>
    <w:link w:val="5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6">
    <w:name w:val="toc 4"/>
    <w:basedOn w:val="1"/>
    <w:next w:val="1"/>
    <w:qFormat/>
    <w:uiPriority w:val="0"/>
    <w:pPr>
      <w:ind w:left="630"/>
      <w:jc w:val="left"/>
    </w:pPr>
    <w:rPr>
      <w:rFonts w:asciiTheme="minorHAnsi" w:hAnsiTheme="minorHAnsi" w:cstheme="minorHAnsi"/>
      <w:sz w:val="18"/>
      <w:szCs w:val="18"/>
    </w:rPr>
  </w:style>
  <w:style w:type="paragraph" w:styleId="27">
    <w:name w:val="List"/>
    <w:basedOn w:val="1"/>
    <w:qFormat/>
    <w:uiPriority w:val="0"/>
    <w:pPr>
      <w:ind w:left="200" w:hanging="200" w:hangingChars="200"/>
    </w:pPr>
  </w:style>
  <w:style w:type="paragraph" w:styleId="28">
    <w:name w:val="footnote text"/>
    <w:basedOn w:val="1"/>
    <w:semiHidden/>
    <w:unhideWhenUsed/>
    <w:qFormat/>
    <w:uiPriority w:val="99"/>
    <w:pPr>
      <w:snapToGrid w:val="0"/>
      <w:jc w:val="left"/>
    </w:pPr>
    <w:rPr>
      <w:sz w:val="18"/>
    </w:rPr>
  </w:style>
  <w:style w:type="paragraph" w:styleId="29">
    <w:name w:val="Body Text Indent 3"/>
    <w:basedOn w:val="1"/>
    <w:semiHidden/>
    <w:unhideWhenUsed/>
    <w:qFormat/>
    <w:uiPriority w:val="99"/>
    <w:pPr>
      <w:spacing w:after="120"/>
      <w:ind w:left="420" w:leftChars="200"/>
    </w:pPr>
    <w:rPr>
      <w:sz w:val="16"/>
      <w:szCs w:val="16"/>
    </w:rPr>
  </w:style>
  <w:style w:type="paragraph" w:styleId="30">
    <w:name w:val="toc 9"/>
    <w:basedOn w:val="1"/>
    <w:next w:val="1"/>
    <w:qFormat/>
    <w:uiPriority w:val="0"/>
    <w:pPr>
      <w:ind w:left="1680"/>
      <w:jc w:val="left"/>
    </w:pPr>
    <w:rPr>
      <w:rFonts w:asciiTheme="minorHAnsi" w:hAnsiTheme="minorHAnsi" w:cstheme="minorHAnsi"/>
      <w:sz w:val="18"/>
      <w:szCs w:val="18"/>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33">
    <w:name w:val="annotation subject"/>
    <w:basedOn w:val="14"/>
    <w:next w:val="14"/>
    <w:link w:val="51"/>
    <w:qFormat/>
    <w:uiPriority w:val="0"/>
    <w:rPr>
      <w:b/>
      <w:bCs/>
    </w:rPr>
  </w:style>
  <w:style w:type="paragraph" w:styleId="34">
    <w:name w:val="Body Text First Indent 2"/>
    <w:basedOn w:val="13"/>
    <w:next w:val="1"/>
    <w:qFormat/>
    <w:uiPriority w:val="0"/>
    <w:pPr>
      <w:ind w:firstLine="420"/>
    </w:pPr>
  </w:style>
  <w:style w:type="table" w:styleId="36">
    <w:name w:val="Table Grid"/>
    <w:basedOn w:val="3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rFonts w:ascii="Times New Roman" w:hAnsi="Times New Roman" w:eastAsia="宋体" w:cs="Times New Roman"/>
      <w:b/>
    </w:rPr>
  </w:style>
  <w:style w:type="character" w:styleId="39">
    <w:name w:val="page number"/>
    <w:basedOn w:val="37"/>
    <w:qFormat/>
    <w:uiPriority w:val="0"/>
  </w:style>
  <w:style w:type="character" w:styleId="40">
    <w:name w:val="FollowedHyperlink"/>
    <w:basedOn w:val="37"/>
    <w:unhideWhenUsed/>
    <w:qFormat/>
    <w:uiPriority w:val="99"/>
    <w:rPr>
      <w:color w:val="954F72"/>
      <w:u w:val="single"/>
    </w:rPr>
  </w:style>
  <w:style w:type="character" w:styleId="41">
    <w:name w:val="Hyperlink"/>
    <w:basedOn w:val="37"/>
    <w:qFormat/>
    <w:uiPriority w:val="99"/>
    <w:rPr>
      <w:rFonts w:ascii="Times New Roman" w:hAnsi="Times New Roman" w:eastAsia="宋体" w:cs="Times New Roman"/>
      <w:color w:val="0000FF"/>
      <w:u w:val="single"/>
    </w:rPr>
  </w:style>
  <w:style w:type="character" w:styleId="42">
    <w:name w:val="annotation reference"/>
    <w:basedOn w:val="37"/>
    <w:qFormat/>
    <w:uiPriority w:val="0"/>
    <w:rPr>
      <w:rFonts w:ascii="Times New Roman" w:hAnsi="Times New Roman" w:eastAsia="宋体" w:cs="Times New Roman"/>
      <w:sz w:val="21"/>
      <w:szCs w:val="21"/>
    </w:rPr>
  </w:style>
  <w:style w:type="character" w:styleId="43">
    <w:name w:val="footnote reference"/>
    <w:basedOn w:val="37"/>
    <w:semiHidden/>
    <w:unhideWhenUsed/>
    <w:qFormat/>
    <w:uiPriority w:val="99"/>
    <w:rPr>
      <w:vertAlign w:val="superscript"/>
    </w:rPr>
  </w:style>
  <w:style w:type="paragraph" w:customStyle="1" w:styleId="44">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5">
    <w:name w:val="标题 1 Char"/>
    <w:basedOn w:val="37"/>
    <w:link w:val="5"/>
    <w:qFormat/>
    <w:uiPriority w:val="0"/>
    <w:rPr>
      <w:rFonts w:ascii="Times New Roman" w:hAnsi="Times New Roman" w:eastAsia="宋体" w:cs="Times New Roman"/>
      <w:b/>
      <w:bCs/>
      <w:kern w:val="44"/>
      <w:sz w:val="44"/>
      <w:szCs w:val="44"/>
    </w:rPr>
  </w:style>
  <w:style w:type="character" w:customStyle="1" w:styleId="46">
    <w:name w:val="纯文本 Char"/>
    <w:basedOn w:val="37"/>
    <w:link w:val="18"/>
    <w:qFormat/>
    <w:uiPriority w:val="0"/>
    <w:rPr>
      <w:rFonts w:ascii="宋体" w:hAnsi="Courier New" w:eastAsia="宋体" w:cs="Courier New"/>
      <w:sz w:val="21"/>
      <w:szCs w:val="21"/>
    </w:rPr>
  </w:style>
  <w:style w:type="character" w:customStyle="1" w:styleId="47">
    <w:name w:val="批注框文本 Char"/>
    <w:basedOn w:val="37"/>
    <w:link w:val="22"/>
    <w:qFormat/>
    <w:uiPriority w:val="0"/>
    <w:rPr>
      <w:rFonts w:ascii="Times New Roman" w:hAnsi="Times New Roman" w:eastAsia="宋体" w:cs="Times New Roman"/>
      <w:kern w:val="2"/>
      <w:sz w:val="18"/>
      <w:szCs w:val="18"/>
    </w:rPr>
  </w:style>
  <w:style w:type="character" w:customStyle="1" w:styleId="48">
    <w:name w:val="页脚 Char"/>
    <w:basedOn w:val="37"/>
    <w:link w:val="23"/>
    <w:qFormat/>
    <w:uiPriority w:val="0"/>
    <w:rPr>
      <w:rFonts w:ascii="Times New Roman" w:hAnsi="Times New Roman" w:eastAsia="宋体" w:cs="Times New Roman"/>
      <w:sz w:val="18"/>
      <w:szCs w:val="18"/>
    </w:rPr>
  </w:style>
  <w:style w:type="character" w:customStyle="1" w:styleId="49">
    <w:name w:val="标题 2 Char"/>
    <w:basedOn w:val="37"/>
    <w:link w:val="6"/>
    <w:qFormat/>
    <w:uiPriority w:val="0"/>
    <w:rPr>
      <w:rFonts w:ascii="Cambria" w:hAnsi="Cambria" w:eastAsia="宋体" w:cs="Times New Roman"/>
      <w:b/>
      <w:bCs/>
      <w:sz w:val="32"/>
      <w:szCs w:val="32"/>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批注主题 Char"/>
    <w:basedOn w:val="52"/>
    <w:link w:val="33"/>
    <w:qFormat/>
    <w:uiPriority w:val="0"/>
    <w:rPr>
      <w:rFonts w:ascii="Times New Roman" w:hAnsi="Times New Roman" w:eastAsia="宋体" w:cs="Times New Roman"/>
      <w:b/>
      <w:bCs/>
      <w:kern w:val="2"/>
      <w:sz w:val="24"/>
      <w:szCs w:val="24"/>
    </w:rPr>
  </w:style>
  <w:style w:type="character" w:customStyle="1" w:styleId="52">
    <w:name w:val="批注文字 Char"/>
    <w:basedOn w:val="37"/>
    <w:link w:val="14"/>
    <w:qFormat/>
    <w:uiPriority w:val="0"/>
    <w:rPr>
      <w:rFonts w:ascii="Times New Roman" w:hAnsi="Times New Roman" w:eastAsia="宋体" w:cs="Times New Roman"/>
      <w:kern w:val="2"/>
      <w:sz w:val="24"/>
      <w:szCs w:val="24"/>
    </w:rPr>
  </w:style>
  <w:style w:type="character" w:customStyle="1" w:styleId="53">
    <w:name w:val="font11"/>
    <w:basedOn w:val="37"/>
    <w:qFormat/>
    <w:uiPriority w:val="0"/>
    <w:rPr>
      <w:rFonts w:hint="default" w:ascii="Times New Roman" w:hAnsi="Times New Roman" w:eastAsia="宋体" w:cs="Times New Roman"/>
      <w:color w:val="000000"/>
      <w:sz w:val="24"/>
      <w:szCs w:val="24"/>
      <w:u w:val="none"/>
    </w:rPr>
  </w:style>
  <w:style w:type="character" w:customStyle="1" w:styleId="54">
    <w:name w:val="正文文本 Char"/>
    <w:basedOn w:val="37"/>
    <w:link w:val="2"/>
    <w:qFormat/>
    <w:uiPriority w:val="99"/>
    <w:rPr>
      <w:rFonts w:ascii="Times New Roman" w:hAnsi="Times New Roman" w:eastAsia="宋体" w:cs="Times New Roman"/>
      <w:sz w:val="24"/>
      <w:szCs w:val="24"/>
    </w:rPr>
  </w:style>
  <w:style w:type="character" w:customStyle="1" w:styleId="55">
    <w:name w:val="页眉 Char"/>
    <w:basedOn w:val="37"/>
    <w:link w:val="24"/>
    <w:qFormat/>
    <w:uiPriority w:val="0"/>
    <w:rPr>
      <w:rFonts w:ascii="Times New Roman" w:hAnsi="Times New Roman" w:eastAsia="宋体" w:cs="Times New Roman"/>
      <w:sz w:val="18"/>
      <w:szCs w:val="18"/>
    </w:rPr>
  </w:style>
  <w:style w:type="character" w:customStyle="1" w:styleId="56">
    <w:name w:val="font31"/>
    <w:qFormat/>
    <w:uiPriority w:val="0"/>
    <w:rPr>
      <w:rFonts w:hint="eastAsia" w:ascii="宋体" w:hAnsi="宋体" w:eastAsia="宋体" w:cs="宋体"/>
      <w:color w:val="000000"/>
      <w:sz w:val="24"/>
      <w:szCs w:val="24"/>
      <w:u w:val="none"/>
    </w:rPr>
  </w:style>
  <w:style w:type="character" w:customStyle="1" w:styleId="57">
    <w:name w:val="标题 3 Char"/>
    <w:basedOn w:val="37"/>
    <w:link w:val="7"/>
    <w:qFormat/>
    <w:uiPriority w:val="0"/>
    <w:rPr>
      <w:rFonts w:ascii="Times New Roman" w:hAnsi="Times New Roman" w:eastAsia="宋体" w:cs="Times New Roman"/>
      <w:b/>
      <w:bCs/>
      <w:sz w:val="32"/>
      <w:szCs w:val="32"/>
    </w:rPr>
  </w:style>
  <w:style w:type="character" w:customStyle="1" w:styleId="58">
    <w:name w:val="日期 Char"/>
    <w:basedOn w:val="37"/>
    <w:link w:val="21"/>
    <w:qFormat/>
    <w:uiPriority w:val="0"/>
    <w:rPr>
      <w:rFonts w:ascii="Times New Roman" w:hAnsi="Times New Roman" w:eastAsia="宋体" w:cs="Times New Roman"/>
      <w:sz w:val="24"/>
      <w:szCs w:val="24"/>
    </w:rPr>
  </w:style>
  <w:style w:type="character" w:customStyle="1" w:styleId="59">
    <w:name w:val="正文文本缩进 Char"/>
    <w:basedOn w:val="37"/>
    <w:link w:val="13"/>
    <w:qFormat/>
    <w:uiPriority w:val="0"/>
    <w:rPr>
      <w:rFonts w:ascii="Times New Roman" w:hAnsi="Times New Roman" w:eastAsia="宋体" w:cs="Times New Roman"/>
      <w:kern w:val="2"/>
      <w:sz w:val="24"/>
      <w:szCs w:val="24"/>
    </w:rPr>
  </w:style>
  <w:style w:type="paragraph" w:customStyle="1" w:styleId="60">
    <w:name w:val="纯文本_3"/>
    <w:basedOn w:val="61"/>
    <w:qFormat/>
    <w:uiPriority w:val="0"/>
    <w:pPr>
      <w:widowControl/>
      <w:jc w:val="left"/>
    </w:pPr>
    <w:rPr>
      <w:rFonts w:ascii="宋体" w:hAnsi="Courier New"/>
      <w:szCs w:val="21"/>
    </w:rPr>
  </w:style>
  <w:style w:type="paragraph" w:customStyle="1" w:styleId="6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纯文本_0_1"/>
    <w:basedOn w:val="1"/>
    <w:qFormat/>
    <w:uiPriority w:val="0"/>
    <w:pPr>
      <w:widowControl/>
      <w:jc w:val="left"/>
    </w:pPr>
    <w:rPr>
      <w:rFonts w:ascii="宋体" w:hAnsi="Courier New"/>
      <w:szCs w:val="21"/>
    </w:rPr>
  </w:style>
  <w:style w:type="paragraph" w:customStyle="1" w:styleId="6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5">
    <w:name w:val="表格文字"/>
    <w:basedOn w:val="1"/>
    <w:next w:val="2"/>
    <w:qFormat/>
    <w:uiPriority w:val="0"/>
    <w:pPr>
      <w:adjustRightInd w:val="0"/>
      <w:spacing w:line="420" w:lineRule="atLeast"/>
      <w:jc w:val="left"/>
      <w:textAlignment w:val="baseline"/>
    </w:pPr>
    <w:rPr>
      <w:kern w:val="0"/>
    </w:rPr>
  </w:style>
  <w:style w:type="paragraph" w:customStyle="1" w:styleId="6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70">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71">
    <w:name w:val="正文（首行缩进2字符）"/>
    <w:basedOn w:val="1"/>
    <w:qFormat/>
    <w:uiPriority w:val="0"/>
    <w:pPr>
      <w:spacing w:line="360" w:lineRule="auto"/>
      <w:ind w:firstLine="420" w:firstLineChars="200"/>
    </w:pPr>
    <w:rPr>
      <w:szCs w:val="21"/>
    </w:rPr>
  </w:style>
  <w:style w:type="paragraph" w:customStyle="1" w:styleId="72">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4"/>
    <w:qFormat/>
    <w:uiPriority w:val="0"/>
    <w:rPr>
      <w:rFonts w:ascii="Times New Roman" w:hAnsi="Times New Roman" w:eastAsia="宋体" w:cs="Times New Roman"/>
      <w:sz w:val="21"/>
      <w:szCs w:val="22"/>
      <w:lang w:val="en-US" w:eastAsia="zh-CN" w:bidi="ar-SA"/>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列出段落1"/>
    <w:basedOn w:val="1"/>
    <w:qFormat/>
    <w:uiPriority w:val="0"/>
    <w:pPr>
      <w:ind w:firstLine="420" w:firstLineChars="200"/>
    </w:pPr>
    <w:rPr>
      <w:rFonts w:ascii="Calibri" w:hAnsi="Calibri"/>
      <w:kern w:val="0"/>
      <w:szCs w:val="20"/>
    </w:rPr>
  </w:style>
  <w:style w:type="paragraph" w:customStyle="1" w:styleId="79">
    <w:name w:val="正文2"/>
    <w:basedOn w:val="1"/>
    <w:qFormat/>
    <w:uiPriority w:val="0"/>
    <w:pPr>
      <w:spacing w:before="156" w:line="360" w:lineRule="auto"/>
      <w:ind w:firstLine="510" w:firstLineChars="200"/>
    </w:pPr>
    <w:rPr>
      <w:sz w:val="24"/>
      <w:szCs w:val="20"/>
    </w:rPr>
  </w:style>
  <w:style w:type="paragraph" w:customStyle="1" w:styleId="80">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81">
    <w:name w:val="列出段落2"/>
    <w:basedOn w:val="1"/>
    <w:qFormat/>
    <w:uiPriority w:val="0"/>
    <w:pPr>
      <w:ind w:firstLine="420" w:firstLineChars="200"/>
    </w:pPr>
    <w:rPr>
      <w:rFonts w:ascii="Calibri" w:hAnsi="Calibri"/>
      <w:szCs w:val="22"/>
    </w:rPr>
  </w:style>
  <w:style w:type="character" w:customStyle="1" w:styleId="82">
    <w:name w:val="font61"/>
    <w:basedOn w:val="37"/>
    <w:qFormat/>
    <w:uiPriority w:val="0"/>
    <w:rPr>
      <w:rFonts w:hint="default" w:ascii="Times New Roman" w:hAnsi="Times New Roman" w:cs="Times New Roman"/>
      <w:b/>
      <w:color w:val="000000"/>
      <w:sz w:val="21"/>
      <w:szCs w:val="21"/>
      <w:u w:val="none"/>
    </w:rPr>
  </w:style>
  <w:style w:type="character" w:customStyle="1" w:styleId="83">
    <w:name w:val="font112"/>
    <w:basedOn w:val="37"/>
    <w:qFormat/>
    <w:uiPriority w:val="0"/>
    <w:rPr>
      <w:rFonts w:hint="eastAsia" w:ascii="宋体" w:hAnsi="宋体" w:eastAsia="宋体" w:cs="宋体"/>
      <w:b/>
      <w:color w:val="000000"/>
      <w:sz w:val="21"/>
      <w:szCs w:val="21"/>
      <w:u w:val="none"/>
    </w:rPr>
  </w:style>
  <w:style w:type="character" w:customStyle="1" w:styleId="84">
    <w:name w:val="font41"/>
    <w:basedOn w:val="37"/>
    <w:qFormat/>
    <w:uiPriority w:val="0"/>
    <w:rPr>
      <w:rFonts w:hint="default" w:ascii="Times New Roman" w:hAnsi="Times New Roman" w:cs="Times New Roman"/>
      <w:b/>
      <w:color w:val="000000"/>
      <w:sz w:val="21"/>
      <w:szCs w:val="21"/>
      <w:u w:val="none"/>
    </w:rPr>
  </w:style>
  <w:style w:type="character" w:customStyle="1" w:styleId="85">
    <w:name w:val="font101"/>
    <w:basedOn w:val="37"/>
    <w:qFormat/>
    <w:uiPriority w:val="0"/>
    <w:rPr>
      <w:rFonts w:hint="default" w:ascii="Times New Roman" w:hAnsi="Times New Roman" w:cs="Times New Roman"/>
      <w:b/>
      <w:color w:val="000000"/>
      <w:sz w:val="18"/>
      <w:szCs w:val="18"/>
      <w:u w:val="none"/>
    </w:rPr>
  </w:style>
  <w:style w:type="character" w:customStyle="1" w:styleId="86">
    <w:name w:val="font81"/>
    <w:basedOn w:val="37"/>
    <w:qFormat/>
    <w:uiPriority w:val="0"/>
    <w:rPr>
      <w:rFonts w:hint="default" w:ascii="Times New Roman" w:hAnsi="Times New Roman" w:cs="Times New Roman"/>
      <w:b/>
      <w:color w:val="FF0000"/>
      <w:sz w:val="21"/>
      <w:szCs w:val="21"/>
      <w:u w:val="none"/>
    </w:rPr>
  </w:style>
  <w:style w:type="character" w:customStyle="1" w:styleId="87">
    <w:name w:val="font141"/>
    <w:basedOn w:val="37"/>
    <w:qFormat/>
    <w:uiPriority w:val="0"/>
    <w:rPr>
      <w:rFonts w:hint="eastAsia" w:ascii="宋体" w:hAnsi="宋体" w:eastAsia="宋体" w:cs="宋体"/>
      <w:b/>
      <w:color w:val="FF0000"/>
      <w:sz w:val="21"/>
      <w:szCs w:val="21"/>
      <w:u w:val="none"/>
    </w:rPr>
  </w:style>
  <w:style w:type="character" w:customStyle="1" w:styleId="88">
    <w:name w:val="font151"/>
    <w:basedOn w:val="37"/>
    <w:qFormat/>
    <w:uiPriority w:val="0"/>
    <w:rPr>
      <w:rFonts w:hint="default" w:ascii="Times New Roman" w:hAnsi="Times New Roman" w:cs="Times New Roman"/>
      <w:b/>
      <w:color w:val="000000"/>
      <w:sz w:val="21"/>
      <w:szCs w:val="21"/>
      <w:u w:val="none"/>
    </w:rPr>
  </w:style>
  <w:style w:type="character" w:customStyle="1" w:styleId="89">
    <w:name w:val="font21"/>
    <w:basedOn w:val="37"/>
    <w:qFormat/>
    <w:uiPriority w:val="0"/>
    <w:rPr>
      <w:rFonts w:hint="eastAsia" w:ascii="宋体" w:hAnsi="宋体" w:eastAsia="宋体" w:cs="宋体"/>
      <w:b/>
      <w:color w:val="FF0000"/>
      <w:sz w:val="24"/>
      <w:szCs w:val="24"/>
      <w:u w:val="none"/>
    </w:rPr>
  </w:style>
  <w:style w:type="paragraph" w:customStyle="1" w:styleId="90">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91">
    <w:name w:val="表格1"/>
    <w:qFormat/>
    <w:uiPriority w:val="0"/>
    <w:pPr>
      <w:spacing w:line="360" w:lineRule="auto"/>
    </w:pPr>
    <w:rPr>
      <w:rFonts w:ascii="Times New Roman" w:hAnsi="Times New Roman" w:eastAsia="仿宋" w:cs="Times New Roman"/>
      <w:kern w:val="2"/>
      <w:sz w:val="28"/>
      <w:lang w:val="en-US" w:eastAsia="zh-CN" w:bidi="ar-SA"/>
    </w:rPr>
  </w:style>
  <w:style w:type="paragraph" w:styleId="92">
    <w:name w:val="List Paragraph"/>
    <w:basedOn w:val="1"/>
    <w:link w:val="181"/>
    <w:qFormat/>
    <w:uiPriority w:val="34"/>
    <w:pPr>
      <w:ind w:firstLine="420" w:firstLineChars="200"/>
    </w:pPr>
  </w:style>
  <w:style w:type="paragraph" w:customStyle="1" w:styleId="93">
    <w:name w:val="样式 标题 31.1.1标题 333rd levelBOD 0Bold HeadCTH3H31Heading ...1"/>
    <w:basedOn w:val="7"/>
    <w:qFormat/>
    <w:uiPriority w:val="0"/>
    <w:pPr>
      <w:spacing w:before="0" w:after="0" w:line="360" w:lineRule="auto"/>
    </w:pPr>
    <w:rPr>
      <w:rFonts w:ascii="仿宋_GB2312" w:eastAsia="仿宋_GB2312"/>
      <w:sz w:val="24"/>
      <w:szCs w:val="20"/>
    </w:rPr>
  </w:style>
  <w:style w:type="paragraph" w:customStyle="1" w:styleId="94">
    <w:name w:val="*正文"/>
    <w:basedOn w:val="1"/>
    <w:qFormat/>
    <w:uiPriority w:val="0"/>
    <w:pPr>
      <w:spacing w:line="300" w:lineRule="auto"/>
      <w:ind w:firstLine="480" w:firstLineChars="200"/>
    </w:pPr>
  </w:style>
  <w:style w:type="paragraph" w:customStyle="1" w:styleId="9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9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97">
    <w:name w:val="网格型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00">
    <w:name w:val="NormalCharacter"/>
    <w:qFormat/>
    <w:uiPriority w:val="0"/>
    <w:rPr>
      <w:rFonts w:ascii="Calibri" w:hAnsi="Calibri"/>
      <w:kern w:val="2"/>
      <w:sz w:val="21"/>
      <w:szCs w:val="24"/>
      <w:lang w:val="en-US" w:eastAsia="zh-CN" w:bidi="ar-SA"/>
    </w:rPr>
  </w:style>
  <w:style w:type="character" w:customStyle="1" w:styleId="101">
    <w:name w:val="正文首行缩进 Char"/>
    <w:basedOn w:val="54"/>
    <w:link w:val="3"/>
    <w:qFormat/>
    <w:uiPriority w:val="99"/>
    <w:rPr>
      <w:rFonts w:ascii="Times New Roman" w:hAnsi="Times New Roman" w:eastAsia="宋体" w:cs="Times New Roman"/>
      <w:kern w:val="2"/>
      <w:sz w:val="21"/>
      <w:szCs w:val="24"/>
    </w:rPr>
  </w:style>
  <w:style w:type="paragraph" w:customStyle="1" w:styleId="10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font5"/>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04">
    <w:name w:val="font6"/>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5">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6">
    <w:name w:val="font8"/>
    <w:basedOn w:val="1"/>
    <w:qFormat/>
    <w:uiPriority w:val="0"/>
    <w:pPr>
      <w:widowControl/>
      <w:spacing w:before="100" w:beforeAutospacing="1" w:after="100" w:afterAutospacing="1"/>
      <w:jc w:val="left"/>
    </w:pPr>
    <w:rPr>
      <w:rFonts w:ascii="MS Gothic" w:hAnsi="MS Gothic" w:eastAsia="MS Gothic" w:cs="宋体"/>
      <w:kern w:val="0"/>
      <w:sz w:val="20"/>
      <w:szCs w:val="20"/>
    </w:rPr>
  </w:style>
  <w:style w:type="paragraph" w:customStyle="1" w:styleId="107">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font10"/>
    <w:basedOn w:val="1"/>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109">
    <w:name w:val="font12"/>
    <w:basedOn w:val="1"/>
    <w:qFormat/>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110">
    <w:name w:val="font13"/>
    <w:basedOn w:val="1"/>
    <w:qFormat/>
    <w:uiPriority w:val="0"/>
    <w:pPr>
      <w:widowControl/>
      <w:spacing w:before="100" w:beforeAutospacing="1" w:after="100" w:afterAutospacing="1"/>
      <w:jc w:val="left"/>
    </w:pPr>
    <w:rPr>
      <w:rFonts w:ascii="Malgun Gothic" w:hAnsi="Malgun Gothic" w:eastAsia="Malgun Gothic" w:cs="宋体"/>
      <w:color w:val="000000"/>
      <w:kern w:val="0"/>
      <w:sz w:val="18"/>
      <w:szCs w:val="18"/>
    </w:rPr>
  </w:style>
  <w:style w:type="paragraph" w:customStyle="1" w:styleId="111">
    <w:name w:val="font14"/>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12">
    <w:name w:val="font15"/>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113">
    <w:name w:val="font16"/>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14">
    <w:name w:val="font17"/>
    <w:basedOn w:val="1"/>
    <w:qFormat/>
    <w:uiPriority w:val="0"/>
    <w:pPr>
      <w:widowControl/>
      <w:spacing w:before="100" w:beforeAutospacing="1" w:after="100" w:afterAutospacing="1"/>
      <w:jc w:val="left"/>
    </w:pPr>
    <w:rPr>
      <w:rFonts w:ascii="仿宋" w:hAnsi="仿宋" w:eastAsia="仿宋" w:cs="宋体"/>
      <w:b/>
      <w:bCs/>
      <w:kern w:val="0"/>
      <w:sz w:val="24"/>
      <w:u w:val="single"/>
    </w:rPr>
  </w:style>
  <w:style w:type="paragraph" w:customStyle="1" w:styleId="115">
    <w:name w:val="xl89"/>
    <w:basedOn w:val="1"/>
    <w:qFormat/>
    <w:uiPriority w:val="0"/>
    <w:pPr>
      <w:widowControl/>
      <w:spacing w:before="100" w:beforeAutospacing="1" w:after="100" w:afterAutospacing="1"/>
      <w:jc w:val="left"/>
      <w:textAlignment w:val="center"/>
    </w:pPr>
    <w:rPr>
      <w:rFonts w:ascii="仿宋" w:hAnsi="仿宋" w:eastAsia="仿宋" w:cs="宋体"/>
      <w:kern w:val="0"/>
      <w:sz w:val="20"/>
      <w:szCs w:val="20"/>
    </w:rPr>
  </w:style>
  <w:style w:type="paragraph" w:customStyle="1" w:styleId="11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18"/>
      <w:szCs w:val="18"/>
    </w:rPr>
  </w:style>
  <w:style w:type="paragraph" w:customStyle="1" w:styleId="11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1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19">
    <w:name w:val="xl93"/>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20">
    <w:name w:val="xl94"/>
    <w:basedOn w:val="1"/>
    <w:qFormat/>
    <w:uiPriority w:val="0"/>
    <w:pPr>
      <w:widowControl/>
      <w:spacing w:before="100" w:beforeAutospacing="1" w:after="100" w:afterAutospacing="1"/>
      <w:jc w:val="left"/>
      <w:textAlignment w:val="center"/>
    </w:pPr>
    <w:rPr>
      <w:rFonts w:ascii="仿宋" w:hAnsi="仿宋" w:eastAsia="仿宋" w:cs="宋体"/>
      <w:kern w:val="0"/>
      <w:sz w:val="20"/>
      <w:szCs w:val="20"/>
    </w:rPr>
  </w:style>
  <w:style w:type="paragraph" w:customStyle="1" w:styleId="121">
    <w:name w:val="xl95"/>
    <w:basedOn w:val="1"/>
    <w:qFormat/>
    <w:uiPriority w:val="0"/>
    <w:pPr>
      <w:widowControl/>
      <w:spacing w:before="100" w:beforeAutospacing="1" w:after="100" w:afterAutospacing="1"/>
      <w:jc w:val="center"/>
      <w:textAlignment w:val="center"/>
    </w:pPr>
    <w:rPr>
      <w:rFonts w:ascii="仿宋" w:hAnsi="仿宋" w:eastAsia="仿宋" w:cs="宋体"/>
      <w:kern w:val="0"/>
      <w:sz w:val="24"/>
    </w:rPr>
  </w:style>
  <w:style w:type="paragraph" w:customStyle="1" w:styleId="122">
    <w:name w:val="xl96"/>
    <w:basedOn w:val="1"/>
    <w:qFormat/>
    <w:uiPriority w:val="0"/>
    <w:pPr>
      <w:widowControl/>
      <w:spacing w:before="100" w:beforeAutospacing="1" w:after="100" w:afterAutospacing="1"/>
      <w:jc w:val="left"/>
      <w:textAlignment w:val="center"/>
    </w:pPr>
    <w:rPr>
      <w:rFonts w:ascii="仿宋" w:hAnsi="仿宋" w:eastAsia="仿宋" w:cs="宋体"/>
      <w:kern w:val="0"/>
      <w:sz w:val="24"/>
    </w:rPr>
  </w:style>
  <w:style w:type="paragraph" w:customStyle="1" w:styleId="123">
    <w:name w:val="xl97"/>
    <w:basedOn w:val="1"/>
    <w:qFormat/>
    <w:uiPriority w:val="0"/>
    <w:pPr>
      <w:widowControl/>
      <w:spacing w:before="100" w:beforeAutospacing="1" w:after="100" w:afterAutospacing="1"/>
      <w:jc w:val="left"/>
      <w:textAlignment w:val="center"/>
    </w:pPr>
    <w:rPr>
      <w:rFonts w:ascii="仿宋" w:hAnsi="仿宋" w:eastAsia="仿宋" w:cs="宋体"/>
      <w:kern w:val="0"/>
      <w:sz w:val="24"/>
    </w:rPr>
  </w:style>
  <w:style w:type="paragraph" w:customStyle="1" w:styleId="12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2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2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2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1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2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18"/>
      <w:szCs w:val="18"/>
    </w:rPr>
  </w:style>
  <w:style w:type="paragraph" w:customStyle="1" w:styleId="13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18"/>
      <w:szCs w:val="18"/>
    </w:rPr>
  </w:style>
  <w:style w:type="paragraph" w:customStyle="1" w:styleId="13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3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5">
    <w:name w:val="xl10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3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3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39">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42">
    <w:name w:val="xl116"/>
    <w:basedOn w:val="1"/>
    <w:qFormat/>
    <w:uiPriority w:val="0"/>
    <w:pPr>
      <w:widowControl/>
      <w:spacing w:before="100" w:beforeAutospacing="1" w:after="100" w:afterAutospacing="1"/>
      <w:jc w:val="center"/>
      <w:textAlignment w:val="center"/>
    </w:pPr>
    <w:rPr>
      <w:rFonts w:ascii="仿宋" w:hAnsi="仿宋" w:eastAsia="仿宋" w:cs="宋体"/>
      <w:kern w:val="0"/>
      <w:sz w:val="20"/>
      <w:szCs w:val="20"/>
    </w:rPr>
  </w:style>
  <w:style w:type="paragraph" w:customStyle="1" w:styleId="14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44">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5">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6">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147">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4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49">
    <w:name w:val="xl12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2">
    <w:name w:val="xl126"/>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3">
    <w:name w:val="xl127"/>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4">
    <w:name w:val="xl128"/>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5">
    <w:name w:val="xl12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5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6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16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0"/>
      <w:szCs w:val="20"/>
    </w:rPr>
  </w:style>
  <w:style w:type="paragraph" w:customStyle="1" w:styleId="16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0"/>
      <w:szCs w:val="20"/>
    </w:rPr>
  </w:style>
  <w:style w:type="paragraph" w:customStyle="1" w:styleId="163">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64">
    <w:name w:val="xl138"/>
    <w:basedOn w:val="1"/>
    <w:qFormat/>
    <w:uiPriority w:val="0"/>
    <w:pPr>
      <w:widowControl/>
      <w:pBdr>
        <w:top w:val="single" w:color="auto" w:sz="4" w:space="0"/>
        <w:left w:val="single" w:color="auto" w:sz="12" w:space="0"/>
        <w:bottom w:val="single" w:color="auto" w:sz="4" w:space="0"/>
      </w:pBdr>
      <w:shd w:val="clear" w:color="000000" w:fill="00B0F0"/>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65">
    <w:name w:val="xl139"/>
    <w:basedOn w:val="1"/>
    <w:qFormat/>
    <w:uiPriority w:val="0"/>
    <w:pPr>
      <w:widowControl/>
      <w:pBdr>
        <w:top w:val="single" w:color="auto" w:sz="4" w:space="0"/>
        <w:bottom w:val="single" w:color="auto" w:sz="4" w:space="0"/>
      </w:pBdr>
      <w:shd w:val="clear" w:color="000000" w:fill="00B0F0"/>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66">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7">
    <w:name w:val="xl141"/>
    <w:basedOn w:val="1"/>
    <w:qFormat/>
    <w:uiPriority w:val="0"/>
    <w:pPr>
      <w:widowControl/>
      <w:pBdr>
        <w:top w:val="single" w:color="auto" w:sz="4" w:space="0"/>
        <w:left w:val="single" w:color="auto" w:sz="12" w:space="0"/>
        <w:bottom w:val="single" w:color="auto" w:sz="4" w:space="0"/>
      </w:pBdr>
      <w:shd w:val="clear" w:color="000000" w:fill="92D050"/>
      <w:spacing w:before="100" w:beforeAutospacing="1" w:after="100" w:afterAutospacing="1"/>
      <w:jc w:val="left"/>
      <w:textAlignment w:val="center"/>
    </w:pPr>
    <w:rPr>
      <w:rFonts w:ascii="仿宋" w:hAnsi="仿宋" w:eastAsia="仿宋" w:cs="宋体"/>
      <w:kern w:val="0"/>
      <w:sz w:val="20"/>
      <w:szCs w:val="20"/>
    </w:rPr>
  </w:style>
  <w:style w:type="paragraph" w:customStyle="1" w:styleId="168">
    <w:name w:val="xl142"/>
    <w:basedOn w:val="1"/>
    <w:qFormat/>
    <w:uiPriority w:val="0"/>
    <w:pPr>
      <w:widowControl/>
      <w:pBdr>
        <w:top w:val="single" w:color="auto" w:sz="4" w:space="0"/>
        <w:left w:val="single" w:color="auto" w:sz="12" w:space="0"/>
        <w:bottom w:val="single" w:color="auto" w:sz="4" w:space="0"/>
      </w:pBdr>
      <w:shd w:val="clear" w:color="000000" w:fill="F4B084"/>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69">
    <w:name w:val="xl143"/>
    <w:basedOn w:val="1"/>
    <w:qFormat/>
    <w:uiPriority w:val="0"/>
    <w:pPr>
      <w:widowControl/>
      <w:pBdr>
        <w:top w:val="single" w:color="auto" w:sz="4" w:space="0"/>
        <w:bottom w:val="single" w:color="auto" w:sz="4" w:space="0"/>
      </w:pBdr>
      <w:shd w:val="clear" w:color="000000" w:fill="F4B084"/>
      <w:spacing w:before="100" w:beforeAutospacing="1" w:after="100" w:afterAutospacing="1"/>
      <w:jc w:val="left"/>
      <w:textAlignment w:val="center"/>
    </w:pPr>
    <w:rPr>
      <w:rFonts w:ascii="宋体" w:hAnsi="宋体" w:cs="宋体"/>
      <w:kern w:val="0"/>
      <w:sz w:val="24"/>
    </w:rPr>
  </w:style>
  <w:style w:type="paragraph" w:customStyle="1" w:styleId="170">
    <w:name w:val="xl144"/>
    <w:basedOn w:val="1"/>
    <w:qFormat/>
    <w:uiPriority w:val="0"/>
    <w:pPr>
      <w:widowControl/>
      <w:pBdr>
        <w:top w:val="single" w:color="auto" w:sz="4" w:space="0"/>
        <w:left w:val="single" w:color="auto" w:sz="12" w:space="0"/>
        <w:bottom w:val="single" w:color="auto" w:sz="4" w:space="0"/>
        <w:right w:val="single" w:color="auto" w:sz="4" w:space="0"/>
      </w:pBdr>
      <w:shd w:val="clear" w:color="000000" w:fill="F4B084"/>
      <w:spacing w:before="100" w:beforeAutospacing="1" w:after="100" w:afterAutospacing="1"/>
      <w:jc w:val="left"/>
      <w:textAlignment w:val="center"/>
    </w:pPr>
    <w:rPr>
      <w:rFonts w:ascii="仿宋" w:hAnsi="仿宋" w:eastAsia="仿宋" w:cs="宋体"/>
      <w:b/>
      <w:bCs/>
      <w:kern w:val="0"/>
      <w:sz w:val="20"/>
      <w:szCs w:val="20"/>
    </w:rPr>
  </w:style>
  <w:style w:type="paragraph" w:customStyle="1" w:styleId="171">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left"/>
      <w:textAlignment w:val="center"/>
    </w:pPr>
    <w:rPr>
      <w:rFonts w:ascii="宋体" w:hAnsi="宋体" w:cs="宋体"/>
      <w:kern w:val="0"/>
      <w:sz w:val="24"/>
    </w:rPr>
  </w:style>
  <w:style w:type="paragraph" w:customStyle="1" w:styleId="172">
    <w:name w:val="xl146"/>
    <w:basedOn w:val="1"/>
    <w:qFormat/>
    <w:uiPriority w:val="0"/>
    <w:pPr>
      <w:widowControl/>
      <w:pBdr>
        <w:top w:val="single" w:color="auto" w:sz="4" w:space="0"/>
        <w:bottom w:val="single" w:color="auto" w:sz="4" w:space="0"/>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173">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0"/>
      <w:szCs w:val="20"/>
    </w:rPr>
  </w:style>
  <w:style w:type="paragraph" w:customStyle="1" w:styleId="174">
    <w:name w:val="样式"/>
    <w:basedOn w:val="1"/>
    <w:next w:val="92"/>
    <w:qFormat/>
    <w:uiPriority w:val="99"/>
    <w:pPr>
      <w:ind w:firstLine="420" w:firstLineChars="200"/>
    </w:pPr>
    <w:rPr>
      <w:sz w:val="28"/>
    </w:rPr>
  </w:style>
  <w:style w:type="paragraph" w:customStyle="1" w:styleId="175">
    <w:name w:val="1"/>
    <w:next w:val="29"/>
    <w:link w:val="1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1 正文"/>
    <w:basedOn w:val="1"/>
    <w:qFormat/>
    <w:uiPriority w:val="0"/>
    <w:pPr>
      <w:adjustRightInd w:val="0"/>
      <w:spacing w:line="360" w:lineRule="auto"/>
    </w:pPr>
    <w:rPr>
      <w:rFonts w:ascii="宋体" w:hAnsi="宋体"/>
      <w:sz w:val="24"/>
    </w:rPr>
  </w:style>
  <w:style w:type="paragraph" w:customStyle="1" w:styleId="177">
    <w:name w:val="正文首行缩进2字符"/>
    <w:basedOn w:val="1"/>
    <w:link w:val="180"/>
    <w:qFormat/>
    <w:locked/>
    <w:uiPriority w:val="99"/>
    <w:pPr>
      <w:spacing w:line="360" w:lineRule="auto"/>
      <w:ind w:firstLine="482"/>
    </w:pPr>
    <w:rPr>
      <w:sz w:val="24"/>
    </w:rPr>
  </w:style>
  <w:style w:type="paragraph" w:customStyle="1" w:styleId="178">
    <w:name w:val="wl正文"/>
    <w:basedOn w:val="1"/>
    <w:qFormat/>
    <w:uiPriority w:val="0"/>
    <w:pPr>
      <w:spacing w:line="360" w:lineRule="auto"/>
      <w:ind w:firstLine="200" w:firstLineChars="200"/>
    </w:pPr>
    <w:rPr>
      <w:sz w:val="24"/>
    </w:rPr>
  </w:style>
  <w:style w:type="character" w:customStyle="1" w:styleId="179">
    <w:name w:val="1 Char"/>
    <w:link w:val="175"/>
    <w:qFormat/>
    <w:uiPriority w:val="0"/>
    <w:rPr>
      <w:rFonts w:asciiTheme="minorHAnsi" w:hAnsiTheme="minorHAnsi" w:eastAsiaTheme="minorEastAsia" w:cstheme="minorBidi"/>
      <w:kern w:val="2"/>
      <w:sz w:val="21"/>
      <w:szCs w:val="22"/>
    </w:rPr>
  </w:style>
  <w:style w:type="character" w:customStyle="1" w:styleId="180">
    <w:name w:val="正文首行缩进2字符 Char"/>
    <w:link w:val="177"/>
    <w:qFormat/>
    <w:uiPriority w:val="99"/>
    <w:rPr>
      <w:kern w:val="2"/>
      <w:sz w:val="24"/>
      <w:szCs w:val="24"/>
    </w:rPr>
  </w:style>
  <w:style w:type="character" w:customStyle="1" w:styleId="181">
    <w:name w:val="列出段落 Char"/>
    <w:link w:val="92"/>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643E-F683-4F7F-A61D-0F7422CAFA8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32928</Words>
  <Characters>34864</Characters>
  <Lines>291</Lines>
  <Paragraphs>82</Paragraphs>
  <TotalTime>13</TotalTime>
  <ScaleCrop>false</ScaleCrop>
  <LinksUpToDate>false</LinksUpToDate>
  <CharactersWithSpaces>35585</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2022-09-16T00:56:00Z</dcterms:created>
  <dc:creator>S-mile</dc:creator>
  <cp:lastModifiedBy>WPS123123</cp:lastModifiedBy>
  <cp:lastPrinted>2021-08-10T04:06:00Z</cp:lastPrinted>
  <dcterms:modified xsi:type="dcterms:W3CDTF">2022-09-27T07:34:11Z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57A1AEE87AAE4FF3A64B66824C2428EE</vt:lpwstr>
  </property>
  <property fmtid="{D5CDD505-2E9C-101B-9397-08002B2CF9AE}" pid="4" name="commondata">
    <vt:lpwstr>eyJoZGlkIjoiNGRmZGMxMGI5MzU0NjE5YTJhNTk3MTkzNWRjOGYwYTAifQ==</vt:lpwstr>
  </property>
</Properties>
</file>