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黑体" w:hAnsi="宋体" w:eastAsia="黑体" w:cs="楷体_GB2312"/>
          <w:color w:val="auto"/>
          <w:w w:val="90"/>
          <w:sz w:val="44"/>
          <w:szCs w:val="44"/>
          <w:highlight w:val="none"/>
        </w:rPr>
      </w:pPr>
    </w:p>
    <w:p>
      <w:pPr>
        <w:snapToGrid w:val="0"/>
        <w:spacing w:line="360" w:lineRule="auto"/>
        <w:jc w:val="center"/>
        <w:rPr>
          <w:rFonts w:hint="eastAsia" w:ascii="黑体" w:hAnsi="宋体" w:eastAsia="黑体" w:cs="楷体_GB2312"/>
          <w:color w:val="auto"/>
          <w:w w:val="90"/>
          <w:sz w:val="44"/>
          <w:szCs w:val="44"/>
          <w:highlight w:val="none"/>
          <w:lang w:eastAsia="zh-CN"/>
        </w:rPr>
      </w:pPr>
      <w:r>
        <w:rPr>
          <w:rFonts w:hint="eastAsia" w:ascii="黑体" w:hAnsi="宋体" w:eastAsia="黑体" w:cs="楷体_GB2312"/>
          <w:color w:val="auto"/>
          <w:w w:val="90"/>
          <w:sz w:val="44"/>
          <w:szCs w:val="44"/>
          <w:highlight w:val="none"/>
          <w:lang w:eastAsia="zh-CN"/>
        </w:rPr>
        <w:t>《“三江汇”杭州未来城市实践区控制性规划》项目</w:t>
      </w:r>
    </w:p>
    <w:p>
      <w:pPr>
        <w:jc w:val="center"/>
        <w:rPr>
          <w:rFonts w:ascii="宋体" w:hAnsi="宋体"/>
          <w:b/>
          <w:color w:val="auto"/>
          <w:szCs w:val="84"/>
          <w:highlight w:val="none"/>
        </w:rPr>
      </w:pPr>
      <w:r>
        <w:rPr>
          <w:rFonts w:hint="eastAsia" w:ascii="宋体" w:hAnsi="宋体"/>
          <w:b/>
          <w:color w:val="auto"/>
          <w:szCs w:val="84"/>
          <w:highlight w:val="none"/>
        </w:rPr>
        <w:t>（电子招投标方式）</w:t>
      </w:r>
    </w:p>
    <w:p>
      <w:pPr>
        <w:jc w:val="center"/>
        <w:rPr>
          <w:rFonts w:ascii="宋体" w:hAnsi="宋体"/>
          <w:b/>
          <w:color w:val="auto"/>
          <w:szCs w:val="84"/>
          <w:highlight w:val="none"/>
        </w:rPr>
      </w:pPr>
    </w:p>
    <w:p>
      <w:pPr>
        <w:jc w:val="center"/>
        <w:rPr>
          <w:rFonts w:ascii="宋体" w:hAnsi="宋体"/>
          <w:b/>
          <w:color w:val="auto"/>
          <w:szCs w:val="84"/>
          <w:highlight w:val="none"/>
        </w:rPr>
      </w:pPr>
    </w:p>
    <w:p>
      <w:pPr>
        <w:jc w:val="center"/>
        <w:rPr>
          <w:rFonts w:ascii="宋体" w:hAnsi="宋体"/>
          <w:b/>
          <w:color w:val="auto"/>
          <w:szCs w:val="84"/>
          <w:highlight w:val="none"/>
        </w:rPr>
      </w:pPr>
    </w:p>
    <w:p>
      <w:pPr>
        <w:spacing w:line="360" w:lineRule="auto"/>
        <w:jc w:val="center"/>
        <w:rPr>
          <w:rFonts w:ascii="宋体" w:hAnsi="宋体"/>
          <w:b/>
          <w:color w:val="auto"/>
          <w:sz w:val="84"/>
          <w:szCs w:val="84"/>
          <w:highlight w:val="none"/>
        </w:rPr>
      </w:pPr>
      <w:r>
        <w:rPr>
          <w:rFonts w:hint="eastAsia" w:ascii="黑体" w:hAnsi="宋体" w:eastAsia="黑体" w:cs="Angsana New"/>
          <w:color w:val="auto"/>
          <w:spacing w:val="40"/>
          <w:w w:val="80"/>
          <w:sz w:val="96"/>
          <w:szCs w:val="96"/>
          <w:highlight w:val="none"/>
          <w:lang w:bidi="th-TH"/>
        </w:rPr>
        <w:t>采 购 文 件</w:t>
      </w:r>
    </w:p>
    <w:p>
      <w:pPr>
        <w:jc w:val="center"/>
        <w:rPr>
          <w:rFonts w:ascii="宋体" w:hAnsi="宋体"/>
          <w:b/>
          <w:color w:val="auto"/>
          <w:szCs w:val="84"/>
          <w:highlight w:val="none"/>
        </w:rPr>
      </w:pPr>
    </w:p>
    <w:p>
      <w:pPr>
        <w:jc w:val="center"/>
        <w:rPr>
          <w:rFonts w:ascii="宋体" w:hAnsi="宋体"/>
          <w:b/>
          <w:color w:val="auto"/>
          <w:szCs w:val="84"/>
          <w:highlight w:val="none"/>
        </w:rPr>
      </w:pPr>
    </w:p>
    <w:p>
      <w:pPr>
        <w:spacing w:line="360" w:lineRule="auto"/>
        <w:jc w:val="center"/>
        <w:rPr>
          <w:rFonts w:hint="eastAsia" w:ascii="宋体" w:hAnsi="宋体" w:eastAsia="宋体" w:cs="Angsana New"/>
          <w:b/>
          <w:bCs/>
          <w:color w:val="auto"/>
          <w:w w:val="80"/>
          <w:sz w:val="36"/>
          <w:szCs w:val="36"/>
          <w:highlight w:val="none"/>
          <w:lang w:eastAsia="zh-CN" w:bidi="th-TH"/>
        </w:rPr>
      </w:pPr>
      <w:r>
        <w:rPr>
          <w:rFonts w:hint="eastAsia" w:ascii="宋体" w:hAnsi="宋体" w:cs="Angsana New"/>
          <w:b/>
          <w:bCs/>
          <w:color w:val="auto"/>
          <w:w w:val="80"/>
          <w:sz w:val="36"/>
          <w:szCs w:val="36"/>
          <w:highlight w:val="none"/>
          <w:lang w:bidi="th-TH"/>
        </w:rPr>
        <w:t>采购编号：ZJ-</w:t>
      </w:r>
      <w:r>
        <w:rPr>
          <w:rFonts w:hint="eastAsia" w:ascii="宋体" w:hAnsi="宋体" w:cs="Angsana New"/>
          <w:b/>
          <w:bCs/>
          <w:color w:val="auto"/>
          <w:w w:val="80"/>
          <w:sz w:val="36"/>
          <w:szCs w:val="36"/>
          <w:highlight w:val="none"/>
          <w:lang w:eastAsia="zh-CN" w:bidi="th-TH"/>
        </w:rPr>
        <w:t>2110301</w:t>
      </w:r>
    </w:p>
    <w:p>
      <w:pPr>
        <w:pStyle w:val="25"/>
        <w:ind w:left="5250"/>
        <w:rPr>
          <w:rFonts w:ascii="宋体" w:hAnsi="宋体"/>
          <w:color w:val="auto"/>
          <w:szCs w:val="28"/>
          <w:highlight w:val="none"/>
        </w:rPr>
      </w:pPr>
    </w:p>
    <w:p>
      <w:pPr>
        <w:rPr>
          <w:rFonts w:ascii="宋体" w:hAnsi="宋体"/>
          <w:b/>
          <w:color w:val="auto"/>
          <w:highlight w:val="none"/>
        </w:rPr>
      </w:pPr>
    </w:p>
    <w:p>
      <w:pPr>
        <w:rPr>
          <w:rFonts w:ascii="宋体" w:hAnsi="宋体"/>
          <w:b/>
          <w:color w:val="auto"/>
          <w:highlight w:val="none"/>
        </w:rPr>
      </w:pPr>
    </w:p>
    <w:p>
      <w:pPr>
        <w:rPr>
          <w:rFonts w:ascii="宋体" w:hAnsi="宋体"/>
          <w:b/>
          <w:color w:val="auto"/>
          <w:highlight w:val="none"/>
        </w:rPr>
      </w:pPr>
    </w:p>
    <w:p>
      <w:pPr>
        <w:rPr>
          <w:rFonts w:ascii="宋体" w:hAnsi="宋体"/>
          <w:b/>
          <w:color w:val="auto"/>
          <w:highlight w:val="none"/>
        </w:rPr>
      </w:pPr>
    </w:p>
    <w:p>
      <w:pPr>
        <w:rPr>
          <w:rFonts w:ascii="宋体" w:hAnsi="宋体"/>
          <w:b/>
          <w:color w:val="auto"/>
          <w:highlight w:val="none"/>
        </w:rPr>
      </w:pPr>
    </w:p>
    <w:p>
      <w:pPr>
        <w:rPr>
          <w:rFonts w:ascii="宋体" w:hAnsi="宋体"/>
          <w:b/>
          <w:color w:val="auto"/>
          <w:highlight w:val="none"/>
        </w:rPr>
      </w:pPr>
    </w:p>
    <w:p>
      <w:pPr>
        <w:rPr>
          <w:rFonts w:ascii="宋体" w:hAnsi="宋体"/>
          <w:b/>
          <w:color w:val="auto"/>
          <w:highlight w:val="none"/>
        </w:rPr>
      </w:pPr>
    </w:p>
    <w:p>
      <w:pPr>
        <w:rPr>
          <w:rFonts w:ascii="宋体" w:hAnsi="宋体"/>
          <w:b/>
          <w:color w:val="auto"/>
          <w:highlight w:val="none"/>
        </w:rPr>
      </w:pPr>
    </w:p>
    <w:p>
      <w:pPr>
        <w:rPr>
          <w:rFonts w:ascii="宋体" w:hAnsi="宋体"/>
          <w:b/>
          <w:color w:val="auto"/>
          <w:highlight w:val="none"/>
        </w:rPr>
      </w:pPr>
    </w:p>
    <w:p>
      <w:pPr>
        <w:rPr>
          <w:rFonts w:ascii="宋体" w:hAnsi="宋体"/>
          <w:b/>
          <w:color w:val="auto"/>
          <w:highlight w:val="none"/>
        </w:rPr>
      </w:pPr>
    </w:p>
    <w:tbl>
      <w:tblPr>
        <w:tblStyle w:val="43"/>
        <w:tblW w:w="6959" w:type="dxa"/>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黑体" w:hAnsi="Courier New" w:eastAsia="黑体" w:cs="Courier New"/>
                <w:color w:val="auto"/>
                <w:sz w:val="30"/>
                <w:szCs w:val="30"/>
                <w:highlight w:val="none"/>
              </w:rPr>
            </w:pPr>
            <w:r>
              <w:rPr>
                <w:rFonts w:hint="eastAsia" w:ascii="黑体" w:hAnsi="Courier New" w:eastAsia="黑体" w:cs="Courier New"/>
                <w:color w:val="auto"/>
                <w:sz w:val="30"/>
                <w:szCs w:val="30"/>
                <w:highlight w:val="none"/>
              </w:rPr>
              <w:t>采购人</w:t>
            </w:r>
          </w:p>
        </w:tc>
        <w:tc>
          <w:tcPr>
            <w:tcW w:w="516" w:type="dxa"/>
            <w:vAlign w:val="center"/>
          </w:tcPr>
          <w:p>
            <w:pPr>
              <w:snapToGrid w:val="0"/>
              <w:jc w:val="distribute"/>
              <w:rPr>
                <w:rFonts w:ascii="黑体" w:hAnsi="Courier New" w:eastAsia="黑体" w:cs="Courier New"/>
                <w:color w:val="auto"/>
                <w:sz w:val="30"/>
                <w:szCs w:val="30"/>
                <w:highlight w:val="none"/>
              </w:rPr>
            </w:pPr>
            <w:r>
              <w:rPr>
                <w:rFonts w:hint="eastAsia" w:ascii="黑体" w:hAnsi="Courier New" w:eastAsia="黑体" w:cs="Courier New"/>
                <w:color w:val="auto"/>
                <w:sz w:val="30"/>
                <w:szCs w:val="30"/>
                <w:highlight w:val="none"/>
              </w:rPr>
              <w:t>：</w:t>
            </w:r>
          </w:p>
        </w:tc>
        <w:tc>
          <w:tcPr>
            <w:tcW w:w="4411" w:type="dxa"/>
            <w:vAlign w:val="center"/>
          </w:tcPr>
          <w:p>
            <w:pPr>
              <w:snapToGrid w:val="0"/>
              <w:jc w:val="distribute"/>
              <w:rPr>
                <w:rFonts w:hint="eastAsia" w:ascii="黑体" w:hAnsi="Courier New" w:eastAsia="黑体" w:cs="Courier New"/>
                <w:color w:val="auto"/>
                <w:sz w:val="30"/>
                <w:szCs w:val="30"/>
                <w:highlight w:val="none"/>
                <w:lang w:eastAsia="zh-CN"/>
              </w:rPr>
            </w:pPr>
            <w:r>
              <w:rPr>
                <w:rFonts w:hint="eastAsia" w:ascii="黑体" w:hAnsi="Courier New" w:eastAsia="黑体" w:cs="Courier New"/>
                <w:color w:val="auto"/>
                <w:sz w:val="30"/>
                <w:szCs w:val="30"/>
                <w:highlight w:val="none"/>
                <w:lang w:eastAsia="zh-CN"/>
              </w:rPr>
              <w:t>杭州市规划和自然资源局</w:t>
            </w:r>
          </w:p>
        </w:tc>
      </w:tr>
      <w:tr>
        <w:tblPrEx>
          <w:tblCellMar>
            <w:top w:w="0" w:type="dxa"/>
            <w:left w:w="108" w:type="dxa"/>
            <w:bottom w:w="0" w:type="dxa"/>
            <w:right w:w="108" w:type="dxa"/>
          </w:tblCellMar>
        </w:tblPrEx>
        <w:trPr>
          <w:trHeight w:val="297" w:hRule="atLeast"/>
          <w:jc w:val="center"/>
        </w:trPr>
        <w:tc>
          <w:tcPr>
            <w:tcW w:w="2032" w:type="dxa"/>
            <w:vAlign w:val="center"/>
          </w:tcPr>
          <w:p>
            <w:pPr>
              <w:snapToGrid w:val="0"/>
              <w:jc w:val="distribute"/>
              <w:rPr>
                <w:rFonts w:ascii="黑体" w:hAnsi="Courier New" w:eastAsia="黑体" w:cs="Courier New"/>
                <w:color w:val="auto"/>
                <w:szCs w:val="21"/>
                <w:highlight w:val="none"/>
              </w:rPr>
            </w:pPr>
          </w:p>
        </w:tc>
        <w:tc>
          <w:tcPr>
            <w:tcW w:w="516" w:type="dxa"/>
            <w:vAlign w:val="center"/>
          </w:tcPr>
          <w:p>
            <w:pPr>
              <w:snapToGrid w:val="0"/>
              <w:jc w:val="distribute"/>
              <w:rPr>
                <w:rFonts w:ascii="黑体" w:hAnsi="Courier New" w:eastAsia="黑体" w:cs="Courier New"/>
                <w:color w:val="auto"/>
                <w:szCs w:val="21"/>
                <w:highlight w:val="none"/>
              </w:rPr>
            </w:pPr>
          </w:p>
        </w:tc>
        <w:tc>
          <w:tcPr>
            <w:tcW w:w="4411" w:type="dxa"/>
            <w:vAlign w:val="center"/>
          </w:tcPr>
          <w:p>
            <w:pPr>
              <w:snapToGrid w:val="0"/>
              <w:jc w:val="distribute"/>
              <w:rPr>
                <w:rFonts w:ascii="黑体" w:hAnsi="Courier New" w:eastAsia="黑体" w:cs="Courier New"/>
                <w:color w:val="auto"/>
                <w:szCs w:val="21"/>
                <w:highlight w:val="none"/>
              </w:rPr>
            </w:pPr>
          </w:p>
        </w:tc>
      </w:tr>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黑体" w:hAnsi="Courier New" w:eastAsia="黑体" w:cs="Courier New"/>
                <w:color w:val="auto"/>
                <w:sz w:val="30"/>
                <w:szCs w:val="30"/>
                <w:highlight w:val="none"/>
              </w:rPr>
            </w:pPr>
            <w:r>
              <w:rPr>
                <w:rFonts w:hint="eastAsia" w:ascii="黑体" w:hAnsi="Courier New" w:eastAsia="黑体" w:cs="Courier New"/>
                <w:color w:val="auto"/>
                <w:sz w:val="30"/>
                <w:szCs w:val="30"/>
                <w:highlight w:val="none"/>
              </w:rPr>
              <w:t>采购代理机构</w:t>
            </w:r>
          </w:p>
        </w:tc>
        <w:tc>
          <w:tcPr>
            <w:tcW w:w="516" w:type="dxa"/>
            <w:vAlign w:val="center"/>
          </w:tcPr>
          <w:p>
            <w:pPr>
              <w:snapToGrid w:val="0"/>
              <w:jc w:val="distribute"/>
              <w:rPr>
                <w:rFonts w:ascii="黑体" w:hAnsi="Courier New" w:eastAsia="黑体" w:cs="Courier New"/>
                <w:color w:val="auto"/>
                <w:sz w:val="30"/>
                <w:szCs w:val="30"/>
                <w:highlight w:val="none"/>
              </w:rPr>
            </w:pPr>
            <w:r>
              <w:rPr>
                <w:rFonts w:hint="eastAsia" w:ascii="黑体" w:hAnsi="Courier New" w:eastAsia="黑体" w:cs="Courier New"/>
                <w:color w:val="auto"/>
                <w:sz w:val="30"/>
                <w:szCs w:val="30"/>
                <w:highlight w:val="none"/>
              </w:rPr>
              <w:t>：</w:t>
            </w:r>
          </w:p>
        </w:tc>
        <w:tc>
          <w:tcPr>
            <w:tcW w:w="4411" w:type="dxa"/>
            <w:vAlign w:val="center"/>
          </w:tcPr>
          <w:p>
            <w:pPr>
              <w:snapToGrid w:val="0"/>
              <w:jc w:val="distribute"/>
              <w:rPr>
                <w:rFonts w:ascii="黑体" w:hAnsi="Courier New" w:eastAsia="黑体" w:cs="Courier New"/>
                <w:color w:val="auto"/>
                <w:sz w:val="30"/>
                <w:szCs w:val="30"/>
                <w:highlight w:val="none"/>
              </w:rPr>
            </w:pPr>
            <w:r>
              <w:rPr>
                <w:rFonts w:hint="eastAsia" w:ascii="黑体" w:hAnsi="Courier New" w:eastAsia="黑体" w:cs="Courier New"/>
                <w:color w:val="auto"/>
                <w:sz w:val="30"/>
                <w:szCs w:val="30"/>
                <w:highlight w:val="none"/>
              </w:rPr>
              <w:t>浙江国际招（投）标公司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snapToGrid w:val="0"/>
              <w:jc w:val="center"/>
              <w:rPr>
                <w:rFonts w:ascii="黑体" w:hAnsi="Courier New" w:eastAsia="黑体" w:cs="Courier New"/>
                <w:color w:val="auto"/>
                <w:sz w:val="30"/>
                <w:szCs w:val="30"/>
                <w:highlight w:val="none"/>
              </w:rPr>
            </w:pPr>
            <w:r>
              <w:rPr>
                <w:rFonts w:hint="eastAsia" w:ascii="黑体" w:hAnsi="Courier New" w:eastAsia="黑体" w:cs="Courier New"/>
                <w:color w:val="auto"/>
                <w:sz w:val="30"/>
                <w:szCs w:val="30"/>
                <w:highlight w:val="none"/>
              </w:rPr>
              <w:t>2021年</w:t>
            </w:r>
            <w:r>
              <w:rPr>
                <w:rFonts w:hint="eastAsia" w:ascii="黑体" w:hAnsi="Courier New" w:eastAsia="黑体" w:cs="Courier New"/>
                <w:color w:val="auto"/>
                <w:sz w:val="30"/>
                <w:szCs w:val="30"/>
                <w:highlight w:val="none"/>
                <w:lang w:val="en-US" w:eastAsia="zh-CN"/>
              </w:rPr>
              <w:t>2</w:t>
            </w:r>
            <w:r>
              <w:rPr>
                <w:rFonts w:hint="eastAsia" w:ascii="黑体" w:hAnsi="Courier New" w:eastAsia="黑体" w:cs="Courier New"/>
                <w:color w:val="auto"/>
                <w:sz w:val="30"/>
                <w:szCs w:val="30"/>
                <w:highlight w:val="none"/>
              </w:rPr>
              <w:t>月</w:t>
            </w:r>
          </w:p>
        </w:tc>
      </w:tr>
    </w:tbl>
    <w:p>
      <w:pPr>
        <w:pStyle w:val="23"/>
        <w:spacing w:line="360" w:lineRule="auto"/>
        <w:jc w:val="center"/>
        <w:rPr>
          <w:rFonts w:ascii="宋体" w:hAnsi="宋体" w:eastAsia="宋体" w:cs="宋体"/>
          <w:b/>
          <w:color w:val="auto"/>
          <w:sz w:val="28"/>
          <w:szCs w:val="28"/>
          <w:highlight w:val="none"/>
        </w:rPr>
      </w:pPr>
      <w:r>
        <w:rPr>
          <w:rFonts w:ascii="宋体" w:hAnsi="宋体"/>
          <w:b/>
          <w:color w:val="auto"/>
          <w:sz w:val="48"/>
          <w:szCs w:val="48"/>
          <w:highlight w:val="none"/>
        </w:rPr>
        <w:br w:type="page"/>
      </w:r>
      <w:r>
        <w:rPr>
          <w:rFonts w:hint="eastAsia" w:ascii="宋体" w:hAnsi="宋体" w:eastAsia="宋体" w:cs="宋体"/>
          <w:b/>
          <w:color w:val="auto"/>
          <w:sz w:val="28"/>
          <w:szCs w:val="28"/>
          <w:highlight w:val="none"/>
        </w:rPr>
        <w:t>目    录</w:t>
      </w:r>
    </w:p>
    <w:p>
      <w:pPr>
        <w:pStyle w:val="30"/>
        <w:tabs>
          <w:tab w:val="right" w:leader="dot" w:pos="8730"/>
          <w:tab w:val="clear" w:pos="8720"/>
        </w:tabs>
        <w:rPr>
          <w:color w:val="auto"/>
          <w:highlight w:val="none"/>
        </w:rPr>
      </w:pPr>
      <w:r>
        <w:rPr>
          <w:rFonts w:hint="eastAsia" w:ascii="宋体" w:hAnsi="宋体" w:cs="宋体"/>
          <w:b/>
          <w:caps w:val="0"/>
          <w:color w:val="auto"/>
          <w:sz w:val="21"/>
          <w:szCs w:val="21"/>
          <w:highlight w:val="none"/>
        </w:rPr>
        <w:fldChar w:fldCharType="begin"/>
      </w:r>
      <w:r>
        <w:rPr>
          <w:rFonts w:hint="eastAsia" w:ascii="宋体" w:hAnsi="宋体" w:cs="宋体"/>
          <w:b/>
          <w:caps w:val="0"/>
          <w:color w:val="auto"/>
          <w:sz w:val="21"/>
          <w:szCs w:val="21"/>
          <w:highlight w:val="none"/>
        </w:rPr>
        <w:instrText xml:space="preserve"> TOC \o "1-2" \u </w:instrText>
      </w:r>
      <w:r>
        <w:rPr>
          <w:rFonts w:hint="eastAsia" w:ascii="宋体" w:hAnsi="宋体" w:cs="宋体"/>
          <w:b/>
          <w:caps w:val="0"/>
          <w:color w:val="auto"/>
          <w:sz w:val="21"/>
          <w:szCs w:val="21"/>
          <w:highlight w:val="none"/>
        </w:rPr>
        <w:fldChar w:fldCharType="separate"/>
      </w:r>
      <w:r>
        <w:rPr>
          <w:rFonts w:hint="eastAsia" w:ascii="宋体" w:hAnsi="宋体" w:cs="宋体"/>
          <w:color w:val="auto"/>
          <w:szCs w:val="30"/>
          <w:highlight w:val="none"/>
        </w:rPr>
        <w:t>第一部分  采购公告</w:t>
      </w:r>
      <w:r>
        <w:rPr>
          <w:color w:val="auto"/>
          <w:highlight w:val="none"/>
        </w:rPr>
        <w:tab/>
      </w:r>
      <w:r>
        <w:rPr>
          <w:rFonts w:hint="eastAsia"/>
          <w:color w:val="auto"/>
          <w:highlight w:val="none"/>
        </w:rPr>
        <w:t>2</w:t>
      </w:r>
    </w:p>
    <w:p>
      <w:pPr>
        <w:pStyle w:val="30"/>
        <w:tabs>
          <w:tab w:val="right" w:leader="dot" w:pos="8730"/>
          <w:tab w:val="clear" w:pos="8720"/>
        </w:tabs>
        <w:rPr>
          <w:color w:val="auto"/>
          <w:highlight w:val="none"/>
        </w:rPr>
      </w:pPr>
      <w:r>
        <w:rPr>
          <w:rFonts w:hint="eastAsia" w:ascii="宋体" w:hAnsi="宋体" w:cs="宋体"/>
          <w:color w:val="auto"/>
          <w:szCs w:val="30"/>
          <w:highlight w:val="none"/>
        </w:rPr>
        <w:t>第二部分  投标须知</w:t>
      </w:r>
      <w:r>
        <w:rPr>
          <w:color w:val="auto"/>
          <w:highlight w:val="none"/>
        </w:rPr>
        <w:tab/>
      </w:r>
      <w:r>
        <w:rPr>
          <w:color w:val="auto"/>
          <w:highlight w:val="none"/>
        </w:rPr>
        <w:fldChar w:fldCharType="begin"/>
      </w:r>
      <w:r>
        <w:rPr>
          <w:color w:val="auto"/>
          <w:highlight w:val="none"/>
        </w:rPr>
        <w:instrText xml:space="preserve"> PAGEREF _Toc30054 </w:instrText>
      </w:r>
      <w:r>
        <w:rPr>
          <w:color w:val="auto"/>
          <w:highlight w:val="none"/>
        </w:rPr>
        <w:fldChar w:fldCharType="separate"/>
      </w:r>
      <w:r>
        <w:rPr>
          <w:color w:val="auto"/>
          <w:highlight w:val="none"/>
        </w:rPr>
        <w:t>12</w:t>
      </w:r>
      <w:r>
        <w:rPr>
          <w:color w:val="auto"/>
          <w:highlight w:val="none"/>
        </w:rPr>
        <w:fldChar w:fldCharType="end"/>
      </w:r>
    </w:p>
    <w:p>
      <w:pPr>
        <w:pStyle w:val="35"/>
        <w:tabs>
          <w:tab w:val="right" w:leader="dot" w:pos="8730"/>
          <w:tab w:val="clear" w:pos="8720"/>
        </w:tabs>
        <w:rPr>
          <w:color w:val="auto"/>
          <w:highlight w:val="none"/>
        </w:rPr>
      </w:pPr>
      <w:r>
        <w:rPr>
          <w:rFonts w:hint="eastAsia" w:ascii="宋体" w:hAnsi="宋体" w:cs="宋体"/>
          <w:color w:val="auto"/>
          <w:szCs w:val="21"/>
          <w:highlight w:val="none"/>
        </w:rPr>
        <w:t>一、总则</w:t>
      </w:r>
      <w:r>
        <w:rPr>
          <w:color w:val="auto"/>
          <w:highlight w:val="none"/>
        </w:rPr>
        <w:tab/>
      </w:r>
      <w:r>
        <w:rPr>
          <w:color w:val="auto"/>
          <w:highlight w:val="none"/>
        </w:rPr>
        <w:fldChar w:fldCharType="begin"/>
      </w:r>
      <w:r>
        <w:rPr>
          <w:color w:val="auto"/>
          <w:highlight w:val="none"/>
        </w:rPr>
        <w:instrText xml:space="preserve"> PAGEREF _Toc24877 </w:instrText>
      </w:r>
      <w:r>
        <w:rPr>
          <w:color w:val="auto"/>
          <w:highlight w:val="none"/>
        </w:rPr>
        <w:fldChar w:fldCharType="separate"/>
      </w:r>
      <w:r>
        <w:rPr>
          <w:color w:val="auto"/>
          <w:highlight w:val="none"/>
        </w:rPr>
        <w:t>12</w:t>
      </w:r>
      <w:r>
        <w:rPr>
          <w:color w:val="auto"/>
          <w:highlight w:val="none"/>
        </w:rPr>
        <w:fldChar w:fldCharType="end"/>
      </w:r>
    </w:p>
    <w:p>
      <w:pPr>
        <w:pStyle w:val="35"/>
        <w:tabs>
          <w:tab w:val="right" w:leader="dot" w:pos="8730"/>
          <w:tab w:val="clear" w:pos="8720"/>
        </w:tabs>
        <w:rPr>
          <w:color w:val="auto"/>
          <w:highlight w:val="none"/>
        </w:rPr>
      </w:pPr>
      <w:r>
        <w:rPr>
          <w:rFonts w:hint="eastAsia" w:ascii="宋体" w:hAnsi="宋体" w:cs="宋体"/>
          <w:color w:val="auto"/>
          <w:szCs w:val="21"/>
          <w:highlight w:val="none"/>
        </w:rPr>
        <w:t>二、采购文件</w:t>
      </w:r>
      <w:r>
        <w:rPr>
          <w:color w:val="auto"/>
          <w:highlight w:val="none"/>
        </w:rPr>
        <w:tab/>
      </w:r>
      <w:r>
        <w:rPr>
          <w:color w:val="auto"/>
          <w:highlight w:val="none"/>
        </w:rPr>
        <w:fldChar w:fldCharType="begin"/>
      </w:r>
      <w:r>
        <w:rPr>
          <w:color w:val="auto"/>
          <w:highlight w:val="none"/>
        </w:rPr>
        <w:instrText xml:space="preserve"> PAGEREF _Toc2034 </w:instrText>
      </w:r>
      <w:r>
        <w:rPr>
          <w:color w:val="auto"/>
          <w:highlight w:val="none"/>
        </w:rPr>
        <w:fldChar w:fldCharType="separate"/>
      </w:r>
      <w:r>
        <w:rPr>
          <w:color w:val="auto"/>
          <w:highlight w:val="none"/>
        </w:rPr>
        <w:t>13</w:t>
      </w:r>
      <w:r>
        <w:rPr>
          <w:color w:val="auto"/>
          <w:highlight w:val="none"/>
        </w:rPr>
        <w:fldChar w:fldCharType="end"/>
      </w:r>
    </w:p>
    <w:p>
      <w:pPr>
        <w:pStyle w:val="35"/>
        <w:tabs>
          <w:tab w:val="right" w:leader="dot" w:pos="8730"/>
          <w:tab w:val="clear" w:pos="8720"/>
        </w:tabs>
        <w:rPr>
          <w:color w:val="auto"/>
          <w:highlight w:val="none"/>
        </w:rPr>
      </w:pPr>
      <w:r>
        <w:rPr>
          <w:rFonts w:hint="eastAsia" w:ascii="宋体" w:hAnsi="宋体" w:cs="宋体"/>
          <w:color w:val="auto"/>
          <w:szCs w:val="21"/>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_Toc15688 </w:instrText>
      </w:r>
      <w:r>
        <w:rPr>
          <w:color w:val="auto"/>
          <w:highlight w:val="none"/>
        </w:rPr>
        <w:fldChar w:fldCharType="separate"/>
      </w:r>
      <w:r>
        <w:rPr>
          <w:color w:val="auto"/>
          <w:highlight w:val="none"/>
        </w:rPr>
        <w:t>14</w:t>
      </w:r>
      <w:r>
        <w:rPr>
          <w:color w:val="auto"/>
          <w:highlight w:val="none"/>
        </w:rPr>
        <w:fldChar w:fldCharType="end"/>
      </w:r>
    </w:p>
    <w:p>
      <w:pPr>
        <w:pStyle w:val="35"/>
        <w:tabs>
          <w:tab w:val="right" w:leader="dot" w:pos="8730"/>
          <w:tab w:val="clear" w:pos="8720"/>
        </w:tabs>
        <w:rPr>
          <w:color w:val="auto"/>
          <w:highlight w:val="none"/>
        </w:rPr>
      </w:pPr>
      <w:r>
        <w:rPr>
          <w:rFonts w:hint="eastAsia" w:ascii="宋体" w:hAnsi="宋体" w:cs="宋体"/>
          <w:color w:val="auto"/>
          <w:szCs w:val="21"/>
          <w:highlight w:val="none"/>
        </w:rPr>
        <w:t>四、投标文件的递交</w:t>
      </w:r>
      <w:r>
        <w:rPr>
          <w:color w:val="auto"/>
          <w:highlight w:val="none"/>
        </w:rPr>
        <w:tab/>
      </w:r>
      <w:r>
        <w:rPr>
          <w:color w:val="auto"/>
          <w:highlight w:val="none"/>
        </w:rPr>
        <w:fldChar w:fldCharType="begin"/>
      </w:r>
      <w:r>
        <w:rPr>
          <w:color w:val="auto"/>
          <w:highlight w:val="none"/>
        </w:rPr>
        <w:instrText xml:space="preserve"> PAGEREF _Toc10376 </w:instrText>
      </w:r>
      <w:r>
        <w:rPr>
          <w:color w:val="auto"/>
          <w:highlight w:val="none"/>
        </w:rPr>
        <w:fldChar w:fldCharType="separate"/>
      </w:r>
      <w:r>
        <w:rPr>
          <w:color w:val="auto"/>
          <w:highlight w:val="none"/>
        </w:rPr>
        <w:t>18</w:t>
      </w:r>
      <w:r>
        <w:rPr>
          <w:color w:val="auto"/>
          <w:highlight w:val="none"/>
        </w:rPr>
        <w:fldChar w:fldCharType="end"/>
      </w:r>
    </w:p>
    <w:p>
      <w:pPr>
        <w:pStyle w:val="35"/>
        <w:tabs>
          <w:tab w:val="right" w:leader="dot" w:pos="8730"/>
          <w:tab w:val="clear" w:pos="8720"/>
        </w:tabs>
        <w:rPr>
          <w:color w:val="auto"/>
          <w:highlight w:val="none"/>
        </w:rPr>
      </w:pPr>
      <w:r>
        <w:rPr>
          <w:rFonts w:hint="eastAsia" w:ascii="宋体" w:hAnsi="宋体" w:cs="宋体"/>
          <w:color w:val="auto"/>
          <w:szCs w:val="21"/>
          <w:highlight w:val="none"/>
        </w:rPr>
        <w:t>五、开标与评标</w:t>
      </w:r>
      <w:r>
        <w:rPr>
          <w:color w:val="auto"/>
          <w:highlight w:val="none"/>
        </w:rPr>
        <w:tab/>
      </w:r>
      <w:r>
        <w:rPr>
          <w:color w:val="auto"/>
          <w:highlight w:val="none"/>
        </w:rPr>
        <w:fldChar w:fldCharType="begin"/>
      </w:r>
      <w:r>
        <w:rPr>
          <w:color w:val="auto"/>
          <w:highlight w:val="none"/>
        </w:rPr>
        <w:instrText xml:space="preserve"> PAGEREF _Toc27759 </w:instrText>
      </w:r>
      <w:r>
        <w:rPr>
          <w:color w:val="auto"/>
          <w:highlight w:val="none"/>
        </w:rPr>
        <w:fldChar w:fldCharType="separate"/>
      </w:r>
      <w:r>
        <w:rPr>
          <w:color w:val="auto"/>
          <w:highlight w:val="none"/>
        </w:rPr>
        <w:t>19</w:t>
      </w:r>
      <w:r>
        <w:rPr>
          <w:color w:val="auto"/>
          <w:highlight w:val="none"/>
        </w:rPr>
        <w:fldChar w:fldCharType="end"/>
      </w:r>
    </w:p>
    <w:p>
      <w:pPr>
        <w:pStyle w:val="35"/>
        <w:tabs>
          <w:tab w:val="right" w:leader="dot" w:pos="8730"/>
          <w:tab w:val="clear" w:pos="8720"/>
        </w:tabs>
        <w:rPr>
          <w:color w:val="auto"/>
          <w:highlight w:val="none"/>
        </w:rPr>
      </w:pPr>
      <w:r>
        <w:rPr>
          <w:rFonts w:hint="eastAsia" w:ascii="宋体" w:hAnsi="宋体" w:cs="宋体"/>
          <w:color w:val="auto"/>
          <w:szCs w:val="21"/>
          <w:highlight w:val="none"/>
        </w:rPr>
        <w:t>六、确定中标人及授予合同</w:t>
      </w:r>
      <w:r>
        <w:rPr>
          <w:color w:val="auto"/>
          <w:highlight w:val="none"/>
        </w:rPr>
        <w:tab/>
      </w:r>
      <w:r>
        <w:rPr>
          <w:rFonts w:hint="eastAsia"/>
          <w:color w:val="auto"/>
          <w:highlight w:val="none"/>
        </w:rPr>
        <w:t>21</w:t>
      </w:r>
    </w:p>
    <w:p>
      <w:pPr>
        <w:pStyle w:val="30"/>
        <w:tabs>
          <w:tab w:val="right" w:leader="dot" w:pos="8730"/>
          <w:tab w:val="clear" w:pos="8720"/>
        </w:tabs>
        <w:rPr>
          <w:color w:val="auto"/>
          <w:highlight w:val="none"/>
        </w:rPr>
      </w:pPr>
      <w:r>
        <w:rPr>
          <w:rFonts w:hint="eastAsia" w:ascii="宋体" w:hAnsi="宋体" w:cs="宋体"/>
          <w:color w:val="auto"/>
          <w:szCs w:val="30"/>
          <w:highlight w:val="none"/>
        </w:rPr>
        <w:t>第三部分 用户需求书</w:t>
      </w:r>
      <w:r>
        <w:rPr>
          <w:color w:val="auto"/>
          <w:highlight w:val="none"/>
        </w:rPr>
        <w:tab/>
      </w:r>
      <w:r>
        <w:rPr>
          <w:color w:val="auto"/>
          <w:highlight w:val="none"/>
        </w:rPr>
        <w:fldChar w:fldCharType="begin"/>
      </w:r>
      <w:r>
        <w:rPr>
          <w:color w:val="auto"/>
          <w:highlight w:val="none"/>
        </w:rPr>
        <w:instrText xml:space="preserve"> PAGEREF _Toc19227 </w:instrText>
      </w:r>
      <w:r>
        <w:rPr>
          <w:color w:val="auto"/>
          <w:highlight w:val="none"/>
        </w:rPr>
        <w:fldChar w:fldCharType="separate"/>
      </w:r>
      <w:r>
        <w:rPr>
          <w:color w:val="auto"/>
          <w:highlight w:val="none"/>
        </w:rPr>
        <w:t>24</w:t>
      </w:r>
      <w:r>
        <w:rPr>
          <w:color w:val="auto"/>
          <w:highlight w:val="none"/>
        </w:rPr>
        <w:fldChar w:fldCharType="end"/>
      </w:r>
    </w:p>
    <w:p>
      <w:pPr>
        <w:pStyle w:val="30"/>
        <w:tabs>
          <w:tab w:val="right" w:leader="dot" w:pos="8730"/>
          <w:tab w:val="clear" w:pos="8720"/>
        </w:tabs>
        <w:rPr>
          <w:color w:val="auto"/>
          <w:highlight w:val="none"/>
        </w:rPr>
      </w:pPr>
      <w:r>
        <w:rPr>
          <w:rFonts w:hint="eastAsia" w:ascii="宋体" w:hAnsi="宋体" w:cs="宋体"/>
          <w:color w:val="auto"/>
          <w:szCs w:val="30"/>
          <w:highlight w:val="none"/>
        </w:rPr>
        <w:t>第四部分  合同条款</w:t>
      </w:r>
      <w:r>
        <w:rPr>
          <w:color w:val="auto"/>
          <w:highlight w:val="none"/>
        </w:rPr>
        <w:tab/>
      </w:r>
      <w:r>
        <w:rPr>
          <w:color w:val="auto"/>
          <w:highlight w:val="none"/>
        </w:rPr>
        <w:fldChar w:fldCharType="begin"/>
      </w:r>
      <w:r>
        <w:rPr>
          <w:color w:val="auto"/>
          <w:highlight w:val="none"/>
        </w:rPr>
        <w:instrText xml:space="preserve"> PAGEREF _Toc25387 </w:instrText>
      </w:r>
      <w:r>
        <w:rPr>
          <w:color w:val="auto"/>
          <w:highlight w:val="none"/>
        </w:rPr>
        <w:fldChar w:fldCharType="separate"/>
      </w:r>
      <w:r>
        <w:rPr>
          <w:color w:val="auto"/>
          <w:highlight w:val="none"/>
        </w:rPr>
        <w:t>27</w:t>
      </w:r>
      <w:r>
        <w:rPr>
          <w:color w:val="auto"/>
          <w:highlight w:val="none"/>
        </w:rPr>
        <w:fldChar w:fldCharType="end"/>
      </w:r>
    </w:p>
    <w:p>
      <w:pPr>
        <w:pStyle w:val="30"/>
        <w:tabs>
          <w:tab w:val="right" w:leader="dot" w:pos="8730"/>
          <w:tab w:val="clear" w:pos="8720"/>
        </w:tabs>
        <w:rPr>
          <w:color w:val="auto"/>
          <w:highlight w:val="none"/>
        </w:rPr>
      </w:pPr>
      <w:r>
        <w:rPr>
          <w:rFonts w:hint="eastAsia" w:ascii="宋体" w:hAnsi="宋体" w:cs="宋体"/>
          <w:color w:val="auto"/>
          <w:szCs w:val="30"/>
          <w:highlight w:val="none"/>
        </w:rPr>
        <w:t>第五部分  评标办法（综合评分法）</w:t>
      </w:r>
      <w:r>
        <w:rPr>
          <w:color w:val="auto"/>
          <w:highlight w:val="none"/>
        </w:rPr>
        <w:tab/>
      </w:r>
      <w:r>
        <w:rPr>
          <w:color w:val="auto"/>
          <w:highlight w:val="none"/>
        </w:rPr>
        <w:fldChar w:fldCharType="begin"/>
      </w:r>
      <w:r>
        <w:rPr>
          <w:color w:val="auto"/>
          <w:highlight w:val="none"/>
        </w:rPr>
        <w:instrText xml:space="preserve"> PAGEREF _Toc20087 </w:instrText>
      </w:r>
      <w:r>
        <w:rPr>
          <w:color w:val="auto"/>
          <w:highlight w:val="none"/>
        </w:rPr>
        <w:fldChar w:fldCharType="separate"/>
      </w:r>
      <w:r>
        <w:rPr>
          <w:color w:val="auto"/>
          <w:highlight w:val="none"/>
        </w:rPr>
        <w:t>27</w:t>
      </w:r>
      <w:r>
        <w:rPr>
          <w:color w:val="auto"/>
          <w:highlight w:val="none"/>
        </w:rPr>
        <w:fldChar w:fldCharType="end"/>
      </w:r>
    </w:p>
    <w:p>
      <w:pPr>
        <w:pStyle w:val="30"/>
        <w:tabs>
          <w:tab w:val="right" w:leader="dot" w:pos="8730"/>
          <w:tab w:val="clear" w:pos="8720"/>
        </w:tabs>
        <w:rPr>
          <w:color w:val="auto"/>
          <w:highlight w:val="none"/>
        </w:rPr>
      </w:pPr>
      <w:r>
        <w:rPr>
          <w:rFonts w:hint="eastAsia" w:ascii="宋体" w:hAnsi="宋体" w:cs="宋体"/>
          <w:color w:val="auto"/>
          <w:szCs w:val="30"/>
          <w:highlight w:val="none"/>
        </w:rPr>
        <w:t>第六部分  投标文件格式</w:t>
      </w:r>
      <w:r>
        <w:rPr>
          <w:color w:val="auto"/>
          <w:highlight w:val="none"/>
        </w:rPr>
        <w:tab/>
      </w:r>
      <w:r>
        <w:rPr>
          <w:color w:val="auto"/>
          <w:highlight w:val="none"/>
        </w:rPr>
        <w:fldChar w:fldCharType="begin"/>
      </w:r>
      <w:r>
        <w:rPr>
          <w:color w:val="auto"/>
          <w:highlight w:val="none"/>
        </w:rPr>
        <w:instrText xml:space="preserve"> PAGEREF _Toc21580 </w:instrText>
      </w:r>
      <w:r>
        <w:rPr>
          <w:color w:val="auto"/>
          <w:highlight w:val="none"/>
        </w:rPr>
        <w:fldChar w:fldCharType="separate"/>
      </w:r>
      <w:r>
        <w:rPr>
          <w:color w:val="auto"/>
          <w:highlight w:val="none"/>
        </w:rPr>
        <w:t>40</w:t>
      </w:r>
      <w:r>
        <w:rPr>
          <w:color w:val="auto"/>
          <w:highlight w:val="none"/>
        </w:rPr>
        <w:fldChar w:fldCharType="end"/>
      </w:r>
    </w:p>
    <w:p>
      <w:pPr>
        <w:pStyle w:val="35"/>
        <w:tabs>
          <w:tab w:val="right" w:leader="dot" w:pos="8730"/>
          <w:tab w:val="clear" w:pos="8720"/>
        </w:tabs>
        <w:rPr>
          <w:color w:val="auto"/>
          <w:highlight w:val="none"/>
        </w:rPr>
      </w:pPr>
      <w:r>
        <w:rPr>
          <w:rFonts w:hint="eastAsia" w:ascii="宋体" w:hAnsi="宋体" w:cs="宋体"/>
          <w:bCs/>
          <w:snapToGrid w:val="0"/>
          <w:color w:val="auto"/>
          <w:kern w:val="0"/>
          <w:szCs w:val="21"/>
          <w:highlight w:val="none"/>
        </w:rPr>
        <w:t>一、投标文件封面（格式供参考）</w:t>
      </w:r>
      <w:r>
        <w:rPr>
          <w:color w:val="auto"/>
          <w:highlight w:val="none"/>
        </w:rPr>
        <w:tab/>
      </w:r>
      <w:r>
        <w:rPr>
          <w:color w:val="auto"/>
          <w:highlight w:val="none"/>
        </w:rPr>
        <w:fldChar w:fldCharType="begin"/>
      </w:r>
      <w:r>
        <w:rPr>
          <w:color w:val="auto"/>
          <w:highlight w:val="none"/>
        </w:rPr>
        <w:instrText xml:space="preserve"> PAGEREF _Toc22468 </w:instrText>
      </w:r>
      <w:r>
        <w:rPr>
          <w:color w:val="auto"/>
          <w:highlight w:val="none"/>
        </w:rPr>
        <w:fldChar w:fldCharType="separate"/>
      </w:r>
      <w:r>
        <w:rPr>
          <w:color w:val="auto"/>
          <w:highlight w:val="none"/>
        </w:rPr>
        <w:t>41</w:t>
      </w:r>
      <w:r>
        <w:rPr>
          <w:color w:val="auto"/>
          <w:highlight w:val="none"/>
        </w:rPr>
        <w:fldChar w:fldCharType="end"/>
      </w:r>
    </w:p>
    <w:p>
      <w:pPr>
        <w:pStyle w:val="35"/>
        <w:tabs>
          <w:tab w:val="right" w:leader="dot" w:pos="8730"/>
          <w:tab w:val="clear" w:pos="8720"/>
        </w:tabs>
        <w:rPr>
          <w:color w:val="auto"/>
          <w:highlight w:val="none"/>
        </w:rPr>
      </w:pPr>
      <w:r>
        <w:rPr>
          <w:rFonts w:hint="eastAsia" w:ascii="宋体" w:hAnsi="宋体" w:cs="宋体"/>
          <w:bCs/>
          <w:color w:val="auto"/>
          <w:highlight w:val="none"/>
        </w:rPr>
        <w:t>二、资格响应文件</w:t>
      </w:r>
      <w:r>
        <w:rPr>
          <w:color w:val="auto"/>
          <w:highlight w:val="none"/>
        </w:rPr>
        <w:tab/>
      </w:r>
      <w:r>
        <w:rPr>
          <w:color w:val="auto"/>
          <w:highlight w:val="none"/>
        </w:rPr>
        <w:fldChar w:fldCharType="begin"/>
      </w:r>
      <w:r>
        <w:rPr>
          <w:color w:val="auto"/>
          <w:highlight w:val="none"/>
        </w:rPr>
        <w:instrText xml:space="preserve"> PAGEREF _Toc22694 </w:instrText>
      </w:r>
      <w:r>
        <w:rPr>
          <w:color w:val="auto"/>
          <w:highlight w:val="none"/>
        </w:rPr>
        <w:fldChar w:fldCharType="separate"/>
      </w:r>
      <w:r>
        <w:rPr>
          <w:color w:val="auto"/>
          <w:highlight w:val="none"/>
        </w:rPr>
        <w:t>43</w:t>
      </w:r>
      <w:r>
        <w:rPr>
          <w:color w:val="auto"/>
          <w:highlight w:val="none"/>
        </w:rPr>
        <w:fldChar w:fldCharType="end"/>
      </w:r>
    </w:p>
    <w:p>
      <w:pPr>
        <w:pStyle w:val="35"/>
        <w:tabs>
          <w:tab w:val="right" w:leader="dot" w:pos="8730"/>
          <w:tab w:val="clear" w:pos="8720"/>
        </w:tabs>
        <w:rPr>
          <w:color w:val="auto"/>
          <w:highlight w:val="none"/>
        </w:rPr>
      </w:pPr>
      <w:r>
        <w:rPr>
          <w:rFonts w:hint="eastAsia" w:ascii="宋体" w:hAnsi="宋体" w:cs="宋体"/>
          <w:color w:val="auto"/>
          <w:highlight w:val="none"/>
        </w:rPr>
        <w:t>三、商务技术响应文件部分格式</w:t>
      </w:r>
      <w:r>
        <w:rPr>
          <w:color w:val="auto"/>
          <w:highlight w:val="none"/>
        </w:rPr>
        <w:tab/>
      </w:r>
      <w:r>
        <w:rPr>
          <w:color w:val="auto"/>
          <w:highlight w:val="none"/>
        </w:rPr>
        <w:fldChar w:fldCharType="begin"/>
      </w:r>
      <w:r>
        <w:rPr>
          <w:color w:val="auto"/>
          <w:highlight w:val="none"/>
        </w:rPr>
        <w:instrText xml:space="preserve"> PAGEREF _Toc8909 </w:instrText>
      </w:r>
      <w:r>
        <w:rPr>
          <w:color w:val="auto"/>
          <w:highlight w:val="none"/>
        </w:rPr>
        <w:fldChar w:fldCharType="separate"/>
      </w:r>
      <w:r>
        <w:rPr>
          <w:color w:val="auto"/>
          <w:highlight w:val="none"/>
        </w:rPr>
        <w:t>47</w:t>
      </w:r>
      <w:r>
        <w:rPr>
          <w:color w:val="auto"/>
          <w:highlight w:val="none"/>
        </w:rPr>
        <w:fldChar w:fldCharType="end"/>
      </w:r>
    </w:p>
    <w:p>
      <w:pPr>
        <w:pStyle w:val="35"/>
        <w:tabs>
          <w:tab w:val="right" w:leader="dot" w:pos="8730"/>
          <w:tab w:val="clear" w:pos="8720"/>
        </w:tabs>
        <w:rPr>
          <w:rFonts w:hint="default" w:eastAsia="宋体"/>
          <w:color w:val="auto"/>
          <w:highlight w:val="none"/>
          <w:lang w:val="en-US" w:eastAsia="zh-CN"/>
        </w:rPr>
      </w:pPr>
      <w:r>
        <w:rPr>
          <w:rFonts w:hint="eastAsia" w:ascii="宋体" w:hAnsi="宋体" w:cs="宋体"/>
          <w:color w:val="auto"/>
          <w:highlight w:val="none"/>
        </w:rPr>
        <w:t>四、报价响应文件部分格式</w:t>
      </w:r>
      <w:r>
        <w:rPr>
          <w:color w:val="auto"/>
          <w:highlight w:val="none"/>
        </w:rPr>
        <w:tab/>
      </w:r>
      <w:r>
        <w:rPr>
          <w:rFonts w:hint="eastAsia"/>
          <w:color w:val="auto"/>
          <w:highlight w:val="none"/>
          <w:lang w:val="en-US" w:eastAsia="zh-CN"/>
        </w:rPr>
        <w:t>56</w:t>
      </w:r>
    </w:p>
    <w:p>
      <w:pPr>
        <w:pStyle w:val="30"/>
        <w:tabs>
          <w:tab w:val="right" w:leader="dot" w:pos="8730"/>
          <w:tab w:val="clear" w:pos="8720"/>
        </w:tabs>
        <w:rPr>
          <w:rFonts w:hint="default" w:eastAsia="宋体"/>
          <w:color w:val="auto"/>
          <w:highlight w:val="none"/>
          <w:lang w:val="en-US" w:eastAsia="zh-CN"/>
        </w:rPr>
      </w:pPr>
      <w:r>
        <w:rPr>
          <w:rFonts w:hint="eastAsia" w:ascii="宋体" w:hAnsi="宋体" w:cs="宋体"/>
          <w:color w:val="auto"/>
          <w:szCs w:val="30"/>
          <w:highlight w:val="none"/>
        </w:rPr>
        <w:t>第七部分   其它</w:t>
      </w:r>
      <w:r>
        <w:rPr>
          <w:color w:val="auto"/>
          <w:highlight w:val="none"/>
        </w:rPr>
        <w:tab/>
      </w:r>
      <w:r>
        <w:rPr>
          <w:rFonts w:hint="eastAsia"/>
          <w:color w:val="auto"/>
          <w:highlight w:val="none"/>
          <w:lang w:val="en-US" w:eastAsia="zh-CN"/>
        </w:rPr>
        <w:t>65</w:t>
      </w:r>
    </w:p>
    <w:p>
      <w:pPr>
        <w:jc w:val="center"/>
        <w:rPr>
          <w:rFonts w:ascii="宋体" w:hAnsi="宋体" w:cs="宋体"/>
          <w:color w:val="auto"/>
          <w:szCs w:val="21"/>
          <w:highlight w:val="none"/>
        </w:rPr>
        <w:sectPr>
          <w:headerReference r:id="rId3" w:type="default"/>
          <w:footerReference r:id="rId4" w:type="default"/>
          <w:pgSz w:w="11906" w:h="16838"/>
          <w:pgMar w:top="1418" w:right="1588" w:bottom="1418" w:left="1588" w:header="851" w:footer="992" w:gutter="0"/>
          <w:pgNumType w:start="0"/>
          <w:cols w:space="720" w:num="1"/>
          <w:titlePg/>
          <w:docGrid w:type="lines" w:linePitch="312" w:charSpace="0"/>
        </w:sectPr>
      </w:pPr>
      <w:r>
        <w:rPr>
          <w:rFonts w:hint="eastAsia" w:ascii="宋体" w:hAnsi="宋体" w:cs="宋体"/>
          <w:color w:val="auto"/>
          <w:szCs w:val="21"/>
          <w:highlight w:val="none"/>
        </w:rPr>
        <w:fldChar w:fldCharType="end"/>
      </w:r>
    </w:p>
    <w:p>
      <w:pPr>
        <w:pStyle w:val="3"/>
        <w:tabs>
          <w:tab w:val="right" w:leader="dot" w:pos="9000"/>
        </w:tabs>
        <w:snapToGrid w:val="0"/>
        <w:spacing w:before="0" w:after="0"/>
        <w:jc w:val="center"/>
        <w:rPr>
          <w:rStyle w:val="72"/>
          <w:rFonts w:ascii="宋体" w:hAnsi="宋体" w:eastAsia="宋体"/>
          <w:b/>
          <w:bCs/>
          <w:color w:val="auto"/>
          <w:sz w:val="32"/>
          <w:highlight w:val="none"/>
        </w:rPr>
      </w:pPr>
      <w:bookmarkStart w:id="0" w:name="_Toc118516209"/>
      <w:bookmarkStart w:id="1" w:name="_Toc171394907"/>
      <w:bookmarkStart w:id="2" w:name="_Toc185012671"/>
      <w:bookmarkStart w:id="3" w:name="_Toc251221438"/>
      <w:bookmarkStart w:id="4" w:name="_Toc251189093"/>
      <w:r>
        <w:rPr>
          <w:rFonts w:hint="eastAsia" w:ascii="宋体" w:hAnsi="宋体" w:eastAsia="宋体"/>
          <w:color w:val="auto"/>
          <w:sz w:val="32"/>
          <w:highlight w:val="none"/>
        </w:rPr>
        <w:t>第一部分</w:t>
      </w:r>
      <w:bookmarkEnd w:id="0"/>
      <w:r>
        <w:rPr>
          <w:rFonts w:hint="eastAsia" w:ascii="宋体" w:hAnsi="宋体" w:eastAsia="宋体"/>
          <w:color w:val="auto"/>
          <w:sz w:val="32"/>
          <w:highlight w:val="none"/>
        </w:rPr>
        <w:t xml:space="preserve"> 公开招标公告</w:t>
      </w:r>
      <w:bookmarkEnd w:id="1"/>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7" w:hRule="atLeast"/>
        </w:trPr>
        <w:tc>
          <w:tcPr>
            <w:tcW w:w="8522" w:type="dxa"/>
            <w:vAlign w:val="center"/>
          </w:tcPr>
          <w:p>
            <w:pPr>
              <w:widowControl/>
              <w:adjustRightInd w:val="0"/>
              <w:snapToGrid w:val="0"/>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项目概况</w:t>
            </w:r>
          </w:p>
          <w:p>
            <w:pPr>
              <w:widowControl/>
              <w:adjustRightInd w:val="0"/>
              <w:snapToGrid w:val="0"/>
              <w:spacing w:line="360" w:lineRule="auto"/>
              <w:rPr>
                <w:rFonts w:ascii="宋体" w:hAnsi="宋体" w:cs="Arial"/>
                <w:color w:val="auto"/>
                <w:szCs w:val="21"/>
                <w:highlight w:val="none"/>
              </w:rPr>
            </w:pPr>
            <w:r>
              <w:rPr>
                <w:rFonts w:hint="eastAsia" w:ascii="宋体" w:hAnsi="宋体" w:cs="Arial"/>
                <w:color w:val="auto"/>
                <w:szCs w:val="21"/>
                <w:highlight w:val="none"/>
              </w:rPr>
              <w:t>   </w:t>
            </w:r>
            <w:r>
              <w:rPr>
                <w:rFonts w:hint="eastAsia" w:ascii="宋体" w:hAnsi="宋体" w:cs="Arial"/>
                <w:color w:val="auto"/>
                <w:szCs w:val="21"/>
                <w:highlight w:val="none"/>
                <w:u w:val="single"/>
              </w:rPr>
              <w:t> </w:t>
            </w:r>
            <w:r>
              <w:rPr>
                <w:rFonts w:hint="eastAsia" w:ascii="宋体" w:hAnsi="宋体" w:cs="Arial"/>
                <w:color w:val="auto"/>
                <w:szCs w:val="21"/>
                <w:highlight w:val="none"/>
                <w:u w:val="single"/>
                <w:lang w:eastAsia="zh-CN"/>
              </w:rPr>
              <w:t>《“三江汇”杭州未来城市实践区控制性规划》</w:t>
            </w:r>
            <w:r>
              <w:rPr>
                <w:rFonts w:hint="eastAsia" w:ascii="宋体" w:hAnsi="宋体" w:cs="Arial"/>
                <w:color w:val="auto"/>
                <w:szCs w:val="21"/>
                <w:highlight w:val="none"/>
                <w:u w:val="single"/>
              </w:rPr>
              <w:t> </w:t>
            </w:r>
            <w:r>
              <w:rPr>
                <w:rFonts w:hint="eastAsia" w:ascii="宋体" w:hAnsi="宋体" w:cs="Arial"/>
                <w:color w:val="auto"/>
                <w:szCs w:val="21"/>
                <w:highlight w:val="none"/>
              </w:rPr>
              <w:t>采购项目的潜在供应商应在</w:t>
            </w:r>
            <w:r>
              <w:rPr>
                <w:rFonts w:hint="eastAsia" w:ascii="宋体" w:hAnsi="宋体" w:cs="Arial"/>
                <w:color w:val="auto"/>
                <w:szCs w:val="21"/>
                <w:highlight w:val="none"/>
                <w:u w:val="single"/>
              </w:rPr>
              <w:t> 政府采购云平台（www.zcygov.cn） </w:t>
            </w:r>
            <w:r>
              <w:rPr>
                <w:rFonts w:hint="eastAsia" w:ascii="宋体" w:hAnsi="宋体" w:cs="Arial"/>
                <w:color w:val="auto"/>
                <w:szCs w:val="21"/>
                <w:highlight w:val="none"/>
              </w:rPr>
              <w:t>获取（下载）采购文件，并于 </w:t>
            </w:r>
            <w:r>
              <w:rPr>
                <w:rFonts w:hint="eastAsia" w:ascii="宋体" w:hAnsi="宋体" w:cs="Arial"/>
                <w:color w:val="auto"/>
                <w:szCs w:val="21"/>
                <w:highlight w:val="none"/>
                <w:u w:val="single"/>
              </w:rPr>
              <w:t xml:space="preserve"> 2021年</w:t>
            </w:r>
            <w:r>
              <w:rPr>
                <w:rFonts w:hint="eastAsia" w:ascii="宋体" w:hAnsi="宋体" w:cs="Arial"/>
                <w:color w:val="auto"/>
                <w:szCs w:val="21"/>
                <w:highlight w:val="none"/>
                <w:u w:val="single"/>
                <w:lang w:val="en-US" w:eastAsia="zh-CN"/>
              </w:rPr>
              <w:t>3</w:t>
            </w:r>
            <w:r>
              <w:rPr>
                <w:rFonts w:hint="eastAsia" w:ascii="宋体" w:hAnsi="宋体" w:cs="Arial"/>
                <w:color w:val="auto"/>
                <w:szCs w:val="21"/>
                <w:highlight w:val="none"/>
                <w:u w:val="single"/>
              </w:rPr>
              <w:t>月</w:t>
            </w:r>
            <w:r>
              <w:rPr>
                <w:rFonts w:hint="eastAsia" w:ascii="宋体" w:hAnsi="宋体" w:cs="Arial"/>
                <w:color w:val="auto"/>
                <w:szCs w:val="21"/>
                <w:highlight w:val="none"/>
                <w:u w:val="single"/>
                <w:lang w:val="en-US" w:eastAsia="zh-CN"/>
              </w:rPr>
              <w:t xml:space="preserve">2 </w:t>
            </w:r>
            <w:r>
              <w:rPr>
                <w:rFonts w:hint="eastAsia" w:ascii="宋体" w:hAnsi="宋体" w:cs="Arial"/>
                <w:color w:val="auto"/>
                <w:szCs w:val="21"/>
                <w:highlight w:val="none"/>
                <w:u w:val="single"/>
              </w:rPr>
              <w:t xml:space="preserve">日 </w:t>
            </w:r>
            <w:r>
              <w:rPr>
                <w:rFonts w:hint="eastAsia" w:ascii="宋体" w:hAnsi="宋体" w:cs="Arial"/>
                <w:color w:val="auto"/>
                <w:szCs w:val="21"/>
                <w:highlight w:val="none"/>
                <w:u w:val="single"/>
                <w:lang w:val="en-US" w:eastAsia="zh-CN"/>
              </w:rPr>
              <w:t>9</w:t>
            </w:r>
            <w:r>
              <w:rPr>
                <w:rFonts w:hint="eastAsia" w:ascii="宋体" w:hAnsi="宋体" w:cs="Arial"/>
                <w:color w:val="auto"/>
                <w:szCs w:val="21"/>
                <w:highlight w:val="none"/>
                <w:u w:val="single"/>
              </w:rPr>
              <w:t>:</w:t>
            </w:r>
            <w:r>
              <w:rPr>
                <w:rFonts w:hint="eastAsia" w:ascii="宋体" w:hAnsi="宋体" w:cs="Arial"/>
                <w:color w:val="auto"/>
                <w:szCs w:val="21"/>
                <w:highlight w:val="none"/>
                <w:u w:val="single"/>
                <w:lang w:val="en-US" w:eastAsia="zh-CN"/>
              </w:rPr>
              <w:t>30</w:t>
            </w:r>
            <w:r>
              <w:rPr>
                <w:rFonts w:hint="eastAsia" w:ascii="宋体" w:hAnsi="宋体" w:cs="Arial"/>
                <w:color w:val="auto"/>
                <w:szCs w:val="21"/>
                <w:highlight w:val="none"/>
                <w:u w:val="single"/>
              </w:rPr>
              <w:t> </w:t>
            </w:r>
            <w:r>
              <w:rPr>
                <w:rFonts w:hint="eastAsia" w:ascii="宋体" w:hAnsi="宋体" w:cs="Arial"/>
                <w:color w:val="auto"/>
                <w:szCs w:val="21"/>
                <w:highlight w:val="none"/>
              </w:rPr>
              <w:t>（北京时间）前提交（上传）</w:t>
            </w:r>
            <w:r>
              <w:rPr>
                <w:rFonts w:hint="eastAsia"/>
                <w:color w:val="auto"/>
                <w:highlight w:val="none"/>
              </w:rPr>
              <w:t>投标</w:t>
            </w:r>
            <w:r>
              <w:rPr>
                <w:rFonts w:hint="eastAsia" w:ascii="宋体" w:hAnsi="宋体" w:cs="Arial"/>
                <w:color w:val="auto"/>
                <w:szCs w:val="21"/>
                <w:highlight w:val="none"/>
              </w:rPr>
              <w:t>文件。</w:t>
            </w:r>
          </w:p>
        </w:tc>
      </w:tr>
    </w:tbl>
    <w:p>
      <w:pPr>
        <w:widowControl/>
        <w:spacing w:before="213" w:after="213" w:line="401" w:lineRule="atLeast"/>
        <w:rPr>
          <w:rFonts w:ascii="宋体" w:hAnsi="宋体" w:cs="Arial"/>
          <w:color w:val="auto"/>
          <w:szCs w:val="21"/>
          <w:highlight w:val="none"/>
        </w:rPr>
      </w:pPr>
      <w:r>
        <w:rPr>
          <w:rFonts w:hint="eastAsia" w:ascii="宋体" w:hAnsi="宋体" w:cs="Arial"/>
          <w:b/>
          <w:bCs/>
          <w:color w:val="auto"/>
          <w:szCs w:val="21"/>
          <w:highlight w:val="none"/>
        </w:rPr>
        <w:t>一、项目基本情况</w:t>
      </w:r>
    </w:p>
    <w:p>
      <w:pPr>
        <w:widowControl/>
        <w:adjustRightInd w:val="0"/>
        <w:snapToGrid w:val="0"/>
        <w:spacing w:line="360" w:lineRule="auto"/>
        <w:ind w:firstLine="420" w:firstLineChars="200"/>
        <w:jc w:val="left"/>
        <w:rPr>
          <w:rFonts w:hint="eastAsia" w:ascii="宋体" w:hAnsi="宋体" w:eastAsia="宋体" w:cs="Arial"/>
          <w:color w:val="auto"/>
          <w:szCs w:val="21"/>
          <w:highlight w:val="none"/>
          <w:lang w:eastAsia="zh-CN"/>
        </w:rPr>
      </w:pPr>
      <w:r>
        <w:rPr>
          <w:rFonts w:hint="eastAsia" w:ascii="宋体" w:hAnsi="宋体" w:cs="Arial"/>
          <w:color w:val="auto"/>
          <w:szCs w:val="21"/>
          <w:highlight w:val="none"/>
        </w:rPr>
        <w:t>项目编号： ZJ-</w:t>
      </w:r>
      <w:r>
        <w:rPr>
          <w:rFonts w:hint="eastAsia" w:ascii="宋体" w:hAnsi="宋体" w:cs="Arial"/>
          <w:color w:val="auto"/>
          <w:szCs w:val="21"/>
          <w:highlight w:val="none"/>
          <w:lang w:eastAsia="zh-CN"/>
        </w:rPr>
        <w:t>2110301</w:t>
      </w:r>
    </w:p>
    <w:p>
      <w:pPr>
        <w:widowControl/>
        <w:adjustRightInd w:val="0"/>
        <w:snapToGrid w:val="0"/>
        <w:spacing w:line="360" w:lineRule="auto"/>
        <w:ind w:firstLine="420" w:firstLineChars="200"/>
        <w:jc w:val="left"/>
        <w:rPr>
          <w:rFonts w:hint="eastAsia" w:ascii="宋体" w:hAnsi="宋体" w:eastAsia="宋体" w:cs="Arial"/>
          <w:color w:val="auto"/>
          <w:szCs w:val="21"/>
          <w:highlight w:val="none"/>
          <w:lang w:eastAsia="zh-CN"/>
        </w:rPr>
      </w:pPr>
      <w:r>
        <w:rPr>
          <w:rFonts w:hint="eastAsia" w:ascii="宋体" w:hAnsi="宋体" w:cs="Arial"/>
          <w:color w:val="auto"/>
          <w:szCs w:val="21"/>
          <w:highlight w:val="none"/>
        </w:rPr>
        <w:t>项目名称： </w:t>
      </w:r>
      <w:r>
        <w:rPr>
          <w:rFonts w:hint="eastAsia" w:ascii="宋体" w:hAnsi="宋体" w:cs="Arial"/>
          <w:color w:val="auto"/>
          <w:szCs w:val="21"/>
          <w:highlight w:val="none"/>
          <w:lang w:eastAsia="zh-CN"/>
        </w:rPr>
        <w:t>《“三江汇”杭州未来城市实践区控制性规划》项目</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预算金额（元）：</w:t>
      </w:r>
      <w:r>
        <w:rPr>
          <w:rFonts w:hint="eastAsia" w:ascii="宋体" w:hAnsi="宋体" w:cs="Arial"/>
          <w:color w:val="auto"/>
          <w:szCs w:val="21"/>
          <w:highlight w:val="none"/>
          <w:lang w:val="en-US" w:eastAsia="zh-CN"/>
        </w:rPr>
        <w:t>5100000</w:t>
      </w:r>
      <w:r>
        <w:rPr>
          <w:rFonts w:hint="eastAsia" w:ascii="宋体" w:hAnsi="宋体" w:cs="Arial"/>
          <w:color w:val="auto"/>
          <w:szCs w:val="21"/>
          <w:highlight w:val="none"/>
        </w:rPr>
        <w:t>.00</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最高限价（元）：</w:t>
      </w:r>
      <w:r>
        <w:rPr>
          <w:rFonts w:hint="eastAsia" w:ascii="宋体" w:hAnsi="宋体" w:cs="Arial"/>
          <w:color w:val="auto"/>
          <w:szCs w:val="21"/>
          <w:highlight w:val="none"/>
          <w:lang w:val="en-US" w:eastAsia="zh-CN"/>
        </w:rPr>
        <w:t>5100000</w:t>
      </w:r>
      <w:r>
        <w:rPr>
          <w:rFonts w:hint="eastAsia" w:ascii="宋体" w:hAnsi="宋体" w:cs="Arial"/>
          <w:color w:val="auto"/>
          <w:szCs w:val="21"/>
          <w:highlight w:val="none"/>
        </w:rPr>
        <w:t>.00</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采购需求：                                  </w:t>
      </w:r>
    </w:p>
    <w:p>
      <w:pPr>
        <w:spacing w:line="360" w:lineRule="auto"/>
        <w:rPr>
          <w:rFonts w:hint="eastAsia" w:eastAsia="宋体"/>
          <w:color w:val="auto"/>
          <w:highlight w:val="none"/>
          <w:lang w:eastAsia="zh-CN"/>
        </w:rPr>
      </w:pPr>
      <w:r>
        <w:rPr>
          <w:color w:val="auto"/>
          <w:highlight w:val="none"/>
        </w:rPr>
        <w:t xml:space="preserve">    标项名称</w:t>
      </w:r>
      <w:r>
        <w:rPr>
          <w:rFonts w:hint="eastAsia" w:ascii="宋体" w:hAnsi="宋体" w:cs="宋体"/>
          <w:color w:val="auto"/>
          <w:kern w:val="0"/>
          <w:szCs w:val="21"/>
          <w:highlight w:val="none"/>
        </w:rPr>
        <w:t>:</w:t>
      </w:r>
      <w:r>
        <w:rPr>
          <w:rFonts w:hint="eastAsia" w:ascii="宋体" w:hAnsi="宋体" w:cs="Arial"/>
          <w:color w:val="auto"/>
          <w:szCs w:val="21"/>
          <w:highlight w:val="none"/>
          <w:lang w:eastAsia="zh-CN"/>
        </w:rPr>
        <w:t>《“三江汇”杭州未来城市实践区控制性规划》项目</w:t>
      </w:r>
    </w:p>
    <w:p>
      <w:pPr>
        <w:spacing w:line="360" w:lineRule="auto"/>
        <w:rPr>
          <w:color w:val="auto"/>
          <w:highlight w:val="none"/>
        </w:rPr>
      </w:pPr>
      <w:r>
        <w:rPr>
          <w:color w:val="auto"/>
          <w:highlight w:val="none"/>
        </w:rPr>
        <w:t xml:space="preserve">    数量:   1</w:t>
      </w:r>
      <w:r>
        <w:rPr>
          <w:rFonts w:hint="eastAsia"/>
          <w:color w:val="auto"/>
          <w:highlight w:val="none"/>
        </w:rPr>
        <w:t>项</w:t>
      </w:r>
    </w:p>
    <w:p>
      <w:pPr>
        <w:spacing w:line="360" w:lineRule="auto"/>
        <w:ind w:firstLine="210" w:firstLineChars="100"/>
        <w:rPr>
          <w:color w:val="auto"/>
          <w:highlight w:val="none"/>
        </w:rPr>
      </w:pPr>
      <w:r>
        <w:rPr>
          <w:rFonts w:hint="eastAsia" w:ascii="宋体" w:hAnsi="宋体" w:cs="Arial"/>
          <w:color w:val="auto"/>
          <w:szCs w:val="21"/>
          <w:highlight w:val="none"/>
        </w:rPr>
        <w:t xml:space="preserve">  预算金额（元）:</w:t>
      </w:r>
      <w:r>
        <w:rPr>
          <w:rFonts w:hint="eastAsia" w:ascii="宋体" w:hAnsi="宋体" w:cs="Arial"/>
          <w:color w:val="auto"/>
          <w:szCs w:val="21"/>
          <w:highlight w:val="none"/>
          <w:lang w:val="en-US" w:eastAsia="zh-CN"/>
        </w:rPr>
        <w:t>5100000</w:t>
      </w:r>
      <w:r>
        <w:rPr>
          <w:rFonts w:hint="eastAsia" w:ascii="宋体" w:hAnsi="宋体" w:cs="Arial"/>
          <w:color w:val="auto"/>
          <w:szCs w:val="21"/>
          <w:highlight w:val="none"/>
        </w:rPr>
        <w:t>.00</w:t>
      </w:r>
    </w:p>
    <w:p>
      <w:pPr>
        <w:spacing w:line="360" w:lineRule="auto"/>
        <w:rPr>
          <w:rFonts w:hAnsi="宋体"/>
          <w:color w:val="auto"/>
          <w:szCs w:val="21"/>
          <w:highlight w:val="none"/>
        </w:rPr>
      </w:pPr>
      <w:r>
        <w:rPr>
          <w:color w:val="auto"/>
          <w:highlight w:val="none"/>
        </w:rPr>
        <w:t xml:space="preserve">    简要规格描述或项目基本概况介绍、用途：</w:t>
      </w: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落实上位规划要求，开展现行单元控规实施评估；2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明确控规单元划分方案及功能定位；3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明确各单元控规编制的底线要求和弹性要求；</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加强案例剖析；</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.开展应对未来城市构建方面的系列专题研究；</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.制定指导下一步工作的工作方案，并配合做好后续与控规强制性内容调配协调等相关服务工作。</w:t>
      </w:r>
    </w:p>
    <w:p>
      <w:pPr>
        <w:widowControl/>
        <w:spacing w:before="63" w:after="63"/>
        <w:ind w:firstLine="420" w:firstLineChars="200"/>
        <w:jc w:val="left"/>
        <w:rPr>
          <w:rFonts w:ascii="Times New Roman" w:hAnsi="Times New Roman"/>
          <w:color w:val="auto"/>
          <w:highlight w:val="none"/>
        </w:rPr>
      </w:pPr>
      <w:r>
        <w:rPr>
          <w:rFonts w:hint="eastAsia" w:ascii="Times New Roman" w:hAnsi="Times New Roman"/>
          <w:color w:val="auto"/>
          <w:highlight w:val="none"/>
        </w:rPr>
        <w:t xml:space="preserve">  备注：</w:t>
      </w:r>
    </w:p>
    <w:p>
      <w:pPr>
        <w:widowControl/>
        <w:spacing w:before="63" w:after="63"/>
        <w:ind w:firstLine="630" w:firstLineChars="300"/>
        <w:jc w:val="left"/>
        <w:rPr>
          <w:rFonts w:ascii="宋体" w:hAnsi="宋体" w:cs="Arial"/>
          <w:color w:val="auto"/>
          <w:szCs w:val="21"/>
          <w:highlight w:val="none"/>
        </w:rPr>
      </w:pPr>
      <w:r>
        <w:rPr>
          <w:rFonts w:hint="eastAsia" w:ascii="宋体" w:hAnsi="宋体" w:cs="Arial"/>
          <w:color w:val="auto"/>
          <w:szCs w:val="21"/>
          <w:highlight w:val="none"/>
        </w:rPr>
        <w:t>合同履行期限：按照采购文件要求</w:t>
      </w:r>
    </w:p>
    <w:p>
      <w:pPr>
        <w:pStyle w:val="52"/>
        <w:ind w:firstLine="630" w:firstLineChars="300"/>
        <w:rPr>
          <w:rFonts w:ascii="宋体" w:hAnsi="宋体" w:eastAsia="宋体" w:cs="Arial"/>
          <w:color w:val="auto"/>
          <w:kern w:val="2"/>
          <w:sz w:val="21"/>
          <w:szCs w:val="21"/>
          <w:highlight w:val="none"/>
        </w:rPr>
      </w:pPr>
      <w:r>
        <w:rPr>
          <w:rFonts w:hint="eastAsia" w:ascii="宋体" w:hAnsi="宋体" w:eastAsia="宋体" w:cs="Arial"/>
          <w:color w:val="auto"/>
          <w:kern w:val="2"/>
          <w:sz w:val="21"/>
          <w:szCs w:val="21"/>
          <w:highlight w:val="none"/>
        </w:rPr>
        <w:t>本项目</w:t>
      </w:r>
      <w:r>
        <w:rPr>
          <w:rFonts w:hint="eastAsia" w:ascii="宋体" w:hAnsi="宋体" w:eastAsia="宋体" w:cs="Arial"/>
          <w:color w:val="auto"/>
          <w:kern w:val="2"/>
          <w:sz w:val="21"/>
          <w:szCs w:val="21"/>
          <w:highlight w:val="none"/>
          <w:lang w:eastAsia="zh-CN"/>
        </w:rPr>
        <w:t>不</w:t>
      </w:r>
      <w:r>
        <w:rPr>
          <w:rFonts w:hint="eastAsia" w:ascii="宋体" w:hAnsi="宋体" w:eastAsia="宋体" w:cs="Arial"/>
          <w:color w:val="auto"/>
          <w:kern w:val="2"/>
          <w:sz w:val="21"/>
          <w:szCs w:val="21"/>
          <w:highlight w:val="none"/>
        </w:rPr>
        <w:t>接受联合体投标。</w:t>
      </w:r>
    </w:p>
    <w:p>
      <w:pPr>
        <w:pStyle w:val="52"/>
        <w:rPr>
          <w:rFonts w:ascii="宋体" w:hAnsi="宋体" w:eastAsia="宋体" w:cs="Arial"/>
          <w:color w:val="auto"/>
          <w:sz w:val="21"/>
          <w:szCs w:val="21"/>
          <w:highlight w:val="none"/>
        </w:rPr>
      </w:pPr>
    </w:p>
    <w:p>
      <w:pPr>
        <w:widowControl/>
        <w:spacing w:before="213" w:after="213" w:line="401" w:lineRule="atLeast"/>
        <w:rPr>
          <w:rFonts w:ascii="宋体" w:hAnsi="宋体" w:cs="Arial"/>
          <w:color w:val="auto"/>
          <w:szCs w:val="21"/>
          <w:highlight w:val="none"/>
        </w:rPr>
      </w:pPr>
      <w:r>
        <w:rPr>
          <w:rFonts w:hint="eastAsia" w:ascii="宋体" w:hAnsi="宋体" w:cs="Arial"/>
          <w:b/>
          <w:bCs/>
          <w:color w:val="auto"/>
          <w:szCs w:val="21"/>
          <w:highlight w:val="none"/>
        </w:rPr>
        <w:t>二、申请人的资格要求：</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2.落实政府采购政策需满足的资格要求：无</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3.本项目的特定资格要求：</w:t>
      </w:r>
      <w:r>
        <w:rPr>
          <w:rFonts w:hint="eastAsia" w:ascii="宋体" w:hAnsi="宋体" w:cs="宋体"/>
          <w:color w:val="auto"/>
          <w:kern w:val="0"/>
          <w:szCs w:val="21"/>
          <w:highlight w:val="none"/>
        </w:rPr>
        <w:t>具有城乡规划编制单位甲级资质且业务范围符合《城乡规划编制单位资质管理规定》的要求</w:t>
      </w:r>
      <w:r>
        <w:rPr>
          <w:rFonts w:hint="eastAsia" w:ascii="宋体" w:hAnsi="宋体" w:cs="Arial"/>
          <w:color w:val="auto"/>
          <w:szCs w:val="21"/>
          <w:highlight w:val="none"/>
        </w:rPr>
        <w:t>。</w:t>
      </w:r>
    </w:p>
    <w:p>
      <w:pPr>
        <w:widowControl/>
        <w:adjustRightInd w:val="0"/>
        <w:snapToGrid w:val="0"/>
        <w:spacing w:line="360" w:lineRule="auto"/>
        <w:ind w:firstLine="420" w:firstLineChars="200"/>
        <w:jc w:val="left"/>
        <w:rPr>
          <w:rFonts w:ascii="宋体" w:hAnsi="宋体" w:cs="Arial"/>
          <w:color w:val="auto"/>
          <w:szCs w:val="21"/>
          <w:highlight w:val="none"/>
        </w:rPr>
      </w:pPr>
    </w:p>
    <w:p>
      <w:pPr>
        <w:widowControl/>
        <w:spacing w:before="213" w:after="213" w:line="401" w:lineRule="atLeast"/>
        <w:rPr>
          <w:rFonts w:ascii="宋体" w:hAnsi="宋体" w:cs="Arial"/>
          <w:color w:val="auto"/>
          <w:szCs w:val="21"/>
          <w:highlight w:val="none"/>
        </w:rPr>
      </w:pPr>
      <w:r>
        <w:rPr>
          <w:rFonts w:hint="eastAsia" w:ascii="宋体" w:hAnsi="宋体" w:cs="Arial"/>
          <w:b/>
          <w:bCs/>
          <w:color w:val="auto"/>
          <w:szCs w:val="21"/>
          <w:highlight w:val="none"/>
        </w:rPr>
        <w:t>三、获取采购文件：</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时间：</w:t>
      </w:r>
      <w:r>
        <w:rPr>
          <w:rFonts w:hint="eastAsia" w:ascii="宋体" w:hAnsi="宋体" w:cs="Arial"/>
          <w:color w:val="auto"/>
          <w:szCs w:val="21"/>
          <w:highlight w:val="none"/>
          <w:u w:val="single"/>
        </w:rPr>
        <w:t> / </w:t>
      </w:r>
      <w:r>
        <w:rPr>
          <w:rFonts w:hint="eastAsia" w:ascii="宋体" w:hAnsi="宋体" w:cs="Arial"/>
          <w:color w:val="auto"/>
          <w:szCs w:val="21"/>
          <w:highlight w:val="none"/>
        </w:rPr>
        <w:t> 至</w:t>
      </w:r>
      <w:r>
        <w:rPr>
          <w:rFonts w:hint="eastAsia" w:ascii="宋体" w:hAnsi="宋体" w:cs="Arial"/>
          <w:color w:val="auto"/>
          <w:szCs w:val="21"/>
          <w:highlight w:val="none"/>
          <w:u w:val="single"/>
        </w:rPr>
        <w:t xml:space="preserve"> 2021 年</w:t>
      </w:r>
      <w:r>
        <w:rPr>
          <w:rFonts w:hint="eastAsia" w:ascii="宋体" w:hAnsi="宋体" w:cs="Arial"/>
          <w:color w:val="auto"/>
          <w:szCs w:val="21"/>
          <w:highlight w:val="none"/>
          <w:u w:val="single"/>
          <w:lang w:val="en-US" w:eastAsia="zh-CN"/>
        </w:rPr>
        <w:t>3</w:t>
      </w:r>
      <w:r>
        <w:rPr>
          <w:rFonts w:hint="eastAsia" w:ascii="宋体" w:hAnsi="宋体" w:cs="Arial"/>
          <w:color w:val="auto"/>
          <w:szCs w:val="21"/>
          <w:highlight w:val="none"/>
          <w:u w:val="single"/>
        </w:rPr>
        <w:t>月</w:t>
      </w:r>
      <w:r>
        <w:rPr>
          <w:rFonts w:hint="eastAsia" w:ascii="宋体" w:hAnsi="宋体" w:cs="Arial"/>
          <w:color w:val="auto"/>
          <w:szCs w:val="21"/>
          <w:highlight w:val="none"/>
          <w:u w:val="single"/>
          <w:lang w:val="en-US" w:eastAsia="zh-CN"/>
        </w:rPr>
        <w:t>2</w:t>
      </w:r>
      <w:r>
        <w:rPr>
          <w:rFonts w:hint="eastAsia" w:ascii="宋体" w:hAnsi="宋体" w:cs="Arial"/>
          <w:color w:val="auto"/>
          <w:szCs w:val="21"/>
          <w:highlight w:val="none"/>
          <w:u w:val="single"/>
        </w:rPr>
        <w:t xml:space="preserve">日 </w:t>
      </w:r>
      <w:r>
        <w:rPr>
          <w:rFonts w:hint="eastAsia" w:ascii="宋体" w:hAnsi="宋体" w:cs="Arial"/>
          <w:color w:val="auto"/>
          <w:szCs w:val="21"/>
          <w:highlight w:val="none"/>
          <w:u w:val="single"/>
          <w:lang w:val="en-US" w:eastAsia="zh-CN"/>
        </w:rPr>
        <w:t>9</w:t>
      </w:r>
      <w:r>
        <w:rPr>
          <w:rFonts w:hint="eastAsia" w:ascii="宋体" w:hAnsi="宋体" w:cs="Arial"/>
          <w:color w:val="auto"/>
          <w:szCs w:val="21"/>
          <w:highlight w:val="none"/>
          <w:u w:val="single"/>
        </w:rPr>
        <w:t>:</w:t>
      </w:r>
      <w:r>
        <w:rPr>
          <w:rFonts w:hint="eastAsia" w:ascii="宋体" w:hAnsi="宋体" w:cs="Arial"/>
          <w:color w:val="auto"/>
          <w:szCs w:val="21"/>
          <w:highlight w:val="none"/>
          <w:u w:val="single"/>
          <w:lang w:val="en-US" w:eastAsia="zh-CN"/>
        </w:rPr>
        <w:t xml:space="preserve">30 </w:t>
      </w:r>
      <w:r>
        <w:rPr>
          <w:rFonts w:hint="eastAsia" w:ascii="宋体" w:hAnsi="宋体" w:cs="Arial"/>
          <w:color w:val="auto"/>
          <w:szCs w:val="21"/>
          <w:highlight w:val="none"/>
        </w:rPr>
        <w:t> ，每天上午</w:t>
      </w:r>
      <w:r>
        <w:rPr>
          <w:rFonts w:hint="eastAsia" w:ascii="宋体" w:hAnsi="宋体" w:cs="Arial"/>
          <w:color w:val="auto"/>
          <w:szCs w:val="21"/>
          <w:highlight w:val="none"/>
          <w:u w:val="single"/>
        </w:rPr>
        <w:t>00:00至12:00</w:t>
      </w:r>
      <w:r>
        <w:rPr>
          <w:rFonts w:hint="eastAsia" w:ascii="宋体" w:hAnsi="宋体" w:cs="Arial"/>
          <w:color w:val="auto"/>
          <w:szCs w:val="21"/>
          <w:highlight w:val="none"/>
        </w:rPr>
        <w:t>，下午 </w:t>
      </w:r>
      <w:r>
        <w:rPr>
          <w:rFonts w:hint="eastAsia" w:ascii="宋体" w:hAnsi="宋体" w:cs="Arial"/>
          <w:color w:val="auto"/>
          <w:szCs w:val="21"/>
          <w:highlight w:val="none"/>
          <w:u w:val="single"/>
        </w:rPr>
        <w:t>12:00至23:59 </w:t>
      </w:r>
      <w:r>
        <w:rPr>
          <w:rFonts w:hint="eastAsia" w:ascii="宋体" w:hAnsi="宋体" w:cs="Arial"/>
          <w:color w:val="auto"/>
          <w:szCs w:val="21"/>
          <w:highlight w:val="none"/>
        </w:rPr>
        <w:t>（北京时间，线上获取法定节假日均可，线下获取文件法定节假日除外）</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地点（网址）：</w:t>
      </w:r>
      <w:r>
        <w:rPr>
          <w:rFonts w:hint="eastAsia"/>
          <w:color w:val="auto"/>
          <w:highlight w:val="none"/>
        </w:rPr>
        <w:t>政府采购云平台（www.zcygov.cn）</w:t>
      </w:r>
    </w:p>
    <w:p>
      <w:pPr>
        <w:widowControl/>
        <w:adjustRightInd w:val="0"/>
        <w:snapToGrid w:val="0"/>
        <w:spacing w:line="360" w:lineRule="auto"/>
        <w:ind w:firstLine="420" w:firstLineChars="200"/>
        <w:jc w:val="left"/>
        <w:rPr>
          <w:color w:val="auto"/>
          <w:highlight w:val="none"/>
        </w:rPr>
      </w:pPr>
      <w:r>
        <w:rPr>
          <w:rFonts w:hint="eastAsia"/>
          <w:color w:val="auto"/>
          <w:highlight w:val="none"/>
        </w:rPr>
        <w:t>方式：自行下载</w:t>
      </w:r>
    </w:p>
    <w:p>
      <w:pPr>
        <w:widowControl/>
        <w:adjustRightInd w:val="0"/>
        <w:snapToGrid w:val="0"/>
        <w:spacing w:line="360" w:lineRule="auto"/>
        <w:ind w:firstLine="420" w:firstLineChars="200"/>
        <w:jc w:val="left"/>
        <w:rPr>
          <w:color w:val="auto"/>
          <w:highlight w:val="none"/>
        </w:rPr>
      </w:pPr>
      <w:r>
        <w:rPr>
          <w:rFonts w:hint="eastAsia"/>
          <w:color w:val="auto"/>
          <w:highlight w:val="none"/>
        </w:rPr>
        <w:t>售价（元）：0 </w:t>
      </w:r>
    </w:p>
    <w:p>
      <w:pPr>
        <w:widowControl/>
        <w:spacing w:before="213" w:after="213" w:line="401" w:lineRule="atLeast"/>
        <w:rPr>
          <w:rFonts w:ascii="宋体" w:hAnsi="宋体" w:cs="Arial"/>
          <w:color w:val="auto"/>
          <w:szCs w:val="21"/>
          <w:highlight w:val="none"/>
        </w:rPr>
      </w:pPr>
      <w:r>
        <w:rPr>
          <w:rFonts w:hint="eastAsia" w:ascii="宋体" w:hAnsi="宋体" w:cs="Arial"/>
          <w:b/>
          <w:bCs/>
          <w:color w:val="auto"/>
          <w:szCs w:val="21"/>
          <w:highlight w:val="none"/>
        </w:rPr>
        <w:t>四、</w:t>
      </w:r>
      <w:r>
        <w:rPr>
          <w:b/>
          <w:bCs/>
          <w:color w:val="auto"/>
          <w:highlight w:val="none"/>
        </w:rPr>
        <w:t>提交投标文件截止时间、开标时间和地点</w:t>
      </w:r>
    </w:p>
    <w:p>
      <w:pPr>
        <w:spacing w:line="360" w:lineRule="auto"/>
        <w:rPr>
          <w:color w:val="auto"/>
          <w:highlight w:val="none"/>
        </w:rPr>
      </w:pPr>
      <w:r>
        <w:rPr>
          <w:color w:val="auto"/>
          <w:highlight w:val="none"/>
        </w:rPr>
        <w:t>提交投标文件截止时间：</w:t>
      </w:r>
      <w:r>
        <w:rPr>
          <w:rFonts w:hint="eastAsia" w:ascii="宋体" w:hAnsi="宋体" w:cs="Arial"/>
          <w:color w:val="auto"/>
          <w:szCs w:val="21"/>
          <w:highlight w:val="none"/>
          <w:u w:val="single"/>
        </w:rPr>
        <w:t xml:space="preserve"> 2021 年</w:t>
      </w:r>
      <w:r>
        <w:rPr>
          <w:rFonts w:hint="eastAsia" w:ascii="宋体" w:hAnsi="宋体" w:cs="Arial"/>
          <w:color w:val="auto"/>
          <w:szCs w:val="21"/>
          <w:highlight w:val="none"/>
          <w:u w:val="single"/>
          <w:lang w:val="en-US" w:eastAsia="zh-CN"/>
        </w:rPr>
        <w:t xml:space="preserve"> 3 </w:t>
      </w:r>
      <w:r>
        <w:rPr>
          <w:rFonts w:hint="eastAsia" w:ascii="宋体" w:hAnsi="宋体" w:cs="Arial"/>
          <w:color w:val="auto"/>
          <w:szCs w:val="21"/>
          <w:highlight w:val="none"/>
          <w:u w:val="single"/>
        </w:rPr>
        <w:t>月</w:t>
      </w:r>
      <w:r>
        <w:rPr>
          <w:rFonts w:hint="eastAsia" w:ascii="宋体" w:hAnsi="宋体" w:cs="Arial"/>
          <w:color w:val="auto"/>
          <w:szCs w:val="21"/>
          <w:highlight w:val="none"/>
          <w:u w:val="single"/>
          <w:lang w:val="en-US" w:eastAsia="zh-CN"/>
        </w:rPr>
        <w:t xml:space="preserve"> 2 </w:t>
      </w:r>
      <w:r>
        <w:rPr>
          <w:rFonts w:hint="eastAsia" w:ascii="宋体" w:hAnsi="宋体" w:cs="Arial"/>
          <w:color w:val="auto"/>
          <w:szCs w:val="21"/>
          <w:highlight w:val="none"/>
          <w:u w:val="single"/>
        </w:rPr>
        <w:t xml:space="preserve">日 </w:t>
      </w:r>
      <w:r>
        <w:rPr>
          <w:rFonts w:hint="eastAsia" w:ascii="宋体" w:hAnsi="宋体" w:cs="Arial"/>
          <w:color w:val="auto"/>
          <w:szCs w:val="21"/>
          <w:highlight w:val="none"/>
          <w:u w:val="single"/>
          <w:lang w:val="en-US" w:eastAsia="zh-CN"/>
        </w:rPr>
        <w:t>9</w:t>
      </w:r>
      <w:r>
        <w:rPr>
          <w:rFonts w:hint="eastAsia" w:ascii="宋体" w:hAnsi="宋体" w:cs="Arial"/>
          <w:color w:val="auto"/>
          <w:szCs w:val="21"/>
          <w:highlight w:val="none"/>
          <w:u w:val="single"/>
        </w:rPr>
        <w:t>:</w:t>
      </w:r>
      <w:r>
        <w:rPr>
          <w:rFonts w:hint="eastAsia" w:ascii="宋体" w:hAnsi="宋体" w:cs="Arial"/>
          <w:color w:val="auto"/>
          <w:szCs w:val="21"/>
          <w:highlight w:val="none"/>
          <w:u w:val="single"/>
          <w:lang w:val="en-US" w:eastAsia="zh-CN"/>
        </w:rPr>
        <w:t>30</w:t>
      </w:r>
      <w:r>
        <w:rPr>
          <w:rFonts w:hint="eastAsia" w:ascii="宋体" w:hAnsi="宋体" w:cs="Arial"/>
          <w:color w:val="auto"/>
          <w:szCs w:val="21"/>
          <w:highlight w:val="none"/>
          <w:u w:val="single"/>
        </w:rPr>
        <w:t>  </w:t>
      </w:r>
      <w:r>
        <w:rPr>
          <w:color w:val="auto"/>
          <w:highlight w:val="none"/>
        </w:rPr>
        <w:t>（北京时间）</w:t>
      </w:r>
    </w:p>
    <w:p>
      <w:pPr>
        <w:spacing w:line="360" w:lineRule="auto"/>
        <w:rPr>
          <w:color w:val="auto"/>
          <w:highlight w:val="none"/>
        </w:rPr>
      </w:pPr>
      <w:r>
        <w:rPr>
          <w:color w:val="auto"/>
          <w:highlight w:val="none"/>
        </w:rPr>
        <w:t>投标地点（网址）：线上（政府采购云平台（www.zcygov.cn））</w:t>
      </w:r>
    </w:p>
    <w:p>
      <w:pPr>
        <w:spacing w:line="360" w:lineRule="auto"/>
        <w:rPr>
          <w:color w:val="auto"/>
          <w:highlight w:val="none"/>
        </w:rPr>
      </w:pPr>
      <w:r>
        <w:rPr>
          <w:color w:val="auto"/>
          <w:highlight w:val="none"/>
        </w:rPr>
        <w:t>开标时间：</w:t>
      </w:r>
      <w:r>
        <w:rPr>
          <w:rFonts w:hint="eastAsia" w:ascii="宋体" w:hAnsi="宋体" w:cs="Arial"/>
          <w:color w:val="auto"/>
          <w:szCs w:val="21"/>
          <w:highlight w:val="none"/>
          <w:u w:val="single"/>
        </w:rPr>
        <w:t xml:space="preserve"> 2021 年</w:t>
      </w:r>
      <w:r>
        <w:rPr>
          <w:rFonts w:hint="eastAsia" w:ascii="宋体" w:hAnsi="宋体" w:cs="Arial"/>
          <w:color w:val="auto"/>
          <w:szCs w:val="21"/>
          <w:highlight w:val="none"/>
          <w:u w:val="single"/>
          <w:lang w:val="en-US" w:eastAsia="zh-CN"/>
        </w:rPr>
        <w:t xml:space="preserve"> 3 </w:t>
      </w:r>
      <w:r>
        <w:rPr>
          <w:rFonts w:hint="eastAsia" w:ascii="宋体" w:hAnsi="宋体" w:cs="Arial"/>
          <w:color w:val="auto"/>
          <w:szCs w:val="21"/>
          <w:highlight w:val="none"/>
          <w:u w:val="single"/>
        </w:rPr>
        <w:t>月</w:t>
      </w:r>
      <w:r>
        <w:rPr>
          <w:rFonts w:hint="eastAsia" w:ascii="宋体" w:hAnsi="宋体" w:cs="Arial"/>
          <w:color w:val="auto"/>
          <w:szCs w:val="21"/>
          <w:highlight w:val="none"/>
          <w:u w:val="single"/>
          <w:lang w:val="en-US" w:eastAsia="zh-CN"/>
        </w:rPr>
        <w:t xml:space="preserve"> 2 </w:t>
      </w:r>
      <w:r>
        <w:rPr>
          <w:rFonts w:hint="eastAsia" w:ascii="宋体" w:hAnsi="宋体" w:cs="Arial"/>
          <w:color w:val="auto"/>
          <w:szCs w:val="21"/>
          <w:highlight w:val="none"/>
          <w:u w:val="single"/>
        </w:rPr>
        <w:t xml:space="preserve">日 </w:t>
      </w:r>
      <w:r>
        <w:rPr>
          <w:rFonts w:hint="eastAsia" w:ascii="宋体" w:hAnsi="宋体" w:cs="Arial"/>
          <w:color w:val="auto"/>
          <w:szCs w:val="21"/>
          <w:highlight w:val="none"/>
          <w:u w:val="single"/>
          <w:lang w:val="en-US" w:eastAsia="zh-CN"/>
        </w:rPr>
        <w:t>9</w:t>
      </w:r>
      <w:r>
        <w:rPr>
          <w:rFonts w:hint="eastAsia" w:ascii="宋体" w:hAnsi="宋体" w:cs="Arial"/>
          <w:color w:val="auto"/>
          <w:szCs w:val="21"/>
          <w:highlight w:val="none"/>
          <w:u w:val="single"/>
        </w:rPr>
        <w:t>:</w:t>
      </w:r>
      <w:r>
        <w:rPr>
          <w:rFonts w:hint="eastAsia" w:ascii="宋体" w:hAnsi="宋体" w:cs="Arial"/>
          <w:color w:val="auto"/>
          <w:szCs w:val="21"/>
          <w:highlight w:val="none"/>
          <w:u w:val="single"/>
          <w:lang w:val="en-US" w:eastAsia="zh-CN"/>
        </w:rPr>
        <w:t>30</w:t>
      </w:r>
      <w:r>
        <w:rPr>
          <w:rFonts w:hint="eastAsia" w:ascii="宋体" w:hAnsi="宋体" w:cs="Arial"/>
          <w:color w:val="auto"/>
          <w:szCs w:val="21"/>
          <w:highlight w:val="none"/>
          <w:u w:val="single"/>
        </w:rPr>
        <w:t> </w:t>
      </w:r>
    </w:p>
    <w:p>
      <w:pPr>
        <w:widowControl/>
        <w:adjustRightInd w:val="0"/>
        <w:snapToGrid w:val="0"/>
        <w:spacing w:line="360" w:lineRule="auto"/>
        <w:jc w:val="left"/>
        <w:rPr>
          <w:rFonts w:ascii="宋体" w:hAnsi="宋体" w:cs="Arial"/>
          <w:color w:val="auto"/>
          <w:szCs w:val="21"/>
          <w:highlight w:val="none"/>
        </w:rPr>
      </w:pPr>
      <w:r>
        <w:rPr>
          <w:color w:val="auto"/>
          <w:highlight w:val="none"/>
        </w:rPr>
        <w:t>开标地点（网址）：线上（政府采购云平台（www.zcygov.cn））</w:t>
      </w:r>
    </w:p>
    <w:p>
      <w:pPr>
        <w:widowControl/>
        <w:spacing w:before="213" w:after="213" w:line="401" w:lineRule="atLeast"/>
        <w:rPr>
          <w:rFonts w:ascii="宋体" w:hAnsi="宋体" w:cs="Arial"/>
          <w:color w:val="auto"/>
          <w:szCs w:val="21"/>
          <w:highlight w:val="none"/>
        </w:rPr>
      </w:pPr>
      <w:r>
        <w:rPr>
          <w:rFonts w:hint="eastAsia" w:ascii="宋体" w:hAnsi="宋体" w:cs="Arial"/>
          <w:b/>
          <w:bCs/>
          <w:color w:val="auto"/>
          <w:szCs w:val="21"/>
          <w:highlight w:val="none"/>
        </w:rPr>
        <w:t>五、公告期限</w:t>
      </w:r>
    </w:p>
    <w:p>
      <w:pPr>
        <w:widowControl/>
        <w:spacing w:before="63" w:after="63"/>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自本公告发布之日起5个工作日。</w:t>
      </w:r>
    </w:p>
    <w:p>
      <w:pPr>
        <w:widowControl/>
        <w:spacing w:before="213" w:after="213" w:line="401" w:lineRule="atLeast"/>
        <w:rPr>
          <w:rFonts w:ascii="宋体" w:hAnsi="宋体" w:cs="Arial"/>
          <w:color w:val="auto"/>
          <w:szCs w:val="21"/>
          <w:highlight w:val="none"/>
        </w:rPr>
      </w:pPr>
      <w:r>
        <w:rPr>
          <w:rFonts w:hint="eastAsia" w:ascii="宋体" w:hAnsi="宋体" w:cs="Arial"/>
          <w:b/>
          <w:bCs/>
          <w:color w:val="auto"/>
          <w:szCs w:val="21"/>
          <w:highlight w:val="none"/>
        </w:rPr>
        <w:t>六、其他补充事宜</w:t>
      </w:r>
    </w:p>
    <w:p>
      <w:pPr>
        <w:spacing w:line="360" w:lineRule="auto"/>
        <w:ind w:firstLine="420" w:firstLineChars="200"/>
        <w:rPr>
          <w:color w:val="auto"/>
          <w:highlight w:val="none"/>
        </w:rPr>
      </w:pPr>
      <w:r>
        <w:rPr>
          <w:color w:val="auto"/>
          <w:highlight w:val="none"/>
        </w:rPr>
        <w:t>1、</w:t>
      </w:r>
      <w:r>
        <w:rPr>
          <w:rFonts w:hint="eastAsia"/>
          <w:color w:val="auto"/>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color w:val="auto"/>
          <w:highlight w:val="none"/>
        </w:rPr>
        <w:t>。</w:t>
      </w:r>
    </w:p>
    <w:p>
      <w:pPr>
        <w:spacing w:line="360" w:lineRule="auto"/>
        <w:rPr>
          <w:color w:val="auto"/>
          <w:highlight w:val="none"/>
        </w:rPr>
      </w:pPr>
      <w:r>
        <w:rPr>
          <w:color w:val="auto"/>
          <w:highlight w:val="none"/>
        </w:rPr>
        <w:t>    2、其他事项</w:t>
      </w:r>
    </w:p>
    <w:p>
      <w:pPr>
        <w:spacing w:line="360" w:lineRule="auto"/>
        <w:rPr>
          <w:color w:val="auto"/>
          <w:highlight w:val="none"/>
        </w:rPr>
      </w:pPr>
      <w:r>
        <w:rPr>
          <w:color w:val="auto"/>
          <w:highlight w:val="none"/>
        </w:rPr>
        <w:t>   </w:t>
      </w:r>
      <w:r>
        <w:rPr>
          <w:rFonts w:hint="eastAsia"/>
          <w:color w:val="auto"/>
          <w:highlight w:val="none"/>
        </w:rPr>
        <w:t>（1）采购项目需要落实的政府采购政策：《政府采购促进中小企业发展暂行办法》、《关于促进残疾人就业政府采购政策的通知》（财库〔2017〕141号）、《关于政府采购支持监狱企业发展有关问题的通知》（财库[2014]68号）、《关于调整优化节能产品环境标志产品政府采购执行机制的通知》（财库[2019]9号）、《杭州市政府采购支持中小企业信用融资暂行办法》。</w:t>
      </w:r>
    </w:p>
    <w:p>
      <w:pPr>
        <w:spacing w:line="360" w:lineRule="auto"/>
        <w:ind w:firstLine="210" w:firstLineChars="100"/>
        <w:rPr>
          <w:color w:val="auto"/>
          <w:highlight w:val="none"/>
        </w:rPr>
      </w:pPr>
      <w:r>
        <w:rPr>
          <w:rFonts w:hint="eastAsia"/>
          <w:color w:val="auto"/>
          <w:highlight w:val="none"/>
        </w:rPr>
        <w:t>（2）为支持和促进中小企业发展，杭州市财政局出台了政府采购信用融资政策，供应商可凭中标合同申请贷款，利率一般在基准利率左右（不同银行略有差异）。具体可登录http://220.191.208.230/login.do办理业务。</w:t>
      </w:r>
    </w:p>
    <w:p>
      <w:pPr>
        <w:spacing w:line="360" w:lineRule="auto"/>
        <w:ind w:firstLine="210" w:firstLineChars="100"/>
        <w:rPr>
          <w:color w:val="auto"/>
          <w:highlight w:val="none"/>
        </w:rPr>
      </w:pPr>
      <w:r>
        <w:rPr>
          <w:rFonts w:hint="eastAsia"/>
          <w:color w:val="auto"/>
          <w:highlight w:val="none"/>
        </w:rPr>
        <w:t>（3）本项目采取电子招投标，电子招投标有关事项说明：</w:t>
      </w:r>
    </w:p>
    <w:p>
      <w:pPr>
        <w:spacing w:line="360" w:lineRule="auto"/>
        <w:ind w:firstLine="210" w:firstLineChars="100"/>
        <w:rPr>
          <w:color w:val="auto"/>
          <w:highlight w:val="none"/>
        </w:rPr>
      </w:pPr>
      <w:r>
        <w:rPr>
          <w:rFonts w:hint="eastAsia"/>
          <w:color w:val="auto"/>
          <w:highlight w:val="none"/>
        </w:rPr>
        <w:t>A.本项目通过“浙江政府采购网（http://zfcg.czt.zj.gov.cn）”实行电子投标，供应商须安装客户端软件，并按照采购文件和电子交易平台的要求制作投标文件。</w:t>
      </w:r>
    </w:p>
    <w:p>
      <w:pPr>
        <w:spacing w:line="360" w:lineRule="auto"/>
        <w:rPr>
          <w:color w:val="auto"/>
          <w:highlight w:val="none"/>
        </w:rPr>
      </w:pPr>
      <w:r>
        <w:rPr>
          <w:rFonts w:hint="eastAsia"/>
          <w:color w:val="auto"/>
          <w:highlight w:val="none"/>
        </w:rPr>
        <w:t>客户端软件下载方式：供应商可通过“浙江政府采购网-下载专区-电子交易客户端”进行下载。</w:t>
      </w:r>
    </w:p>
    <w:p>
      <w:pPr>
        <w:spacing w:line="360" w:lineRule="auto"/>
        <w:ind w:firstLine="210" w:firstLineChars="100"/>
        <w:rPr>
          <w:color w:val="auto"/>
          <w:highlight w:val="none"/>
        </w:rPr>
      </w:pPr>
      <w:r>
        <w:rPr>
          <w:rFonts w:hint="eastAsia"/>
          <w:color w:val="auto"/>
          <w:highlight w:val="none"/>
        </w:rPr>
        <w:t>B.供应商须申领CA，并在浙江政府采购网完成绑定方可进行投标文件的编制，CA相关操作可参考“浙江政府采购网-下载专区-电子交易客户端-CA驱动和申领流程”。</w:t>
      </w:r>
    </w:p>
    <w:p>
      <w:pPr>
        <w:spacing w:line="360" w:lineRule="auto"/>
        <w:ind w:firstLine="210" w:firstLineChars="100"/>
        <w:rPr>
          <w:color w:val="auto"/>
          <w:highlight w:val="none"/>
        </w:rPr>
      </w:pPr>
      <w:r>
        <w:rPr>
          <w:rFonts w:hint="eastAsia"/>
          <w:color w:val="auto"/>
          <w:highlight w:val="none"/>
        </w:rPr>
        <w:t>C.供应商登录浙江政府采购网（http://zfcg.czt.zj.gov.cn/）进入政采云系统“项目采购”模块“获取采购文件”菜单，进行网上获取采购文件。通过本公告下方“游客，浏览采购文件”下载的采购文件仅供浏览。</w:t>
      </w:r>
    </w:p>
    <w:p>
      <w:pPr>
        <w:spacing w:line="360" w:lineRule="auto"/>
        <w:ind w:firstLine="210" w:firstLineChars="100"/>
        <w:rPr>
          <w:color w:val="auto"/>
          <w:highlight w:val="none"/>
        </w:rPr>
      </w:pPr>
      <w:r>
        <w:rPr>
          <w:rFonts w:hint="eastAsia"/>
          <w:color w:val="auto"/>
          <w:highlight w:val="none"/>
        </w:rPr>
        <w:t>（4）说明：</w:t>
      </w:r>
    </w:p>
    <w:p>
      <w:pPr>
        <w:widowControl/>
        <w:spacing w:line="360" w:lineRule="auto"/>
        <w:ind w:firstLine="210" w:firstLineChars="100"/>
        <w:jc w:val="left"/>
        <w:rPr>
          <w:color w:val="auto"/>
          <w:highlight w:val="none"/>
        </w:rPr>
      </w:pPr>
      <w:r>
        <w:rPr>
          <w:rFonts w:hint="eastAsia"/>
          <w:color w:val="auto"/>
          <w:highlight w:val="none"/>
        </w:rPr>
        <w:t>A.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 　　</w:t>
      </w:r>
    </w:p>
    <w:p>
      <w:pPr>
        <w:widowControl/>
        <w:spacing w:line="360" w:lineRule="auto"/>
        <w:ind w:firstLine="210" w:firstLineChars="100"/>
        <w:jc w:val="left"/>
        <w:rPr>
          <w:color w:val="auto"/>
          <w:highlight w:val="none"/>
        </w:rPr>
      </w:pPr>
      <w:r>
        <w:rPr>
          <w:rFonts w:hint="eastAsia"/>
          <w:color w:val="auto"/>
          <w:highlight w:val="none"/>
        </w:rPr>
        <w:t>B.供应商未被列入失信被执行人名单、重大税收违法案件当事人名单、政府采购严重违法失信行为记录名单，信用信息以信用中国网站（www.creditchina.gov.cn）、中国政府采购网（www.ccgp.gov.cn）公布为准； 　　</w:t>
      </w:r>
    </w:p>
    <w:p>
      <w:pPr>
        <w:widowControl/>
        <w:spacing w:line="360" w:lineRule="auto"/>
        <w:ind w:firstLine="210" w:firstLineChars="100"/>
        <w:jc w:val="left"/>
        <w:rPr>
          <w:color w:val="auto"/>
          <w:szCs w:val="21"/>
          <w:highlight w:val="none"/>
        </w:rPr>
      </w:pPr>
      <w:r>
        <w:rPr>
          <w:rFonts w:hint="eastAsia"/>
          <w:color w:val="auto"/>
          <w:highlight w:val="none"/>
        </w:rPr>
        <w:t>C.单位负责人为同一人或者存在直接控股、管理关系的不同供应商，不得同时参加同一合同项下的投标。  </w:t>
      </w:r>
    </w:p>
    <w:p>
      <w:pPr>
        <w:widowControl/>
        <w:spacing w:before="213" w:after="213" w:line="401" w:lineRule="atLeast"/>
        <w:rPr>
          <w:rFonts w:ascii="宋体" w:hAnsi="宋体" w:cs="Arial"/>
          <w:color w:val="auto"/>
          <w:szCs w:val="21"/>
          <w:highlight w:val="none"/>
        </w:rPr>
      </w:pPr>
      <w:r>
        <w:rPr>
          <w:rFonts w:hint="eastAsia" w:ascii="宋体" w:hAnsi="宋体" w:cs="Arial"/>
          <w:b/>
          <w:bCs/>
          <w:color w:val="auto"/>
          <w:szCs w:val="21"/>
          <w:highlight w:val="none"/>
        </w:rPr>
        <w:t>七、对本次采购提出询问、质疑、投诉，请按以下方式联系。</w:t>
      </w:r>
      <w:r>
        <w:rPr>
          <w:rFonts w:hint="eastAsia" w:ascii="宋体" w:hAnsi="宋体" w:cs="Arial"/>
          <w:color w:val="auto"/>
          <w:szCs w:val="21"/>
          <w:highlight w:val="none"/>
        </w:rPr>
        <w:t>　　　　　　　　　　　　</w:t>
      </w:r>
    </w:p>
    <w:p>
      <w:pPr>
        <w:widowControl/>
        <w:adjustRightInd w:val="0"/>
        <w:snapToGrid w:val="0"/>
        <w:spacing w:line="360" w:lineRule="auto"/>
        <w:ind w:firstLine="422" w:firstLineChars="200"/>
        <w:jc w:val="left"/>
        <w:rPr>
          <w:rFonts w:ascii="宋体" w:hAnsi="宋体" w:cs="Arial"/>
          <w:b/>
          <w:bCs/>
          <w:color w:val="auto"/>
          <w:szCs w:val="21"/>
          <w:highlight w:val="none"/>
        </w:rPr>
      </w:pPr>
      <w:r>
        <w:rPr>
          <w:rFonts w:hint="eastAsia" w:ascii="宋体" w:hAnsi="宋体" w:cs="Arial"/>
          <w:b/>
          <w:bCs/>
          <w:color w:val="auto"/>
          <w:szCs w:val="21"/>
          <w:highlight w:val="none"/>
        </w:rPr>
        <w:t>1.采购人信息</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名    称：</w:t>
      </w:r>
      <w:r>
        <w:rPr>
          <w:rFonts w:hint="eastAsia" w:ascii="宋体" w:hAnsi="宋体" w:cs="宋体"/>
          <w:color w:val="auto"/>
          <w:kern w:val="0"/>
          <w:szCs w:val="21"/>
          <w:highlight w:val="none"/>
          <w:u w:val="single"/>
          <w:lang w:eastAsia="zh-CN"/>
        </w:rPr>
        <w:t>杭州市规划和自然资源局</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地    址：</w:t>
      </w:r>
      <w:r>
        <w:rPr>
          <w:rFonts w:hint="eastAsia" w:ascii="宋体" w:hAnsi="宋体" w:cs="Arial"/>
          <w:color w:val="auto"/>
          <w:szCs w:val="21"/>
          <w:highlight w:val="none"/>
          <w:u w:val="single"/>
        </w:rPr>
        <w:t>杭州市江干区解放东路18号</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传     真：</w:t>
      </w:r>
      <w:r>
        <w:rPr>
          <w:rFonts w:hint="eastAsia" w:ascii="宋体" w:hAnsi="宋体" w:cs="宋体"/>
          <w:color w:val="auto"/>
          <w:kern w:val="0"/>
          <w:szCs w:val="21"/>
          <w:highlight w:val="none"/>
          <w:u w:val="single"/>
        </w:rPr>
        <w:t>0571</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88839200</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项目联系人（询问）：</w:t>
      </w:r>
      <w:r>
        <w:rPr>
          <w:rFonts w:hint="eastAsia" w:ascii="宋体" w:hAnsi="宋体" w:cs="宋体"/>
          <w:color w:val="auto"/>
          <w:kern w:val="0"/>
          <w:szCs w:val="21"/>
          <w:highlight w:val="none"/>
          <w:u w:val="single"/>
        </w:rPr>
        <w:t>张</w:t>
      </w:r>
      <w:r>
        <w:rPr>
          <w:rFonts w:hint="eastAsia" w:ascii="宋体" w:hAnsi="宋体" w:cs="宋体"/>
          <w:color w:val="auto"/>
          <w:kern w:val="0"/>
          <w:szCs w:val="21"/>
          <w:highlight w:val="none"/>
          <w:u w:val="single"/>
          <w:lang w:eastAsia="zh-CN"/>
        </w:rPr>
        <w:t>苗苗</w:t>
      </w:r>
    </w:p>
    <w:p>
      <w:pPr>
        <w:widowControl/>
        <w:adjustRightInd w:val="0"/>
        <w:snapToGrid w:val="0"/>
        <w:spacing w:line="360" w:lineRule="auto"/>
        <w:ind w:firstLine="420" w:firstLineChars="200"/>
        <w:jc w:val="left"/>
        <w:rPr>
          <w:rFonts w:ascii="宋体" w:hAnsi="宋体" w:cs="Arial"/>
          <w:color w:val="auto"/>
          <w:szCs w:val="21"/>
          <w:highlight w:val="none"/>
          <w:u w:val="single"/>
        </w:rPr>
      </w:pPr>
      <w:r>
        <w:rPr>
          <w:rFonts w:hint="eastAsia" w:ascii="宋体" w:hAnsi="宋体" w:cs="Arial"/>
          <w:color w:val="auto"/>
          <w:szCs w:val="21"/>
          <w:highlight w:val="none"/>
        </w:rPr>
        <w:t>项目联系方式（询问）：</w:t>
      </w:r>
      <w:r>
        <w:rPr>
          <w:rFonts w:hint="eastAsia" w:ascii="宋体" w:hAnsi="宋体" w:cs="宋体"/>
          <w:color w:val="auto"/>
          <w:kern w:val="0"/>
          <w:szCs w:val="21"/>
          <w:highlight w:val="none"/>
          <w:u w:val="single"/>
        </w:rPr>
        <w:t>0571</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88368360</w:t>
      </w:r>
      <w:r>
        <w:rPr>
          <w:rFonts w:hint="eastAsia" w:ascii="宋体" w:hAnsi="宋体" w:cs="Arial"/>
          <w:color w:val="auto"/>
          <w:szCs w:val="21"/>
          <w:highlight w:val="none"/>
          <w:u w:val="single"/>
          <w:shd w:val="clear" w:color="auto" w:fill="F7F7F7"/>
        </w:rPr>
        <w:br w:type="textWrapping"/>
      </w:r>
      <w:r>
        <w:rPr>
          <w:rFonts w:hint="eastAsia" w:ascii="宋体" w:hAnsi="宋体" w:cs="Arial"/>
          <w:color w:val="auto"/>
          <w:szCs w:val="21"/>
          <w:highlight w:val="none"/>
        </w:rPr>
        <w:t>   质疑联系人：</w:t>
      </w:r>
      <w:r>
        <w:rPr>
          <w:rFonts w:hint="eastAsia" w:ascii="宋体" w:hAnsi="宋体" w:cs="Arial"/>
          <w:color w:val="auto"/>
          <w:szCs w:val="21"/>
          <w:highlight w:val="none"/>
          <w:u w:val="single"/>
        </w:rPr>
        <w:t>王莉</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质疑联系方式：</w:t>
      </w:r>
      <w:r>
        <w:rPr>
          <w:rFonts w:hint="eastAsia" w:ascii="宋体" w:hAnsi="宋体" w:cs="宋体"/>
          <w:color w:val="auto"/>
          <w:kern w:val="0"/>
          <w:szCs w:val="21"/>
          <w:highlight w:val="none"/>
          <w:u w:val="single"/>
        </w:rPr>
        <w:t>0571-88368301</w:t>
      </w:r>
    </w:p>
    <w:p>
      <w:pPr>
        <w:widowControl/>
        <w:adjustRightInd w:val="0"/>
        <w:snapToGrid w:val="0"/>
        <w:spacing w:line="360" w:lineRule="auto"/>
        <w:ind w:left="420" w:hanging="420" w:hangingChars="200"/>
        <w:jc w:val="left"/>
        <w:rPr>
          <w:rFonts w:ascii="宋体" w:hAnsi="宋体" w:cs="Arial"/>
          <w:b/>
          <w:bCs/>
          <w:color w:val="auto"/>
          <w:szCs w:val="21"/>
          <w:highlight w:val="none"/>
        </w:rPr>
      </w:pPr>
      <w:r>
        <w:rPr>
          <w:rFonts w:hint="eastAsia" w:ascii="宋体" w:hAnsi="宋体" w:cs="Arial"/>
          <w:color w:val="auto"/>
          <w:szCs w:val="21"/>
          <w:highlight w:val="none"/>
        </w:rPr>
        <w:br w:type="textWrapping"/>
      </w:r>
      <w:r>
        <w:rPr>
          <w:rFonts w:hint="eastAsia" w:ascii="宋体" w:hAnsi="宋体" w:cs="Arial"/>
          <w:b/>
          <w:bCs/>
          <w:color w:val="auto"/>
          <w:szCs w:val="21"/>
          <w:highlight w:val="none"/>
        </w:rPr>
        <w:t>2.采购代理机构信息</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名    称： </w:t>
      </w:r>
      <w:r>
        <w:rPr>
          <w:rFonts w:hint="eastAsia" w:ascii="宋体" w:hAnsi="宋体" w:cs="Arial"/>
          <w:color w:val="auto"/>
          <w:szCs w:val="21"/>
          <w:highlight w:val="none"/>
          <w:u w:val="single"/>
        </w:rPr>
        <w:t>浙江国际招（投）标公司</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地    址： </w:t>
      </w:r>
      <w:r>
        <w:rPr>
          <w:rFonts w:hint="eastAsia" w:ascii="宋体" w:hAnsi="宋体" w:cs="Arial"/>
          <w:color w:val="auto"/>
          <w:szCs w:val="21"/>
          <w:highlight w:val="none"/>
          <w:u w:val="single"/>
        </w:rPr>
        <w:t>杭州市文三路90号东部软件园2号楼6楼</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传    真：</w:t>
      </w:r>
      <w:r>
        <w:rPr>
          <w:rFonts w:hint="eastAsia" w:ascii="宋体" w:hAnsi="宋体" w:cs="Arial"/>
          <w:color w:val="auto"/>
          <w:szCs w:val="21"/>
          <w:highlight w:val="none"/>
          <w:u w:val="single"/>
        </w:rPr>
        <w:t>0571-81061828</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项目联系人（询问）：</w:t>
      </w:r>
      <w:r>
        <w:rPr>
          <w:rFonts w:hint="eastAsia" w:ascii="宋体" w:hAnsi="宋体" w:cs="Arial"/>
          <w:color w:val="auto"/>
          <w:szCs w:val="21"/>
          <w:highlight w:val="none"/>
          <w:u w:val="single"/>
        </w:rPr>
        <w:t>邵子野，</w:t>
      </w:r>
      <w:r>
        <w:rPr>
          <w:rFonts w:hint="eastAsia" w:ascii="宋体" w:hAnsi="宋体" w:cs="Arial"/>
          <w:color w:val="auto"/>
          <w:szCs w:val="21"/>
          <w:highlight w:val="none"/>
          <w:u w:val="single"/>
          <w:lang w:eastAsia="zh-CN"/>
        </w:rPr>
        <w:t>赵丹威</w:t>
      </w:r>
      <w:r>
        <w:rPr>
          <w:rFonts w:hint="eastAsia" w:ascii="宋体" w:hAnsi="宋体" w:cs="Arial"/>
          <w:color w:val="auto"/>
          <w:szCs w:val="21"/>
          <w:highlight w:val="none"/>
        </w:rPr>
        <w:t> </w:t>
      </w:r>
    </w:p>
    <w:p>
      <w:pPr>
        <w:widowControl/>
        <w:adjustRightInd w:val="0"/>
        <w:snapToGrid w:val="0"/>
        <w:spacing w:line="360" w:lineRule="auto"/>
        <w:ind w:firstLine="420" w:firstLineChars="200"/>
        <w:jc w:val="left"/>
        <w:rPr>
          <w:rFonts w:hint="eastAsia" w:ascii="宋体" w:hAnsi="宋体" w:eastAsia="宋体" w:cs="Arial"/>
          <w:color w:val="auto"/>
          <w:szCs w:val="21"/>
          <w:highlight w:val="none"/>
          <w:lang w:eastAsia="zh-CN"/>
        </w:rPr>
      </w:pPr>
      <w:r>
        <w:rPr>
          <w:rFonts w:hint="eastAsia" w:ascii="宋体" w:hAnsi="宋体" w:cs="Arial"/>
          <w:color w:val="auto"/>
          <w:szCs w:val="21"/>
          <w:highlight w:val="none"/>
        </w:rPr>
        <w:t>项目联系方式（询问）：</w:t>
      </w:r>
      <w:r>
        <w:rPr>
          <w:rFonts w:hint="eastAsia" w:ascii="宋体" w:hAnsi="宋体" w:cs="Arial"/>
          <w:color w:val="auto"/>
          <w:szCs w:val="21"/>
          <w:highlight w:val="none"/>
          <w:u w:val="single"/>
        </w:rPr>
        <w:t>0571-81061830，</w:t>
      </w:r>
      <w:r>
        <w:rPr>
          <w:rFonts w:hint="eastAsia" w:ascii="宋体" w:hAnsi="宋体" w:cs="Arial"/>
          <w:color w:val="auto"/>
          <w:szCs w:val="21"/>
          <w:highlight w:val="none"/>
          <w:u w:val="single"/>
          <w:lang w:eastAsia="zh-CN"/>
        </w:rPr>
        <w:t>81061807</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质疑联系人：</w:t>
      </w:r>
      <w:r>
        <w:rPr>
          <w:rFonts w:hint="eastAsia" w:ascii="宋体" w:hAnsi="宋体" w:cs="Arial"/>
          <w:color w:val="auto"/>
          <w:szCs w:val="21"/>
          <w:highlight w:val="none"/>
          <w:u w:val="single"/>
        </w:rPr>
        <w:t> 陶云龙  </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质疑联系方式： </w:t>
      </w:r>
      <w:r>
        <w:rPr>
          <w:rFonts w:hint="eastAsia" w:ascii="宋体" w:hAnsi="宋体" w:cs="Arial"/>
          <w:color w:val="auto"/>
          <w:szCs w:val="21"/>
          <w:highlight w:val="none"/>
          <w:u w:val="single"/>
        </w:rPr>
        <w:t>0571-81061831</w:t>
      </w:r>
    </w:p>
    <w:p>
      <w:pPr>
        <w:widowControl/>
        <w:adjustRightInd w:val="0"/>
        <w:snapToGrid w:val="0"/>
        <w:spacing w:line="360" w:lineRule="auto"/>
        <w:ind w:left="420" w:hanging="420" w:hangingChars="200"/>
        <w:jc w:val="left"/>
        <w:rPr>
          <w:rFonts w:ascii="宋体" w:hAnsi="宋体" w:cs="Arial"/>
          <w:b/>
          <w:bCs/>
          <w:color w:val="auto"/>
          <w:szCs w:val="21"/>
          <w:highlight w:val="none"/>
        </w:rPr>
      </w:pPr>
      <w:r>
        <w:rPr>
          <w:rFonts w:hint="eastAsia" w:ascii="宋体" w:hAnsi="宋体" w:cs="Arial"/>
          <w:color w:val="auto"/>
          <w:szCs w:val="21"/>
          <w:highlight w:val="none"/>
        </w:rPr>
        <w:t> </w:t>
      </w:r>
      <w:r>
        <w:rPr>
          <w:rFonts w:hint="eastAsia" w:ascii="宋体" w:hAnsi="宋体" w:cs="Arial"/>
          <w:color w:val="auto"/>
          <w:szCs w:val="21"/>
          <w:highlight w:val="none"/>
        </w:rPr>
        <w:br w:type="textWrapping"/>
      </w:r>
      <w:r>
        <w:rPr>
          <w:rFonts w:hint="eastAsia" w:ascii="宋体" w:hAnsi="宋体" w:cs="Arial"/>
          <w:b/>
          <w:bCs/>
          <w:color w:val="auto"/>
          <w:szCs w:val="21"/>
          <w:highlight w:val="none"/>
        </w:rPr>
        <w:t>3.同级政府采购监督管理部门</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名    称： </w:t>
      </w:r>
      <w:r>
        <w:rPr>
          <w:rFonts w:hint="eastAsia" w:ascii="宋体" w:hAnsi="宋体" w:cs="Arial"/>
          <w:color w:val="auto"/>
          <w:szCs w:val="21"/>
          <w:highlight w:val="none"/>
          <w:u w:val="single"/>
        </w:rPr>
        <w:t xml:space="preserve">  杭州市财政局政府采购监管处　</w:t>
      </w:r>
      <w:r>
        <w:rPr>
          <w:rFonts w:hint="eastAsia" w:ascii="宋体" w:hAnsi="宋体" w:cs="Arial"/>
          <w:color w:val="auto"/>
          <w:szCs w:val="21"/>
          <w:highlight w:val="none"/>
        </w:rPr>
        <w:t>　　　　　　　　　</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地    址： </w:t>
      </w:r>
      <w:r>
        <w:rPr>
          <w:rFonts w:hint="eastAsia" w:ascii="宋体" w:hAnsi="宋体" w:cs="Arial"/>
          <w:color w:val="auto"/>
          <w:szCs w:val="21"/>
          <w:highlight w:val="none"/>
          <w:u w:val="single"/>
        </w:rPr>
        <w:t xml:space="preserve">  杭州市中河中路152号617办公室　</w:t>
      </w:r>
      <w:r>
        <w:rPr>
          <w:rFonts w:hint="eastAsia" w:ascii="宋体" w:hAnsi="宋体" w:cs="Arial"/>
          <w:color w:val="auto"/>
          <w:szCs w:val="21"/>
          <w:highlight w:val="none"/>
        </w:rPr>
        <w:t>　　　　　　　　　</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传    真： </w:t>
      </w:r>
      <w:r>
        <w:rPr>
          <w:rFonts w:hint="eastAsia" w:ascii="宋体" w:hAnsi="宋体" w:cs="Arial"/>
          <w:color w:val="auto"/>
          <w:szCs w:val="21"/>
          <w:highlight w:val="none"/>
          <w:u w:val="single"/>
        </w:rPr>
        <w:t xml:space="preserve">  0571-87715261 </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联系人 ： </w:t>
      </w:r>
      <w:r>
        <w:rPr>
          <w:rFonts w:hint="eastAsia" w:ascii="宋体" w:hAnsi="宋体" w:cs="Arial"/>
          <w:color w:val="auto"/>
          <w:szCs w:val="21"/>
          <w:highlight w:val="none"/>
          <w:u w:val="single"/>
        </w:rPr>
        <w:t xml:space="preserve">   吕先生  　</w:t>
      </w:r>
      <w:r>
        <w:rPr>
          <w:rFonts w:hint="eastAsia" w:ascii="宋体" w:hAnsi="宋体" w:cs="Arial"/>
          <w:color w:val="auto"/>
          <w:szCs w:val="21"/>
          <w:highlight w:val="none"/>
        </w:rPr>
        <w:t>　　　　　　　　　　</w:t>
      </w:r>
    </w:p>
    <w:p>
      <w:pPr>
        <w:widowControl/>
        <w:adjustRightInd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监督投诉电话：</w:t>
      </w:r>
      <w:r>
        <w:rPr>
          <w:rFonts w:hint="eastAsia" w:ascii="宋体" w:hAnsi="宋体" w:cs="Arial"/>
          <w:color w:val="auto"/>
          <w:szCs w:val="21"/>
          <w:highlight w:val="none"/>
          <w:u w:val="single"/>
        </w:rPr>
        <w:t xml:space="preserve"> 0571-87715261　</w:t>
      </w:r>
      <w:r>
        <w:rPr>
          <w:rFonts w:hint="eastAsia" w:ascii="宋体" w:hAnsi="宋体" w:cs="Arial"/>
          <w:color w:val="auto"/>
          <w:szCs w:val="21"/>
          <w:highlight w:val="none"/>
        </w:rPr>
        <w:t>　</w:t>
      </w:r>
    </w:p>
    <w:p>
      <w:pPr>
        <w:rPr>
          <w:color w:val="auto"/>
          <w:szCs w:val="21"/>
          <w:highlight w:val="none"/>
        </w:rPr>
      </w:pPr>
    </w:p>
    <w:p>
      <w:pPr>
        <w:widowControl/>
        <w:adjustRightInd w:val="0"/>
        <w:snapToGrid w:val="0"/>
        <w:spacing w:line="400" w:lineRule="exact"/>
        <w:ind w:firstLine="480"/>
        <w:jc w:val="left"/>
        <w:rPr>
          <w:rFonts w:ascii="宋体" w:hAnsi="宋体" w:cs="宋体"/>
          <w:b/>
          <w:bCs/>
          <w:color w:val="auto"/>
          <w:kern w:val="0"/>
          <w:szCs w:val="21"/>
          <w:highlight w:val="none"/>
        </w:rPr>
      </w:pPr>
      <w:r>
        <w:rPr>
          <w:rFonts w:hint="eastAsia" w:ascii="宋体" w:hAnsi="宋体" w:cs="Arial"/>
          <w:color w:val="auto"/>
          <w:szCs w:val="21"/>
          <w:highlight w:val="none"/>
        </w:rPr>
        <w:t>若对项目采购电子交易系统操作有疑问，可登录政采云（https://www.zcygov.cn/），点击右侧咨询小采，获取采小蜜智能服务管家帮助，或拨打政采云服务热线400-881-7190获取热线服务帮助。</w:t>
      </w:r>
      <w:r>
        <w:rPr>
          <w:rFonts w:hint="eastAsia" w:ascii="宋体" w:hAnsi="宋体" w:cs="Arial"/>
          <w:color w:val="auto"/>
          <w:szCs w:val="21"/>
          <w:highlight w:val="none"/>
        </w:rPr>
        <w:br w:type="textWrapping"/>
      </w:r>
      <w:r>
        <w:rPr>
          <w:rFonts w:hint="eastAsia" w:ascii="宋体" w:hAnsi="宋体" w:cs="Arial"/>
          <w:color w:val="auto"/>
          <w:szCs w:val="21"/>
          <w:highlight w:val="none"/>
        </w:rPr>
        <w:t xml:space="preserve">    CA问题联系电话（人工）：汇信CA 400-888-4636；天谷CA 400-087-8198。</w:t>
      </w:r>
    </w:p>
    <w:p>
      <w:pPr>
        <w:widowControl/>
        <w:adjustRightInd w:val="0"/>
        <w:snapToGrid w:val="0"/>
        <w:spacing w:line="400" w:lineRule="exact"/>
        <w:ind w:firstLine="480"/>
        <w:jc w:val="left"/>
        <w:rPr>
          <w:rFonts w:ascii="宋体" w:hAnsi="宋体" w:cs="宋体"/>
          <w:b/>
          <w:bCs/>
          <w:color w:val="auto"/>
          <w:kern w:val="0"/>
          <w:szCs w:val="21"/>
          <w:highlight w:val="none"/>
        </w:rPr>
      </w:pPr>
    </w:p>
    <w:p>
      <w:pPr>
        <w:widowControl/>
        <w:adjustRightInd w:val="0"/>
        <w:snapToGrid w:val="0"/>
        <w:spacing w:line="400" w:lineRule="exact"/>
        <w:ind w:firstLine="480"/>
        <w:jc w:val="left"/>
        <w:rPr>
          <w:rFonts w:ascii="宋体" w:hAnsi="宋体" w:cs="宋体"/>
          <w:b/>
          <w:bCs/>
          <w:color w:val="auto"/>
          <w:kern w:val="0"/>
          <w:szCs w:val="21"/>
          <w:highlight w:val="none"/>
        </w:rPr>
      </w:pPr>
    </w:p>
    <w:bookmarkEnd w:id="2"/>
    <w:bookmarkEnd w:id="3"/>
    <w:bookmarkEnd w:id="4"/>
    <w:p>
      <w:pPr>
        <w:widowControl/>
        <w:adjustRightInd w:val="0"/>
        <w:snapToGrid w:val="0"/>
        <w:spacing w:line="400" w:lineRule="exact"/>
        <w:ind w:firstLine="480"/>
        <w:jc w:val="left"/>
        <w:rPr>
          <w:rFonts w:ascii="宋体" w:hAnsi="宋体" w:cs="宋体"/>
          <w:color w:val="auto"/>
          <w:kern w:val="0"/>
          <w:szCs w:val="21"/>
          <w:highlight w:val="none"/>
        </w:rPr>
      </w:pPr>
    </w:p>
    <w:p>
      <w:pPr>
        <w:widowControl/>
        <w:tabs>
          <w:tab w:val="left" w:pos="8647"/>
        </w:tabs>
        <w:adjustRightInd w:val="0"/>
        <w:snapToGrid w:val="0"/>
        <w:spacing w:line="360" w:lineRule="auto"/>
        <w:ind w:right="-59" w:firstLine="420" w:firstLineChars="200"/>
        <w:jc w:val="right"/>
        <w:rPr>
          <w:rFonts w:ascii="宋体" w:hAnsi="宋体" w:cs="宋体"/>
          <w:color w:val="auto"/>
          <w:kern w:val="0"/>
          <w:szCs w:val="21"/>
          <w:highlight w:val="none"/>
        </w:rPr>
      </w:pPr>
    </w:p>
    <w:p>
      <w:pPr>
        <w:widowControl/>
        <w:tabs>
          <w:tab w:val="left" w:pos="8647"/>
        </w:tabs>
        <w:adjustRightInd w:val="0"/>
        <w:snapToGrid w:val="0"/>
        <w:spacing w:line="360" w:lineRule="auto"/>
        <w:ind w:right="-59" w:firstLine="420" w:firstLineChars="200"/>
        <w:jc w:val="right"/>
        <w:rPr>
          <w:rFonts w:ascii="宋体" w:hAnsi="宋体" w:cs="宋体"/>
          <w:color w:val="auto"/>
          <w:kern w:val="0"/>
          <w:szCs w:val="21"/>
          <w:highlight w:val="none"/>
        </w:rPr>
      </w:pPr>
    </w:p>
    <w:p>
      <w:pPr>
        <w:widowControl/>
        <w:tabs>
          <w:tab w:val="left" w:pos="8647"/>
        </w:tabs>
        <w:adjustRightInd w:val="0"/>
        <w:snapToGrid w:val="0"/>
        <w:spacing w:line="360" w:lineRule="auto"/>
        <w:ind w:right="-59"/>
        <w:jc w:val="center"/>
        <w:rPr>
          <w:rFonts w:ascii="宋体" w:hAnsi="宋体" w:cs="宋体"/>
          <w:b/>
          <w:color w:val="auto"/>
          <w:sz w:val="30"/>
          <w:szCs w:val="30"/>
          <w:highlight w:val="none"/>
        </w:rPr>
      </w:pPr>
      <w:r>
        <w:rPr>
          <w:rFonts w:hint="eastAsia" w:ascii="宋体" w:hAnsi="宋体" w:cs="宋体"/>
          <w:b/>
          <w:bCs/>
          <w:color w:val="auto"/>
          <w:sz w:val="28"/>
          <w:szCs w:val="21"/>
          <w:highlight w:val="none"/>
        </w:rPr>
        <w:br w:type="page"/>
      </w:r>
      <w:r>
        <w:rPr>
          <w:rFonts w:hint="eastAsia" w:ascii="宋体" w:hAnsi="宋体" w:cs="宋体"/>
          <w:b/>
          <w:color w:val="auto"/>
          <w:sz w:val="30"/>
          <w:szCs w:val="30"/>
          <w:highlight w:val="none"/>
        </w:rPr>
        <w:t>前 附 表</w:t>
      </w:r>
    </w:p>
    <w:p>
      <w:pPr>
        <w:rPr>
          <w:rFonts w:ascii="宋体" w:hAnsi="宋体" w:cs="宋体"/>
          <w:color w:val="auto"/>
          <w:szCs w:val="21"/>
          <w:highlight w:val="none"/>
        </w:rPr>
      </w:pPr>
    </w:p>
    <w:tbl>
      <w:tblPr>
        <w:tblStyle w:val="43"/>
        <w:tblW w:w="959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6"/>
        <w:gridCol w:w="1278"/>
        <w:gridCol w:w="74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1" w:hRule="atLeast"/>
          <w:tblHeader/>
          <w:jc w:val="center"/>
        </w:trPr>
        <w:tc>
          <w:tcPr>
            <w:tcW w:w="896" w:type="dxa"/>
            <w:vAlign w:val="center"/>
          </w:tcPr>
          <w:p>
            <w:pPr>
              <w:adjustRightInd w:val="0"/>
              <w:snapToGrid w:val="0"/>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序号</w:t>
            </w:r>
          </w:p>
        </w:tc>
        <w:tc>
          <w:tcPr>
            <w:tcW w:w="1278" w:type="dxa"/>
            <w:vAlign w:val="center"/>
          </w:tcPr>
          <w:p>
            <w:pPr>
              <w:adjustRightInd w:val="0"/>
              <w:snapToGrid w:val="0"/>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项   目</w:t>
            </w:r>
          </w:p>
        </w:tc>
        <w:tc>
          <w:tcPr>
            <w:tcW w:w="7419" w:type="dxa"/>
            <w:vAlign w:val="center"/>
          </w:tcPr>
          <w:p>
            <w:pPr>
              <w:adjustRightInd w:val="0"/>
              <w:snapToGrid w:val="0"/>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p>
        </w:tc>
        <w:tc>
          <w:tcPr>
            <w:tcW w:w="1278" w:type="dxa"/>
            <w:vAlign w:val="center"/>
          </w:tcPr>
          <w:p>
            <w:pPr>
              <w:adjustRightInd w:val="0"/>
              <w:snapToGrid w:val="0"/>
              <w:spacing w:line="276" w:lineRule="auto"/>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项目名称</w:t>
            </w:r>
          </w:p>
        </w:tc>
        <w:tc>
          <w:tcPr>
            <w:tcW w:w="7419" w:type="dxa"/>
            <w:vAlign w:val="center"/>
          </w:tcPr>
          <w:p>
            <w:pPr>
              <w:adjustRightInd w:val="0"/>
              <w:snapToGrid w:val="0"/>
              <w:spacing w:line="300" w:lineRule="auto"/>
              <w:rPr>
                <w:rFonts w:hint="eastAsia" w:ascii="宋体" w:hAnsi="宋体" w:eastAsia="宋体" w:cs="宋体"/>
                <w:snapToGrid w:val="0"/>
                <w:color w:val="auto"/>
                <w:kern w:val="0"/>
                <w:szCs w:val="21"/>
                <w:highlight w:val="none"/>
                <w:lang w:eastAsia="zh-CN"/>
              </w:rPr>
            </w:pPr>
            <w:r>
              <w:rPr>
                <w:rFonts w:hint="eastAsia" w:ascii="宋体" w:hAnsi="宋体" w:cs="宋体"/>
                <w:bCs/>
                <w:snapToGrid w:val="0"/>
                <w:color w:val="auto"/>
                <w:kern w:val="0"/>
                <w:szCs w:val="21"/>
                <w:highlight w:val="none"/>
                <w:lang w:eastAsia="zh-CN"/>
              </w:rPr>
              <w:t>《“三江汇”杭州未来城市实践区控制性规划》项目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p>
        </w:tc>
        <w:tc>
          <w:tcPr>
            <w:tcW w:w="1278" w:type="dxa"/>
            <w:vAlign w:val="center"/>
          </w:tcPr>
          <w:p>
            <w:pPr>
              <w:adjustRightInd w:val="0"/>
              <w:snapToGrid w:val="0"/>
              <w:spacing w:line="276" w:lineRule="auto"/>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实施地点</w:t>
            </w:r>
          </w:p>
        </w:tc>
        <w:tc>
          <w:tcPr>
            <w:tcW w:w="7419" w:type="dxa"/>
            <w:vAlign w:val="center"/>
          </w:tcPr>
          <w:p>
            <w:pPr>
              <w:adjustRightInd w:val="0"/>
              <w:snapToGrid w:val="0"/>
              <w:spacing w:line="300" w:lineRule="auto"/>
              <w:rPr>
                <w:rFonts w:ascii="宋体" w:hAnsi="宋体" w:cs="宋体"/>
                <w:snapToGrid w:val="0"/>
                <w:color w:val="auto"/>
                <w:kern w:val="0"/>
                <w:szCs w:val="21"/>
                <w:highlight w:val="none"/>
              </w:rPr>
            </w:pPr>
            <w:r>
              <w:rPr>
                <w:rFonts w:hint="eastAsia"/>
                <w:color w:val="auto"/>
                <w:highlight w:val="none"/>
              </w:rPr>
              <w:t>杭州市规划和自然资源局指定地点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w:t>
            </w:r>
          </w:p>
        </w:tc>
        <w:tc>
          <w:tcPr>
            <w:tcW w:w="1278" w:type="dxa"/>
            <w:vAlign w:val="center"/>
          </w:tcPr>
          <w:p>
            <w:pPr>
              <w:adjustRightInd w:val="0"/>
              <w:snapToGrid w:val="0"/>
              <w:spacing w:line="276" w:lineRule="auto"/>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招标编号</w:t>
            </w:r>
          </w:p>
        </w:tc>
        <w:tc>
          <w:tcPr>
            <w:tcW w:w="7419" w:type="dxa"/>
            <w:vAlign w:val="center"/>
          </w:tcPr>
          <w:p>
            <w:pPr>
              <w:adjustRightInd w:val="0"/>
              <w:snapToGrid w:val="0"/>
              <w:spacing w:line="300" w:lineRule="auto"/>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rPr>
              <w:t>ZJ-</w:t>
            </w:r>
            <w:r>
              <w:rPr>
                <w:rFonts w:hint="eastAsia" w:ascii="宋体" w:hAnsi="宋体" w:cs="宋体"/>
                <w:snapToGrid w:val="0"/>
                <w:color w:val="auto"/>
                <w:kern w:val="0"/>
                <w:szCs w:val="21"/>
                <w:highlight w:val="none"/>
                <w:lang w:eastAsia="zh-CN"/>
              </w:rPr>
              <w:t>2110301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w:t>
            </w:r>
          </w:p>
        </w:tc>
        <w:tc>
          <w:tcPr>
            <w:tcW w:w="1278" w:type="dxa"/>
            <w:vAlign w:val="center"/>
          </w:tcPr>
          <w:p>
            <w:pPr>
              <w:adjustRightInd w:val="0"/>
              <w:snapToGrid w:val="0"/>
              <w:spacing w:line="276" w:lineRule="auto"/>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采购方式</w:t>
            </w:r>
          </w:p>
        </w:tc>
        <w:tc>
          <w:tcPr>
            <w:tcW w:w="7419" w:type="dxa"/>
            <w:vAlign w:val="center"/>
          </w:tcPr>
          <w:p>
            <w:pPr>
              <w:adjustRightInd w:val="0"/>
              <w:snapToGrid w:val="0"/>
              <w:spacing w:line="300" w:lineRule="auto"/>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w:t>
            </w:r>
          </w:p>
        </w:tc>
        <w:tc>
          <w:tcPr>
            <w:tcW w:w="1278" w:type="dxa"/>
            <w:vAlign w:val="center"/>
          </w:tcPr>
          <w:p>
            <w:pPr>
              <w:adjustRightInd w:val="0"/>
              <w:snapToGrid w:val="0"/>
              <w:spacing w:line="276" w:lineRule="auto"/>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采购内容概述</w:t>
            </w:r>
          </w:p>
        </w:tc>
        <w:tc>
          <w:tcPr>
            <w:tcW w:w="7419" w:type="dxa"/>
            <w:vAlign w:val="center"/>
          </w:tcPr>
          <w:p>
            <w:pPr>
              <w:adjustRightInd w:val="0"/>
              <w:snapToGrid w:val="0"/>
              <w:spacing w:line="300" w:lineRule="auto"/>
              <w:rPr>
                <w:rFonts w:ascii="宋体" w:hAnsi="宋体" w:cs="宋体"/>
                <w:snapToGrid w:val="0"/>
                <w:color w:val="auto"/>
                <w:kern w:val="0"/>
                <w:szCs w:val="21"/>
                <w:highlight w:val="none"/>
              </w:rPr>
            </w:pPr>
            <w:r>
              <w:rPr>
                <w:rFonts w:hint="eastAsia"/>
                <w:color w:val="auto"/>
                <w:highlight w:val="none"/>
              </w:rPr>
              <w:t>1.落实上位规划要求，开展现行单元控规实施评估；2.明确控规单元划分方案及功能定位；3.明确各单元控规编制的底线要求和弹性要求；4.加强案例剖析；5.开展应对未来城市构建方面的系列专题研究；6.制定指导下一步工作的工作方案，并配合做好后续与控规强制性内容调配协调等相关服务工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w:t>
            </w:r>
          </w:p>
        </w:tc>
        <w:tc>
          <w:tcPr>
            <w:tcW w:w="1278" w:type="dxa"/>
            <w:vAlign w:val="center"/>
          </w:tcPr>
          <w:p>
            <w:pPr>
              <w:adjustRightInd w:val="0"/>
              <w:snapToGrid w:val="0"/>
              <w:spacing w:line="276" w:lineRule="auto"/>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实施期</w:t>
            </w:r>
          </w:p>
        </w:tc>
        <w:tc>
          <w:tcPr>
            <w:tcW w:w="7419" w:type="dxa"/>
            <w:vAlign w:val="center"/>
          </w:tcPr>
          <w:p>
            <w:pPr>
              <w:widowControl/>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（一）2021年3-5月以例会形式(审查会)推进第一阶段任务编制。</w:t>
            </w:r>
          </w:p>
          <w:p>
            <w:pPr>
              <w:widowControl/>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二</w:t>
            </w:r>
            <w:r>
              <w:rPr>
                <w:rFonts w:hint="eastAsia" w:ascii="宋体" w:hAnsi="宋体" w:cs="宋体"/>
                <w:color w:val="auto"/>
                <w:szCs w:val="21"/>
                <w:highlight w:val="none"/>
              </w:rPr>
              <w:t>）2021年5月</w:t>
            </w:r>
            <w:r>
              <w:rPr>
                <w:rFonts w:hint="eastAsia" w:ascii="宋体" w:hAnsi="宋体" w:cs="宋体"/>
                <w:color w:val="auto"/>
                <w:szCs w:val="21"/>
                <w:highlight w:val="none"/>
                <w:lang w:val="en-US" w:eastAsia="zh-CN"/>
              </w:rPr>
              <w:t>31日</w:t>
            </w:r>
            <w:r>
              <w:rPr>
                <w:rFonts w:hint="eastAsia" w:ascii="宋体" w:hAnsi="宋体" w:cs="宋体"/>
                <w:color w:val="auto"/>
                <w:szCs w:val="21"/>
                <w:highlight w:val="none"/>
              </w:rPr>
              <w:t>前完成第一阶段任务上报稿。</w:t>
            </w:r>
          </w:p>
          <w:p>
            <w:pPr>
              <w:widowControl/>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三</w:t>
            </w:r>
            <w:r>
              <w:rPr>
                <w:rFonts w:hint="eastAsia" w:ascii="宋体" w:hAnsi="宋体" w:cs="宋体"/>
                <w:color w:val="auto"/>
                <w:szCs w:val="21"/>
                <w:highlight w:val="none"/>
              </w:rPr>
              <w:t>）2021年6-8月以例会形式(审查会)推进第二阶段任务编制。</w:t>
            </w:r>
          </w:p>
          <w:p>
            <w:pPr>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四</w:t>
            </w:r>
            <w:r>
              <w:rPr>
                <w:rFonts w:hint="eastAsia" w:ascii="宋体" w:hAnsi="宋体" w:cs="宋体"/>
                <w:color w:val="auto"/>
                <w:szCs w:val="21"/>
                <w:highlight w:val="none"/>
              </w:rPr>
              <w:t>）2021年8月</w:t>
            </w:r>
            <w:r>
              <w:rPr>
                <w:rFonts w:hint="eastAsia" w:ascii="宋体" w:hAnsi="宋体" w:cs="宋体"/>
                <w:color w:val="auto"/>
                <w:szCs w:val="21"/>
                <w:highlight w:val="none"/>
                <w:lang w:val="en-US" w:eastAsia="zh-CN"/>
              </w:rPr>
              <w:t>31日</w:t>
            </w:r>
            <w:r>
              <w:rPr>
                <w:rFonts w:hint="eastAsia" w:ascii="宋体" w:hAnsi="宋体" w:cs="宋体"/>
                <w:color w:val="auto"/>
                <w:szCs w:val="21"/>
                <w:highlight w:val="none"/>
              </w:rPr>
              <w:t>前完成第二阶段任务结题成果。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w:t>
            </w:r>
          </w:p>
        </w:tc>
        <w:tc>
          <w:tcPr>
            <w:tcW w:w="1278" w:type="dxa"/>
            <w:vAlign w:val="center"/>
          </w:tcPr>
          <w:p>
            <w:pPr>
              <w:adjustRightInd w:val="0"/>
              <w:snapToGrid w:val="0"/>
              <w:spacing w:line="276" w:lineRule="auto"/>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▲采购预算</w:t>
            </w:r>
          </w:p>
        </w:tc>
        <w:tc>
          <w:tcPr>
            <w:tcW w:w="7419" w:type="dxa"/>
            <w:vAlign w:val="center"/>
          </w:tcPr>
          <w:p>
            <w:pPr>
              <w:adjustRightInd w:val="0"/>
              <w:snapToGrid w:val="0"/>
              <w:spacing w:line="300" w:lineRule="auto"/>
              <w:rPr>
                <w:rFonts w:ascii="宋体" w:hAnsi="宋体" w:cs="宋体"/>
                <w:b/>
                <w:snapToGrid w:val="0"/>
                <w:color w:val="auto"/>
                <w:kern w:val="0"/>
                <w:szCs w:val="21"/>
                <w:highlight w:val="none"/>
              </w:rPr>
            </w:pPr>
            <w:r>
              <w:rPr>
                <w:rFonts w:hint="eastAsia" w:ascii="宋体" w:hAnsi="宋体" w:cs="宋体"/>
                <w:snapToGrid w:val="0"/>
                <w:color w:val="auto"/>
                <w:kern w:val="0"/>
                <w:szCs w:val="21"/>
                <w:highlight w:val="none"/>
              </w:rPr>
              <w:t>采购预算</w:t>
            </w:r>
            <w:r>
              <w:rPr>
                <w:rFonts w:hint="eastAsia" w:ascii="宋体" w:hAnsi="宋体" w:cs="Arial"/>
                <w:color w:val="auto"/>
                <w:szCs w:val="21"/>
                <w:highlight w:val="none"/>
                <w:lang w:val="en-US" w:eastAsia="zh-CN"/>
              </w:rPr>
              <w:t>510</w:t>
            </w:r>
            <w:r>
              <w:rPr>
                <w:rFonts w:hint="eastAsia" w:ascii="宋体" w:hAnsi="宋体" w:cs="宋体"/>
                <w:snapToGrid w:val="0"/>
                <w:color w:val="auto"/>
                <w:kern w:val="0"/>
                <w:szCs w:val="21"/>
                <w:highlight w:val="none"/>
              </w:rPr>
              <w:t>万元，采购预算即最高限价。投标报价超过最高限价的投标无效。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w:t>
            </w:r>
          </w:p>
        </w:tc>
        <w:tc>
          <w:tcPr>
            <w:tcW w:w="1278" w:type="dxa"/>
            <w:vAlign w:val="center"/>
          </w:tcPr>
          <w:p>
            <w:pPr>
              <w:adjustRightInd w:val="0"/>
              <w:snapToGrid w:val="0"/>
              <w:spacing w:line="276" w:lineRule="auto"/>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资格审查方式</w:t>
            </w:r>
          </w:p>
        </w:tc>
        <w:tc>
          <w:tcPr>
            <w:tcW w:w="7419" w:type="dxa"/>
            <w:vAlign w:val="center"/>
          </w:tcPr>
          <w:p>
            <w:pPr>
              <w:adjustRightInd w:val="0"/>
              <w:snapToGrid w:val="0"/>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资格后审。</w:t>
            </w:r>
          </w:p>
          <w:p>
            <w:pPr>
              <w:adjustRightInd w:val="0"/>
              <w:snapToGrid w:val="0"/>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资格后审是指在开标后由采购人/采购代理机构根据采购文件的规定对供应商进行的资格审查。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9</w:t>
            </w:r>
          </w:p>
        </w:tc>
        <w:tc>
          <w:tcPr>
            <w:tcW w:w="1278" w:type="dxa"/>
            <w:vAlign w:val="center"/>
          </w:tcPr>
          <w:p>
            <w:pPr>
              <w:adjustRightInd w:val="0"/>
              <w:snapToGrid w:val="0"/>
              <w:spacing w:line="276" w:lineRule="auto"/>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招标答疑</w:t>
            </w:r>
          </w:p>
        </w:tc>
        <w:tc>
          <w:tcPr>
            <w:tcW w:w="7419" w:type="dxa"/>
            <w:vAlign w:val="center"/>
          </w:tcPr>
          <w:p>
            <w:pPr>
              <w:adjustRightInd w:val="0"/>
              <w:snapToGrid w:val="0"/>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投标人如认为采购文件表述不清晰的，必须在2021年</w:t>
            </w: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24</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lang w:val="en-US" w:eastAsia="zh-CN"/>
              </w:rPr>
              <w:t>17</w:t>
            </w:r>
            <w:r>
              <w:rPr>
                <w:rFonts w:hint="eastAsia" w:ascii="宋体" w:hAnsi="宋体" w:cs="宋体"/>
                <w:snapToGrid w:val="0"/>
                <w:color w:val="auto"/>
                <w:kern w:val="0"/>
                <w:szCs w:val="21"/>
                <w:highlight w:val="none"/>
              </w:rPr>
              <w:t>时之前、将要求答疑的问题传真至0571－81061828 ,并发电子邮件至2970516628@qq.com（电子邮件与书面文件有不一致的，一律以书面文件为准）。截止期后的疑问将不予受理、答复。答疑回复内容是采购文件的组成部份，并将以更正（澄清）公告形式告知所有获取采购文件的投标人。请投标人密切关注公告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w:t>
            </w:r>
          </w:p>
        </w:tc>
        <w:tc>
          <w:tcPr>
            <w:tcW w:w="1278" w:type="dxa"/>
            <w:vAlign w:val="center"/>
          </w:tcPr>
          <w:p>
            <w:pPr>
              <w:adjustRightInd w:val="0"/>
              <w:snapToGrid w:val="0"/>
              <w:spacing w:line="276" w:lineRule="auto"/>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采购文件的澄清与修改</w:t>
            </w:r>
          </w:p>
        </w:tc>
        <w:tc>
          <w:tcPr>
            <w:tcW w:w="7419" w:type="dxa"/>
            <w:vAlign w:val="center"/>
          </w:tcPr>
          <w:p>
            <w:pPr>
              <w:adjustRightInd w:val="0"/>
              <w:snapToGrid w:val="0"/>
              <w:spacing w:line="300" w:lineRule="auto"/>
              <w:ind w:right="105" w:rightChars="50"/>
              <w:rPr>
                <w:rFonts w:ascii="宋体" w:hAnsi="宋体" w:cs="宋体"/>
                <w:snapToGrid w:val="0"/>
                <w:color w:val="auto"/>
                <w:kern w:val="0"/>
                <w:szCs w:val="21"/>
                <w:highlight w:val="none"/>
              </w:rPr>
            </w:pPr>
            <w:r>
              <w:rPr>
                <w:rFonts w:hint="eastAsia"/>
                <w:color w:val="auto"/>
                <w:highlight w:val="none"/>
              </w:rPr>
              <w:t>在投标截止时间15天前，采购人有权澄清和修改采购文件，并以更正（澄清）公告形式通知所有已获取采购文件的投标人。修改和澄清（答疑）答复的内容作为采购文件的补充和组成部分，对所有投标人均有约束力。请投标人密切关注公告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w:t>
            </w:r>
          </w:p>
        </w:tc>
        <w:tc>
          <w:tcPr>
            <w:tcW w:w="1278" w:type="dxa"/>
            <w:vAlign w:val="center"/>
          </w:tcPr>
          <w:p>
            <w:pPr>
              <w:adjustRightInd w:val="0"/>
              <w:snapToGrid w:val="0"/>
              <w:spacing w:line="276" w:lineRule="auto"/>
              <w:jc w:val="center"/>
              <w:rPr>
                <w:rFonts w:ascii="宋体" w:hAnsi="宋体" w:cs="宋体"/>
                <w:b/>
                <w:snapToGrid w:val="0"/>
                <w:color w:val="auto"/>
                <w:kern w:val="0"/>
                <w:szCs w:val="21"/>
                <w:highlight w:val="none"/>
              </w:rPr>
            </w:pPr>
            <w:r>
              <w:rPr>
                <w:rFonts w:hint="eastAsia" w:ascii="宋体" w:hAnsi="宋体" w:cs="宋体"/>
                <w:b/>
                <w:bCs/>
                <w:color w:val="auto"/>
                <w:szCs w:val="21"/>
                <w:highlight w:val="none"/>
              </w:rPr>
              <w:t>投标文件的编制</w:t>
            </w:r>
          </w:p>
        </w:tc>
        <w:tc>
          <w:tcPr>
            <w:tcW w:w="7419" w:type="dxa"/>
            <w:vAlign w:val="center"/>
          </w:tcPr>
          <w:p>
            <w:pPr>
              <w:adjustRightInd w:val="0"/>
              <w:snapToGrid w:val="0"/>
              <w:spacing w:line="300" w:lineRule="auto"/>
              <w:rPr>
                <w:rFonts w:ascii="宋体" w:hAnsi="宋体" w:cs="宋体"/>
                <w:snapToGrid w:val="0"/>
                <w:color w:val="auto"/>
                <w:kern w:val="0"/>
                <w:szCs w:val="21"/>
                <w:highlight w:val="none"/>
              </w:rPr>
            </w:pPr>
            <w:r>
              <w:rPr>
                <w:rFonts w:hint="eastAsia" w:ascii="宋体" w:hAnsi="宋体" w:cs="宋体"/>
                <w:color w:val="auto"/>
                <w:szCs w:val="21"/>
                <w:highlight w:val="none"/>
              </w:rPr>
              <w:t>供应商应先安装“政采云电子交易客户端”，并按照本采购文件和“政采云平台”的要求，通过“政采云电子交易客户端”编制并加密投标文件。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w:t>
            </w:r>
          </w:p>
        </w:tc>
        <w:tc>
          <w:tcPr>
            <w:tcW w:w="1278" w:type="dxa"/>
            <w:vAlign w:val="center"/>
          </w:tcPr>
          <w:p>
            <w:pPr>
              <w:adjustRightInd w:val="0"/>
              <w:snapToGrid w:val="0"/>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投标文件的组成与签章</w:t>
            </w:r>
          </w:p>
        </w:tc>
        <w:tc>
          <w:tcPr>
            <w:tcW w:w="7419" w:type="dxa"/>
            <w:vAlign w:val="center"/>
          </w:tcPr>
          <w:p>
            <w:pPr>
              <w:adjustRightInd w:val="0"/>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完整的《投标文件》由“资格文件”、“商务报价文件”和“商务技术文件”三个部分组成。</w:t>
            </w:r>
          </w:p>
          <w:p>
            <w:pPr>
              <w:adjustRightInd w:val="0"/>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1.电子投标文件必须有电子签章（凡涉及“签字或盖章”处可以签字）；</w:t>
            </w:r>
          </w:p>
          <w:p>
            <w:pPr>
              <w:adjustRightInd w:val="0"/>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2.开标后，相关信息记录确认、澄清说明、回复等内容，电子签章、或者签章后上传相关文件，均认可；</w:t>
            </w:r>
          </w:p>
          <w:p>
            <w:pPr>
              <w:adjustRightInd w:val="0"/>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3.政采云系统平台有新的操作流程的，按其规定。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w:t>
            </w:r>
          </w:p>
        </w:tc>
        <w:tc>
          <w:tcPr>
            <w:tcW w:w="1278" w:type="dxa"/>
            <w:vAlign w:val="center"/>
          </w:tcPr>
          <w:p>
            <w:pPr>
              <w:adjustRightInd w:val="0"/>
              <w:snapToGrid w:val="0"/>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投标文件的形式</w:t>
            </w:r>
          </w:p>
        </w:tc>
        <w:tc>
          <w:tcPr>
            <w:tcW w:w="741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☑电子投标文件（包括“电子加密投标文件”和“备份投标文件”，在投标文件编制完成后同时生成）；</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（1）“电子加密投标文件”是指通过“政采云电子交易客户端”完成投标文件编制后生成并加密的数据电文形式的投标文件。</w:t>
            </w:r>
          </w:p>
          <w:p>
            <w:pPr>
              <w:adjustRightInd w:val="0"/>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（2）“备份投标文件”是指与“电子加密投标文件”同时生成的数据电文形式的电子文件（备份标书），其他方式编制的备份投标文件视为无效备份投标文件。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w:t>
            </w:r>
          </w:p>
        </w:tc>
        <w:tc>
          <w:tcPr>
            <w:tcW w:w="1278" w:type="dxa"/>
            <w:vAlign w:val="center"/>
          </w:tcPr>
          <w:p>
            <w:pPr>
              <w:adjustRightInd w:val="0"/>
              <w:snapToGrid w:val="0"/>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投标文件份数</w:t>
            </w:r>
          </w:p>
        </w:tc>
        <w:tc>
          <w:tcPr>
            <w:tcW w:w="7419" w:type="dxa"/>
            <w:vAlign w:val="center"/>
          </w:tcPr>
          <w:p>
            <w:pPr>
              <w:adjustRightInd w:val="0"/>
              <w:snapToGrid w:val="0"/>
              <w:spacing w:line="300" w:lineRule="auto"/>
              <w:rPr>
                <w:color w:val="auto"/>
                <w:highlight w:val="none"/>
              </w:rPr>
            </w:pPr>
            <w:r>
              <w:rPr>
                <w:rFonts w:hint="eastAsia"/>
                <w:color w:val="auto"/>
                <w:highlight w:val="none"/>
              </w:rPr>
              <w:t>（1）“电子加密投标文件”：在线上传提交一份。</w:t>
            </w:r>
          </w:p>
          <w:p>
            <w:pPr>
              <w:snapToGrid w:val="0"/>
              <w:spacing w:line="300" w:lineRule="auto"/>
              <w:rPr>
                <w:color w:val="auto"/>
                <w:highlight w:val="none"/>
              </w:rPr>
            </w:pPr>
            <w:r>
              <w:rPr>
                <w:rFonts w:hint="eastAsia"/>
                <w:color w:val="auto"/>
                <w:highlight w:val="none"/>
              </w:rPr>
              <w:t>（2）“备份投标文件”：密封包装后确保在投标截止时间前直接提交或者以快递方式（EMS/顺丰邮寄形式）送达一份（地址：杭州文三路90号东部软件园2号楼6楼，联系人：邵子野，</w:t>
            </w:r>
            <w:r>
              <w:rPr>
                <w:rFonts w:hint="eastAsia"/>
                <w:color w:val="auto"/>
                <w:highlight w:val="none"/>
                <w:lang w:eastAsia="zh-CN"/>
              </w:rPr>
              <w:t>赵丹威</w:t>
            </w:r>
            <w:r>
              <w:rPr>
                <w:rFonts w:hint="eastAsia"/>
                <w:color w:val="auto"/>
                <w:highlight w:val="none"/>
              </w:rPr>
              <w:t>，联系电话：0571-81061830，</w:t>
            </w:r>
            <w:r>
              <w:rPr>
                <w:rFonts w:hint="eastAsia"/>
                <w:color w:val="auto"/>
                <w:highlight w:val="none"/>
                <w:lang w:eastAsia="zh-CN"/>
              </w:rPr>
              <w:t>81061807</w:t>
            </w:r>
            <w:r>
              <w:rPr>
                <w:rFonts w:hint="eastAsia"/>
                <w:color w:val="auto"/>
                <w:highlight w:val="none"/>
              </w:rPr>
              <w:t>）。（自选邮寄形式）。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896" w:type="dxa"/>
            <w:vMerge w:val="restart"/>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15</w:t>
            </w:r>
          </w:p>
        </w:tc>
        <w:tc>
          <w:tcPr>
            <w:tcW w:w="1278" w:type="dxa"/>
            <w:vMerge w:val="restart"/>
            <w:vAlign w:val="center"/>
          </w:tcPr>
          <w:p>
            <w:pPr>
              <w:adjustRightInd w:val="0"/>
              <w:snapToGrid w:val="0"/>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投标文件的上传和递交</w:t>
            </w:r>
          </w:p>
        </w:tc>
        <w:tc>
          <w:tcPr>
            <w:tcW w:w="7419" w:type="dxa"/>
            <w:vAlign w:val="center"/>
          </w:tcPr>
          <w:p>
            <w:pPr>
              <w:adjustRightInd w:val="0"/>
              <w:snapToGrid w:val="0"/>
              <w:spacing w:line="300" w:lineRule="auto"/>
              <w:rPr>
                <w:rFonts w:ascii="宋体" w:hAnsi="宋体" w:cs="宋体"/>
                <w:bCs/>
                <w:color w:val="auto"/>
                <w:szCs w:val="21"/>
                <w:highlight w:val="none"/>
              </w:rPr>
            </w:pPr>
            <w:r>
              <w:rPr>
                <w:rFonts w:hint="eastAsia" w:ascii="宋体" w:hAnsi="宋体" w:cs="宋体"/>
                <w:bCs/>
                <w:color w:val="auto"/>
                <w:szCs w:val="21"/>
                <w:highlight w:val="none"/>
              </w:rPr>
              <w:t>1.电子加密投标文件：投标文件制作完成并生成加密标书，在投标截止时间前，供应商需将加密的投标文件上传至政采云平台，在开标时间开始后30分钟内，解密投标文件。</w:t>
            </w:r>
          </w:p>
          <w:p>
            <w:pPr>
              <w:adjustRightInd w:val="0"/>
              <w:snapToGrid w:val="0"/>
              <w:spacing w:line="300" w:lineRule="auto"/>
              <w:rPr>
                <w:rFonts w:ascii="宋体" w:hAnsi="宋体" w:cs="宋体"/>
                <w:bCs/>
                <w:color w:val="auto"/>
                <w:szCs w:val="21"/>
                <w:highlight w:val="none"/>
              </w:rPr>
            </w:pPr>
            <w:r>
              <w:rPr>
                <w:rFonts w:hint="eastAsia" w:ascii="宋体" w:hAnsi="宋体" w:cs="宋体"/>
                <w:bCs/>
                <w:color w:val="auto"/>
                <w:szCs w:val="21"/>
                <w:highlight w:val="none"/>
              </w:rPr>
              <w:t>a.供应商未能在投标截止时间前成功上传电子加密投标文件的投标无效。</w:t>
            </w:r>
          </w:p>
          <w:p>
            <w:pPr>
              <w:adjustRightInd w:val="0"/>
              <w:snapToGrid w:val="0"/>
              <w:spacing w:line="300" w:lineRule="auto"/>
              <w:rPr>
                <w:rFonts w:ascii="宋体" w:hAnsi="宋体" w:cs="宋体"/>
                <w:bCs/>
                <w:color w:val="auto"/>
                <w:szCs w:val="21"/>
                <w:highlight w:val="none"/>
              </w:rPr>
            </w:pPr>
            <w:r>
              <w:rPr>
                <w:rFonts w:hint="eastAsia" w:ascii="宋体" w:hAnsi="宋体" w:cs="宋体"/>
                <w:bCs/>
                <w:color w:val="auto"/>
                <w:szCs w:val="21"/>
                <w:highlight w:val="none"/>
              </w:rPr>
              <w:t>b.供应商成功上传电子加密投标文件后，可自行打印投标文件接收回执。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896" w:type="dxa"/>
            <w:vMerge w:val="continue"/>
            <w:vAlign w:val="center"/>
          </w:tcPr>
          <w:p>
            <w:pPr>
              <w:adjustRightInd w:val="0"/>
              <w:snapToGrid w:val="0"/>
              <w:spacing w:line="276" w:lineRule="auto"/>
              <w:jc w:val="center"/>
              <w:rPr>
                <w:rFonts w:ascii="宋体" w:hAnsi="宋体" w:cs="宋体"/>
                <w:snapToGrid w:val="0"/>
                <w:color w:val="auto"/>
                <w:kern w:val="0"/>
                <w:szCs w:val="21"/>
                <w:highlight w:val="none"/>
              </w:rPr>
            </w:pPr>
          </w:p>
        </w:tc>
        <w:tc>
          <w:tcPr>
            <w:tcW w:w="1278" w:type="dxa"/>
            <w:vMerge w:val="continue"/>
            <w:vAlign w:val="center"/>
          </w:tcPr>
          <w:p>
            <w:pPr>
              <w:adjustRightInd w:val="0"/>
              <w:snapToGrid w:val="0"/>
              <w:spacing w:line="276" w:lineRule="auto"/>
              <w:jc w:val="center"/>
              <w:rPr>
                <w:rFonts w:ascii="宋体" w:hAnsi="宋体" w:cs="宋体"/>
                <w:b/>
                <w:bCs/>
                <w:color w:val="auto"/>
                <w:szCs w:val="21"/>
                <w:highlight w:val="none"/>
              </w:rPr>
            </w:pPr>
          </w:p>
        </w:tc>
        <w:tc>
          <w:tcPr>
            <w:tcW w:w="7419" w:type="dxa"/>
            <w:vAlign w:val="center"/>
          </w:tcPr>
          <w:p>
            <w:pPr>
              <w:adjustRightInd w:val="0"/>
              <w:snapToGrid w:val="0"/>
              <w:spacing w:line="300" w:lineRule="auto"/>
              <w:rPr>
                <w:rFonts w:ascii="宋体" w:hAnsi="宋体" w:cs="宋体"/>
                <w:bCs/>
                <w:color w:val="auto"/>
                <w:szCs w:val="21"/>
                <w:highlight w:val="none"/>
              </w:rPr>
            </w:pPr>
            <w:r>
              <w:rPr>
                <w:rFonts w:hint="eastAsia" w:ascii="宋体" w:hAnsi="宋体" w:cs="宋体"/>
                <w:bCs/>
                <w:color w:val="auto"/>
                <w:szCs w:val="21"/>
                <w:highlight w:val="none"/>
              </w:rPr>
              <w:t>2.备份投标文件：供应商确保在投标截止时间前，将备份投标文件通过快递形式寄达采购代理机构处，以便标书解密异常时应急使用（邮寄地址：杭州市文三路90号东部软件园二号楼606室， 接收人： 联系人：邵子野，</w:t>
            </w:r>
            <w:r>
              <w:rPr>
                <w:rFonts w:hint="eastAsia" w:ascii="宋体" w:hAnsi="宋体" w:cs="宋体"/>
                <w:bCs/>
                <w:color w:val="auto"/>
                <w:szCs w:val="21"/>
                <w:highlight w:val="none"/>
                <w:lang w:eastAsia="zh-CN"/>
              </w:rPr>
              <w:t>赵丹威</w:t>
            </w:r>
            <w:r>
              <w:rPr>
                <w:rFonts w:hint="eastAsia" w:ascii="宋体" w:hAnsi="宋体" w:cs="宋体"/>
                <w:bCs/>
                <w:color w:val="auto"/>
                <w:szCs w:val="21"/>
                <w:highlight w:val="none"/>
              </w:rPr>
              <w:t>，联系电话：0571-81061830，</w:t>
            </w:r>
            <w:r>
              <w:rPr>
                <w:rFonts w:hint="eastAsia" w:ascii="宋体" w:hAnsi="宋体" w:cs="宋体"/>
                <w:bCs/>
                <w:color w:val="auto"/>
                <w:szCs w:val="21"/>
                <w:highlight w:val="none"/>
                <w:lang w:eastAsia="zh-CN"/>
              </w:rPr>
              <w:t>81061807</w:t>
            </w:r>
            <w:r>
              <w:rPr>
                <w:rFonts w:hint="eastAsia" w:ascii="宋体" w:hAnsi="宋体" w:cs="宋体"/>
                <w:bCs/>
                <w:color w:val="auto"/>
                <w:szCs w:val="21"/>
                <w:highlight w:val="none"/>
              </w:rPr>
              <w:t>）。</w:t>
            </w:r>
          </w:p>
          <w:p>
            <w:pPr>
              <w:adjustRightInd w:val="0"/>
              <w:snapToGrid w:val="0"/>
              <w:spacing w:line="300" w:lineRule="auto"/>
              <w:rPr>
                <w:rFonts w:ascii="宋体" w:hAnsi="宋体" w:cs="宋体"/>
                <w:bCs/>
                <w:color w:val="auto"/>
                <w:szCs w:val="21"/>
                <w:highlight w:val="none"/>
              </w:rPr>
            </w:pPr>
            <w:r>
              <w:rPr>
                <w:rFonts w:hint="eastAsia" w:ascii="宋体" w:hAnsi="宋体" w:cs="宋体"/>
                <w:bCs/>
                <w:color w:val="auto"/>
                <w:szCs w:val="21"/>
                <w:highlight w:val="none"/>
              </w:rPr>
              <w:t>a.备份投标文件递交要求：供应商须将备份投标文件以光盘或U盘形式放在密封袋中，密封后并在密封袋上注明投标项目名称、投标单位名称并加盖公章。未密封包装或者逾期邮寄送达的“备份投标文件”将不予接收。</w:t>
            </w:r>
          </w:p>
          <w:p>
            <w:pPr>
              <w:adjustRightInd w:val="0"/>
              <w:snapToGrid w:val="0"/>
              <w:spacing w:line="300" w:lineRule="auto"/>
              <w:rPr>
                <w:rFonts w:ascii="宋体" w:hAnsi="宋体" w:cs="宋体"/>
                <w:bCs/>
                <w:color w:val="auto"/>
                <w:szCs w:val="21"/>
                <w:highlight w:val="none"/>
              </w:rPr>
            </w:pPr>
            <w:r>
              <w:rPr>
                <w:rFonts w:hint="eastAsia" w:ascii="宋体" w:hAnsi="宋体" w:cs="宋体"/>
                <w:bCs/>
                <w:color w:val="auto"/>
                <w:szCs w:val="21"/>
                <w:highlight w:val="none"/>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16</w:t>
            </w:r>
          </w:p>
        </w:tc>
        <w:tc>
          <w:tcPr>
            <w:tcW w:w="1278" w:type="dxa"/>
            <w:vAlign w:val="center"/>
          </w:tcPr>
          <w:p>
            <w:pPr>
              <w:adjustRightInd w:val="0"/>
              <w:snapToGrid w:val="0"/>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电子加密投标文件的解密和异常情况处理</w:t>
            </w:r>
          </w:p>
        </w:tc>
        <w:tc>
          <w:tcPr>
            <w:tcW w:w="7419" w:type="dxa"/>
            <w:vAlign w:val="center"/>
          </w:tcPr>
          <w:p>
            <w:pPr>
              <w:adjustRightInd w:val="0"/>
              <w:snapToGrid w:val="0"/>
              <w:spacing w:line="300" w:lineRule="auto"/>
              <w:rPr>
                <w:rFonts w:ascii="宋体" w:hAnsi="宋体" w:cs="宋体"/>
                <w:bCs/>
                <w:color w:val="auto"/>
                <w:szCs w:val="21"/>
                <w:highlight w:val="none"/>
              </w:rPr>
            </w:pPr>
            <w:r>
              <w:rPr>
                <w:rFonts w:hint="eastAsia" w:ascii="宋体" w:hAnsi="宋体" w:cs="宋体"/>
                <w:bCs/>
                <w:color w:val="auto"/>
                <w:szCs w:val="21"/>
                <w:highlight w:val="none"/>
              </w:rPr>
              <w:t>（1）开标后，采购代理机构将向各投标供应商发出“电子加密投标文件”的解密通知，各投标供应商代表应当在接到解密通知后30分钟内自行完成“电子加密投标文件”的在线解密。</w:t>
            </w:r>
          </w:p>
          <w:p>
            <w:pPr>
              <w:adjustRightInd w:val="0"/>
              <w:snapToGrid w:val="0"/>
              <w:spacing w:line="300" w:lineRule="auto"/>
              <w:rPr>
                <w:rFonts w:ascii="宋体" w:hAnsi="宋体" w:cs="宋体"/>
                <w:bCs/>
                <w:color w:val="auto"/>
                <w:szCs w:val="21"/>
                <w:highlight w:val="none"/>
              </w:rPr>
            </w:pPr>
            <w:r>
              <w:rPr>
                <w:rFonts w:hint="eastAsia" w:ascii="宋体" w:hAnsi="宋体" w:cs="宋体"/>
                <w:bCs/>
                <w:color w:val="auto"/>
                <w:szCs w:val="21"/>
                <w:highlight w:val="none"/>
              </w:rPr>
              <w:t>（2）通过“政采云平台”成功上传递交的“电子加密投标文件”无法按时解密，投标供应商如按规定递交了“备份投标文件”的，以“备份投标文件”为依据（由采购代理机构按“政采云平台”操作规范将“备份投标文件”上传至“政采云平台”，上传成功后，“电子加密投标文件”自动失效），否则视为投标文件撤回。</w:t>
            </w:r>
          </w:p>
          <w:p>
            <w:pPr>
              <w:adjustRightInd w:val="0"/>
              <w:snapToGrid w:val="0"/>
              <w:spacing w:line="300" w:lineRule="auto"/>
              <w:rPr>
                <w:rFonts w:ascii="宋体" w:hAnsi="宋体" w:cs="宋体"/>
                <w:color w:val="auto"/>
                <w:szCs w:val="21"/>
                <w:highlight w:val="none"/>
              </w:rPr>
            </w:pPr>
            <w:r>
              <w:rPr>
                <w:rFonts w:hint="eastAsia" w:ascii="宋体" w:hAnsi="宋体" w:cs="宋体"/>
                <w:color w:val="auto"/>
                <w:szCs w:val="21"/>
                <w:highlight w:val="none"/>
              </w:rPr>
              <w:t>（3）投标截止时间前，投标供应商仅递交了“备份投标文件”而未将电子加密投标文件上传至“政采云平台”的，投标无效。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17</w:t>
            </w:r>
          </w:p>
        </w:tc>
        <w:tc>
          <w:tcPr>
            <w:tcW w:w="1278" w:type="dxa"/>
            <w:vAlign w:val="center"/>
          </w:tcPr>
          <w:p>
            <w:pPr>
              <w:adjustRightInd w:val="0"/>
              <w:snapToGrid w:val="0"/>
              <w:spacing w:line="276" w:lineRule="auto"/>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投标文件截止时间</w:t>
            </w:r>
          </w:p>
        </w:tc>
        <w:tc>
          <w:tcPr>
            <w:tcW w:w="7419" w:type="dxa"/>
            <w:vAlign w:val="center"/>
          </w:tcPr>
          <w:p>
            <w:pPr>
              <w:adjustRightInd w:val="0"/>
              <w:snapToGrid w:val="0"/>
              <w:spacing w:line="300" w:lineRule="auto"/>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rPr>
              <w:t>时间： 2021 年</w:t>
            </w:r>
            <w:r>
              <w:rPr>
                <w:rFonts w:hint="eastAsia" w:ascii="宋体" w:hAnsi="宋体" w:cs="宋体"/>
                <w:snapToGrid w:val="0"/>
                <w:color w:val="auto"/>
                <w:kern w:val="0"/>
                <w:szCs w:val="21"/>
                <w:highlight w:val="none"/>
                <w:lang w:val="en-US" w:eastAsia="zh-CN"/>
              </w:rPr>
              <w:t xml:space="preserve"> 3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 xml:space="preserve"> 2 </w:t>
            </w:r>
            <w:r>
              <w:rPr>
                <w:rFonts w:hint="eastAsia" w:ascii="宋体" w:hAnsi="宋体" w:cs="宋体"/>
                <w:snapToGrid w:val="0"/>
                <w:color w:val="auto"/>
                <w:kern w:val="0"/>
                <w:szCs w:val="21"/>
                <w:highlight w:val="none"/>
              </w:rPr>
              <w:t xml:space="preserve">日 </w:t>
            </w:r>
            <w:r>
              <w:rPr>
                <w:rFonts w:hint="eastAsia" w:ascii="宋体" w:hAnsi="宋体" w:cs="宋体"/>
                <w:snapToGrid w:val="0"/>
                <w:color w:val="auto"/>
                <w:kern w:val="0"/>
                <w:szCs w:val="21"/>
                <w:highlight w:val="none"/>
                <w:lang w:val="en-US" w:eastAsia="zh-CN"/>
              </w:rPr>
              <w:t>9</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30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2"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18</w:t>
            </w:r>
          </w:p>
        </w:tc>
        <w:tc>
          <w:tcPr>
            <w:tcW w:w="1278" w:type="dxa"/>
            <w:vAlign w:val="center"/>
          </w:tcPr>
          <w:p>
            <w:pPr>
              <w:adjustRightInd w:val="0"/>
              <w:snapToGrid w:val="0"/>
              <w:spacing w:line="276" w:lineRule="auto"/>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开标时间及地点</w:t>
            </w:r>
          </w:p>
        </w:tc>
        <w:tc>
          <w:tcPr>
            <w:tcW w:w="7419" w:type="dxa"/>
            <w:vAlign w:val="center"/>
          </w:tcPr>
          <w:p>
            <w:pPr>
              <w:adjustRightInd w:val="0"/>
              <w:snapToGrid w:val="0"/>
              <w:spacing w:line="300" w:lineRule="auto"/>
              <w:rPr>
                <w:rFonts w:hint="default" w:ascii="宋体" w:hAnsi="宋体" w:eastAsia="宋体" w:cs="宋体"/>
                <w:color w:val="auto"/>
                <w:kern w:val="0"/>
                <w:szCs w:val="21"/>
                <w:highlight w:val="none"/>
                <w:lang w:val="en-US" w:eastAsia="zh-CN"/>
              </w:rPr>
            </w:pPr>
            <w:r>
              <w:rPr>
                <w:rFonts w:hint="eastAsia" w:ascii="宋体" w:hAnsi="宋体" w:cs="宋体"/>
                <w:snapToGrid w:val="0"/>
                <w:color w:val="auto"/>
                <w:kern w:val="0"/>
                <w:szCs w:val="21"/>
                <w:highlight w:val="none"/>
              </w:rPr>
              <w:t>时间： 2021 年</w:t>
            </w:r>
            <w:r>
              <w:rPr>
                <w:rFonts w:hint="eastAsia" w:ascii="宋体" w:hAnsi="宋体" w:cs="宋体"/>
                <w:snapToGrid w:val="0"/>
                <w:color w:val="auto"/>
                <w:kern w:val="0"/>
                <w:szCs w:val="21"/>
                <w:highlight w:val="none"/>
                <w:lang w:val="en-US" w:eastAsia="zh-CN"/>
              </w:rPr>
              <w:t xml:space="preserve"> 3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 xml:space="preserve"> 2 </w:t>
            </w:r>
            <w:r>
              <w:rPr>
                <w:rFonts w:hint="eastAsia" w:ascii="宋体" w:hAnsi="宋体" w:cs="宋体"/>
                <w:snapToGrid w:val="0"/>
                <w:color w:val="auto"/>
                <w:kern w:val="0"/>
                <w:szCs w:val="21"/>
                <w:highlight w:val="none"/>
              </w:rPr>
              <w:t xml:space="preserve">日 </w:t>
            </w:r>
            <w:r>
              <w:rPr>
                <w:rFonts w:hint="eastAsia" w:ascii="宋体" w:hAnsi="宋体" w:cs="宋体"/>
                <w:snapToGrid w:val="0"/>
                <w:color w:val="auto"/>
                <w:kern w:val="0"/>
                <w:szCs w:val="21"/>
                <w:highlight w:val="none"/>
                <w:lang w:val="en-US" w:eastAsia="zh-CN"/>
              </w:rPr>
              <w:t>9</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30</w:t>
            </w:r>
          </w:p>
          <w:p>
            <w:pPr>
              <w:adjustRightInd w:val="0"/>
              <w:snapToGrid w:val="0"/>
              <w:spacing w:line="300" w:lineRule="auto"/>
              <w:rPr>
                <w:color w:val="auto"/>
                <w:szCs w:val="21"/>
                <w:highlight w:val="none"/>
              </w:rPr>
            </w:pPr>
            <w:r>
              <w:rPr>
                <w:rFonts w:hint="eastAsia" w:ascii="宋体" w:hAnsi="宋体" w:cs="宋体"/>
                <w:color w:val="auto"/>
                <w:kern w:val="0"/>
                <w:szCs w:val="21"/>
                <w:highlight w:val="none"/>
              </w:rPr>
              <w:t>地点（网址）：线上（政府采购云平台（www.zcygov.cn））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w:t>
            </w:r>
          </w:p>
        </w:tc>
        <w:tc>
          <w:tcPr>
            <w:tcW w:w="1278" w:type="dxa"/>
            <w:vAlign w:val="center"/>
          </w:tcPr>
          <w:p>
            <w:pPr>
              <w:adjustRightInd w:val="0"/>
              <w:snapToGrid w:val="0"/>
              <w:spacing w:line="276" w:lineRule="auto"/>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投标有效期</w:t>
            </w:r>
          </w:p>
        </w:tc>
        <w:tc>
          <w:tcPr>
            <w:tcW w:w="7419" w:type="dxa"/>
            <w:vAlign w:val="center"/>
          </w:tcPr>
          <w:p>
            <w:pPr>
              <w:adjustRightInd w:val="0"/>
              <w:snapToGrid w:val="0"/>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投标截止日后</w:t>
            </w:r>
            <w:r>
              <w:rPr>
                <w:rFonts w:hint="eastAsia" w:ascii="宋体" w:hAnsi="宋体" w:cs="宋体"/>
                <w:b/>
                <w:bCs/>
                <w:snapToGrid w:val="0"/>
                <w:color w:val="auto"/>
                <w:kern w:val="0"/>
                <w:szCs w:val="21"/>
                <w:highlight w:val="none"/>
              </w:rPr>
              <w:t>90日历天</w:t>
            </w:r>
            <w:r>
              <w:rPr>
                <w:rFonts w:hint="eastAsia" w:ascii="宋体" w:hAnsi="宋体" w:cs="宋体"/>
                <w:snapToGrid w:val="0"/>
                <w:color w:val="auto"/>
                <w:kern w:val="0"/>
                <w:szCs w:val="21"/>
                <w:highlight w:val="none"/>
              </w:rPr>
              <w:t>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20</w:t>
            </w:r>
          </w:p>
        </w:tc>
        <w:tc>
          <w:tcPr>
            <w:tcW w:w="1278" w:type="dxa"/>
            <w:vAlign w:val="center"/>
          </w:tcPr>
          <w:p>
            <w:pPr>
              <w:adjustRightInd w:val="0"/>
              <w:snapToGrid w:val="0"/>
              <w:spacing w:line="276" w:lineRule="auto"/>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评标办法</w:t>
            </w:r>
          </w:p>
        </w:tc>
        <w:tc>
          <w:tcPr>
            <w:tcW w:w="7419" w:type="dxa"/>
            <w:vAlign w:val="center"/>
          </w:tcPr>
          <w:p>
            <w:pPr>
              <w:adjustRightInd w:val="0"/>
              <w:snapToGrid w:val="0"/>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21</w:t>
            </w:r>
          </w:p>
        </w:tc>
        <w:tc>
          <w:tcPr>
            <w:tcW w:w="1278" w:type="dxa"/>
            <w:vAlign w:val="center"/>
          </w:tcPr>
          <w:p>
            <w:pPr>
              <w:adjustRightInd w:val="0"/>
              <w:snapToGrid w:val="0"/>
              <w:spacing w:line="276" w:lineRule="auto"/>
              <w:jc w:val="center"/>
              <w:rPr>
                <w:rFonts w:ascii="宋体" w:hAnsi="宋体" w:cs="宋体"/>
                <w:b/>
                <w:bCs/>
                <w:snapToGrid w:val="0"/>
                <w:color w:val="auto"/>
                <w:kern w:val="0"/>
                <w:szCs w:val="21"/>
                <w:highlight w:val="none"/>
              </w:rPr>
            </w:pPr>
            <w:r>
              <w:rPr>
                <w:rFonts w:hint="eastAsia" w:ascii="宋体" w:hAnsi="宋体"/>
                <w:b/>
                <w:bCs/>
                <w:color w:val="auto"/>
                <w:szCs w:val="21"/>
                <w:highlight w:val="none"/>
              </w:rPr>
              <w:t>开标程序</w:t>
            </w:r>
          </w:p>
        </w:tc>
        <w:tc>
          <w:tcPr>
            <w:tcW w:w="7419" w:type="dxa"/>
            <w:vAlign w:val="center"/>
          </w:tcPr>
          <w:p>
            <w:pPr>
              <w:adjustRightInd w:val="0"/>
              <w:snapToGrid w:val="0"/>
              <w:spacing w:line="320" w:lineRule="exact"/>
              <w:ind w:left="15" w:hanging="14" w:hangingChars="7"/>
              <w:rPr>
                <w:rFonts w:eastAsia="Century Gothic"/>
                <w:b/>
                <w:bCs/>
                <w:color w:val="auto"/>
                <w:szCs w:val="21"/>
                <w:highlight w:val="none"/>
              </w:rPr>
            </w:pPr>
            <w:r>
              <w:rPr>
                <w:rFonts w:hint="eastAsia"/>
                <w:color w:val="auto"/>
                <w:szCs w:val="21"/>
                <w:highlight w:val="none"/>
              </w:rPr>
              <w:t>1.开标后，采购代理机构点击【开始解密】，供应商应在30分钟内完成解密（即</w:t>
            </w:r>
            <w:r>
              <w:rPr>
                <w:rFonts w:hint="eastAsia" w:ascii="宋体" w:hAnsi="宋体" w:cs="宋体"/>
                <w:snapToGrid w:val="0"/>
                <w:color w:val="auto"/>
                <w:kern w:val="0"/>
                <w:szCs w:val="21"/>
                <w:highlight w:val="none"/>
              </w:rPr>
              <w:t xml:space="preserve"> 2021 年</w:t>
            </w:r>
            <w:r>
              <w:rPr>
                <w:rFonts w:hint="eastAsia" w:ascii="宋体" w:hAnsi="宋体" w:cs="宋体"/>
                <w:snapToGrid w:val="0"/>
                <w:color w:val="auto"/>
                <w:kern w:val="0"/>
                <w:szCs w:val="21"/>
                <w:highlight w:val="none"/>
                <w:lang w:val="en-US" w:eastAsia="zh-CN"/>
              </w:rPr>
              <w:t xml:space="preserve"> 3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 xml:space="preserve"> 2 </w:t>
            </w:r>
            <w:r>
              <w:rPr>
                <w:rFonts w:hint="eastAsia" w:ascii="宋体" w:hAnsi="宋体" w:cs="宋体"/>
                <w:snapToGrid w:val="0"/>
                <w:color w:val="auto"/>
                <w:kern w:val="0"/>
                <w:szCs w:val="21"/>
                <w:highlight w:val="none"/>
              </w:rPr>
              <w:t xml:space="preserve">日 </w:t>
            </w:r>
            <w:r>
              <w:rPr>
                <w:rFonts w:hint="eastAsia" w:ascii="宋体" w:hAnsi="宋体" w:cs="宋体"/>
                <w:snapToGrid w:val="0"/>
                <w:color w:val="auto"/>
                <w:kern w:val="0"/>
                <w:szCs w:val="21"/>
                <w:highlight w:val="none"/>
                <w:lang w:val="en-US" w:eastAsia="zh-CN"/>
              </w:rPr>
              <w:t>10</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00</w:t>
            </w:r>
            <w:r>
              <w:rPr>
                <w:rFonts w:hint="eastAsia"/>
                <w:color w:val="auto"/>
                <w:szCs w:val="21"/>
                <w:highlight w:val="none"/>
              </w:rPr>
              <w:t>前）。供应商在规定的时间内都已完成解密，则系统自动结束解密；供应商超过解密时限，默认自动放弃；</w:t>
            </w:r>
          </w:p>
          <w:p>
            <w:pPr>
              <w:adjustRightInd w:val="0"/>
              <w:snapToGrid w:val="0"/>
              <w:spacing w:line="320" w:lineRule="exact"/>
              <w:ind w:left="15" w:hanging="14" w:hangingChars="7"/>
              <w:rPr>
                <w:rFonts w:eastAsia="Century Gothic"/>
                <w:b/>
                <w:bCs/>
                <w:color w:val="auto"/>
                <w:szCs w:val="21"/>
                <w:highlight w:val="none"/>
              </w:rPr>
            </w:pPr>
            <w:r>
              <w:rPr>
                <w:rFonts w:hint="eastAsia"/>
                <w:color w:val="auto"/>
                <w:szCs w:val="21"/>
                <w:highlight w:val="none"/>
              </w:rPr>
              <w:t>2.解密不成功时，如投标供应商已按规定递交了“备份投标文件”的，采购代理机构通过【异常处理】端口对备份投标文件上传、解密；</w:t>
            </w:r>
          </w:p>
          <w:p>
            <w:pPr>
              <w:adjustRightInd w:val="0"/>
              <w:snapToGrid w:val="0"/>
              <w:spacing w:line="320" w:lineRule="exact"/>
              <w:ind w:left="15" w:hanging="14" w:hangingChars="7"/>
              <w:rPr>
                <w:rFonts w:eastAsia="Century Gothic"/>
                <w:b/>
                <w:bCs/>
                <w:color w:val="auto"/>
                <w:szCs w:val="21"/>
                <w:highlight w:val="none"/>
              </w:rPr>
            </w:pPr>
            <w:r>
              <w:rPr>
                <w:rFonts w:hint="eastAsia"/>
                <w:color w:val="auto"/>
                <w:szCs w:val="21"/>
                <w:highlight w:val="none"/>
              </w:rPr>
              <w:t>3.结束解密后，供应商通过邮件形式将经授权代表签署的《政府采购活动现场确认声明书》（格式见采购文件第七部分，采购文件最后一页内容）扫描件发至代理机构经办人邮箱（邮箱地址：2970516628@qq.com ， 联系人：邵子野，</w:t>
            </w:r>
            <w:r>
              <w:rPr>
                <w:rFonts w:hint="eastAsia"/>
                <w:color w:val="auto"/>
                <w:szCs w:val="21"/>
                <w:highlight w:val="none"/>
                <w:lang w:eastAsia="zh-CN"/>
              </w:rPr>
              <w:t>赵丹威</w:t>
            </w:r>
            <w:r>
              <w:rPr>
                <w:rFonts w:hint="eastAsia" w:ascii="宋体" w:hAnsi="宋体" w:cs="宋体"/>
                <w:color w:val="auto"/>
                <w:kern w:val="0"/>
                <w:szCs w:val="21"/>
                <w:highlight w:val="none"/>
              </w:rPr>
              <w:t>，</w:t>
            </w:r>
            <w:r>
              <w:rPr>
                <w:rFonts w:hint="eastAsia"/>
                <w:color w:val="auto"/>
                <w:szCs w:val="21"/>
                <w:highlight w:val="none"/>
              </w:rPr>
              <w:t>联系电话：0571-81061830，</w:t>
            </w:r>
            <w:r>
              <w:rPr>
                <w:rFonts w:hint="eastAsia"/>
                <w:color w:val="auto"/>
                <w:szCs w:val="21"/>
                <w:highlight w:val="none"/>
                <w:lang w:eastAsia="zh-CN"/>
              </w:rPr>
              <w:t>81061807</w:t>
            </w:r>
            <w:r>
              <w:rPr>
                <w:rFonts w:hint="eastAsia"/>
                <w:color w:val="auto"/>
                <w:szCs w:val="21"/>
                <w:highlight w:val="none"/>
              </w:rPr>
              <w:t>）；</w:t>
            </w:r>
          </w:p>
          <w:p>
            <w:pPr>
              <w:adjustRightInd w:val="0"/>
              <w:snapToGrid w:val="0"/>
              <w:spacing w:line="320" w:lineRule="exact"/>
              <w:ind w:left="15" w:hanging="14" w:hangingChars="7"/>
              <w:rPr>
                <w:rFonts w:eastAsia="Century Gothic"/>
                <w:b/>
                <w:bCs/>
                <w:color w:val="auto"/>
                <w:szCs w:val="21"/>
                <w:highlight w:val="none"/>
              </w:rPr>
            </w:pPr>
            <w:r>
              <w:rPr>
                <w:rFonts w:hint="eastAsia"/>
                <w:color w:val="auto"/>
                <w:szCs w:val="21"/>
                <w:highlight w:val="none"/>
              </w:rPr>
              <w:t>4.采购组织机构点击【开启标书信息】，开启标书成功后进入开标流程。</w:t>
            </w:r>
          </w:p>
          <w:p>
            <w:pPr>
              <w:adjustRightInd w:val="0"/>
              <w:snapToGrid w:val="0"/>
              <w:spacing w:line="300" w:lineRule="auto"/>
              <w:jc w:val="left"/>
              <w:rPr>
                <w:rFonts w:ascii="宋体" w:hAnsi="宋体" w:cs="宋体"/>
                <w:snapToGrid w:val="0"/>
                <w:color w:val="auto"/>
                <w:kern w:val="0"/>
                <w:szCs w:val="21"/>
                <w:highlight w:val="none"/>
              </w:rPr>
            </w:pPr>
            <w:r>
              <w:rPr>
                <w:rFonts w:hint="eastAsia"/>
                <w:color w:val="auto"/>
                <w:szCs w:val="21"/>
                <w:highlight w:val="none"/>
              </w:rPr>
              <w:t>5.政采云系统平台有新的操作流程的，按其规定。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w:t>
            </w:r>
          </w:p>
        </w:tc>
        <w:tc>
          <w:tcPr>
            <w:tcW w:w="1278" w:type="dxa"/>
            <w:vAlign w:val="center"/>
          </w:tcPr>
          <w:p>
            <w:pPr>
              <w:adjustRightInd w:val="0"/>
              <w:snapToGrid w:val="0"/>
              <w:spacing w:line="276" w:lineRule="auto"/>
              <w:jc w:val="center"/>
              <w:rPr>
                <w:rFonts w:ascii="宋体" w:hAnsi="宋体" w:cs="宋体"/>
                <w:b/>
                <w:bCs/>
                <w:snapToGrid w:val="0"/>
                <w:color w:val="auto"/>
                <w:kern w:val="0"/>
                <w:szCs w:val="21"/>
                <w:highlight w:val="none"/>
              </w:rPr>
            </w:pPr>
            <w:r>
              <w:rPr>
                <w:rFonts w:hint="eastAsia" w:ascii="宋体" w:hAnsi="宋体"/>
                <w:b/>
                <w:bCs/>
                <w:color w:val="auto"/>
                <w:szCs w:val="21"/>
                <w:highlight w:val="none"/>
              </w:rPr>
              <w:t>评标程序</w:t>
            </w:r>
          </w:p>
        </w:tc>
        <w:tc>
          <w:tcPr>
            <w:tcW w:w="7419" w:type="dxa"/>
            <w:vAlign w:val="center"/>
          </w:tcPr>
          <w:p>
            <w:pPr>
              <w:pStyle w:val="23"/>
              <w:numPr>
                <w:ilvl w:val="0"/>
                <w:numId w:val="1"/>
              </w:numPr>
              <w:snapToGrid w:val="0"/>
              <w:spacing w:line="320" w:lineRule="exact"/>
              <w:rPr>
                <w:rFonts w:ascii="宋体" w:hAnsi="宋体" w:eastAsia="宋体"/>
                <w:color w:val="auto"/>
                <w:highlight w:val="none"/>
              </w:rPr>
            </w:pPr>
            <w:r>
              <w:rPr>
                <w:rFonts w:hint="eastAsia" w:ascii="宋体" w:hAnsi="宋体" w:eastAsia="宋体"/>
                <w:color w:val="auto"/>
                <w:highlight w:val="none"/>
              </w:rPr>
              <w:t>资格审查：由采购人或采购代理机构代表根据采购文件的规定对投标人进行资格审查，资格审查不合格的投标人，其投标作无效标处理。</w:t>
            </w:r>
          </w:p>
          <w:p>
            <w:pPr>
              <w:pStyle w:val="23"/>
              <w:numPr>
                <w:ilvl w:val="0"/>
                <w:numId w:val="1"/>
              </w:numPr>
              <w:snapToGrid w:val="0"/>
              <w:spacing w:line="320" w:lineRule="exact"/>
              <w:rPr>
                <w:rFonts w:ascii="宋体" w:hAnsi="宋体" w:eastAsia="宋体"/>
                <w:color w:val="auto"/>
                <w:highlight w:val="none"/>
              </w:rPr>
            </w:pPr>
            <w:r>
              <w:rPr>
                <w:rFonts w:ascii="宋体" w:hAnsi="宋体" w:eastAsia="宋体"/>
                <w:color w:val="auto"/>
                <w:highlight w:val="none"/>
              </w:rPr>
              <w:t>符合性评审</w:t>
            </w:r>
            <w:r>
              <w:rPr>
                <w:rFonts w:hint="eastAsia" w:ascii="宋体" w:hAnsi="宋体" w:eastAsia="宋体"/>
                <w:color w:val="auto"/>
                <w:highlight w:val="none"/>
              </w:rPr>
              <w:t>：依据采购文件的规定，从投标文件的有效性、完整性和对采购文件的响应程度进行审查，以确定是否对采购文件的实质性要求作出响应。具体审查内容见投标须知第22.1条“无效投标的认定”。</w:t>
            </w:r>
          </w:p>
          <w:p>
            <w:pPr>
              <w:pStyle w:val="23"/>
              <w:numPr>
                <w:ilvl w:val="0"/>
                <w:numId w:val="1"/>
              </w:numPr>
              <w:snapToGrid w:val="0"/>
              <w:spacing w:line="320" w:lineRule="exact"/>
              <w:rPr>
                <w:rFonts w:ascii="宋体" w:hAnsi="宋体" w:eastAsia="宋体"/>
                <w:color w:val="auto"/>
                <w:highlight w:val="none"/>
              </w:rPr>
            </w:pPr>
            <w:r>
              <w:rPr>
                <w:rFonts w:ascii="宋体" w:hAnsi="宋体" w:eastAsia="宋体"/>
                <w:color w:val="auto"/>
                <w:highlight w:val="none"/>
              </w:rPr>
              <w:t>商务技术评分</w:t>
            </w:r>
            <w:r>
              <w:rPr>
                <w:rFonts w:hint="eastAsia" w:ascii="宋体" w:hAnsi="宋体" w:eastAsia="宋体"/>
                <w:color w:val="auto"/>
                <w:highlight w:val="none"/>
              </w:rPr>
              <w:t>：由评标委员会对各投标人的技术商务充分审核、讨论及评议后，独立评分。</w:t>
            </w:r>
            <w:r>
              <w:rPr>
                <w:rFonts w:ascii="宋体" w:hAnsi="宋体" w:eastAsia="宋体"/>
                <w:color w:val="auto"/>
                <w:highlight w:val="none"/>
              </w:rPr>
              <w:t>商务技术评分汇总</w:t>
            </w:r>
            <w:r>
              <w:rPr>
                <w:rFonts w:hint="eastAsia" w:ascii="宋体" w:hAnsi="宋体" w:eastAsia="宋体"/>
                <w:color w:val="auto"/>
                <w:highlight w:val="none"/>
              </w:rPr>
              <w:t>。</w:t>
            </w:r>
          </w:p>
          <w:p>
            <w:pPr>
              <w:pStyle w:val="23"/>
              <w:numPr>
                <w:ilvl w:val="0"/>
                <w:numId w:val="1"/>
              </w:numPr>
              <w:snapToGrid w:val="0"/>
              <w:spacing w:line="320" w:lineRule="exact"/>
              <w:rPr>
                <w:rFonts w:ascii="宋体" w:hAnsi="宋体" w:eastAsia="宋体"/>
                <w:color w:val="auto"/>
                <w:highlight w:val="none"/>
              </w:rPr>
            </w:pPr>
            <w:r>
              <w:rPr>
                <w:rFonts w:ascii="宋体" w:hAnsi="宋体" w:eastAsia="宋体"/>
                <w:color w:val="auto"/>
                <w:highlight w:val="none"/>
              </w:rPr>
              <w:t>商务技术结果公布</w:t>
            </w:r>
            <w:r>
              <w:rPr>
                <w:rFonts w:hint="eastAsia" w:ascii="宋体" w:hAnsi="宋体" w:eastAsia="宋体"/>
                <w:color w:val="auto"/>
                <w:highlight w:val="none"/>
              </w:rPr>
              <w:t>；代理机构将在线公布符合性审查、商务技术评审无效供应商名称及理由；公布经商务技术评审后有效投标供应商的名单，及其商务技术部分得分情况。</w:t>
            </w:r>
          </w:p>
          <w:p>
            <w:pPr>
              <w:pStyle w:val="23"/>
              <w:numPr>
                <w:ilvl w:val="0"/>
                <w:numId w:val="1"/>
              </w:numPr>
              <w:snapToGrid w:val="0"/>
              <w:spacing w:line="320" w:lineRule="exact"/>
              <w:rPr>
                <w:rFonts w:ascii="宋体" w:hAnsi="宋体" w:eastAsia="宋体"/>
                <w:color w:val="auto"/>
                <w:highlight w:val="none"/>
              </w:rPr>
            </w:pPr>
            <w:r>
              <w:rPr>
                <w:rFonts w:ascii="宋体" w:hAnsi="宋体" w:eastAsia="宋体"/>
                <w:color w:val="auto"/>
                <w:highlight w:val="none"/>
              </w:rPr>
              <w:t>开启</w:t>
            </w:r>
            <w:r>
              <w:rPr>
                <w:rFonts w:hint="eastAsia" w:ascii="宋体" w:hAnsi="宋体" w:eastAsia="宋体"/>
                <w:color w:val="auto"/>
                <w:highlight w:val="none"/>
              </w:rPr>
              <w:t>报价响应文件：采购代理机构成功开启报价响应文件后，方可查看各供应商报价情况。</w:t>
            </w:r>
          </w:p>
          <w:p>
            <w:pPr>
              <w:pStyle w:val="23"/>
              <w:snapToGrid w:val="0"/>
              <w:spacing w:line="320" w:lineRule="exact"/>
              <w:rPr>
                <w:rFonts w:ascii="宋体" w:hAnsi="宋体" w:eastAsia="宋体"/>
                <w:color w:val="auto"/>
                <w:highlight w:val="none"/>
              </w:rPr>
            </w:pPr>
            <w:r>
              <w:rPr>
                <w:rFonts w:hint="eastAsia" w:ascii="宋体" w:hAnsi="宋体" w:eastAsia="宋体"/>
                <w:color w:val="auto"/>
                <w:highlight w:val="none"/>
              </w:rPr>
              <w:t>代理机构点击“开启签字时段”，供应商对开标纪录进行在线签字确认（不予确认的应说明理由，否则视为无异议）。</w:t>
            </w:r>
          </w:p>
          <w:p>
            <w:pPr>
              <w:pStyle w:val="23"/>
              <w:numPr>
                <w:ilvl w:val="0"/>
                <w:numId w:val="1"/>
              </w:numPr>
              <w:snapToGrid w:val="0"/>
              <w:spacing w:line="320" w:lineRule="exact"/>
              <w:rPr>
                <w:rFonts w:ascii="宋体" w:hAnsi="宋体" w:eastAsia="宋体"/>
                <w:color w:val="auto"/>
                <w:highlight w:val="none"/>
              </w:rPr>
            </w:pPr>
            <w:r>
              <w:rPr>
                <w:rFonts w:ascii="宋体" w:hAnsi="宋体" w:eastAsia="宋体"/>
                <w:color w:val="auto"/>
                <w:highlight w:val="none"/>
              </w:rPr>
              <w:t>报价评审</w:t>
            </w:r>
            <w:r>
              <w:rPr>
                <w:rFonts w:hint="eastAsia" w:ascii="宋体" w:hAnsi="宋体" w:eastAsia="宋体"/>
                <w:color w:val="auto"/>
                <w:highlight w:val="none"/>
              </w:rPr>
              <w:t>：由评标委员会对报价的合理性、准确性等进行审查核实。</w:t>
            </w:r>
          </w:p>
          <w:p>
            <w:pPr>
              <w:pStyle w:val="23"/>
              <w:numPr>
                <w:ilvl w:val="0"/>
                <w:numId w:val="1"/>
              </w:numPr>
              <w:snapToGrid w:val="0"/>
              <w:spacing w:line="320" w:lineRule="exact"/>
              <w:rPr>
                <w:rFonts w:ascii="宋体" w:hAnsi="宋体" w:eastAsia="宋体"/>
                <w:color w:val="auto"/>
                <w:highlight w:val="none"/>
              </w:rPr>
            </w:pPr>
            <w:r>
              <w:rPr>
                <w:rFonts w:ascii="宋体" w:hAnsi="宋体" w:eastAsia="宋体"/>
                <w:color w:val="auto"/>
                <w:highlight w:val="none"/>
              </w:rPr>
              <w:t>得分汇总</w:t>
            </w:r>
            <w:r>
              <w:rPr>
                <w:rFonts w:hint="eastAsia" w:ascii="宋体" w:hAnsi="宋体" w:eastAsia="宋体"/>
                <w:color w:val="auto"/>
                <w:highlight w:val="none"/>
              </w:rPr>
              <w:t>。</w:t>
            </w:r>
          </w:p>
          <w:p>
            <w:pPr>
              <w:pStyle w:val="23"/>
              <w:numPr>
                <w:ilvl w:val="0"/>
                <w:numId w:val="1"/>
              </w:numPr>
              <w:snapToGrid w:val="0"/>
              <w:spacing w:line="320" w:lineRule="exact"/>
              <w:rPr>
                <w:rFonts w:ascii="宋体" w:hAnsi="宋体" w:eastAsia="宋体" w:cs="宋体"/>
                <w:color w:val="auto"/>
                <w:highlight w:val="none"/>
              </w:rPr>
            </w:pPr>
            <w:r>
              <w:rPr>
                <w:rFonts w:ascii="宋体" w:hAnsi="宋体" w:eastAsia="宋体"/>
                <w:color w:val="auto"/>
                <w:highlight w:val="none"/>
              </w:rPr>
              <w:t>结果公布</w:t>
            </w:r>
            <w:r>
              <w:rPr>
                <w:rFonts w:hint="eastAsia" w:ascii="宋体" w:hAnsi="宋体" w:eastAsia="宋体"/>
                <w:color w:val="auto"/>
                <w:highlight w:val="none"/>
              </w:rPr>
              <w:t>：供应商可通过在线平台查看评审结果。</w:t>
            </w:r>
          </w:p>
          <w:p>
            <w:pPr>
              <w:pStyle w:val="23"/>
              <w:numPr>
                <w:ilvl w:val="0"/>
                <w:numId w:val="1"/>
              </w:numPr>
              <w:snapToGrid w:val="0"/>
              <w:spacing w:line="320" w:lineRule="exact"/>
              <w:rPr>
                <w:rFonts w:ascii="宋体" w:hAnsi="宋体" w:cs="宋体"/>
                <w:snapToGrid w:val="0"/>
                <w:color w:val="auto"/>
                <w:kern w:val="0"/>
                <w:highlight w:val="none"/>
              </w:rPr>
            </w:pPr>
            <w:r>
              <w:rPr>
                <w:rFonts w:hint="eastAsia" w:ascii="宋体" w:hAnsi="宋体" w:eastAsia="宋体"/>
                <w:color w:val="auto"/>
                <w:highlight w:val="none"/>
              </w:rPr>
              <w:t>注：除邮件交互外，如政采云平台提供信息发布、澄清说明、数据交换等操作方式的，或者</w:t>
            </w:r>
            <w:r>
              <w:rPr>
                <w:rFonts w:hint="eastAsia" w:ascii="Calibri" w:hAnsi="Calibri" w:eastAsia="Calibri"/>
                <w:color w:val="auto"/>
                <w:highlight w:val="none"/>
              </w:rPr>
              <w:t>政采云系统平台有新的操作流程的，按其规定</w:t>
            </w:r>
            <w:r>
              <w:rPr>
                <w:rFonts w:hint="eastAsia" w:ascii="Calibri" w:hAnsi="Calibri" w:eastAsia="宋体"/>
                <w:color w:val="auto"/>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23</w:t>
            </w:r>
          </w:p>
        </w:tc>
        <w:tc>
          <w:tcPr>
            <w:tcW w:w="1278" w:type="dxa"/>
            <w:vAlign w:val="center"/>
          </w:tcPr>
          <w:p>
            <w:pPr>
              <w:adjustRightInd w:val="0"/>
              <w:snapToGrid w:val="0"/>
              <w:spacing w:line="276" w:lineRule="auto"/>
              <w:jc w:val="center"/>
              <w:rPr>
                <w:rFonts w:ascii="宋体" w:hAnsi="宋体" w:cs="宋体"/>
                <w:b/>
                <w:bCs/>
                <w:color w:val="auto"/>
                <w:szCs w:val="21"/>
                <w:highlight w:val="none"/>
              </w:rPr>
            </w:pPr>
            <w:r>
              <w:rPr>
                <w:rFonts w:hint="eastAsia" w:ascii="宋体" w:hAnsi="宋体"/>
                <w:b/>
                <w:bCs/>
                <w:snapToGrid w:val="0"/>
                <w:color w:val="auto"/>
                <w:kern w:val="0"/>
                <w:szCs w:val="21"/>
                <w:highlight w:val="none"/>
              </w:rPr>
              <w:t>询标澄清</w:t>
            </w:r>
          </w:p>
        </w:tc>
        <w:tc>
          <w:tcPr>
            <w:tcW w:w="7419" w:type="dxa"/>
            <w:vAlign w:val="center"/>
          </w:tcPr>
          <w:p>
            <w:pPr>
              <w:pStyle w:val="23"/>
              <w:snapToGrid w:val="0"/>
              <w:spacing w:line="320" w:lineRule="exact"/>
              <w:rPr>
                <w:rFonts w:ascii="宋体" w:hAnsi="宋体" w:eastAsia="宋体" w:cs="宋体"/>
                <w:color w:val="auto"/>
                <w:highlight w:val="none"/>
              </w:rPr>
            </w:pPr>
            <w:r>
              <w:rPr>
                <w:rFonts w:hint="eastAsia" w:ascii="宋体" w:hAnsi="宋体" w:eastAsia="宋体"/>
                <w:color w:val="auto"/>
                <w:highlight w:val="none"/>
              </w:rPr>
              <w:t>在评标过程中，如评审小组对投标文件有疑问，由评审组长将问题汇总后发起询标澄清函，供应商应在规定截止时间前回复相关内容并经签章后提交。逾期答复的，投标人</w:t>
            </w:r>
            <w:r>
              <w:rPr>
                <w:rFonts w:hint="eastAsia" w:ascii="宋体" w:hAnsi="宋体" w:eastAsia="宋体" w:cs="宋体"/>
                <w:color w:val="auto"/>
                <w:highlight w:val="none"/>
              </w:rPr>
              <w:t>自行承担由此可能导致的对其不利的评审结果，评标委员会按少数服从多数原则对相关内容进行评判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24</w:t>
            </w:r>
          </w:p>
        </w:tc>
        <w:tc>
          <w:tcPr>
            <w:tcW w:w="1278" w:type="dxa"/>
            <w:vAlign w:val="center"/>
          </w:tcPr>
          <w:p>
            <w:pPr>
              <w:adjustRightInd w:val="0"/>
              <w:snapToGrid w:val="0"/>
              <w:spacing w:line="276" w:lineRule="auto"/>
              <w:jc w:val="center"/>
              <w:rPr>
                <w:rFonts w:ascii="宋体" w:hAnsi="宋体"/>
                <w:b/>
                <w:bCs/>
                <w:snapToGrid w:val="0"/>
                <w:color w:val="auto"/>
                <w:kern w:val="0"/>
                <w:szCs w:val="21"/>
                <w:highlight w:val="none"/>
              </w:rPr>
            </w:pPr>
            <w:r>
              <w:rPr>
                <w:rFonts w:hint="eastAsia" w:ascii="宋体" w:hAnsi="宋体" w:cs="宋体"/>
                <w:b/>
                <w:bCs/>
                <w:snapToGrid w:val="0"/>
                <w:color w:val="auto"/>
                <w:kern w:val="0"/>
                <w:szCs w:val="21"/>
                <w:highlight w:val="none"/>
              </w:rPr>
              <w:t>公告发布媒体</w:t>
            </w:r>
          </w:p>
        </w:tc>
        <w:tc>
          <w:tcPr>
            <w:tcW w:w="7419" w:type="dxa"/>
            <w:vAlign w:val="center"/>
          </w:tcPr>
          <w:p>
            <w:pPr>
              <w:pStyle w:val="23"/>
              <w:snapToGrid w:val="0"/>
              <w:spacing w:line="320" w:lineRule="exact"/>
              <w:rPr>
                <w:rFonts w:ascii="宋体" w:hAnsi="宋体" w:eastAsia="宋体"/>
                <w:color w:val="auto"/>
                <w:highlight w:val="none"/>
              </w:rPr>
            </w:pPr>
            <w:r>
              <w:rPr>
                <w:rFonts w:hint="eastAsia" w:ascii="宋体" w:hAnsi="宋体" w:eastAsia="宋体" w:cs="宋体"/>
                <w:snapToGrid w:val="0"/>
                <w:color w:val="auto"/>
                <w:kern w:val="0"/>
                <w:highlight w:val="none"/>
              </w:rPr>
              <w:t>本项目招标公告及结果公告发布媒体为浙江政府采购网（http://zfcg.czt.zj.gov.cn）；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25</w:t>
            </w:r>
          </w:p>
        </w:tc>
        <w:tc>
          <w:tcPr>
            <w:tcW w:w="1278" w:type="dxa"/>
            <w:vAlign w:val="center"/>
          </w:tcPr>
          <w:p>
            <w:pPr>
              <w:snapToGrid w:val="0"/>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质疑</w:t>
            </w:r>
          </w:p>
        </w:tc>
        <w:tc>
          <w:tcPr>
            <w:tcW w:w="7419" w:type="dxa"/>
            <w:vAlign w:val="center"/>
          </w:tcPr>
          <w:p>
            <w:pPr>
              <w:snapToGrid w:val="0"/>
              <w:spacing w:line="320" w:lineRule="exac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根据《中华人民共和国政府采购法》第五十二条、《中华人民共和国政府采购法实施条例》第五十三条、《政府采购质疑和投诉办法》的规定：</w:t>
            </w:r>
          </w:p>
          <w:p>
            <w:pPr>
              <w:snapToGrid w:val="0"/>
              <w:spacing w:line="320" w:lineRule="exac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投标人认为采购（招标）文件、采购过程、中标或者成交结果使自己的权益受到损害的，可以在知道或者应知其权益受到损害之日起7个工作日内，以书面形式向采购人、采购代理机构提出质疑。</w:t>
            </w:r>
          </w:p>
          <w:p>
            <w:pPr>
              <w:snapToGrid w:val="0"/>
              <w:spacing w:line="320" w:lineRule="exact"/>
              <w:rPr>
                <w:rFonts w:ascii="宋体" w:hAnsi="宋体" w:cs="宋体"/>
                <w:b/>
                <w:bCs/>
                <w:snapToGrid w:val="0"/>
                <w:color w:val="auto"/>
                <w:kern w:val="0"/>
                <w:szCs w:val="21"/>
                <w:highlight w:val="none"/>
              </w:rPr>
            </w:pPr>
            <w:r>
              <w:rPr>
                <w:rFonts w:hint="eastAsia" w:ascii="宋体" w:hAnsi="宋体" w:cs="宋体"/>
                <w:snapToGrid w:val="0"/>
                <w:color w:val="auto"/>
                <w:kern w:val="0"/>
                <w:szCs w:val="21"/>
                <w:highlight w:val="none"/>
              </w:rPr>
              <w:t>本项目要求投标人在法定质疑期内一次性提出针对同一采购程序环节的质疑。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896" w:type="dxa"/>
            <w:vAlign w:val="center"/>
          </w:tcPr>
          <w:p>
            <w:pPr>
              <w:adjustRightInd w:val="0"/>
              <w:snapToGrid w:val="0"/>
              <w:spacing w:line="276" w:lineRule="auto"/>
              <w:jc w:val="center"/>
              <w:rPr>
                <w:rFonts w:ascii="宋体" w:hAnsi="宋体" w:cs="宋体"/>
                <w:b/>
                <w:bCs/>
                <w:snapToGrid w:val="0"/>
                <w:color w:val="auto"/>
                <w:kern w:val="0"/>
                <w:szCs w:val="21"/>
                <w:highlight w:val="none"/>
              </w:rPr>
            </w:pPr>
            <w:r>
              <w:rPr>
                <w:rFonts w:hint="eastAsia" w:ascii="宋体" w:hAnsi="宋体" w:cs="宋体"/>
                <w:snapToGrid w:val="0"/>
                <w:color w:val="auto"/>
                <w:kern w:val="0"/>
                <w:szCs w:val="21"/>
                <w:highlight w:val="none"/>
              </w:rPr>
              <w:t>26</w:t>
            </w:r>
          </w:p>
        </w:tc>
        <w:tc>
          <w:tcPr>
            <w:tcW w:w="1278" w:type="dxa"/>
            <w:vAlign w:val="center"/>
          </w:tcPr>
          <w:p>
            <w:pPr>
              <w:snapToGrid w:val="0"/>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投诉</w:t>
            </w:r>
          </w:p>
        </w:tc>
        <w:tc>
          <w:tcPr>
            <w:tcW w:w="7419" w:type="dxa"/>
            <w:vAlign w:val="center"/>
          </w:tcPr>
          <w:p>
            <w:pPr>
              <w:snapToGrid w:val="0"/>
              <w:spacing w:line="320" w:lineRule="exac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政府采购法》第五十五条的规定，质疑供应商对采购人、采购代理机构的答复不满意或者采购人、采购代理机构未在规定的时间内作出答复的，可以在答复期满后十五个工作日内向同级政府采购监督管理部门投诉。以联合体形式参加政府采购活动的，其投诉应当由组成联合体的所有投标人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27</w:t>
            </w:r>
          </w:p>
        </w:tc>
        <w:tc>
          <w:tcPr>
            <w:tcW w:w="1278" w:type="dxa"/>
            <w:vAlign w:val="center"/>
          </w:tcPr>
          <w:p>
            <w:pPr>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特别说明</w:t>
            </w:r>
          </w:p>
        </w:tc>
        <w:tc>
          <w:tcPr>
            <w:tcW w:w="7419" w:type="dxa"/>
            <w:vAlign w:val="center"/>
          </w:tcPr>
          <w:p>
            <w:pPr>
              <w:pStyle w:val="23"/>
              <w:adjustRightInd w:val="0"/>
              <w:snapToGrid w:val="0"/>
              <w:spacing w:line="320" w:lineRule="exac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投标人应无条件的、认真仔细的、不厌其烦的阅读本采购文件及其澄清答疑、修改答复的补充文件，严格按照采购文件及补充文件的规定和要求编制投标文件。在编制投标文件过程中，应严格遵循实事求是、诚信投标的原则，针对采购文件中第三部分用户需求、第四部分合同条款等各项内容进行确认，如有偏离，应如实填写响应偏离表。</w:t>
            </w:r>
          </w:p>
          <w:p>
            <w:pPr>
              <w:pStyle w:val="23"/>
              <w:adjustRightInd w:val="0"/>
              <w:snapToGrid w:val="0"/>
              <w:spacing w:line="320" w:lineRule="exac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本项目中标公示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pPr>
              <w:pStyle w:val="23"/>
              <w:adjustRightInd w:val="0"/>
              <w:snapToGrid w:val="0"/>
              <w:spacing w:line="320" w:lineRule="exac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（3）质疑、投诉人未按前列序号第25、26条规定进行质疑、投诉（申诉）、举报等，均属于扰乱政府采购市场不良行为。</w:t>
            </w:r>
          </w:p>
          <w:p>
            <w:pPr>
              <w:pStyle w:val="23"/>
              <w:snapToGrid w:val="0"/>
              <w:spacing w:line="320" w:lineRule="exact"/>
              <w:rPr>
                <w:rFonts w:ascii="宋体" w:hAnsi="宋体" w:eastAsia="宋体" w:cs="宋体"/>
                <w:b/>
                <w:color w:val="auto"/>
                <w:highlight w:val="none"/>
              </w:rPr>
            </w:pPr>
            <w:r>
              <w:rPr>
                <w:rFonts w:hint="eastAsia" w:ascii="宋体" w:hAnsi="宋体" w:eastAsia="宋体" w:cs="宋体"/>
                <w:b/>
                <w:bCs/>
                <w:snapToGrid w:val="0"/>
                <w:color w:val="auto"/>
                <w:kern w:val="0"/>
                <w:highlight w:val="none"/>
              </w:rPr>
              <w:t>（4）采购文件中凡标注“▲”的条款均为实质性要求，不响应的投标文件将作无效标处理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28</w:t>
            </w:r>
          </w:p>
        </w:tc>
        <w:tc>
          <w:tcPr>
            <w:tcW w:w="1278" w:type="dxa"/>
            <w:vAlign w:val="center"/>
          </w:tcPr>
          <w:p>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采购代理服务费</w:t>
            </w:r>
          </w:p>
        </w:tc>
        <w:tc>
          <w:tcPr>
            <w:tcW w:w="7419" w:type="dxa"/>
            <w:vAlign w:val="center"/>
          </w:tcPr>
          <w:p>
            <w:pPr>
              <w:adjustRightInd w:val="0"/>
              <w:snapToGrid w:val="0"/>
              <w:spacing w:line="320" w:lineRule="exac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本项目的采购代理费由中标人支付。计费标准</w:t>
            </w:r>
            <w:r>
              <w:rPr>
                <w:rFonts w:hint="eastAsia" w:ascii="宋体" w:hAnsi="宋体" w:cs="宋体"/>
                <w:snapToGrid w:val="0"/>
                <w:color w:val="auto"/>
                <w:kern w:val="0"/>
                <w:highlight w:val="none"/>
                <w:lang w:eastAsia="zh-CN"/>
              </w:rPr>
              <w:t>为以下收费标准的</w:t>
            </w:r>
            <w:r>
              <w:rPr>
                <w:rFonts w:hint="eastAsia" w:ascii="宋体" w:hAnsi="宋体" w:cs="宋体"/>
                <w:snapToGrid w:val="0"/>
                <w:color w:val="auto"/>
                <w:kern w:val="0"/>
                <w:highlight w:val="none"/>
                <w:lang w:val="en-US" w:eastAsia="zh-CN"/>
              </w:rPr>
              <w:t>70%</w:t>
            </w:r>
            <w:r>
              <w:rPr>
                <w:rFonts w:hint="eastAsia" w:ascii="宋体" w:hAnsi="宋体" w:cs="宋体"/>
                <w:snapToGrid w:val="0"/>
                <w:color w:val="auto"/>
                <w:kern w:val="0"/>
                <w:highlight w:val="none"/>
              </w:rPr>
              <w:t>：</w:t>
            </w:r>
          </w:p>
          <w:p>
            <w:pPr>
              <w:adjustRightInd w:val="0"/>
              <w:snapToGrid w:val="0"/>
              <w:spacing w:line="320" w:lineRule="exact"/>
              <w:rPr>
                <w:rFonts w:hint="eastAsia" w:ascii="宋体" w:hAnsi="宋体" w:eastAsia="宋体" w:cs="宋体"/>
                <w:snapToGrid w:val="0"/>
                <w:color w:val="auto"/>
                <w:kern w:val="0"/>
                <w:highlight w:val="none"/>
                <w:lang w:eastAsia="zh-CN"/>
              </w:rPr>
            </w:pPr>
            <w:r>
              <w:rPr>
                <w:rFonts w:hint="eastAsia" w:ascii="宋体" w:hAnsi="宋体" w:cs="宋体"/>
                <w:snapToGrid w:val="0"/>
                <w:color w:val="auto"/>
                <w:kern w:val="0"/>
                <w:highlight w:val="none"/>
                <w:lang w:eastAsia="zh-CN"/>
              </w:rPr>
              <w:drawing>
                <wp:anchor distT="0" distB="0" distL="114300" distR="114300" simplePos="0" relativeHeight="251658240" behindDoc="0" locked="0" layoutInCell="1" allowOverlap="1">
                  <wp:simplePos x="0" y="0"/>
                  <wp:positionH relativeFrom="column">
                    <wp:posOffset>9525</wp:posOffset>
                  </wp:positionH>
                  <wp:positionV relativeFrom="paragraph">
                    <wp:posOffset>6350</wp:posOffset>
                  </wp:positionV>
                  <wp:extent cx="3400425" cy="2990850"/>
                  <wp:effectExtent l="0" t="0" r="9525" b="0"/>
                  <wp:wrapTopAndBottom/>
                  <wp:docPr id="2" name="图片 2" descr="1612928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2928050(1)"/>
                          <pic:cNvPicPr>
                            <a:picLocks noChangeAspect="1"/>
                          </pic:cNvPicPr>
                        </pic:nvPicPr>
                        <pic:blipFill>
                          <a:blip r:embed="rId8"/>
                          <a:stretch>
                            <a:fillRect/>
                          </a:stretch>
                        </pic:blipFill>
                        <pic:spPr>
                          <a:xfrm>
                            <a:off x="0" y="0"/>
                            <a:ext cx="3400425" cy="2990850"/>
                          </a:xfrm>
                          <a:prstGeom prst="rect">
                            <a:avLst/>
                          </a:prstGeom>
                        </pic:spPr>
                      </pic:pic>
                    </a:graphicData>
                  </a:graphic>
                </wp:anchor>
              </w:drawing>
            </w:r>
            <w:bookmarkStart w:id="90" w:name="_GoBack"/>
            <w:bookmarkEnd w:id="90"/>
            <w:r>
              <w:rPr>
                <w:rFonts w:hint="eastAsia" w:ascii="宋体" w:hAnsi="宋体" w:cs="宋体"/>
                <w:snapToGrid w:val="0"/>
                <w:color w:val="auto"/>
                <w:kern w:val="0"/>
                <w:highlight w:val="none"/>
                <w:lang w:eastAsia="zh-CN"/>
              </w:rPr>
              <w:t>采购</w:t>
            </w:r>
            <w:r>
              <w:rPr>
                <w:rFonts w:hint="eastAsia" w:ascii="宋体" w:hAnsi="宋体" w:eastAsia="宋体" w:cs="宋体"/>
                <w:snapToGrid w:val="0"/>
                <w:color w:val="auto"/>
                <w:kern w:val="0"/>
                <w:highlight w:val="none"/>
                <w:lang w:eastAsia="zh-CN"/>
              </w:rPr>
              <w:t>代理服务收费按差额定率累进法计算。例如：</w:t>
            </w:r>
            <w:r>
              <w:rPr>
                <w:rFonts w:hint="eastAsia" w:ascii="宋体" w:hAnsi="宋体" w:cs="宋体"/>
                <w:snapToGrid w:val="0"/>
                <w:color w:val="auto"/>
                <w:kern w:val="0"/>
                <w:highlight w:val="none"/>
                <w:lang w:eastAsia="zh-CN"/>
              </w:rPr>
              <w:t>本项目采购</w:t>
            </w:r>
            <w:r>
              <w:rPr>
                <w:rFonts w:hint="eastAsia" w:ascii="宋体" w:hAnsi="宋体" w:eastAsia="宋体" w:cs="宋体"/>
                <w:snapToGrid w:val="0"/>
                <w:color w:val="auto"/>
                <w:kern w:val="0"/>
                <w:highlight w:val="none"/>
                <w:lang w:eastAsia="zh-CN"/>
              </w:rPr>
              <w:t>代理业务中标金额为</w:t>
            </w:r>
            <w:r>
              <w:rPr>
                <w:rFonts w:hint="eastAsia" w:ascii="宋体" w:hAnsi="宋体" w:cs="宋体"/>
                <w:snapToGrid w:val="0"/>
                <w:color w:val="auto"/>
                <w:kern w:val="0"/>
                <w:highlight w:val="none"/>
                <w:lang w:val="en-US" w:eastAsia="zh-CN"/>
              </w:rPr>
              <w:t>510</w:t>
            </w:r>
            <w:r>
              <w:rPr>
                <w:rFonts w:hint="eastAsia" w:ascii="宋体" w:hAnsi="宋体" w:eastAsia="宋体" w:cs="宋体"/>
                <w:snapToGrid w:val="0"/>
                <w:color w:val="auto"/>
                <w:kern w:val="0"/>
                <w:highlight w:val="none"/>
                <w:lang w:eastAsia="zh-CN"/>
              </w:rPr>
              <w:t>万元，计算</w:t>
            </w:r>
            <w:r>
              <w:rPr>
                <w:rFonts w:hint="eastAsia" w:ascii="宋体" w:hAnsi="宋体" w:cs="宋体"/>
                <w:snapToGrid w:val="0"/>
                <w:color w:val="auto"/>
                <w:kern w:val="0"/>
                <w:highlight w:val="none"/>
                <w:lang w:eastAsia="zh-CN"/>
              </w:rPr>
              <w:t>采购</w:t>
            </w:r>
            <w:r>
              <w:rPr>
                <w:rFonts w:hint="eastAsia" w:ascii="宋体" w:hAnsi="宋体" w:eastAsia="宋体" w:cs="宋体"/>
                <w:snapToGrid w:val="0"/>
                <w:color w:val="auto"/>
                <w:kern w:val="0"/>
                <w:highlight w:val="none"/>
                <w:lang w:eastAsia="zh-CN"/>
              </w:rPr>
              <w:t>代理服务收费额如下：</w:t>
            </w:r>
          </w:p>
          <w:p>
            <w:pPr>
              <w:adjustRightInd w:val="0"/>
              <w:snapToGrid w:val="0"/>
              <w:spacing w:line="320" w:lineRule="exact"/>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lang w:eastAsia="zh-CN"/>
              </w:rPr>
              <w:t>100万元×</w:t>
            </w:r>
            <w:r>
              <w:rPr>
                <w:rFonts w:hint="eastAsia" w:ascii="宋体" w:hAnsi="宋体" w:cs="宋体"/>
                <w:snapToGrid w:val="0"/>
                <w:color w:val="auto"/>
                <w:kern w:val="0"/>
                <w:highlight w:val="none"/>
                <w:lang w:val="en-US" w:eastAsia="zh-CN"/>
              </w:rPr>
              <w:t>1.5</w:t>
            </w:r>
            <w:r>
              <w:rPr>
                <w:rFonts w:hint="eastAsia" w:ascii="宋体" w:hAnsi="宋体" w:eastAsia="宋体" w:cs="宋体"/>
                <w:snapToGrid w:val="0"/>
                <w:color w:val="auto"/>
                <w:kern w:val="0"/>
                <w:highlight w:val="none"/>
                <w:lang w:eastAsia="zh-CN"/>
              </w:rPr>
              <w:t>%=</w:t>
            </w:r>
            <w:r>
              <w:rPr>
                <w:rFonts w:hint="eastAsia" w:ascii="宋体" w:hAnsi="宋体" w:cs="宋体"/>
                <w:snapToGrid w:val="0"/>
                <w:color w:val="auto"/>
                <w:kern w:val="0"/>
                <w:highlight w:val="none"/>
                <w:lang w:val="en-US" w:eastAsia="zh-CN"/>
              </w:rPr>
              <w:t>1.5</w:t>
            </w:r>
            <w:r>
              <w:rPr>
                <w:rFonts w:hint="eastAsia" w:ascii="宋体" w:hAnsi="宋体" w:eastAsia="宋体" w:cs="宋体"/>
                <w:snapToGrid w:val="0"/>
                <w:color w:val="auto"/>
                <w:kern w:val="0"/>
                <w:highlight w:val="none"/>
                <w:lang w:eastAsia="zh-CN"/>
              </w:rPr>
              <w:t>万元</w:t>
            </w:r>
          </w:p>
          <w:p>
            <w:pPr>
              <w:adjustRightInd w:val="0"/>
              <w:snapToGrid w:val="0"/>
              <w:spacing w:line="320" w:lineRule="exact"/>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lang w:eastAsia="zh-CN"/>
              </w:rPr>
              <w:t>（500—100）万元×0.</w:t>
            </w:r>
            <w:r>
              <w:rPr>
                <w:rFonts w:hint="eastAsia" w:ascii="宋体" w:hAnsi="宋体" w:cs="宋体"/>
                <w:snapToGrid w:val="0"/>
                <w:color w:val="auto"/>
                <w:kern w:val="0"/>
                <w:highlight w:val="none"/>
                <w:lang w:val="en-US" w:eastAsia="zh-CN"/>
              </w:rPr>
              <w:t>8</w:t>
            </w:r>
            <w:r>
              <w:rPr>
                <w:rFonts w:hint="eastAsia" w:ascii="宋体" w:hAnsi="宋体" w:eastAsia="宋体" w:cs="宋体"/>
                <w:snapToGrid w:val="0"/>
                <w:color w:val="auto"/>
                <w:kern w:val="0"/>
                <w:highlight w:val="none"/>
                <w:lang w:eastAsia="zh-CN"/>
              </w:rPr>
              <w:t>%=</w:t>
            </w:r>
            <w:r>
              <w:rPr>
                <w:rFonts w:hint="eastAsia" w:ascii="宋体" w:hAnsi="宋体" w:cs="宋体"/>
                <w:snapToGrid w:val="0"/>
                <w:color w:val="auto"/>
                <w:kern w:val="0"/>
                <w:highlight w:val="none"/>
                <w:lang w:val="en-US" w:eastAsia="zh-CN"/>
              </w:rPr>
              <w:t>3.2</w:t>
            </w:r>
            <w:r>
              <w:rPr>
                <w:rFonts w:hint="eastAsia" w:ascii="宋体" w:hAnsi="宋体" w:eastAsia="宋体" w:cs="宋体"/>
                <w:snapToGrid w:val="0"/>
                <w:color w:val="auto"/>
                <w:kern w:val="0"/>
                <w:highlight w:val="none"/>
                <w:lang w:eastAsia="zh-CN"/>
              </w:rPr>
              <w:t>万元</w:t>
            </w:r>
          </w:p>
          <w:p>
            <w:pPr>
              <w:adjustRightInd w:val="0"/>
              <w:snapToGrid w:val="0"/>
              <w:spacing w:line="320" w:lineRule="exact"/>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lang w:eastAsia="zh-CN"/>
              </w:rPr>
              <w:t>（</w:t>
            </w:r>
            <w:r>
              <w:rPr>
                <w:rFonts w:hint="eastAsia" w:ascii="宋体" w:hAnsi="宋体" w:cs="宋体"/>
                <w:snapToGrid w:val="0"/>
                <w:color w:val="auto"/>
                <w:kern w:val="0"/>
                <w:highlight w:val="none"/>
                <w:lang w:val="en-US" w:eastAsia="zh-CN"/>
              </w:rPr>
              <w:t>510</w:t>
            </w:r>
            <w:r>
              <w:rPr>
                <w:rFonts w:hint="eastAsia" w:ascii="宋体" w:hAnsi="宋体" w:eastAsia="宋体" w:cs="宋体"/>
                <w:snapToGrid w:val="0"/>
                <w:color w:val="auto"/>
                <w:kern w:val="0"/>
                <w:highlight w:val="none"/>
                <w:lang w:eastAsia="zh-CN"/>
              </w:rPr>
              <w:t>—500）万元×</w:t>
            </w:r>
            <w:r>
              <w:rPr>
                <w:rFonts w:hint="eastAsia" w:ascii="宋体" w:hAnsi="宋体" w:cs="宋体"/>
                <w:snapToGrid w:val="0"/>
                <w:color w:val="auto"/>
                <w:kern w:val="0"/>
                <w:highlight w:val="none"/>
                <w:lang w:val="en-US" w:eastAsia="zh-CN"/>
              </w:rPr>
              <w:t>0.45</w:t>
            </w:r>
            <w:r>
              <w:rPr>
                <w:rFonts w:hint="eastAsia" w:ascii="宋体" w:hAnsi="宋体" w:eastAsia="宋体" w:cs="宋体"/>
                <w:snapToGrid w:val="0"/>
                <w:color w:val="auto"/>
                <w:kern w:val="0"/>
                <w:highlight w:val="none"/>
                <w:lang w:eastAsia="zh-CN"/>
              </w:rPr>
              <w:t>%=</w:t>
            </w:r>
            <w:r>
              <w:rPr>
                <w:rFonts w:hint="eastAsia" w:ascii="宋体" w:hAnsi="宋体" w:cs="宋体"/>
                <w:snapToGrid w:val="0"/>
                <w:color w:val="auto"/>
                <w:kern w:val="0"/>
                <w:highlight w:val="none"/>
                <w:lang w:val="en-US" w:eastAsia="zh-CN"/>
              </w:rPr>
              <w:t>0.045</w:t>
            </w:r>
            <w:r>
              <w:rPr>
                <w:rFonts w:hint="eastAsia" w:ascii="宋体" w:hAnsi="宋体" w:eastAsia="宋体" w:cs="宋体"/>
                <w:snapToGrid w:val="0"/>
                <w:color w:val="auto"/>
                <w:kern w:val="0"/>
                <w:highlight w:val="none"/>
                <w:lang w:eastAsia="zh-CN"/>
              </w:rPr>
              <w:t>万元</w:t>
            </w:r>
          </w:p>
          <w:p>
            <w:pPr>
              <w:adjustRightInd w:val="0"/>
              <w:snapToGrid w:val="0"/>
              <w:spacing w:line="320" w:lineRule="exact"/>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lang w:eastAsia="zh-CN"/>
              </w:rPr>
              <w:t>合计收费=</w:t>
            </w:r>
            <w:r>
              <w:rPr>
                <w:rFonts w:hint="eastAsia" w:ascii="宋体" w:hAnsi="宋体" w:cs="宋体"/>
                <w:snapToGrid w:val="0"/>
                <w:color w:val="auto"/>
                <w:kern w:val="0"/>
                <w:highlight w:val="none"/>
                <w:lang w:eastAsia="zh-CN"/>
              </w:rPr>
              <w:t>（</w:t>
            </w:r>
            <w:r>
              <w:rPr>
                <w:rFonts w:hint="eastAsia" w:ascii="宋体" w:hAnsi="宋体" w:cs="宋体"/>
                <w:snapToGrid w:val="0"/>
                <w:color w:val="auto"/>
                <w:kern w:val="0"/>
                <w:highlight w:val="none"/>
                <w:lang w:val="en-US" w:eastAsia="zh-CN"/>
              </w:rPr>
              <w:t>1.5+3.2+0.045）</w:t>
            </w:r>
            <w:r>
              <w:rPr>
                <w:rFonts w:hint="eastAsia" w:ascii="宋体" w:hAnsi="宋体" w:eastAsia="宋体" w:cs="宋体"/>
                <w:snapToGrid w:val="0"/>
                <w:color w:val="auto"/>
                <w:kern w:val="0"/>
                <w:highlight w:val="none"/>
                <w:lang w:eastAsia="zh-CN"/>
              </w:rPr>
              <w:t>×</w:t>
            </w:r>
            <w:r>
              <w:rPr>
                <w:rFonts w:hint="eastAsia" w:ascii="宋体" w:hAnsi="宋体" w:cs="宋体"/>
                <w:snapToGrid w:val="0"/>
                <w:color w:val="auto"/>
                <w:kern w:val="0"/>
                <w:highlight w:val="none"/>
                <w:lang w:val="en-US" w:eastAsia="zh-CN"/>
              </w:rPr>
              <w:t>70%</w:t>
            </w:r>
            <w:r>
              <w:rPr>
                <w:rFonts w:hint="eastAsia" w:ascii="宋体" w:hAnsi="宋体" w:eastAsia="宋体" w:cs="宋体"/>
                <w:snapToGrid w:val="0"/>
                <w:color w:val="auto"/>
                <w:kern w:val="0"/>
                <w:highlight w:val="none"/>
                <w:lang w:eastAsia="zh-CN"/>
              </w:rPr>
              <w:t>=</w:t>
            </w:r>
            <w:r>
              <w:rPr>
                <w:rFonts w:hint="eastAsia" w:ascii="宋体" w:hAnsi="宋体" w:cs="宋体"/>
                <w:snapToGrid w:val="0"/>
                <w:color w:val="auto"/>
                <w:kern w:val="0"/>
                <w:highlight w:val="none"/>
                <w:lang w:val="en-US" w:eastAsia="zh-CN"/>
              </w:rPr>
              <w:t>3.3215</w:t>
            </w:r>
            <w:r>
              <w:rPr>
                <w:rFonts w:hint="eastAsia" w:ascii="宋体" w:hAnsi="宋体" w:eastAsia="宋体" w:cs="宋体"/>
                <w:snapToGrid w:val="0"/>
                <w:color w:val="auto"/>
                <w:kern w:val="0"/>
                <w:highlight w:val="none"/>
                <w:lang w:eastAsia="zh-CN"/>
              </w:rPr>
              <w:t>万元</w:t>
            </w:r>
          </w:p>
          <w:p>
            <w:pPr>
              <w:adjustRightInd w:val="0"/>
              <w:snapToGrid w:val="0"/>
              <w:spacing w:line="320" w:lineRule="exact"/>
              <w:rPr>
                <w:color w:val="auto"/>
                <w:szCs w:val="21"/>
                <w:highlight w:val="none"/>
              </w:rPr>
            </w:pPr>
            <w:r>
              <w:rPr>
                <w:rFonts w:hint="eastAsia"/>
                <w:color w:val="auto"/>
                <w:szCs w:val="21"/>
                <w:highlight w:val="none"/>
              </w:rPr>
              <w:t>收款单位（户名）：浙江国际招（投）标公司</w:t>
            </w:r>
          </w:p>
          <w:p>
            <w:pPr>
              <w:adjustRightInd w:val="0"/>
              <w:snapToGrid w:val="0"/>
              <w:spacing w:line="320" w:lineRule="exact"/>
              <w:rPr>
                <w:color w:val="auto"/>
                <w:szCs w:val="21"/>
                <w:highlight w:val="none"/>
              </w:rPr>
            </w:pPr>
            <w:r>
              <w:rPr>
                <w:rFonts w:hint="eastAsia"/>
                <w:color w:val="auto"/>
                <w:szCs w:val="21"/>
                <w:highlight w:val="none"/>
              </w:rPr>
              <w:t>开户银行：中国工商银行杭州武林支行</w:t>
            </w:r>
          </w:p>
          <w:p>
            <w:pPr>
              <w:adjustRightInd w:val="0"/>
              <w:snapToGrid w:val="0"/>
              <w:spacing w:line="320" w:lineRule="exact"/>
              <w:rPr>
                <w:color w:val="auto"/>
                <w:szCs w:val="21"/>
                <w:highlight w:val="none"/>
              </w:rPr>
            </w:pPr>
            <w:r>
              <w:rPr>
                <w:rFonts w:hint="eastAsia"/>
                <w:color w:val="auto"/>
                <w:szCs w:val="21"/>
                <w:highlight w:val="none"/>
              </w:rPr>
              <w:t>银行账号：</w:t>
            </w:r>
            <w:r>
              <w:rPr>
                <w:rFonts w:hint="eastAsia"/>
                <w:color w:val="auto"/>
                <w:highlight w:val="none"/>
              </w:rPr>
              <w:t>1202 0212 0990 6782 015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29</w:t>
            </w:r>
          </w:p>
        </w:tc>
        <w:tc>
          <w:tcPr>
            <w:tcW w:w="1278" w:type="dxa"/>
            <w:vAlign w:val="center"/>
          </w:tcPr>
          <w:p>
            <w:pPr>
              <w:adjustRightInd w:val="0"/>
              <w:snapToGrid w:val="0"/>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节能环保要求</w:t>
            </w:r>
          </w:p>
        </w:tc>
        <w:tc>
          <w:tcPr>
            <w:tcW w:w="7419" w:type="dxa"/>
            <w:vAlign w:val="center"/>
          </w:tcPr>
          <w:p>
            <w:pPr>
              <w:adjustRightInd w:val="0"/>
              <w:snapToGrid w:val="0"/>
              <w:spacing w:line="320" w:lineRule="exact"/>
              <w:rPr>
                <w:rFonts w:hAnsi="宋体" w:cs="宋体"/>
                <w:snapToGrid w:val="0"/>
                <w:color w:val="auto"/>
                <w:kern w:val="0"/>
                <w:szCs w:val="21"/>
                <w:highlight w:val="none"/>
              </w:rPr>
            </w:pPr>
            <w:r>
              <w:rPr>
                <w:rFonts w:hint="eastAsia" w:ascii="宋体" w:hAnsi="宋体" w:cs="宋体"/>
                <w:snapToGrid w:val="0"/>
                <w:color w:val="auto"/>
                <w:kern w:val="0"/>
                <w:szCs w:val="21"/>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30</w:t>
            </w:r>
          </w:p>
        </w:tc>
        <w:tc>
          <w:tcPr>
            <w:tcW w:w="1278" w:type="dxa"/>
            <w:vMerge w:val="restart"/>
            <w:vAlign w:val="center"/>
          </w:tcPr>
          <w:p>
            <w:pPr>
              <w:adjustRightInd w:val="0"/>
              <w:snapToGrid w:val="0"/>
              <w:spacing w:line="276" w:lineRule="auto"/>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支持中小企业</w:t>
            </w:r>
          </w:p>
        </w:tc>
        <w:tc>
          <w:tcPr>
            <w:tcW w:w="7419" w:type="dxa"/>
            <w:vAlign w:val="center"/>
          </w:tcPr>
          <w:p>
            <w:pPr>
              <w:adjustRightInd w:val="0"/>
              <w:snapToGrid w:val="0"/>
              <w:spacing w:line="320" w:lineRule="exact"/>
              <w:rPr>
                <w:b/>
                <w:bCs/>
                <w:color w:val="auto"/>
                <w:highlight w:val="none"/>
              </w:rPr>
            </w:pPr>
            <w:r>
              <w:rPr>
                <w:rFonts w:hint="eastAsia"/>
                <w:b/>
                <w:bCs/>
                <w:color w:val="auto"/>
                <w:highlight w:val="none"/>
              </w:rPr>
              <w:t>一、说明</w:t>
            </w:r>
          </w:p>
          <w:p>
            <w:pPr>
              <w:adjustRightInd w:val="0"/>
              <w:snapToGrid w:val="0"/>
              <w:spacing w:line="320" w:lineRule="exact"/>
              <w:rPr>
                <w:b/>
                <w:bCs/>
                <w:color w:val="auto"/>
                <w:highlight w:val="none"/>
              </w:rPr>
            </w:pPr>
            <w:r>
              <w:rPr>
                <w:rFonts w:hint="eastAsia"/>
                <w:b/>
                <w:bCs/>
                <w:color w:val="auto"/>
                <w:highlight w:val="none"/>
              </w:rPr>
              <w:t>1、企业类型</w:t>
            </w:r>
          </w:p>
          <w:p>
            <w:pPr>
              <w:adjustRightInd w:val="0"/>
              <w:snapToGrid w:val="0"/>
              <w:spacing w:line="320" w:lineRule="exact"/>
              <w:rPr>
                <w:color w:val="auto"/>
                <w:highlight w:val="none"/>
              </w:rPr>
            </w:pPr>
            <w:r>
              <w:rPr>
                <w:rFonts w:hint="eastAsia"/>
                <w:color w:val="auto"/>
                <w:highlight w:val="none"/>
              </w:rPr>
              <w:t>（1）中小企业</w:t>
            </w:r>
          </w:p>
          <w:p>
            <w:pPr>
              <w:adjustRightInd w:val="0"/>
              <w:snapToGrid w:val="0"/>
              <w:spacing w:line="320" w:lineRule="exact"/>
              <w:ind w:firstLine="420" w:firstLineChars="200"/>
              <w:rPr>
                <w:color w:val="auto"/>
                <w:highlight w:val="none"/>
              </w:rPr>
            </w:pPr>
            <w:r>
              <w:rPr>
                <w:rFonts w:hint="eastAsia"/>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20" w:lineRule="exact"/>
              <w:ind w:firstLine="420" w:firstLineChars="200"/>
              <w:rPr>
                <w:color w:val="auto"/>
                <w:highlight w:val="none"/>
              </w:rPr>
            </w:pPr>
            <w:r>
              <w:rPr>
                <w:rFonts w:hint="eastAsia"/>
                <w:color w:val="auto"/>
                <w:highlight w:val="none"/>
              </w:rPr>
              <w:t>符合中小企业划分标准的个体工商户，在政府采购活动中视同中小企业。</w:t>
            </w:r>
          </w:p>
          <w:p>
            <w:pPr>
              <w:adjustRightInd w:val="0"/>
              <w:snapToGrid w:val="0"/>
              <w:spacing w:line="320" w:lineRule="exact"/>
              <w:ind w:firstLine="420" w:firstLineChars="200"/>
              <w:rPr>
                <w:color w:val="auto"/>
                <w:highlight w:val="none"/>
              </w:rPr>
            </w:pPr>
            <w:r>
              <w:rPr>
                <w:rFonts w:hint="eastAsia"/>
                <w:color w:val="auto"/>
                <w:highlight w:val="none"/>
              </w:rPr>
              <w:t>在服务采购项目中，服务由中小企业承接，即提供服务的人员为中小企业依照《中华人民共和国</w:t>
            </w:r>
            <w:r>
              <w:rPr>
                <w:rFonts w:hint="eastAsia"/>
                <w:color w:val="auto"/>
                <w:highlight w:val="none"/>
                <w:lang w:eastAsia="zh-CN"/>
              </w:rPr>
              <w:t>民法典</w:t>
            </w:r>
            <w:r>
              <w:rPr>
                <w:rFonts w:hint="eastAsia"/>
                <w:color w:val="auto"/>
                <w:highlight w:val="none"/>
              </w:rPr>
              <w:t>》订立劳动合同的从业人员。可享受相关中小企业扶持政策。</w:t>
            </w:r>
          </w:p>
          <w:p>
            <w:pPr>
              <w:adjustRightInd w:val="0"/>
              <w:snapToGrid w:val="0"/>
              <w:spacing w:line="320" w:lineRule="exact"/>
              <w:ind w:firstLine="420" w:firstLineChars="200"/>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adjustRightInd w:val="0"/>
              <w:snapToGrid w:val="0"/>
              <w:spacing w:line="320" w:lineRule="exact"/>
              <w:ind w:firstLine="420" w:firstLineChars="200"/>
              <w:rPr>
                <w:color w:val="auto"/>
                <w:highlight w:val="none"/>
              </w:rPr>
            </w:pPr>
            <w:r>
              <w:rPr>
                <w:rFonts w:hint="eastAsia"/>
                <w:color w:val="auto"/>
                <w:highlight w:val="none"/>
              </w:rPr>
              <w:t>投标文件中须同时出具《政府采购促进中小企业发展管理办法》【财库（2020）46号】规定的《中小企业声明函》，否则不得享受价格扣除。</w:t>
            </w:r>
          </w:p>
          <w:p>
            <w:pPr>
              <w:adjustRightInd w:val="0"/>
              <w:snapToGrid w:val="0"/>
              <w:spacing w:line="320" w:lineRule="exact"/>
              <w:rPr>
                <w:color w:val="auto"/>
                <w:highlight w:val="none"/>
              </w:rPr>
            </w:pPr>
            <w:r>
              <w:rPr>
                <w:rFonts w:hint="eastAsia"/>
                <w:color w:val="auto"/>
                <w:highlight w:val="none"/>
              </w:rPr>
              <w:t>（2）残疾人福利性单位</w:t>
            </w:r>
          </w:p>
          <w:p>
            <w:pPr>
              <w:adjustRightInd w:val="0"/>
              <w:snapToGrid w:val="0"/>
              <w:spacing w:line="320" w:lineRule="exact"/>
              <w:ind w:firstLine="420" w:firstLineChars="200"/>
              <w:rPr>
                <w:color w:val="auto"/>
                <w:highlight w:val="none"/>
              </w:rPr>
            </w:pPr>
            <w:r>
              <w:rPr>
                <w:rFonts w:hint="eastAsia"/>
                <w:color w:val="auto"/>
                <w:highlight w:val="none"/>
              </w:rPr>
              <w:t>符合《关于促进残疾人就业政府采购政策的通知》（财库〔2017〕141号）规定的条件并提供提供《残疾人福利性单位声明函》的残疾人福利性单位视同小型、微型企业；</w:t>
            </w:r>
          </w:p>
          <w:p>
            <w:pPr>
              <w:adjustRightInd w:val="0"/>
              <w:snapToGrid w:val="0"/>
              <w:spacing w:line="320" w:lineRule="exact"/>
              <w:rPr>
                <w:color w:val="auto"/>
                <w:highlight w:val="none"/>
              </w:rPr>
            </w:pPr>
            <w:r>
              <w:rPr>
                <w:rFonts w:hint="eastAsia"/>
                <w:color w:val="auto"/>
                <w:highlight w:val="none"/>
              </w:rPr>
              <w:t>（3）监狱企业</w:t>
            </w:r>
          </w:p>
          <w:p>
            <w:pPr>
              <w:adjustRightInd w:val="0"/>
              <w:snapToGrid w:val="0"/>
              <w:spacing w:line="320" w:lineRule="exact"/>
              <w:ind w:firstLine="420" w:firstLineChars="200"/>
              <w:rPr>
                <w:color w:val="auto"/>
                <w:highlight w:val="none"/>
              </w:rPr>
            </w:pPr>
            <w:r>
              <w:rPr>
                <w:rFonts w:hint="eastAsia"/>
                <w:color w:val="auto"/>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pPr>
              <w:adjustRightInd w:val="0"/>
              <w:snapToGrid w:val="0"/>
              <w:spacing w:line="320" w:lineRule="exact"/>
              <w:rPr>
                <w:color w:val="auto"/>
                <w:highlight w:val="none"/>
              </w:rPr>
            </w:pPr>
            <w:r>
              <w:rPr>
                <w:rFonts w:hint="eastAsia"/>
                <w:color w:val="auto"/>
                <w:highlight w:val="none"/>
              </w:rPr>
              <w:t>2.价格扣除有关政策</w:t>
            </w:r>
          </w:p>
          <w:p>
            <w:pPr>
              <w:adjustRightInd w:val="0"/>
              <w:snapToGrid w:val="0"/>
              <w:spacing w:line="320" w:lineRule="exact"/>
              <w:ind w:firstLine="420" w:firstLineChars="200"/>
              <w:rPr>
                <w:color w:val="auto"/>
                <w:highlight w:val="none"/>
              </w:rPr>
            </w:pPr>
            <w:r>
              <w:rPr>
                <w:rFonts w:hint="eastAsia"/>
                <w:color w:val="auto"/>
                <w:highlight w:val="none"/>
              </w:rPr>
              <w:t>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给予6%—10%的扣除，用扣除后的价格参加评审。</w:t>
            </w:r>
          </w:p>
          <w:p>
            <w:pPr>
              <w:adjustRightInd w:val="0"/>
              <w:snapToGrid w:val="0"/>
              <w:spacing w:line="320" w:lineRule="exact"/>
              <w:ind w:firstLine="420" w:firstLineChars="200"/>
              <w:rPr>
                <w:color w:val="auto"/>
                <w:highlight w:val="none"/>
              </w:rPr>
            </w:pPr>
            <w:r>
              <w:rPr>
                <w:rFonts w:hint="eastAsia"/>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2%-3%的扣除，用扣除后的价格参加评审。</w:t>
            </w:r>
          </w:p>
          <w:p>
            <w:pPr>
              <w:adjustRightInd w:val="0"/>
              <w:snapToGrid w:val="0"/>
              <w:spacing w:line="320" w:lineRule="exact"/>
              <w:ind w:firstLine="420" w:firstLineChars="200"/>
              <w:rPr>
                <w:color w:val="auto"/>
                <w:highlight w:val="none"/>
              </w:rPr>
            </w:pPr>
            <w:r>
              <w:rPr>
                <w:rFonts w:hint="eastAsia"/>
                <w:color w:val="auto"/>
                <w:highlight w:val="none"/>
              </w:rPr>
              <w:t>组成联合体或者接受分包的小微企业与联合体内其他企业、分包企业之间存在直接控股、管理关系的，不享受价格扣除优惠政策。</w:t>
            </w:r>
          </w:p>
          <w:p>
            <w:pPr>
              <w:pStyle w:val="2"/>
              <w:rPr>
                <w:color w:val="auto"/>
                <w:highlight w:val="none"/>
              </w:rPr>
            </w:pPr>
          </w:p>
          <w:p>
            <w:pPr>
              <w:adjustRightInd w:val="0"/>
              <w:snapToGrid w:val="0"/>
              <w:spacing w:line="320" w:lineRule="exact"/>
              <w:rPr>
                <w:color w:val="auto"/>
                <w:highlight w:val="none"/>
              </w:rPr>
            </w:pPr>
            <w:r>
              <w:rPr>
                <w:rFonts w:hint="eastAsia"/>
                <w:color w:val="auto"/>
                <w:highlight w:val="none"/>
              </w:rPr>
              <w:t>二、针对本项目的相关规定</w:t>
            </w:r>
          </w:p>
          <w:p>
            <w:pPr>
              <w:adjustRightInd w:val="0"/>
              <w:snapToGrid w:val="0"/>
              <w:spacing w:line="320" w:lineRule="exact"/>
              <w:ind w:firstLine="420" w:firstLineChars="200"/>
              <w:rPr>
                <w:color w:val="auto"/>
                <w:highlight w:val="none"/>
              </w:rPr>
            </w:pPr>
            <w:r>
              <w:rPr>
                <w:rFonts w:hint="eastAsia"/>
                <w:color w:val="auto"/>
                <w:highlight w:val="none"/>
              </w:rPr>
              <w:t>1.本项目对符合规定的小微企业（含小型企业）报价给予 6% 的扣除。</w:t>
            </w:r>
          </w:p>
          <w:p>
            <w:pPr>
              <w:pStyle w:val="30"/>
              <w:ind w:firstLine="400" w:firstLineChars="200"/>
              <w:rPr>
                <w:color w:val="auto"/>
                <w:highlight w:val="none"/>
              </w:rPr>
            </w:pPr>
            <w:r>
              <w:rPr>
                <w:rFonts w:hint="eastAsia"/>
                <w:color w:val="auto"/>
                <w:highlight w:val="none"/>
              </w:rPr>
              <w:t>对符合规定的联合体或者大中型企业的报价给予2%的扣除。（本项目不适用）</w:t>
            </w:r>
          </w:p>
          <w:p>
            <w:pPr>
              <w:pStyle w:val="17"/>
              <w:ind w:firstLine="422" w:firstLineChars="200"/>
              <w:rPr>
                <w:color w:val="auto"/>
                <w:highlight w:val="none"/>
              </w:rPr>
            </w:pPr>
            <w:r>
              <w:rPr>
                <w:rFonts w:hint="eastAsia"/>
                <w:b/>
                <w:bCs/>
                <w:color w:val="auto"/>
                <w:highlight w:val="none"/>
              </w:rPr>
              <w:t>2.本项目对应的中小企业计划分标准所属行业为：</w:t>
            </w:r>
            <w:r>
              <w:rPr>
                <w:rFonts w:hint="eastAsia"/>
                <w:b/>
                <w:bCs/>
                <w:color w:val="auto"/>
                <w:highlight w:val="none"/>
                <w:u w:val="single"/>
                <w:lang w:val="en-US" w:eastAsia="zh-CN"/>
              </w:rPr>
              <w:t>其他未列明行业</w:t>
            </w:r>
            <w:r>
              <w:rPr>
                <w:rFonts w:hint="eastAsia"/>
                <w:b/>
                <w:bCs/>
                <w:color w:val="auto"/>
                <w:highlight w:val="none"/>
              </w:rPr>
              <w:t>。</w:t>
            </w:r>
          </w:p>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31</w:t>
            </w:r>
          </w:p>
        </w:tc>
        <w:tc>
          <w:tcPr>
            <w:tcW w:w="1278" w:type="dxa"/>
            <w:vMerge w:val="continue"/>
            <w:vAlign w:val="center"/>
          </w:tcPr>
          <w:p>
            <w:pPr>
              <w:adjustRightInd w:val="0"/>
              <w:snapToGrid w:val="0"/>
              <w:spacing w:line="276" w:lineRule="auto"/>
              <w:jc w:val="center"/>
              <w:rPr>
                <w:rFonts w:ascii="宋体" w:hAnsi="宋体" w:cs="宋体"/>
                <w:b/>
                <w:snapToGrid w:val="0"/>
                <w:color w:val="auto"/>
                <w:kern w:val="0"/>
                <w:szCs w:val="21"/>
                <w:highlight w:val="none"/>
              </w:rPr>
            </w:pPr>
          </w:p>
        </w:tc>
        <w:tc>
          <w:tcPr>
            <w:tcW w:w="7419" w:type="dxa"/>
            <w:vAlign w:val="center"/>
          </w:tcPr>
          <w:p>
            <w:pPr>
              <w:adjustRightInd w:val="0"/>
              <w:snapToGrid w:val="0"/>
              <w:spacing w:line="320" w:lineRule="exact"/>
              <w:rPr>
                <w:rFonts w:ascii="宋体" w:hAnsi="宋体" w:cs="宋体"/>
                <w:b/>
                <w:snapToGrid w:val="0"/>
                <w:color w:val="auto"/>
                <w:kern w:val="0"/>
                <w:highlight w:val="none"/>
              </w:rPr>
            </w:pPr>
            <w:r>
              <w:rPr>
                <w:rFonts w:hint="eastAsia" w:ascii="宋体" w:hAnsi="宋体" w:cs="宋体"/>
                <w:b/>
                <w:snapToGrid w:val="0"/>
                <w:color w:val="auto"/>
                <w:kern w:val="0"/>
                <w:highlight w:val="none"/>
              </w:rPr>
              <w:t>企业信用融资：</w:t>
            </w:r>
          </w:p>
          <w:p>
            <w:pPr>
              <w:adjustRightInd w:val="0"/>
              <w:snapToGrid w:val="0"/>
              <w:spacing w:line="320" w:lineRule="exact"/>
              <w:rPr>
                <w:rFonts w:ascii="宋体" w:hAnsi="宋体" w:cs="宋体"/>
                <w:snapToGrid w:val="0"/>
                <w:color w:val="auto"/>
                <w:kern w:val="0"/>
                <w:szCs w:val="21"/>
                <w:highlight w:val="none"/>
              </w:rPr>
            </w:pPr>
            <w:r>
              <w:rPr>
                <w:rFonts w:hint="eastAsia" w:ascii="宋体" w:hAnsi="宋体" w:cs="宋体"/>
                <w:color w:val="auto"/>
                <w:highlight w:val="none"/>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r>
              <w:rPr>
                <w:rFonts w:hint="eastAsia" w:ascii="宋体" w:hAnsi="宋体" w:cs="宋体"/>
                <w:bCs/>
                <w:snapToGrid w:val="0"/>
                <w:color w:val="auto"/>
                <w:kern w:val="0"/>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w:t>
            </w:r>
          </w:p>
        </w:tc>
        <w:tc>
          <w:tcPr>
            <w:tcW w:w="1278" w:type="dxa"/>
            <w:vAlign w:val="center"/>
          </w:tcPr>
          <w:p>
            <w:pPr>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合同签订</w:t>
            </w:r>
          </w:p>
        </w:tc>
        <w:tc>
          <w:tcPr>
            <w:tcW w:w="7419" w:type="dxa"/>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中标通知书发出后30日内，中标供应商持中标通知书与采购人签订合同；</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招标代理机构作为合同鉴证方协助审查合同条款，参与合同鉴定。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33</w:t>
            </w:r>
          </w:p>
        </w:tc>
        <w:tc>
          <w:tcPr>
            <w:tcW w:w="1278" w:type="dxa"/>
            <w:vAlign w:val="center"/>
          </w:tcPr>
          <w:p>
            <w:pPr>
              <w:adjustRightInd w:val="0"/>
              <w:snapToGrid w:val="0"/>
              <w:spacing w:line="360" w:lineRule="auto"/>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履约保证金</w:t>
            </w:r>
          </w:p>
        </w:tc>
        <w:tc>
          <w:tcPr>
            <w:tcW w:w="7419" w:type="dxa"/>
            <w:vAlign w:val="center"/>
          </w:tcPr>
          <w:p>
            <w:pPr>
              <w:adjustRightInd w:val="0"/>
              <w:snapToGrid w:val="0"/>
              <w:spacing w:line="320" w:lineRule="exact"/>
              <w:rPr>
                <w:rFonts w:hint="eastAsia" w:ascii="宋体" w:hAnsi="宋体" w:eastAsia="宋体" w:cs="宋体"/>
                <w:strike w:val="0"/>
                <w:snapToGrid w:val="0"/>
                <w:color w:val="auto"/>
                <w:kern w:val="0"/>
                <w:szCs w:val="21"/>
                <w:highlight w:val="none"/>
                <w:lang w:eastAsia="zh-CN"/>
              </w:rPr>
            </w:pPr>
            <w:r>
              <w:rPr>
                <w:rFonts w:hint="eastAsia"/>
                <w:strike w:val="0"/>
                <w:dstrike w:val="0"/>
                <w:color w:val="auto"/>
                <w:highlight w:val="none"/>
                <w:lang w:eastAsia="zh-CN"/>
              </w:rPr>
              <w:t>本项目不适用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896" w:type="dxa"/>
            <w:vMerge w:val="restart"/>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w:t>
            </w:r>
          </w:p>
        </w:tc>
        <w:tc>
          <w:tcPr>
            <w:tcW w:w="1278" w:type="dxa"/>
            <w:vMerge w:val="restart"/>
            <w:vAlign w:val="center"/>
          </w:tcPr>
          <w:p>
            <w:pPr>
              <w:adjustRightInd w:val="0"/>
              <w:snapToGrid w:val="0"/>
              <w:spacing w:line="360" w:lineRule="auto"/>
              <w:jc w:val="center"/>
              <w:rPr>
                <w:rFonts w:ascii="宋体" w:hAnsi="宋体" w:cs="宋体"/>
                <w:b/>
                <w:snapToGrid w:val="0"/>
                <w:color w:val="auto"/>
                <w:kern w:val="0"/>
                <w:szCs w:val="21"/>
                <w:highlight w:val="none"/>
              </w:rPr>
            </w:pPr>
            <w:r>
              <w:rPr>
                <w:rFonts w:hint="eastAsia" w:ascii="宋体" w:hAnsi="宋体" w:cs="宋体"/>
                <w:b/>
                <w:bCs/>
                <w:snapToGrid w:val="0"/>
                <w:color w:val="auto"/>
                <w:kern w:val="0"/>
                <w:szCs w:val="21"/>
                <w:highlight w:val="none"/>
              </w:rPr>
              <w:t>投标人信用信息事项</w:t>
            </w:r>
          </w:p>
        </w:tc>
        <w:tc>
          <w:tcPr>
            <w:tcW w:w="7419" w:type="dxa"/>
            <w:vAlign w:val="center"/>
          </w:tcPr>
          <w:p>
            <w:pPr>
              <w:adjustRightInd w:val="0"/>
              <w:snapToGrid w:val="0"/>
              <w:spacing w:line="320" w:lineRule="exac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信用信息查询渠道及截止时间：项目评审组织人员将通过“信用中国”网站(www.creditchina.gov.cn)、中国政府采购网(www.ccgp.gov.cn)渠道查询投标人投标截止时间前的信用记录。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896" w:type="dxa"/>
            <w:vMerge w:val="continue"/>
            <w:vAlign w:val="center"/>
          </w:tcPr>
          <w:p>
            <w:pPr>
              <w:adjustRightInd w:val="0"/>
              <w:snapToGrid w:val="0"/>
              <w:spacing w:line="276" w:lineRule="auto"/>
              <w:jc w:val="center"/>
              <w:rPr>
                <w:rFonts w:ascii="宋体" w:hAnsi="宋体" w:cs="宋体"/>
                <w:snapToGrid w:val="0"/>
                <w:color w:val="auto"/>
                <w:kern w:val="0"/>
                <w:szCs w:val="21"/>
                <w:highlight w:val="none"/>
              </w:rPr>
            </w:pPr>
          </w:p>
        </w:tc>
        <w:tc>
          <w:tcPr>
            <w:tcW w:w="1278" w:type="dxa"/>
            <w:vMerge w:val="continue"/>
            <w:vAlign w:val="center"/>
          </w:tcPr>
          <w:p>
            <w:pPr>
              <w:adjustRightInd w:val="0"/>
              <w:snapToGrid w:val="0"/>
              <w:spacing w:line="360" w:lineRule="auto"/>
              <w:jc w:val="center"/>
              <w:rPr>
                <w:rFonts w:ascii="宋体" w:hAnsi="宋体" w:cs="宋体"/>
                <w:snapToGrid w:val="0"/>
                <w:color w:val="auto"/>
                <w:kern w:val="0"/>
                <w:szCs w:val="21"/>
                <w:highlight w:val="none"/>
              </w:rPr>
            </w:pPr>
          </w:p>
        </w:tc>
        <w:tc>
          <w:tcPr>
            <w:tcW w:w="7419" w:type="dxa"/>
            <w:vAlign w:val="center"/>
          </w:tcPr>
          <w:p>
            <w:pPr>
              <w:adjustRightInd w:val="0"/>
              <w:snapToGrid w:val="0"/>
              <w:spacing w:line="320" w:lineRule="exac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信用信息查询记录和证据留存的具体方式：采购代理机构开标当天查询投标人的信用记录，查询结果经确认后与采购文件一起存档。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896" w:type="dxa"/>
            <w:vMerge w:val="continue"/>
            <w:vAlign w:val="center"/>
          </w:tcPr>
          <w:p>
            <w:pPr>
              <w:adjustRightInd w:val="0"/>
              <w:snapToGrid w:val="0"/>
              <w:spacing w:line="276" w:lineRule="auto"/>
              <w:jc w:val="center"/>
              <w:rPr>
                <w:rFonts w:ascii="宋体" w:hAnsi="宋体" w:cs="宋体"/>
                <w:snapToGrid w:val="0"/>
                <w:color w:val="auto"/>
                <w:kern w:val="0"/>
                <w:szCs w:val="21"/>
                <w:highlight w:val="none"/>
              </w:rPr>
            </w:pPr>
          </w:p>
        </w:tc>
        <w:tc>
          <w:tcPr>
            <w:tcW w:w="1278" w:type="dxa"/>
            <w:vMerge w:val="continue"/>
            <w:vAlign w:val="center"/>
          </w:tcPr>
          <w:p>
            <w:pPr>
              <w:adjustRightInd w:val="0"/>
              <w:snapToGrid w:val="0"/>
              <w:spacing w:line="360" w:lineRule="auto"/>
              <w:jc w:val="center"/>
              <w:rPr>
                <w:rFonts w:ascii="宋体" w:hAnsi="宋体" w:cs="宋体"/>
                <w:snapToGrid w:val="0"/>
                <w:color w:val="auto"/>
                <w:kern w:val="0"/>
                <w:szCs w:val="21"/>
                <w:highlight w:val="none"/>
              </w:rPr>
            </w:pPr>
          </w:p>
        </w:tc>
        <w:tc>
          <w:tcPr>
            <w:tcW w:w="7419" w:type="dxa"/>
            <w:vAlign w:val="center"/>
          </w:tcPr>
          <w:p>
            <w:pPr>
              <w:adjustRightInd w:val="0"/>
              <w:snapToGrid w:val="0"/>
              <w:spacing w:line="320" w:lineRule="exac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信用信息的使用规则：经查询列入失信被执行人名单、重大税收违法案件当事人名单、政府采购严重违法失信行为记录名单的投标人的投标文件将被拒绝。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896" w:type="dxa"/>
            <w:vAlign w:val="center"/>
          </w:tcPr>
          <w:p>
            <w:pPr>
              <w:adjustRightInd w:val="0"/>
              <w:snapToGrid w:val="0"/>
              <w:spacing w:line="276"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35</w:t>
            </w:r>
          </w:p>
        </w:tc>
        <w:tc>
          <w:tcPr>
            <w:tcW w:w="1278" w:type="dxa"/>
            <w:vAlign w:val="center"/>
          </w:tcPr>
          <w:p>
            <w:pPr>
              <w:adjustRightInd w:val="0"/>
              <w:snapToGrid w:val="0"/>
              <w:spacing w:line="360" w:lineRule="auto"/>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其他说明</w:t>
            </w:r>
          </w:p>
        </w:tc>
        <w:tc>
          <w:tcPr>
            <w:tcW w:w="7419" w:type="dxa"/>
            <w:vAlign w:val="center"/>
          </w:tcPr>
          <w:p>
            <w:pPr>
              <w:adjustRightInd w:val="0"/>
              <w:snapToGrid w:val="0"/>
              <w:spacing w:line="320" w:lineRule="exac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1、投标截止后，在投标有效期内，供应商不能撤销投标文件。供应商强行撤销投标文件的，应按预算金额的2%赔偿对招标代理机构造成的损失。</w:t>
            </w:r>
          </w:p>
          <w:p>
            <w:pPr>
              <w:adjustRightInd w:val="0"/>
              <w:snapToGrid w:val="0"/>
              <w:spacing w:line="320" w:lineRule="exac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2、中标后，供应商拒绝签订合同的，采购人重新开展政府采购活动。供应商中标后拒绝签订合同的，应按预算金额的2%对采购人进行赔偿；赔偿金额不足以弥补采购人损失的，供应商应继续承担超过部分的损失。</w:t>
            </w:r>
          </w:p>
          <w:p>
            <w:pPr>
              <w:adjustRightInd w:val="0"/>
              <w:snapToGrid w:val="0"/>
              <w:spacing w:line="320" w:lineRule="exac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3、存在下列行为的，招标代理机构将其失信行为上报政府采购主管部门，由主管部门按有关规定对其违法失信行为记录进行公开：</w:t>
            </w:r>
          </w:p>
          <w:p>
            <w:pPr>
              <w:adjustRightInd w:val="0"/>
              <w:snapToGrid w:val="0"/>
              <w:spacing w:line="320" w:lineRule="exac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（1）中标或者成交后，拒绝签订政府采购合同的；</w:t>
            </w:r>
          </w:p>
          <w:p>
            <w:pPr>
              <w:adjustRightInd w:val="0"/>
              <w:snapToGrid w:val="0"/>
              <w:spacing w:line="320" w:lineRule="exac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（2）投标有效期内撤销投标文件的。</w:t>
            </w:r>
          </w:p>
        </w:tc>
      </w:tr>
    </w:tbl>
    <w:p>
      <w:pPr>
        <w:pStyle w:val="52"/>
        <w:rPr>
          <w:color w:val="auto"/>
          <w:highlight w:val="none"/>
        </w:rPr>
      </w:pP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注：以上内容如有变化将另行书面通知。如通知其中某一内容发生变化，其余未提及的将不作变动。</w:t>
      </w:r>
      <w:bookmarkStart w:id="5" w:name="_Toc251566649"/>
      <w:bookmarkStart w:id="6" w:name="_Toc240450076"/>
    </w:p>
    <w:p>
      <w:pPr>
        <w:pStyle w:val="2"/>
        <w:rPr>
          <w:rFonts w:hint="eastAsia" w:ascii="宋体" w:hAnsi="宋体" w:cs="宋体"/>
          <w:color w:val="auto"/>
          <w:szCs w:val="21"/>
          <w:highlight w:val="none"/>
        </w:rPr>
      </w:pPr>
    </w:p>
    <w:p>
      <w:pPr>
        <w:rPr>
          <w:rFonts w:hint="eastAsia" w:ascii="宋体" w:hAnsi="宋体" w:cs="宋体"/>
          <w:color w:val="auto"/>
          <w:szCs w:val="21"/>
          <w:highlight w:val="none"/>
        </w:rPr>
      </w:pPr>
    </w:p>
    <w:p>
      <w:pPr>
        <w:pStyle w:val="2"/>
        <w:rPr>
          <w:rFonts w:hint="eastAsia" w:ascii="宋体" w:hAnsi="宋体" w:cs="宋体"/>
          <w:color w:val="auto"/>
          <w:szCs w:val="21"/>
          <w:highlight w:val="none"/>
        </w:rPr>
      </w:pPr>
    </w:p>
    <w:p>
      <w:pPr>
        <w:rPr>
          <w:color w:val="auto"/>
          <w:highlight w:val="none"/>
        </w:rPr>
      </w:pPr>
    </w:p>
    <w:p>
      <w:pPr>
        <w:adjustRightInd w:val="0"/>
        <w:snapToGrid w:val="0"/>
        <w:spacing w:beforeLines="50" w:afterLines="50" w:line="360" w:lineRule="auto"/>
        <w:jc w:val="center"/>
        <w:outlineLvl w:val="0"/>
        <w:rPr>
          <w:rFonts w:ascii="宋体" w:hAnsi="宋体" w:cs="宋体"/>
          <w:color w:val="auto"/>
          <w:szCs w:val="21"/>
          <w:highlight w:val="none"/>
        </w:rPr>
      </w:pPr>
      <w:r>
        <w:rPr>
          <w:rFonts w:hint="eastAsia" w:ascii="宋体" w:hAnsi="宋体" w:cs="宋体"/>
          <w:color w:val="auto"/>
          <w:szCs w:val="21"/>
          <w:highlight w:val="none"/>
        </w:rPr>
        <w:br w:type="page"/>
      </w:r>
      <w:bookmarkStart w:id="7" w:name="_Toc30054"/>
      <w:bookmarkStart w:id="8" w:name="_Toc2187"/>
      <w:r>
        <w:rPr>
          <w:rFonts w:hint="eastAsia" w:ascii="宋体" w:hAnsi="宋体" w:cs="宋体"/>
          <w:b/>
          <w:color w:val="auto"/>
          <w:sz w:val="30"/>
          <w:szCs w:val="30"/>
          <w:highlight w:val="none"/>
        </w:rPr>
        <w:t>第二部分  投标须知</w:t>
      </w:r>
      <w:bookmarkEnd w:id="5"/>
      <w:bookmarkEnd w:id="6"/>
      <w:bookmarkEnd w:id="7"/>
      <w:bookmarkEnd w:id="8"/>
    </w:p>
    <w:p>
      <w:pPr>
        <w:pStyle w:val="4"/>
        <w:snapToGrid w:val="0"/>
        <w:spacing w:beforeLines="50" w:afterLines="50" w:line="360" w:lineRule="auto"/>
        <w:rPr>
          <w:rFonts w:ascii="宋体" w:hAnsi="宋体" w:eastAsia="宋体" w:cs="宋体"/>
          <w:color w:val="auto"/>
          <w:sz w:val="21"/>
          <w:szCs w:val="21"/>
          <w:highlight w:val="none"/>
        </w:rPr>
      </w:pPr>
      <w:bookmarkStart w:id="9" w:name="_Toc12000"/>
      <w:bookmarkStart w:id="10" w:name="_Toc240450077"/>
      <w:bookmarkStart w:id="11" w:name="_Toc251566650"/>
      <w:bookmarkStart w:id="12" w:name="_Toc24877"/>
      <w:r>
        <w:rPr>
          <w:rFonts w:hint="eastAsia" w:ascii="宋体" w:hAnsi="宋体" w:eastAsia="宋体" w:cs="宋体"/>
          <w:color w:val="auto"/>
          <w:sz w:val="21"/>
          <w:szCs w:val="21"/>
          <w:highlight w:val="none"/>
        </w:rPr>
        <w:t>一、总则</w:t>
      </w:r>
      <w:bookmarkEnd w:id="9"/>
      <w:bookmarkEnd w:id="10"/>
      <w:bookmarkEnd w:id="11"/>
      <w:bookmarkEnd w:id="12"/>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次招标工作是按照《中华人民共和国政府采购法》、《中华人民共和国政府采购法实施条例》、《政府采购货物和服务招标投标管理办法》等相关法律法规组织和实施，并接受杭州市财政局政府采购监管处监督。</w:t>
      </w:r>
    </w:p>
    <w:p>
      <w:pPr>
        <w:adjustRightInd w:val="0"/>
        <w:snapToGrid w:val="0"/>
        <w:spacing w:beforeLines="50"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1．适用范围</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 本采购文件仅适用于本次招标项目。</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 本项目采购方式为公开招标。</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 投标须知为招标文件的通用条款，如通用条款与前附表、用户需求、合同条款等特定条款不一致的，请按特定条款执行。</w:t>
      </w:r>
    </w:p>
    <w:p>
      <w:pPr>
        <w:adjustRightInd w:val="0"/>
        <w:snapToGrid w:val="0"/>
        <w:spacing w:beforeLines="50"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2．定义</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2.1“采购人”系指</w:t>
      </w:r>
      <w:r>
        <w:rPr>
          <w:rFonts w:hint="eastAsia" w:ascii="宋体" w:hAnsi="宋体" w:cs="宋体"/>
          <w:snapToGrid w:val="0"/>
          <w:color w:val="auto"/>
          <w:kern w:val="0"/>
          <w:szCs w:val="21"/>
          <w:highlight w:val="none"/>
          <w:lang w:eastAsia="zh-CN"/>
        </w:rPr>
        <w:t>杭州市规划和自然资源局</w:t>
      </w:r>
      <w:r>
        <w:rPr>
          <w:rFonts w:hint="eastAsia" w:ascii="宋体" w:hAnsi="宋体" w:cs="宋体"/>
          <w:color w:val="auto"/>
          <w:szCs w:val="21"/>
          <w:highlight w:val="none"/>
        </w:rPr>
        <w:t>（合同中的甲方）</w:t>
      </w:r>
      <w:r>
        <w:rPr>
          <w:rFonts w:hint="eastAsia" w:ascii="宋体" w:hAnsi="宋体" w:cs="宋体"/>
          <w:snapToGrid w:val="0"/>
          <w:color w:val="auto"/>
          <w:kern w:val="0"/>
          <w:szCs w:val="21"/>
          <w:highlight w:val="none"/>
        </w:rPr>
        <w:t>。</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2.2“采购代理机构”系指浙江国际招（投）标公司</w:t>
      </w:r>
      <w:r>
        <w:rPr>
          <w:rFonts w:hint="eastAsia" w:ascii="宋体" w:hAnsi="宋体" w:cs="宋体"/>
          <w:color w:val="auto"/>
          <w:szCs w:val="21"/>
          <w:highlight w:val="none"/>
        </w:rPr>
        <w:t>（合同中的鉴证方）</w:t>
      </w:r>
      <w:r>
        <w:rPr>
          <w:rFonts w:hint="eastAsia" w:ascii="宋体" w:hAnsi="宋体" w:cs="宋体"/>
          <w:snapToGrid w:val="0"/>
          <w:color w:val="auto"/>
          <w:kern w:val="0"/>
          <w:szCs w:val="21"/>
          <w:highlight w:val="none"/>
        </w:rPr>
        <w:t>。</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2.3“监督管理部门”系指杭州市财政局政府采购监管处。</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2.4“投标人”系指响应本次招标，参加本次投标的独立法人</w:t>
      </w:r>
      <w:r>
        <w:rPr>
          <w:rFonts w:hint="eastAsia" w:ascii="宋体" w:hAnsi="宋体" w:cs="宋体"/>
          <w:color w:val="auto"/>
          <w:szCs w:val="21"/>
          <w:highlight w:val="none"/>
        </w:rPr>
        <w:t>（合同中的乙方）</w:t>
      </w:r>
      <w:r>
        <w:rPr>
          <w:rFonts w:hint="eastAsia" w:ascii="宋体" w:hAnsi="宋体" w:cs="宋体"/>
          <w:snapToGrid w:val="0"/>
          <w:color w:val="auto"/>
          <w:kern w:val="0"/>
          <w:szCs w:val="21"/>
          <w:highlight w:val="none"/>
        </w:rPr>
        <w:t>。</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2.5“服务”系指采购文件或合同规定投标人须承担的服务以及其他类似的义务。</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2.6“实质性条款”系指采购文件条款前标注“▲”标识的条款。</w:t>
      </w:r>
    </w:p>
    <w:p>
      <w:pPr>
        <w:adjustRightInd w:val="0"/>
        <w:snapToGrid w:val="0"/>
        <w:spacing w:line="360" w:lineRule="auto"/>
        <w:ind w:firstLine="420" w:firstLineChars="200"/>
        <w:rPr>
          <w:color w:val="auto"/>
          <w:highlight w:val="none"/>
        </w:rPr>
      </w:pPr>
      <w:r>
        <w:rPr>
          <w:rFonts w:hint="eastAsia" w:ascii="宋体" w:hAnsi="宋体" w:cs="宋体"/>
          <w:snapToGrid w:val="0"/>
          <w:color w:val="auto"/>
          <w:kern w:val="0"/>
          <w:szCs w:val="21"/>
          <w:highlight w:val="none"/>
        </w:rPr>
        <w:t>2.7</w:t>
      </w:r>
      <w:r>
        <w:rPr>
          <w:rFonts w:hint="eastAsia" w:ascii="宋体" w:hAnsi="宋体"/>
          <w:snapToGrid w:val="0"/>
          <w:color w:val="auto"/>
          <w:kern w:val="0"/>
          <w:szCs w:val="21"/>
          <w:highlight w:val="none"/>
        </w:rPr>
        <w:t>官方指定网站公示的内容视为书面告知。</w:t>
      </w:r>
    </w:p>
    <w:p>
      <w:pPr>
        <w:adjustRightInd w:val="0"/>
        <w:snapToGrid w:val="0"/>
        <w:spacing w:beforeLines="50"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3．合格的投标人及合格的投标货物和服务</w:t>
      </w:r>
    </w:p>
    <w:p>
      <w:pPr>
        <w:adjustRightInd w:val="0"/>
        <w:snapToGrid w:val="0"/>
        <w:spacing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3.1合格的投标人，详见采购公告第二条规定的投标人必须具备的资格条件并经采购人或采购代理机构审查通过的。</w:t>
      </w:r>
    </w:p>
    <w:p>
      <w:pPr>
        <w:adjustRightInd w:val="0"/>
        <w:snapToGrid w:val="0"/>
        <w:spacing w:line="360" w:lineRule="auto"/>
        <w:ind w:firstLine="422" w:firstLineChars="200"/>
        <w:rPr>
          <w:rFonts w:ascii="宋体" w:hAnsi="宋体" w:cs="宋体"/>
          <w:b/>
          <w:bCs/>
          <w:snapToGrid w:val="0"/>
          <w:color w:val="auto"/>
          <w:kern w:val="0"/>
          <w:highlight w:val="none"/>
        </w:rPr>
      </w:pPr>
      <w:r>
        <w:rPr>
          <w:rFonts w:hint="eastAsia" w:ascii="宋体" w:hAnsi="宋体" w:cs="宋体"/>
          <w:b/>
          <w:bCs/>
          <w:snapToGrid w:val="0"/>
          <w:color w:val="auto"/>
          <w:kern w:val="0"/>
          <w:highlight w:val="none"/>
        </w:rPr>
        <w:t>3.2对投标人的限制</w:t>
      </w:r>
    </w:p>
    <w:p>
      <w:pPr>
        <w:adjustRightInd w:val="0"/>
        <w:snapToGrid w:val="0"/>
        <w:spacing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3.2.1单位负责人（指法定代表人或者法律、行政法规规定代表单位行使职权的主要负责人）为同一人或者存在直接控股、管理关系的不同供应商不得分别参加同一合同项下的采购活动。违反本条规定的，相关投标均无效；</w:t>
      </w:r>
    </w:p>
    <w:p>
      <w:pPr>
        <w:adjustRightInd w:val="0"/>
        <w:snapToGrid w:val="0"/>
        <w:spacing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3.2.2为本项目提供过整体设计、规范编制或者项目管理、监理、检测等服务的供应商，不得再参加该采购项目的其他采购活动（不包括为该项目提供整体设计、规范编制或者项目管理、监理、检测等服务）；</w:t>
      </w:r>
    </w:p>
    <w:p>
      <w:pPr>
        <w:adjustRightInd w:val="0"/>
        <w:snapToGrid w:val="0"/>
        <w:spacing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3.2.3以联合体形式参加政府采购活动的，联合体各方不得再单独参加或者与其他投标人另外组成联合体参加同一合同项下的政府采购活动；</w:t>
      </w:r>
    </w:p>
    <w:p>
      <w:pPr>
        <w:adjustRightInd w:val="0"/>
        <w:snapToGrid w:val="0"/>
        <w:spacing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3.2.4为证明投标人拥有的业绩、荣誉、知识产权、项目案例等而在投标文件中提供的证明材料必须为投标人自身所有。不同法人、其他组织的资料与投标人无关。</w:t>
      </w:r>
    </w:p>
    <w:p>
      <w:pPr>
        <w:adjustRightInd w:val="0"/>
        <w:snapToGrid w:val="0"/>
        <w:spacing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3.2.5在政府采购活动中，采购人员及相关人员与供应商有下列利害关系之一的，应当回避：</w:t>
      </w:r>
    </w:p>
    <w:p>
      <w:pPr>
        <w:adjustRightInd w:val="0"/>
        <w:snapToGrid w:val="0"/>
        <w:spacing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（一）参加采购活动前3年内与供应商存在劳动关系；</w:t>
      </w:r>
    </w:p>
    <w:p>
      <w:pPr>
        <w:adjustRightInd w:val="0"/>
        <w:snapToGrid w:val="0"/>
        <w:spacing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（二）参加采购活动前3年内担任供应商的董事、监事；</w:t>
      </w:r>
    </w:p>
    <w:p>
      <w:pPr>
        <w:adjustRightInd w:val="0"/>
        <w:snapToGrid w:val="0"/>
        <w:spacing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（三）参加采购活动前3年内是供应商的控股股东或者实际控制人；</w:t>
      </w:r>
    </w:p>
    <w:p>
      <w:pPr>
        <w:adjustRightInd w:val="0"/>
        <w:snapToGrid w:val="0"/>
        <w:spacing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（四）与供应商的法定代表人或者负责人有夫妻、直系血亲、三代以内旁系血亲或者近姻亲关系；</w:t>
      </w:r>
    </w:p>
    <w:p>
      <w:pPr>
        <w:adjustRightInd w:val="0"/>
        <w:snapToGrid w:val="0"/>
        <w:spacing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（五）与供应商有其他可能影响政府采购活动公平、公正进行的关系。</w:t>
      </w:r>
    </w:p>
    <w:p>
      <w:pPr>
        <w:adjustRightInd w:val="0"/>
        <w:snapToGrid w:val="0"/>
        <w:spacing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adjustRightInd w:val="0"/>
        <w:snapToGrid w:val="0"/>
        <w:spacing w:beforeLines="50"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4．相关说明</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4.1 投标费用</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投标人应承担其参加投标所涉及的一切费用，不管投标结果如何，采购人对这些费用不负任何责任。</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 投标人应仔细阅读采购文件的所有内容，按照采购文件的要求提交投标文件。投标文件应对采购文件的要求作出实质性响应，并对所提供的全部资料的真实性承担法律责任。</w:t>
      </w:r>
    </w:p>
    <w:p>
      <w:pPr>
        <w:adjustRightInd w:val="0"/>
        <w:snapToGrid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4.3投标人投标所使用的资格、信誉、荣誉、业绩与企业认证必须为本法人所拥有。投标人投标拟派项目实施人员必须为本法人员工。</w:t>
      </w:r>
    </w:p>
    <w:p>
      <w:pPr>
        <w:adjustRightInd w:val="0"/>
        <w:snapToGrid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4.4投标人应仔细阅读采购文件的所有内容，按照采购文件的要求提交投标文件，并对所提供的全部资料的真实性承担法律责任。</w:t>
      </w:r>
    </w:p>
    <w:p>
      <w:pPr>
        <w:adjustRightInd w:val="0"/>
        <w:snapToGrid w:val="0"/>
        <w:spacing w:line="360" w:lineRule="auto"/>
        <w:ind w:firstLine="422" w:firstLineChars="200"/>
        <w:rPr>
          <w:rFonts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rPr>
        <w:t>4.5投标人在投标活动中提供任何虚假材料,其投标无效，并报监管部门查处；中标后发现的,按《政府采购货物和服务招标投标管理办法》（财政部令第87号）相关规定承担相应的法律责任。</w:t>
      </w:r>
    </w:p>
    <w:p>
      <w:pPr>
        <w:pStyle w:val="4"/>
        <w:snapToGrid w:val="0"/>
        <w:spacing w:beforeLines="50" w:afterLines="50" w:line="360" w:lineRule="auto"/>
        <w:rPr>
          <w:rFonts w:ascii="宋体" w:hAnsi="宋体" w:eastAsia="宋体" w:cs="宋体"/>
          <w:color w:val="auto"/>
          <w:sz w:val="21"/>
          <w:szCs w:val="21"/>
          <w:highlight w:val="none"/>
        </w:rPr>
      </w:pPr>
      <w:bookmarkStart w:id="13" w:name="_Toc240450078"/>
      <w:bookmarkStart w:id="14" w:name="_Toc251566651"/>
      <w:bookmarkStart w:id="15" w:name="_Toc2034"/>
      <w:bookmarkStart w:id="16" w:name="_Toc27862"/>
      <w:r>
        <w:rPr>
          <w:rFonts w:hint="eastAsia" w:ascii="宋体" w:hAnsi="宋体" w:eastAsia="宋体" w:cs="宋体"/>
          <w:color w:val="auto"/>
          <w:sz w:val="21"/>
          <w:szCs w:val="21"/>
          <w:highlight w:val="none"/>
        </w:rPr>
        <w:t>二、</w:t>
      </w:r>
      <w:bookmarkEnd w:id="13"/>
      <w:bookmarkEnd w:id="14"/>
      <w:r>
        <w:rPr>
          <w:rFonts w:hint="eastAsia" w:ascii="宋体" w:hAnsi="宋体" w:eastAsia="宋体" w:cs="宋体"/>
          <w:color w:val="auto"/>
          <w:sz w:val="21"/>
          <w:szCs w:val="21"/>
          <w:highlight w:val="none"/>
        </w:rPr>
        <w:t>采购文件</w:t>
      </w:r>
      <w:bookmarkEnd w:id="15"/>
      <w:bookmarkEnd w:id="16"/>
    </w:p>
    <w:p>
      <w:pPr>
        <w:adjustRightInd w:val="0"/>
        <w:snapToGrid w:val="0"/>
        <w:spacing w:beforeLines="50"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5．采购文件构成</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5.1 本采购文件包括目录所示内容及所有按本须知第6、7条发出的补充资料。</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5.2 除上述所列内容外，采购人和采购代理机构的任何工作人员对投标人所作的任何口头解释、介绍、答复，只能供投标人参考，对采购人、采购代理机构和投标人无任何约束力。</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5.3 采购文件是招标过程进行的有效依据，也是成交后签订合同的依据，对双方均具有约束力，凡不遵守采购文件规定或对采购文件的实质性内容不响应的，将可能被拒绝或以无效标处理。</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5.4 本采购文件由采购人或采购代理机构依据相关法律、法规、规章、省市规定及采购文件进行解释。</w:t>
      </w:r>
    </w:p>
    <w:p>
      <w:pPr>
        <w:adjustRightInd w:val="0"/>
        <w:snapToGrid w:val="0"/>
        <w:spacing w:beforeLines="50"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6．采购文件的澄清</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6.1 投标人在获取采购文件后，若有问题需要澄清或认为有必要与采购人进行技术交流，应于前附表规定的时间前，将问题传真至0571-81061828，同时将问题发电子邮件至2970516628@qq.com（电子邮件与书面文件有不一致的，以书面文件为准）。截止期后的疑问将不予受理、答复。</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6.2 投标人要求解释或澄清的问题应以书面或邮件形式送达，并加盖公章、写明日期。</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6.3 所有要求解释或澄清的问题都予以解答，答疑内容与补充内容以更正（澄清）公告形式告知所有获取采购文件的投标人。</w:t>
      </w:r>
    </w:p>
    <w:p>
      <w:pPr>
        <w:adjustRightInd w:val="0"/>
        <w:snapToGrid w:val="0"/>
        <w:spacing w:beforeLines="50"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7．采购文件的修改</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7.1 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投标人；不足15日的，采购人或者采购代理机构应当顺延提交投标文件的截止时间。</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7.2 采购文件的修改将以更正（澄清）公告通知所有购买采购文件的投标人，并对其具有约束力。</w:t>
      </w:r>
      <w:r>
        <w:rPr>
          <w:rFonts w:hint="eastAsia" w:ascii="宋体" w:hAnsi="宋体" w:cs="宋体"/>
          <w:color w:val="auto"/>
          <w:highlight w:val="none"/>
        </w:rPr>
        <w:t>投标人应及时关注浙江政府采购网上该项目的公告信息</w:t>
      </w:r>
      <w:r>
        <w:rPr>
          <w:rFonts w:hint="eastAsia" w:ascii="宋体" w:hAnsi="宋体" w:cs="宋体"/>
          <w:snapToGrid w:val="0"/>
          <w:color w:val="auto"/>
          <w:kern w:val="0"/>
          <w:szCs w:val="21"/>
          <w:highlight w:val="none"/>
        </w:rPr>
        <w:t>。</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7.3 在更正（澄清）公告发布后，如果投标人认为编制投标文件的时间不充分的，必须在公告发布之日的24小时内通知采购人和采购代理机构。否则，视同投标人有充足时间编制投标文件。</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7.4采购文件澄清、答复、修改、补充的内容为采购文件的组成部分。当采购文件与采购文件的答复、澄清、修改、补充通知就同一内容的表述不一致时，以最后发出的更正（澄清）公告为准。</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7.5采购文件的澄清、答复、修改或补充都应该通过本代理机构以法定形式发布，除此以外的发布不属于采购文件的组成部分。</w:t>
      </w:r>
    </w:p>
    <w:p>
      <w:pPr>
        <w:pStyle w:val="4"/>
        <w:snapToGrid w:val="0"/>
        <w:spacing w:beforeLines="50" w:afterLines="50" w:line="360" w:lineRule="auto"/>
        <w:rPr>
          <w:rFonts w:ascii="宋体" w:hAnsi="宋体" w:eastAsia="宋体" w:cs="宋体"/>
          <w:color w:val="auto"/>
          <w:sz w:val="21"/>
          <w:szCs w:val="21"/>
          <w:highlight w:val="none"/>
        </w:rPr>
      </w:pPr>
      <w:bookmarkStart w:id="17" w:name="_Toc251566652"/>
      <w:bookmarkStart w:id="18" w:name="_Toc31368"/>
      <w:bookmarkStart w:id="19" w:name="_Toc240450079"/>
      <w:bookmarkStart w:id="20" w:name="_Toc15688"/>
      <w:r>
        <w:rPr>
          <w:rFonts w:hint="eastAsia" w:ascii="宋体" w:hAnsi="宋体" w:eastAsia="宋体" w:cs="宋体"/>
          <w:color w:val="auto"/>
          <w:sz w:val="21"/>
          <w:szCs w:val="21"/>
          <w:highlight w:val="none"/>
        </w:rPr>
        <w:t>三、投标文件的编制</w:t>
      </w:r>
      <w:bookmarkEnd w:id="17"/>
      <w:bookmarkEnd w:id="18"/>
      <w:bookmarkEnd w:id="19"/>
      <w:bookmarkEnd w:id="20"/>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投标人应认真阅读采购文件中所有的事项、格式、条款和技术要求等。如果投标人没有按照采购文件要求和规定编制投标文件及提交全部资料，或者投标没有对采购文件中各方面作出实质性响应，其风险应由投标人承担。</w:t>
      </w:r>
    </w:p>
    <w:p>
      <w:pPr>
        <w:adjustRightInd w:val="0"/>
        <w:snapToGrid w:val="0"/>
        <w:spacing w:beforeLines="50"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8．投标文件的语言、计量单位、形式及效力</w:t>
      </w:r>
    </w:p>
    <w:p>
      <w:pPr>
        <w:adjustRightInd w:val="0"/>
        <w:snapToGrid w:val="0"/>
        <w:spacing w:beforeLines="50"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8.1语言及计量单位</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8.1.1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8.1.2 除采购文件另有规定外，投标文件所使用的计量单位，均须采用中华人民共和国法定计量单位，否则视同未响应。</w:t>
      </w:r>
    </w:p>
    <w:p>
      <w:pPr>
        <w:adjustRightInd w:val="0"/>
        <w:snapToGrid w:val="0"/>
        <w:spacing w:beforeLines="50"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8.2投标文件的形式和效力</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8.2.1投标文件为电子投标文件，电子投标文件按“政采云供应商项目采购-电子招投标操作指南”及本招标文件要求制作、加密传输。</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8.2.2投标文件未在投标截止时间前完成传输的，视为未按时递交投标文件；投标文件未按时解密，视为投标文件撤回。</w:t>
      </w:r>
    </w:p>
    <w:p>
      <w:pPr>
        <w:adjustRightInd w:val="0"/>
        <w:snapToGrid w:val="0"/>
        <w:spacing w:beforeLines="50"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9．投标文件构成</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投标人向采购人递交的投标文件均由</w:t>
      </w:r>
      <w:r>
        <w:rPr>
          <w:rFonts w:hint="eastAsia" w:ascii="宋体" w:hAnsi="宋体" w:cs="宋体"/>
          <w:b/>
          <w:bCs/>
          <w:snapToGrid w:val="0"/>
          <w:color w:val="auto"/>
          <w:kern w:val="0"/>
          <w:szCs w:val="21"/>
          <w:highlight w:val="none"/>
        </w:rPr>
        <w:t>资格响应文件、商务技术响应文件、报价响应文件</w:t>
      </w:r>
      <w:r>
        <w:rPr>
          <w:rFonts w:hint="eastAsia" w:ascii="宋体" w:hAnsi="宋体" w:cs="宋体"/>
          <w:snapToGrid w:val="0"/>
          <w:color w:val="auto"/>
          <w:kern w:val="0"/>
          <w:szCs w:val="21"/>
          <w:highlight w:val="none"/>
        </w:rPr>
        <w:t>组成，具体内容如下：</w:t>
      </w:r>
    </w:p>
    <w:p>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9.1资格响应文件</w:t>
      </w:r>
    </w:p>
    <w:p>
      <w:pPr>
        <w:tabs>
          <w:tab w:val="left" w:pos="720"/>
        </w:tabs>
        <w:adjustRightInd w:val="0"/>
        <w:snapToGrid w:val="0"/>
        <w:spacing w:line="360" w:lineRule="auto"/>
        <w:ind w:left="420"/>
        <w:jc w:val="left"/>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（1）基本资格条件：符合《中华人民共和国政府采购法》第二十二条的规定；</w:t>
      </w:r>
    </w:p>
    <w:p>
      <w:pPr>
        <w:tabs>
          <w:tab w:val="left" w:pos="720"/>
        </w:tabs>
        <w:adjustRightInd w:val="0"/>
        <w:snapToGrid w:val="0"/>
        <w:spacing w:line="360" w:lineRule="auto"/>
        <w:ind w:firstLine="422" w:firstLineChars="200"/>
        <w:jc w:val="left"/>
        <w:rPr>
          <w:rFonts w:hint="default" w:ascii="宋体" w:hAnsi="宋体" w:eastAsia="宋体" w:cs="宋体"/>
          <w:b/>
          <w:snapToGrid w:val="0"/>
          <w:color w:val="auto"/>
          <w:kern w:val="0"/>
          <w:szCs w:val="21"/>
          <w:highlight w:val="none"/>
          <w:lang w:val="en-US" w:eastAsia="zh-CN"/>
        </w:rPr>
      </w:pPr>
      <w:r>
        <w:rPr>
          <w:rFonts w:hint="eastAsia" w:ascii="宋体" w:hAnsi="宋体" w:cs="宋体"/>
          <w:b/>
          <w:snapToGrid w:val="0"/>
          <w:color w:val="auto"/>
          <w:kern w:val="0"/>
          <w:szCs w:val="21"/>
          <w:highlight w:val="none"/>
        </w:rPr>
        <w:t>各投标人须在投标文件中出具对应证明材料。</w:t>
      </w:r>
      <w:r>
        <w:rPr>
          <w:rFonts w:hint="eastAsia" w:ascii="宋体" w:hAnsi="宋体" w:eastAsia="宋体" w:cs="宋体"/>
          <w:b/>
          <w:snapToGrid w:val="0"/>
          <w:color w:val="auto"/>
          <w:kern w:val="0"/>
          <w:szCs w:val="21"/>
          <w:highlight w:val="none"/>
          <w:lang w:eastAsia="zh-CN"/>
        </w:rPr>
        <w:t>（</w:t>
      </w:r>
      <w:r>
        <w:rPr>
          <w:rFonts w:hint="eastAsia" w:ascii="宋体" w:hAnsi="宋体" w:eastAsia="宋体" w:cs="宋体"/>
          <w:b/>
          <w:snapToGrid w:val="0"/>
          <w:color w:val="auto"/>
          <w:kern w:val="0"/>
          <w:szCs w:val="21"/>
          <w:highlight w:val="none"/>
          <w:lang w:val="en-US" w:eastAsia="zh-CN"/>
        </w:rPr>
        <w:t>商业信誉可提前自查，投标文件中可不提供）</w:t>
      </w:r>
    </w:p>
    <w:p>
      <w:pPr>
        <w:pStyle w:val="38"/>
        <w:numPr>
          <w:ilvl w:val="0"/>
          <w:numId w:val="2"/>
        </w:numPr>
        <w:tabs>
          <w:tab w:val="left" w:pos="630"/>
          <w:tab w:val="left" w:pos="840"/>
          <w:tab w:val="left" w:pos="1050"/>
        </w:tabs>
        <w:adjustRightInd w:val="0"/>
        <w:snapToGrid w:val="0"/>
        <w:spacing w:before="0" w:beforeAutospacing="0" w:after="0" w:afterAutospacing="0" w:line="360" w:lineRule="auto"/>
        <w:ind w:hanging="5"/>
        <w:rPr>
          <w:rFonts w:hint="eastAsia" w:ascii="宋体" w:hAnsi="宋体" w:cs="宋体"/>
          <w:b/>
          <w:bCs/>
          <w:color w:val="auto"/>
          <w:sz w:val="21"/>
          <w:szCs w:val="21"/>
          <w:highlight w:val="none"/>
        </w:rPr>
      </w:pPr>
      <w:r>
        <w:rPr>
          <w:rFonts w:hint="eastAsia" w:ascii="宋体" w:hAnsi="宋体" w:eastAsia="宋体" w:cs="宋体"/>
          <w:b/>
          <w:bCs/>
          <w:color w:val="auto"/>
          <w:sz w:val="21"/>
          <w:szCs w:val="21"/>
          <w:highlight w:val="none"/>
          <w:lang w:eastAsia="zh-CN"/>
        </w:rPr>
        <w:t>具有独立承担民事责任能力的证明材料；</w:t>
      </w:r>
    </w:p>
    <w:p>
      <w:pPr>
        <w:pStyle w:val="38"/>
        <w:tabs>
          <w:tab w:val="left" w:pos="630"/>
          <w:tab w:val="left" w:pos="840"/>
          <w:tab w:val="left" w:pos="1050"/>
        </w:tabs>
        <w:adjustRightInd w:val="0"/>
        <w:snapToGrid w:val="0"/>
        <w:spacing w:before="0" w:beforeAutospacing="0" w:after="0" w:afterAutospacing="0" w:line="360" w:lineRule="auto"/>
        <w:ind w:left="42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投标人须在投标文件中出具符合以下情况的证明材料复印件（五选一）：</w:t>
      </w:r>
    </w:p>
    <w:p>
      <w:pPr>
        <w:pStyle w:val="38"/>
        <w:numPr>
          <w:ilvl w:val="0"/>
          <w:numId w:val="3"/>
        </w:numPr>
        <w:tabs>
          <w:tab w:val="left" w:pos="312"/>
        </w:tabs>
        <w:adjustRightInd w:val="0"/>
        <w:snapToGrid w:val="0"/>
        <w:spacing w:before="0" w:beforeAutospacing="0" w:after="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如投标人是企业（包括合伙企业），提供在工商部门注册的有效“企业法人营业执照”或“营业执照”；</w:t>
      </w:r>
    </w:p>
    <w:p>
      <w:pPr>
        <w:pStyle w:val="38"/>
        <w:numPr>
          <w:ilvl w:val="0"/>
          <w:numId w:val="3"/>
        </w:numPr>
        <w:tabs>
          <w:tab w:val="left" w:pos="312"/>
        </w:tabs>
        <w:adjustRightInd w:val="0"/>
        <w:snapToGrid w:val="0"/>
        <w:spacing w:before="0" w:beforeAutospacing="0" w:after="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如投标人是事业单位，提供有效的“事业单位法人证书”；</w:t>
      </w:r>
    </w:p>
    <w:p>
      <w:pPr>
        <w:pStyle w:val="38"/>
        <w:numPr>
          <w:ilvl w:val="0"/>
          <w:numId w:val="3"/>
        </w:numPr>
        <w:tabs>
          <w:tab w:val="left" w:pos="312"/>
        </w:tabs>
        <w:adjustRightInd w:val="0"/>
        <w:snapToGrid w:val="0"/>
        <w:spacing w:before="0" w:beforeAutospacing="0" w:after="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如投标人是非企业专业服务机构的，提供执业许可证等证明文件；</w:t>
      </w:r>
    </w:p>
    <w:p>
      <w:pPr>
        <w:pStyle w:val="38"/>
        <w:numPr>
          <w:ilvl w:val="0"/>
          <w:numId w:val="3"/>
        </w:numPr>
        <w:tabs>
          <w:tab w:val="left" w:pos="312"/>
        </w:tabs>
        <w:adjustRightInd w:val="0"/>
        <w:snapToGrid w:val="0"/>
        <w:spacing w:before="0" w:beforeAutospacing="0" w:after="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如投标人是个体工商户，提供有效的“个体工商户营业执照”；</w:t>
      </w:r>
    </w:p>
    <w:p>
      <w:pPr>
        <w:pStyle w:val="38"/>
        <w:numPr>
          <w:ilvl w:val="0"/>
          <w:numId w:val="3"/>
        </w:numPr>
        <w:tabs>
          <w:tab w:val="left" w:pos="312"/>
        </w:tabs>
        <w:adjustRightInd w:val="0"/>
        <w:snapToGrid w:val="0"/>
        <w:spacing w:before="0" w:beforeAutospacing="0" w:after="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如投标人是自然人，提供有效的自然人身份证明（居民身份证正反面或公安机关出具的临时居民身份证正反面或港澳台胞证或护照）。</w:t>
      </w:r>
    </w:p>
    <w:p>
      <w:pPr>
        <w:pStyle w:val="38"/>
        <w:numPr>
          <w:ilvl w:val="0"/>
          <w:numId w:val="0"/>
        </w:numPr>
        <w:tabs>
          <w:tab w:val="left" w:pos="630"/>
          <w:tab w:val="left" w:pos="840"/>
          <w:tab w:val="left" w:pos="1050"/>
        </w:tabs>
        <w:adjustRightInd w:val="0"/>
        <w:snapToGrid w:val="0"/>
        <w:spacing w:before="0" w:beforeAutospacing="0" w:after="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r>
        <w:rPr>
          <w:rFonts w:hint="eastAsia" w:ascii="宋体" w:hAnsi="宋体" w:eastAsia="宋体" w:cs="宋体"/>
          <w:b/>
          <w:bCs/>
          <w:color w:val="auto"/>
          <w:sz w:val="21"/>
          <w:szCs w:val="21"/>
          <w:highlight w:val="none"/>
          <w:lang w:eastAsia="zh-CN"/>
        </w:rPr>
        <w:t>。</w:t>
      </w:r>
    </w:p>
    <w:p>
      <w:pPr>
        <w:pStyle w:val="38"/>
        <w:numPr>
          <w:ilvl w:val="0"/>
          <w:numId w:val="2"/>
        </w:numPr>
        <w:shd w:val="clear" w:color="auto" w:fill="FFFFFF"/>
        <w:tabs>
          <w:tab w:val="left" w:pos="630"/>
          <w:tab w:val="left" w:pos="840"/>
          <w:tab w:val="left" w:pos="1050"/>
        </w:tabs>
        <w:adjustRightInd w:val="0"/>
        <w:snapToGrid w:val="0"/>
        <w:spacing w:before="0" w:beforeAutospacing="0" w:after="0" w:afterAutospacing="0" w:line="360" w:lineRule="auto"/>
        <w:ind w:left="5" w:leftChars="0" w:firstLine="415" w:firstLine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符合参与政府采购活动资格条件的承诺函；（参考格式见本文件第六部分）</w:t>
      </w:r>
    </w:p>
    <w:p>
      <w:pPr>
        <w:pStyle w:val="38"/>
        <w:numPr>
          <w:ilvl w:val="0"/>
          <w:numId w:val="2"/>
        </w:numPr>
        <w:shd w:val="clear" w:color="auto" w:fill="FFFFFF"/>
        <w:tabs>
          <w:tab w:val="left" w:pos="630"/>
          <w:tab w:val="left" w:pos="840"/>
          <w:tab w:val="left" w:pos="1050"/>
        </w:tabs>
        <w:adjustRightInd w:val="0"/>
        <w:snapToGrid w:val="0"/>
        <w:spacing w:before="0" w:beforeAutospacing="0" w:after="0" w:afterAutospacing="0" w:line="360" w:lineRule="auto"/>
        <w:ind w:hanging="5"/>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商业信誉：</w:t>
      </w:r>
    </w:p>
    <w:p>
      <w:pPr>
        <w:pStyle w:val="38"/>
        <w:adjustRightInd w:val="0"/>
        <w:snapToGrid w:val="0"/>
        <w:spacing w:before="0" w:beforeAutospacing="0" w:after="0" w:afterAutospacing="0" w:line="360" w:lineRule="auto"/>
        <w:ind w:firstLine="416" w:firstLineChars="209"/>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38"/>
        <w:adjustRightInd w:val="0"/>
        <w:snapToGrid w:val="0"/>
        <w:spacing w:before="0" w:beforeAutospacing="0" w:after="0" w:afterAutospacing="0" w:line="360" w:lineRule="auto"/>
        <w:ind w:firstLine="416" w:firstLineChars="209"/>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对列入失信被执行人、重大税收违法案件当事人名单、政府采购严重违法失信行为记录名单的投标人，其投标将作无效标处理。</w:t>
      </w:r>
    </w:p>
    <w:p>
      <w:pPr>
        <w:pStyle w:val="38"/>
        <w:adjustRightInd w:val="0"/>
        <w:snapToGrid w:val="0"/>
        <w:spacing w:before="0" w:beforeAutospacing="0" w:after="0" w:afterAutospacing="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（2）特定资格条件：</w:t>
      </w:r>
      <w:r>
        <w:rPr>
          <w:rFonts w:ascii="宋体" w:hAnsi="宋体" w:cs="宋体"/>
          <w:b/>
          <w:bCs/>
          <w:color w:val="auto"/>
          <w:sz w:val="21"/>
          <w:szCs w:val="21"/>
          <w:highlight w:val="none"/>
        </w:rPr>
        <w:t>具有城乡规划编制单位甲级资质且业务范围符合《城乡规划编制单位资质管理规定》的要求</w:t>
      </w:r>
    </w:p>
    <w:p>
      <w:pPr>
        <w:pStyle w:val="38"/>
        <w:adjustRightInd w:val="0"/>
        <w:snapToGrid w:val="0"/>
        <w:spacing w:before="0" w:beforeAutospacing="0" w:after="0" w:afterAutospacing="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投标人须在投标文件中出具符合以下情况的证明材料的扫描件:</w:t>
      </w:r>
      <w:r>
        <w:rPr>
          <w:rFonts w:ascii="宋体" w:hAnsi="宋体" w:cs="宋体"/>
          <w:b/>
          <w:bCs/>
          <w:color w:val="auto"/>
          <w:sz w:val="21"/>
          <w:szCs w:val="21"/>
          <w:highlight w:val="none"/>
        </w:rPr>
        <w:t>城乡规划编制单位甲级资质</w:t>
      </w:r>
      <w:r>
        <w:rPr>
          <w:rFonts w:hint="eastAsia" w:ascii="宋体" w:hAnsi="宋体" w:cs="宋体"/>
          <w:b/>
          <w:bCs/>
          <w:color w:val="auto"/>
          <w:sz w:val="21"/>
          <w:szCs w:val="21"/>
          <w:highlight w:val="none"/>
        </w:rPr>
        <w:t>证书。</w:t>
      </w:r>
    </w:p>
    <w:p>
      <w:pPr>
        <w:pStyle w:val="38"/>
        <w:numPr>
          <w:ilvl w:val="255"/>
          <w:numId w:val="0"/>
        </w:numPr>
        <w:adjustRightInd w:val="0"/>
        <w:snapToGrid w:val="0"/>
        <w:spacing w:before="0" w:beforeAutospacing="0" w:after="0" w:afterAutospacing="0" w:line="360" w:lineRule="auto"/>
        <w:ind w:firstLine="422" w:firstLineChars="200"/>
        <w:rPr>
          <w:rFonts w:ascii="宋体" w:hAnsi="宋体" w:cs="宋体"/>
          <w:b/>
          <w:bCs/>
          <w:color w:val="auto"/>
          <w:sz w:val="21"/>
          <w:szCs w:val="21"/>
          <w:highlight w:val="none"/>
        </w:rPr>
      </w:pPr>
    </w:p>
    <w:p>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9.2 商务技术响应文件</w:t>
      </w:r>
    </w:p>
    <w:p>
      <w:pPr>
        <w:numPr>
          <w:ilvl w:val="0"/>
          <w:numId w:val="4"/>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highlight w:val="none"/>
        </w:rPr>
      </w:pPr>
      <w:r>
        <w:rPr>
          <w:rFonts w:hint="eastAsia" w:ascii="宋体" w:hAnsi="宋体" w:cs="宋体"/>
          <w:bCs/>
          <w:color w:val="auto"/>
          <w:szCs w:val="21"/>
          <w:highlight w:val="none"/>
        </w:rPr>
        <w:t>评分索引表；</w:t>
      </w:r>
    </w:p>
    <w:p>
      <w:pPr>
        <w:numPr>
          <w:ilvl w:val="0"/>
          <w:numId w:val="4"/>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highlight w:val="none"/>
        </w:rPr>
      </w:pPr>
      <w:r>
        <w:rPr>
          <w:rFonts w:hint="eastAsia" w:ascii="宋体" w:hAnsi="宋体" w:cs="宋体"/>
          <w:bCs/>
          <w:color w:val="auto"/>
          <w:szCs w:val="21"/>
          <w:highlight w:val="none"/>
        </w:rPr>
        <w:t>投标响应一览表；</w:t>
      </w:r>
    </w:p>
    <w:p>
      <w:pPr>
        <w:numPr>
          <w:ilvl w:val="0"/>
          <w:numId w:val="4"/>
        </w:numPr>
        <w:tabs>
          <w:tab w:val="left" w:pos="851"/>
          <w:tab w:val="left" w:pos="900"/>
          <w:tab w:val="left" w:pos="1080"/>
        </w:tabs>
        <w:adjustRightInd w:val="0"/>
        <w:snapToGrid w:val="0"/>
        <w:spacing w:line="360" w:lineRule="auto"/>
        <w:ind w:left="0" w:firstLine="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投标人基本情况表；</w:t>
      </w:r>
    </w:p>
    <w:p>
      <w:pPr>
        <w:numPr>
          <w:ilvl w:val="0"/>
          <w:numId w:val="4"/>
        </w:numPr>
        <w:tabs>
          <w:tab w:val="left" w:pos="851"/>
          <w:tab w:val="left" w:pos="900"/>
          <w:tab w:val="left" w:pos="1080"/>
        </w:tabs>
        <w:adjustRightInd w:val="0"/>
        <w:snapToGrid w:val="0"/>
        <w:spacing w:line="360" w:lineRule="auto"/>
        <w:ind w:left="0" w:firstLine="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法定代表人资格证明书及法定代表人授权书，同时须附法定代表人和授权委托代表的有效身份证原件的扫描件（法定代表人直接参加投标并对相应文件签字的，只需提供前者）</w:t>
      </w:r>
    </w:p>
    <w:p>
      <w:pPr>
        <w:numPr>
          <w:ilvl w:val="0"/>
          <w:numId w:val="4"/>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highlight w:val="none"/>
        </w:rPr>
      </w:pPr>
      <w:r>
        <w:rPr>
          <w:rFonts w:hint="eastAsia" w:ascii="宋体" w:hAnsi="宋体" w:cs="宋体"/>
          <w:snapToGrid w:val="0"/>
          <w:color w:val="auto"/>
          <w:kern w:val="0"/>
          <w:szCs w:val="21"/>
          <w:highlight w:val="none"/>
        </w:rPr>
        <w:t>廉政承诺书；</w:t>
      </w:r>
    </w:p>
    <w:p>
      <w:pPr>
        <w:numPr>
          <w:ilvl w:val="0"/>
          <w:numId w:val="4"/>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highlight w:val="none"/>
        </w:rPr>
      </w:pPr>
      <w:r>
        <w:rPr>
          <w:rFonts w:hint="eastAsia" w:ascii="宋体" w:hAnsi="宋体" w:cs="宋体"/>
          <w:bCs/>
          <w:color w:val="auto"/>
          <w:szCs w:val="21"/>
          <w:highlight w:val="none"/>
        </w:rPr>
        <w:t>投标人拥有的资质、荣誉、权威认证、资信等级证书（如有）（出具扫描件）；</w:t>
      </w:r>
    </w:p>
    <w:p>
      <w:pPr>
        <w:numPr>
          <w:ilvl w:val="0"/>
          <w:numId w:val="4"/>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highlight w:val="none"/>
        </w:rPr>
      </w:pPr>
      <w:r>
        <w:rPr>
          <w:rFonts w:hint="eastAsia" w:ascii="宋体" w:hAnsi="宋体" w:cs="宋体"/>
          <w:bCs/>
          <w:color w:val="auto"/>
          <w:szCs w:val="21"/>
          <w:highlight w:val="none"/>
        </w:rPr>
        <w:t>合同条款偏离表/商务条款偏离表；</w:t>
      </w:r>
    </w:p>
    <w:p>
      <w:pPr>
        <w:numPr>
          <w:ilvl w:val="0"/>
          <w:numId w:val="4"/>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highlight w:val="none"/>
        </w:rPr>
      </w:pPr>
      <w:r>
        <w:rPr>
          <w:rFonts w:hint="eastAsia" w:ascii="宋体" w:hAnsi="宋体" w:cs="宋体"/>
          <w:bCs/>
          <w:color w:val="auto"/>
          <w:szCs w:val="21"/>
          <w:highlight w:val="none"/>
        </w:rPr>
        <w:t>技术方案；</w:t>
      </w:r>
    </w:p>
    <w:p>
      <w:pPr>
        <w:numPr>
          <w:ilvl w:val="0"/>
          <w:numId w:val="4"/>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highlight w:val="none"/>
        </w:rPr>
      </w:pPr>
      <w:r>
        <w:rPr>
          <w:rFonts w:hint="eastAsia" w:ascii="宋体" w:hAnsi="宋体" w:cs="宋体"/>
          <w:bCs/>
          <w:color w:val="auto"/>
          <w:szCs w:val="21"/>
          <w:highlight w:val="none"/>
        </w:rPr>
        <w:t>投标人曾承担过的类似项目业绩一览表（如有，须附清晰可辨的合同扫描件。涉及评分项的，证明材料需满足评分细则的相关要求）；</w:t>
      </w:r>
    </w:p>
    <w:p>
      <w:pPr>
        <w:numPr>
          <w:ilvl w:val="0"/>
          <w:numId w:val="4"/>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highlight w:val="none"/>
        </w:rPr>
      </w:pPr>
      <w:r>
        <w:rPr>
          <w:rFonts w:hint="eastAsia" w:ascii="宋体" w:hAnsi="宋体" w:cs="宋体"/>
          <w:bCs/>
          <w:color w:val="auto"/>
          <w:szCs w:val="21"/>
          <w:highlight w:val="none"/>
        </w:rPr>
        <w:t>合同/商务条款偏离表；</w:t>
      </w:r>
    </w:p>
    <w:p>
      <w:pPr>
        <w:numPr>
          <w:ilvl w:val="0"/>
          <w:numId w:val="4"/>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highlight w:val="none"/>
        </w:rPr>
      </w:pPr>
      <w:r>
        <w:rPr>
          <w:rFonts w:hint="eastAsia" w:ascii="宋体" w:hAnsi="宋体" w:cs="宋体"/>
          <w:bCs/>
          <w:color w:val="auto"/>
          <w:szCs w:val="21"/>
          <w:highlight w:val="none"/>
        </w:rPr>
        <w:t>拟派项目团队配备情况表、项目负责人简历表；</w:t>
      </w:r>
    </w:p>
    <w:p>
      <w:pPr>
        <w:numPr>
          <w:ilvl w:val="0"/>
          <w:numId w:val="4"/>
        </w:numPr>
        <w:tabs>
          <w:tab w:val="left" w:pos="851"/>
          <w:tab w:val="left" w:pos="900"/>
          <w:tab w:val="left" w:pos="1080"/>
        </w:tabs>
        <w:adjustRightInd w:val="0"/>
        <w:snapToGrid w:val="0"/>
        <w:spacing w:line="360" w:lineRule="auto"/>
        <w:ind w:left="0" w:firstLine="340"/>
        <w:jc w:val="left"/>
        <w:rPr>
          <w:color w:val="auto"/>
          <w:highlight w:val="none"/>
        </w:rPr>
      </w:pPr>
      <w:r>
        <w:rPr>
          <w:rFonts w:hint="eastAsia" w:ascii="宋体" w:hAnsi="宋体" w:cs="宋体"/>
          <w:bCs/>
          <w:color w:val="auto"/>
          <w:szCs w:val="21"/>
          <w:highlight w:val="none"/>
        </w:rPr>
        <w:t>知识产权承诺；</w:t>
      </w:r>
    </w:p>
    <w:p>
      <w:pPr>
        <w:numPr>
          <w:ilvl w:val="0"/>
          <w:numId w:val="4"/>
        </w:numPr>
        <w:tabs>
          <w:tab w:val="left" w:pos="851"/>
          <w:tab w:val="left" w:pos="900"/>
          <w:tab w:val="left" w:pos="1080"/>
        </w:tabs>
        <w:adjustRightInd w:val="0"/>
        <w:snapToGrid w:val="0"/>
        <w:spacing w:line="360" w:lineRule="auto"/>
        <w:ind w:left="0" w:firstLine="340"/>
        <w:jc w:val="left"/>
        <w:rPr>
          <w:color w:val="auto"/>
          <w:highlight w:val="none"/>
        </w:rPr>
      </w:pPr>
      <w:r>
        <w:rPr>
          <w:rFonts w:hint="eastAsia"/>
          <w:color w:val="auto"/>
          <w:highlight w:val="none"/>
        </w:rPr>
        <w:t>履约承诺函；</w:t>
      </w:r>
    </w:p>
    <w:p>
      <w:pPr>
        <w:numPr>
          <w:ilvl w:val="0"/>
          <w:numId w:val="4"/>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highlight w:val="none"/>
        </w:rPr>
      </w:pPr>
      <w:r>
        <w:rPr>
          <w:rFonts w:hint="eastAsia" w:ascii="宋体" w:hAnsi="宋体" w:cs="宋体"/>
          <w:bCs/>
          <w:color w:val="auto"/>
          <w:szCs w:val="21"/>
          <w:highlight w:val="none"/>
        </w:rPr>
        <w:t>针对本项目能提供的特色服务、增值服务说明；（如有）</w:t>
      </w:r>
    </w:p>
    <w:p>
      <w:pPr>
        <w:numPr>
          <w:ilvl w:val="0"/>
          <w:numId w:val="4"/>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highlight w:val="none"/>
        </w:rPr>
      </w:pPr>
      <w:r>
        <w:rPr>
          <w:rFonts w:hint="eastAsia" w:ascii="宋体" w:hAnsi="宋体" w:cs="宋体"/>
          <w:bCs/>
          <w:color w:val="auto"/>
          <w:szCs w:val="21"/>
          <w:highlight w:val="none"/>
        </w:rPr>
        <w:t>与商务技术标评分有关的其他材料（如有）；</w:t>
      </w:r>
    </w:p>
    <w:p>
      <w:pPr>
        <w:adjustRightInd w:val="0"/>
        <w:snapToGrid w:val="0"/>
        <w:spacing w:line="360" w:lineRule="auto"/>
        <w:ind w:firstLine="422" w:firstLineChars="200"/>
        <w:jc w:val="left"/>
        <w:rPr>
          <w:rFonts w:ascii="宋体" w:hAnsi="宋体" w:cs="宋体"/>
          <w:snapToGrid w:val="0"/>
          <w:color w:val="auto"/>
          <w:kern w:val="0"/>
          <w:szCs w:val="21"/>
          <w:highlight w:val="none"/>
        </w:rPr>
      </w:pPr>
      <w:r>
        <w:rPr>
          <w:rFonts w:hint="eastAsia" w:ascii="宋体" w:hAnsi="宋体" w:cs="宋体"/>
          <w:b/>
          <w:snapToGrid w:val="0"/>
          <w:color w:val="auto"/>
          <w:kern w:val="0"/>
          <w:szCs w:val="21"/>
          <w:highlight w:val="none"/>
        </w:rPr>
        <w:t>9.3报价响应文件</w:t>
      </w:r>
    </w:p>
    <w:p>
      <w:pPr>
        <w:numPr>
          <w:ilvl w:val="0"/>
          <w:numId w:val="5"/>
        </w:numPr>
        <w:adjustRightInd w:val="0"/>
        <w:snapToGrid w:val="0"/>
        <w:spacing w:line="360" w:lineRule="auto"/>
        <w:ind w:left="993" w:hanging="571"/>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投标函；</w:t>
      </w:r>
    </w:p>
    <w:p>
      <w:pPr>
        <w:numPr>
          <w:ilvl w:val="0"/>
          <w:numId w:val="5"/>
        </w:numPr>
        <w:adjustRightInd w:val="0"/>
        <w:snapToGrid w:val="0"/>
        <w:spacing w:line="360" w:lineRule="auto"/>
        <w:ind w:left="993" w:hanging="571"/>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开标一览表；</w:t>
      </w:r>
    </w:p>
    <w:p>
      <w:pPr>
        <w:numPr>
          <w:ilvl w:val="0"/>
          <w:numId w:val="5"/>
        </w:numPr>
        <w:adjustRightInd w:val="0"/>
        <w:snapToGrid w:val="0"/>
        <w:spacing w:line="360" w:lineRule="auto"/>
        <w:ind w:left="993" w:hanging="571"/>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投标报价明细表；</w:t>
      </w:r>
    </w:p>
    <w:p>
      <w:pPr>
        <w:numPr>
          <w:ilvl w:val="0"/>
          <w:numId w:val="5"/>
        </w:numPr>
        <w:adjustRightInd w:val="0"/>
        <w:snapToGrid w:val="0"/>
        <w:spacing w:line="360" w:lineRule="auto"/>
        <w:ind w:left="993" w:hanging="571"/>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 xml:space="preserve">中小企业声明函（如有）； </w:t>
      </w:r>
    </w:p>
    <w:p>
      <w:pPr>
        <w:adjustRightInd w:val="0"/>
        <w:snapToGrid w:val="0"/>
        <w:spacing w:line="360" w:lineRule="auto"/>
        <w:ind w:firstLine="422" w:firstLineChars="200"/>
        <w:jc w:val="left"/>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pPr>
        <w:adjustRightInd w:val="0"/>
        <w:snapToGrid w:val="0"/>
        <w:spacing w:line="360" w:lineRule="auto"/>
        <w:ind w:firstLine="422" w:firstLineChars="200"/>
        <w:jc w:val="left"/>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投标人在填写声明函前，须先自查本企业是否满足小微企业认定标准（可通过国务院客户端和工业和信息化部网站上的自测小程序进行自查）。</w:t>
      </w:r>
    </w:p>
    <w:p>
      <w:pPr>
        <w:adjustRightInd w:val="0"/>
        <w:snapToGrid w:val="0"/>
        <w:spacing w:line="360" w:lineRule="auto"/>
        <w:ind w:firstLine="422" w:firstLineChars="200"/>
        <w:jc w:val="left"/>
        <w:rPr>
          <w:color w:val="auto"/>
          <w:highlight w:val="none"/>
        </w:rPr>
      </w:pPr>
      <w:r>
        <w:rPr>
          <w:rFonts w:hint="eastAsia" w:ascii="宋体" w:hAnsi="宋体" w:cs="宋体"/>
          <w:b/>
          <w:bCs/>
          <w:snapToGrid w:val="0"/>
          <w:color w:val="auto"/>
          <w:kern w:val="0"/>
          <w:szCs w:val="21"/>
          <w:highlight w:val="none"/>
        </w:rPr>
        <w:t>中小企业对其声明内容的真实性负责，声明函内容不实的，属于提供虚假材料谋取中标、成交，依照《中华人民共和国政府采购法》等国家有关规定追究相应责任。</w:t>
      </w:r>
    </w:p>
    <w:p>
      <w:pPr>
        <w:numPr>
          <w:ilvl w:val="0"/>
          <w:numId w:val="5"/>
        </w:numPr>
        <w:tabs>
          <w:tab w:val="left" w:pos="840"/>
          <w:tab w:val="left" w:pos="1050"/>
        </w:tabs>
        <w:adjustRightInd w:val="0"/>
        <w:snapToGrid w:val="0"/>
        <w:spacing w:line="360" w:lineRule="auto"/>
        <w:ind w:left="13" w:firstLine="409"/>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投标人为监狱企业的证明文件：省级以上监狱管理局、戒毒管理局（含新疆生产建设兵团）出具（如有）</w:t>
      </w:r>
    </w:p>
    <w:p>
      <w:pPr>
        <w:numPr>
          <w:ilvl w:val="0"/>
          <w:numId w:val="5"/>
        </w:numPr>
        <w:tabs>
          <w:tab w:val="left" w:pos="840"/>
          <w:tab w:val="left" w:pos="1050"/>
        </w:tabs>
        <w:adjustRightInd w:val="0"/>
        <w:snapToGrid w:val="0"/>
        <w:spacing w:line="360" w:lineRule="auto"/>
        <w:ind w:left="13" w:firstLine="409"/>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 xml:space="preserve">投标人如符合《财政部、民政部、中国残疾人联合会关于促进残疾人就业政府采购政策的通知》（财库〔2017〕141号）政策规定的，须提供《残疾人福利性单位声明函》；（如有）  </w:t>
      </w:r>
    </w:p>
    <w:p>
      <w:pPr>
        <w:numPr>
          <w:ilvl w:val="0"/>
          <w:numId w:val="5"/>
        </w:numPr>
        <w:tabs>
          <w:tab w:val="left" w:pos="840"/>
          <w:tab w:val="left" w:pos="1050"/>
        </w:tabs>
        <w:adjustRightInd w:val="0"/>
        <w:snapToGrid w:val="0"/>
        <w:spacing w:line="360" w:lineRule="auto"/>
        <w:ind w:left="13" w:firstLine="409"/>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投标人认为针对报价需要说明的其他文件及资料。</w:t>
      </w:r>
    </w:p>
    <w:p>
      <w:pPr>
        <w:adjustRightInd w:val="0"/>
        <w:snapToGrid w:val="0"/>
        <w:spacing w:line="360" w:lineRule="auto"/>
        <w:ind w:firstLine="422" w:firstLineChars="200"/>
        <w:jc w:val="left"/>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9.4演示</w:t>
      </w:r>
    </w:p>
    <w:p>
      <w:pPr>
        <w:spacing w:line="360" w:lineRule="auto"/>
        <w:ind w:firstLine="420" w:firstLineChars="200"/>
        <w:rPr>
          <w:rFonts w:ascii="宋体" w:hAnsi="宋体" w:eastAsia="宋体" w:cs="宋体"/>
          <w:bCs/>
          <w:snapToGrid w:val="0"/>
          <w:color w:val="auto"/>
          <w:kern w:val="0"/>
          <w:sz w:val="21"/>
          <w:szCs w:val="21"/>
          <w:highlight w:val="none"/>
        </w:rPr>
      </w:pPr>
      <w:r>
        <w:rPr>
          <w:rFonts w:hint="eastAsia"/>
          <w:color w:val="auto"/>
          <w:highlight w:val="none"/>
        </w:rPr>
        <w:t>本项目不设置现场</w:t>
      </w:r>
      <w:r>
        <w:rPr>
          <w:rFonts w:hint="eastAsia"/>
          <w:color w:val="auto"/>
          <w:highlight w:val="none"/>
          <w:lang w:val="en-US" w:eastAsia="zh-CN"/>
        </w:rPr>
        <w:t>演示</w:t>
      </w:r>
      <w:r>
        <w:rPr>
          <w:rFonts w:hint="eastAsia"/>
          <w:color w:val="auto"/>
          <w:highlight w:val="none"/>
        </w:rPr>
        <w:t>环节。</w:t>
      </w:r>
    </w:p>
    <w:p>
      <w:pPr>
        <w:adjustRightInd w:val="0"/>
        <w:snapToGrid w:val="0"/>
        <w:spacing w:beforeLines="50"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10．投标函</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10.1 投标人应完整地填写采购文件中提供的投标函和投标相关附件。</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10.2 投标文件应当对采购文件中有关投标有效期、采购需求等实质性内容作出响应。投标人在满足采购文件实质性要求的基础上，可以提出比采购文件要求更有利于采购人的承诺。</w:t>
      </w:r>
    </w:p>
    <w:p>
      <w:pPr>
        <w:pStyle w:val="2"/>
        <w:snapToGrid w:val="0"/>
        <w:spacing w:beforeLines="50"/>
        <w:ind w:firstLine="422" w:firstLineChars="200"/>
        <w:rPr>
          <w:rFonts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11．投标报价</w:t>
      </w:r>
    </w:p>
    <w:p>
      <w:pPr>
        <w:pStyle w:val="2"/>
        <w:snapToGrid w:val="0"/>
        <w:ind w:firstLine="420" w:firstLineChars="200"/>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11.1投标人应按采购文件中规定填写报价相关表单；</w:t>
      </w:r>
    </w:p>
    <w:p>
      <w:pPr>
        <w:pStyle w:val="2"/>
        <w:snapToGrid w:val="0"/>
        <w:ind w:firstLine="422" w:firstLineChars="200"/>
        <w:rPr>
          <w:rFonts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11.2本次报价方式为总价包干，全部采用人民币报价。</w:t>
      </w:r>
    </w:p>
    <w:p>
      <w:pPr>
        <w:pStyle w:val="2"/>
        <w:snapToGrid w:val="0"/>
        <w:ind w:firstLine="422" w:firstLineChars="200"/>
        <w:rPr>
          <w:rFonts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有关本项目所需的一切费用均计入报价。</w:t>
      </w:r>
    </w:p>
    <w:p>
      <w:pPr>
        <w:pStyle w:val="2"/>
        <w:snapToGrid w:val="0"/>
        <w:ind w:firstLine="422" w:firstLineChars="200"/>
        <w:rPr>
          <w:rFonts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完成本项目服务所涉及的一切费用由供应商承担。费用清单需详细列明，不详细的部分采购人有权按最好效果、最高标准执行。</w:t>
      </w:r>
    </w:p>
    <w:p>
      <w:pPr>
        <w:pStyle w:val="2"/>
        <w:snapToGrid w:val="0"/>
        <w:ind w:firstLine="422" w:firstLineChars="200"/>
        <w:rPr>
          <w:rFonts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投标人应认真计算可能发生的各相关费用并计入报价内，在项目实施过程中不得藉此要求增加任何费用，并不得出现选择性的报价。</w:t>
      </w:r>
    </w:p>
    <w:p>
      <w:pPr>
        <w:widowControl/>
        <w:adjustRightInd w:val="0"/>
        <w:snapToGrid w:val="0"/>
        <w:spacing w:line="360" w:lineRule="auto"/>
        <w:ind w:firstLine="422" w:firstLineChars="200"/>
        <w:jc w:val="left"/>
        <w:rPr>
          <w:rFonts w:ascii="宋体" w:hAnsi="宋体" w:cs="宋体"/>
          <w:snapToGrid w:val="0"/>
          <w:color w:val="auto"/>
          <w:kern w:val="0"/>
          <w:szCs w:val="21"/>
          <w:highlight w:val="none"/>
        </w:rPr>
      </w:pPr>
      <w:r>
        <w:rPr>
          <w:rFonts w:hint="eastAsia" w:ascii="宋体" w:hAnsi="宋体" w:cs="宋体"/>
          <w:b/>
          <w:snapToGrid w:val="0"/>
          <w:color w:val="auto"/>
          <w:kern w:val="0"/>
          <w:szCs w:val="21"/>
          <w:highlight w:val="none"/>
        </w:rPr>
        <w:t>11.3本项目采购代理服务费由中标人向采购代理机构支付，相关成本支出由投标人自行考虑。采购代理服务费计取标准见前附表。</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11.4本项目只允许一次报价，不允许以开标后调整的报价作为评标的依据（但按本采购文件投标须知投标文件错误的修正并经评标委员会认定或经投标人确认同意的除外）。</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11.5其它需在报价中考虑的因素：</w:t>
      </w:r>
    </w:p>
    <w:p>
      <w:pPr>
        <w:numPr>
          <w:ilvl w:val="0"/>
          <w:numId w:val="6"/>
        </w:numPr>
        <w:tabs>
          <w:tab w:val="left" w:pos="993"/>
        </w:tabs>
        <w:adjustRightInd w:val="0"/>
        <w:snapToGrid w:val="0"/>
        <w:spacing w:line="360" w:lineRule="auto"/>
        <w:ind w:left="0" w:firstLine="420"/>
        <w:jc w:val="left"/>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用户需求中明确的需供应商承担的费用均应含在投标总价中；</w:t>
      </w:r>
    </w:p>
    <w:p>
      <w:pPr>
        <w:numPr>
          <w:ilvl w:val="0"/>
          <w:numId w:val="6"/>
        </w:numPr>
        <w:tabs>
          <w:tab w:val="left" w:pos="993"/>
        </w:tabs>
        <w:adjustRightInd w:val="0"/>
        <w:snapToGrid w:val="0"/>
        <w:spacing w:line="360" w:lineRule="auto"/>
        <w:ind w:left="0" w:firstLine="420"/>
        <w:jc w:val="left"/>
        <w:rPr>
          <w:rFonts w:ascii="宋体" w:hAnsi="宋体" w:cs="宋体"/>
          <w:b/>
          <w:snapToGrid w:val="0"/>
          <w:color w:val="auto"/>
          <w:kern w:val="0"/>
          <w:szCs w:val="21"/>
          <w:highlight w:val="none"/>
        </w:rPr>
      </w:pPr>
      <w:r>
        <w:rPr>
          <w:rFonts w:hint="eastAsia" w:ascii="宋体" w:hAnsi="宋体" w:cs="宋体"/>
          <w:b/>
          <w:color w:val="auto"/>
          <w:szCs w:val="21"/>
          <w:highlight w:val="none"/>
        </w:rPr>
        <w:t>采购文件未明示但投标人认为可能产生的潜在费用支出均需自行考虑并计入投标总价中；</w:t>
      </w:r>
    </w:p>
    <w:p>
      <w:pPr>
        <w:numPr>
          <w:ilvl w:val="0"/>
          <w:numId w:val="6"/>
        </w:numPr>
        <w:tabs>
          <w:tab w:val="left" w:pos="993"/>
        </w:tabs>
        <w:adjustRightInd w:val="0"/>
        <w:snapToGrid w:val="0"/>
        <w:spacing w:line="360" w:lineRule="auto"/>
        <w:jc w:val="left"/>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对于没有填报的项目，采购人将不再支付，并均认为已包含在报价内。</w:t>
      </w:r>
    </w:p>
    <w:p>
      <w:pPr>
        <w:pStyle w:val="2"/>
        <w:snapToGrid w:val="0"/>
        <w:spacing w:beforeLines="50"/>
        <w:ind w:firstLine="422" w:firstLineChars="200"/>
        <w:rPr>
          <w:rFonts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12．投标货币</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投标人用人民币报价。</w:t>
      </w:r>
    </w:p>
    <w:p>
      <w:pPr>
        <w:pStyle w:val="2"/>
        <w:numPr>
          <w:ilvl w:val="0"/>
          <w:numId w:val="7"/>
        </w:numPr>
        <w:snapToGrid w:val="0"/>
        <w:spacing w:beforeLines="50"/>
        <w:ind w:firstLine="422" w:firstLineChars="200"/>
        <w:rPr>
          <w:rFonts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投标保证金</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13.1 本项目不收取投标保证金。但违反政府采购相关规定给采购人造成损失的，投标人应当承担赔偿责任。</w:t>
      </w:r>
    </w:p>
    <w:p>
      <w:pPr>
        <w:pStyle w:val="2"/>
        <w:snapToGrid w:val="0"/>
        <w:spacing w:beforeLines="50"/>
        <w:ind w:firstLine="422" w:firstLineChars="200"/>
        <w:rPr>
          <w:rFonts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14．投标有效期</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14.1 投标文件在开标之日起90个日历天内有效。</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14.3 中标人的投标文件自开标之日起至合同履行完毕止均应保持有效。</w:t>
      </w:r>
    </w:p>
    <w:p>
      <w:pPr>
        <w:pStyle w:val="2"/>
        <w:snapToGrid w:val="0"/>
        <w:spacing w:beforeLines="50"/>
        <w:ind w:firstLine="422" w:firstLineChars="200"/>
        <w:rPr>
          <w:rFonts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15．投标文件的式样</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15.1 投标人通过“政采云”平台制作电子投标文件，投标文件制作详见“供应商-政府采购项目电子交易操作指南”。</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15.2 投标文件是电子投标文件，包括“电子加密投标文件”和“备份投标文件”，在投标文件编制完成后同时生成。</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（1）“电子加密投标文件”是指通过“政采云电子交易客户端”完成投标文件编制后生成并加密的数据电文形式的投标文件。</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（2）“备份投标文件”是指与“电子加密投标文件”同时生成的数据电文形式的电子文件（备份标书，用于供应商标书解密异常时应急使用），其他方式编制的备份投标文件视为无效备份投标文件。</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（3）一份电子加密标书（后缀格式为.jmbs），一份备份标书文件（后缀格式为.bfbs）</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（4）每份电子投标文件应包括资格响应文件、商务技术响应文件、报价响应文件三部分内容。</w:t>
      </w:r>
    </w:p>
    <w:p>
      <w:pPr>
        <w:adjustRightInd w:val="0"/>
        <w:snapToGrid w:val="0"/>
        <w:spacing w:line="360" w:lineRule="auto"/>
        <w:ind w:firstLine="422" w:firstLineChars="200"/>
        <w:jc w:val="left"/>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15.3 投标文件中投标函、法定代表人资格证明书及授权委托函的格式、签字、盖章及内容均应符合采购文件格式要求，否则投标文件无效。</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15.4投标人应根据“政采云供应商项目采购-电子招投标操作指南”及本招标文件规定编制电子投标文件并进行关联定位，以便评标委员会在评标时，点击评分项，可直接定位到该评分项内容。</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如对招标文件的某项要求，投标人的投标响应文件未能提供相应的内容与其对应，则评标委员会在评审时会提示投标人未对此项招标要求提供相应内容。由此产生的评分影响由投标人自行承担。</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投标文件内容不完整、编排混乱导致投标文件被误读、漏读，或者在按采购文件规定的部分查找不到相关内容的，是投标人的责任。</w:t>
      </w:r>
    </w:p>
    <w:p>
      <w:pPr>
        <w:pStyle w:val="4"/>
        <w:snapToGrid w:val="0"/>
        <w:spacing w:beforeLines="50" w:afterLines="50" w:line="360" w:lineRule="auto"/>
        <w:rPr>
          <w:rFonts w:ascii="宋体" w:hAnsi="宋体" w:eastAsia="宋体" w:cs="宋体"/>
          <w:color w:val="auto"/>
          <w:sz w:val="21"/>
          <w:szCs w:val="21"/>
          <w:highlight w:val="none"/>
        </w:rPr>
      </w:pPr>
      <w:bookmarkStart w:id="21" w:name="_Toc251566653"/>
      <w:bookmarkStart w:id="22" w:name="_Toc240450080"/>
      <w:bookmarkStart w:id="23" w:name="_Toc10376"/>
      <w:bookmarkStart w:id="24" w:name="_Toc1575"/>
      <w:bookmarkStart w:id="25" w:name="_Toc11108"/>
      <w:r>
        <w:rPr>
          <w:rFonts w:hint="eastAsia" w:ascii="宋体" w:hAnsi="宋体" w:eastAsia="宋体" w:cs="宋体"/>
          <w:color w:val="auto"/>
          <w:sz w:val="21"/>
          <w:szCs w:val="21"/>
          <w:highlight w:val="none"/>
        </w:rPr>
        <w:t>四、投标文件的递交</w:t>
      </w:r>
      <w:bookmarkEnd w:id="21"/>
      <w:bookmarkEnd w:id="22"/>
      <w:bookmarkEnd w:id="23"/>
      <w:bookmarkEnd w:id="24"/>
      <w:bookmarkEnd w:id="25"/>
    </w:p>
    <w:p>
      <w:pPr>
        <w:adjustRightInd w:val="0"/>
        <w:snapToGrid w:val="0"/>
        <w:spacing w:beforeLines="5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16．投标文件的递交</w:t>
      </w:r>
    </w:p>
    <w:p>
      <w:pPr>
        <w:pStyle w:val="23"/>
        <w:adjustRightIn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16.1 电子加密投标文件：投标文件制作完成并生成加密标书，在投标截止时间前，投标人需将加密的投标文件上传至政采云平台，到达开标时间后，解密投标文件。</w:t>
      </w:r>
    </w:p>
    <w:p>
      <w:pPr>
        <w:pStyle w:val="23"/>
        <w:adjustRightIn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a.投标人未能在投标截止时间前成功上传电子加密投标文件的投标无效。</w:t>
      </w:r>
    </w:p>
    <w:p>
      <w:pPr>
        <w:pStyle w:val="23"/>
        <w:adjustRightIn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b.投标人成功上传电子加密投标文件后，可自行打印投标文件接收回执。</w:t>
      </w:r>
    </w:p>
    <w:p>
      <w:pPr>
        <w:pStyle w:val="23"/>
        <w:adjustRightIn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16.2备份投标文件：供应商确保在投标截止时间前，将备份投标文件通过快递形式寄达采购代理机构处，以便标书解密异常时应急使用。</w:t>
      </w:r>
    </w:p>
    <w:p>
      <w:pPr>
        <w:pStyle w:val="23"/>
        <w:numPr>
          <w:ilvl w:val="0"/>
          <w:numId w:val="8"/>
        </w:numPr>
        <w:adjustRightIn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备份投标文件递交要求：投标人须将备份投标文件以光盘或U盘形式放在密封袋中，密封后并在密封袋上注明投标项目名称、投标单位名称并加盖公章。未密封包装或者逾期邮寄送达的“备份投标文件”将不予接收。</w:t>
      </w:r>
    </w:p>
    <w:p>
      <w:pPr>
        <w:pStyle w:val="23"/>
        <w:numPr>
          <w:ilvl w:val="0"/>
          <w:numId w:val="8"/>
        </w:numPr>
        <w:adjustRightIn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投标人仅提交备份投标文件的，投标无效。</w:t>
      </w:r>
    </w:p>
    <w:p>
      <w:pPr>
        <w:adjustRightInd w:val="0"/>
        <w:snapToGrid w:val="0"/>
        <w:spacing w:beforeLines="5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17．投标截止期</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17.1 投标人应按前附表规定的日期、时间和方式上传、递交投标文件。</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17.2 采购人可以按本须知第7条规定，通过修改采购文件适当延长投标截止日期。在此情况下，采购人与投标人受投标截止期制约的所有权利和义务均应延长至新的截止期。</w:t>
      </w:r>
    </w:p>
    <w:p>
      <w:pPr>
        <w:adjustRightInd w:val="0"/>
        <w:snapToGrid w:val="0"/>
        <w:spacing w:beforeLines="5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18．迟交的投标文件</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在本须知第17条规定的截止期后收到的任何投标文件，采购人将不予接收。</w:t>
      </w:r>
    </w:p>
    <w:p>
      <w:pPr>
        <w:adjustRightInd w:val="0"/>
        <w:snapToGrid w:val="0"/>
        <w:spacing w:beforeLines="5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19．投标文件的修改与撤回</w:t>
      </w:r>
    </w:p>
    <w:p>
      <w:pPr>
        <w:pStyle w:val="23"/>
        <w:adjustRightInd w:val="0"/>
        <w:spacing w:line="360" w:lineRule="auto"/>
        <w:ind w:firstLine="420" w:firstLineChars="200"/>
        <w:rPr>
          <w:rFonts w:ascii="宋体" w:hAnsi="宋体" w:eastAsia="宋体" w:cs="宋体"/>
          <w:color w:val="auto"/>
          <w:highlight w:val="none"/>
        </w:rPr>
      </w:pPr>
      <w:r>
        <w:rPr>
          <w:rFonts w:hint="eastAsia" w:ascii="宋体" w:hAnsi="宋体" w:eastAsia="宋体" w:cs="宋体"/>
          <w:snapToGrid w:val="0"/>
          <w:color w:val="auto"/>
          <w:kern w:val="0"/>
          <w:highlight w:val="none"/>
        </w:rPr>
        <w:t>19.1 投标人在递交投标文件后，在规定的投标截止时间前，</w:t>
      </w:r>
      <w:r>
        <w:rPr>
          <w:rFonts w:hint="eastAsia" w:ascii="宋体" w:hAnsi="宋体" w:eastAsia="宋体" w:cs="宋体"/>
          <w:color w:val="auto"/>
          <w:highlight w:val="none"/>
        </w:rPr>
        <w:t>可以补充、修改或者撤回电子交易文件。补充或者修改电子交易文件的，应当先行撤回原文件，补充、修改后重新传输递交。投标截止时间前未完成传输的，视为投标文件撤回，投标无效。</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19.2 在投标截止期之后，投标人不得对其投标作任何修改。</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19.3 从投标截止期至投标人在投标函格式中确定的投标有效期期满这段时间内，投标人不得撤回其投标。</w:t>
      </w:r>
    </w:p>
    <w:p>
      <w:pPr>
        <w:pStyle w:val="4"/>
        <w:snapToGrid w:val="0"/>
        <w:spacing w:beforeLines="50" w:afterLines="50" w:line="360" w:lineRule="auto"/>
        <w:rPr>
          <w:rFonts w:ascii="宋体" w:hAnsi="宋体" w:eastAsia="宋体" w:cs="宋体"/>
          <w:color w:val="auto"/>
          <w:sz w:val="21"/>
          <w:szCs w:val="21"/>
          <w:highlight w:val="none"/>
        </w:rPr>
      </w:pPr>
      <w:bookmarkStart w:id="26" w:name="_Toc14566"/>
      <w:bookmarkStart w:id="27" w:name="_Toc27759"/>
      <w:bookmarkStart w:id="28" w:name="_Toc240450081"/>
      <w:bookmarkStart w:id="29" w:name="_Toc13578"/>
      <w:bookmarkStart w:id="30" w:name="_Toc251566654"/>
      <w:r>
        <w:rPr>
          <w:rFonts w:hint="eastAsia" w:ascii="宋体" w:hAnsi="宋体" w:eastAsia="宋体" w:cs="宋体"/>
          <w:color w:val="auto"/>
          <w:sz w:val="21"/>
          <w:szCs w:val="21"/>
          <w:highlight w:val="none"/>
        </w:rPr>
        <w:t>五、开标与评标</w:t>
      </w:r>
      <w:bookmarkEnd w:id="26"/>
      <w:bookmarkEnd w:id="27"/>
      <w:bookmarkEnd w:id="28"/>
      <w:bookmarkEnd w:id="29"/>
      <w:bookmarkEnd w:id="30"/>
    </w:p>
    <w:p>
      <w:pPr>
        <w:adjustRightInd w:val="0"/>
        <w:snapToGrid w:val="0"/>
        <w:spacing w:beforeLines="5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20．开标</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20.1 采购人将于前附表规定的时间和地点公开开标。若采购人按本须知第7条规定，通过修改采购文件更改了开标时间和地点的，以后者为准。</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20.2开评标期间，投标人代表应在线操作，并关注政采云有关信息公布、澄清等情况。投标人代表不参加开标程序的，事后不得对采购相关人员、开标过程和开标结果提出异议。</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20.3 开标程序</w:t>
      </w:r>
    </w:p>
    <w:p>
      <w:pPr>
        <w:adjustRightInd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20.3.1开标第一阶段</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（2）投标文件解密结束，通过邮件形式发送各投标人组织签署《政府采购活动现场确认声明书》；</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（3）开启投标文件，进入资格审查；</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（4）开启资格审查通过的投标供应商的商务技术文件进入符合性审查、商务技术评审；</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（5）第一阶段开标结束。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备注：开标程序的第一阶段结束后，采购人或采购代理机构将对依法对投标供应商的资格进行审查，资格审查结束后进入符合性审查和商务技术的评审工作。</w:t>
      </w:r>
    </w:p>
    <w:p>
      <w:pPr>
        <w:adjustRightInd w:val="0"/>
        <w:snapToGrid w:val="0"/>
        <w:spacing w:line="360" w:lineRule="auto"/>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20.3.2开标第二阶段</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符合性审查、商务技术评审结束后，举行开标程序第二阶段会议。首先通过政采云平台公布符合性审查、商务技术评审无效投标人名称及理由；公布经商务技术评审后有效投标人的名单，同时公布其商务技术部分得分情况。</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开启符合性审查、商务技术评审有效投标人的《报价响应文件》，代理机构点击“开启签字时段”，供应商对开标纪录进行在线签字确认（不予确认的应说明理由，否则视为无异议）。报价响应文件开标结束后，由评标委员会对报价的合理性、准确性等进行审查核实。</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（3）评审结束后，在线公布中标（成交）候选供应商名单，及采购人最终确定中标或成交供应商名单的时间和公告方式等。</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20.4如遇“政府采购云平台”电子化开标或评审程序调整的，或者政采云系统提供数据电文交互功能的，按其规定执行。</w:t>
      </w:r>
    </w:p>
    <w:p>
      <w:pPr>
        <w:adjustRightInd w:val="0"/>
        <w:snapToGrid w:val="0"/>
        <w:spacing w:beforeLines="5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21．评标</w:t>
      </w:r>
    </w:p>
    <w:p>
      <w:pPr>
        <w:adjustRightInd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21.1 评标组织</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评标工作由招标采购单位负责组织，具体评标事务由招标采购单位依法组建的评标委员会负责。评标委员会由采购人代表和有关技术、经济等方面的专家组成，成员人数应当为五人及以上单数。</w:t>
      </w:r>
    </w:p>
    <w:p>
      <w:pPr>
        <w:adjustRightInd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21.2评标纪律</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本次评标工作将在严格保密的情况下进行，评标委员会成员名单在定标前将保密。</w:t>
      </w:r>
    </w:p>
    <w:p>
      <w:pPr>
        <w:adjustRightInd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21.3评标办法</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采用综合评分法，详见采购文件第五部分“评标办法”。</w:t>
      </w:r>
    </w:p>
    <w:p>
      <w:pPr>
        <w:tabs>
          <w:tab w:val="left" w:pos="900"/>
          <w:tab w:val="left" w:pos="1080"/>
        </w:tabs>
        <w:adjustRightInd w:val="0"/>
        <w:snapToGrid w:val="0"/>
        <w:spacing w:line="360" w:lineRule="auto"/>
        <w:ind w:firstLine="422" w:firstLineChars="200"/>
        <w:jc w:val="left"/>
        <w:rPr>
          <w:rFonts w:ascii="宋体" w:hAnsi="宋体" w:cs="宋体"/>
          <w:snapToGrid w:val="0"/>
          <w:color w:val="auto"/>
          <w:kern w:val="0"/>
          <w:szCs w:val="21"/>
          <w:highlight w:val="none"/>
        </w:rPr>
      </w:pPr>
      <w:r>
        <w:rPr>
          <w:rFonts w:ascii="宋体" w:hAnsi="宋体" w:cs="宋体"/>
          <w:b/>
          <w:color w:val="auto"/>
          <w:szCs w:val="21"/>
          <w:highlight w:val="none"/>
        </w:rPr>
        <w:t>22．串通投标</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ascii="宋体" w:hAnsi="宋体" w:cs="宋体"/>
          <w:snapToGrid w:val="0"/>
          <w:color w:val="auto"/>
          <w:kern w:val="0"/>
          <w:szCs w:val="21"/>
          <w:highlight w:val="none"/>
        </w:rPr>
        <w:t>有下列情形之一的，视为供应商串通投标，其投标无效：</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ascii="宋体" w:hAnsi="宋体" w:cs="宋体"/>
          <w:snapToGrid w:val="0"/>
          <w:color w:val="auto"/>
          <w:kern w:val="0"/>
          <w:szCs w:val="21"/>
          <w:highlight w:val="none"/>
        </w:rPr>
        <w:t>（1）不同供应商的投标文件由同一单位或者个人编制；</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ascii="宋体" w:hAnsi="宋体" w:cs="宋体"/>
          <w:snapToGrid w:val="0"/>
          <w:color w:val="auto"/>
          <w:kern w:val="0"/>
          <w:szCs w:val="21"/>
          <w:highlight w:val="none"/>
        </w:rPr>
        <w:t>（2）不同供应商委托同一单位或者个人办理投标事宜；</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ascii="宋体" w:hAnsi="宋体" w:cs="宋体"/>
          <w:snapToGrid w:val="0"/>
          <w:color w:val="auto"/>
          <w:kern w:val="0"/>
          <w:szCs w:val="21"/>
          <w:highlight w:val="none"/>
        </w:rPr>
        <w:t>（3）不同供应商的投标文件载明的项目管理成员或者联系人员为同一人；</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ascii="宋体" w:hAnsi="宋体" w:cs="宋体"/>
          <w:snapToGrid w:val="0"/>
          <w:color w:val="auto"/>
          <w:kern w:val="0"/>
          <w:szCs w:val="21"/>
          <w:highlight w:val="none"/>
        </w:rPr>
        <w:t>（4）不同供应商的投标文件异常一致或者投标报价呈规律性差异；</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ascii="宋体" w:hAnsi="宋体" w:cs="宋体"/>
          <w:snapToGrid w:val="0"/>
          <w:color w:val="auto"/>
          <w:kern w:val="0"/>
          <w:szCs w:val="21"/>
          <w:highlight w:val="none"/>
        </w:rPr>
        <w:t>（5）不同供应商的投标文件相互混装。</w:t>
      </w:r>
    </w:p>
    <w:p>
      <w:pPr>
        <w:adjustRightInd w:val="0"/>
        <w:snapToGrid w:val="0"/>
        <w:spacing w:beforeLines="5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23．废标</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23.1根据《中华人民共和国政府采购法》第三十六条，出现下列情形之一的，应予以废标：</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（1）符合专业条件的供应商或者对采购文件作实质响应的供应商不足三家的；</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（2）出现影响采购公正的违法、违规行为的；</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（3）所有投标人的报价均超过了采购预算，采购人不能支付的；</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（4）因重大变故，采购任务取消的。</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23.2采购过程中出现以下情形，导致电子交易平台无法正常运行，或者无法保证电子交易的公平、公正和安全时，采购组织机构可中止电子交易活动：</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（1）电子交易平台发生故障而无法登录访问的； </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（2）电子交易平台应用或数据库出现错误，不能进行正常操作的；</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（3）电子交易平台发现严重安全漏洞，有潜在泄密危险的；</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（4）病毒发作导致不能进行正常操作的； </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（5）其他无法保证电子交易的公平、公正和安全的情况。</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23.3 废标后，采购人应当将废标理由通知所有投标人并重新组织招标；或者经主管部门批准，采取其他方式组织采购。</w:t>
      </w:r>
    </w:p>
    <w:p>
      <w:pPr>
        <w:pStyle w:val="4"/>
        <w:snapToGrid w:val="0"/>
        <w:spacing w:beforeLines="50" w:afterLines="50" w:line="360" w:lineRule="auto"/>
        <w:rPr>
          <w:rFonts w:ascii="宋体" w:hAnsi="宋体" w:eastAsia="宋体" w:cs="宋体"/>
          <w:color w:val="auto"/>
          <w:sz w:val="21"/>
          <w:szCs w:val="21"/>
          <w:highlight w:val="none"/>
        </w:rPr>
      </w:pPr>
      <w:bookmarkStart w:id="31" w:name="_Toc26186"/>
      <w:bookmarkStart w:id="32" w:name="_Toc251566655"/>
      <w:bookmarkStart w:id="33" w:name="_Toc7805"/>
      <w:bookmarkStart w:id="34" w:name="_Toc240450082"/>
      <w:r>
        <w:rPr>
          <w:rFonts w:hint="eastAsia" w:ascii="宋体" w:hAnsi="宋体" w:eastAsia="宋体" w:cs="宋体"/>
          <w:color w:val="auto"/>
          <w:sz w:val="21"/>
          <w:szCs w:val="21"/>
          <w:highlight w:val="none"/>
        </w:rPr>
        <w:t>六、确定中标人及授予合同</w:t>
      </w:r>
      <w:bookmarkEnd w:id="31"/>
      <w:bookmarkEnd w:id="32"/>
      <w:bookmarkEnd w:id="33"/>
      <w:bookmarkEnd w:id="34"/>
    </w:p>
    <w:p>
      <w:pPr>
        <w:adjustRightInd w:val="0"/>
        <w:snapToGrid w:val="0"/>
        <w:spacing w:beforeLines="5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24．中标人的确定</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24.1 采购代理机构应当自评审结束之日起2个工作日内将评审报告送交采购人。</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采购人应当自收到评标报告之日起５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采购人或者采购代理机构应当自中标人确定之日起2个工作日内，在省级以上财政部门指定的媒体上公告中标结果，采购文件应当随中标结果同时公告。</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公告期限为1个工作日。</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24.2 除国务院财政部门规定的情形外，采购人、采购代理机构不得以任何理由组织重新评审。采购人、采购代理机构按照国务院财政部门的规定组织重新评审的，应当书面报告本级人民政府财政部门。</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24.3中标通知书发出后，采购人不得违法改变中标结果，中标人无正当理由不得放弃中标。 </w:t>
      </w:r>
    </w:p>
    <w:p>
      <w:pPr>
        <w:adjustRightInd w:val="0"/>
        <w:snapToGrid w:val="0"/>
        <w:spacing w:line="360" w:lineRule="auto"/>
        <w:ind w:firstLine="422" w:firstLineChars="200"/>
        <w:jc w:val="left"/>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24.4中标人应为浙江政府采购注册供应商，如尚未注册，必须在投标截止前按照《浙江省政府采购供应商注册及诚信管理暂行办法》（浙财采监字［2009］28号）的相关规定，及时办理更新或供应商注册事项。</w:t>
      </w:r>
    </w:p>
    <w:p>
      <w:pPr>
        <w:adjustRightInd w:val="0"/>
        <w:snapToGrid w:val="0"/>
        <w:spacing w:beforeLines="5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25．合同授予</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25.1 本项目的合同将授予按本须知第24.1款所确定的中标人。</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25.2 中标或者成交供应商拒绝与采购人签订合同的，采购人可以按照评审报告推荐的中标或者成交候选人名单排序，确定下一候选人为中标或者成交供应商，也可以重新开展政府采购活动。</w:t>
      </w:r>
    </w:p>
    <w:p>
      <w:pPr>
        <w:adjustRightInd w:val="0"/>
        <w:snapToGrid w:val="0"/>
        <w:spacing w:beforeLines="5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26．签订合同</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26.1 中标人应按中标通知书规定的时间与采购人签订合同。如中标人为联合体的，由联合体成员各方法定代表人或其授权代表与采购人代表签订合同。中标人在领取中标通知书时须向采购人提供一份关于本项目在实施过程中的相关人员的通讯录作为合同附件。</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26.2 中标人如不遵守采购文件或投标文件各项条款的邀约与要约，或在接到中标通知书后借故拖延，拒签合同的，采购人将依据国家和采购文件有关规定要求中标人予以赔偿，同时采购人可根据25.2的原则另行选择中标人；</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26.3 采购文件、中标人的投标文件及投标修改文件、评标过程中有关澄清文件及经投标人法定代表人或授权代表签字确认的询标回复和承诺及中标通知书均作为合同组成部分。</w:t>
      </w:r>
    </w:p>
    <w:p>
      <w:pPr>
        <w:adjustRightInd w:val="0"/>
        <w:snapToGrid w:val="0"/>
        <w:spacing w:beforeLines="5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27．履约保证金</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27.1 履约保证金具体要求详见前附表。</w:t>
      </w:r>
    </w:p>
    <w:p>
      <w:pPr>
        <w:adjustRightInd w:val="0"/>
        <w:snapToGrid w:val="0"/>
        <w:spacing w:beforeLines="5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28.采购代理服务费</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snapToGrid w:val="0"/>
          <w:color w:val="auto"/>
          <w:kern w:val="0"/>
          <w:szCs w:val="21"/>
          <w:highlight w:val="none"/>
        </w:rPr>
        <w:t>本项目的采购代理费由中标人支付，</w:t>
      </w:r>
      <w:r>
        <w:rPr>
          <w:rFonts w:hint="eastAsia" w:ascii="宋体" w:hAnsi="宋体" w:cs="宋体"/>
          <w:color w:val="auto"/>
          <w:szCs w:val="21"/>
          <w:highlight w:val="none"/>
        </w:rPr>
        <w:t>收费标准详见前附表。</w:t>
      </w:r>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29.质疑与投诉</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质疑函范本、投诉书范本请到浙江政府采购网下载专区下载。</w:t>
      </w:r>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29.1供应商询问</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供应商对政府采购活动事项有疑问的，可以向采购机构提出询问，采购人或者采购代理机构应当在3个工作日内对供应商依法提出的询问作出答复，但答复的内容不得涉及商业秘密。</w:t>
      </w:r>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29.2供应商质疑</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29.2.1投标人认为采购文件、采购过程、中标或者成交结果使自己的权益受到损害的，可以在知道或者应知其权益受到损害之日起7个工作日内，以书面形式向采购人、采购代理机构提出质疑。</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本项目要求投标人在法定质疑期内一次性提出针对同一采购程序环节的质疑。</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29.2.2提出质疑的投标人（以下简称质疑人）应当是参与所质疑项目采购活动的投标人。</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潜在投标人已依法获取其可质疑的采购文件的，可以对该文件提出质疑。对采购文件提出质疑的，应当在获取采购文件或者采购文件公告期限届满之日起7个工作日内提出。</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29.2.3投标人提出质疑应当提交质疑函和必要的证明材料。质疑函应当包括下列内容：</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（一）投标人的姓名或者名称、地址、邮编、联系人及联系电话；</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（二）质疑项目的名称、编号；</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（三）具体、明确的质疑事项和与质疑事项相关的请求；</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（四）事实依据；</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（五）必要的法律依据；</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（六）提出质疑的日期。</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投标人为自然人的，应当由本人签字；投标人为法人或者其他组织的，应当由法定代表人、主要负责人，或者其授权代表签字或者盖章，并加盖公章。</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29.3.4采购人、采购代理机构在收到法定质疑期内发出的质疑函后7个工作日内作出答复，并以书面形式通知质疑人和其他有关投标人。质疑答复的内容不得涉及商业秘密。</w:t>
      </w:r>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29.3供应商投诉</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质疑供应商对采购机构的答复不满意或者采购机构未在规定的时间内作出答复的，可以在答复期满后十五个工作日内向同级政府采购监督管理部门提出投诉。</w:t>
      </w:r>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30．采购结束</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30.1中标人与采购人签订合同生效后即为采购结束。</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30.2本项目的投标文件不予退回。</w:t>
      </w:r>
    </w:p>
    <w:p>
      <w:pPr>
        <w:adjustRightInd w:val="0"/>
        <w:snapToGrid w:val="0"/>
        <w:spacing w:line="360" w:lineRule="auto"/>
        <w:ind w:firstLine="420" w:firstLineChars="200"/>
        <w:rPr>
          <w:rFonts w:ascii="宋体" w:hAnsi="宋体" w:cs="宋体"/>
          <w:snapToGrid w:val="0"/>
          <w:color w:val="auto"/>
          <w:kern w:val="0"/>
          <w:szCs w:val="21"/>
          <w:highlight w:val="none"/>
        </w:rPr>
      </w:pPr>
    </w:p>
    <w:p>
      <w:pPr>
        <w:adjustRightInd w:val="0"/>
        <w:snapToGrid w:val="0"/>
        <w:spacing w:line="360" w:lineRule="auto"/>
        <w:ind w:firstLine="420" w:firstLineChars="200"/>
        <w:jc w:val="left"/>
        <w:rPr>
          <w:rFonts w:ascii="宋体" w:hAnsi="宋体" w:cs="宋体"/>
          <w:snapToGrid w:val="0"/>
          <w:color w:val="auto"/>
          <w:kern w:val="0"/>
          <w:szCs w:val="21"/>
          <w:highlight w:val="none"/>
        </w:rPr>
      </w:pPr>
    </w:p>
    <w:p>
      <w:pPr>
        <w:adjustRightInd w:val="0"/>
        <w:snapToGrid w:val="0"/>
        <w:spacing w:beforeLines="50" w:afterLines="50" w:line="360" w:lineRule="auto"/>
        <w:jc w:val="center"/>
        <w:outlineLvl w:val="0"/>
        <w:rPr>
          <w:rFonts w:ascii="宋体" w:hAnsi="宋体"/>
          <w:color w:val="auto"/>
          <w:sz w:val="24"/>
          <w:highlight w:val="none"/>
        </w:rPr>
      </w:pPr>
      <w:r>
        <w:rPr>
          <w:rFonts w:hint="eastAsia" w:ascii="宋体" w:hAnsi="宋体" w:cs="宋体"/>
          <w:b/>
          <w:bCs/>
          <w:color w:val="auto"/>
          <w:sz w:val="28"/>
          <w:szCs w:val="21"/>
          <w:highlight w:val="none"/>
        </w:rPr>
        <w:br w:type="page"/>
      </w:r>
      <w:bookmarkStart w:id="35" w:name="_Toc83616202"/>
      <w:bookmarkStart w:id="36" w:name="_Toc19227"/>
      <w:bookmarkStart w:id="37" w:name="_Toc31190"/>
      <w:bookmarkStart w:id="38" w:name="_Toc242012796"/>
      <w:r>
        <w:rPr>
          <w:rFonts w:hint="eastAsia" w:ascii="宋体" w:hAnsi="宋体" w:cs="宋体"/>
          <w:b/>
          <w:color w:val="auto"/>
          <w:sz w:val="30"/>
          <w:szCs w:val="30"/>
          <w:highlight w:val="none"/>
        </w:rPr>
        <w:t>第三部分</w:t>
      </w:r>
      <w:bookmarkEnd w:id="35"/>
      <w:r>
        <w:rPr>
          <w:rFonts w:hint="eastAsia" w:ascii="宋体" w:hAnsi="宋体" w:cs="宋体"/>
          <w:b/>
          <w:color w:val="auto"/>
          <w:sz w:val="30"/>
          <w:szCs w:val="30"/>
          <w:highlight w:val="none"/>
        </w:rPr>
        <w:t xml:space="preserve"> 用户需求书</w:t>
      </w:r>
      <w:bookmarkEnd w:id="36"/>
      <w:bookmarkEnd w:id="37"/>
      <w:bookmarkEnd w:id="38"/>
    </w:p>
    <w:p>
      <w:pPr>
        <w:rPr>
          <w:b/>
          <w:bCs/>
          <w:color w:val="auto"/>
          <w:highlight w:val="none"/>
        </w:rPr>
      </w:pPr>
    </w:p>
    <w:p>
      <w:pPr>
        <w:rPr>
          <w:b/>
          <w:bCs/>
          <w:color w:val="auto"/>
          <w:highlight w:val="none"/>
        </w:rPr>
      </w:pPr>
    </w:p>
    <w:p>
      <w:pPr>
        <w:pStyle w:val="126"/>
        <w:spacing w:afterLines="50" w:line="360" w:lineRule="auto"/>
        <w:ind w:firstLine="488"/>
        <w:rPr>
          <w:rFonts w:hint="eastAsia" w:ascii="宋体" w:hAnsi="宋体" w:cs="Arial"/>
          <w:b/>
          <w:bCs/>
          <w:color w:val="auto"/>
          <w:szCs w:val="21"/>
          <w:highlight w:val="none"/>
        </w:rPr>
      </w:pPr>
      <w:bookmarkStart w:id="39" w:name="_Toc487307101"/>
      <w:bookmarkStart w:id="40" w:name="_Toc490744207"/>
      <w:bookmarkStart w:id="41" w:name="_Toc486280955"/>
      <w:r>
        <w:rPr>
          <w:rFonts w:hint="eastAsia" w:ascii="宋体" w:hAnsi="宋体" w:cs="Arial"/>
          <w:b/>
          <w:bCs/>
          <w:color w:val="auto"/>
          <w:szCs w:val="21"/>
          <w:highlight w:val="none"/>
        </w:rPr>
        <w:t>一、项目背景</w:t>
      </w:r>
    </w:p>
    <w:p>
      <w:pPr>
        <w:pStyle w:val="126"/>
        <w:spacing w:afterLines="50" w:line="360" w:lineRule="auto"/>
        <w:ind w:firstLine="488"/>
        <w:rPr>
          <w:rFonts w:hint="eastAsia" w:ascii="宋体" w:hAnsi="宋体" w:cs="Arial"/>
          <w:color w:val="auto"/>
          <w:szCs w:val="21"/>
          <w:highlight w:val="none"/>
        </w:rPr>
      </w:pPr>
      <w:r>
        <w:rPr>
          <w:rFonts w:hint="eastAsia" w:ascii="宋体" w:hAnsi="宋体" w:cs="Arial"/>
          <w:color w:val="auto"/>
          <w:szCs w:val="21"/>
          <w:highlight w:val="none"/>
        </w:rPr>
        <w:t>杭州市未来城市实践区是落实生态文明、创新发展要求，向国家乃至世界贡献“未来城市”杭州样本的重要举措；也是贯彻市委市政府拥江发展战略，落实《杭州市全面推进拥江发展行动实施方案（2018-2022年）》（市委发[2018]41号）的重要抓手。我局先后组织编制了《“三江汇”杭州未来城市实践区发展战略与行动规划》、《“三江汇”杭州未来城市实践区建设与治理准则》、《“三江汇”杭州未来城市实践区景观控制规划》等相关规划，为本地区描绘了发展蓝图，明确了总体发展方向、规划建设与景观控制的管理与引导要求。</w:t>
      </w:r>
    </w:p>
    <w:p>
      <w:pPr>
        <w:pStyle w:val="126"/>
        <w:spacing w:afterLines="50" w:line="360" w:lineRule="auto"/>
        <w:ind w:firstLine="488"/>
        <w:rPr>
          <w:rFonts w:hint="eastAsia" w:ascii="宋体" w:hAnsi="宋体" w:cs="Arial"/>
          <w:color w:val="auto"/>
          <w:szCs w:val="21"/>
          <w:highlight w:val="none"/>
        </w:rPr>
      </w:pPr>
      <w:r>
        <w:rPr>
          <w:rFonts w:hint="eastAsia" w:ascii="宋体" w:hAnsi="宋体" w:cs="Arial"/>
          <w:color w:val="auto"/>
          <w:szCs w:val="21"/>
          <w:highlight w:val="none"/>
        </w:rPr>
        <w:t>为确保上层次规划在实施过程中的规划意图与控制要求准确传导，同时兼顾到现实动态项目建设的实际发展，需要结合“五级三类”的国土空间规划框架，建立具有传导性与管理性的控制性规划，作为中观层面切实有效、强有力的法定规划手段，推动全域全要素协调管控，有效指导详细规划编制，推进城市建设，实现城市精细化治理。</w:t>
      </w:r>
    </w:p>
    <w:p>
      <w:pPr>
        <w:pStyle w:val="126"/>
        <w:spacing w:afterLines="50" w:line="360" w:lineRule="auto"/>
        <w:ind w:firstLine="488"/>
        <w:rPr>
          <w:rFonts w:hint="eastAsia" w:ascii="宋体" w:hAnsi="宋体" w:cs="Arial"/>
          <w:b/>
          <w:bCs/>
          <w:color w:val="auto"/>
          <w:szCs w:val="21"/>
          <w:highlight w:val="none"/>
        </w:rPr>
      </w:pPr>
      <w:r>
        <w:rPr>
          <w:rFonts w:hint="eastAsia" w:ascii="宋体" w:hAnsi="宋体" w:cs="Arial"/>
          <w:b/>
          <w:bCs/>
          <w:color w:val="auto"/>
          <w:szCs w:val="21"/>
          <w:highlight w:val="none"/>
        </w:rPr>
        <w:t>二、技术要求</w:t>
      </w:r>
    </w:p>
    <w:p>
      <w:pPr>
        <w:pStyle w:val="126"/>
        <w:spacing w:afterLines="50" w:line="360" w:lineRule="auto"/>
        <w:ind w:firstLine="488"/>
        <w:rPr>
          <w:rFonts w:hint="eastAsia" w:ascii="宋体" w:hAnsi="宋体" w:cs="Arial"/>
          <w:color w:val="auto"/>
          <w:szCs w:val="21"/>
          <w:highlight w:val="none"/>
        </w:rPr>
      </w:pPr>
      <w:r>
        <w:rPr>
          <w:rFonts w:hint="eastAsia" w:ascii="宋体" w:hAnsi="宋体" w:cs="Arial"/>
          <w:color w:val="auto"/>
          <w:szCs w:val="21"/>
          <w:highlight w:val="none"/>
        </w:rPr>
        <w:t>（一）规划范围</w:t>
      </w:r>
    </w:p>
    <w:p>
      <w:pPr>
        <w:pStyle w:val="126"/>
        <w:spacing w:afterLines="50" w:line="360" w:lineRule="auto"/>
        <w:ind w:firstLine="488"/>
        <w:rPr>
          <w:rFonts w:hint="eastAsia" w:ascii="宋体" w:hAnsi="宋体" w:cs="Arial"/>
          <w:color w:val="auto"/>
          <w:szCs w:val="21"/>
          <w:highlight w:val="none"/>
        </w:rPr>
      </w:pPr>
      <w:r>
        <w:rPr>
          <w:rFonts w:hint="eastAsia" w:ascii="宋体" w:hAnsi="宋体" w:cs="Arial"/>
          <w:color w:val="auto"/>
          <w:szCs w:val="21"/>
          <w:highlight w:val="none"/>
        </w:rPr>
        <w:t>本次规划范围与《“三江汇”杭州未来城市实践区发展战略与行动规划》中协调管理区的规划范围保持一致，进行城乡统筹，促进三生资源高效配置，总面积约458平方公里。</w:t>
      </w:r>
    </w:p>
    <w:p>
      <w:pPr>
        <w:pStyle w:val="126"/>
        <w:spacing w:afterLines="50" w:line="360" w:lineRule="auto"/>
        <w:ind w:firstLine="488"/>
        <w:rPr>
          <w:rFonts w:hint="eastAsia" w:ascii="宋体" w:hAnsi="宋体" w:cs="Arial"/>
          <w:color w:val="auto"/>
          <w:szCs w:val="21"/>
          <w:highlight w:val="none"/>
        </w:rPr>
      </w:pPr>
      <w:r>
        <w:rPr>
          <w:rFonts w:hint="eastAsia" w:ascii="宋体" w:hAnsi="宋体" w:cs="Arial"/>
          <w:color w:val="auto"/>
          <w:szCs w:val="21"/>
          <w:highlight w:val="none"/>
        </w:rPr>
        <w:t>（二）技术要求</w:t>
      </w:r>
    </w:p>
    <w:p>
      <w:pPr>
        <w:pStyle w:val="126"/>
        <w:spacing w:afterLines="50" w:line="360" w:lineRule="auto"/>
        <w:ind w:firstLine="488"/>
        <w:rPr>
          <w:rFonts w:hint="eastAsia" w:ascii="宋体" w:hAnsi="宋体" w:cs="Arial"/>
          <w:color w:val="auto"/>
          <w:szCs w:val="21"/>
          <w:highlight w:val="none"/>
        </w:rPr>
      </w:pPr>
      <w:r>
        <w:rPr>
          <w:rFonts w:hint="eastAsia" w:ascii="宋体" w:hAnsi="宋体" w:cs="Arial"/>
          <w:color w:val="auto"/>
          <w:szCs w:val="21"/>
          <w:highlight w:val="none"/>
        </w:rPr>
        <w:t>该项目相关任务分两个阶段完成：</w:t>
      </w:r>
    </w:p>
    <w:p>
      <w:pPr>
        <w:pStyle w:val="126"/>
        <w:spacing w:afterLines="50" w:line="360" w:lineRule="auto"/>
        <w:ind w:firstLine="488"/>
        <w:rPr>
          <w:rFonts w:hint="eastAsia" w:ascii="宋体" w:hAnsi="宋体" w:cs="Arial"/>
          <w:color w:val="auto"/>
          <w:szCs w:val="21"/>
          <w:highlight w:val="none"/>
        </w:rPr>
      </w:pPr>
      <w:r>
        <w:rPr>
          <w:rFonts w:hint="eastAsia" w:ascii="宋体" w:hAnsi="宋体" w:cs="Arial"/>
          <w:color w:val="auto"/>
          <w:szCs w:val="21"/>
          <w:highlight w:val="none"/>
        </w:rPr>
        <w:t>第一阶段：2021年5月</w:t>
      </w:r>
      <w:r>
        <w:rPr>
          <w:rFonts w:hint="eastAsia" w:ascii="宋体" w:hAnsi="宋体" w:cs="Arial"/>
          <w:color w:val="auto"/>
          <w:szCs w:val="21"/>
          <w:highlight w:val="none"/>
          <w:lang w:val="en-US" w:eastAsia="zh-CN"/>
        </w:rPr>
        <w:t>31日</w:t>
      </w:r>
      <w:r>
        <w:rPr>
          <w:rFonts w:hint="eastAsia" w:ascii="宋体" w:hAnsi="宋体" w:cs="Arial"/>
          <w:color w:val="auto"/>
          <w:szCs w:val="21"/>
          <w:highlight w:val="none"/>
        </w:rPr>
        <w:t>前完成。</w:t>
      </w:r>
    </w:p>
    <w:p>
      <w:pPr>
        <w:pStyle w:val="126"/>
        <w:spacing w:afterLines="50" w:line="360" w:lineRule="auto"/>
        <w:ind w:firstLine="488"/>
        <w:rPr>
          <w:rFonts w:hint="eastAsia" w:ascii="宋体" w:hAnsi="宋体" w:cs="Arial"/>
          <w:color w:val="auto"/>
          <w:szCs w:val="21"/>
          <w:highlight w:val="none"/>
        </w:rPr>
      </w:pPr>
      <w:r>
        <w:rPr>
          <w:rFonts w:hint="eastAsia" w:ascii="宋体" w:hAnsi="宋体" w:cs="Arial"/>
          <w:color w:val="auto"/>
          <w:szCs w:val="21"/>
          <w:highlight w:val="none"/>
        </w:rPr>
        <w:t>1、落实上位规划要求，开展现行单元控规实施评估。一是深入解读“三江汇”杭州未来城市实践区发展战略与行动规划及配套准则等相关规划要求，加强与在编国土空间总体规划衔接，落实对三江汇地区永农和耕地保护的传导，厘清上位规划及相关规划需要向下传导的底线要求和弹性要求。二是着眼现实从问题导向出发，对规划范围内的控制性详细规划实施情况进行评估。包括对现状控规单元的已编、在编及规划审批等情况进行梳理，系统性评估具体实施情况、面临问题等内容，明晰控制性规划需要优化提升的内容及需要解决或避免的问题。</w:t>
      </w:r>
    </w:p>
    <w:p>
      <w:pPr>
        <w:pStyle w:val="126"/>
        <w:spacing w:afterLines="50" w:line="360" w:lineRule="auto"/>
        <w:ind w:firstLine="488"/>
        <w:rPr>
          <w:rFonts w:hint="eastAsia" w:ascii="宋体" w:hAnsi="宋体" w:cs="Arial"/>
          <w:color w:val="auto"/>
          <w:szCs w:val="21"/>
          <w:highlight w:val="none"/>
        </w:rPr>
      </w:pPr>
      <w:r>
        <w:rPr>
          <w:rFonts w:hint="eastAsia" w:ascii="宋体" w:hAnsi="宋体" w:cs="Arial"/>
          <w:color w:val="auto"/>
          <w:szCs w:val="21"/>
          <w:highlight w:val="none"/>
        </w:rPr>
        <w:t xml:space="preserve">2、明确控规单元划分方案及功能定位。以战略与行动规划为指导，依据空间功能结合山水和行政边界，提出控规单元划分方案，并注重耕地、永农布局与城市功能区的有机结合，明确各单元功能定位，明晰主导方向。 </w:t>
      </w:r>
    </w:p>
    <w:p>
      <w:pPr>
        <w:pStyle w:val="126"/>
        <w:spacing w:afterLines="50" w:line="360" w:lineRule="auto"/>
        <w:ind w:firstLine="488"/>
        <w:rPr>
          <w:rFonts w:hint="eastAsia" w:ascii="宋体" w:hAnsi="宋体" w:cs="Arial"/>
          <w:color w:val="auto"/>
          <w:szCs w:val="21"/>
          <w:highlight w:val="none"/>
        </w:rPr>
      </w:pPr>
      <w:r>
        <w:rPr>
          <w:rFonts w:hint="eastAsia" w:ascii="宋体" w:hAnsi="宋体" w:cs="Arial"/>
          <w:color w:val="auto"/>
          <w:szCs w:val="21"/>
          <w:highlight w:val="none"/>
        </w:rPr>
        <w:t>3、明确各单元控规编制的底线要求和弹性要求。对控规单元的类型、编制时序等提出编制建议，并明确各单元应落实的强制性要素和刚性管控要求，并因地制宜提出体现包容性和应对发展变化的韧性要求，以指导下一步单元控规编制。</w:t>
      </w:r>
    </w:p>
    <w:p>
      <w:pPr>
        <w:pStyle w:val="126"/>
        <w:spacing w:afterLines="50" w:line="360" w:lineRule="auto"/>
        <w:ind w:firstLine="488"/>
        <w:rPr>
          <w:rFonts w:hint="eastAsia" w:ascii="宋体" w:hAnsi="宋体" w:cs="Arial"/>
          <w:color w:val="auto"/>
          <w:szCs w:val="21"/>
          <w:highlight w:val="none"/>
        </w:rPr>
      </w:pPr>
      <w:r>
        <w:rPr>
          <w:rFonts w:hint="eastAsia" w:ascii="宋体" w:hAnsi="宋体" w:cs="Arial"/>
          <w:color w:val="auto"/>
          <w:szCs w:val="21"/>
          <w:highlight w:val="none"/>
        </w:rPr>
        <w:t>第二阶段：2021年8月</w:t>
      </w:r>
      <w:r>
        <w:rPr>
          <w:rFonts w:hint="eastAsia" w:ascii="宋体" w:hAnsi="宋体" w:cs="Arial"/>
          <w:color w:val="auto"/>
          <w:szCs w:val="21"/>
          <w:highlight w:val="none"/>
          <w:lang w:val="en-US" w:eastAsia="zh-CN"/>
        </w:rPr>
        <w:t>31日</w:t>
      </w:r>
      <w:r>
        <w:rPr>
          <w:rFonts w:hint="eastAsia" w:ascii="宋体" w:hAnsi="宋体" w:cs="Arial"/>
          <w:color w:val="auto"/>
          <w:szCs w:val="21"/>
          <w:highlight w:val="none"/>
        </w:rPr>
        <w:t>前完成。</w:t>
      </w:r>
    </w:p>
    <w:p>
      <w:pPr>
        <w:pStyle w:val="126"/>
        <w:spacing w:afterLines="50" w:line="360" w:lineRule="auto"/>
        <w:ind w:firstLine="488"/>
        <w:rPr>
          <w:rFonts w:hint="eastAsia" w:ascii="宋体" w:hAnsi="宋体" w:cs="Arial"/>
          <w:color w:val="auto"/>
          <w:szCs w:val="21"/>
          <w:highlight w:val="none"/>
        </w:rPr>
      </w:pPr>
      <w:r>
        <w:rPr>
          <w:rFonts w:hint="eastAsia" w:ascii="宋体" w:hAnsi="宋体" w:cs="Arial"/>
          <w:color w:val="auto"/>
          <w:szCs w:val="21"/>
          <w:highlight w:val="none"/>
        </w:rPr>
        <w:t>1. 加强案例剖析。充分学习和借鉴雄安新区等地区的先进经验，并结合前期已开展单元控规编制存在困难与问题，提出科学合理的规划编制和管理优化提升思路、对策建议。</w:t>
      </w:r>
    </w:p>
    <w:p>
      <w:pPr>
        <w:pStyle w:val="126"/>
        <w:spacing w:afterLines="50" w:line="360" w:lineRule="auto"/>
        <w:ind w:firstLine="488"/>
        <w:rPr>
          <w:rFonts w:hint="eastAsia" w:ascii="宋体" w:hAnsi="宋体" w:cs="Arial"/>
          <w:color w:val="auto"/>
          <w:szCs w:val="21"/>
          <w:highlight w:val="none"/>
        </w:rPr>
      </w:pPr>
      <w:r>
        <w:rPr>
          <w:rFonts w:hint="eastAsia" w:ascii="宋体" w:hAnsi="宋体" w:cs="Arial"/>
          <w:color w:val="auto"/>
          <w:szCs w:val="21"/>
          <w:highlight w:val="none"/>
        </w:rPr>
        <w:t>2. 开展应对未来城市构建方面的系列专题研究。加强符合未来城市新发展方向的规划管控体系、城市体检体系、创新性指标、非建设用地管控、乡村地区规划管理、指标总量控制及分配与调控机制、弹性空间管理等方面的研究。</w:t>
      </w:r>
    </w:p>
    <w:p>
      <w:pPr>
        <w:pStyle w:val="126"/>
        <w:spacing w:afterLines="50" w:line="360" w:lineRule="auto"/>
        <w:ind w:firstLine="488"/>
        <w:rPr>
          <w:rFonts w:hint="eastAsia" w:ascii="宋体" w:hAnsi="宋体" w:cs="Arial"/>
          <w:color w:val="auto"/>
          <w:szCs w:val="21"/>
          <w:highlight w:val="none"/>
        </w:rPr>
      </w:pPr>
      <w:r>
        <w:rPr>
          <w:rFonts w:hint="eastAsia" w:ascii="宋体" w:hAnsi="宋体" w:cs="Arial"/>
          <w:color w:val="auto"/>
          <w:szCs w:val="21"/>
          <w:highlight w:val="none"/>
        </w:rPr>
        <w:t>3. 制定指导下一步工作的工作方案，并配合做好后续与控规强制性内容调配协调等相关服务工作。</w:t>
      </w:r>
    </w:p>
    <w:p>
      <w:pPr>
        <w:pStyle w:val="126"/>
        <w:spacing w:afterLines="50" w:line="360" w:lineRule="auto"/>
        <w:ind w:firstLine="488"/>
        <w:rPr>
          <w:rFonts w:hint="default" w:ascii="宋体" w:hAnsi="宋体" w:eastAsia="宋体" w:cs="Arial"/>
          <w:b/>
          <w:bCs/>
          <w:color w:val="auto"/>
          <w:szCs w:val="21"/>
          <w:highlight w:val="none"/>
          <w:lang w:val="en-US" w:eastAsia="zh-CN"/>
        </w:rPr>
      </w:pPr>
      <w:r>
        <w:rPr>
          <w:rFonts w:hint="eastAsia" w:ascii="宋体" w:hAnsi="宋体" w:cs="Arial"/>
          <w:b/>
          <w:bCs/>
          <w:color w:val="auto"/>
          <w:szCs w:val="21"/>
          <w:highlight w:val="none"/>
        </w:rPr>
        <w:t>三、</w:t>
      </w:r>
      <w:r>
        <w:rPr>
          <w:rFonts w:hint="eastAsia" w:ascii="宋体" w:hAnsi="宋体" w:cs="Arial"/>
          <w:b/>
          <w:bCs/>
          <w:color w:val="auto"/>
          <w:szCs w:val="21"/>
          <w:highlight w:val="none"/>
          <w:lang w:val="en-US" w:eastAsia="zh-CN"/>
        </w:rPr>
        <w:t>成果要求</w:t>
      </w:r>
    </w:p>
    <w:p>
      <w:pPr>
        <w:autoSpaceDE w:val="0"/>
        <w:spacing w:line="360" w:lineRule="auto"/>
        <w:ind w:firstLine="420" w:firstLineChars="200"/>
        <w:jc w:val="left"/>
        <w:rPr>
          <w:rFonts w:ascii="宋体" w:hAnsi="宋体" w:cs="宋体"/>
          <w:color w:val="auto"/>
          <w:szCs w:val="21"/>
          <w:highlight w:val="none"/>
          <w:lang w:bidi="ar"/>
        </w:rPr>
      </w:pPr>
      <w:r>
        <w:rPr>
          <w:rFonts w:hint="eastAsia" w:ascii="宋体" w:hAnsi="宋体" w:cs="宋体"/>
          <w:color w:val="auto"/>
          <w:szCs w:val="21"/>
          <w:highlight w:val="none"/>
          <w:lang w:bidi="ar"/>
        </w:rPr>
        <w:t>1、最终成果应包括：</w:t>
      </w:r>
      <w:r>
        <w:rPr>
          <w:rFonts w:hint="eastAsia" w:ascii="宋体" w:hAnsi="宋体" w:cs="宋体"/>
          <w:color w:val="auto"/>
          <w:szCs w:val="21"/>
          <w:highlight w:val="none"/>
          <w:lang w:eastAsia="zh-CN" w:bidi="ar"/>
        </w:rPr>
        <w:t>文本、图集和说明</w:t>
      </w:r>
      <w:r>
        <w:rPr>
          <w:rFonts w:hint="eastAsia" w:ascii="宋体" w:hAnsi="宋体" w:cs="宋体"/>
          <w:color w:val="auto"/>
          <w:szCs w:val="21"/>
          <w:highlight w:val="none"/>
          <w:lang w:bidi="ar"/>
        </w:rPr>
        <w:t>。最终成果还应形成研究结论与核心建议（字数约3000-5000字以内），及规划成果宣传相关材料。</w:t>
      </w:r>
    </w:p>
    <w:p>
      <w:pPr>
        <w:autoSpaceDE w:val="0"/>
        <w:spacing w:line="360" w:lineRule="auto"/>
        <w:ind w:firstLine="420" w:firstLineChars="200"/>
        <w:jc w:val="left"/>
        <w:rPr>
          <w:rFonts w:ascii="宋体" w:hAnsi="宋体" w:cs="宋体"/>
          <w:color w:val="auto"/>
          <w:szCs w:val="21"/>
          <w:highlight w:val="none"/>
          <w:lang w:bidi="ar"/>
        </w:rPr>
      </w:pPr>
      <w:r>
        <w:rPr>
          <w:rFonts w:hint="eastAsia" w:ascii="宋体" w:hAnsi="宋体" w:cs="宋体"/>
          <w:color w:val="auto"/>
          <w:szCs w:val="21"/>
          <w:highlight w:val="none"/>
          <w:lang w:bidi="ar"/>
        </w:rPr>
        <w:t>2、规划成果包括中审稿、送审稿、报批稿和成果稿四个阶段成果。中间成果提交25套，电子文档（光盘）2套；送审成果提交25套，电子文档（光盘）2套；报批稿6套，电子文档（光盘）6套；最终成果提交6套，电子文档（光盘）6套，（具体数量根据实际需求有所变动）。</w:t>
      </w:r>
    </w:p>
    <w:p>
      <w:pPr>
        <w:autoSpaceDE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3、电子文档：包括文本电子文档（doc格式）以及图纸电子文档（含dwg格式与jpg格式，且电子文件必须为可编辑）。涉及空间位置的电子文件须以ArcGIS格式提交,包括研究对象现状和规划的GIS形式成果，更新国土空间规划“一张图”。</w:t>
      </w:r>
    </w:p>
    <w:p>
      <w:pPr>
        <w:pStyle w:val="51"/>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4、成果验收时，投标人提交的成果须满足本项所有要求。</w:t>
      </w:r>
    </w:p>
    <w:p>
      <w:pPr>
        <w:pStyle w:val="126"/>
        <w:spacing w:afterLines="50" w:line="360" w:lineRule="auto"/>
        <w:ind w:firstLine="488"/>
        <w:rPr>
          <w:rFonts w:hint="eastAsia" w:ascii="宋体" w:hAnsi="宋体" w:cs="Arial"/>
          <w:b/>
          <w:bCs/>
          <w:color w:val="auto"/>
          <w:szCs w:val="21"/>
          <w:highlight w:val="none"/>
        </w:rPr>
      </w:pPr>
      <w:r>
        <w:rPr>
          <w:rFonts w:hint="eastAsia" w:ascii="宋体" w:hAnsi="宋体" w:cs="Arial"/>
          <w:b/>
          <w:bCs/>
          <w:color w:val="auto"/>
          <w:szCs w:val="21"/>
          <w:highlight w:val="none"/>
        </w:rPr>
        <w:t>四、进度要求</w:t>
      </w:r>
    </w:p>
    <w:p>
      <w:pPr>
        <w:pStyle w:val="126"/>
        <w:spacing w:afterLines="50" w:line="360" w:lineRule="auto"/>
        <w:ind w:firstLine="488"/>
        <w:rPr>
          <w:rFonts w:hint="eastAsia" w:ascii="宋体" w:hAnsi="宋体" w:cs="Arial"/>
          <w:color w:val="auto"/>
          <w:szCs w:val="21"/>
          <w:highlight w:val="none"/>
        </w:rPr>
      </w:pPr>
      <w:r>
        <w:rPr>
          <w:rFonts w:hint="eastAsia" w:ascii="宋体" w:hAnsi="宋体" w:cs="Arial"/>
          <w:color w:val="auto"/>
          <w:szCs w:val="21"/>
          <w:highlight w:val="none"/>
        </w:rPr>
        <w:t>（一）2021年3-5月以例会形式(审查会)推进第一阶段任务编制。</w:t>
      </w:r>
    </w:p>
    <w:p>
      <w:pPr>
        <w:pStyle w:val="126"/>
        <w:spacing w:afterLines="50" w:line="360" w:lineRule="auto"/>
        <w:ind w:firstLine="488"/>
        <w:rPr>
          <w:rFonts w:hint="eastAsia" w:ascii="宋体" w:hAnsi="宋体" w:cs="Arial"/>
          <w:color w:val="auto"/>
          <w:szCs w:val="21"/>
          <w:highlight w:val="none"/>
        </w:rPr>
      </w:pPr>
      <w:r>
        <w:rPr>
          <w:rFonts w:hint="eastAsia" w:ascii="宋体" w:hAnsi="宋体" w:cs="Arial"/>
          <w:color w:val="auto"/>
          <w:szCs w:val="21"/>
          <w:highlight w:val="none"/>
        </w:rPr>
        <w:t>（二）2021年5月</w:t>
      </w:r>
      <w:r>
        <w:rPr>
          <w:rFonts w:hint="eastAsia" w:ascii="宋体" w:hAnsi="宋体" w:cs="Arial"/>
          <w:color w:val="auto"/>
          <w:szCs w:val="21"/>
          <w:highlight w:val="none"/>
          <w:lang w:val="en-US" w:eastAsia="zh-CN"/>
        </w:rPr>
        <w:t>31日</w:t>
      </w:r>
      <w:r>
        <w:rPr>
          <w:rFonts w:hint="eastAsia" w:ascii="宋体" w:hAnsi="宋体" w:cs="Arial"/>
          <w:color w:val="auto"/>
          <w:szCs w:val="21"/>
          <w:highlight w:val="none"/>
        </w:rPr>
        <w:t>前完成第一阶段任务上报稿。</w:t>
      </w:r>
    </w:p>
    <w:p>
      <w:pPr>
        <w:pStyle w:val="126"/>
        <w:spacing w:afterLines="50" w:line="360" w:lineRule="auto"/>
        <w:ind w:firstLine="488"/>
        <w:rPr>
          <w:rFonts w:hint="eastAsia" w:ascii="宋体" w:hAnsi="宋体" w:cs="Arial"/>
          <w:color w:val="auto"/>
          <w:szCs w:val="21"/>
          <w:highlight w:val="none"/>
        </w:rPr>
      </w:pPr>
      <w:r>
        <w:rPr>
          <w:rFonts w:hint="eastAsia" w:ascii="宋体" w:hAnsi="宋体" w:cs="Arial"/>
          <w:color w:val="auto"/>
          <w:szCs w:val="21"/>
          <w:highlight w:val="none"/>
        </w:rPr>
        <w:t>（三）2021年6-8月以例会形式(审查会)推进第二阶段任务编制。</w:t>
      </w:r>
    </w:p>
    <w:p>
      <w:pPr>
        <w:pStyle w:val="126"/>
        <w:spacing w:afterLines="50" w:line="360" w:lineRule="auto"/>
        <w:ind w:firstLine="488"/>
        <w:rPr>
          <w:rFonts w:ascii="宋体" w:hAnsi="宋体" w:cs="Arial"/>
          <w:color w:val="auto"/>
          <w:szCs w:val="21"/>
          <w:highlight w:val="none"/>
        </w:rPr>
      </w:pPr>
      <w:r>
        <w:rPr>
          <w:rFonts w:hint="eastAsia" w:ascii="宋体" w:hAnsi="宋体" w:cs="Arial"/>
          <w:color w:val="auto"/>
          <w:szCs w:val="21"/>
          <w:highlight w:val="none"/>
        </w:rPr>
        <w:t>（四）2021年8月</w:t>
      </w:r>
      <w:r>
        <w:rPr>
          <w:rFonts w:hint="eastAsia" w:ascii="宋体" w:hAnsi="宋体" w:cs="Arial"/>
          <w:color w:val="auto"/>
          <w:szCs w:val="21"/>
          <w:highlight w:val="none"/>
          <w:lang w:val="en-US" w:eastAsia="zh-CN"/>
        </w:rPr>
        <w:t>31日</w:t>
      </w:r>
      <w:r>
        <w:rPr>
          <w:rFonts w:hint="eastAsia" w:ascii="宋体" w:hAnsi="宋体" w:cs="Arial"/>
          <w:color w:val="auto"/>
          <w:szCs w:val="21"/>
          <w:highlight w:val="none"/>
        </w:rPr>
        <w:t>前完成第二阶段任务结题成果。</w:t>
      </w:r>
    </w:p>
    <w:p>
      <w:pPr>
        <w:pStyle w:val="124"/>
        <w:numPr>
          <w:ilvl w:val="0"/>
          <w:numId w:val="9"/>
        </w:numPr>
        <w:spacing w:line="360" w:lineRule="auto"/>
        <w:ind w:leftChars="0" w:firstLine="422" w:firstLineChars="200"/>
        <w:rPr>
          <w:rFonts w:hint="eastAsia" w:hAnsi="宋体"/>
          <w:color w:val="auto"/>
          <w:sz w:val="21"/>
          <w:szCs w:val="21"/>
          <w:highlight w:val="none"/>
          <w:lang w:val="en-US" w:eastAsia="zh-CN"/>
        </w:rPr>
      </w:pPr>
      <w:r>
        <w:rPr>
          <w:rFonts w:hint="eastAsia" w:hAnsi="宋体"/>
          <w:color w:val="auto"/>
          <w:sz w:val="21"/>
          <w:szCs w:val="21"/>
          <w:highlight w:val="none"/>
          <w:lang w:val="en-US" w:eastAsia="zh-CN"/>
        </w:rPr>
        <w:t>商务要求</w:t>
      </w:r>
    </w:p>
    <w:p>
      <w:pPr>
        <w:pStyle w:val="125"/>
        <w:numPr>
          <w:ilvl w:val="0"/>
          <w:numId w:val="0"/>
        </w:numPr>
        <w:spacing w:line="360" w:lineRule="auto"/>
        <w:ind w:firstLine="420" w:firstLineChars="200"/>
        <w:rPr>
          <w:rFonts w:hint="default"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1、</w:t>
      </w:r>
      <w:r>
        <w:rPr>
          <w:rFonts w:hint="default" w:ascii="宋体" w:hAnsi="宋体" w:eastAsia="宋体" w:cs="Arial"/>
          <w:color w:val="auto"/>
          <w:kern w:val="2"/>
          <w:sz w:val="21"/>
          <w:szCs w:val="21"/>
          <w:highlight w:val="none"/>
          <w:lang w:val="en-US" w:eastAsia="zh-CN" w:bidi="ar-SA"/>
        </w:rPr>
        <w:t>付款方式</w:t>
      </w:r>
    </w:p>
    <w:p>
      <w:pPr>
        <w:pStyle w:val="125"/>
        <w:numPr>
          <w:ilvl w:val="0"/>
          <w:numId w:val="0"/>
        </w:numPr>
        <w:spacing w:line="360" w:lineRule="auto"/>
        <w:ind w:firstLine="420" w:firstLineChars="200"/>
        <w:rPr>
          <w:rFonts w:hint="default"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（1）</w:t>
      </w:r>
      <w:r>
        <w:rPr>
          <w:rFonts w:hint="default" w:ascii="宋体" w:hAnsi="宋体" w:eastAsia="宋体" w:cs="Arial"/>
          <w:color w:val="auto"/>
          <w:kern w:val="2"/>
          <w:sz w:val="21"/>
          <w:szCs w:val="21"/>
          <w:highlight w:val="none"/>
          <w:lang w:val="en-US" w:eastAsia="zh-CN" w:bidi="ar-SA"/>
        </w:rPr>
        <w:t>合同生效后15日内，甲方按</w:t>
      </w:r>
      <w:r>
        <w:rPr>
          <w:rFonts w:hint="eastAsia" w:ascii="宋体" w:hAnsi="宋体" w:cs="Arial"/>
          <w:color w:val="auto"/>
          <w:kern w:val="2"/>
          <w:sz w:val="21"/>
          <w:szCs w:val="21"/>
          <w:highlight w:val="none"/>
          <w:lang w:val="en-US" w:eastAsia="zh-CN" w:bidi="ar-SA"/>
        </w:rPr>
        <w:t>合同金额</w:t>
      </w:r>
      <w:r>
        <w:rPr>
          <w:rFonts w:hint="default" w:ascii="宋体" w:hAnsi="宋体" w:eastAsia="宋体" w:cs="Arial"/>
          <w:color w:val="auto"/>
          <w:kern w:val="2"/>
          <w:sz w:val="21"/>
          <w:szCs w:val="21"/>
          <w:highlight w:val="none"/>
          <w:lang w:val="en-US" w:eastAsia="zh-CN" w:bidi="ar-SA"/>
        </w:rPr>
        <w:t>的</w:t>
      </w:r>
      <w:r>
        <w:rPr>
          <w:rFonts w:hint="eastAsia" w:ascii="宋体" w:hAnsi="宋体" w:cs="Arial"/>
          <w:color w:val="auto"/>
          <w:kern w:val="2"/>
          <w:sz w:val="21"/>
          <w:szCs w:val="21"/>
          <w:highlight w:val="none"/>
          <w:lang w:val="en-US" w:eastAsia="zh-CN" w:bidi="ar-SA"/>
        </w:rPr>
        <w:t>40</w:t>
      </w:r>
      <w:r>
        <w:rPr>
          <w:rFonts w:hint="default" w:ascii="宋体" w:hAnsi="宋体" w:eastAsia="宋体" w:cs="Arial"/>
          <w:color w:val="auto"/>
          <w:kern w:val="2"/>
          <w:sz w:val="21"/>
          <w:szCs w:val="21"/>
          <w:highlight w:val="none"/>
          <w:lang w:val="en-US" w:eastAsia="zh-CN" w:bidi="ar-SA"/>
        </w:rPr>
        <w:t>%支付预付款。</w:t>
      </w:r>
    </w:p>
    <w:p>
      <w:pPr>
        <w:pStyle w:val="125"/>
        <w:numPr>
          <w:ilvl w:val="0"/>
          <w:numId w:val="0"/>
        </w:numPr>
        <w:spacing w:line="360" w:lineRule="auto"/>
        <w:ind w:firstLine="420" w:firstLineChars="200"/>
        <w:rPr>
          <w:rFonts w:hint="default"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（2）</w:t>
      </w:r>
      <w:r>
        <w:rPr>
          <w:rFonts w:hint="default" w:ascii="宋体" w:hAnsi="宋体" w:eastAsia="宋体" w:cs="Arial"/>
          <w:color w:val="auto"/>
          <w:kern w:val="2"/>
          <w:sz w:val="21"/>
          <w:szCs w:val="21"/>
          <w:highlight w:val="none"/>
          <w:lang w:val="en-US" w:eastAsia="zh-CN" w:bidi="ar-SA"/>
        </w:rPr>
        <w:t>乙方按照双方进度约定完成现状调研及提交初步成果，甲方支付</w:t>
      </w:r>
      <w:r>
        <w:rPr>
          <w:rFonts w:hint="eastAsia" w:ascii="宋体" w:hAnsi="宋体" w:cs="Arial"/>
          <w:color w:val="auto"/>
          <w:kern w:val="2"/>
          <w:sz w:val="21"/>
          <w:szCs w:val="21"/>
          <w:highlight w:val="none"/>
          <w:lang w:val="en-US" w:eastAsia="zh-CN" w:bidi="ar-SA"/>
        </w:rPr>
        <w:t>合同金额</w:t>
      </w:r>
      <w:r>
        <w:rPr>
          <w:rFonts w:hint="default" w:ascii="宋体" w:hAnsi="宋体" w:eastAsia="宋体" w:cs="Arial"/>
          <w:color w:val="auto"/>
          <w:kern w:val="2"/>
          <w:sz w:val="21"/>
          <w:szCs w:val="21"/>
          <w:highlight w:val="none"/>
          <w:lang w:val="en-US" w:eastAsia="zh-CN" w:bidi="ar-SA"/>
        </w:rPr>
        <w:t>的</w:t>
      </w:r>
      <w:r>
        <w:rPr>
          <w:rFonts w:hint="eastAsia" w:ascii="宋体" w:hAnsi="宋体" w:cs="Arial"/>
          <w:color w:val="auto"/>
          <w:kern w:val="2"/>
          <w:sz w:val="21"/>
          <w:szCs w:val="21"/>
          <w:highlight w:val="none"/>
          <w:lang w:val="en-US" w:eastAsia="zh-CN" w:bidi="ar-SA"/>
        </w:rPr>
        <w:t>40</w:t>
      </w:r>
      <w:r>
        <w:rPr>
          <w:rFonts w:hint="default" w:ascii="宋体" w:hAnsi="宋体" w:eastAsia="宋体" w:cs="Arial"/>
          <w:color w:val="auto"/>
          <w:kern w:val="2"/>
          <w:sz w:val="21"/>
          <w:szCs w:val="21"/>
          <w:highlight w:val="none"/>
          <w:lang w:val="en-US" w:eastAsia="zh-CN" w:bidi="ar-SA"/>
        </w:rPr>
        <w:t>%。</w:t>
      </w:r>
    </w:p>
    <w:p>
      <w:pPr>
        <w:pStyle w:val="125"/>
        <w:numPr>
          <w:ilvl w:val="0"/>
          <w:numId w:val="0"/>
        </w:numPr>
        <w:spacing w:line="360" w:lineRule="auto"/>
        <w:ind w:firstLine="420" w:firstLineChars="200"/>
        <w:rPr>
          <w:rFonts w:hint="default"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（3）</w:t>
      </w:r>
      <w:r>
        <w:rPr>
          <w:rFonts w:hint="default" w:ascii="宋体" w:hAnsi="宋体" w:eastAsia="宋体" w:cs="Arial"/>
          <w:color w:val="auto"/>
          <w:kern w:val="2"/>
          <w:sz w:val="21"/>
          <w:szCs w:val="21"/>
          <w:highlight w:val="none"/>
          <w:lang w:val="en-US" w:eastAsia="zh-CN" w:bidi="ar-SA"/>
        </w:rPr>
        <w:t>乙方按照双方进度约定完成送审成果后，并经甲方组织专家和部门审查达到技术要求的，甲方在出具会议纪要后支付</w:t>
      </w:r>
      <w:r>
        <w:rPr>
          <w:rFonts w:hint="eastAsia" w:ascii="宋体" w:hAnsi="宋体" w:cs="Arial"/>
          <w:color w:val="auto"/>
          <w:kern w:val="2"/>
          <w:sz w:val="21"/>
          <w:szCs w:val="21"/>
          <w:highlight w:val="none"/>
          <w:lang w:val="en-US" w:eastAsia="zh-CN" w:bidi="ar-SA"/>
        </w:rPr>
        <w:t>合同金额</w:t>
      </w:r>
      <w:r>
        <w:rPr>
          <w:rFonts w:hint="default" w:ascii="宋体" w:hAnsi="宋体" w:eastAsia="宋体" w:cs="Arial"/>
          <w:color w:val="auto"/>
          <w:kern w:val="2"/>
          <w:sz w:val="21"/>
          <w:szCs w:val="21"/>
          <w:highlight w:val="none"/>
          <w:lang w:val="en-US" w:eastAsia="zh-CN" w:bidi="ar-SA"/>
        </w:rPr>
        <w:t>的</w:t>
      </w:r>
      <w:r>
        <w:rPr>
          <w:rFonts w:hint="eastAsia" w:ascii="宋体" w:hAnsi="宋体" w:cs="Arial"/>
          <w:color w:val="auto"/>
          <w:kern w:val="2"/>
          <w:sz w:val="21"/>
          <w:szCs w:val="21"/>
          <w:highlight w:val="none"/>
          <w:lang w:val="en-US" w:eastAsia="zh-CN" w:bidi="ar-SA"/>
        </w:rPr>
        <w:t>2</w:t>
      </w:r>
      <w:r>
        <w:rPr>
          <w:rFonts w:hint="default" w:ascii="宋体" w:hAnsi="宋体" w:eastAsia="宋体" w:cs="Arial"/>
          <w:color w:val="auto"/>
          <w:kern w:val="2"/>
          <w:sz w:val="21"/>
          <w:szCs w:val="21"/>
          <w:highlight w:val="none"/>
          <w:lang w:val="en-US" w:eastAsia="zh-CN" w:bidi="ar-SA"/>
        </w:rPr>
        <w:t>0%。</w:t>
      </w:r>
    </w:p>
    <w:p>
      <w:pPr>
        <w:pStyle w:val="125"/>
        <w:numPr>
          <w:ilvl w:val="0"/>
          <w:numId w:val="0"/>
        </w:numPr>
        <w:spacing w:line="360" w:lineRule="auto"/>
        <w:ind w:firstLine="420" w:firstLineChars="200"/>
        <w:rPr>
          <w:rFonts w:hint="default"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2、</w:t>
      </w:r>
      <w:r>
        <w:rPr>
          <w:rFonts w:hint="default" w:ascii="宋体" w:hAnsi="宋体" w:eastAsia="宋体" w:cs="Arial"/>
          <w:color w:val="auto"/>
          <w:kern w:val="2"/>
          <w:sz w:val="21"/>
          <w:szCs w:val="21"/>
          <w:highlight w:val="none"/>
          <w:lang w:val="en-US" w:eastAsia="zh-CN" w:bidi="ar-SA"/>
        </w:rPr>
        <w:t>质量维护期</w:t>
      </w:r>
    </w:p>
    <w:p>
      <w:pPr>
        <w:pStyle w:val="125"/>
        <w:numPr>
          <w:ilvl w:val="0"/>
          <w:numId w:val="0"/>
        </w:numPr>
        <w:spacing w:line="360" w:lineRule="auto"/>
        <w:ind w:firstLine="420" w:firstLineChars="200"/>
        <w:rPr>
          <w:rFonts w:hint="default" w:ascii="宋体" w:hAnsi="宋体" w:eastAsia="宋体" w:cs="Arial"/>
          <w:color w:val="auto"/>
          <w:kern w:val="2"/>
          <w:sz w:val="21"/>
          <w:szCs w:val="21"/>
          <w:highlight w:val="none"/>
          <w:lang w:val="en-US" w:eastAsia="zh-CN" w:bidi="ar-SA"/>
        </w:rPr>
      </w:pPr>
      <w:r>
        <w:rPr>
          <w:rFonts w:hint="default" w:ascii="宋体" w:hAnsi="宋体" w:eastAsia="宋体" w:cs="Arial"/>
          <w:color w:val="auto"/>
          <w:kern w:val="2"/>
          <w:sz w:val="21"/>
          <w:szCs w:val="21"/>
          <w:highlight w:val="none"/>
          <w:lang w:val="en-US" w:eastAsia="zh-CN" w:bidi="ar-SA"/>
        </w:rPr>
        <w:t>项目验收合格后2年。</w:t>
      </w:r>
    </w:p>
    <w:p>
      <w:pPr>
        <w:pStyle w:val="125"/>
        <w:numPr>
          <w:ilvl w:val="0"/>
          <w:numId w:val="0"/>
        </w:numPr>
        <w:spacing w:line="360" w:lineRule="auto"/>
        <w:ind w:firstLine="420" w:firstLineChars="200"/>
        <w:rPr>
          <w:rFonts w:hint="default"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3、</w:t>
      </w:r>
      <w:r>
        <w:rPr>
          <w:rFonts w:hint="default" w:ascii="宋体" w:hAnsi="宋体" w:eastAsia="宋体" w:cs="Arial"/>
          <w:color w:val="auto"/>
          <w:kern w:val="2"/>
          <w:sz w:val="21"/>
          <w:szCs w:val="21"/>
          <w:highlight w:val="none"/>
          <w:lang w:val="en-US" w:eastAsia="zh-CN" w:bidi="ar-SA"/>
        </w:rPr>
        <w:t>项目组成员要求</w:t>
      </w:r>
    </w:p>
    <w:p>
      <w:pPr>
        <w:pStyle w:val="124"/>
        <w:numPr>
          <w:ilvl w:val="0"/>
          <w:numId w:val="0"/>
        </w:numPr>
        <w:spacing w:line="360" w:lineRule="auto"/>
        <w:ind w:leftChars="0" w:firstLine="420" w:firstLineChars="200"/>
        <w:rPr>
          <w:rFonts w:hint="eastAsia" w:hAnsi="宋体"/>
          <w:b w:val="0"/>
          <w:bCs/>
          <w:color w:val="auto"/>
          <w:sz w:val="21"/>
          <w:szCs w:val="21"/>
          <w:highlight w:val="none"/>
          <w:lang w:val="en-US" w:eastAsia="zh-CN"/>
        </w:rPr>
      </w:pPr>
      <w:r>
        <w:rPr>
          <w:rFonts w:hint="eastAsia" w:hAnsi="宋体"/>
          <w:b w:val="0"/>
          <w:bCs/>
          <w:color w:val="auto"/>
          <w:sz w:val="21"/>
          <w:szCs w:val="21"/>
          <w:highlight w:val="none"/>
          <w:lang w:val="en-US" w:eastAsia="zh-CN"/>
        </w:rPr>
        <w:t>（1）拟派项目负责人具有主持类似项目（管控类规划）业绩。</w:t>
      </w:r>
    </w:p>
    <w:p>
      <w:pPr>
        <w:pStyle w:val="124"/>
        <w:numPr>
          <w:ilvl w:val="0"/>
          <w:numId w:val="0"/>
        </w:numPr>
        <w:spacing w:line="360" w:lineRule="auto"/>
        <w:ind w:leftChars="0" w:firstLine="420" w:firstLineChars="200"/>
        <w:rPr>
          <w:rFonts w:hint="eastAsia" w:hAnsi="宋体"/>
          <w:b w:val="0"/>
          <w:bCs/>
          <w:color w:val="auto"/>
          <w:sz w:val="21"/>
          <w:szCs w:val="21"/>
          <w:highlight w:val="none"/>
          <w:lang w:val="en-US" w:eastAsia="zh-CN"/>
        </w:rPr>
      </w:pPr>
      <w:r>
        <w:rPr>
          <w:rFonts w:hint="eastAsia" w:hAnsi="宋体"/>
          <w:b w:val="0"/>
          <w:bCs/>
          <w:color w:val="auto"/>
          <w:sz w:val="21"/>
          <w:szCs w:val="21"/>
          <w:highlight w:val="none"/>
          <w:lang w:val="en-US" w:eastAsia="zh-CN"/>
        </w:rPr>
        <w:t>（2）拟派项目组成员中具有教授级高级工程师，项目团队人员具有中副高（含）职称、中级以上（含）工程师</w:t>
      </w:r>
    </w:p>
    <w:p>
      <w:pPr>
        <w:pStyle w:val="124"/>
        <w:numPr>
          <w:ilvl w:val="0"/>
          <w:numId w:val="0"/>
        </w:numPr>
        <w:spacing w:line="360" w:lineRule="auto"/>
        <w:ind w:leftChars="0" w:firstLine="422" w:firstLineChars="200"/>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六、</w:t>
      </w:r>
      <w:r>
        <w:rPr>
          <w:rFonts w:hint="eastAsia" w:hAnsi="宋体"/>
          <w:color w:val="auto"/>
          <w:sz w:val="21"/>
          <w:szCs w:val="21"/>
          <w:highlight w:val="none"/>
        </w:rPr>
        <w:t>验收</w:t>
      </w:r>
      <w:r>
        <w:rPr>
          <w:rFonts w:hint="eastAsia" w:hAnsi="宋体"/>
          <w:color w:val="auto"/>
          <w:sz w:val="21"/>
          <w:szCs w:val="21"/>
          <w:highlight w:val="none"/>
          <w:lang w:val="en-US" w:eastAsia="zh-CN"/>
        </w:rPr>
        <w:t>标准</w:t>
      </w:r>
    </w:p>
    <w:bookmarkEnd w:id="39"/>
    <w:bookmarkEnd w:id="40"/>
    <w:bookmarkEnd w:id="41"/>
    <w:p>
      <w:pPr>
        <w:pStyle w:val="51"/>
        <w:spacing w:line="360" w:lineRule="auto"/>
        <w:ind w:firstLine="420"/>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符合《中华人民共和国城乡规划法》（2008.1）、《城市用地分类与规划建设用地标准》（GB 50137-2011）、《浙江省城乡规划条例》（2010.10）、《杭州市城乡规划条例》（2011.10）等标准，</w:t>
      </w:r>
      <w:r>
        <w:rPr>
          <w:rFonts w:hint="eastAsia" w:ascii="宋体" w:hAnsi="宋体" w:cs="宋体"/>
          <w:color w:val="auto"/>
          <w:sz w:val="21"/>
          <w:szCs w:val="21"/>
          <w:highlight w:val="none"/>
          <w:lang w:val="en-US" w:eastAsia="zh-CN" w:bidi="ar"/>
        </w:rPr>
        <w:t>完成技术要求规定的所有工作内容，按采购需求提交所有成果资料，实施进度符合采购要求，</w:t>
      </w:r>
      <w:r>
        <w:rPr>
          <w:rFonts w:hint="eastAsia" w:ascii="宋体" w:hAnsi="宋体" w:cs="宋体"/>
          <w:color w:val="auto"/>
          <w:sz w:val="21"/>
          <w:szCs w:val="21"/>
          <w:highlight w:val="none"/>
          <w:lang w:bidi="ar"/>
        </w:rPr>
        <w:t>经采购人组织验收通过并出具书面验收意见。</w:t>
      </w:r>
    </w:p>
    <w:p>
      <w:pPr>
        <w:rPr>
          <w:color w:val="auto"/>
          <w:highlight w:val="none"/>
        </w:rPr>
      </w:pPr>
    </w:p>
    <w:p>
      <w:pPr>
        <w:pStyle w:val="51"/>
        <w:ind w:firstLine="0" w:firstLineChars="0"/>
        <w:jc w:val="center"/>
        <w:rPr>
          <w:rFonts w:ascii="宋体" w:hAnsi="宋体" w:cs="宋体"/>
          <w:b/>
          <w:color w:val="auto"/>
          <w:sz w:val="30"/>
          <w:szCs w:val="30"/>
          <w:highlight w:val="none"/>
        </w:rPr>
      </w:pPr>
      <w:r>
        <w:rPr>
          <w:rFonts w:hint="eastAsia" w:ascii="宋体" w:hAnsi="宋体" w:cs="宋体"/>
          <w:color w:val="auto"/>
          <w:szCs w:val="21"/>
          <w:highlight w:val="none"/>
        </w:rPr>
        <w:br w:type="page"/>
      </w:r>
      <w:bookmarkStart w:id="42" w:name="_Toc25387"/>
      <w:bookmarkStart w:id="43" w:name="_Toc19650"/>
      <w:bookmarkStart w:id="44" w:name="_Toc242012824"/>
      <w:r>
        <w:rPr>
          <w:rFonts w:hint="eastAsia" w:ascii="宋体" w:hAnsi="宋体" w:cs="宋体"/>
          <w:b/>
          <w:color w:val="auto"/>
          <w:sz w:val="30"/>
          <w:szCs w:val="30"/>
          <w:highlight w:val="none"/>
        </w:rPr>
        <w:t>第四部分  合同条款</w:t>
      </w:r>
      <w:bookmarkEnd w:id="42"/>
      <w:bookmarkEnd w:id="43"/>
      <w:bookmarkEnd w:id="44"/>
    </w:p>
    <w:p>
      <w:pPr>
        <w:spacing w:line="360" w:lineRule="auto"/>
        <w:ind w:right="-185" w:rightChars="-88" w:firstLine="422" w:firstLineChars="200"/>
        <w:rPr>
          <w:rFonts w:ascii="宋体" w:hAnsi="宋体"/>
          <w:b/>
          <w:color w:val="auto"/>
          <w:szCs w:val="21"/>
          <w:highlight w:val="none"/>
        </w:rPr>
      </w:pPr>
      <w:bookmarkStart w:id="45" w:name="_Toc14349"/>
      <w:bookmarkStart w:id="46" w:name="_Toc249760790"/>
      <w:bookmarkStart w:id="47" w:name="_Toc251566661"/>
      <w:bookmarkStart w:id="48" w:name="_Toc20087"/>
      <w:r>
        <w:rPr>
          <w:rFonts w:ascii="宋体" w:hAnsi="宋体"/>
          <w:b/>
          <w:color w:val="auto"/>
          <w:szCs w:val="21"/>
          <w:highlight w:val="none"/>
        </w:rPr>
        <w:t>（本条款为双方必须遵守的基本条款，双方可根据实际情况签订合同</w:t>
      </w:r>
      <w:r>
        <w:rPr>
          <w:rFonts w:hint="eastAsia" w:ascii="宋体" w:hAnsi="宋体"/>
          <w:b/>
          <w:color w:val="auto"/>
          <w:szCs w:val="21"/>
          <w:highlight w:val="none"/>
        </w:rPr>
        <w:t>文本</w:t>
      </w:r>
      <w:r>
        <w:rPr>
          <w:rFonts w:ascii="宋体" w:hAnsi="宋体"/>
          <w:b/>
          <w:color w:val="auto"/>
          <w:szCs w:val="21"/>
          <w:highlight w:val="none"/>
        </w:rPr>
        <w:t>；正式合同以双方签字盖章的文本为准。）</w:t>
      </w:r>
    </w:p>
    <w:p>
      <w:pPr>
        <w:pStyle w:val="23"/>
        <w:spacing w:line="360" w:lineRule="auto"/>
        <w:rPr>
          <w:rFonts w:ascii="宋体" w:hAnsi="宋体" w:eastAsia="宋体" w:cs="宋体"/>
          <w:color w:val="auto"/>
          <w:highlight w:val="none"/>
        </w:rPr>
      </w:pPr>
      <w:r>
        <w:rPr>
          <w:rFonts w:hint="eastAsia" w:ascii="宋体" w:hAnsi="宋体" w:eastAsia="宋体" w:cs="宋体"/>
          <w:color w:val="auto"/>
          <w:highlight w:val="none"/>
        </w:rPr>
        <w:t>项目名称： ___________________</w:t>
      </w:r>
    </w:p>
    <w:p>
      <w:pPr>
        <w:pStyle w:val="23"/>
        <w:spacing w:line="360" w:lineRule="auto"/>
        <w:rPr>
          <w:rFonts w:ascii="宋体" w:hAnsi="宋体" w:eastAsia="宋体" w:cs="宋体"/>
          <w:color w:val="auto"/>
          <w:kern w:val="0"/>
          <w:highlight w:val="none"/>
        </w:rPr>
      </w:pPr>
      <w:r>
        <w:rPr>
          <w:rFonts w:hint="eastAsia" w:ascii="宋体" w:hAnsi="宋体" w:eastAsia="宋体" w:cs="宋体"/>
          <w:color w:val="auto"/>
          <w:kern w:val="0"/>
          <w:highlight w:val="none"/>
        </w:rPr>
        <w:t>甲方：______________________</w:t>
      </w:r>
    </w:p>
    <w:p>
      <w:pPr>
        <w:pStyle w:val="23"/>
        <w:spacing w:line="360" w:lineRule="auto"/>
        <w:rPr>
          <w:rFonts w:ascii="宋体" w:hAnsi="宋体" w:eastAsia="宋体" w:cs="宋体"/>
          <w:color w:val="auto"/>
          <w:kern w:val="0"/>
          <w:highlight w:val="none"/>
        </w:rPr>
      </w:pPr>
      <w:r>
        <w:rPr>
          <w:rFonts w:hint="eastAsia" w:ascii="宋体" w:hAnsi="宋体" w:eastAsia="宋体" w:cs="宋体"/>
          <w:color w:val="auto"/>
          <w:kern w:val="0"/>
          <w:highlight w:val="none"/>
        </w:rPr>
        <w:t>乙方： _____________________</w:t>
      </w:r>
    </w:p>
    <w:p>
      <w:pPr>
        <w:spacing w:line="520" w:lineRule="exact"/>
        <w:ind w:firstLine="525" w:firstLineChars="250"/>
        <w:rPr>
          <w:rFonts w:ascii="宋体" w:hAnsi="宋体" w:cs="宋体"/>
          <w:color w:val="auto"/>
          <w:szCs w:val="21"/>
          <w:highlight w:val="none"/>
        </w:rPr>
      </w:pPr>
      <w:r>
        <w:rPr>
          <w:rFonts w:hint="eastAsia" w:ascii="宋体" w:hAnsi="宋体" w:cs="宋体"/>
          <w:color w:val="auto"/>
          <w:kern w:val="0"/>
          <w:szCs w:val="21"/>
          <w:highlight w:val="none"/>
        </w:rPr>
        <w:t>为保证甲方采购乙方的关于_____________项目的相关服务[该项目属_______计划※（注：本合同书标有※号的条款按填写说明填写)]，依据《中华人民共和国政府采购法》和《中华人民共和国</w:t>
      </w:r>
      <w:r>
        <w:rPr>
          <w:rFonts w:hint="eastAsia" w:ascii="宋体" w:hAnsi="宋体" w:cs="宋体"/>
          <w:color w:val="auto"/>
          <w:kern w:val="0"/>
          <w:szCs w:val="21"/>
          <w:highlight w:val="none"/>
          <w:lang w:val="en-US" w:eastAsia="zh-CN"/>
        </w:rPr>
        <w:t>民法典</w:t>
      </w:r>
      <w:r>
        <w:rPr>
          <w:rFonts w:hint="eastAsia" w:ascii="宋体" w:hAnsi="宋体" w:cs="宋体"/>
          <w:color w:val="auto"/>
          <w:kern w:val="0"/>
          <w:szCs w:val="21"/>
          <w:highlight w:val="none"/>
        </w:rPr>
        <w:t>》，《中华人民共和国城乡规划法》的有关规定，结合《杭州市城乡规划设计计费指导标准（试行）》</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参照</w:t>
      </w:r>
      <w:r>
        <w:rPr>
          <w:rFonts w:hint="eastAsia" w:ascii="宋体" w:hAnsi="宋体" w:cs="宋体"/>
          <w:color w:val="auto"/>
          <w:szCs w:val="21"/>
          <w:highlight w:val="none"/>
        </w:rPr>
        <w:t>《测绘产品工程价格》（国家测绘局2002年颁布）</w:t>
      </w:r>
      <w:r>
        <w:rPr>
          <w:rFonts w:hint="eastAsia" w:ascii="宋体" w:hAnsi="宋体" w:cs="宋体"/>
          <w:color w:val="auto"/>
          <w:kern w:val="0"/>
          <w:szCs w:val="21"/>
          <w:highlight w:val="none"/>
        </w:rPr>
        <w:t>的相关要求，经甲、乙双方友好协商，签订本合同并遵照执行。</w:t>
      </w:r>
    </w:p>
    <w:p>
      <w:pPr>
        <w:pStyle w:val="114"/>
        <w:spacing w:line="360" w:lineRule="auto"/>
        <w:ind w:left="-134" w:leftChars="-64" w:firstLine="422" w:firstLineChars="200"/>
        <w:rPr>
          <w:rFonts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一、服务内容</w:t>
      </w:r>
    </w:p>
    <w:p>
      <w:pPr>
        <w:autoSpaceDE w:val="0"/>
        <w:spacing w:line="360" w:lineRule="auto"/>
        <w:ind w:firstLine="422" w:firstLineChars="200"/>
        <w:jc w:val="left"/>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（一）规划范围</w:t>
      </w:r>
    </w:p>
    <w:p>
      <w:pPr>
        <w:autoSpaceDE w:val="0"/>
        <w:spacing w:line="360" w:lineRule="auto"/>
        <w:ind w:firstLine="420" w:firstLineChars="200"/>
        <w:jc w:val="left"/>
        <w:rPr>
          <w:rFonts w:hint="eastAsia" w:ascii="宋体" w:hAnsi="宋体" w:eastAsia="宋体" w:cs="宋体"/>
          <w:b w:val="0"/>
          <w:bCs/>
          <w:color w:val="auto"/>
          <w:kern w:val="0"/>
          <w:highlight w:val="none"/>
        </w:rPr>
      </w:pPr>
      <w:r>
        <w:rPr>
          <w:rFonts w:hint="eastAsia" w:ascii="宋体" w:hAnsi="宋体" w:eastAsia="宋体" w:cs="宋体"/>
          <w:b w:val="0"/>
          <w:bCs/>
          <w:color w:val="auto"/>
          <w:kern w:val="0"/>
          <w:highlight w:val="none"/>
        </w:rPr>
        <w:t>本次规划范围与《“三江汇”杭州未来城市实践区发展战略与行动规划》中协调管理区的规划范围保持一致，进行城乡统筹，促进三生资源高效配置，总面积约458平方公里。</w:t>
      </w:r>
    </w:p>
    <w:p>
      <w:pPr>
        <w:autoSpaceDE w:val="0"/>
        <w:spacing w:line="360" w:lineRule="auto"/>
        <w:ind w:firstLine="422" w:firstLineChars="200"/>
        <w:jc w:val="left"/>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（二）技术要求</w:t>
      </w:r>
    </w:p>
    <w:p>
      <w:pPr>
        <w:autoSpaceDE w:val="0"/>
        <w:spacing w:line="360" w:lineRule="auto"/>
        <w:ind w:firstLine="420" w:firstLineChars="200"/>
        <w:jc w:val="left"/>
        <w:rPr>
          <w:rFonts w:hint="eastAsia" w:ascii="宋体" w:hAnsi="宋体" w:eastAsia="宋体" w:cs="宋体"/>
          <w:b w:val="0"/>
          <w:bCs/>
          <w:color w:val="auto"/>
          <w:kern w:val="0"/>
          <w:highlight w:val="none"/>
        </w:rPr>
      </w:pPr>
      <w:r>
        <w:rPr>
          <w:rFonts w:hint="eastAsia" w:ascii="宋体" w:hAnsi="宋体" w:eastAsia="宋体" w:cs="宋体"/>
          <w:b w:val="0"/>
          <w:bCs/>
          <w:color w:val="auto"/>
          <w:kern w:val="0"/>
          <w:highlight w:val="none"/>
        </w:rPr>
        <w:t>该项目相关任务分两个阶段完成：</w:t>
      </w:r>
    </w:p>
    <w:p>
      <w:pPr>
        <w:autoSpaceDE w:val="0"/>
        <w:spacing w:line="360" w:lineRule="auto"/>
        <w:ind w:firstLine="420" w:firstLineChars="200"/>
        <w:jc w:val="left"/>
        <w:rPr>
          <w:rFonts w:hint="eastAsia" w:ascii="宋体" w:hAnsi="宋体" w:eastAsia="宋体" w:cs="宋体"/>
          <w:b w:val="0"/>
          <w:bCs/>
          <w:color w:val="auto"/>
          <w:kern w:val="0"/>
          <w:highlight w:val="none"/>
        </w:rPr>
      </w:pPr>
      <w:r>
        <w:rPr>
          <w:rFonts w:hint="eastAsia" w:ascii="宋体" w:hAnsi="宋体" w:eastAsia="宋体" w:cs="宋体"/>
          <w:b w:val="0"/>
          <w:bCs/>
          <w:color w:val="auto"/>
          <w:kern w:val="0"/>
          <w:highlight w:val="none"/>
        </w:rPr>
        <w:t>第一阶段：2021年5月</w:t>
      </w:r>
      <w:r>
        <w:rPr>
          <w:rFonts w:hint="eastAsia" w:ascii="宋体" w:hAnsi="宋体" w:cs="宋体"/>
          <w:b w:val="0"/>
          <w:bCs/>
          <w:color w:val="auto"/>
          <w:kern w:val="0"/>
          <w:highlight w:val="none"/>
          <w:lang w:val="en-US" w:eastAsia="zh-CN"/>
        </w:rPr>
        <w:t>31日</w:t>
      </w:r>
      <w:r>
        <w:rPr>
          <w:rFonts w:hint="eastAsia" w:ascii="宋体" w:hAnsi="宋体" w:eastAsia="宋体" w:cs="宋体"/>
          <w:b w:val="0"/>
          <w:bCs/>
          <w:color w:val="auto"/>
          <w:kern w:val="0"/>
          <w:highlight w:val="none"/>
        </w:rPr>
        <w:t>前完成。</w:t>
      </w:r>
    </w:p>
    <w:p>
      <w:pPr>
        <w:autoSpaceDE w:val="0"/>
        <w:spacing w:line="360" w:lineRule="auto"/>
        <w:ind w:firstLine="420" w:firstLineChars="200"/>
        <w:jc w:val="left"/>
        <w:rPr>
          <w:rFonts w:hint="eastAsia" w:ascii="宋体" w:hAnsi="宋体" w:eastAsia="宋体" w:cs="宋体"/>
          <w:b w:val="0"/>
          <w:bCs/>
          <w:color w:val="auto"/>
          <w:kern w:val="0"/>
          <w:highlight w:val="none"/>
        </w:rPr>
      </w:pPr>
      <w:r>
        <w:rPr>
          <w:rFonts w:hint="eastAsia" w:ascii="宋体" w:hAnsi="宋体" w:eastAsia="宋体" w:cs="宋体"/>
          <w:b w:val="0"/>
          <w:bCs/>
          <w:color w:val="auto"/>
          <w:kern w:val="0"/>
          <w:highlight w:val="none"/>
        </w:rPr>
        <w:t>1、落实上位规划要求，开展现行单元控规实施评估。一是深入解读“三江汇”杭州未来城市实践区发展战略与行动规划及配套准则等相关规划要求，加强与在编国土空间总体规划衔接，落实对三江汇地区永农和耕地保护的传导，厘清上位规划及相关规划需要向下传导的底线要求和弹性要求。二是着眼现实从问题导向出发，对规划范围内的控制性详细规划实施情况进行评估。包括对现状控规单元的已编、在编及规划审批等情况进行梳理，系统性评估具体实施情况、面临问题等内容，明晰控制性规划需要优化提升的内容及需要解决或避免的问题。</w:t>
      </w:r>
    </w:p>
    <w:p>
      <w:pPr>
        <w:autoSpaceDE w:val="0"/>
        <w:spacing w:line="360" w:lineRule="auto"/>
        <w:ind w:firstLine="420" w:firstLineChars="200"/>
        <w:jc w:val="left"/>
        <w:rPr>
          <w:rFonts w:hint="eastAsia" w:ascii="宋体" w:hAnsi="宋体" w:eastAsia="宋体" w:cs="宋体"/>
          <w:b w:val="0"/>
          <w:bCs/>
          <w:color w:val="auto"/>
          <w:kern w:val="0"/>
          <w:highlight w:val="none"/>
        </w:rPr>
      </w:pPr>
      <w:r>
        <w:rPr>
          <w:rFonts w:hint="eastAsia" w:ascii="宋体" w:hAnsi="宋体" w:eastAsia="宋体" w:cs="宋体"/>
          <w:b w:val="0"/>
          <w:bCs/>
          <w:color w:val="auto"/>
          <w:kern w:val="0"/>
          <w:highlight w:val="none"/>
        </w:rPr>
        <w:t xml:space="preserve">2、明确控规单元划分方案及功能定位。以战略与行动规划为指导，依据空间功能结合山水和行政边界，提出控规单元划分方案，并注重耕地、永农布局与城市功能区的有机结合，明确各单元功能定位，明晰主导方向。 </w:t>
      </w:r>
    </w:p>
    <w:p>
      <w:pPr>
        <w:autoSpaceDE w:val="0"/>
        <w:spacing w:line="360" w:lineRule="auto"/>
        <w:ind w:firstLine="420" w:firstLineChars="200"/>
        <w:jc w:val="left"/>
        <w:rPr>
          <w:rFonts w:hint="eastAsia" w:ascii="宋体" w:hAnsi="宋体" w:eastAsia="宋体" w:cs="宋体"/>
          <w:b w:val="0"/>
          <w:bCs/>
          <w:color w:val="auto"/>
          <w:kern w:val="0"/>
          <w:highlight w:val="none"/>
        </w:rPr>
      </w:pPr>
      <w:r>
        <w:rPr>
          <w:rFonts w:hint="eastAsia" w:ascii="宋体" w:hAnsi="宋体" w:eastAsia="宋体" w:cs="宋体"/>
          <w:b w:val="0"/>
          <w:bCs/>
          <w:color w:val="auto"/>
          <w:kern w:val="0"/>
          <w:highlight w:val="none"/>
        </w:rPr>
        <w:t>3、明确各单元控规编制的底线要求和弹性要求。对控规单元的类型、编制时序等提出编制建议，并明确各单元应落实的强制性要素和刚性管控要求，并因地制宜提出体现包容性和应对发展变化的韧性要求，以指导下一步单元控规编制。</w:t>
      </w:r>
    </w:p>
    <w:p>
      <w:pPr>
        <w:autoSpaceDE w:val="0"/>
        <w:spacing w:line="360" w:lineRule="auto"/>
        <w:ind w:firstLine="420" w:firstLineChars="200"/>
        <w:jc w:val="left"/>
        <w:rPr>
          <w:rFonts w:hint="eastAsia" w:ascii="宋体" w:hAnsi="宋体" w:eastAsia="宋体" w:cs="宋体"/>
          <w:b w:val="0"/>
          <w:bCs/>
          <w:color w:val="auto"/>
          <w:kern w:val="0"/>
          <w:highlight w:val="none"/>
        </w:rPr>
      </w:pPr>
      <w:r>
        <w:rPr>
          <w:rFonts w:hint="eastAsia" w:ascii="宋体" w:hAnsi="宋体" w:eastAsia="宋体" w:cs="宋体"/>
          <w:b w:val="0"/>
          <w:bCs/>
          <w:color w:val="auto"/>
          <w:kern w:val="0"/>
          <w:highlight w:val="none"/>
        </w:rPr>
        <w:t>第二阶段：2021年8月</w:t>
      </w:r>
      <w:r>
        <w:rPr>
          <w:rFonts w:hint="eastAsia" w:ascii="宋体" w:hAnsi="宋体" w:cs="宋体"/>
          <w:b w:val="0"/>
          <w:bCs/>
          <w:color w:val="auto"/>
          <w:kern w:val="0"/>
          <w:highlight w:val="none"/>
          <w:lang w:val="en-US" w:eastAsia="zh-CN"/>
        </w:rPr>
        <w:t>31日</w:t>
      </w:r>
      <w:r>
        <w:rPr>
          <w:rFonts w:hint="eastAsia" w:ascii="宋体" w:hAnsi="宋体" w:eastAsia="宋体" w:cs="宋体"/>
          <w:b w:val="0"/>
          <w:bCs/>
          <w:color w:val="auto"/>
          <w:kern w:val="0"/>
          <w:highlight w:val="none"/>
        </w:rPr>
        <w:t>前完成。</w:t>
      </w:r>
    </w:p>
    <w:p>
      <w:pPr>
        <w:autoSpaceDE w:val="0"/>
        <w:spacing w:line="360" w:lineRule="auto"/>
        <w:ind w:firstLine="420" w:firstLineChars="200"/>
        <w:jc w:val="left"/>
        <w:rPr>
          <w:rFonts w:hint="eastAsia" w:ascii="宋体" w:hAnsi="宋体" w:eastAsia="宋体" w:cs="宋体"/>
          <w:b w:val="0"/>
          <w:bCs/>
          <w:color w:val="auto"/>
          <w:kern w:val="0"/>
          <w:highlight w:val="none"/>
        </w:rPr>
      </w:pPr>
      <w:r>
        <w:rPr>
          <w:rFonts w:hint="eastAsia" w:ascii="宋体" w:hAnsi="宋体" w:eastAsia="宋体" w:cs="宋体"/>
          <w:b w:val="0"/>
          <w:bCs/>
          <w:color w:val="auto"/>
          <w:kern w:val="0"/>
          <w:highlight w:val="none"/>
        </w:rPr>
        <w:t>1. 加强案例剖析。充分学习和借鉴雄安新区等地区的先进经验，并结合前期已开展单元控规编制存在困难与问题，提出科学合理的规划编制和管理优化提升思路、对策建议。</w:t>
      </w:r>
    </w:p>
    <w:p>
      <w:pPr>
        <w:autoSpaceDE w:val="0"/>
        <w:spacing w:line="360" w:lineRule="auto"/>
        <w:ind w:firstLine="420" w:firstLineChars="200"/>
        <w:jc w:val="left"/>
        <w:rPr>
          <w:rFonts w:hint="eastAsia" w:ascii="宋体" w:hAnsi="宋体" w:eastAsia="宋体" w:cs="宋体"/>
          <w:b w:val="0"/>
          <w:bCs/>
          <w:color w:val="auto"/>
          <w:kern w:val="0"/>
          <w:highlight w:val="none"/>
        </w:rPr>
      </w:pPr>
      <w:r>
        <w:rPr>
          <w:rFonts w:hint="eastAsia" w:ascii="宋体" w:hAnsi="宋体" w:eastAsia="宋体" w:cs="宋体"/>
          <w:b w:val="0"/>
          <w:bCs/>
          <w:color w:val="auto"/>
          <w:kern w:val="0"/>
          <w:highlight w:val="none"/>
        </w:rPr>
        <w:t>2. 开展应对未来城市构建方面的系列专题研究。加强符合未来城市新发展方向的规划管控体系、城市体检体系、创新性指标、非建设用地管控、乡村地区规划管理、指标总量控制及分配与调控机制、弹性空间管理等方面的研究。</w:t>
      </w:r>
    </w:p>
    <w:p>
      <w:pPr>
        <w:autoSpaceDE w:val="0"/>
        <w:spacing w:line="360" w:lineRule="auto"/>
        <w:ind w:firstLine="420" w:firstLineChars="200"/>
        <w:jc w:val="left"/>
        <w:rPr>
          <w:rFonts w:ascii="宋体" w:hAnsi="宋体" w:cs="宋体"/>
          <w:b w:val="0"/>
          <w:bCs/>
          <w:color w:val="auto"/>
          <w:szCs w:val="21"/>
          <w:highlight w:val="none"/>
        </w:rPr>
      </w:pPr>
      <w:r>
        <w:rPr>
          <w:rFonts w:hint="eastAsia" w:ascii="宋体" w:hAnsi="宋体" w:eastAsia="宋体" w:cs="宋体"/>
          <w:b w:val="0"/>
          <w:bCs/>
          <w:color w:val="auto"/>
          <w:kern w:val="0"/>
          <w:highlight w:val="none"/>
        </w:rPr>
        <w:t>3. 制定指导下一步工作的工作方案，并配合做好后续与控规强制性内容调配协调等相关服务工作。</w:t>
      </w:r>
    </w:p>
    <w:p>
      <w:pPr>
        <w:tabs>
          <w:tab w:val="left" w:pos="0"/>
        </w:tabs>
        <w:spacing w:line="360" w:lineRule="auto"/>
        <w:ind w:firstLine="480"/>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三</w:t>
      </w:r>
      <w:r>
        <w:rPr>
          <w:rFonts w:hint="eastAsia" w:ascii="宋体" w:hAnsi="宋体" w:cs="宋体"/>
          <w:b/>
          <w:color w:val="auto"/>
          <w:szCs w:val="21"/>
          <w:highlight w:val="none"/>
        </w:rPr>
        <w:t>）规划成果要求</w:t>
      </w:r>
    </w:p>
    <w:p>
      <w:pPr>
        <w:pStyle w:val="2"/>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1、最终成果应包括：文本、图集和说明。最终成果还应形成研究结论与核心建议（字数约3000-5000字以内），及规划成果宣传相关材料。</w:t>
      </w:r>
    </w:p>
    <w:p>
      <w:pPr>
        <w:pStyle w:val="2"/>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规划成果包括中审稿、送审稿、报批稿和成果稿四个阶段成果。中间成果提交25套，电子文档（光盘）2套；送审成果提交25套，电子文档（光盘）2套；报批稿6套，电子文档（光盘）6套；最终成果提交6套，电子文档（光盘）6套，（具体数量根据实际需求有所变动）。</w:t>
      </w:r>
    </w:p>
    <w:p>
      <w:pPr>
        <w:pStyle w:val="2"/>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文档：包括文本电子文档（doc格式）以及图纸电子文档（含dwg格式与jpg格式，且电子文件必须为可编辑）。涉及空间位置的电子文件须以ArcGIS格式提交,包括研究对象现状和规划的GIS形式成果，更新国土空间规划“一张图”。</w:t>
      </w:r>
    </w:p>
    <w:p>
      <w:pPr>
        <w:pStyle w:val="2"/>
        <w:ind w:firstLine="56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4、成果验收时，投标人提交的成果须满足本项所有要求。</w:t>
      </w:r>
    </w:p>
    <w:p>
      <w:pPr>
        <w:tabs>
          <w:tab w:val="left" w:pos="0"/>
        </w:tabs>
        <w:spacing w:line="360" w:lineRule="auto"/>
        <w:ind w:firstLine="480"/>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rPr>
        <w:t>）进度要求</w:t>
      </w:r>
    </w:p>
    <w:p>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 </w:t>
      </w:r>
      <w:r>
        <w:rPr>
          <w:rFonts w:hint="eastAsia" w:ascii="宋体" w:hAnsi="宋体" w:cs="宋体"/>
          <w:color w:val="auto"/>
          <w:szCs w:val="21"/>
          <w:highlight w:val="none"/>
        </w:rPr>
        <w:t>2021年3-5月以例会形式(审查会)推进第一阶段任务编制。</w:t>
      </w:r>
    </w:p>
    <w:p>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2. </w:t>
      </w:r>
      <w:r>
        <w:rPr>
          <w:rFonts w:hint="eastAsia" w:ascii="宋体" w:hAnsi="宋体" w:cs="宋体"/>
          <w:color w:val="auto"/>
          <w:szCs w:val="21"/>
          <w:highlight w:val="none"/>
        </w:rPr>
        <w:t>2021年5月</w:t>
      </w:r>
      <w:r>
        <w:rPr>
          <w:rFonts w:hint="eastAsia" w:ascii="宋体" w:hAnsi="宋体" w:cs="宋体"/>
          <w:color w:val="auto"/>
          <w:szCs w:val="21"/>
          <w:highlight w:val="none"/>
          <w:lang w:val="en-US" w:eastAsia="zh-CN"/>
        </w:rPr>
        <w:t>31日</w:t>
      </w:r>
      <w:r>
        <w:rPr>
          <w:rFonts w:hint="eastAsia" w:ascii="宋体" w:hAnsi="宋体" w:cs="宋体"/>
          <w:color w:val="auto"/>
          <w:szCs w:val="21"/>
          <w:highlight w:val="none"/>
        </w:rPr>
        <w:t>前完成第一阶段任务上报稿。</w:t>
      </w:r>
    </w:p>
    <w:p>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3. </w:t>
      </w:r>
      <w:r>
        <w:rPr>
          <w:rFonts w:hint="eastAsia" w:ascii="宋体" w:hAnsi="宋体" w:cs="宋体"/>
          <w:color w:val="auto"/>
          <w:szCs w:val="21"/>
          <w:highlight w:val="none"/>
        </w:rPr>
        <w:t>2021年6-8月以例会形式(审查会)推进第二阶段任务编制。</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lang w:val="en-US" w:eastAsia="zh-CN"/>
        </w:rPr>
        <w:t xml:space="preserve">4. </w:t>
      </w:r>
      <w:r>
        <w:rPr>
          <w:rFonts w:hint="eastAsia" w:ascii="宋体" w:hAnsi="宋体" w:cs="宋体"/>
          <w:color w:val="auto"/>
          <w:szCs w:val="21"/>
          <w:highlight w:val="none"/>
        </w:rPr>
        <w:t>2021年8月</w:t>
      </w:r>
      <w:r>
        <w:rPr>
          <w:rFonts w:hint="eastAsia" w:ascii="宋体" w:hAnsi="宋体" w:cs="宋体"/>
          <w:color w:val="auto"/>
          <w:szCs w:val="21"/>
          <w:highlight w:val="none"/>
          <w:lang w:val="en-US" w:eastAsia="zh-CN"/>
        </w:rPr>
        <w:t>31日</w:t>
      </w:r>
      <w:r>
        <w:rPr>
          <w:rFonts w:hint="eastAsia" w:ascii="宋体" w:hAnsi="宋体" w:cs="宋体"/>
          <w:color w:val="auto"/>
          <w:szCs w:val="21"/>
          <w:highlight w:val="none"/>
        </w:rPr>
        <w:t>前完成第二阶段任务结题成果。。</w:t>
      </w:r>
    </w:p>
    <w:p>
      <w:pPr>
        <w:tabs>
          <w:tab w:val="left" w:pos="0"/>
        </w:tabs>
        <w:spacing w:line="360" w:lineRule="auto"/>
        <w:ind w:firstLine="480"/>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rPr>
        <w:t>) 其他要求</w:t>
      </w:r>
    </w:p>
    <w:p>
      <w:pPr>
        <w:pStyle w:val="114"/>
        <w:spacing w:line="360" w:lineRule="auto"/>
        <w:ind w:left="-134" w:leftChars="-64" w:firstLine="422" w:firstLineChars="200"/>
        <w:rPr>
          <w:rFonts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二、合同金额</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本合同金额为____万元人民币（￥____万元整）。</w:t>
      </w:r>
    </w:p>
    <w:p>
      <w:pPr>
        <w:pStyle w:val="114"/>
        <w:spacing w:line="360" w:lineRule="auto"/>
        <w:ind w:left="-134" w:leftChars="-64" w:firstLine="422" w:firstLineChars="200"/>
        <w:rPr>
          <w:rFonts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三、基础资料及保密要求</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1、甲方应按招标文件及时向乙方提供项目开展所必需的有关基础资料，乙方在项目开展时应首先完成现状调研和项目基础资料的汇编工作并提交甲方确认。在项目完成后15日内，乙方应将基础资料归还甲方。</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本规划的基础资料及成果归甲方所有，乙方对基础资料及成果负有保密责任。乙方不得将由甲方提供的有关合同或本项目有关的文件、计划、数据、图纸等基础资料以及成果提供给与履行本合同无关的任何其他人或用于其它与编制项目无关用途。向履行本合同有关的人员提供，应就保密要求与使用权限作出明确告知。乙方在使用基础资料过程中，如违反有关保密的法律、法规及规定要求，甲方将有权收回基础资料，无条件终止乙方的使用权，乙方承担相应的法律责任。</w:t>
      </w:r>
    </w:p>
    <w:p>
      <w:pPr>
        <w:pStyle w:val="114"/>
        <w:spacing w:line="360" w:lineRule="auto"/>
        <w:ind w:left="-134" w:leftChars="-64" w:firstLine="422" w:firstLineChars="200"/>
        <w:rPr>
          <w:rFonts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四、知识产权</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乙方应保证提供服务过程中不会侵犯任何第三方的知识产权，避免发生纠纷。</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本规划及研究项目的成果知识产权归甲方所有,未经甲方书面同意，乙方无权继续使用上述成果用于其他用途，更无权转让或许可他人使用。</w:t>
      </w:r>
    </w:p>
    <w:p>
      <w:pPr>
        <w:pStyle w:val="114"/>
        <w:spacing w:line="360" w:lineRule="auto"/>
        <w:ind w:left="-134" w:leftChars="-64" w:firstLine="422" w:firstLineChars="200"/>
        <w:rPr>
          <w:rFonts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五、履行主体</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1、本合同范围的服务，应由乙方直接提供，未经甲方事先书面同意，乙方不得将本合同范围的服务部分分包给第三方。</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2、如有转让或未经甲方同意的分包行为，甲方有权解除合同，没收履约保证金并追究乙方的违约责任。</w:t>
      </w:r>
    </w:p>
    <w:p>
      <w:pPr>
        <w:pStyle w:val="114"/>
        <w:spacing w:line="360" w:lineRule="auto"/>
        <w:ind w:left="-134" w:leftChars="-64" w:firstLine="422" w:firstLineChars="200"/>
        <w:rPr>
          <w:rFonts w:ascii="宋体" w:hAnsi="宋体" w:cs="宋体"/>
          <w:color w:val="auto"/>
          <w:sz w:val="21"/>
          <w:szCs w:val="21"/>
          <w:highlight w:val="none"/>
          <w:lang w:eastAsia="zh-CN"/>
        </w:rPr>
      </w:pPr>
      <w:r>
        <w:rPr>
          <w:rFonts w:hint="eastAsia" w:ascii="宋体" w:hAnsi="宋体" w:cs="宋体"/>
          <w:b/>
          <w:color w:val="auto"/>
          <w:sz w:val="21"/>
          <w:szCs w:val="21"/>
          <w:highlight w:val="none"/>
          <w:lang w:eastAsia="zh-CN"/>
        </w:rPr>
        <w:t>六、合同履行时间、履行方式及履行地点</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1、履行时间：</w:t>
      </w:r>
      <w:r>
        <w:rPr>
          <w:rFonts w:hint="eastAsia" w:ascii="宋体" w:hAnsi="宋体" w:cs="宋体"/>
          <w:color w:val="auto"/>
          <w:szCs w:val="21"/>
          <w:highlight w:val="none"/>
          <w:u w:val="single"/>
        </w:rPr>
        <w:t>年 月- 年 月。</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2、履行方式：提供服务、完成合同所列工作任务</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3、履行地点：杭州</w:t>
      </w:r>
    </w:p>
    <w:p>
      <w:pPr>
        <w:framePr w:hSpace="180" w:wrap="around" w:vAnchor="text" w:hAnchor="margin" w:xAlign="center" w:y="314"/>
        <w:spacing w:line="520" w:lineRule="exact"/>
        <w:ind w:left="490"/>
        <w:rPr>
          <w:rFonts w:ascii="宋体" w:hAnsi="宋体" w:cs="宋体"/>
          <w:b/>
          <w:color w:val="auto"/>
          <w:szCs w:val="21"/>
          <w:highlight w:val="none"/>
        </w:rPr>
      </w:pPr>
      <w:r>
        <w:rPr>
          <w:rFonts w:hint="eastAsia" w:ascii="宋体" w:hAnsi="宋体" w:cs="宋体"/>
          <w:b/>
          <w:color w:val="auto"/>
          <w:szCs w:val="21"/>
          <w:highlight w:val="none"/>
        </w:rPr>
        <w:t xml:space="preserve">七、验收、评价方法          </w:t>
      </w:r>
    </w:p>
    <w:p>
      <w:pPr>
        <w:framePr w:hSpace="180" w:wrap="around" w:vAnchor="text" w:hAnchor="margin" w:xAlign="center" w:y="314"/>
        <w:spacing w:line="520" w:lineRule="exact"/>
        <w:ind w:left="1" w:firstLine="392" w:firstLineChars="187"/>
        <w:rPr>
          <w:rFonts w:ascii="宋体" w:hAnsi="宋体" w:cs="宋体"/>
          <w:color w:val="auto"/>
          <w:szCs w:val="21"/>
          <w:highlight w:val="none"/>
        </w:rPr>
      </w:pPr>
      <w:r>
        <w:rPr>
          <w:rFonts w:hint="eastAsia" w:ascii="宋体" w:hAnsi="宋体" w:cs="宋体"/>
          <w:color w:val="auto"/>
          <w:szCs w:val="21"/>
          <w:highlight w:val="none"/>
        </w:rPr>
        <w:t>技术服务最终成果达到了本合同第一条所列的要求，采用____________方式验收，由 ________________出具技术服务成果验收证明。</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 xml:space="preserve">   评价方法※：</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□1、专家及部门审查通过。</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□2、杭州市规划和自然资源局审会通过。</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□3、市政府批复。</w:t>
      </w:r>
    </w:p>
    <w:p>
      <w:pPr>
        <w:pStyle w:val="114"/>
        <w:spacing w:line="360" w:lineRule="auto"/>
        <w:ind w:left="-134" w:leftChars="-64" w:firstLine="422" w:firstLineChars="200"/>
        <w:rPr>
          <w:rFonts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八、款项支付</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付款方式※：</w:t>
      </w:r>
    </w:p>
    <w:p>
      <w:pPr>
        <w:tabs>
          <w:tab w:val="left" w:pos="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（1）合同生效后15日内，甲方按</w:t>
      </w:r>
      <w:r>
        <w:rPr>
          <w:rFonts w:hint="eastAsia" w:ascii="宋体" w:hAnsi="宋体" w:cs="Arial"/>
          <w:color w:val="auto"/>
          <w:kern w:val="2"/>
          <w:sz w:val="21"/>
          <w:szCs w:val="21"/>
          <w:highlight w:val="none"/>
          <w:lang w:val="en-US" w:eastAsia="zh-CN" w:bidi="ar-SA"/>
        </w:rPr>
        <w:t>合同金额</w:t>
      </w:r>
      <w:r>
        <w:rPr>
          <w:rFonts w:hint="eastAsia" w:ascii="宋体" w:hAnsi="宋体" w:cs="宋体"/>
          <w:color w:val="auto"/>
          <w:szCs w:val="21"/>
          <w:highlight w:val="none"/>
        </w:rPr>
        <w:t>的40%支付预付款，即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tabs>
          <w:tab w:val="left" w:pos="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（2）乙方按照双方进度约定完成现状调研及提交初步成果，甲方支付</w:t>
      </w:r>
      <w:r>
        <w:rPr>
          <w:rFonts w:hint="eastAsia" w:ascii="宋体" w:hAnsi="宋体" w:cs="Arial"/>
          <w:color w:val="auto"/>
          <w:kern w:val="2"/>
          <w:sz w:val="21"/>
          <w:szCs w:val="21"/>
          <w:highlight w:val="none"/>
          <w:lang w:val="en-US" w:eastAsia="zh-CN" w:bidi="ar-SA"/>
        </w:rPr>
        <w:t>合同金额</w:t>
      </w:r>
      <w:r>
        <w:rPr>
          <w:rFonts w:hint="eastAsia" w:ascii="宋体" w:hAnsi="宋体" w:cs="宋体"/>
          <w:color w:val="auto"/>
          <w:szCs w:val="21"/>
          <w:highlight w:val="none"/>
        </w:rPr>
        <w:t>的40%，即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tabs>
          <w:tab w:val="left" w:pos="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（3）乙方按照双方进度约定完成送审成果后，并经甲方组织专家和部门审查达到技术要求的，甲方在出具会议纪要后支付</w:t>
      </w:r>
      <w:r>
        <w:rPr>
          <w:rFonts w:hint="eastAsia" w:ascii="宋体" w:hAnsi="宋体" w:cs="Arial"/>
          <w:color w:val="auto"/>
          <w:kern w:val="2"/>
          <w:sz w:val="21"/>
          <w:szCs w:val="21"/>
          <w:highlight w:val="none"/>
          <w:lang w:val="en-US" w:eastAsia="zh-CN" w:bidi="ar-SA"/>
        </w:rPr>
        <w:t>合同金额</w:t>
      </w:r>
      <w:r>
        <w:rPr>
          <w:rFonts w:hint="eastAsia" w:ascii="宋体" w:hAnsi="宋体" w:cs="宋体"/>
          <w:color w:val="auto"/>
          <w:szCs w:val="21"/>
          <w:highlight w:val="none"/>
        </w:rPr>
        <w:t>的20%，即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tabs>
          <w:tab w:val="left" w:pos="0"/>
        </w:tabs>
        <w:spacing w:line="360" w:lineRule="auto"/>
        <w:ind w:firstLine="480"/>
        <w:rPr>
          <w:rFonts w:ascii="宋体" w:hAnsi="宋体" w:cs="宋体"/>
          <w:b/>
          <w:color w:val="auto"/>
          <w:szCs w:val="21"/>
          <w:highlight w:val="none"/>
        </w:rPr>
      </w:pPr>
      <w:r>
        <w:rPr>
          <w:rFonts w:hint="eastAsia" w:ascii="宋体" w:hAnsi="宋体" w:cs="宋体"/>
          <w:b/>
          <w:color w:val="auto"/>
          <w:szCs w:val="21"/>
          <w:highlight w:val="none"/>
        </w:rPr>
        <w:t>九、税费</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本合同执行中相关的一切税费均由乙方负担，各环节成果审查产生的有关专家费用等由乙方承担。</w:t>
      </w:r>
    </w:p>
    <w:p>
      <w:pPr>
        <w:pStyle w:val="114"/>
        <w:spacing w:line="360" w:lineRule="auto"/>
        <w:ind w:left="-134" w:leftChars="-64" w:firstLine="422" w:firstLineChars="200"/>
        <w:rPr>
          <w:rFonts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十、质量保证及后续服务</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1、各阶段审查前乙方须按照合同约定的进度要求提前向甲方提交申请审查单，待甲方确认达到阶段成果要求后，进入审查程序。</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乙方应按招标文件规定向甲方提供服务，若出现由于乙方不按进度、技术要求履行合同而导致项目进展缓慢、成果质量达不到要求的情况，甲方有权向乙方采取告诫、约谈、发出整改通知单、解除或终止合同、扣除保证金、要求赔偿等有关措施。</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3、乙方提供服务期间，应负责免费提供项目内容修改和调整服务（内容包括合同技术要求，以及项目审查会议意见要求）。如出现进展缓慢或未按修改调整要求进行调整的，根据实际情况，甲方向乙方发出整改通知单，如乙方收到3次以上（含3次），甲方将乙方项目组及其成员列入不良行为记录名单，在三年内禁止参加甲方的采购活动，并抄告行业监管部门。</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4、乙方在服务质量保证期内，应对出现的质量及安全问题负责处理解决，相关费用自行承担。</w:t>
      </w:r>
    </w:p>
    <w:p>
      <w:pPr>
        <w:pStyle w:val="114"/>
        <w:spacing w:line="360" w:lineRule="auto"/>
        <w:ind w:left="-134" w:leftChars="-64" w:firstLine="422" w:firstLineChars="200"/>
        <w:rPr>
          <w:rFonts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十一、违约责任</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1、甲方应在规定时间内向乙方提供基础资料及文件，并对其准确性、及时性负责，甲方不得要求乙方违反国家有关标准进行规划设计。</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乙方须依法取得相应资质证书承揽国土空间规划编制工作，应按国家标准和合同约定的技术要求进行规划设计，按合同规定的内容、时间及份数向甲方交付规划设计文件，并对提交的规划成果质量负责。若乙方出现违反本条款规定的行为，依照《城乡规划法》第六十二条、《浙江省城乡规划条例》第五十七条的规定，甲方可以报告给相关部门依法处理。</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3、乙方未能如期提供服务的，每日向甲方支付合同款项的千分之六作为违约金。乙方超过合同约定日期30个工作日仍不能提供服务的，甲方可单方面解除或终止本合同。乙方因未能如期提供服务或因其他违约行为导致甲方解除合同的，乙方应向甲方支付合同总值5%的，如造成甲方损失超过违约金的，超出部分由乙方继续承担赔偿责任。</w:t>
      </w:r>
    </w:p>
    <w:p>
      <w:pPr>
        <w:pStyle w:val="114"/>
        <w:spacing w:line="360" w:lineRule="auto"/>
        <w:ind w:left="-134" w:leftChars="-64" w:firstLine="422" w:firstLineChars="200"/>
        <w:rPr>
          <w:rFonts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十二、不可抗力事件处理</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3、不可抗力事件延续120天以上，双方可通过友好协商，确定是否继续履行合同。</w:t>
      </w:r>
    </w:p>
    <w:p>
      <w:pPr>
        <w:pStyle w:val="114"/>
        <w:spacing w:line="360" w:lineRule="auto"/>
        <w:ind w:left="-134" w:leftChars="-64" w:firstLine="422" w:firstLineChars="200"/>
        <w:rPr>
          <w:rFonts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十三、诉讼</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双方在执行合同中所发生的一切争议，应通过协商解决。如协商不成，可向甲方所在地法院起诉。</w:t>
      </w:r>
    </w:p>
    <w:p>
      <w:pPr>
        <w:pStyle w:val="114"/>
        <w:spacing w:line="360" w:lineRule="auto"/>
        <w:ind w:left="-134" w:leftChars="-64" w:firstLine="422" w:firstLineChars="200"/>
        <w:rPr>
          <w:rFonts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十四、合同生效及其它</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1、合同经双方法定代表人或授权代表签字并加盖单位公章后生效。</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2、合同执行中涉及采购资金和采购内容修改或补充的，须经财政部门审批，并签书面补充协议报政府采购监督管理部门备案，方可作为主合同不可分割的一部分。</w:t>
      </w:r>
    </w:p>
    <w:p>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3、本合同未尽事宜，遵照《</w:t>
      </w:r>
      <w:r>
        <w:rPr>
          <w:rFonts w:hint="eastAsia" w:ascii="宋体" w:hAnsi="宋体" w:cs="宋体"/>
          <w:color w:val="auto"/>
          <w:szCs w:val="21"/>
          <w:highlight w:val="none"/>
          <w:lang w:eastAsia="zh-CN"/>
        </w:rPr>
        <w:t>中华人民共和国民法典</w:t>
      </w:r>
      <w:r>
        <w:rPr>
          <w:rFonts w:hint="eastAsia" w:ascii="宋体" w:hAnsi="宋体" w:cs="宋体"/>
          <w:color w:val="auto"/>
          <w:szCs w:val="21"/>
          <w:highlight w:val="none"/>
        </w:rPr>
        <w:t>》有关条文执行。</w:t>
      </w:r>
    </w:p>
    <w:p>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4、本合同正本一式捌份，具有同等法律效力，甲方执肆份、乙方执贰份、鉴证方执贰份。</w:t>
      </w:r>
    </w:p>
    <w:p>
      <w:pPr>
        <w:pStyle w:val="2"/>
        <w:rPr>
          <w:color w:val="auto"/>
          <w:highlight w:val="none"/>
        </w:rPr>
      </w:pPr>
    </w:p>
    <w:tbl>
      <w:tblPr>
        <w:tblStyle w:val="43"/>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56"/>
        <w:gridCol w:w="2048"/>
        <w:gridCol w:w="1725"/>
        <w:gridCol w:w="820"/>
        <w:gridCol w:w="1470"/>
        <w:gridCol w:w="189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5" w:hRule="atLeast"/>
          <w:jc w:val="center"/>
        </w:trPr>
        <w:tc>
          <w:tcPr>
            <w:tcW w:w="756" w:type="dxa"/>
            <w:vMerge w:val="restart"/>
            <w:textDirection w:val="tbRlV"/>
            <w:vAlign w:val="center"/>
          </w:tcPr>
          <w:p>
            <w:pPr>
              <w:spacing w:line="240" w:lineRule="auto"/>
              <w:ind w:left="113" w:right="113"/>
              <w:jc w:val="center"/>
              <w:rPr>
                <w:rFonts w:ascii="宋体" w:hAnsi="宋体" w:cs="宋体"/>
                <w:color w:val="auto"/>
                <w:spacing w:val="90"/>
                <w:szCs w:val="21"/>
                <w:highlight w:val="none"/>
              </w:rPr>
            </w:pPr>
            <w:r>
              <w:rPr>
                <w:rFonts w:hint="eastAsia" w:ascii="宋体" w:hAnsi="宋体" w:cs="宋体"/>
                <w:color w:val="auto"/>
                <w:spacing w:val="90"/>
                <w:szCs w:val="21"/>
                <w:highlight w:val="none"/>
              </w:rPr>
              <w:t>委托人（甲方）</w:t>
            </w:r>
          </w:p>
        </w:tc>
        <w:tc>
          <w:tcPr>
            <w:tcW w:w="2048" w:type="dxa"/>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名称（或姓名）</w:t>
            </w:r>
          </w:p>
        </w:tc>
        <w:tc>
          <w:tcPr>
            <w:tcW w:w="4015" w:type="dxa"/>
            <w:gridSpan w:val="3"/>
            <w:vAlign w:val="center"/>
          </w:tcPr>
          <w:p>
            <w:pPr>
              <w:spacing w:line="240" w:lineRule="auto"/>
              <w:rPr>
                <w:rFonts w:ascii="宋体" w:hAnsi="宋体" w:cs="宋体"/>
                <w:color w:val="auto"/>
                <w:szCs w:val="21"/>
                <w:highlight w:val="none"/>
              </w:rPr>
            </w:pPr>
            <w:r>
              <w:rPr>
                <w:rFonts w:hint="eastAsia" w:ascii="宋体" w:hAnsi="宋体" w:cs="宋体"/>
                <w:color w:val="auto"/>
                <w:szCs w:val="21"/>
                <w:highlight w:val="none"/>
              </w:rPr>
              <w:t xml:space="preserve">                      （签章）</w:t>
            </w:r>
          </w:p>
        </w:tc>
        <w:tc>
          <w:tcPr>
            <w:tcW w:w="1890" w:type="dxa"/>
            <w:vMerge w:val="restart"/>
          </w:tcPr>
          <w:p>
            <w:pPr>
              <w:spacing w:line="240" w:lineRule="auto"/>
              <w:rPr>
                <w:rFonts w:ascii="宋体" w:hAnsi="宋体" w:cs="宋体"/>
                <w:color w:val="auto"/>
                <w:spacing w:val="-8"/>
                <w:szCs w:val="21"/>
                <w:highlight w:val="none"/>
              </w:rPr>
            </w:pPr>
            <w:r>
              <w:rPr>
                <w:rFonts w:hint="eastAsia" w:ascii="宋体" w:hAnsi="宋体" w:cs="宋体"/>
                <w:color w:val="auto"/>
                <w:spacing w:val="-8"/>
                <w:szCs w:val="21"/>
                <w:highlight w:val="none"/>
              </w:rPr>
              <w:t>技术合同专用章</w:t>
            </w:r>
          </w:p>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或</w:t>
            </w:r>
          </w:p>
          <w:p>
            <w:pPr>
              <w:spacing w:line="240" w:lineRule="auto"/>
              <w:jc w:val="center"/>
              <w:rPr>
                <w:rFonts w:ascii="宋体" w:hAnsi="宋体" w:cs="宋体"/>
                <w:color w:val="auto"/>
                <w:spacing w:val="10"/>
                <w:szCs w:val="21"/>
                <w:highlight w:val="none"/>
              </w:rPr>
            </w:pPr>
            <w:r>
              <w:rPr>
                <w:rFonts w:hint="eastAsia" w:ascii="宋体" w:hAnsi="宋体" w:cs="宋体"/>
                <w:color w:val="auto"/>
                <w:spacing w:val="10"/>
                <w:szCs w:val="21"/>
                <w:highlight w:val="none"/>
              </w:rPr>
              <w:t>单位公章</w:t>
            </w:r>
          </w:p>
          <w:p>
            <w:pPr>
              <w:spacing w:line="240" w:lineRule="auto"/>
              <w:jc w:val="center"/>
              <w:rPr>
                <w:rFonts w:ascii="宋体" w:hAnsi="宋体" w:cs="宋体"/>
                <w:color w:val="auto"/>
                <w:spacing w:val="10"/>
                <w:szCs w:val="21"/>
                <w:highlight w:val="none"/>
              </w:rPr>
            </w:pPr>
          </w:p>
          <w:p>
            <w:pPr>
              <w:spacing w:line="240" w:lineRule="auto"/>
              <w:jc w:val="center"/>
              <w:rPr>
                <w:rFonts w:ascii="宋体" w:hAnsi="宋体" w:cs="宋体"/>
                <w:color w:val="auto"/>
                <w:spacing w:val="10"/>
                <w:szCs w:val="21"/>
                <w:highlight w:val="none"/>
              </w:rPr>
            </w:pPr>
          </w:p>
          <w:p>
            <w:pPr>
              <w:spacing w:line="240" w:lineRule="auto"/>
              <w:jc w:val="center"/>
              <w:rPr>
                <w:rFonts w:ascii="宋体" w:hAnsi="宋体" w:cs="宋体"/>
                <w:color w:val="auto"/>
                <w:spacing w:val="10"/>
                <w:szCs w:val="21"/>
                <w:highlight w:val="none"/>
              </w:rPr>
            </w:pPr>
          </w:p>
          <w:p>
            <w:pPr>
              <w:spacing w:line="240" w:lineRule="auto"/>
              <w:jc w:val="center"/>
              <w:rPr>
                <w:rFonts w:ascii="宋体" w:hAnsi="宋体" w:cs="宋体"/>
                <w:color w:val="auto"/>
                <w:spacing w:val="10"/>
                <w:szCs w:val="21"/>
                <w:highlight w:val="none"/>
              </w:rPr>
            </w:pPr>
          </w:p>
          <w:p>
            <w:pPr>
              <w:spacing w:line="240" w:lineRule="auto"/>
              <w:ind w:firstLine="279" w:firstLineChars="141"/>
              <w:rPr>
                <w:rFonts w:ascii="宋体" w:hAnsi="宋体" w:cs="宋体"/>
                <w:color w:val="auto"/>
                <w:spacing w:val="-6"/>
                <w:szCs w:val="21"/>
                <w:highlight w:val="none"/>
              </w:rPr>
            </w:pPr>
            <w:r>
              <w:rPr>
                <w:rFonts w:hint="eastAsia" w:ascii="宋体" w:hAnsi="宋体" w:cs="宋体"/>
                <w:color w:val="auto"/>
                <w:spacing w:val="-6"/>
                <w:szCs w:val="21"/>
                <w:highlight w:val="none"/>
              </w:rPr>
              <w:t>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3" w:hRule="atLeast"/>
          <w:jc w:val="center"/>
        </w:trPr>
        <w:tc>
          <w:tcPr>
            <w:tcW w:w="756" w:type="dxa"/>
            <w:vMerge w:val="continue"/>
          </w:tcPr>
          <w:p>
            <w:pPr>
              <w:spacing w:line="240" w:lineRule="auto"/>
              <w:rPr>
                <w:rFonts w:ascii="宋体" w:hAnsi="宋体" w:cs="宋体"/>
                <w:color w:val="auto"/>
                <w:szCs w:val="21"/>
                <w:highlight w:val="none"/>
              </w:rPr>
            </w:pPr>
          </w:p>
        </w:tc>
        <w:tc>
          <w:tcPr>
            <w:tcW w:w="2048" w:type="dxa"/>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法定代表人或受委托人</w:t>
            </w:r>
          </w:p>
        </w:tc>
        <w:tc>
          <w:tcPr>
            <w:tcW w:w="4015" w:type="dxa"/>
            <w:gridSpan w:val="3"/>
          </w:tcPr>
          <w:p>
            <w:pPr>
              <w:spacing w:line="240" w:lineRule="auto"/>
              <w:rPr>
                <w:rFonts w:ascii="宋体" w:hAnsi="宋体" w:cs="宋体"/>
                <w:color w:val="auto"/>
                <w:szCs w:val="21"/>
                <w:highlight w:val="none"/>
              </w:rPr>
            </w:pPr>
            <w:r>
              <w:rPr>
                <w:rFonts w:hint="eastAsia" w:ascii="宋体" w:hAnsi="宋体" w:cs="宋体"/>
                <w:color w:val="auto"/>
                <w:szCs w:val="21"/>
                <w:highlight w:val="none"/>
              </w:rPr>
              <w:t xml:space="preserve">                      （签章）</w:t>
            </w:r>
          </w:p>
        </w:tc>
        <w:tc>
          <w:tcPr>
            <w:tcW w:w="1890" w:type="dxa"/>
            <w:vMerge w:val="continue"/>
          </w:tcPr>
          <w:p>
            <w:pPr>
              <w:spacing w:line="240" w:lineRule="auto"/>
              <w:rPr>
                <w:rFonts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7" w:hRule="atLeast"/>
          <w:jc w:val="center"/>
        </w:trPr>
        <w:tc>
          <w:tcPr>
            <w:tcW w:w="756" w:type="dxa"/>
            <w:vMerge w:val="continue"/>
          </w:tcPr>
          <w:p>
            <w:pPr>
              <w:spacing w:line="240" w:lineRule="auto"/>
              <w:rPr>
                <w:rFonts w:ascii="宋体" w:hAnsi="宋体" w:cs="宋体"/>
                <w:color w:val="auto"/>
                <w:szCs w:val="21"/>
                <w:highlight w:val="none"/>
              </w:rPr>
            </w:pPr>
          </w:p>
        </w:tc>
        <w:tc>
          <w:tcPr>
            <w:tcW w:w="2048" w:type="dxa"/>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联系（经办人）</w:t>
            </w:r>
          </w:p>
        </w:tc>
        <w:tc>
          <w:tcPr>
            <w:tcW w:w="4015" w:type="dxa"/>
            <w:gridSpan w:val="3"/>
          </w:tcPr>
          <w:p>
            <w:pPr>
              <w:spacing w:line="240" w:lineRule="auto"/>
              <w:rPr>
                <w:rFonts w:ascii="宋体" w:hAnsi="宋体" w:cs="宋体"/>
                <w:color w:val="auto"/>
                <w:szCs w:val="21"/>
                <w:highlight w:val="none"/>
              </w:rPr>
            </w:pPr>
            <w:r>
              <w:rPr>
                <w:rFonts w:hint="eastAsia" w:ascii="宋体" w:hAnsi="宋体" w:cs="宋体"/>
                <w:color w:val="auto"/>
                <w:szCs w:val="21"/>
                <w:highlight w:val="none"/>
              </w:rPr>
              <w:t xml:space="preserve">                      （签章）</w:t>
            </w:r>
          </w:p>
        </w:tc>
        <w:tc>
          <w:tcPr>
            <w:tcW w:w="1890" w:type="dxa"/>
            <w:vMerge w:val="continue"/>
          </w:tcPr>
          <w:p>
            <w:pPr>
              <w:spacing w:line="240" w:lineRule="auto"/>
              <w:rPr>
                <w:rFonts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3" w:hRule="atLeast"/>
          <w:jc w:val="center"/>
        </w:trPr>
        <w:tc>
          <w:tcPr>
            <w:tcW w:w="756" w:type="dxa"/>
            <w:vMerge w:val="continue"/>
          </w:tcPr>
          <w:p>
            <w:pPr>
              <w:spacing w:line="240" w:lineRule="auto"/>
              <w:rPr>
                <w:rFonts w:ascii="宋体" w:hAnsi="宋体" w:cs="宋体"/>
                <w:color w:val="auto"/>
                <w:szCs w:val="21"/>
                <w:highlight w:val="none"/>
              </w:rPr>
            </w:pPr>
          </w:p>
        </w:tc>
        <w:tc>
          <w:tcPr>
            <w:tcW w:w="2048" w:type="dxa"/>
          </w:tcPr>
          <w:p>
            <w:pPr>
              <w:spacing w:line="240" w:lineRule="auto"/>
              <w:jc w:val="center"/>
              <w:rPr>
                <w:rFonts w:ascii="宋体" w:hAnsi="宋体" w:cs="宋体"/>
                <w:color w:val="auto"/>
                <w:spacing w:val="34"/>
                <w:szCs w:val="21"/>
                <w:highlight w:val="none"/>
              </w:rPr>
            </w:pPr>
            <w:r>
              <w:rPr>
                <w:rFonts w:hint="eastAsia" w:ascii="宋体" w:hAnsi="宋体" w:cs="宋体"/>
                <w:color w:val="auto"/>
                <w:spacing w:val="34"/>
                <w:szCs w:val="21"/>
                <w:highlight w:val="none"/>
              </w:rPr>
              <w:t>住所</w:t>
            </w:r>
          </w:p>
          <w:p>
            <w:pPr>
              <w:spacing w:line="240" w:lineRule="auto"/>
              <w:jc w:val="center"/>
              <w:rPr>
                <w:rFonts w:ascii="宋体" w:hAnsi="宋体" w:cs="宋体"/>
                <w:color w:val="auto"/>
                <w:spacing w:val="16"/>
                <w:szCs w:val="21"/>
                <w:highlight w:val="none"/>
              </w:rPr>
            </w:pPr>
            <w:r>
              <w:rPr>
                <w:rFonts w:hint="eastAsia" w:ascii="宋体" w:hAnsi="宋体" w:cs="宋体"/>
                <w:color w:val="auto"/>
                <w:spacing w:val="16"/>
                <w:szCs w:val="21"/>
                <w:highlight w:val="none"/>
              </w:rPr>
              <w:t>（通讯地址）</w:t>
            </w:r>
          </w:p>
        </w:tc>
        <w:tc>
          <w:tcPr>
            <w:tcW w:w="1725" w:type="dxa"/>
          </w:tcPr>
          <w:p>
            <w:pPr>
              <w:spacing w:line="240" w:lineRule="auto"/>
              <w:rPr>
                <w:rFonts w:ascii="宋体" w:hAnsi="宋体" w:cs="宋体"/>
                <w:color w:val="auto"/>
                <w:szCs w:val="21"/>
                <w:highlight w:val="none"/>
              </w:rPr>
            </w:pPr>
          </w:p>
        </w:tc>
        <w:tc>
          <w:tcPr>
            <w:tcW w:w="820" w:type="dxa"/>
          </w:tcPr>
          <w:p>
            <w:pPr>
              <w:spacing w:line="240" w:lineRule="auto"/>
              <w:rPr>
                <w:rFonts w:ascii="宋体" w:hAnsi="宋体" w:cs="宋体"/>
                <w:color w:val="auto"/>
                <w:spacing w:val="8"/>
                <w:szCs w:val="21"/>
                <w:highlight w:val="none"/>
              </w:rPr>
            </w:pPr>
            <w:r>
              <w:rPr>
                <w:rFonts w:hint="eastAsia" w:ascii="宋体" w:hAnsi="宋体" w:cs="宋体"/>
                <w:color w:val="auto"/>
                <w:spacing w:val="8"/>
                <w:szCs w:val="21"/>
                <w:highlight w:val="none"/>
              </w:rPr>
              <w:t>邮政编码</w:t>
            </w:r>
          </w:p>
        </w:tc>
        <w:tc>
          <w:tcPr>
            <w:tcW w:w="1470" w:type="dxa"/>
          </w:tcPr>
          <w:p>
            <w:pPr>
              <w:spacing w:line="240" w:lineRule="auto"/>
              <w:rPr>
                <w:rFonts w:ascii="宋体" w:hAnsi="宋体" w:cs="宋体"/>
                <w:color w:val="auto"/>
                <w:szCs w:val="21"/>
                <w:highlight w:val="none"/>
              </w:rPr>
            </w:pPr>
          </w:p>
        </w:tc>
        <w:tc>
          <w:tcPr>
            <w:tcW w:w="1890" w:type="dxa"/>
            <w:vMerge w:val="continue"/>
          </w:tcPr>
          <w:p>
            <w:pPr>
              <w:spacing w:line="240" w:lineRule="auto"/>
              <w:rPr>
                <w:rFonts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756" w:type="dxa"/>
            <w:vMerge w:val="continue"/>
          </w:tcPr>
          <w:p>
            <w:pPr>
              <w:spacing w:line="240" w:lineRule="auto"/>
              <w:rPr>
                <w:rFonts w:ascii="宋体" w:hAnsi="宋体" w:cs="宋体"/>
                <w:color w:val="auto"/>
                <w:szCs w:val="21"/>
                <w:highlight w:val="none"/>
              </w:rPr>
            </w:pPr>
          </w:p>
        </w:tc>
        <w:tc>
          <w:tcPr>
            <w:tcW w:w="2048" w:type="dxa"/>
          </w:tcPr>
          <w:p>
            <w:pPr>
              <w:spacing w:line="240" w:lineRule="auto"/>
              <w:jc w:val="center"/>
              <w:rPr>
                <w:rFonts w:ascii="宋体" w:hAnsi="宋体" w:cs="宋体"/>
                <w:color w:val="auto"/>
                <w:spacing w:val="28"/>
                <w:szCs w:val="21"/>
                <w:highlight w:val="none"/>
              </w:rPr>
            </w:pPr>
            <w:r>
              <w:rPr>
                <w:rFonts w:hint="eastAsia" w:ascii="宋体" w:hAnsi="宋体" w:cs="宋体"/>
                <w:color w:val="auto"/>
                <w:spacing w:val="28"/>
                <w:szCs w:val="21"/>
                <w:highlight w:val="none"/>
              </w:rPr>
              <w:t>电话</w:t>
            </w:r>
          </w:p>
        </w:tc>
        <w:tc>
          <w:tcPr>
            <w:tcW w:w="1725" w:type="dxa"/>
          </w:tcPr>
          <w:p>
            <w:pPr>
              <w:spacing w:line="240" w:lineRule="auto"/>
              <w:rPr>
                <w:rFonts w:ascii="宋体" w:hAnsi="宋体" w:cs="宋体"/>
                <w:color w:val="auto"/>
                <w:szCs w:val="21"/>
                <w:highlight w:val="none"/>
              </w:rPr>
            </w:pPr>
          </w:p>
        </w:tc>
        <w:tc>
          <w:tcPr>
            <w:tcW w:w="820" w:type="dxa"/>
          </w:tcPr>
          <w:p>
            <w:pPr>
              <w:spacing w:line="240" w:lineRule="auto"/>
              <w:rPr>
                <w:rFonts w:ascii="宋体" w:hAnsi="宋体" w:cs="宋体"/>
                <w:color w:val="auto"/>
                <w:szCs w:val="21"/>
                <w:highlight w:val="none"/>
              </w:rPr>
            </w:pPr>
            <w:r>
              <w:rPr>
                <w:rFonts w:hint="eastAsia" w:ascii="宋体" w:hAnsi="宋体" w:cs="宋体"/>
                <w:color w:val="auto"/>
                <w:szCs w:val="21"/>
                <w:highlight w:val="none"/>
              </w:rPr>
              <w:t>传真</w:t>
            </w:r>
          </w:p>
        </w:tc>
        <w:tc>
          <w:tcPr>
            <w:tcW w:w="1470" w:type="dxa"/>
          </w:tcPr>
          <w:p>
            <w:pPr>
              <w:spacing w:line="240" w:lineRule="auto"/>
              <w:rPr>
                <w:rFonts w:ascii="宋体" w:hAnsi="宋体" w:cs="宋体"/>
                <w:color w:val="auto"/>
                <w:szCs w:val="21"/>
                <w:highlight w:val="none"/>
              </w:rPr>
            </w:pPr>
          </w:p>
        </w:tc>
        <w:tc>
          <w:tcPr>
            <w:tcW w:w="1890" w:type="dxa"/>
            <w:vMerge w:val="continue"/>
          </w:tcPr>
          <w:p>
            <w:pPr>
              <w:spacing w:line="240" w:lineRule="auto"/>
              <w:rPr>
                <w:rFonts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3" w:hRule="atLeast"/>
          <w:jc w:val="center"/>
        </w:trPr>
        <w:tc>
          <w:tcPr>
            <w:tcW w:w="756" w:type="dxa"/>
            <w:vMerge w:val="restart"/>
            <w:textDirection w:val="tbRlV"/>
            <w:vAlign w:val="center"/>
          </w:tcPr>
          <w:p>
            <w:pPr>
              <w:spacing w:line="240" w:lineRule="auto"/>
              <w:ind w:left="113" w:right="113"/>
              <w:jc w:val="center"/>
              <w:rPr>
                <w:rFonts w:ascii="宋体" w:hAnsi="宋体" w:cs="宋体"/>
                <w:color w:val="auto"/>
                <w:spacing w:val="42"/>
                <w:szCs w:val="21"/>
                <w:highlight w:val="none"/>
              </w:rPr>
            </w:pPr>
            <w:r>
              <w:rPr>
                <w:rFonts w:hint="eastAsia" w:ascii="宋体" w:hAnsi="宋体" w:cs="宋体"/>
                <w:color w:val="auto"/>
                <w:spacing w:val="42"/>
                <w:szCs w:val="21"/>
                <w:highlight w:val="none"/>
              </w:rPr>
              <w:t>受托人（乙方）</w:t>
            </w:r>
          </w:p>
        </w:tc>
        <w:tc>
          <w:tcPr>
            <w:tcW w:w="2048" w:type="dxa"/>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名称（或姓名）</w:t>
            </w:r>
          </w:p>
        </w:tc>
        <w:tc>
          <w:tcPr>
            <w:tcW w:w="4015" w:type="dxa"/>
            <w:gridSpan w:val="3"/>
            <w:vAlign w:val="center"/>
          </w:tcPr>
          <w:p>
            <w:pPr>
              <w:spacing w:line="240" w:lineRule="auto"/>
              <w:rPr>
                <w:rFonts w:ascii="宋体" w:hAnsi="宋体" w:cs="宋体"/>
                <w:color w:val="auto"/>
                <w:szCs w:val="21"/>
                <w:highlight w:val="none"/>
              </w:rPr>
            </w:pPr>
            <w:r>
              <w:rPr>
                <w:rFonts w:hint="eastAsia" w:ascii="宋体" w:hAnsi="宋体" w:cs="宋体"/>
                <w:color w:val="auto"/>
                <w:szCs w:val="21"/>
                <w:highlight w:val="none"/>
              </w:rPr>
              <w:t xml:space="preserve">                      （签章）</w:t>
            </w:r>
          </w:p>
        </w:tc>
        <w:tc>
          <w:tcPr>
            <w:tcW w:w="1890" w:type="dxa"/>
            <w:vMerge w:val="restart"/>
          </w:tcPr>
          <w:p>
            <w:pPr>
              <w:spacing w:line="240" w:lineRule="auto"/>
              <w:rPr>
                <w:rFonts w:ascii="宋体" w:hAnsi="宋体" w:cs="宋体"/>
                <w:color w:val="auto"/>
                <w:spacing w:val="-8"/>
                <w:szCs w:val="21"/>
                <w:highlight w:val="none"/>
              </w:rPr>
            </w:pPr>
            <w:r>
              <w:rPr>
                <w:rFonts w:hint="eastAsia" w:ascii="宋体" w:hAnsi="宋体" w:cs="宋体"/>
                <w:color w:val="auto"/>
                <w:spacing w:val="-8"/>
                <w:szCs w:val="21"/>
                <w:highlight w:val="none"/>
              </w:rPr>
              <w:t>技术合同专用章</w:t>
            </w:r>
          </w:p>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或</w:t>
            </w:r>
          </w:p>
          <w:p>
            <w:pPr>
              <w:spacing w:line="240" w:lineRule="auto"/>
              <w:jc w:val="center"/>
              <w:rPr>
                <w:rFonts w:ascii="宋体" w:hAnsi="宋体" w:cs="宋体"/>
                <w:color w:val="auto"/>
                <w:spacing w:val="10"/>
                <w:szCs w:val="21"/>
                <w:highlight w:val="none"/>
              </w:rPr>
            </w:pPr>
            <w:r>
              <w:rPr>
                <w:rFonts w:hint="eastAsia" w:ascii="宋体" w:hAnsi="宋体" w:cs="宋体"/>
                <w:color w:val="auto"/>
                <w:spacing w:val="10"/>
                <w:szCs w:val="21"/>
                <w:highlight w:val="none"/>
              </w:rPr>
              <w:t>单位公章</w:t>
            </w:r>
          </w:p>
          <w:p>
            <w:pPr>
              <w:spacing w:line="240" w:lineRule="auto"/>
              <w:rPr>
                <w:rFonts w:ascii="宋体" w:hAnsi="宋体" w:cs="宋体"/>
                <w:color w:val="auto"/>
                <w:szCs w:val="21"/>
                <w:highlight w:val="none"/>
              </w:rPr>
            </w:pPr>
          </w:p>
          <w:p>
            <w:pPr>
              <w:spacing w:line="240" w:lineRule="auto"/>
              <w:rPr>
                <w:rFonts w:ascii="宋体" w:hAnsi="宋体" w:cs="宋体"/>
                <w:color w:val="auto"/>
                <w:szCs w:val="21"/>
                <w:highlight w:val="none"/>
              </w:rPr>
            </w:pPr>
          </w:p>
          <w:p>
            <w:pPr>
              <w:spacing w:line="240" w:lineRule="auto"/>
              <w:rPr>
                <w:rFonts w:ascii="宋体" w:hAnsi="宋体" w:cs="宋体"/>
                <w:color w:val="auto"/>
                <w:szCs w:val="21"/>
                <w:highlight w:val="none"/>
              </w:rPr>
            </w:pPr>
          </w:p>
          <w:p>
            <w:pPr>
              <w:spacing w:line="240" w:lineRule="auto"/>
              <w:rPr>
                <w:rFonts w:ascii="宋体" w:hAnsi="宋体" w:cs="宋体"/>
                <w:color w:val="auto"/>
                <w:szCs w:val="21"/>
                <w:highlight w:val="none"/>
              </w:rPr>
            </w:pPr>
          </w:p>
          <w:p>
            <w:pPr>
              <w:spacing w:line="240" w:lineRule="auto"/>
              <w:rPr>
                <w:rFonts w:ascii="宋体" w:hAnsi="宋体" w:cs="宋体"/>
                <w:color w:val="auto"/>
                <w:szCs w:val="21"/>
                <w:highlight w:val="none"/>
              </w:rPr>
            </w:pPr>
          </w:p>
          <w:p>
            <w:pPr>
              <w:spacing w:line="240" w:lineRule="auto"/>
              <w:rPr>
                <w:rFonts w:ascii="宋体" w:hAnsi="宋体" w:cs="宋体"/>
                <w:color w:val="auto"/>
                <w:szCs w:val="21"/>
                <w:highlight w:val="none"/>
              </w:rPr>
            </w:pPr>
          </w:p>
          <w:p>
            <w:pPr>
              <w:spacing w:line="240" w:lineRule="auto"/>
              <w:rPr>
                <w:rFonts w:ascii="宋体" w:hAnsi="宋体" w:cs="宋体"/>
                <w:color w:val="auto"/>
                <w:szCs w:val="21"/>
                <w:highlight w:val="none"/>
              </w:rPr>
            </w:pPr>
          </w:p>
          <w:p>
            <w:pPr>
              <w:spacing w:line="240" w:lineRule="auto"/>
              <w:ind w:firstLine="239" w:firstLineChars="121"/>
              <w:rPr>
                <w:rFonts w:ascii="宋体" w:hAnsi="宋体" w:cs="宋体"/>
                <w:color w:val="auto"/>
                <w:szCs w:val="21"/>
                <w:highlight w:val="none"/>
              </w:rPr>
            </w:pPr>
            <w:r>
              <w:rPr>
                <w:rFonts w:hint="eastAsia" w:ascii="宋体" w:hAnsi="宋体" w:cs="宋体"/>
                <w:color w:val="auto"/>
                <w:spacing w:val="-6"/>
                <w:szCs w:val="21"/>
                <w:highlight w:val="none"/>
              </w:rPr>
              <w:t>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5" w:hRule="atLeast"/>
          <w:jc w:val="center"/>
        </w:trPr>
        <w:tc>
          <w:tcPr>
            <w:tcW w:w="756" w:type="dxa"/>
            <w:vMerge w:val="continue"/>
          </w:tcPr>
          <w:p>
            <w:pPr>
              <w:spacing w:line="240" w:lineRule="auto"/>
              <w:rPr>
                <w:rFonts w:ascii="宋体" w:hAnsi="宋体" w:cs="宋体"/>
                <w:color w:val="auto"/>
                <w:szCs w:val="21"/>
                <w:highlight w:val="none"/>
              </w:rPr>
            </w:pPr>
          </w:p>
        </w:tc>
        <w:tc>
          <w:tcPr>
            <w:tcW w:w="2048" w:type="dxa"/>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法定代表人或受委托人</w:t>
            </w:r>
          </w:p>
        </w:tc>
        <w:tc>
          <w:tcPr>
            <w:tcW w:w="4015" w:type="dxa"/>
            <w:gridSpan w:val="3"/>
          </w:tcPr>
          <w:p>
            <w:pPr>
              <w:spacing w:line="240" w:lineRule="auto"/>
              <w:rPr>
                <w:rFonts w:ascii="宋体" w:hAnsi="宋体" w:cs="宋体"/>
                <w:color w:val="auto"/>
                <w:szCs w:val="21"/>
                <w:highlight w:val="none"/>
              </w:rPr>
            </w:pPr>
            <w:r>
              <w:rPr>
                <w:rFonts w:hint="eastAsia" w:ascii="宋体" w:hAnsi="宋体" w:cs="宋体"/>
                <w:color w:val="auto"/>
                <w:szCs w:val="21"/>
                <w:highlight w:val="none"/>
              </w:rPr>
              <w:t xml:space="preserve">                      （签章）</w:t>
            </w:r>
          </w:p>
        </w:tc>
        <w:tc>
          <w:tcPr>
            <w:tcW w:w="1890" w:type="dxa"/>
            <w:vMerge w:val="continue"/>
          </w:tcPr>
          <w:p>
            <w:pPr>
              <w:spacing w:line="240" w:lineRule="auto"/>
              <w:rPr>
                <w:rFonts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3" w:hRule="atLeast"/>
          <w:jc w:val="center"/>
        </w:trPr>
        <w:tc>
          <w:tcPr>
            <w:tcW w:w="756" w:type="dxa"/>
            <w:vMerge w:val="continue"/>
          </w:tcPr>
          <w:p>
            <w:pPr>
              <w:spacing w:line="240" w:lineRule="auto"/>
              <w:rPr>
                <w:rFonts w:ascii="宋体" w:hAnsi="宋体" w:cs="宋体"/>
                <w:color w:val="auto"/>
                <w:szCs w:val="21"/>
                <w:highlight w:val="none"/>
              </w:rPr>
            </w:pPr>
          </w:p>
        </w:tc>
        <w:tc>
          <w:tcPr>
            <w:tcW w:w="2048" w:type="dxa"/>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联系（经办人）</w:t>
            </w:r>
          </w:p>
        </w:tc>
        <w:tc>
          <w:tcPr>
            <w:tcW w:w="4015" w:type="dxa"/>
            <w:gridSpan w:val="3"/>
          </w:tcPr>
          <w:p>
            <w:pPr>
              <w:spacing w:line="240" w:lineRule="auto"/>
              <w:rPr>
                <w:rFonts w:ascii="宋体" w:hAnsi="宋体" w:cs="宋体"/>
                <w:color w:val="auto"/>
                <w:szCs w:val="21"/>
                <w:highlight w:val="none"/>
              </w:rPr>
            </w:pPr>
            <w:r>
              <w:rPr>
                <w:rFonts w:hint="eastAsia" w:ascii="宋体" w:hAnsi="宋体" w:cs="宋体"/>
                <w:color w:val="auto"/>
                <w:szCs w:val="21"/>
                <w:highlight w:val="none"/>
              </w:rPr>
              <w:t xml:space="preserve">                      （签章）</w:t>
            </w:r>
          </w:p>
        </w:tc>
        <w:tc>
          <w:tcPr>
            <w:tcW w:w="1890" w:type="dxa"/>
            <w:vMerge w:val="continue"/>
          </w:tcPr>
          <w:p>
            <w:pPr>
              <w:spacing w:line="240" w:lineRule="auto"/>
              <w:rPr>
                <w:rFonts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5" w:hRule="atLeast"/>
          <w:jc w:val="center"/>
        </w:trPr>
        <w:tc>
          <w:tcPr>
            <w:tcW w:w="756" w:type="dxa"/>
            <w:vMerge w:val="continue"/>
          </w:tcPr>
          <w:p>
            <w:pPr>
              <w:spacing w:line="240" w:lineRule="auto"/>
              <w:rPr>
                <w:rFonts w:ascii="宋体" w:hAnsi="宋体" w:cs="宋体"/>
                <w:color w:val="auto"/>
                <w:szCs w:val="21"/>
                <w:highlight w:val="none"/>
              </w:rPr>
            </w:pPr>
          </w:p>
        </w:tc>
        <w:tc>
          <w:tcPr>
            <w:tcW w:w="2048" w:type="dxa"/>
          </w:tcPr>
          <w:p>
            <w:pPr>
              <w:spacing w:line="240" w:lineRule="auto"/>
              <w:jc w:val="center"/>
              <w:rPr>
                <w:rFonts w:ascii="宋体" w:hAnsi="宋体" w:cs="宋体"/>
                <w:color w:val="auto"/>
                <w:spacing w:val="34"/>
                <w:szCs w:val="21"/>
                <w:highlight w:val="none"/>
              </w:rPr>
            </w:pPr>
            <w:r>
              <w:rPr>
                <w:rFonts w:hint="eastAsia" w:ascii="宋体" w:hAnsi="宋体" w:cs="宋体"/>
                <w:color w:val="auto"/>
                <w:spacing w:val="34"/>
                <w:szCs w:val="21"/>
                <w:highlight w:val="none"/>
              </w:rPr>
              <w:t>住所</w:t>
            </w:r>
          </w:p>
          <w:p>
            <w:pPr>
              <w:spacing w:line="240" w:lineRule="auto"/>
              <w:jc w:val="center"/>
              <w:rPr>
                <w:rFonts w:ascii="宋体" w:hAnsi="宋体" w:cs="宋体"/>
                <w:color w:val="auto"/>
                <w:szCs w:val="21"/>
                <w:highlight w:val="none"/>
              </w:rPr>
            </w:pPr>
            <w:r>
              <w:rPr>
                <w:rFonts w:hint="eastAsia" w:ascii="宋体" w:hAnsi="宋体" w:cs="宋体"/>
                <w:color w:val="auto"/>
                <w:spacing w:val="16"/>
                <w:szCs w:val="21"/>
                <w:highlight w:val="none"/>
              </w:rPr>
              <w:t>（通讯地址）</w:t>
            </w:r>
          </w:p>
        </w:tc>
        <w:tc>
          <w:tcPr>
            <w:tcW w:w="1725" w:type="dxa"/>
          </w:tcPr>
          <w:p>
            <w:pPr>
              <w:spacing w:line="240" w:lineRule="auto"/>
              <w:rPr>
                <w:rFonts w:ascii="宋体" w:hAnsi="宋体" w:cs="宋体"/>
                <w:color w:val="auto"/>
                <w:szCs w:val="21"/>
                <w:highlight w:val="none"/>
              </w:rPr>
            </w:pPr>
          </w:p>
        </w:tc>
        <w:tc>
          <w:tcPr>
            <w:tcW w:w="820" w:type="dxa"/>
          </w:tcPr>
          <w:p>
            <w:pPr>
              <w:spacing w:line="240" w:lineRule="auto"/>
              <w:rPr>
                <w:rFonts w:ascii="宋体" w:hAnsi="宋体" w:cs="宋体"/>
                <w:color w:val="auto"/>
                <w:szCs w:val="21"/>
                <w:highlight w:val="none"/>
              </w:rPr>
            </w:pPr>
            <w:r>
              <w:rPr>
                <w:rFonts w:hint="eastAsia" w:ascii="宋体" w:hAnsi="宋体" w:cs="宋体"/>
                <w:color w:val="auto"/>
                <w:spacing w:val="8"/>
                <w:szCs w:val="21"/>
                <w:highlight w:val="none"/>
              </w:rPr>
              <w:t>邮政编码</w:t>
            </w:r>
          </w:p>
        </w:tc>
        <w:tc>
          <w:tcPr>
            <w:tcW w:w="1470" w:type="dxa"/>
          </w:tcPr>
          <w:p>
            <w:pPr>
              <w:spacing w:line="240" w:lineRule="auto"/>
              <w:rPr>
                <w:rFonts w:ascii="宋体" w:hAnsi="宋体" w:cs="宋体"/>
                <w:color w:val="auto"/>
                <w:szCs w:val="21"/>
                <w:highlight w:val="none"/>
              </w:rPr>
            </w:pPr>
          </w:p>
        </w:tc>
        <w:tc>
          <w:tcPr>
            <w:tcW w:w="1890" w:type="dxa"/>
            <w:vMerge w:val="continue"/>
          </w:tcPr>
          <w:p>
            <w:pPr>
              <w:spacing w:line="240" w:lineRule="auto"/>
              <w:rPr>
                <w:rFonts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3" w:hRule="atLeast"/>
          <w:jc w:val="center"/>
        </w:trPr>
        <w:tc>
          <w:tcPr>
            <w:tcW w:w="756" w:type="dxa"/>
            <w:vMerge w:val="continue"/>
          </w:tcPr>
          <w:p>
            <w:pPr>
              <w:spacing w:line="240" w:lineRule="auto"/>
              <w:rPr>
                <w:rFonts w:ascii="宋体" w:hAnsi="宋体" w:cs="宋体"/>
                <w:color w:val="auto"/>
                <w:szCs w:val="21"/>
                <w:highlight w:val="none"/>
              </w:rPr>
            </w:pPr>
          </w:p>
        </w:tc>
        <w:tc>
          <w:tcPr>
            <w:tcW w:w="2048" w:type="dxa"/>
          </w:tcPr>
          <w:p>
            <w:pPr>
              <w:spacing w:line="240" w:lineRule="auto"/>
              <w:jc w:val="center"/>
              <w:rPr>
                <w:rFonts w:ascii="宋体" w:hAnsi="宋体" w:cs="宋体"/>
                <w:color w:val="auto"/>
                <w:spacing w:val="42"/>
                <w:szCs w:val="21"/>
                <w:highlight w:val="none"/>
              </w:rPr>
            </w:pPr>
            <w:r>
              <w:rPr>
                <w:rFonts w:hint="eastAsia" w:ascii="宋体" w:hAnsi="宋体" w:cs="宋体"/>
                <w:color w:val="auto"/>
                <w:spacing w:val="42"/>
                <w:szCs w:val="21"/>
                <w:highlight w:val="none"/>
              </w:rPr>
              <w:t>电话</w:t>
            </w:r>
          </w:p>
        </w:tc>
        <w:tc>
          <w:tcPr>
            <w:tcW w:w="1725" w:type="dxa"/>
          </w:tcPr>
          <w:p>
            <w:pPr>
              <w:spacing w:line="240" w:lineRule="auto"/>
              <w:rPr>
                <w:rFonts w:ascii="宋体" w:hAnsi="宋体" w:cs="宋体"/>
                <w:color w:val="auto"/>
                <w:szCs w:val="21"/>
                <w:highlight w:val="none"/>
              </w:rPr>
            </w:pPr>
          </w:p>
        </w:tc>
        <w:tc>
          <w:tcPr>
            <w:tcW w:w="820" w:type="dxa"/>
          </w:tcPr>
          <w:p>
            <w:pPr>
              <w:spacing w:line="240" w:lineRule="auto"/>
              <w:rPr>
                <w:rFonts w:ascii="宋体" w:hAnsi="宋体" w:cs="宋体"/>
                <w:color w:val="auto"/>
                <w:szCs w:val="21"/>
                <w:highlight w:val="none"/>
              </w:rPr>
            </w:pPr>
            <w:r>
              <w:rPr>
                <w:rFonts w:hint="eastAsia" w:ascii="宋体" w:hAnsi="宋体" w:cs="宋体"/>
                <w:color w:val="auto"/>
                <w:szCs w:val="21"/>
                <w:highlight w:val="none"/>
              </w:rPr>
              <w:t>传真</w:t>
            </w:r>
          </w:p>
        </w:tc>
        <w:tc>
          <w:tcPr>
            <w:tcW w:w="1470" w:type="dxa"/>
          </w:tcPr>
          <w:p>
            <w:pPr>
              <w:spacing w:line="240" w:lineRule="auto"/>
              <w:rPr>
                <w:rFonts w:ascii="宋体" w:hAnsi="宋体" w:cs="宋体"/>
                <w:color w:val="auto"/>
                <w:szCs w:val="21"/>
                <w:highlight w:val="none"/>
              </w:rPr>
            </w:pPr>
          </w:p>
        </w:tc>
        <w:tc>
          <w:tcPr>
            <w:tcW w:w="1890" w:type="dxa"/>
            <w:vMerge w:val="continue"/>
          </w:tcPr>
          <w:p>
            <w:pPr>
              <w:spacing w:line="240" w:lineRule="auto"/>
              <w:rPr>
                <w:rFonts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8" w:hRule="atLeast"/>
          <w:jc w:val="center"/>
        </w:trPr>
        <w:tc>
          <w:tcPr>
            <w:tcW w:w="756" w:type="dxa"/>
            <w:vMerge w:val="continue"/>
          </w:tcPr>
          <w:p>
            <w:pPr>
              <w:spacing w:line="240" w:lineRule="auto"/>
              <w:rPr>
                <w:rFonts w:ascii="宋体" w:hAnsi="宋体" w:cs="宋体"/>
                <w:color w:val="auto"/>
                <w:szCs w:val="21"/>
                <w:highlight w:val="none"/>
              </w:rPr>
            </w:pPr>
          </w:p>
        </w:tc>
        <w:tc>
          <w:tcPr>
            <w:tcW w:w="2048" w:type="dxa"/>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4015" w:type="dxa"/>
            <w:gridSpan w:val="3"/>
          </w:tcPr>
          <w:p>
            <w:pPr>
              <w:spacing w:line="240" w:lineRule="auto"/>
              <w:rPr>
                <w:rFonts w:ascii="宋体" w:hAnsi="宋体" w:cs="宋体"/>
                <w:color w:val="auto"/>
                <w:szCs w:val="21"/>
                <w:highlight w:val="none"/>
              </w:rPr>
            </w:pPr>
          </w:p>
        </w:tc>
        <w:tc>
          <w:tcPr>
            <w:tcW w:w="1890" w:type="dxa"/>
            <w:vMerge w:val="continue"/>
          </w:tcPr>
          <w:p>
            <w:pPr>
              <w:spacing w:line="240" w:lineRule="auto"/>
              <w:rPr>
                <w:rFonts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4" w:hRule="atLeast"/>
          <w:jc w:val="center"/>
        </w:trPr>
        <w:tc>
          <w:tcPr>
            <w:tcW w:w="756" w:type="dxa"/>
            <w:vMerge w:val="continue"/>
          </w:tcPr>
          <w:p>
            <w:pPr>
              <w:spacing w:line="240" w:lineRule="auto"/>
              <w:rPr>
                <w:rFonts w:ascii="宋体" w:hAnsi="宋体" w:cs="宋体"/>
                <w:color w:val="auto"/>
                <w:szCs w:val="21"/>
                <w:highlight w:val="none"/>
              </w:rPr>
            </w:pPr>
          </w:p>
        </w:tc>
        <w:tc>
          <w:tcPr>
            <w:tcW w:w="2048" w:type="dxa"/>
          </w:tcPr>
          <w:p>
            <w:pPr>
              <w:spacing w:line="240" w:lineRule="auto"/>
              <w:jc w:val="center"/>
              <w:rPr>
                <w:rFonts w:ascii="宋体" w:hAnsi="宋体" w:cs="宋体"/>
                <w:color w:val="auto"/>
                <w:szCs w:val="21"/>
                <w:highlight w:val="none"/>
              </w:rPr>
            </w:pPr>
            <w:r>
              <w:rPr>
                <w:rFonts w:hint="eastAsia" w:ascii="宋体" w:hAnsi="宋体" w:cs="宋体"/>
                <w:color w:val="auto"/>
                <w:spacing w:val="38"/>
                <w:szCs w:val="21"/>
                <w:highlight w:val="none"/>
              </w:rPr>
              <w:t>帐号</w:t>
            </w:r>
          </w:p>
        </w:tc>
        <w:tc>
          <w:tcPr>
            <w:tcW w:w="4015" w:type="dxa"/>
            <w:gridSpan w:val="3"/>
          </w:tcPr>
          <w:p>
            <w:pPr>
              <w:spacing w:line="240" w:lineRule="auto"/>
              <w:rPr>
                <w:rFonts w:ascii="宋体" w:hAnsi="宋体" w:cs="宋体"/>
                <w:color w:val="auto"/>
                <w:szCs w:val="21"/>
                <w:highlight w:val="none"/>
              </w:rPr>
            </w:pPr>
          </w:p>
        </w:tc>
        <w:tc>
          <w:tcPr>
            <w:tcW w:w="1890" w:type="dxa"/>
            <w:vMerge w:val="continue"/>
          </w:tcPr>
          <w:p>
            <w:pPr>
              <w:spacing w:line="240" w:lineRule="auto"/>
              <w:rPr>
                <w:rFonts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59" w:hRule="atLeast"/>
          <w:jc w:val="center"/>
        </w:trPr>
        <w:tc>
          <w:tcPr>
            <w:tcW w:w="756" w:type="dxa"/>
            <w:vMerge w:val="restart"/>
          </w:tcPr>
          <w:p>
            <w:pPr>
              <w:spacing w:line="240" w:lineRule="auto"/>
              <w:rPr>
                <w:rFonts w:ascii="宋体" w:hAnsi="宋体" w:cs="宋体"/>
                <w:color w:val="auto"/>
                <w:szCs w:val="21"/>
                <w:highlight w:val="none"/>
              </w:rPr>
            </w:pPr>
          </w:p>
          <w:p>
            <w:pPr>
              <w:spacing w:line="240" w:lineRule="auto"/>
              <w:rPr>
                <w:rFonts w:ascii="宋体" w:hAnsi="宋体" w:cs="宋体"/>
                <w:color w:val="auto"/>
                <w:szCs w:val="21"/>
                <w:highlight w:val="none"/>
              </w:rPr>
            </w:pPr>
            <w:r>
              <w:rPr>
                <w:rFonts w:hint="eastAsia" w:ascii="宋体" w:hAnsi="宋体" w:cs="宋体"/>
                <w:color w:val="auto"/>
                <w:szCs w:val="21"/>
                <w:highlight w:val="none"/>
              </w:rPr>
              <w:t xml:space="preserve"> 鉴</w:t>
            </w:r>
          </w:p>
          <w:p>
            <w:pPr>
              <w:spacing w:line="240" w:lineRule="auto"/>
              <w:rPr>
                <w:rFonts w:ascii="宋体" w:hAnsi="宋体" w:cs="宋体"/>
                <w:color w:val="auto"/>
                <w:szCs w:val="21"/>
                <w:highlight w:val="none"/>
              </w:rPr>
            </w:pPr>
            <w:r>
              <w:rPr>
                <w:rFonts w:hint="eastAsia" w:ascii="宋体" w:hAnsi="宋体" w:cs="宋体"/>
                <w:color w:val="auto"/>
                <w:szCs w:val="21"/>
                <w:highlight w:val="none"/>
              </w:rPr>
              <w:t xml:space="preserve"> 证</w:t>
            </w:r>
          </w:p>
          <w:p>
            <w:pPr>
              <w:spacing w:line="240" w:lineRule="auto"/>
              <w:rPr>
                <w:rFonts w:ascii="宋体" w:hAnsi="宋体" w:cs="宋体"/>
                <w:color w:val="auto"/>
                <w:szCs w:val="21"/>
                <w:highlight w:val="none"/>
              </w:rPr>
            </w:pPr>
            <w:r>
              <w:rPr>
                <w:rFonts w:hint="eastAsia" w:ascii="宋体" w:hAnsi="宋体" w:cs="宋体"/>
                <w:color w:val="auto"/>
                <w:szCs w:val="21"/>
                <w:highlight w:val="none"/>
              </w:rPr>
              <w:t xml:space="preserve"> 方</w:t>
            </w:r>
          </w:p>
        </w:tc>
        <w:tc>
          <w:tcPr>
            <w:tcW w:w="2048" w:type="dxa"/>
          </w:tcPr>
          <w:p>
            <w:pPr>
              <w:spacing w:line="240" w:lineRule="auto"/>
              <w:jc w:val="center"/>
              <w:rPr>
                <w:rFonts w:ascii="宋体" w:hAnsi="宋体" w:cs="宋体"/>
                <w:color w:val="auto"/>
                <w:spacing w:val="38"/>
                <w:szCs w:val="21"/>
                <w:highlight w:val="none"/>
              </w:rPr>
            </w:pPr>
            <w:r>
              <w:rPr>
                <w:rFonts w:hint="eastAsia" w:ascii="宋体" w:hAnsi="宋体" w:cs="宋体"/>
                <w:color w:val="auto"/>
                <w:szCs w:val="21"/>
                <w:highlight w:val="none"/>
              </w:rPr>
              <w:t>名称（或姓名）</w:t>
            </w:r>
          </w:p>
        </w:tc>
        <w:tc>
          <w:tcPr>
            <w:tcW w:w="4015" w:type="dxa"/>
            <w:gridSpan w:val="3"/>
          </w:tcPr>
          <w:p>
            <w:pPr>
              <w:spacing w:line="240" w:lineRule="auto"/>
              <w:rPr>
                <w:rFonts w:ascii="宋体" w:hAnsi="宋体" w:cs="宋体"/>
                <w:color w:val="auto"/>
                <w:szCs w:val="21"/>
                <w:highlight w:val="none"/>
              </w:rPr>
            </w:pPr>
            <w:r>
              <w:rPr>
                <w:rFonts w:hint="eastAsia" w:ascii="宋体" w:hAnsi="宋体" w:cs="宋体"/>
                <w:color w:val="auto"/>
                <w:szCs w:val="21"/>
                <w:highlight w:val="none"/>
              </w:rPr>
              <w:t xml:space="preserve">                     （签章）</w:t>
            </w:r>
          </w:p>
        </w:tc>
        <w:tc>
          <w:tcPr>
            <w:tcW w:w="1890" w:type="dxa"/>
            <w:vMerge w:val="restart"/>
          </w:tcPr>
          <w:p>
            <w:pPr>
              <w:spacing w:line="240" w:lineRule="auto"/>
              <w:rPr>
                <w:rFonts w:ascii="宋体" w:hAnsi="宋体" w:cs="宋体"/>
                <w:color w:val="auto"/>
                <w:spacing w:val="-8"/>
                <w:szCs w:val="21"/>
                <w:highlight w:val="none"/>
              </w:rPr>
            </w:pPr>
            <w:r>
              <w:rPr>
                <w:rFonts w:hint="eastAsia" w:ascii="宋体" w:hAnsi="宋体" w:cs="宋体"/>
                <w:color w:val="auto"/>
                <w:spacing w:val="-8"/>
                <w:szCs w:val="21"/>
                <w:highlight w:val="none"/>
              </w:rPr>
              <w:t>技术合同专用章</w:t>
            </w:r>
          </w:p>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或</w:t>
            </w:r>
          </w:p>
          <w:p>
            <w:pPr>
              <w:spacing w:line="240" w:lineRule="auto"/>
              <w:jc w:val="center"/>
              <w:rPr>
                <w:rFonts w:ascii="宋体" w:hAnsi="宋体" w:cs="宋体"/>
                <w:color w:val="auto"/>
                <w:spacing w:val="10"/>
                <w:szCs w:val="21"/>
                <w:highlight w:val="none"/>
              </w:rPr>
            </w:pPr>
            <w:r>
              <w:rPr>
                <w:rFonts w:hint="eastAsia" w:ascii="宋体" w:hAnsi="宋体" w:cs="宋体"/>
                <w:color w:val="auto"/>
                <w:spacing w:val="10"/>
                <w:szCs w:val="21"/>
                <w:highlight w:val="none"/>
              </w:rPr>
              <w:t>单位公章</w:t>
            </w:r>
          </w:p>
          <w:p>
            <w:pPr>
              <w:spacing w:line="240" w:lineRule="auto"/>
              <w:jc w:val="center"/>
              <w:rPr>
                <w:rFonts w:ascii="宋体" w:hAnsi="宋体" w:cs="宋体"/>
                <w:color w:val="auto"/>
                <w:spacing w:val="10"/>
                <w:szCs w:val="21"/>
                <w:highlight w:val="none"/>
              </w:rPr>
            </w:pPr>
            <w:r>
              <w:rPr>
                <w:rFonts w:hint="eastAsia" w:ascii="宋体" w:hAnsi="宋体" w:cs="宋体"/>
                <w:color w:val="auto"/>
                <w:spacing w:val="-6"/>
                <w:szCs w:val="21"/>
                <w:highlight w:val="none"/>
              </w:rPr>
              <w:t>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59" w:hRule="atLeast"/>
          <w:jc w:val="center"/>
        </w:trPr>
        <w:tc>
          <w:tcPr>
            <w:tcW w:w="756" w:type="dxa"/>
            <w:vMerge w:val="continue"/>
          </w:tcPr>
          <w:p>
            <w:pPr>
              <w:spacing w:line="240" w:lineRule="auto"/>
              <w:rPr>
                <w:rFonts w:ascii="宋体" w:hAnsi="宋体" w:cs="宋体"/>
                <w:color w:val="auto"/>
                <w:szCs w:val="21"/>
                <w:highlight w:val="none"/>
              </w:rPr>
            </w:pPr>
          </w:p>
        </w:tc>
        <w:tc>
          <w:tcPr>
            <w:tcW w:w="2048" w:type="dxa"/>
          </w:tcPr>
          <w:p>
            <w:pPr>
              <w:spacing w:line="240" w:lineRule="auto"/>
              <w:jc w:val="center"/>
              <w:rPr>
                <w:rFonts w:ascii="宋体" w:hAnsi="宋体" w:cs="宋体"/>
                <w:color w:val="auto"/>
                <w:spacing w:val="38"/>
                <w:szCs w:val="21"/>
                <w:highlight w:val="none"/>
              </w:rPr>
            </w:pPr>
            <w:r>
              <w:rPr>
                <w:rFonts w:hint="eastAsia" w:ascii="宋体" w:hAnsi="宋体" w:cs="宋体"/>
                <w:color w:val="auto"/>
                <w:szCs w:val="21"/>
                <w:highlight w:val="none"/>
              </w:rPr>
              <w:t>项目负责人</w:t>
            </w:r>
          </w:p>
        </w:tc>
        <w:tc>
          <w:tcPr>
            <w:tcW w:w="4015" w:type="dxa"/>
            <w:gridSpan w:val="3"/>
          </w:tcPr>
          <w:p>
            <w:pPr>
              <w:spacing w:line="240" w:lineRule="auto"/>
              <w:rPr>
                <w:rFonts w:ascii="宋体" w:hAnsi="宋体" w:cs="宋体"/>
                <w:color w:val="auto"/>
                <w:szCs w:val="21"/>
                <w:highlight w:val="none"/>
              </w:rPr>
            </w:pPr>
            <w:r>
              <w:rPr>
                <w:rFonts w:hint="eastAsia" w:ascii="宋体" w:hAnsi="宋体" w:cs="宋体"/>
                <w:color w:val="auto"/>
                <w:szCs w:val="21"/>
                <w:highlight w:val="none"/>
              </w:rPr>
              <w:t xml:space="preserve">                     （签章）</w:t>
            </w:r>
          </w:p>
        </w:tc>
        <w:tc>
          <w:tcPr>
            <w:tcW w:w="1890" w:type="dxa"/>
            <w:vMerge w:val="continue"/>
          </w:tcPr>
          <w:p>
            <w:pPr>
              <w:spacing w:line="240" w:lineRule="auto"/>
              <w:rPr>
                <w:rFonts w:ascii="宋体" w:hAnsi="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59" w:hRule="atLeast"/>
          <w:jc w:val="center"/>
        </w:trPr>
        <w:tc>
          <w:tcPr>
            <w:tcW w:w="756" w:type="dxa"/>
            <w:vMerge w:val="continue"/>
          </w:tcPr>
          <w:p>
            <w:pPr>
              <w:spacing w:line="240" w:lineRule="auto"/>
              <w:rPr>
                <w:rFonts w:ascii="宋体" w:hAnsi="宋体" w:cs="宋体"/>
                <w:color w:val="auto"/>
                <w:szCs w:val="21"/>
                <w:highlight w:val="none"/>
              </w:rPr>
            </w:pPr>
          </w:p>
        </w:tc>
        <w:tc>
          <w:tcPr>
            <w:tcW w:w="2048" w:type="dxa"/>
          </w:tcPr>
          <w:p>
            <w:pPr>
              <w:spacing w:line="240" w:lineRule="auto"/>
              <w:jc w:val="center"/>
              <w:rPr>
                <w:rFonts w:ascii="宋体" w:hAnsi="宋体" w:cs="宋体"/>
                <w:color w:val="auto"/>
                <w:spacing w:val="38"/>
                <w:szCs w:val="21"/>
                <w:highlight w:val="none"/>
              </w:rPr>
            </w:pPr>
            <w:r>
              <w:rPr>
                <w:rFonts w:hint="eastAsia" w:ascii="宋体" w:hAnsi="宋体" w:cs="宋体"/>
                <w:color w:val="auto"/>
                <w:spacing w:val="38"/>
                <w:szCs w:val="21"/>
                <w:highlight w:val="none"/>
              </w:rPr>
              <w:t>电话</w:t>
            </w:r>
          </w:p>
        </w:tc>
        <w:tc>
          <w:tcPr>
            <w:tcW w:w="1725" w:type="dxa"/>
          </w:tcPr>
          <w:p>
            <w:pPr>
              <w:spacing w:line="240" w:lineRule="auto"/>
              <w:rPr>
                <w:rFonts w:ascii="宋体" w:hAnsi="宋体" w:cs="宋体"/>
                <w:color w:val="auto"/>
                <w:szCs w:val="21"/>
                <w:highlight w:val="none"/>
              </w:rPr>
            </w:pPr>
          </w:p>
        </w:tc>
        <w:tc>
          <w:tcPr>
            <w:tcW w:w="820" w:type="dxa"/>
          </w:tcPr>
          <w:p>
            <w:pPr>
              <w:spacing w:line="240" w:lineRule="auto"/>
              <w:rPr>
                <w:rFonts w:ascii="宋体" w:hAnsi="宋体" w:cs="宋体"/>
                <w:color w:val="auto"/>
                <w:szCs w:val="21"/>
                <w:highlight w:val="none"/>
              </w:rPr>
            </w:pPr>
            <w:r>
              <w:rPr>
                <w:rFonts w:hint="eastAsia" w:ascii="宋体" w:hAnsi="宋体" w:cs="宋体"/>
                <w:color w:val="auto"/>
                <w:szCs w:val="21"/>
                <w:highlight w:val="none"/>
              </w:rPr>
              <w:t>传真</w:t>
            </w:r>
          </w:p>
        </w:tc>
        <w:tc>
          <w:tcPr>
            <w:tcW w:w="1470" w:type="dxa"/>
          </w:tcPr>
          <w:p>
            <w:pPr>
              <w:spacing w:line="240" w:lineRule="auto"/>
              <w:rPr>
                <w:rFonts w:ascii="宋体" w:hAnsi="宋体" w:cs="宋体"/>
                <w:color w:val="auto"/>
                <w:szCs w:val="21"/>
                <w:highlight w:val="none"/>
              </w:rPr>
            </w:pPr>
          </w:p>
        </w:tc>
        <w:tc>
          <w:tcPr>
            <w:tcW w:w="1890" w:type="dxa"/>
            <w:vMerge w:val="continue"/>
          </w:tcPr>
          <w:p>
            <w:pPr>
              <w:spacing w:line="240" w:lineRule="auto"/>
              <w:rPr>
                <w:rFonts w:ascii="宋体" w:hAnsi="宋体" w:cs="宋体"/>
                <w:color w:val="auto"/>
                <w:szCs w:val="21"/>
                <w:highlight w:val="none"/>
              </w:rPr>
            </w:pPr>
          </w:p>
        </w:tc>
      </w:tr>
    </w:tbl>
    <w:p>
      <w:pPr>
        <w:rPr>
          <w:rFonts w:hAnsi="宋体"/>
          <w:color w:val="auto"/>
          <w:highlight w:val="none"/>
        </w:rPr>
      </w:pPr>
      <w:r>
        <w:rPr>
          <w:rFonts w:hAnsi="宋体"/>
          <w:color w:val="auto"/>
          <w:highlight w:val="none"/>
        </w:rPr>
        <w:br w:type="page"/>
      </w:r>
    </w:p>
    <w:p>
      <w:pPr>
        <w:pStyle w:val="23"/>
        <w:adjustRightInd w:val="0"/>
        <w:snapToGrid w:val="0"/>
        <w:spacing w:before="120" w:after="120" w:line="360" w:lineRule="auto"/>
        <w:ind w:left="1" w:firstLine="447" w:firstLineChars="213"/>
        <w:rPr>
          <w:rFonts w:hAnsi="宋体"/>
          <w:color w:val="auto"/>
          <w:highlight w:val="none"/>
        </w:rPr>
      </w:pPr>
    </w:p>
    <w:p>
      <w:pPr>
        <w:adjustRightInd w:val="0"/>
        <w:snapToGrid w:val="0"/>
        <w:spacing w:beforeLines="50" w:afterLines="50" w:line="360" w:lineRule="auto"/>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第五部分  评标办法（综合评分法）</w:t>
      </w:r>
      <w:bookmarkEnd w:id="45"/>
      <w:bookmarkEnd w:id="46"/>
      <w:bookmarkEnd w:id="47"/>
      <w:bookmarkEnd w:id="48"/>
    </w:p>
    <w:p>
      <w:pPr>
        <w:tabs>
          <w:tab w:val="left" w:pos="735"/>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snapToGrid w:val="0"/>
          <w:color w:val="auto"/>
          <w:kern w:val="0"/>
          <w:szCs w:val="21"/>
          <w:highlight w:val="none"/>
        </w:rPr>
        <w:t>根据《中华人民共和国政府采购法》、《中华人民共和国政府采购法实施条例》、《政府采购货物和服务招标投标管理办法》、《浙江省政府采购活动现场组织管理办法》等有关规定，结合本项目的实际情况，按照公平、公正、科学、择优的原则，制定本评标办法</w:t>
      </w:r>
      <w:r>
        <w:rPr>
          <w:rFonts w:hint="eastAsia" w:ascii="宋体" w:hAnsi="宋体" w:cs="宋体"/>
          <w:color w:val="auto"/>
          <w:szCs w:val="21"/>
          <w:highlight w:val="none"/>
        </w:rPr>
        <w:t>。</w:t>
      </w:r>
    </w:p>
    <w:p>
      <w:pPr>
        <w:pStyle w:val="4"/>
        <w:snapToGrid w:val="0"/>
        <w:spacing w:beforeLines="50" w:afterLines="50" w:line="360" w:lineRule="auto"/>
        <w:rPr>
          <w:rFonts w:ascii="宋体" w:hAnsi="宋体" w:eastAsia="宋体" w:cs="宋体"/>
          <w:color w:val="auto"/>
          <w:sz w:val="21"/>
          <w:szCs w:val="21"/>
          <w:highlight w:val="none"/>
        </w:rPr>
      </w:pPr>
      <w:bookmarkStart w:id="49" w:name="_Toc9435"/>
      <w:bookmarkStart w:id="50" w:name="_Toc251566662"/>
      <w:bookmarkStart w:id="51" w:name="_Toc13307"/>
      <w:bookmarkStart w:id="52" w:name="_Toc249760791"/>
      <w:r>
        <w:rPr>
          <w:rFonts w:hint="eastAsia" w:ascii="宋体" w:hAnsi="宋体" w:eastAsia="宋体" w:cs="宋体"/>
          <w:color w:val="auto"/>
          <w:sz w:val="21"/>
          <w:szCs w:val="21"/>
          <w:highlight w:val="none"/>
        </w:rPr>
        <w:t>一、总则</w:t>
      </w:r>
      <w:bookmarkEnd w:id="49"/>
      <w:bookmarkEnd w:id="50"/>
      <w:bookmarkEnd w:id="51"/>
      <w:bookmarkEnd w:id="52"/>
    </w:p>
    <w:p>
      <w:pPr>
        <w:adjustRightInd w:val="0"/>
        <w:snapToGrid w:val="0"/>
        <w:spacing w:line="360" w:lineRule="auto"/>
        <w:ind w:firstLine="420" w:firstLineChars="200"/>
        <w:rPr>
          <w:rFonts w:ascii="宋体" w:hAnsi="宋体" w:cs="宋体"/>
          <w:snapToGrid w:val="0"/>
          <w:color w:val="auto"/>
          <w:kern w:val="0"/>
          <w:szCs w:val="21"/>
          <w:highlight w:val="none"/>
        </w:rPr>
      </w:pPr>
      <w:bookmarkStart w:id="53" w:name="_Toc249760792"/>
      <w:bookmarkStart w:id="54" w:name="_Toc251566663"/>
      <w:r>
        <w:rPr>
          <w:rFonts w:hint="eastAsia" w:ascii="宋体" w:hAnsi="宋体" w:cs="宋体"/>
          <w:snapToGrid w:val="0"/>
          <w:color w:val="auto"/>
          <w:kern w:val="0"/>
          <w:szCs w:val="21"/>
          <w:highlight w:val="none"/>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4"/>
        <w:snapToGrid w:val="0"/>
        <w:spacing w:beforeLines="50" w:afterLines="50" w:line="360" w:lineRule="auto"/>
        <w:rPr>
          <w:rFonts w:ascii="宋体" w:hAnsi="宋体" w:eastAsia="宋体" w:cs="宋体"/>
          <w:color w:val="auto"/>
          <w:sz w:val="21"/>
          <w:szCs w:val="21"/>
          <w:highlight w:val="none"/>
        </w:rPr>
      </w:pPr>
      <w:bookmarkStart w:id="55" w:name="_Toc22739"/>
      <w:bookmarkStart w:id="56" w:name="_Toc15057"/>
      <w:r>
        <w:rPr>
          <w:rFonts w:hint="eastAsia" w:ascii="宋体" w:hAnsi="宋体" w:eastAsia="宋体" w:cs="宋体"/>
          <w:color w:val="auto"/>
          <w:sz w:val="21"/>
          <w:szCs w:val="21"/>
          <w:highlight w:val="none"/>
        </w:rPr>
        <w:t>二、评标组织</w:t>
      </w:r>
      <w:bookmarkEnd w:id="53"/>
      <w:bookmarkEnd w:id="54"/>
      <w:bookmarkEnd w:id="55"/>
      <w:bookmarkEnd w:id="56"/>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snapToGrid w:val="0"/>
          <w:color w:val="auto"/>
          <w:kern w:val="0"/>
          <w:szCs w:val="21"/>
          <w:highlight w:val="none"/>
        </w:rPr>
        <w:t>评标工作由招标采购单位负责组织，依法组建由奇数的人员组成的评标委员会，负责对投标文件进行审查、质询、评审等。评标委员会由政府采购相关专家等组成，其中政府采购专家不得少于成员总数的三分之二</w:t>
      </w:r>
      <w:r>
        <w:rPr>
          <w:rFonts w:hint="eastAsia" w:ascii="宋体" w:hAnsi="宋体" w:cs="宋体"/>
          <w:color w:val="auto"/>
          <w:szCs w:val="21"/>
          <w:highlight w:val="none"/>
        </w:rPr>
        <w:t>。</w:t>
      </w:r>
    </w:p>
    <w:p>
      <w:pPr>
        <w:pStyle w:val="4"/>
        <w:snapToGrid w:val="0"/>
        <w:spacing w:beforeLines="50" w:afterLines="50" w:line="360" w:lineRule="auto"/>
        <w:rPr>
          <w:rFonts w:ascii="宋体" w:hAnsi="宋体" w:eastAsia="宋体" w:cs="宋体"/>
          <w:color w:val="auto"/>
          <w:sz w:val="21"/>
          <w:szCs w:val="21"/>
          <w:highlight w:val="none"/>
        </w:rPr>
      </w:pPr>
      <w:bookmarkStart w:id="57" w:name="_Toc31345"/>
      <w:bookmarkStart w:id="58" w:name="_Toc251566664"/>
      <w:bookmarkStart w:id="59" w:name="_Toc249760793"/>
      <w:bookmarkStart w:id="60" w:name="_Toc19149"/>
      <w:r>
        <w:rPr>
          <w:rFonts w:hint="eastAsia" w:ascii="宋体" w:hAnsi="宋体" w:eastAsia="宋体" w:cs="宋体"/>
          <w:color w:val="auto"/>
          <w:sz w:val="21"/>
          <w:szCs w:val="21"/>
          <w:highlight w:val="none"/>
        </w:rPr>
        <w:t>三、评标纪律</w:t>
      </w:r>
      <w:bookmarkEnd w:id="57"/>
      <w:bookmarkEnd w:id="58"/>
      <w:bookmarkEnd w:id="59"/>
      <w:bookmarkEnd w:id="60"/>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1．评标是招标工作的重要环节，评标工作在评标委员会内独立进行。评标委员会将按照评标原则的要求，公正、平等地对待所有投标人。</w:t>
      </w:r>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2．所有评标人员应忠于职守、廉洁自律、秉公办事、不徇私情。</w:t>
      </w:r>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3．评标人员不得接受或参加投标人或与投标有关的单位、组织或个人的有碍公务的宴请、娱乐活动等，不得以任何形式弄虚作假。</w:t>
      </w:r>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4．评标期间，评标人员不得随意出入评标地点、与外界通讯、会客等。</w:t>
      </w:r>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5．在投标文件的审查、澄清、评价和比较以及授予合同的过程中，投标人对采购人、采购代理机构人员及评标委员会成员施加影响的任何行为，都将导致被取消投标资格。</w:t>
      </w:r>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6．为保证评标的公正性，在评标过程中，评标委员会成员不得与投标人或与中标结果有利害关系的人进行私下接触。在评标工作结束后，凡与评标情况有接触的任何人，不得将评标情况扩散出评标委员会以外。</w:t>
      </w:r>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7．评标过程中，当发表结论性意见时，先听取专家评委意见，用户评委随后发表意见；评标专家对投标人的优劣情况，以及认为差异较大的情况等，应以书面意见作出真实、专业、诚恳负责的表述，不得违背客观、公正的原则。</w:t>
      </w:r>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8．评标结束后，各评标人员应将全部资料整理上交采购人，严禁将评标过程中的任何资料带出评标现场向投标人或其他单位提供。</w:t>
      </w:r>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9．在中标结果公布前应对评标委员会成员名单予以保密。</w:t>
      </w:r>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10．评标委员会对各投标人的商业秘密予以保密。</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11．评标委员会成员应当客观、公正地履行职责，遵守职业道德，对所提出的评审意见承担个人责任。</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12．在整个评标过程中，投标人企图影响招标结果的任何活动，可能导致其投标失败。如有违法行为，将依法追究其法律责任。</w:t>
      </w:r>
    </w:p>
    <w:p>
      <w:pPr>
        <w:pStyle w:val="4"/>
        <w:snapToGrid w:val="0"/>
        <w:spacing w:beforeLines="50" w:afterLines="50" w:line="360" w:lineRule="auto"/>
        <w:rPr>
          <w:rFonts w:ascii="宋体" w:hAnsi="宋体" w:eastAsia="宋体" w:cs="宋体"/>
          <w:b w:val="0"/>
          <w:color w:val="auto"/>
          <w:sz w:val="21"/>
          <w:szCs w:val="21"/>
          <w:highlight w:val="none"/>
        </w:rPr>
      </w:pPr>
      <w:bookmarkStart w:id="61" w:name="_Toc251566665"/>
      <w:bookmarkStart w:id="62" w:name="_Toc5524"/>
      <w:bookmarkStart w:id="63" w:name="_Toc249760794"/>
      <w:bookmarkStart w:id="64" w:name="_Toc5877"/>
      <w:r>
        <w:rPr>
          <w:rFonts w:hint="eastAsia" w:ascii="宋体" w:hAnsi="宋体" w:eastAsia="宋体" w:cs="宋体"/>
          <w:color w:val="auto"/>
          <w:sz w:val="21"/>
          <w:szCs w:val="21"/>
          <w:highlight w:val="none"/>
        </w:rPr>
        <w:t>四、评标程序</w:t>
      </w:r>
      <w:bookmarkEnd w:id="61"/>
      <w:bookmarkEnd w:id="62"/>
      <w:bookmarkEnd w:id="63"/>
      <w:bookmarkEnd w:id="64"/>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1．本项目采用不公开方式评标，评标的依据为采购文件和投标文件。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2．熟悉采购文件和评标办法。</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3．采购代理机构按照采购文件规定的时间、地点及程序组织评审。流程如下：</w:t>
      </w:r>
    </w:p>
    <w:p>
      <w:pPr>
        <w:numPr>
          <w:ilvl w:val="1"/>
          <w:numId w:val="10"/>
        </w:numPr>
        <w:tabs>
          <w:tab w:val="left" w:pos="851"/>
          <w:tab w:val="left" w:pos="993"/>
        </w:tabs>
        <w:adjustRightInd w:val="0"/>
        <w:snapToGrid w:val="0"/>
        <w:spacing w:line="360" w:lineRule="auto"/>
        <w:ind w:left="0" w:firstLine="426"/>
        <w:rPr>
          <w:rFonts w:ascii="宋体" w:hAnsi="宋体" w:cs="宋体"/>
          <w:color w:val="auto"/>
          <w:szCs w:val="21"/>
          <w:highlight w:val="none"/>
        </w:rPr>
      </w:pPr>
      <w:r>
        <w:rPr>
          <w:rFonts w:hint="eastAsia" w:ascii="宋体" w:hAnsi="宋体" w:cs="宋体"/>
          <w:color w:val="auto"/>
          <w:szCs w:val="21"/>
          <w:highlight w:val="none"/>
        </w:rPr>
        <w:t>开启评审场地的录音录像采集设备，并确保其正常运行。</w:t>
      </w:r>
    </w:p>
    <w:p>
      <w:pPr>
        <w:numPr>
          <w:ilvl w:val="1"/>
          <w:numId w:val="10"/>
        </w:numPr>
        <w:tabs>
          <w:tab w:val="left" w:pos="851"/>
          <w:tab w:val="left" w:pos="993"/>
        </w:tabs>
        <w:adjustRightInd w:val="0"/>
        <w:snapToGrid w:val="0"/>
        <w:spacing w:line="360" w:lineRule="auto"/>
        <w:ind w:left="0" w:firstLine="426"/>
        <w:rPr>
          <w:rFonts w:ascii="宋体" w:hAnsi="宋体" w:cs="宋体"/>
          <w:color w:val="auto"/>
          <w:szCs w:val="21"/>
          <w:highlight w:val="none"/>
        </w:rPr>
      </w:pPr>
      <w:r>
        <w:rPr>
          <w:rFonts w:hint="eastAsia" w:ascii="宋体" w:hAnsi="宋体" w:cs="宋体"/>
          <w:color w:val="auto"/>
          <w:szCs w:val="21"/>
          <w:highlight w:val="none"/>
        </w:rPr>
        <w:t>核验出席评审活动现场的评审小组各成员和相关监督人员身份，并要求其分别登记、签到，按规定统一收缴、保存其通讯工具，无关人员一律拒绝其进入评审现场。</w:t>
      </w:r>
    </w:p>
    <w:p>
      <w:pPr>
        <w:numPr>
          <w:ilvl w:val="1"/>
          <w:numId w:val="10"/>
        </w:numPr>
        <w:tabs>
          <w:tab w:val="left" w:pos="851"/>
          <w:tab w:val="left" w:pos="993"/>
        </w:tabs>
        <w:adjustRightInd w:val="0"/>
        <w:snapToGrid w:val="0"/>
        <w:spacing w:line="360" w:lineRule="auto"/>
        <w:ind w:left="0" w:firstLine="426"/>
        <w:rPr>
          <w:rFonts w:ascii="宋体" w:hAnsi="宋体" w:cs="宋体"/>
          <w:color w:val="auto"/>
          <w:szCs w:val="21"/>
          <w:highlight w:val="none"/>
        </w:rPr>
      </w:pPr>
      <w:r>
        <w:rPr>
          <w:rFonts w:hint="eastAsia" w:ascii="宋体" w:hAnsi="宋体" w:cs="宋体"/>
          <w:color w:val="auto"/>
          <w:szCs w:val="21"/>
          <w:highlight w:val="none"/>
        </w:rPr>
        <w:t>介绍评审现场的人员情况，宣布评审工作纪律，告知评审人员应当回避情形；组织推选评审小组组长。</w:t>
      </w:r>
    </w:p>
    <w:p>
      <w:pPr>
        <w:numPr>
          <w:ilvl w:val="1"/>
          <w:numId w:val="10"/>
        </w:numPr>
        <w:tabs>
          <w:tab w:val="left" w:pos="851"/>
          <w:tab w:val="left" w:pos="993"/>
        </w:tabs>
        <w:adjustRightInd w:val="0"/>
        <w:snapToGrid w:val="0"/>
        <w:spacing w:line="360" w:lineRule="auto"/>
        <w:ind w:left="0" w:firstLine="426"/>
        <w:rPr>
          <w:rFonts w:ascii="宋体" w:hAnsi="宋体" w:cs="宋体"/>
          <w:color w:val="auto"/>
          <w:szCs w:val="21"/>
          <w:highlight w:val="none"/>
        </w:rPr>
      </w:pPr>
      <w:r>
        <w:rPr>
          <w:rFonts w:hint="eastAsia" w:ascii="宋体" w:hAnsi="宋体" w:cs="宋体"/>
          <w:color w:val="auto"/>
          <w:szCs w:val="21"/>
          <w:highlight w:val="none"/>
        </w:rPr>
        <w:t>通报报名参加本项目采购的投标人名单及资格预审情况（如有），宣读最终提交采购响应文件的投标人名单，组织评审小组各位成员签订《政府采购评审人员廉洁自律承诺书》。</w:t>
      </w:r>
    </w:p>
    <w:p>
      <w:pPr>
        <w:numPr>
          <w:ilvl w:val="1"/>
          <w:numId w:val="10"/>
        </w:numPr>
        <w:tabs>
          <w:tab w:val="left" w:pos="851"/>
          <w:tab w:val="left" w:pos="993"/>
        </w:tabs>
        <w:adjustRightInd w:val="0"/>
        <w:snapToGrid w:val="0"/>
        <w:spacing w:line="360" w:lineRule="auto"/>
        <w:ind w:left="0" w:firstLine="426"/>
        <w:rPr>
          <w:rFonts w:ascii="宋体" w:hAnsi="宋体" w:cs="宋体"/>
          <w:color w:val="auto"/>
          <w:szCs w:val="21"/>
          <w:highlight w:val="none"/>
        </w:rPr>
      </w:pPr>
      <w:r>
        <w:rPr>
          <w:rFonts w:hint="eastAsia" w:ascii="宋体" w:hAnsi="宋体" w:cs="宋体"/>
          <w:color w:val="auto"/>
          <w:szCs w:val="21"/>
          <w:highlight w:val="none"/>
        </w:rPr>
        <w:t>根据需要简要介绍采购文件（含补充文件）制定及质疑答复情况、按书面陈述项目基本情况及评审工作需注意事项等。</w:t>
      </w:r>
    </w:p>
    <w:p>
      <w:pPr>
        <w:numPr>
          <w:ilvl w:val="1"/>
          <w:numId w:val="10"/>
        </w:numPr>
        <w:tabs>
          <w:tab w:val="left" w:pos="851"/>
          <w:tab w:val="left" w:pos="993"/>
        </w:tabs>
        <w:adjustRightInd w:val="0"/>
        <w:snapToGrid w:val="0"/>
        <w:spacing w:line="360" w:lineRule="auto"/>
        <w:ind w:left="0" w:firstLine="426"/>
        <w:rPr>
          <w:rFonts w:ascii="宋体" w:hAnsi="宋体" w:cs="宋体"/>
          <w:color w:val="auto"/>
          <w:szCs w:val="21"/>
          <w:highlight w:val="none"/>
        </w:rPr>
      </w:pPr>
      <w:r>
        <w:rPr>
          <w:rFonts w:hint="eastAsia" w:ascii="宋体" w:hAnsi="宋体" w:cs="宋体"/>
          <w:color w:val="auto"/>
          <w:szCs w:val="21"/>
          <w:highlight w:val="none"/>
        </w:rPr>
        <w:t>评审小组组长组织评审人员独立评审。</w:t>
      </w:r>
    </w:p>
    <w:p>
      <w:pPr>
        <w:tabs>
          <w:tab w:val="left" w:pos="851"/>
          <w:tab w:val="left" w:pos="993"/>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小组对拟认定为采购响应文件无效、投标人资格不符合的，应组织相关投标人代表进行陈述、澄清或申辩；采购代理机构可协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numPr>
          <w:ilvl w:val="1"/>
          <w:numId w:val="10"/>
        </w:numPr>
        <w:tabs>
          <w:tab w:val="left" w:pos="851"/>
          <w:tab w:val="left" w:pos="993"/>
        </w:tabs>
        <w:adjustRightInd w:val="0"/>
        <w:snapToGrid w:val="0"/>
        <w:spacing w:line="360" w:lineRule="auto"/>
        <w:ind w:left="0" w:firstLine="426"/>
        <w:rPr>
          <w:rFonts w:ascii="宋体" w:hAnsi="宋体" w:cs="宋体"/>
          <w:color w:val="auto"/>
          <w:szCs w:val="21"/>
          <w:highlight w:val="none"/>
        </w:rPr>
      </w:pPr>
      <w:r>
        <w:rPr>
          <w:rFonts w:hint="eastAsia" w:ascii="宋体" w:hAnsi="宋体" w:cs="宋体"/>
          <w:color w:val="auto"/>
          <w:szCs w:val="21"/>
          <w:highlight w:val="none"/>
        </w:rPr>
        <w:t>评审小组根据评审汇总情况和采购文件规定确定中标（成交）候选供应商排序名单。</w:t>
      </w:r>
    </w:p>
    <w:p>
      <w:pPr>
        <w:numPr>
          <w:ilvl w:val="1"/>
          <w:numId w:val="10"/>
        </w:numPr>
        <w:tabs>
          <w:tab w:val="left" w:pos="851"/>
          <w:tab w:val="left" w:pos="993"/>
        </w:tabs>
        <w:adjustRightInd w:val="0"/>
        <w:snapToGrid w:val="0"/>
        <w:spacing w:line="360" w:lineRule="auto"/>
        <w:ind w:left="0" w:firstLine="426"/>
        <w:rPr>
          <w:rFonts w:ascii="宋体" w:hAnsi="宋体" w:cs="宋体"/>
          <w:color w:val="auto"/>
          <w:szCs w:val="21"/>
          <w:highlight w:val="none"/>
        </w:rPr>
      </w:pPr>
      <w:r>
        <w:rPr>
          <w:rFonts w:hint="eastAsia" w:ascii="宋体" w:hAnsi="宋体" w:cs="宋体"/>
          <w:color w:val="auto"/>
          <w:szCs w:val="21"/>
          <w:highlight w:val="none"/>
        </w:rPr>
        <w:t>起草评审报告，所有评审人员须在评审报告上签字确认。</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人员对有关采购文件、投标文件、样品（如有）、现场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对因采购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评标报告是评标委员会根据全体评标成员签字的原始评标记录和评标结果编写的报告，其主要内容包括：</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（1）采购公告刊登的媒体名称、开标日期和地点；</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（2）获取采购文件的投标人名单和评标委员会成员名单；</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（3）评标方法和标准；</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（4）开标记录和评标情况及说明，包括投标无效投标人名单及原因；</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（5）评标结果和中标候选人排序；</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（6）评标委员会的授标建议。</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4.评标程序</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4.1投标文件初审。初审分为资格性检查和符合性检查。</w:t>
      </w:r>
    </w:p>
    <w:p>
      <w:pPr>
        <w:numPr>
          <w:ilvl w:val="0"/>
          <w:numId w:val="11"/>
        </w:num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资格性检查。</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开标后，采购人或采购代理机构将依据法律法规和本须知第9.1条规定对投标人的基本资格条件、特定资格条件进行审查。</w:t>
      </w:r>
    </w:p>
    <w:p>
      <w:pPr>
        <w:numPr>
          <w:ilvl w:val="0"/>
          <w:numId w:val="11"/>
        </w:num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符合性检查。依据采购文件的规定，从投标文件的有效性、完整性和对采购文件的响应程度进行审查，以确定是否对采购文件的实质性要求作出响应。具体审查内容见“无效投标的认定”。</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评标委员会决定投标文件的响应性只根据投标文件本身的内容，而不寻求外部证据。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如果投标文件没有实质上响应采购文件的要求，评标委员会将判定无效，投标人不得通过修改或撤销不合要求的偏离或保留而使其投标成为实质性响应的投标。</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投标供应商的澄清、说明或者补正应当由法定代表人或其授权的代表签字（或加盖公章）后扫描上传提交。</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除邮件交互外，如政采云平台提供信息发布、澄清说明、数据交换等操作方式的，或者政采云系统平台有新的操作流程的，按其规定。</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4.3修正原则</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投标文件报价出现前后不一致的，按照下列规定修正：</w:t>
      </w:r>
    </w:p>
    <w:p>
      <w:pPr>
        <w:numPr>
          <w:ilvl w:val="0"/>
          <w:numId w:val="12"/>
        </w:numPr>
        <w:tabs>
          <w:tab w:val="left" w:pos="630"/>
          <w:tab w:val="left" w:pos="840"/>
          <w:tab w:val="left" w:pos="1050"/>
        </w:tabs>
        <w:adjustRightInd w:val="0"/>
        <w:snapToGrid w:val="0"/>
        <w:spacing w:line="360" w:lineRule="auto"/>
        <w:ind w:left="5" w:firstLine="635"/>
        <w:jc w:val="left"/>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0"/>
          <w:numId w:val="12"/>
        </w:numPr>
        <w:tabs>
          <w:tab w:val="left" w:pos="630"/>
          <w:tab w:val="left" w:pos="840"/>
          <w:tab w:val="left" w:pos="1050"/>
        </w:tabs>
        <w:adjustRightInd w:val="0"/>
        <w:snapToGrid w:val="0"/>
        <w:spacing w:line="360" w:lineRule="auto"/>
        <w:ind w:left="5" w:firstLine="635"/>
        <w:jc w:val="left"/>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0"/>
          <w:numId w:val="12"/>
        </w:numPr>
        <w:tabs>
          <w:tab w:val="left" w:pos="630"/>
          <w:tab w:val="left" w:pos="840"/>
          <w:tab w:val="left" w:pos="1050"/>
        </w:tabs>
        <w:adjustRightInd w:val="0"/>
        <w:snapToGrid w:val="0"/>
        <w:spacing w:line="360" w:lineRule="auto"/>
        <w:ind w:left="5" w:firstLine="635"/>
        <w:jc w:val="left"/>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0"/>
          <w:numId w:val="12"/>
        </w:numPr>
        <w:tabs>
          <w:tab w:val="left" w:pos="630"/>
          <w:tab w:val="left" w:pos="840"/>
          <w:tab w:val="left" w:pos="1050"/>
        </w:tabs>
        <w:adjustRightInd w:val="0"/>
        <w:snapToGrid w:val="0"/>
        <w:spacing w:line="360" w:lineRule="auto"/>
        <w:ind w:left="5" w:firstLine="635"/>
        <w:jc w:val="left"/>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(5)政采云平台填报的开标一览表中的价格与上传的报价响应文件中开标一览表的报价不一致的，以上传的报价响应文件中开标一览表的价格为准，修正平台上的投标报价。</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4.4比较与评价。</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按采购文件中规定的评标方法和标准，对资格性检查和符合性检查合格的投标文件进行商务和技术评估，综合比较与评价。</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4.5按采购文件中规定的评标方法和标准，对投标人进行排序，并推荐中标候选人。</w:t>
      </w:r>
    </w:p>
    <w:p>
      <w:pPr>
        <w:adjustRightInd w:val="0"/>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4.6编写评标报告</w:t>
      </w:r>
      <w:r>
        <w:rPr>
          <w:rFonts w:hint="eastAsia" w:ascii="宋体" w:hAnsi="宋体" w:cs="宋体"/>
          <w:b/>
          <w:color w:val="auto"/>
          <w:szCs w:val="21"/>
          <w:highlight w:val="none"/>
        </w:rPr>
        <w:t>。</w:t>
      </w:r>
    </w:p>
    <w:p>
      <w:pPr>
        <w:adjustRightInd w:val="0"/>
        <w:snapToGrid w:val="0"/>
        <w:spacing w:beforeLines="5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5．无效投标的认定</w:t>
      </w:r>
    </w:p>
    <w:p>
      <w:pPr>
        <w:adjustRightInd w:val="0"/>
        <w:snapToGrid w:val="0"/>
        <w:spacing w:line="360" w:lineRule="auto"/>
        <w:ind w:firstLine="422" w:firstLineChars="200"/>
        <w:jc w:val="left"/>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5.1资格审查阶段</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投标人未按照采购文件投标须知9.1条要求提供与基本资格条件、特定资格条件相应的有效资格证明材料的，视为投标人不具备采购文件中规定的资格要求，其资格审查不通过。</w:t>
      </w:r>
    </w:p>
    <w:p>
      <w:pPr>
        <w:adjustRightInd w:val="0"/>
        <w:snapToGrid w:val="0"/>
        <w:spacing w:line="360" w:lineRule="auto"/>
        <w:ind w:firstLine="422" w:firstLineChars="200"/>
        <w:jc w:val="left"/>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5.2商务技术文件评审阶段</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审时，对投标人的技术文件、商务资信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如发现下列情形之一的，投标文件将被视为无效投标：</w:t>
      </w:r>
    </w:p>
    <w:p>
      <w:pPr>
        <w:numPr>
          <w:ilvl w:val="0"/>
          <w:numId w:val="13"/>
        </w:numPr>
        <w:tabs>
          <w:tab w:val="left" w:pos="900"/>
          <w:tab w:val="clear" w:pos="1273"/>
        </w:tabs>
        <w:adjustRightInd w:val="0"/>
        <w:snapToGrid w:val="0"/>
        <w:spacing w:line="360" w:lineRule="auto"/>
        <w:ind w:left="0" w:firstLine="360"/>
        <w:jc w:val="left"/>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投标文件中法定代表人授权书所载内容与本项目内容有异的或者法定代表人授权书未按照采购文件要求签署、盖章的；</w:t>
      </w:r>
    </w:p>
    <w:p>
      <w:pPr>
        <w:numPr>
          <w:ilvl w:val="0"/>
          <w:numId w:val="13"/>
        </w:numPr>
        <w:tabs>
          <w:tab w:val="left" w:pos="900"/>
          <w:tab w:val="clear" w:pos="1273"/>
        </w:tabs>
        <w:adjustRightInd w:val="0"/>
        <w:snapToGrid w:val="0"/>
        <w:spacing w:line="360" w:lineRule="auto"/>
        <w:ind w:left="0" w:firstLine="360"/>
        <w:jc w:val="left"/>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投标文件内容弄虚作假的；</w:t>
      </w:r>
    </w:p>
    <w:p>
      <w:pPr>
        <w:numPr>
          <w:ilvl w:val="0"/>
          <w:numId w:val="13"/>
        </w:numPr>
        <w:tabs>
          <w:tab w:val="left" w:pos="900"/>
          <w:tab w:val="clear" w:pos="1273"/>
        </w:tabs>
        <w:adjustRightInd w:val="0"/>
        <w:snapToGrid w:val="0"/>
        <w:spacing w:line="360" w:lineRule="auto"/>
        <w:ind w:left="0" w:firstLine="360"/>
        <w:jc w:val="left"/>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未按采购文件中明确的要求签署、盖章的；</w:t>
      </w:r>
    </w:p>
    <w:p>
      <w:pPr>
        <w:numPr>
          <w:ilvl w:val="0"/>
          <w:numId w:val="13"/>
        </w:numPr>
        <w:tabs>
          <w:tab w:val="left" w:pos="900"/>
          <w:tab w:val="left" w:pos="1080"/>
          <w:tab w:val="clear" w:pos="1273"/>
        </w:tabs>
        <w:adjustRightInd w:val="0"/>
        <w:snapToGrid w:val="0"/>
        <w:spacing w:line="360" w:lineRule="auto"/>
        <w:ind w:left="0" w:firstLine="360"/>
        <w:jc w:val="left"/>
        <w:rPr>
          <w:rFonts w:ascii="宋体" w:hAnsi="宋体" w:cs="宋体"/>
          <w:b/>
          <w:snapToGrid w:val="0"/>
          <w:color w:val="auto"/>
          <w:kern w:val="0"/>
          <w:szCs w:val="21"/>
          <w:highlight w:val="none"/>
        </w:rPr>
      </w:pPr>
      <w:r>
        <w:rPr>
          <w:rFonts w:hint="eastAsia" w:ascii="宋体" w:hAnsi="宋体" w:cs="宋体"/>
          <w:b/>
          <w:bCs/>
          <w:color w:val="auto"/>
          <w:szCs w:val="21"/>
          <w:highlight w:val="none"/>
        </w:rPr>
        <w:t>不响应采购文件标注“▲”条款要求的；</w:t>
      </w:r>
    </w:p>
    <w:p>
      <w:pPr>
        <w:numPr>
          <w:ilvl w:val="0"/>
          <w:numId w:val="13"/>
        </w:numPr>
        <w:tabs>
          <w:tab w:val="left" w:pos="900"/>
          <w:tab w:val="left" w:pos="1080"/>
          <w:tab w:val="clear" w:pos="1273"/>
        </w:tabs>
        <w:adjustRightInd w:val="0"/>
        <w:snapToGrid w:val="0"/>
        <w:spacing w:line="360" w:lineRule="auto"/>
        <w:ind w:left="0" w:firstLine="360"/>
        <w:jc w:val="left"/>
        <w:rPr>
          <w:rFonts w:ascii="宋体" w:hAnsi="宋体" w:cs="宋体"/>
          <w:b/>
          <w:bCs/>
          <w:color w:val="auto"/>
          <w:szCs w:val="21"/>
          <w:highlight w:val="none"/>
        </w:rPr>
      </w:pPr>
      <w:r>
        <w:rPr>
          <w:rFonts w:hint="eastAsia" w:ascii="宋体" w:hAnsi="宋体" w:cs="宋体"/>
          <w:b/>
          <w:bCs/>
          <w:color w:val="auto"/>
          <w:szCs w:val="21"/>
          <w:highlight w:val="none"/>
        </w:rPr>
        <w:t>投标有效期、实施期等条款不能满足采购文件要求的；</w:t>
      </w:r>
    </w:p>
    <w:p>
      <w:pPr>
        <w:numPr>
          <w:ilvl w:val="255"/>
          <w:numId w:val="0"/>
        </w:numPr>
        <w:tabs>
          <w:tab w:val="left" w:pos="900"/>
          <w:tab w:val="left" w:pos="1080"/>
        </w:tabs>
        <w:adjustRightInd w:val="0"/>
        <w:snapToGrid w:val="0"/>
        <w:spacing w:line="360" w:lineRule="auto"/>
        <w:ind w:left="360"/>
        <w:jc w:val="left"/>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）存在法律、法规规定及采购文件规定的其它无效情形的。</w:t>
      </w:r>
    </w:p>
    <w:p>
      <w:pPr>
        <w:adjustRightInd w:val="0"/>
        <w:snapToGrid w:val="0"/>
        <w:spacing w:line="360" w:lineRule="auto"/>
        <w:ind w:firstLine="422" w:firstLineChars="200"/>
        <w:jc w:val="left"/>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5.3报价文件评审阶段</w:t>
      </w:r>
    </w:p>
    <w:p>
      <w:pPr>
        <w:tabs>
          <w:tab w:val="left" w:pos="900"/>
          <w:tab w:val="left" w:pos="1080"/>
        </w:tabs>
        <w:adjustRightInd w:val="0"/>
        <w:snapToGrid w:val="0"/>
        <w:spacing w:line="360" w:lineRule="auto"/>
        <w:ind w:left="360"/>
        <w:jc w:val="left"/>
        <w:rPr>
          <w:rFonts w:ascii="宋体" w:hAnsi="宋体" w:cs="宋体"/>
          <w:b/>
          <w:bCs/>
          <w:color w:val="auto"/>
          <w:szCs w:val="21"/>
          <w:highlight w:val="none"/>
        </w:rPr>
      </w:pPr>
      <w:r>
        <w:rPr>
          <w:rFonts w:hint="eastAsia" w:ascii="宋体" w:hAnsi="宋体" w:cs="宋体"/>
          <w:snapToGrid w:val="0"/>
          <w:color w:val="auto"/>
          <w:kern w:val="0"/>
          <w:szCs w:val="21"/>
          <w:highlight w:val="none"/>
        </w:rPr>
        <w:t>在报价评审时，如发现下列情形之一的，投标文件将被视为无效：</w:t>
      </w:r>
    </w:p>
    <w:p>
      <w:pPr>
        <w:numPr>
          <w:ilvl w:val="0"/>
          <w:numId w:val="14"/>
        </w:numPr>
        <w:tabs>
          <w:tab w:val="left" w:pos="900"/>
          <w:tab w:val="left" w:pos="1080"/>
          <w:tab w:val="clear" w:pos="1273"/>
        </w:tabs>
        <w:adjustRightInd w:val="0"/>
        <w:snapToGrid w:val="0"/>
        <w:spacing w:line="360" w:lineRule="auto"/>
        <w:ind w:left="0" w:firstLine="360"/>
        <w:jc w:val="left"/>
        <w:rPr>
          <w:rFonts w:ascii="宋体" w:hAnsi="宋体" w:cs="宋体"/>
          <w:b/>
          <w:bCs/>
          <w:color w:val="auto"/>
          <w:szCs w:val="21"/>
          <w:highlight w:val="none"/>
        </w:rPr>
      </w:pPr>
      <w:r>
        <w:rPr>
          <w:rFonts w:hint="eastAsia" w:ascii="宋体" w:hAnsi="宋体" w:cs="宋体"/>
          <w:b/>
          <w:bCs/>
          <w:color w:val="auto"/>
          <w:szCs w:val="21"/>
          <w:highlight w:val="none"/>
        </w:rPr>
        <w:t>开标一览表投标报价为零的（包括投标文件中标明：免费或赠予）或其报价（大写）无法按正常书写方式进行报价唱标的或无投标报价的；</w:t>
      </w:r>
    </w:p>
    <w:p>
      <w:pPr>
        <w:numPr>
          <w:ilvl w:val="0"/>
          <w:numId w:val="14"/>
        </w:numPr>
        <w:tabs>
          <w:tab w:val="left" w:pos="900"/>
          <w:tab w:val="left" w:pos="1080"/>
          <w:tab w:val="clear" w:pos="1273"/>
        </w:tabs>
        <w:adjustRightInd w:val="0"/>
        <w:snapToGrid w:val="0"/>
        <w:spacing w:line="360" w:lineRule="auto"/>
        <w:ind w:left="0" w:firstLine="360"/>
        <w:jc w:val="left"/>
        <w:rPr>
          <w:rFonts w:ascii="宋体" w:hAnsi="宋体" w:cs="宋体"/>
          <w:b/>
          <w:bCs/>
          <w:color w:val="auto"/>
          <w:szCs w:val="21"/>
          <w:highlight w:val="none"/>
        </w:rPr>
      </w:pPr>
      <w:r>
        <w:rPr>
          <w:rFonts w:hint="eastAsia" w:ascii="宋体" w:hAnsi="宋体" w:cs="宋体"/>
          <w:b/>
          <w:bCs/>
          <w:color w:val="auto"/>
          <w:szCs w:val="21"/>
          <w:highlight w:val="none"/>
        </w:rPr>
        <w:t>政采云平台填报的开标一览表中的价格与上传的报价响应文件中开标一览表的报价不一致时，投标人不同意按“4.3修正原则”第（5）条原则修正的；</w:t>
      </w:r>
    </w:p>
    <w:p>
      <w:pPr>
        <w:numPr>
          <w:ilvl w:val="0"/>
          <w:numId w:val="14"/>
        </w:numPr>
        <w:tabs>
          <w:tab w:val="left" w:pos="900"/>
          <w:tab w:val="left" w:pos="1080"/>
          <w:tab w:val="clear" w:pos="1273"/>
        </w:tabs>
        <w:adjustRightInd w:val="0"/>
        <w:snapToGrid w:val="0"/>
        <w:spacing w:line="360" w:lineRule="auto"/>
        <w:ind w:left="0" w:firstLine="360"/>
        <w:jc w:val="left"/>
        <w:rPr>
          <w:rFonts w:ascii="宋体" w:hAnsi="宋体" w:cs="宋体"/>
          <w:b/>
          <w:bCs/>
          <w:color w:val="auto"/>
          <w:szCs w:val="21"/>
          <w:highlight w:val="none"/>
        </w:rPr>
      </w:pPr>
      <w:r>
        <w:rPr>
          <w:rFonts w:hint="eastAsia" w:ascii="宋体" w:hAnsi="宋体" w:cs="宋体"/>
          <w:b/>
          <w:snapToGrid w:val="0"/>
          <w:color w:val="auto"/>
          <w:kern w:val="0"/>
          <w:highlight w:val="none"/>
        </w:rPr>
        <w:t>投标人提交两份或多份内容不同的报价响应文件，或在一份报价响应文件中对同一内容报有两个或多个报价，且未声明哪一个为最终报价的；</w:t>
      </w:r>
    </w:p>
    <w:p>
      <w:pPr>
        <w:numPr>
          <w:ilvl w:val="0"/>
          <w:numId w:val="14"/>
        </w:numPr>
        <w:tabs>
          <w:tab w:val="left" w:pos="900"/>
          <w:tab w:val="left" w:pos="1080"/>
          <w:tab w:val="clear" w:pos="1273"/>
        </w:tabs>
        <w:adjustRightInd w:val="0"/>
        <w:snapToGrid w:val="0"/>
        <w:spacing w:line="360" w:lineRule="auto"/>
        <w:ind w:left="0" w:firstLine="360"/>
        <w:jc w:val="left"/>
        <w:rPr>
          <w:rFonts w:ascii="宋体" w:hAnsi="宋体" w:cs="宋体"/>
          <w:b/>
          <w:snapToGrid w:val="0"/>
          <w:color w:val="auto"/>
          <w:kern w:val="0"/>
          <w:highlight w:val="none"/>
        </w:rPr>
      </w:pPr>
      <w:r>
        <w:rPr>
          <w:rFonts w:hint="eastAsia" w:ascii="宋体" w:hAnsi="宋体" w:cs="宋体"/>
          <w:b/>
          <w:snapToGrid w:val="0"/>
          <w:color w:val="auto"/>
          <w:kern w:val="0"/>
          <w:highlight w:val="none"/>
        </w:rPr>
        <w:t>投标人的报价明显低于其他通过符合性审查投标人的报价，有可能影响服务质量或者不能诚信履约，未能按评标委员会要求其在评标现场合理的时间内提供书面说明及相关证明材料以证明其报价合理性的；</w:t>
      </w:r>
    </w:p>
    <w:p>
      <w:pPr>
        <w:numPr>
          <w:ilvl w:val="0"/>
          <w:numId w:val="14"/>
        </w:numPr>
        <w:tabs>
          <w:tab w:val="left" w:pos="900"/>
          <w:tab w:val="left" w:pos="1080"/>
          <w:tab w:val="clear" w:pos="1273"/>
        </w:tabs>
        <w:adjustRightInd w:val="0"/>
        <w:snapToGrid w:val="0"/>
        <w:spacing w:line="360" w:lineRule="auto"/>
        <w:ind w:left="0" w:firstLine="360"/>
        <w:jc w:val="left"/>
        <w:rPr>
          <w:rFonts w:ascii="宋体" w:hAnsi="宋体" w:cs="宋体"/>
          <w:b/>
          <w:snapToGrid w:val="0"/>
          <w:color w:val="auto"/>
          <w:kern w:val="0"/>
          <w:highlight w:val="none"/>
        </w:rPr>
      </w:pPr>
      <w:r>
        <w:rPr>
          <w:rFonts w:hint="eastAsia" w:ascii="宋体" w:hAnsi="宋体" w:cs="宋体"/>
          <w:b/>
          <w:snapToGrid w:val="0"/>
          <w:color w:val="auto"/>
          <w:kern w:val="0"/>
          <w:highlight w:val="none"/>
        </w:rPr>
        <w:t>投标报价超过采购文件中规定的预算金额的；</w:t>
      </w:r>
    </w:p>
    <w:p>
      <w:pPr>
        <w:numPr>
          <w:ilvl w:val="0"/>
          <w:numId w:val="14"/>
        </w:numPr>
        <w:tabs>
          <w:tab w:val="left" w:pos="900"/>
          <w:tab w:val="left" w:pos="1080"/>
          <w:tab w:val="clear" w:pos="1273"/>
        </w:tabs>
        <w:adjustRightInd w:val="0"/>
        <w:snapToGrid w:val="0"/>
        <w:spacing w:line="360" w:lineRule="auto"/>
        <w:ind w:left="0" w:firstLine="360"/>
        <w:jc w:val="left"/>
        <w:rPr>
          <w:rFonts w:ascii="宋体" w:hAnsi="宋体" w:cs="宋体"/>
          <w:b/>
          <w:snapToGrid w:val="0"/>
          <w:color w:val="auto"/>
          <w:kern w:val="0"/>
          <w:highlight w:val="none"/>
        </w:rPr>
      </w:pPr>
      <w:r>
        <w:rPr>
          <w:rFonts w:hint="eastAsia" w:ascii="宋体" w:hAnsi="宋体" w:cs="宋体"/>
          <w:b/>
          <w:snapToGrid w:val="0"/>
          <w:color w:val="auto"/>
          <w:kern w:val="0"/>
          <w:highlight w:val="none"/>
        </w:rPr>
        <w:t>存在法律、法规规定及采购文件规定的其它无效情形的。</w:t>
      </w:r>
    </w:p>
    <w:p>
      <w:pPr>
        <w:pStyle w:val="4"/>
        <w:snapToGrid w:val="0"/>
        <w:spacing w:beforeLines="50" w:afterLines="50" w:line="360" w:lineRule="auto"/>
        <w:rPr>
          <w:rFonts w:ascii="宋体" w:hAnsi="宋体" w:eastAsia="宋体" w:cs="宋体"/>
          <w:color w:val="auto"/>
          <w:sz w:val="21"/>
          <w:szCs w:val="21"/>
          <w:highlight w:val="none"/>
        </w:rPr>
      </w:pPr>
      <w:bookmarkStart w:id="65" w:name="_Toc249760795"/>
      <w:bookmarkStart w:id="66" w:name="_Toc251566666"/>
      <w:bookmarkStart w:id="67" w:name="_Toc19580"/>
      <w:bookmarkStart w:id="68" w:name="_Toc20349"/>
      <w:r>
        <w:rPr>
          <w:rFonts w:hint="eastAsia" w:ascii="宋体" w:hAnsi="宋体" w:eastAsia="宋体" w:cs="宋体"/>
          <w:color w:val="auto"/>
          <w:sz w:val="21"/>
          <w:szCs w:val="21"/>
          <w:highlight w:val="none"/>
        </w:rPr>
        <w:t>五、评标</w:t>
      </w:r>
      <w:bookmarkEnd w:id="65"/>
      <w:bookmarkEnd w:id="66"/>
      <w:r>
        <w:rPr>
          <w:rFonts w:hint="eastAsia" w:ascii="宋体" w:hAnsi="宋体" w:eastAsia="宋体" w:cs="宋体"/>
          <w:color w:val="auto"/>
          <w:sz w:val="21"/>
          <w:szCs w:val="21"/>
          <w:highlight w:val="none"/>
        </w:rPr>
        <w:t>细则及标准</w:t>
      </w:r>
      <w:bookmarkEnd w:id="67"/>
      <w:bookmarkEnd w:id="68"/>
    </w:p>
    <w:p>
      <w:pPr>
        <w:autoSpaceDE w:val="0"/>
        <w:autoSpaceDN w:val="0"/>
        <w:adjustRightInd w:val="0"/>
        <w:spacing w:line="360" w:lineRule="auto"/>
        <w:ind w:firstLine="480"/>
        <w:rPr>
          <w:rFonts w:ascii="宋体" w:hAnsi="宋体" w:cs="宋体"/>
          <w:b/>
          <w:color w:val="auto"/>
          <w:szCs w:val="21"/>
          <w:highlight w:val="none"/>
          <w:lang w:val="zh-CN"/>
        </w:rPr>
      </w:pPr>
      <w:r>
        <w:rPr>
          <w:rFonts w:hint="eastAsia" w:ascii="宋体" w:hAnsi="宋体" w:cs="宋体"/>
          <w:b/>
          <w:color w:val="auto"/>
          <w:szCs w:val="21"/>
          <w:highlight w:val="none"/>
          <w:lang w:val="zh-CN"/>
        </w:rPr>
        <w:t>（一）技术商务评审因素（满分</w:t>
      </w:r>
      <w:r>
        <w:rPr>
          <w:rFonts w:hint="eastAsia" w:ascii="宋体" w:hAnsi="宋体" w:cs="宋体"/>
          <w:b/>
          <w:color w:val="auto"/>
          <w:szCs w:val="21"/>
          <w:highlight w:val="none"/>
          <w:u w:val="single"/>
        </w:rPr>
        <w:t>90</w:t>
      </w:r>
      <w:r>
        <w:rPr>
          <w:rFonts w:hint="eastAsia" w:ascii="宋体" w:hAnsi="宋体" w:cs="宋体"/>
          <w:b/>
          <w:color w:val="auto"/>
          <w:szCs w:val="21"/>
          <w:highlight w:val="none"/>
          <w:lang w:val="zh-CN"/>
        </w:rPr>
        <w:t>分）</w:t>
      </w:r>
    </w:p>
    <w:p>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评标委员会对各投标人的技术商务充分审核、讨论及评议后，每人一份评分表，进行独自打分并签名。在统计得分时，如发现某一单项评分超过评分细则规定的分值范围，则该张评分表无效。投标人技术部分的得分为评标委员会各成员的有效评分的算术平均值。</w:t>
      </w:r>
    </w:p>
    <w:tbl>
      <w:tblPr>
        <w:tblStyle w:val="43"/>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5"/>
        <w:gridCol w:w="1773"/>
        <w:gridCol w:w="3464"/>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trPr>
        <w:tc>
          <w:tcPr>
            <w:tcW w:w="2995" w:type="dxa"/>
            <w:vAlign w:val="center"/>
          </w:tcPr>
          <w:p>
            <w:pPr>
              <w:pStyle w:val="51"/>
              <w:spacing w:line="240" w:lineRule="auto"/>
              <w:ind w:firstLine="0" w:firstLineChars="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评价指标</w:t>
            </w:r>
          </w:p>
        </w:tc>
        <w:tc>
          <w:tcPr>
            <w:tcW w:w="5237" w:type="dxa"/>
            <w:gridSpan w:val="2"/>
            <w:vAlign w:val="center"/>
          </w:tcPr>
          <w:p>
            <w:pPr>
              <w:pStyle w:val="51"/>
              <w:spacing w:line="240" w:lineRule="auto"/>
              <w:ind w:firstLine="42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评分细则</w:t>
            </w:r>
          </w:p>
        </w:tc>
        <w:tc>
          <w:tcPr>
            <w:tcW w:w="710" w:type="dxa"/>
            <w:vAlign w:val="center"/>
          </w:tcPr>
          <w:p>
            <w:pPr>
              <w:pStyle w:val="51"/>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trPr>
        <w:tc>
          <w:tcPr>
            <w:tcW w:w="2995" w:type="dxa"/>
            <w:vAlign w:val="center"/>
          </w:tcPr>
          <w:p>
            <w:pPr>
              <w:pStyle w:val="51"/>
              <w:spacing w:line="240" w:lineRule="auto"/>
              <w:ind w:firstLine="0" w:firstLineChars="0"/>
              <w:jc w:val="center"/>
              <w:rPr>
                <w:rFonts w:hint="default" w:ascii="宋体" w:hAnsi="宋体" w:eastAsia="宋体" w:cs="宋体"/>
                <w:bCs/>
                <w:color w:val="auto"/>
                <w:sz w:val="21"/>
                <w:szCs w:val="21"/>
                <w:highlight w:val="none"/>
                <w:lang w:val="en-US" w:eastAsia="zh-CN"/>
              </w:rPr>
            </w:pPr>
            <w:r>
              <w:rPr>
                <w:rFonts w:hint="eastAsia" w:ascii="宋体" w:hAnsi="宋体" w:cs="仿宋_GB2312"/>
                <w:color w:val="auto"/>
                <w:sz w:val="21"/>
                <w:szCs w:val="21"/>
                <w:highlight w:val="none"/>
              </w:rPr>
              <w:t>项目背景、现状的认知、理解</w:t>
            </w:r>
            <w:r>
              <w:rPr>
                <w:rFonts w:hint="eastAsia" w:ascii="宋体" w:hAnsi="宋体" w:cs="仿宋_GB2312"/>
                <w:color w:val="auto"/>
                <w:sz w:val="21"/>
                <w:szCs w:val="21"/>
                <w:highlight w:val="none"/>
                <w:lang w:val="en-US" w:eastAsia="zh-CN"/>
              </w:rPr>
              <w:t>和分析</w:t>
            </w:r>
          </w:p>
        </w:tc>
        <w:tc>
          <w:tcPr>
            <w:tcW w:w="5237" w:type="dxa"/>
            <w:gridSpan w:val="2"/>
          </w:tcPr>
          <w:p>
            <w:pPr>
              <w:pStyle w:val="51"/>
              <w:spacing w:line="240" w:lineRule="auto"/>
              <w:ind w:firstLine="0" w:firstLineChars="0"/>
              <w:rPr>
                <w:rFonts w:ascii="宋体" w:hAnsi="宋体" w:cs="宋体"/>
                <w:bCs/>
                <w:color w:val="auto"/>
                <w:sz w:val="21"/>
                <w:szCs w:val="21"/>
                <w:highlight w:val="none"/>
              </w:rPr>
            </w:pPr>
            <w:r>
              <w:rPr>
                <w:rFonts w:hint="eastAsia" w:ascii="宋体" w:hAnsi="宋体" w:cs="仿宋_GB2312"/>
                <w:color w:val="auto"/>
                <w:sz w:val="21"/>
                <w:szCs w:val="21"/>
                <w:highlight w:val="none"/>
              </w:rPr>
              <w:t>对</w:t>
            </w:r>
            <w:r>
              <w:rPr>
                <w:rFonts w:hint="eastAsia" w:ascii="宋体" w:hAnsi="宋体" w:cs="仿宋_GB2312"/>
                <w:color w:val="auto"/>
                <w:sz w:val="21"/>
                <w:szCs w:val="21"/>
                <w:highlight w:val="none"/>
                <w:lang w:val="en-US" w:eastAsia="zh-CN"/>
              </w:rPr>
              <w:t>杭州市未来城市实践区总体发展方向、规划建设与景观控制的管理与引导要求的认知、理解</w:t>
            </w:r>
            <w:r>
              <w:rPr>
                <w:rFonts w:hint="eastAsia" w:ascii="宋体" w:hAnsi="宋体" w:cs="仿宋_GB2312"/>
                <w:color w:val="auto"/>
                <w:sz w:val="21"/>
                <w:szCs w:val="21"/>
                <w:highlight w:val="none"/>
              </w:rPr>
              <w:t>是否透彻，对</w:t>
            </w:r>
            <w:r>
              <w:rPr>
                <w:rFonts w:hint="eastAsia" w:ascii="宋体" w:hAnsi="宋体" w:cs="宋体"/>
                <w:bCs/>
                <w:color w:val="auto"/>
                <w:sz w:val="21"/>
                <w:szCs w:val="21"/>
                <w:highlight w:val="none"/>
                <w:lang w:val="en-US" w:eastAsia="zh-CN"/>
              </w:rPr>
              <w:t>三江汇地区</w:t>
            </w:r>
            <w:r>
              <w:rPr>
                <w:rFonts w:hint="eastAsia" w:ascii="宋体" w:hAnsi="宋体" w:cs="宋体"/>
                <w:bCs/>
                <w:color w:val="auto"/>
                <w:sz w:val="21"/>
                <w:szCs w:val="21"/>
                <w:highlight w:val="none"/>
              </w:rPr>
              <w:t>现状</w:t>
            </w:r>
            <w:r>
              <w:rPr>
                <w:rFonts w:hint="eastAsia" w:ascii="宋体" w:hAnsi="宋体" w:cs="仿宋_GB2312"/>
                <w:color w:val="auto"/>
                <w:sz w:val="21"/>
                <w:szCs w:val="21"/>
                <w:highlight w:val="none"/>
              </w:rPr>
              <w:t>的分析是否到位</w:t>
            </w:r>
          </w:p>
        </w:tc>
        <w:tc>
          <w:tcPr>
            <w:tcW w:w="710" w:type="dxa"/>
            <w:vAlign w:val="center"/>
          </w:tcPr>
          <w:p>
            <w:pPr>
              <w:pStyle w:val="51"/>
              <w:spacing w:line="24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995" w:type="dxa"/>
            <w:vMerge w:val="restart"/>
            <w:vAlign w:val="center"/>
          </w:tcPr>
          <w:p>
            <w:pPr>
              <w:pStyle w:val="51"/>
              <w:spacing w:line="240" w:lineRule="auto"/>
              <w:ind w:left="0" w:leftChars="0" w:firstLine="0" w:firstLineChars="0"/>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rPr>
              <w:t>服务方案</w:t>
            </w:r>
          </w:p>
        </w:tc>
        <w:tc>
          <w:tcPr>
            <w:tcW w:w="1773" w:type="dxa"/>
            <w:vMerge w:val="restart"/>
            <w:vAlign w:val="center"/>
          </w:tcPr>
          <w:p>
            <w:pPr>
              <w:pStyle w:val="51"/>
              <w:spacing w:line="240" w:lineRule="auto"/>
              <w:ind w:right="181" w:rightChars="0" w:firstLine="0" w:firstLineChars="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落实上位规划要求，开展现行单元控规实施评估</w:t>
            </w:r>
            <w:r>
              <w:rPr>
                <w:rFonts w:hint="eastAsia" w:ascii="宋体" w:hAnsi="宋体" w:cs="宋体"/>
                <w:bCs/>
                <w:color w:val="auto"/>
                <w:kern w:val="2"/>
                <w:sz w:val="21"/>
                <w:szCs w:val="21"/>
                <w:highlight w:val="none"/>
                <w:lang w:val="en-US" w:eastAsia="zh-CN" w:bidi="ar-SA"/>
              </w:rPr>
              <w:t>的思路和方法</w:t>
            </w:r>
          </w:p>
        </w:tc>
        <w:tc>
          <w:tcPr>
            <w:tcW w:w="3464" w:type="dxa"/>
          </w:tcPr>
          <w:p>
            <w:pPr>
              <w:pStyle w:val="51"/>
              <w:spacing w:line="240" w:lineRule="auto"/>
              <w:ind w:firstLine="0" w:firstLineChars="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对于</w:t>
            </w:r>
            <w:r>
              <w:rPr>
                <w:rFonts w:hint="default" w:ascii="宋体" w:hAnsi="宋体" w:cs="宋体"/>
                <w:bCs/>
                <w:color w:val="auto"/>
                <w:sz w:val="21"/>
                <w:szCs w:val="21"/>
                <w:highlight w:val="none"/>
                <w:lang w:val="en-US" w:eastAsia="zh-CN"/>
              </w:rPr>
              <w:t>深入解读规划要求</w:t>
            </w:r>
            <w:r>
              <w:rPr>
                <w:rFonts w:hint="eastAsia" w:ascii="宋体" w:hAnsi="宋体" w:cs="宋体"/>
                <w:bCs/>
                <w:color w:val="auto"/>
                <w:sz w:val="21"/>
                <w:szCs w:val="21"/>
                <w:highlight w:val="none"/>
                <w:lang w:val="en-US" w:eastAsia="zh-CN"/>
              </w:rPr>
              <w:t>、</w:t>
            </w:r>
            <w:r>
              <w:rPr>
                <w:rFonts w:hint="default" w:ascii="宋体" w:hAnsi="宋体" w:cs="宋体"/>
                <w:bCs/>
                <w:color w:val="auto"/>
                <w:sz w:val="21"/>
                <w:szCs w:val="21"/>
                <w:highlight w:val="none"/>
                <w:lang w:val="en-US" w:eastAsia="zh-CN"/>
              </w:rPr>
              <w:t>加强与总体规划衔接</w:t>
            </w:r>
            <w:r>
              <w:rPr>
                <w:rFonts w:hint="eastAsia" w:ascii="宋体" w:hAnsi="宋体" w:cs="宋体"/>
                <w:bCs/>
                <w:color w:val="auto"/>
                <w:sz w:val="21"/>
                <w:szCs w:val="21"/>
                <w:highlight w:val="none"/>
                <w:lang w:val="en-US" w:eastAsia="zh-CN"/>
              </w:rPr>
              <w:t>、</w:t>
            </w:r>
            <w:r>
              <w:rPr>
                <w:rFonts w:hint="default" w:ascii="宋体" w:hAnsi="宋体" w:cs="宋体"/>
                <w:bCs/>
                <w:color w:val="auto"/>
                <w:sz w:val="21"/>
                <w:szCs w:val="21"/>
                <w:highlight w:val="none"/>
                <w:lang w:val="en-US" w:eastAsia="zh-CN"/>
              </w:rPr>
              <w:t>落实传导</w:t>
            </w:r>
            <w:r>
              <w:rPr>
                <w:rFonts w:hint="eastAsia" w:ascii="宋体" w:hAnsi="宋体" w:cs="宋体"/>
                <w:bCs/>
                <w:color w:val="auto"/>
                <w:sz w:val="21"/>
                <w:szCs w:val="21"/>
                <w:highlight w:val="none"/>
                <w:lang w:val="en-US" w:eastAsia="zh-CN"/>
              </w:rPr>
              <w:t>、</w:t>
            </w:r>
            <w:r>
              <w:rPr>
                <w:rFonts w:hint="default" w:ascii="宋体" w:hAnsi="宋体" w:cs="宋体"/>
                <w:bCs/>
                <w:color w:val="auto"/>
                <w:sz w:val="21"/>
                <w:szCs w:val="21"/>
                <w:highlight w:val="none"/>
                <w:lang w:val="en-US" w:eastAsia="zh-CN"/>
              </w:rPr>
              <w:t>厘清要求</w:t>
            </w:r>
            <w:r>
              <w:rPr>
                <w:rFonts w:hint="eastAsia" w:ascii="宋体" w:hAnsi="宋体" w:cs="宋体"/>
                <w:bCs/>
                <w:color w:val="auto"/>
                <w:sz w:val="21"/>
                <w:szCs w:val="21"/>
                <w:highlight w:val="none"/>
                <w:lang w:val="en-US" w:eastAsia="zh-CN"/>
              </w:rPr>
              <w:t>的思路是否清晰到位</w:t>
            </w:r>
          </w:p>
        </w:tc>
        <w:tc>
          <w:tcPr>
            <w:tcW w:w="710" w:type="dxa"/>
            <w:vAlign w:val="center"/>
          </w:tcPr>
          <w:p>
            <w:pPr>
              <w:pStyle w:val="51"/>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995" w:type="dxa"/>
            <w:vMerge w:val="continue"/>
            <w:vAlign w:val="center"/>
          </w:tcPr>
          <w:p>
            <w:pPr>
              <w:pStyle w:val="51"/>
              <w:spacing w:line="240" w:lineRule="auto"/>
              <w:ind w:left="0" w:leftChars="0" w:firstLine="0" w:firstLineChars="0"/>
              <w:jc w:val="center"/>
              <w:rPr>
                <w:rFonts w:hint="eastAsia" w:ascii="宋体" w:hAnsi="宋体" w:cs="宋体"/>
                <w:bCs/>
                <w:color w:val="auto"/>
                <w:sz w:val="21"/>
                <w:szCs w:val="21"/>
                <w:highlight w:val="none"/>
              </w:rPr>
            </w:pPr>
          </w:p>
        </w:tc>
        <w:tc>
          <w:tcPr>
            <w:tcW w:w="1773" w:type="dxa"/>
            <w:vMerge w:val="continue"/>
          </w:tcPr>
          <w:p>
            <w:pPr>
              <w:pStyle w:val="51"/>
              <w:spacing w:line="240" w:lineRule="auto"/>
              <w:ind w:firstLine="0" w:firstLineChars="0"/>
              <w:rPr>
                <w:rFonts w:hint="default" w:ascii="宋体" w:hAnsi="宋体" w:cs="宋体"/>
                <w:bCs/>
                <w:color w:val="auto"/>
                <w:sz w:val="21"/>
                <w:szCs w:val="21"/>
                <w:highlight w:val="none"/>
                <w:lang w:val="en-US" w:eastAsia="zh-CN"/>
              </w:rPr>
            </w:pPr>
          </w:p>
        </w:tc>
        <w:tc>
          <w:tcPr>
            <w:tcW w:w="3464" w:type="dxa"/>
          </w:tcPr>
          <w:p>
            <w:pPr>
              <w:pStyle w:val="51"/>
              <w:spacing w:line="240" w:lineRule="auto"/>
              <w:ind w:firstLine="0" w:firstLineChars="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对于着眼现实从问题导向出发，对规划范围内的控制性详细规划实施情况进行评估的思路是否清晰，方法是否可行</w:t>
            </w:r>
          </w:p>
        </w:tc>
        <w:tc>
          <w:tcPr>
            <w:tcW w:w="710" w:type="dxa"/>
            <w:vAlign w:val="center"/>
          </w:tcPr>
          <w:p>
            <w:pPr>
              <w:pStyle w:val="51"/>
              <w:spacing w:line="240" w:lineRule="auto"/>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995" w:type="dxa"/>
            <w:vMerge w:val="continue"/>
            <w:vAlign w:val="center"/>
          </w:tcPr>
          <w:p>
            <w:pPr>
              <w:pStyle w:val="51"/>
              <w:spacing w:line="240" w:lineRule="auto"/>
              <w:ind w:left="0" w:leftChars="0" w:firstLine="0" w:firstLineChars="0"/>
              <w:jc w:val="center"/>
              <w:rPr>
                <w:rFonts w:hint="eastAsia" w:ascii="宋体" w:hAnsi="宋体" w:cs="宋体"/>
                <w:bCs/>
                <w:color w:val="auto"/>
                <w:sz w:val="21"/>
                <w:szCs w:val="21"/>
                <w:highlight w:val="none"/>
              </w:rPr>
            </w:pPr>
          </w:p>
        </w:tc>
        <w:tc>
          <w:tcPr>
            <w:tcW w:w="5237" w:type="dxa"/>
            <w:gridSpan w:val="2"/>
            <w:vAlign w:val="top"/>
          </w:tcPr>
          <w:p>
            <w:pPr>
              <w:pStyle w:val="17"/>
              <w:rPr>
                <w:rFonts w:hint="default" w:ascii="宋体" w:hAnsi="宋体" w:eastAsia="宋体" w:cs="宋体"/>
                <w:bCs/>
                <w:color w:val="auto"/>
                <w:kern w:val="2"/>
                <w:sz w:val="21"/>
                <w:szCs w:val="21"/>
                <w:highlight w:val="none"/>
                <w:lang w:val="en-US" w:eastAsia="zh-CN" w:bidi="ar-SA"/>
              </w:rPr>
            </w:pPr>
            <w:r>
              <w:rPr>
                <w:rFonts w:hint="eastAsia"/>
                <w:color w:val="auto"/>
                <w:highlight w:val="none"/>
                <w:lang w:eastAsia="zh-CN"/>
              </w:rPr>
              <w:t>控规单元划分方案、功能定位及主导方向的思路是否清晰、所提出的方法是否具有针对性、可行性</w:t>
            </w:r>
          </w:p>
        </w:tc>
        <w:tc>
          <w:tcPr>
            <w:tcW w:w="710" w:type="dxa"/>
            <w:vAlign w:val="center"/>
          </w:tcPr>
          <w:p>
            <w:pPr>
              <w:pStyle w:val="51"/>
              <w:spacing w:line="240" w:lineRule="auto"/>
              <w:ind w:right="181"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995" w:type="dxa"/>
            <w:vMerge w:val="continue"/>
            <w:vAlign w:val="center"/>
          </w:tcPr>
          <w:p>
            <w:pPr>
              <w:pStyle w:val="51"/>
              <w:spacing w:line="240" w:lineRule="auto"/>
              <w:ind w:left="0" w:leftChars="0" w:firstLine="0" w:firstLineChars="0"/>
              <w:jc w:val="center"/>
              <w:rPr>
                <w:rFonts w:hint="eastAsia" w:ascii="宋体" w:hAnsi="宋体" w:cs="宋体"/>
                <w:bCs/>
                <w:color w:val="auto"/>
                <w:sz w:val="21"/>
                <w:szCs w:val="21"/>
                <w:highlight w:val="none"/>
              </w:rPr>
            </w:pPr>
          </w:p>
        </w:tc>
        <w:tc>
          <w:tcPr>
            <w:tcW w:w="5237" w:type="dxa"/>
            <w:gridSpan w:val="2"/>
            <w:vAlign w:val="top"/>
          </w:tcPr>
          <w:p>
            <w:pPr>
              <w:pStyle w:val="51"/>
              <w:spacing w:line="240" w:lineRule="auto"/>
              <w:ind w:right="181" w:rightChars="0" w:firstLine="0" w:firstLineChars="0"/>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对各单元控规编制的底线要求和弹性要求的理解是否到位，编制建议是否具有针对性、可行性</w:t>
            </w:r>
          </w:p>
        </w:tc>
        <w:tc>
          <w:tcPr>
            <w:tcW w:w="710" w:type="dxa"/>
            <w:vAlign w:val="center"/>
          </w:tcPr>
          <w:p>
            <w:pPr>
              <w:pStyle w:val="51"/>
              <w:spacing w:line="240" w:lineRule="auto"/>
              <w:ind w:right="181"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995" w:type="dxa"/>
            <w:vMerge w:val="continue"/>
            <w:vAlign w:val="center"/>
          </w:tcPr>
          <w:p>
            <w:pPr>
              <w:pStyle w:val="51"/>
              <w:spacing w:line="240" w:lineRule="auto"/>
              <w:ind w:left="0" w:leftChars="0" w:firstLine="0" w:firstLineChars="0"/>
              <w:jc w:val="center"/>
              <w:rPr>
                <w:rFonts w:hint="eastAsia" w:ascii="宋体" w:hAnsi="宋体" w:cs="宋体"/>
                <w:bCs/>
                <w:color w:val="auto"/>
                <w:sz w:val="21"/>
                <w:szCs w:val="21"/>
                <w:highlight w:val="none"/>
              </w:rPr>
            </w:pPr>
          </w:p>
        </w:tc>
        <w:tc>
          <w:tcPr>
            <w:tcW w:w="5237" w:type="dxa"/>
            <w:gridSpan w:val="2"/>
            <w:vAlign w:val="top"/>
          </w:tcPr>
          <w:p>
            <w:pPr>
              <w:pStyle w:val="51"/>
              <w:spacing w:line="240" w:lineRule="auto"/>
              <w:ind w:right="181" w:rightChars="0" w:firstLine="0" w:firstLineChars="0"/>
              <w:rPr>
                <w:rFonts w:hint="eastAsia"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对雄安新区控规编制的认知是否全面准确；</w:t>
            </w:r>
          </w:p>
          <w:p>
            <w:pPr>
              <w:pStyle w:val="51"/>
              <w:spacing w:line="240" w:lineRule="auto"/>
              <w:ind w:right="181" w:rightChars="0" w:firstLine="0" w:firstLineChars="0"/>
              <w:rPr>
                <w:rFonts w:hint="eastAsia"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对以往已开展单元控制编制存的困难与问题的认知是否全面准确</w:t>
            </w:r>
          </w:p>
        </w:tc>
        <w:tc>
          <w:tcPr>
            <w:tcW w:w="710" w:type="dxa"/>
            <w:vAlign w:val="center"/>
          </w:tcPr>
          <w:p>
            <w:pPr>
              <w:pStyle w:val="51"/>
              <w:spacing w:line="240" w:lineRule="auto"/>
              <w:ind w:right="181"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995" w:type="dxa"/>
            <w:vMerge w:val="continue"/>
            <w:vAlign w:val="center"/>
          </w:tcPr>
          <w:p>
            <w:pPr>
              <w:pStyle w:val="51"/>
              <w:spacing w:line="240" w:lineRule="auto"/>
              <w:ind w:left="0" w:leftChars="0" w:firstLine="0" w:firstLineChars="0"/>
              <w:jc w:val="center"/>
              <w:rPr>
                <w:rFonts w:hint="eastAsia" w:ascii="宋体" w:hAnsi="宋体" w:cs="宋体"/>
                <w:bCs/>
                <w:color w:val="auto"/>
                <w:sz w:val="21"/>
                <w:szCs w:val="21"/>
                <w:highlight w:val="none"/>
              </w:rPr>
            </w:pPr>
          </w:p>
        </w:tc>
        <w:tc>
          <w:tcPr>
            <w:tcW w:w="5237" w:type="dxa"/>
            <w:gridSpan w:val="2"/>
            <w:vAlign w:val="top"/>
          </w:tcPr>
          <w:p>
            <w:pPr>
              <w:pStyle w:val="51"/>
              <w:spacing w:line="240" w:lineRule="auto"/>
              <w:ind w:right="181" w:rightChars="0" w:firstLine="0" w:firstLineChars="0"/>
              <w:rPr>
                <w:rFonts w:hint="eastAsia"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对于如何开展应对未来城市构建方面的系列专题研究的工作思路是否</w:t>
            </w:r>
            <w:r>
              <w:rPr>
                <w:rFonts w:hint="eastAsia" w:ascii="宋体" w:hAnsi="宋体" w:cs="宋体"/>
                <w:bCs/>
                <w:color w:val="auto"/>
                <w:sz w:val="21"/>
                <w:szCs w:val="21"/>
                <w:highlight w:val="none"/>
                <w:lang w:val="en-US" w:eastAsia="zh-CN"/>
              </w:rPr>
              <w:t>清晰到位</w:t>
            </w:r>
          </w:p>
        </w:tc>
        <w:tc>
          <w:tcPr>
            <w:tcW w:w="710" w:type="dxa"/>
            <w:vAlign w:val="center"/>
          </w:tcPr>
          <w:p>
            <w:pPr>
              <w:pStyle w:val="51"/>
              <w:spacing w:line="240" w:lineRule="auto"/>
              <w:ind w:right="181"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995" w:type="dxa"/>
            <w:vMerge w:val="continue"/>
            <w:vAlign w:val="center"/>
          </w:tcPr>
          <w:p>
            <w:pPr>
              <w:pStyle w:val="51"/>
              <w:spacing w:line="240" w:lineRule="auto"/>
              <w:ind w:left="0" w:leftChars="0" w:firstLine="0" w:firstLineChars="0"/>
              <w:jc w:val="center"/>
              <w:rPr>
                <w:rFonts w:hint="eastAsia" w:ascii="宋体" w:hAnsi="宋体" w:cs="宋体"/>
                <w:bCs/>
                <w:color w:val="auto"/>
                <w:sz w:val="21"/>
                <w:szCs w:val="21"/>
                <w:highlight w:val="none"/>
              </w:rPr>
            </w:pPr>
          </w:p>
        </w:tc>
        <w:tc>
          <w:tcPr>
            <w:tcW w:w="5237" w:type="dxa"/>
            <w:gridSpan w:val="2"/>
            <w:vAlign w:val="top"/>
          </w:tcPr>
          <w:p>
            <w:pPr>
              <w:pStyle w:val="51"/>
              <w:spacing w:line="240" w:lineRule="auto"/>
              <w:ind w:right="181" w:rightChars="0" w:firstLine="0" w:firstLineChars="0"/>
              <w:rPr>
                <w:rFonts w:hint="eastAsia"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针对后续与控制强制性内容有关的调配协调工作的服务方案是否全面、可行</w:t>
            </w:r>
          </w:p>
        </w:tc>
        <w:tc>
          <w:tcPr>
            <w:tcW w:w="710" w:type="dxa"/>
            <w:vAlign w:val="center"/>
          </w:tcPr>
          <w:p>
            <w:pPr>
              <w:pStyle w:val="51"/>
              <w:spacing w:line="240" w:lineRule="auto"/>
              <w:ind w:right="181"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trPr>
        <w:tc>
          <w:tcPr>
            <w:tcW w:w="2995" w:type="dxa"/>
            <w:vMerge w:val="restart"/>
            <w:vAlign w:val="center"/>
          </w:tcPr>
          <w:p>
            <w:pPr>
              <w:jc w:val="center"/>
              <w:rPr>
                <w:rFonts w:hint="default" w:eastAsiaTheme="minorEastAsia"/>
                <w:color w:val="auto"/>
                <w:highlight w:val="none"/>
                <w:lang w:val="en-US" w:eastAsia="zh-CN"/>
              </w:rPr>
            </w:pPr>
            <w:r>
              <w:rPr>
                <w:rFonts w:hint="eastAsia" w:asciiTheme="minorEastAsia" w:hAnsiTheme="minorEastAsia" w:eastAsiaTheme="minorEastAsia" w:cstheme="minorEastAsia"/>
                <w:color w:val="auto"/>
                <w:szCs w:val="21"/>
                <w:highlight w:val="none"/>
              </w:rPr>
              <w:t>规划成果</w:t>
            </w:r>
          </w:p>
        </w:tc>
        <w:tc>
          <w:tcPr>
            <w:tcW w:w="5237" w:type="dxa"/>
            <w:gridSpan w:val="2"/>
            <w:vAlign w:val="center"/>
          </w:tcPr>
          <w:p>
            <w:pPr>
              <w:pStyle w:val="51"/>
              <w:spacing w:line="240" w:lineRule="auto"/>
              <w:ind w:firstLine="0" w:firstLineChars="0"/>
              <w:jc w:val="both"/>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各阶段提交规划成果及时性的保证措施</w:t>
            </w:r>
            <w:r>
              <w:rPr>
                <w:rFonts w:hint="eastAsia" w:asciiTheme="minorEastAsia" w:hAnsiTheme="minorEastAsia" w:eastAsiaTheme="minorEastAsia" w:cstheme="minorEastAsia"/>
                <w:bCs/>
                <w:color w:val="auto"/>
                <w:sz w:val="21"/>
                <w:szCs w:val="21"/>
                <w:highlight w:val="none"/>
                <w:lang w:val="en-US" w:eastAsia="zh-CN"/>
              </w:rPr>
              <w:t>是否可行</w:t>
            </w:r>
          </w:p>
        </w:tc>
        <w:tc>
          <w:tcPr>
            <w:tcW w:w="710" w:type="dxa"/>
            <w:vAlign w:val="center"/>
          </w:tcPr>
          <w:p>
            <w:pPr>
              <w:pStyle w:val="51"/>
              <w:spacing w:line="240" w:lineRule="auto"/>
              <w:ind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trPr>
        <w:tc>
          <w:tcPr>
            <w:tcW w:w="2995" w:type="dxa"/>
            <w:vMerge w:val="continue"/>
            <w:vAlign w:val="center"/>
          </w:tcPr>
          <w:p>
            <w:pPr>
              <w:pStyle w:val="30"/>
              <w:spacing w:line="240" w:lineRule="auto"/>
              <w:rPr>
                <w:rFonts w:hint="eastAsia" w:asciiTheme="minorEastAsia" w:hAnsiTheme="minorEastAsia" w:eastAsiaTheme="minorEastAsia" w:cstheme="minorEastAsia"/>
                <w:color w:val="auto"/>
                <w:szCs w:val="21"/>
                <w:highlight w:val="none"/>
              </w:rPr>
            </w:pPr>
          </w:p>
        </w:tc>
        <w:tc>
          <w:tcPr>
            <w:tcW w:w="5237" w:type="dxa"/>
            <w:gridSpan w:val="2"/>
            <w:vAlign w:val="center"/>
          </w:tcPr>
          <w:p>
            <w:pPr>
              <w:pStyle w:val="51"/>
              <w:spacing w:line="240" w:lineRule="auto"/>
              <w:ind w:firstLine="0" w:firstLineChars="0"/>
              <w:jc w:val="both"/>
              <w:rPr>
                <w:rFonts w:hint="default"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rPr>
              <w:t>成果档案管理方案</w:t>
            </w:r>
            <w:r>
              <w:rPr>
                <w:rFonts w:hint="eastAsia" w:asciiTheme="minorEastAsia" w:hAnsiTheme="minorEastAsia" w:eastAsiaTheme="minorEastAsia" w:cstheme="minorEastAsia"/>
                <w:bCs/>
                <w:color w:val="auto"/>
                <w:sz w:val="21"/>
                <w:szCs w:val="21"/>
                <w:highlight w:val="none"/>
                <w:lang w:val="en-US" w:eastAsia="zh-CN"/>
              </w:rPr>
              <w:t>是否规范，是否符合符合《中华人民共和国城乡规划法》（2008.1）、《城市用地分类与规划建设用地标准》（GB 50137-2011）、《浙江省城乡规划条例》（2010.10）、《杭州市城乡规划条例》（2011.10）等标准的规定</w:t>
            </w:r>
          </w:p>
        </w:tc>
        <w:tc>
          <w:tcPr>
            <w:tcW w:w="710" w:type="dxa"/>
            <w:vAlign w:val="center"/>
          </w:tcPr>
          <w:p>
            <w:pPr>
              <w:pStyle w:val="51"/>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trPr>
        <w:tc>
          <w:tcPr>
            <w:tcW w:w="2995" w:type="dxa"/>
            <w:vMerge w:val="continue"/>
            <w:vAlign w:val="center"/>
          </w:tcPr>
          <w:p>
            <w:pPr>
              <w:pStyle w:val="30"/>
              <w:spacing w:line="240" w:lineRule="auto"/>
              <w:rPr>
                <w:rFonts w:hint="eastAsia" w:asciiTheme="minorEastAsia" w:hAnsiTheme="minorEastAsia" w:eastAsiaTheme="minorEastAsia" w:cstheme="minorEastAsia"/>
                <w:color w:val="auto"/>
                <w:szCs w:val="21"/>
                <w:highlight w:val="none"/>
              </w:rPr>
            </w:pPr>
          </w:p>
        </w:tc>
        <w:tc>
          <w:tcPr>
            <w:tcW w:w="5237" w:type="dxa"/>
            <w:gridSpan w:val="2"/>
            <w:vAlign w:val="center"/>
          </w:tcPr>
          <w:p>
            <w:pPr>
              <w:pStyle w:val="51"/>
              <w:spacing w:line="240" w:lineRule="auto"/>
              <w:ind w:firstLine="0" w:firstLineChars="0"/>
              <w:jc w:val="both"/>
              <w:rPr>
                <w:rFonts w:hint="eastAsia" w:asciiTheme="minorEastAsia" w:hAnsiTheme="minorEastAsia" w:eastAsiaTheme="minorEastAsia" w:cstheme="minorEastAsia"/>
                <w:bCs/>
                <w:color w:val="auto"/>
                <w:sz w:val="21"/>
                <w:szCs w:val="21"/>
                <w:highlight w:val="none"/>
              </w:rPr>
            </w:pPr>
            <w:r>
              <w:rPr>
                <w:rFonts w:hint="eastAsia"/>
                <w:color w:val="auto"/>
                <w:sz w:val="21"/>
                <w:szCs w:val="21"/>
                <w:highlight w:val="none"/>
                <w:lang w:val="en-US" w:eastAsia="zh-CN"/>
              </w:rPr>
              <w:t>对于</w:t>
            </w:r>
            <w:r>
              <w:rPr>
                <w:rFonts w:hint="eastAsia"/>
                <w:color w:val="auto"/>
                <w:sz w:val="21"/>
                <w:szCs w:val="21"/>
                <w:highlight w:val="none"/>
              </w:rPr>
              <w:t>基础资料</w:t>
            </w:r>
            <w:r>
              <w:rPr>
                <w:rFonts w:hint="eastAsia"/>
                <w:color w:val="auto"/>
                <w:sz w:val="21"/>
                <w:szCs w:val="21"/>
                <w:highlight w:val="none"/>
                <w:lang w:val="en-US" w:eastAsia="zh-CN"/>
              </w:rPr>
              <w:t>的</w:t>
            </w:r>
            <w:r>
              <w:rPr>
                <w:rFonts w:hint="eastAsia"/>
                <w:color w:val="auto"/>
                <w:sz w:val="21"/>
                <w:szCs w:val="21"/>
                <w:highlight w:val="none"/>
              </w:rPr>
              <w:t>保密</w:t>
            </w:r>
            <w:r>
              <w:rPr>
                <w:rFonts w:hint="eastAsia"/>
                <w:color w:val="auto"/>
                <w:sz w:val="21"/>
                <w:szCs w:val="21"/>
                <w:highlight w:val="none"/>
                <w:lang w:val="en-US" w:eastAsia="zh-CN"/>
              </w:rPr>
              <w:t>措施和</w:t>
            </w:r>
            <w:r>
              <w:rPr>
                <w:rFonts w:hint="eastAsia"/>
                <w:color w:val="auto"/>
                <w:sz w:val="21"/>
                <w:szCs w:val="21"/>
                <w:highlight w:val="none"/>
              </w:rPr>
              <w:t>知识产权</w:t>
            </w:r>
            <w:r>
              <w:rPr>
                <w:rFonts w:hint="eastAsia"/>
                <w:color w:val="auto"/>
                <w:sz w:val="21"/>
                <w:szCs w:val="21"/>
                <w:highlight w:val="none"/>
                <w:lang w:val="en-US" w:eastAsia="zh-CN"/>
              </w:rPr>
              <w:t>的保护措施是否全面、完善</w:t>
            </w:r>
          </w:p>
        </w:tc>
        <w:tc>
          <w:tcPr>
            <w:tcW w:w="710" w:type="dxa"/>
            <w:vAlign w:val="center"/>
          </w:tcPr>
          <w:p>
            <w:pPr>
              <w:pStyle w:val="51"/>
              <w:spacing w:line="240" w:lineRule="auto"/>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2995" w:type="dxa"/>
            <w:vMerge w:val="restart"/>
            <w:vAlign w:val="center"/>
          </w:tcPr>
          <w:p>
            <w:pPr>
              <w:pStyle w:val="51"/>
              <w:spacing w:line="240" w:lineRule="auto"/>
              <w:ind w:firstLine="0" w:firstLineChars="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对项目时间进度要求的响应情况</w:t>
            </w:r>
          </w:p>
        </w:tc>
        <w:tc>
          <w:tcPr>
            <w:tcW w:w="5237" w:type="dxa"/>
            <w:gridSpan w:val="2"/>
          </w:tcPr>
          <w:p>
            <w:pPr>
              <w:pStyle w:val="51"/>
              <w:spacing w:line="240" w:lineRule="auto"/>
              <w:ind w:firstLine="0" w:firstLineChars="0"/>
              <w:rPr>
                <w:rFonts w:ascii="宋体" w:hAnsi="宋体" w:cs="宋体"/>
                <w:bCs/>
                <w:color w:val="auto"/>
                <w:sz w:val="21"/>
                <w:szCs w:val="21"/>
                <w:highlight w:val="none"/>
              </w:rPr>
            </w:pPr>
            <w:r>
              <w:rPr>
                <w:rFonts w:hint="eastAsia" w:ascii="宋体" w:hAnsi="宋体" w:cs="宋体"/>
                <w:bCs/>
                <w:color w:val="auto"/>
                <w:sz w:val="21"/>
                <w:szCs w:val="21"/>
                <w:highlight w:val="none"/>
              </w:rPr>
              <w:t>进度要求2021年5月</w:t>
            </w:r>
            <w:r>
              <w:rPr>
                <w:rFonts w:hint="eastAsia" w:ascii="宋体" w:hAnsi="宋体" w:cs="宋体"/>
                <w:bCs/>
                <w:color w:val="auto"/>
                <w:sz w:val="21"/>
                <w:szCs w:val="21"/>
                <w:highlight w:val="none"/>
                <w:lang w:val="en-US" w:eastAsia="zh-CN"/>
              </w:rPr>
              <w:t>31日</w:t>
            </w:r>
            <w:r>
              <w:rPr>
                <w:rFonts w:hint="eastAsia" w:ascii="宋体" w:hAnsi="宋体" w:cs="宋体"/>
                <w:bCs/>
                <w:color w:val="auto"/>
                <w:sz w:val="21"/>
                <w:szCs w:val="21"/>
                <w:highlight w:val="none"/>
              </w:rPr>
              <w:t>前完成第一阶段任务上报稿。承诺每提前一周得1分，最高得</w:t>
            </w: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rPr>
              <w:t>分</w:t>
            </w:r>
          </w:p>
        </w:tc>
        <w:tc>
          <w:tcPr>
            <w:tcW w:w="710" w:type="dxa"/>
            <w:vAlign w:val="center"/>
          </w:tcPr>
          <w:p>
            <w:pPr>
              <w:pStyle w:val="51"/>
              <w:spacing w:line="240" w:lineRule="auto"/>
              <w:ind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trPr>
        <w:tc>
          <w:tcPr>
            <w:tcW w:w="2995" w:type="dxa"/>
            <w:vMerge w:val="continue"/>
          </w:tcPr>
          <w:p>
            <w:pPr>
              <w:pStyle w:val="51"/>
              <w:spacing w:line="240" w:lineRule="auto"/>
              <w:ind w:firstLine="420"/>
              <w:rPr>
                <w:rFonts w:ascii="宋体" w:hAnsi="宋体" w:cs="宋体"/>
                <w:bCs/>
                <w:color w:val="auto"/>
                <w:sz w:val="21"/>
                <w:szCs w:val="21"/>
                <w:highlight w:val="none"/>
              </w:rPr>
            </w:pPr>
          </w:p>
        </w:tc>
        <w:tc>
          <w:tcPr>
            <w:tcW w:w="5237" w:type="dxa"/>
            <w:gridSpan w:val="2"/>
          </w:tcPr>
          <w:p>
            <w:pPr>
              <w:pStyle w:val="51"/>
              <w:spacing w:line="240" w:lineRule="auto"/>
              <w:ind w:firstLine="0" w:firstLineChars="0"/>
              <w:rPr>
                <w:rFonts w:ascii="宋体" w:hAnsi="宋体" w:cs="宋体"/>
                <w:bCs/>
                <w:color w:val="auto"/>
                <w:sz w:val="21"/>
                <w:szCs w:val="21"/>
                <w:highlight w:val="none"/>
              </w:rPr>
            </w:pPr>
            <w:r>
              <w:rPr>
                <w:rFonts w:hint="eastAsia" w:ascii="宋体" w:hAnsi="宋体" w:cs="宋体"/>
                <w:bCs/>
                <w:color w:val="auto"/>
                <w:sz w:val="21"/>
                <w:szCs w:val="21"/>
                <w:highlight w:val="none"/>
              </w:rPr>
              <w:t>进度要求：2021年8月</w:t>
            </w:r>
            <w:r>
              <w:rPr>
                <w:rFonts w:hint="eastAsia" w:ascii="宋体" w:hAnsi="宋体" w:cs="宋体"/>
                <w:bCs/>
                <w:color w:val="auto"/>
                <w:sz w:val="21"/>
                <w:szCs w:val="21"/>
                <w:highlight w:val="none"/>
                <w:lang w:val="en-US" w:eastAsia="zh-CN"/>
              </w:rPr>
              <w:t>31日</w:t>
            </w:r>
            <w:r>
              <w:rPr>
                <w:rFonts w:hint="eastAsia" w:ascii="宋体" w:hAnsi="宋体" w:cs="宋体"/>
                <w:bCs/>
                <w:color w:val="auto"/>
                <w:sz w:val="21"/>
                <w:szCs w:val="21"/>
                <w:highlight w:val="none"/>
              </w:rPr>
              <w:t>前完成第二阶段任务结题成果。承诺每提前一周得1分，最高得</w:t>
            </w: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rPr>
              <w:t>分</w:t>
            </w:r>
          </w:p>
        </w:tc>
        <w:tc>
          <w:tcPr>
            <w:tcW w:w="710" w:type="dxa"/>
            <w:vAlign w:val="center"/>
          </w:tcPr>
          <w:p>
            <w:pPr>
              <w:pStyle w:val="51"/>
              <w:spacing w:line="240" w:lineRule="auto"/>
              <w:ind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trPr>
        <w:tc>
          <w:tcPr>
            <w:tcW w:w="2995" w:type="dxa"/>
            <w:vMerge w:val="continue"/>
          </w:tcPr>
          <w:p>
            <w:pPr>
              <w:pStyle w:val="51"/>
              <w:spacing w:line="240" w:lineRule="auto"/>
              <w:ind w:firstLine="420"/>
              <w:rPr>
                <w:rFonts w:ascii="宋体" w:hAnsi="宋体" w:cs="宋体"/>
                <w:bCs/>
                <w:color w:val="auto"/>
                <w:sz w:val="21"/>
                <w:szCs w:val="21"/>
                <w:highlight w:val="none"/>
              </w:rPr>
            </w:pPr>
          </w:p>
        </w:tc>
        <w:tc>
          <w:tcPr>
            <w:tcW w:w="5237" w:type="dxa"/>
            <w:gridSpan w:val="2"/>
          </w:tcPr>
          <w:p>
            <w:pPr>
              <w:pStyle w:val="51"/>
              <w:spacing w:line="240" w:lineRule="auto"/>
              <w:ind w:firstLine="0" w:firstLineChars="0"/>
              <w:rPr>
                <w:rFonts w:ascii="宋体" w:hAnsi="宋体" w:cs="宋体"/>
                <w:bCs/>
                <w:color w:val="auto"/>
                <w:sz w:val="21"/>
                <w:szCs w:val="21"/>
                <w:highlight w:val="none"/>
              </w:rPr>
            </w:pPr>
            <w:r>
              <w:rPr>
                <w:rFonts w:hint="eastAsia" w:ascii="宋体" w:hAnsi="宋体" w:cs="宋体"/>
                <w:bCs/>
                <w:color w:val="auto"/>
                <w:sz w:val="21"/>
                <w:szCs w:val="21"/>
                <w:highlight w:val="none"/>
              </w:rPr>
              <w:t>质量维护期：项目验收合格后2年，承诺每延迟一个月得1分，最高得</w:t>
            </w: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rPr>
              <w:t>分</w:t>
            </w:r>
          </w:p>
        </w:tc>
        <w:tc>
          <w:tcPr>
            <w:tcW w:w="710" w:type="dxa"/>
            <w:vAlign w:val="center"/>
          </w:tcPr>
          <w:p>
            <w:pPr>
              <w:pStyle w:val="51"/>
              <w:spacing w:line="240" w:lineRule="auto"/>
              <w:ind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blHeader/>
        </w:trPr>
        <w:tc>
          <w:tcPr>
            <w:tcW w:w="2995" w:type="dxa"/>
            <w:vMerge w:val="restart"/>
            <w:vAlign w:val="center"/>
          </w:tcPr>
          <w:p>
            <w:pPr>
              <w:pStyle w:val="51"/>
              <w:spacing w:line="240" w:lineRule="auto"/>
              <w:ind w:firstLine="0" w:firstLineChars="0"/>
              <w:jc w:val="center"/>
              <w:rPr>
                <w:rFonts w:ascii="宋体" w:hAnsi="宋体" w:cs="宋体"/>
                <w:bCs/>
                <w:color w:val="auto"/>
                <w:sz w:val="21"/>
                <w:szCs w:val="21"/>
                <w:highlight w:val="none"/>
              </w:rPr>
            </w:pPr>
            <w:r>
              <w:rPr>
                <w:rFonts w:hint="eastAsia" w:ascii="宋体" w:hAnsi="宋体" w:cs="宋体"/>
                <w:bCs/>
                <w:color w:val="auto"/>
                <w:sz w:val="21"/>
                <w:szCs w:val="21"/>
                <w:highlight w:val="none"/>
              </w:rPr>
              <w:t>人员投入情况</w:t>
            </w:r>
          </w:p>
        </w:tc>
        <w:tc>
          <w:tcPr>
            <w:tcW w:w="5237" w:type="dxa"/>
            <w:gridSpan w:val="2"/>
            <w:vAlign w:val="center"/>
          </w:tcPr>
          <w:p>
            <w:pPr>
              <w:pStyle w:val="23"/>
              <w:spacing w:line="240" w:lineRule="auto"/>
              <w:jc w:val="left"/>
              <w:rPr>
                <w:rFonts w:ascii="宋体" w:hAnsi="宋体" w:eastAsia="宋体" w:cs="宋体"/>
                <w:bCs/>
                <w:color w:val="auto"/>
                <w:highlight w:val="none"/>
              </w:rPr>
            </w:pPr>
            <w:r>
              <w:rPr>
                <w:rFonts w:hint="eastAsia" w:ascii="宋体" w:hAnsi="宋体" w:eastAsia="宋体" w:cs="宋体"/>
                <w:color w:val="auto"/>
                <w:highlight w:val="none"/>
              </w:rPr>
              <w:t>拟派项目组成员中有教授级高级工程师的，每1个得1分，最高得3分（提供相关证书</w:t>
            </w:r>
            <w:r>
              <w:rPr>
                <w:rFonts w:hint="eastAsia" w:ascii="宋体" w:hAnsi="宋体" w:eastAsia="宋体" w:cs="宋体"/>
                <w:color w:val="auto"/>
                <w:highlight w:val="none"/>
                <w:lang w:val="en-US" w:eastAsia="zh-CN"/>
              </w:rPr>
              <w:t>扫描件</w:t>
            </w:r>
            <w:r>
              <w:rPr>
                <w:rFonts w:hint="eastAsia" w:ascii="宋体" w:hAnsi="宋体" w:eastAsia="宋体" w:cs="宋体"/>
                <w:color w:val="auto"/>
                <w:highlight w:val="none"/>
              </w:rPr>
              <w:t>）</w:t>
            </w:r>
          </w:p>
        </w:tc>
        <w:tc>
          <w:tcPr>
            <w:tcW w:w="710" w:type="dxa"/>
            <w:vAlign w:val="center"/>
          </w:tcPr>
          <w:p>
            <w:pPr>
              <w:pStyle w:val="23"/>
              <w:spacing w:line="240" w:lineRule="auto"/>
              <w:jc w:val="center"/>
              <w:rPr>
                <w:rFonts w:hint="eastAsia" w:ascii="宋体" w:hAnsi="宋体" w:eastAsia="宋体" w:cs="宋体"/>
                <w:color w:val="auto"/>
                <w:highlight w:val="none"/>
                <w:lang w:eastAsia="zh-CN"/>
              </w:rPr>
            </w:pPr>
            <w:r>
              <w:rPr>
                <w:rFonts w:hint="eastAsia" w:ascii="宋体" w:hAnsi="宋体" w:eastAsia="宋体" w:cs="宋体"/>
                <w:bCs/>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blHeader/>
        </w:trPr>
        <w:tc>
          <w:tcPr>
            <w:tcW w:w="2995" w:type="dxa"/>
            <w:vMerge w:val="continue"/>
            <w:vAlign w:val="center"/>
          </w:tcPr>
          <w:p>
            <w:pPr>
              <w:pStyle w:val="51"/>
              <w:spacing w:line="240" w:lineRule="auto"/>
              <w:ind w:firstLine="0" w:firstLineChars="0"/>
              <w:jc w:val="center"/>
              <w:rPr>
                <w:rFonts w:hint="eastAsia" w:ascii="宋体" w:hAnsi="宋体" w:cs="宋体"/>
                <w:bCs/>
                <w:color w:val="auto"/>
                <w:sz w:val="21"/>
                <w:szCs w:val="21"/>
                <w:highlight w:val="none"/>
              </w:rPr>
            </w:pPr>
          </w:p>
        </w:tc>
        <w:tc>
          <w:tcPr>
            <w:tcW w:w="5237" w:type="dxa"/>
            <w:gridSpan w:val="2"/>
            <w:vAlign w:val="center"/>
          </w:tcPr>
          <w:p>
            <w:pPr>
              <w:pStyle w:val="23"/>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项目团队人员中副高（含）职称3名并且中级以上（含）工程师比例至少（含）70%以上得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分，以下不得分（提供相关证书</w:t>
            </w:r>
            <w:r>
              <w:rPr>
                <w:rFonts w:hint="eastAsia" w:ascii="宋体" w:hAnsi="宋体" w:eastAsia="宋体" w:cs="宋体"/>
                <w:color w:val="auto"/>
                <w:highlight w:val="none"/>
                <w:lang w:val="en-US" w:eastAsia="zh-CN"/>
              </w:rPr>
              <w:t>扫描件</w:t>
            </w:r>
            <w:r>
              <w:rPr>
                <w:rFonts w:hint="eastAsia" w:ascii="宋体" w:hAnsi="宋体" w:eastAsia="宋体" w:cs="宋体"/>
                <w:color w:val="auto"/>
                <w:highlight w:val="none"/>
              </w:rPr>
              <w:t>）</w:t>
            </w:r>
          </w:p>
        </w:tc>
        <w:tc>
          <w:tcPr>
            <w:tcW w:w="710" w:type="dxa"/>
            <w:vAlign w:val="center"/>
          </w:tcPr>
          <w:p>
            <w:pPr>
              <w:pStyle w:val="23"/>
              <w:spacing w:line="240" w:lineRule="auto"/>
              <w:jc w:val="center"/>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vAlign w:val="center"/>
          </w:tcPr>
          <w:p>
            <w:pPr>
              <w:pStyle w:val="51"/>
              <w:spacing w:line="240" w:lineRule="auto"/>
              <w:ind w:firstLine="0" w:firstLineChars="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获奖情况</w:t>
            </w:r>
          </w:p>
        </w:tc>
        <w:tc>
          <w:tcPr>
            <w:tcW w:w="5237" w:type="dxa"/>
            <w:gridSpan w:val="2"/>
            <w:vAlign w:val="center"/>
          </w:tcPr>
          <w:p>
            <w:pPr>
              <w:pStyle w:val="23"/>
              <w:spacing w:line="240" w:lineRule="auto"/>
              <w:jc w:val="left"/>
              <w:rPr>
                <w:rFonts w:ascii="宋体" w:hAnsi="宋体" w:eastAsia="宋体" w:cs="宋体"/>
                <w:bCs/>
                <w:color w:val="auto"/>
                <w:highlight w:val="none"/>
              </w:rPr>
            </w:pPr>
            <w:r>
              <w:rPr>
                <w:rFonts w:hint="eastAsia" w:ascii="宋体" w:hAnsi="宋体" w:eastAsia="宋体" w:cs="宋体"/>
                <w:color w:val="auto"/>
                <w:highlight w:val="none"/>
              </w:rPr>
              <w:t>投标人于2015年1月1日</w:t>
            </w:r>
            <w:r>
              <w:rPr>
                <w:rFonts w:hint="eastAsia" w:ascii="宋体" w:hAnsi="宋体" w:eastAsia="宋体" w:cs="宋体"/>
                <w:color w:val="auto"/>
                <w:highlight w:val="none"/>
                <w:lang w:eastAsia="zh-CN"/>
              </w:rPr>
              <w:t>以来</w:t>
            </w:r>
            <w:r>
              <w:rPr>
                <w:rFonts w:hint="eastAsia" w:ascii="宋体" w:hAnsi="宋体" w:eastAsia="宋体" w:cs="宋体"/>
                <w:color w:val="auto"/>
                <w:highlight w:val="none"/>
              </w:rPr>
              <w:t>（以奖项颁发时间为准）获得过类似项目</w:t>
            </w:r>
            <w:r>
              <w:rPr>
                <w:rFonts w:hint="default" w:ascii="宋体" w:hAnsi="宋体" w:eastAsia="宋体" w:cs="Arial"/>
                <w:color w:val="auto"/>
                <w:kern w:val="2"/>
                <w:sz w:val="21"/>
                <w:szCs w:val="21"/>
                <w:highlight w:val="none"/>
                <w:lang w:val="en-US" w:eastAsia="zh-CN" w:bidi="ar-SA"/>
              </w:rPr>
              <w:t>（总体层面的管控类规划、面向管理的实施导则或准则类项目）</w:t>
            </w:r>
            <w:r>
              <w:rPr>
                <w:rFonts w:hint="eastAsia" w:ascii="宋体" w:hAnsi="宋体" w:eastAsia="宋体" w:cs="宋体"/>
                <w:color w:val="auto"/>
                <w:highlight w:val="none"/>
              </w:rPr>
              <w:t>优秀城乡规划设计奖</w:t>
            </w:r>
            <w:r>
              <w:rPr>
                <w:rFonts w:hint="eastAsia" w:ascii="宋体" w:hAnsi="宋体" w:eastAsia="宋体" w:cs="宋体"/>
                <w:color w:val="auto"/>
                <w:highlight w:val="none"/>
                <w:lang w:val="en-US" w:eastAsia="zh-CN"/>
              </w:rPr>
              <w:t>每项得</w:t>
            </w:r>
            <w:r>
              <w:rPr>
                <w:rFonts w:hint="eastAsia" w:ascii="宋体" w:hAnsi="宋体" w:eastAsia="宋体" w:cs="宋体"/>
                <w:color w:val="auto"/>
                <w:highlight w:val="none"/>
              </w:rPr>
              <w:t>1分，最高5分（提供相关证书或证明材料扫描件）</w:t>
            </w:r>
          </w:p>
        </w:tc>
        <w:tc>
          <w:tcPr>
            <w:tcW w:w="710" w:type="dxa"/>
            <w:vAlign w:val="center"/>
          </w:tcPr>
          <w:p>
            <w:pPr>
              <w:pStyle w:val="23"/>
              <w:spacing w:line="240" w:lineRule="auto"/>
              <w:jc w:val="center"/>
              <w:rPr>
                <w:rFonts w:ascii="宋体" w:hAnsi="宋体" w:eastAsia="宋体" w:cs="宋体"/>
                <w:color w:val="auto"/>
                <w:highlight w:val="none"/>
              </w:rPr>
            </w:pPr>
            <w:r>
              <w:rPr>
                <w:rFonts w:hint="eastAsia" w:ascii="宋体" w:hAnsi="宋体" w:eastAsia="宋体" w:cs="宋体"/>
                <w:bCs/>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vMerge w:val="restart"/>
            <w:vAlign w:val="center"/>
          </w:tcPr>
          <w:p>
            <w:pPr>
              <w:pStyle w:val="51"/>
              <w:spacing w:line="240" w:lineRule="auto"/>
              <w:ind w:firstLine="0" w:firstLineChars="0"/>
              <w:jc w:val="center"/>
              <w:rPr>
                <w:rFonts w:ascii="宋体" w:hAnsi="宋体" w:cs="宋体"/>
                <w:bCs/>
                <w:color w:val="auto"/>
                <w:sz w:val="21"/>
                <w:szCs w:val="21"/>
                <w:highlight w:val="none"/>
              </w:rPr>
            </w:pPr>
            <w:r>
              <w:rPr>
                <w:rFonts w:hint="eastAsia" w:ascii="宋体" w:hAnsi="宋体" w:cs="宋体"/>
                <w:bCs/>
                <w:color w:val="auto"/>
                <w:sz w:val="21"/>
                <w:szCs w:val="21"/>
                <w:highlight w:val="none"/>
                <w:lang w:val="en-US" w:eastAsia="zh-CN"/>
              </w:rPr>
              <w:t>类似业绩</w:t>
            </w:r>
          </w:p>
        </w:tc>
        <w:tc>
          <w:tcPr>
            <w:tcW w:w="5237" w:type="dxa"/>
            <w:gridSpan w:val="2"/>
            <w:vAlign w:val="center"/>
          </w:tcPr>
          <w:p>
            <w:pPr>
              <w:pStyle w:val="23"/>
              <w:spacing w:line="240" w:lineRule="auto"/>
              <w:jc w:val="left"/>
              <w:rPr>
                <w:rFonts w:ascii="宋体" w:hAnsi="宋体" w:eastAsia="宋体" w:cs="宋体"/>
                <w:bCs/>
                <w:color w:val="auto"/>
                <w:highlight w:val="none"/>
              </w:rPr>
            </w:pPr>
            <w:r>
              <w:rPr>
                <w:rFonts w:hint="eastAsia" w:ascii="宋体" w:hAnsi="宋体" w:eastAsia="宋体" w:cs="宋体"/>
                <w:color w:val="auto"/>
                <w:highlight w:val="none"/>
              </w:rPr>
              <w:t>投标人承担过类似规划设计</w:t>
            </w:r>
            <w:r>
              <w:rPr>
                <w:rFonts w:hint="default" w:ascii="宋体" w:hAnsi="宋体" w:eastAsia="宋体" w:cs="Arial"/>
                <w:color w:val="auto"/>
                <w:kern w:val="2"/>
                <w:sz w:val="21"/>
                <w:szCs w:val="21"/>
                <w:highlight w:val="none"/>
                <w:lang w:val="en-US" w:eastAsia="zh-CN" w:bidi="ar-SA"/>
              </w:rPr>
              <w:t>（总体层面的管控类规划、面向管理的实施导则或准则类项目）</w:t>
            </w:r>
            <w:r>
              <w:rPr>
                <w:rFonts w:hint="eastAsia" w:ascii="宋体" w:hAnsi="宋体" w:eastAsia="宋体" w:cs="宋体"/>
                <w:color w:val="auto"/>
                <w:highlight w:val="none"/>
              </w:rPr>
              <w:t>业绩的，每个得1分，满分</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分（提供合同或中标通知书扫描件）</w:t>
            </w:r>
          </w:p>
        </w:tc>
        <w:tc>
          <w:tcPr>
            <w:tcW w:w="710" w:type="dxa"/>
            <w:vAlign w:val="center"/>
          </w:tcPr>
          <w:p>
            <w:pPr>
              <w:pStyle w:val="23"/>
              <w:spacing w:line="240" w:lineRule="auto"/>
              <w:jc w:val="center"/>
              <w:rPr>
                <w:rFonts w:hint="eastAsia" w:ascii="宋体" w:hAnsi="宋体" w:eastAsia="宋体" w:cs="宋体"/>
                <w:color w:val="auto"/>
                <w:highlight w:val="none"/>
                <w:lang w:eastAsia="zh-CN"/>
              </w:rPr>
            </w:pPr>
            <w:r>
              <w:rPr>
                <w:rFonts w:hint="eastAsia" w:ascii="宋体" w:hAnsi="宋体" w:eastAsia="宋体" w:cs="宋体"/>
                <w:bCs/>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vMerge w:val="continue"/>
            <w:vAlign w:val="center"/>
          </w:tcPr>
          <w:p>
            <w:pPr>
              <w:pStyle w:val="51"/>
              <w:spacing w:line="240" w:lineRule="auto"/>
              <w:ind w:firstLine="0" w:firstLineChars="0"/>
              <w:jc w:val="center"/>
              <w:rPr>
                <w:rFonts w:hint="eastAsia" w:ascii="宋体" w:hAnsi="宋体" w:cs="宋体"/>
                <w:bCs/>
                <w:color w:val="auto"/>
                <w:sz w:val="21"/>
                <w:szCs w:val="21"/>
                <w:highlight w:val="none"/>
              </w:rPr>
            </w:pPr>
          </w:p>
        </w:tc>
        <w:tc>
          <w:tcPr>
            <w:tcW w:w="5237" w:type="dxa"/>
            <w:gridSpan w:val="2"/>
            <w:vAlign w:val="center"/>
          </w:tcPr>
          <w:p>
            <w:pPr>
              <w:pStyle w:val="23"/>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拟派项目负责人于2015年1月1日</w:t>
            </w:r>
            <w:r>
              <w:rPr>
                <w:rFonts w:hint="eastAsia" w:ascii="宋体" w:hAnsi="宋体" w:eastAsia="宋体" w:cs="宋体"/>
                <w:color w:val="auto"/>
                <w:highlight w:val="none"/>
                <w:lang w:eastAsia="zh-CN"/>
              </w:rPr>
              <w:t>以来</w:t>
            </w:r>
            <w:r>
              <w:rPr>
                <w:rFonts w:hint="eastAsia" w:ascii="宋体" w:hAnsi="宋体" w:eastAsia="宋体" w:cs="宋体"/>
                <w:color w:val="auto"/>
                <w:highlight w:val="none"/>
              </w:rPr>
              <w:t>（以合同签订时间为准）主持类似项目</w:t>
            </w:r>
            <w:r>
              <w:rPr>
                <w:rFonts w:hint="default" w:ascii="宋体" w:hAnsi="宋体" w:eastAsia="宋体" w:cs="Arial"/>
                <w:color w:val="auto"/>
                <w:kern w:val="2"/>
                <w:sz w:val="21"/>
                <w:szCs w:val="21"/>
                <w:highlight w:val="none"/>
                <w:lang w:val="en-US" w:eastAsia="zh-CN" w:bidi="ar-SA"/>
              </w:rPr>
              <w:t>（总体层面的管控类规划、面向管理的实施导则或准则类项目）</w:t>
            </w:r>
            <w:r>
              <w:rPr>
                <w:rFonts w:hint="eastAsia" w:ascii="宋体" w:hAnsi="宋体" w:eastAsia="宋体" w:cs="宋体"/>
                <w:color w:val="auto"/>
                <w:highlight w:val="none"/>
              </w:rPr>
              <w:t>业绩，每提供一个业绩得1分，满分</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分；需提供以下材料的扫描件：（1）加盖业主单位公章的业主证明</w:t>
            </w:r>
            <w:r>
              <w:rPr>
                <w:rFonts w:hint="eastAsia" w:ascii="宋体" w:hAnsi="宋体" w:eastAsia="宋体" w:cs="宋体"/>
                <w:color w:val="auto"/>
                <w:highlight w:val="none"/>
                <w:lang w:val="en-US" w:eastAsia="zh-CN"/>
              </w:rPr>
              <w:t>扫描件</w:t>
            </w:r>
            <w:r>
              <w:rPr>
                <w:rFonts w:hint="eastAsia" w:ascii="宋体" w:hAnsi="宋体" w:eastAsia="宋体" w:cs="宋体"/>
                <w:color w:val="auto"/>
                <w:highlight w:val="none"/>
              </w:rPr>
              <w:t>或（2）项目合同</w:t>
            </w:r>
            <w:r>
              <w:rPr>
                <w:rFonts w:hint="eastAsia" w:ascii="宋体" w:hAnsi="宋体" w:eastAsia="宋体" w:cs="宋体"/>
                <w:color w:val="auto"/>
                <w:highlight w:val="none"/>
                <w:lang w:val="en-US" w:eastAsia="zh-CN"/>
              </w:rPr>
              <w:t>扫描件</w:t>
            </w:r>
            <w:r>
              <w:rPr>
                <w:rFonts w:hint="eastAsia" w:ascii="宋体" w:hAnsi="宋体" w:eastAsia="宋体" w:cs="宋体"/>
                <w:color w:val="auto"/>
                <w:highlight w:val="none"/>
              </w:rPr>
              <w:t>或（3）项目成功报告扉页</w:t>
            </w:r>
            <w:r>
              <w:rPr>
                <w:rFonts w:hint="eastAsia" w:ascii="宋体" w:hAnsi="宋体" w:eastAsia="宋体" w:cs="宋体"/>
                <w:color w:val="auto"/>
                <w:highlight w:val="none"/>
                <w:lang w:val="en-US" w:eastAsia="zh-CN"/>
              </w:rPr>
              <w:t>扫描件</w:t>
            </w:r>
          </w:p>
        </w:tc>
        <w:tc>
          <w:tcPr>
            <w:tcW w:w="710" w:type="dxa"/>
            <w:vAlign w:val="center"/>
          </w:tcPr>
          <w:p>
            <w:pPr>
              <w:pStyle w:val="23"/>
              <w:spacing w:line="240" w:lineRule="auto"/>
              <w:jc w:val="center"/>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vAlign w:val="center"/>
          </w:tcPr>
          <w:p>
            <w:pPr>
              <w:pStyle w:val="51"/>
              <w:spacing w:line="240" w:lineRule="auto"/>
              <w:ind w:firstLine="0" w:firstLineChars="0"/>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权威认证</w:t>
            </w:r>
          </w:p>
        </w:tc>
        <w:tc>
          <w:tcPr>
            <w:tcW w:w="5237" w:type="dxa"/>
            <w:gridSpan w:val="2"/>
            <w:vAlign w:val="center"/>
          </w:tcPr>
          <w:p>
            <w:pPr>
              <w:pStyle w:val="23"/>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投标人具有</w:t>
            </w:r>
            <w:r>
              <w:rPr>
                <w:rFonts w:hint="eastAsia" w:ascii="宋体" w:hAnsi="宋体" w:eastAsia="宋体" w:cs="宋体"/>
                <w:color w:val="auto"/>
                <w:highlight w:val="none"/>
                <w:lang w:eastAsia="zh-CN"/>
              </w:rPr>
              <w:t>有效期内的</w:t>
            </w:r>
            <w:r>
              <w:rPr>
                <w:rFonts w:hint="eastAsia" w:ascii="宋体" w:hAnsi="宋体" w:eastAsia="宋体" w:cs="宋体"/>
                <w:color w:val="auto"/>
                <w:highlight w:val="none"/>
              </w:rPr>
              <w:t>ISO 9001</w:t>
            </w:r>
            <w:r>
              <w:rPr>
                <w:rFonts w:hint="eastAsia" w:ascii="宋体" w:hAnsi="宋体" w:eastAsia="宋体" w:cs="宋体"/>
                <w:color w:val="auto"/>
                <w:highlight w:val="none"/>
                <w:lang w:eastAsia="zh-CN"/>
              </w:rPr>
              <w:t>质量管理体系认证证书</w:t>
            </w:r>
            <w:r>
              <w:rPr>
                <w:rFonts w:hint="eastAsia" w:ascii="宋体" w:hAnsi="宋体" w:eastAsia="宋体" w:cs="宋体"/>
                <w:color w:val="auto"/>
                <w:highlight w:val="none"/>
              </w:rPr>
              <w:t>、OHSAS 18001职业健康安全管理体系认证</w:t>
            </w:r>
            <w:r>
              <w:rPr>
                <w:rFonts w:hint="eastAsia" w:ascii="宋体" w:hAnsi="宋体" w:eastAsia="宋体" w:cs="宋体"/>
                <w:color w:val="auto"/>
                <w:highlight w:val="none"/>
                <w:lang w:eastAsia="zh-CN"/>
              </w:rPr>
              <w:t>证书</w:t>
            </w:r>
            <w:r>
              <w:rPr>
                <w:rFonts w:hint="eastAsia" w:ascii="宋体" w:hAnsi="宋体" w:eastAsia="宋体" w:cs="宋体"/>
                <w:color w:val="auto"/>
                <w:highlight w:val="none"/>
              </w:rPr>
              <w:t>、ISO</w:t>
            </w:r>
            <w:r>
              <w:rPr>
                <w:rFonts w:hint="eastAsia" w:ascii="宋体" w:hAnsi="宋体" w:eastAsia="宋体" w:cs="宋体"/>
                <w:color w:val="auto"/>
                <w:highlight w:val="none"/>
                <w:lang w:val="en-US" w:eastAsia="zh-CN"/>
              </w:rPr>
              <w:t xml:space="preserve"> 14001</w:t>
            </w:r>
            <w:r>
              <w:rPr>
                <w:rFonts w:hint="eastAsia" w:ascii="宋体" w:hAnsi="宋体" w:eastAsia="宋体" w:cs="宋体"/>
                <w:color w:val="auto"/>
                <w:highlight w:val="none"/>
              </w:rPr>
              <w:t>环境管理体系认证</w:t>
            </w:r>
            <w:r>
              <w:rPr>
                <w:rFonts w:hint="eastAsia" w:ascii="宋体" w:hAnsi="宋体" w:eastAsia="宋体" w:cs="宋体"/>
                <w:color w:val="auto"/>
                <w:highlight w:val="none"/>
                <w:lang w:eastAsia="zh-CN"/>
              </w:rPr>
              <w:t>证书的</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每项</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，最高得</w:t>
            </w:r>
            <w:r>
              <w:rPr>
                <w:rFonts w:hint="eastAsia" w:ascii="宋体" w:hAnsi="宋体" w:eastAsia="宋体" w:cs="宋体"/>
                <w:color w:val="auto"/>
                <w:highlight w:val="none"/>
                <w:lang w:val="en-US" w:eastAsia="zh-CN"/>
              </w:rPr>
              <w:t>3分</w:t>
            </w:r>
            <w:r>
              <w:rPr>
                <w:rFonts w:hint="eastAsia" w:ascii="宋体" w:hAnsi="宋体" w:eastAsia="宋体" w:cs="宋体"/>
                <w:color w:val="auto"/>
                <w:highlight w:val="none"/>
              </w:rPr>
              <w:t>。（提供证书扫描件）</w:t>
            </w:r>
          </w:p>
        </w:tc>
        <w:tc>
          <w:tcPr>
            <w:tcW w:w="710" w:type="dxa"/>
            <w:vAlign w:val="center"/>
          </w:tcPr>
          <w:p>
            <w:pPr>
              <w:pStyle w:val="23"/>
              <w:spacing w:line="240" w:lineRule="auto"/>
              <w:jc w:val="center"/>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blHeader/>
        </w:trPr>
        <w:tc>
          <w:tcPr>
            <w:tcW w:w="2995" w:type="dxa"/>
            <w:vAlign w:val="center"/>
          </w:tcPr>
          <w:p>
            <w:pPr>
              <w:spacing w:line="240" w:lineRule="auto"/>
              <w:jc w:val="center"/>
              <w:rPr>
                <w:rFonts w:ascii="宋体" w:hAnsi="宋体" w:cs="仿宋_GB2312"/>
                <w:color w:val="auto"/>
                <w:szCs w:val="21"/>
                <w:highlight w:val="none"/>
              </w:rPr>
            </w:pPr>
            <w:r>
              <w:rPr>
                <w:rFonts w:hint="eastAsia" w:ascii="宋体" w:hAnsi="宋体" w:cs="仿宋_GB2312"/>
                <w:color w:val="auto"/>
                <w:szCs w:val="21"/>
                <w:highlight w:val="none"/>
              </w:rPr>
              <w:t>标书质量</w:t>
            </w:r>
          </w:p>
        </w:tc>
        <w:tc>
          <w:tcPr>
            <w:tcW w:w="5237" w:type="dxa"/>
            <w:gridSpan w:val="2"/>
            <w:vAlign w:val="center"/>
          </w:tcPr>
          <w:p>
            <w:pPr>
              <w:spacing w:line="240" w:lineRule="auto"/>
              <w:rPr>
                <w:rFonts w:ascii="宋体" w:hAnsi="宋体" w:cs="仿宋_GB2312"/>
                <w:color w:val="auto"/>
                <w:szCs w:val="21"/>
                <w:highlight w:val="none"/>
              </w:rPr>
            </w:pPr>
            <w:r>
              <w:rPr>
                <w:rFonts w:hint="eastAsia" w:ascii="宋体" w:hAnsi="宋体" w:cs="仿宋_GB2312"/>
                <w:color w:val="auto"/>
                <w:szCs w:val="21"/>
                <w:highlight w:val="none"/>
              </w:rPr>
              <w:t>标书编制是否完整、科学、条理清晰等</w:t>
            </w:r>
          </w:p>
        </w:tc>
        <w:tc>
          <w:tcPr>
            <w:tcW w:w="710" w:type="dxa"/>
            <w:vAlign w:val="center"/>
          </w:tcPr>
          <w:p>
            <w:pPr>
              <w:pStyle w:val="23"/>
              <w:spacing w:line="240" w:lineRule="auto"/>
              <w:jc w:val="center"/>
              <w:rPr>
                <w:rFonts w:ascii="宋体" w:hAnsi="宋体" w:eastAsia="宋体" w:cs="宋体"/>
                <w:bCs/>
                <w:color w:val="auto"/>
                <w:highlight w:val="none"/>
              </w:rPr>
            </w:pPr>
            <w:r>
              <w:rPr>
                <w:rFonts w:hint="eastAsia" w:ascii="宋体" w:hAnsi="宋体" w:eastAsia="宋体" w:cs="宋体"/>
                <w:bCs/>
                <w:color w:val="auto"/>
                <w:highlight w:val="none"/>
              </w:rPr>
              <w:t>2</w:t>
            </w:r>
          </w:p>
        </w:tc>
      </w:tr>
    </w:tbl>
    <w:p>
      <w:pPr>
        <w:rPr>
          <w:color w:val="auto"/>
          <w:highlight w:val="none"/>
          <w:lang w:val="zh-CN"/>
        </w:rPr>
      </w:pPr>
    </w:p>
    <w:p>
      <w:pPr>
        <w:autoSpaceDE w:val="0"/>
        <w:autoSpaceDN w:val="0"/>
        <w:adjustRightInd w:val="0"/>
        <w:spacing w:line="360" w:lineRule="auto"/>
        <w:ind w:firstLine="480"/>
        <w:rPr>
          <w:rFonts w:ascii="宋体" w:hAnsi="宋体" w:cs="宋体"/>
          <w:b/>
          <w:color w:val="auto"/>
          <w:szCs w:val="21"/>
          <w:highlight w:val="none"/>
          <w:lang w:val="zh-CN"/>
        </w:rPr>
      </w:pPr>
      <w:r>
        <w:rPr>
          <w:rFonts w:hint="eastAsia" w:ascii="宋体" w:hAnsi="宋体" w:cs="宋体"/>
          <w:b/>
          <w:color w:val="auto"/>
          <w:szCs w:val="21"/>
          <w:highlight w:val="none"/>
          <w:lang w:val="zh-CN"/>
        </w:rPr>
        <w:t>（二）商务报价（满分</w:t>
      </w:r>
      <w:r>
        <w:rPr>
          <w:rFonts w:hint="eastAsia" w:ascii="宋体" w:hAnsi="宋体" w:cs="宋体"/>
          <w:b/>
          <w:color w:val="auto"/>
          <w:szCs w:val="21"/>
          <w:highlight w:val="none"/>
        </w:rPr>
        <w:t>10</w:t>
      </w:r>
      <w:r>
        <w:rPr>
          <w:rFonts w:hint="eastAsia" w:ascii="宋体" w:hAnsi="宋体" w:cs="宋体"/>
          <w:b/>
          <w:color w:val="auto"/>
          <w:szCs w:val="21"/>
          <w:highlight w:val="none"/>
          <w:lang w:val="zh-CN"/>
        </w:rPr>
        <w:t>分）</w:t>
      </w:r>
    </w:p>
    <w:p>
      <w:pPr>
        <w:adjustRightInd w:val="0"/>
        <w:snapToGrid w:val="0"/>
        <w:spacing w:line="360" w:lineRule="auto"/>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zh-CN"/>
        </w:rPr>
        <w:t>投标价格的合理性：</w:t>
      </w:r>
    </w:p>
    <w:p>
      <w:pPr>
        <w:adjustRightInd w:val="0"/>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分析总报价及各个分项报价是否合理，报价范围是否完整，有否重大错漏项，评标委员会认为投标报价出现异常时，有权要求投标人在评标期间对投标报价的详细组成作出解释和澄清，并确认其投标报价是否有效。</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2.商务报价计算</w:t>
      </w:r>
    </w:p>
    <w:p>
      <w:pPr>
        <w:adjustRightInd w:val="0"/>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各投标人的商务报价得分统一采用低价优先法计算，即满足采购文件要求且投标价格最低的投标报价为评标基准价，其价格分为满分</w:t>
      </w:r>
      <w:r>
        <w:rPr>
          <w:rFonts w:hint="eastAsia" w:ascii="宋体" w:hAnsi="宋体" w:cs="宋体"/>
          <w:color w:val="auto"/>
          <w:szCs w:val="21"/>
          <w:highlight w:val="none"/>
        </w:rPr>
        <w:t>10分</w:t>
      </w:r>
      <w:r>
        <w:rPr>
          <w:rFonts w:hint="eastAsia" w:ascii="宋体" w:hAnsi="宋体" w:cs="宋体"/>
          <w:color w:val="auto"/>
          <w:szCs w:val="21"/>
          <w:highlight w:val="none"/>
          <w:lang w:val="zh-CN"/>
        </w:rPr>
        <w:t>。其他投标人的商务报价得分统一按照下列公式计算：</w:t>
      </w:r>
    </w:p>
    <w:p>
      <w:pPr>
        <w:adjustRightInd w:val="0"/>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投标报价得分=（评标基准价/投标报价）×价格权值（即</w:t>
      </w:r>
      <w:r>
        <w:rPr>
          <w:rFonts w:hint="eastAsia" w:ascii="宋体" w:hAnsi="宋体" w:cs="宋体"/>
          <w:color w:val="auto"/>
          <w:szCs w:val="21"/>
          <w:highlight w:val="none"/>
        </w:rPr>
        <w:t>10</w:t>
      </w:r>
      <w:r>
        <w:rPr>
          <w:rFonts w:hint="eastAsia" w:ascii="宋体" w:hAnsi="宋体" w:cs="宋体"/>
          <w:color w:val="auto"/>
          <w:szCs w:val="21"/>
          <w:highlight w:val="none"/>
          <w:lang w:val="zh-CN"/>
        </w:rPr>
        <w:t>%）×100</w:t>
      </w:r>
    </w:p>
    <w:p>
      <w:pPr>
        <w:adjustRightInd w:val="0"/>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关于价格分计算的说明：</w:t>
      </w:r>
    </w:p>
    <w:p>
      <w:pPr>
        <w:adjustRightInd w:val="0"/>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①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w:t>
      </w:r>
    </w:p>
    <w:p>
      <w:pPr>
        <w:adjustRightInd w:val="0"/>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2%-3%（工程项目为1%—2%）的扣除，用扣除后的价格参加评审。</w:t>
      </w:r>
    </w:p>
    <w:p>
      <w:pPr>
        <w:adjustRightInd w:val="0"/>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以联合体形式参加政府采购活动，联合体各方均为中小企业的，联合体视同中小企业。其中，联合体各方均为小微企业的，联合体视同小微企业。</w:t>
      </w:r>
    </w:p>
    <w:p>
      <w:pPr>
        <w:adjustRightInd w:val="0"/>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投标文件中须同时出具《政府采购促进中小企业发展管理办法》【财库（2020）46号】规定的《中小企业声明函》，否则不得享受价格扣除。</w:t>
      </w:r>
    </w:p>
    <w:p>
      <w:pPr>
        <w:adjustRightInd w:val="0"/>
        <w:snapToGrid w:val="0"/>
        <w:spacing w:line="360" w:lineRule="auto"/>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本项目对符合规定的小微企业（含小型企业）报价给予6% 的扣除。</w:t>
      </w:r>
    </w:p>
    <w:p>
      <w:pPr>
        <w:adjustRightInd w:val="0"/>
        <w:snapToGrid w:val="0"/>
        <w:spacing w:line="360" w:lineRule="auto"/>
        <w:ind w:firstLine="420" w:firstLineChars="200"/>
        <w:rPr>
          <w:rFonts w:ascii="宋体" w:hAnsi="宋体" w:cs="宋体"/>
          <w:color w:val="auto"/>
          <w:szCs w:val="21"/>
          <w:highlight w:val="none"/>
          <w:lang w:val="zh-CN"/>
        </w:rPr>
      </w:pPr>
      <w:r>
        <w:rPr>
          <w:rFonts w:hint="eastAsia"/>
          <w:color w:val="auto"/>
          <w:highlight w:val="none"/>
        </w:rPr>
        <w:t>对符合规定的</w:t>
      </w:r>
      <w:r>
        <w:rPr>
          <w:rFonts w:hint="eastAsia" w:ascii="宋体" w:hAnsi="宋体" w:cs="宋体"/>
          <w:color w:val="auto"/>
          <w:szCs w:val="21"/>
          <w:highlight w:val="none"/>
          <w:lang w:val="zh-CN"/>
        </w:rPr>
        <w:t>联合体或者大中型企业的报价给予2%的扣除。（本项目不适用）</w:t>
      </w:r>
    </w:p>
    <w:p>
      <w:pPr>
        <w:adjustRightInd w:val="0"/>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②根据《关于政府采购支持监狱企业发展有关问题的通知》（财库[2014]68号）的规定，投标人如为监狱企业且所投产品为小型或微型企业生产的，其投标报价扣除6%后参与评审。</w:t>
      </w:r>
    </w:p>
    <w:p>
      <w:pPr>
        <w:adjustRightInd w:val="0"/>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投标文件中须同时提供：投标人的省级以上监狱管理局、戒毒管理局(含新疆生产建设兵团)出具的属于监狱企业的证明文件，投标产品制造商的小微企业声明，未按要求提供材料的，投标报价不予扣减。</w:t>
      </w:r>
    </w:p>
    <w:p>
      <w:pPr>
        <w:adjustRightInd w:val="0"/>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adjustRightInd w:val="0"/>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享受政府采购支持政策的残疾人福利性单位应当同时满足以下条件：</w:t>
      </w:r>
    </w:p>
    <w:p>
      <w:pPr>
        <w:adjustRightInd w:val="0"/>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（一）安置的残疾人占本单位在职职工人数的比例不低于25%（含25%），并且安置的残疾人人数不少于10人（含10人）；</w:t>
      </w:r>
    </w:p>
    <w:p>
      <w:pPr>
        <w:adjustRightInd w:val="0"/>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（二）依法与安置的每位残疾人签订了一年以上（含一年）的劳动合同或服务协议；</w:t>
      </w:r>
    </w:p>
    <w:p>
      <w:pPr>
        <w:adjustRightInd w:val="0"/>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（三）为安置的每位残疾人按月足额缴纳了基本养老保险、基本医疗保险、失业保险、工伤保险和生育保险等社会保险费；</w:t>
      </w:r>
    </w:p>
    <w:p>
      <w:pPr>
        <w:adjustRightInd w:val="0"/>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（四）通过银行等金融机构向安置的每位残疾人，按月支付了不低于单位所在区县适用的经省级人民政府批准的月最低工资标准的工资；</w:t>
      </w:r>
    </w:p>
    <w:p>
      <w:pPr>
        <w:adjustRightInd w:val="0"/>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（五）提供本单位制造的货物、承担的工程或者服务（以下简称产品），或者提供其他残疾人福利性单位制造的货物（不包括使用非残疾人福利性单位注册商标的货物）。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color w:val="auto"/>
          <w:szCs w:val="21"/>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djustRightInd w:val="0"/>
        <w:snapToGrid w:val="0"/>
        <w:spacing w:line="360" w:lineRule="auto"/>
        <w:ind w:firstLine="420" w:firstLineChars="200"/>
        <w:rPr>
          <w:rFonts w:ascii="宋体" w:hAnsi="宋体" w:cs="宋体"/>
          <w:snapToGrid w:val="0"/>
          <w:color w:val="auto"/>
          <w:kern w:val="0"/>
          <w:szCs w:val="21"/>
          <w:highlight w:val="none"/>
        </w:rPr>
      </w:pPr>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（三）其他</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评分时保留小数点后1位小数，计算评分值时保留小数点后2位小数，由评标委员会当场统一计算。</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投标人的最终总得分为技术商务及报价部分二部分得分的总和。</w:t>
      </w:r>
    </w:p>
    <w:p>
      <w:pPr>
        <w:adjustRightInd w:val="0"/>
        <w:snapToGrid w:val="0"/>
        <w:spacing w:line="360" w:lineRule="auto"/>
        <w:ind w:firstLine="422" w:firstLineChars="200"/>
        <w:jc w:val="left"/>
        <w:rPr>
          <w:rFonts w:ascii="宋体" w:hAnsi="宋体" w:cs="宋体"/>
          <w:color w:val="auto"/>
          <w:szCs w:val="21"/>
          <w:highlight w:val="none"/>
        </w:rPr>
      </w:pPr>
      <w:r>
        <w:rPr>
          <w:rFonts w:hint="eastAsia" w:ascii="宋体" w:hAnsi="宋体" w:cs="宋体"/>
          <w:b/>
          <w:snapToGrid w:val="0"/>
          <w:color w:val="auto"/>
          <w:kern w:val="0"/>
          <w:szCs w:val="21"/>
          <w:highlight w:val="none"/>
        </w:rPr>
        <w:t>报价是中标的一个重要因素，但最低报价不是中标的唯一依据。</w:t>
      </w:r>
    </w:p>
    <w:p>
      <w:pPr>
        <w:adjustRightInd w:val="0"/>
        <w:snapToGrid w:val="0"/>
        <w:spacing w:beforeLines="50" w:afterLines="50" w:line="360" w:lineRule="auto"/>
        <w:jc w:val="center"/>
        <w:outlineLvl w:val="0"/>
        <w:rPr>
          <w:rFonts w:ascii="宋体" w:hAnsi="宋体" w:cs="宋体"/>
          <w:b/>
          <w:bCs/>
          <w:color w:val="auto"/>
          <w:sz w:val="32"/>
          <w:szCs w:val="32"/>
          <w:highlight w:val="none"/>
        </w:rPr>
      </w:pPr>
      <w:r>
        <w:rPr>
          <w:rFonts w:hint="eastAsia" w:ascii="宋体" w:hAnsi="宋体" w:cs="宋体"/>
          <w:color w:val="auto"/>
          <w:szCs w:val="21"/>
          <w:highlight w:val="none"/>
        </w:rPr>
        <w:br w:type="page"/>
      </w:r>
      <w:bookmarkStart w:id="69" w:name="_Toc234764855"/>
      <w:bookmarkStart w:id="70" w:name="_Toc21580"/>
      <w:bookmarkStart w:id="71" w:name="_Toc249760797"/>
      <w:bookmarkStart w:id="72" w:name="_Toc251566668"/>
      <w:bookmarkStart w:id="73" w:name="_Toc1306"/>
      <w:r>
        <w:rPr>
          <w:rFonts w:hint="eastAsia" w:ascii="宋体" w:hAnsi="宋体" w:cs="宋体"/>
          <w:b/>
          <w:color w:val="auto"/>
          <w:sz w:val="30"/>
          <w:szCs w:val="30"/>
          <w:highlight w:val="none"/>
        </w:rPr>
        <w:t>第六部分  投标文件格式</w:t>
      </w:r>
      <w:bookmarkEnd w:id="69"/>
      <w:bookmarkEnd w:id="70"/>
      <w:bookmarkEnd w:id="71"/>
      <w:bookmarkEnd w:id="72"/>
      <w:bookmarkEnd w:id="73"/>
    </w:p>
    <w:p>
      <w:pPr>
        <w:autoSpaceDE w:val="0"/>
        <w:autoSpaceDN w:val="0"/>
        <w:adjustRightInd w:val="0"/>
        <w:spacing w:line="360" w:lineRule="auto"/>
        <w:ind w:firstLine="480"/>
        <w:rPr>
          <w:rFonts w:ascii="宋体" w:hAnsi="宋体" w:cs="宋体"/>
          <w:color w:val="auto"/>
          <w:sz w:val="24"/>
          <w:highlight w:val="none"/>
        </w:rPr>
      </w:pPr>
    </w:p>
    <w:p>
      <w:pPr>
        <w:pStyle w:val="23"/>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说明：</w:t>
      </w:r>
    </w:p>
    <w:p>
      <w:pPr>
        <w:pStyle w:val="23"/>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1．投标文件由投标人根据采购文件要求参照附件格式编制。</w:t>
      </w:r>
    </w:p>
    <w:p>
      <w:pPr>
        <w:pStyle w:val="23"/>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2．投标人根据实际情况填写。</w:t>
      </w:r>
    </w:p>
    <w:p>
      <w:pPr>
        <w:pStyle w:val="23"/>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3．采购文件中没有参考格式的，投标人自行编制。</w:t>
      </w:r>
    </w:p>
    <w:p>
      <w:pPr>
        <w:autoSpaceDE w:val="0"/>
        <w:autoSpaceDN w:val="0"/>
        <w:adjustRightInd w:val="0"/>
        <w:snapToGrid w:val="0"/>
        <w:spacing w:line="360" w:lineRule="auto"/>
        <w:outlineLvl w:val="1"/>
        <w:rPr>
          <w:rFonts w:ascii="宋体" w:hAnsi="宋体" w:cs="宋体"/>
          <w:bCs/>
          <w:snapToGrid w:val="0"/>
          <w:color w:val="auto"/>
          <w:kern w:val="0"/>
          <w:szCs w:val="21"/>
          <w:highlight w:val="none"/>
        </w:rPr>
      </w:pPr>
      <w:r>
        <w:rPr>
          <w:rFonts w:hint="eastAsia" w:ascii="宋体" w:hAnsi="宋体" w:cs="宋体"/>
          <w:b/>
          <w:bCs/>
          <w:color w:val="auto"/>
          <w:sz w:val="32"/>
          <w:szCs w:val="32"/>
          <w:highlight w:val="none"/>
        </w:rPr>
        <w:br w:type="page"/>
      </w:r>
      <w:bookmarkStart w:id="74" w:name="_Toc1647"/>
      <w:bookmarkStart w:id="75" w:name="_Toc27220"/>
      <w:bookmarkStart w:id="76" w:name="_Toc22468"/>
      <w:r>
        <w:rPr>
          <w:rFonts w:hint="eastAsia" w:ascii="宋体" w:hAnsi="宋体" w:cs="宋体"/>
          <w:bCs/>
          <w:snapToGrid w:val="0"/>
          <w:color w:val="auto"/>
          <w:kern w:val="0"/>
          <w:szCs w:val="21"/>
          <w:highlight w:val="none"/>
        </w:rPr>
        <w:t>一、</w:t>
      </w:r>
      <w:bookmarkEnd w:id="74"/>
      <w:bookmarkEnd w:id="75"/>
      <w:bookmarkStart w:id="77" w:name="_Toc32101"/>
      <w:bookmarkStart w:id="78" w:name="_Toc27346"/>
      <w:r>
        <w:rPr>
          <w:rFonts w:hint="eastAsia" w:ascii="宋体" w:hAnsi="宋体" w:cs="宋体"/>
          <w:bCs/>
          <w:snapToGrid w:val="0"/>
          <w:color w:val="auto"/>
          <w:kern w:val="0"/>
          <w:szCs w:val="21"/>
          <w:highlight w:val="none"/>
        </w:rPr>
        <w:t>投标文件封面（格式供参考）</w:t>
      </w:r>
      <w:bookmarkEnd w:id="76"/>
      <w:bookmarkEnd w:id="77"/>
      <w:bookmarkEnd w:id="78"/>
    </w:p>
    <w:p>
      <w:pPr>
        <w:autoSpaceDE w:val="0"/>
        <w:autoSpaceDN w:val="0"/>
        <w:adjustRightInd w:val="0"/>
        <w:rPr>
          <w:rFonts w:ascii="宋体" w:hAnsi="宋体" w:cs="宋体"/>
          <w:bCs/>
          <w:color w:val="auto"/>
          <w:highlight w:val="none"/>
        </w:rPr>
      </w:pPr>
    </w:p>
    <w:p>
      <w:pPr>
        <w:autoSpaceDE w:val="0"/>
        <w:autoSpaceDN w:val="0"/>
        <w:adjustRightInd w:val="0"/>
        <w:rPr>
          <w:rFonts w:ascii="宋体" w:hAnsi="宋体" w:cs="宋体"/>
          <w:bCs/>
          <w:color w:val="auto"/>
          <w:highlight w:val="none"/>
        </w:rPr>
      </w:pPr>
      <w:r>
        <w:rPr>
          <w:rFonts w:hint="eastAsia" w:ascii="宋体" w:hAnsi="宋体" w:cs="宋体"/>
          <w:bCs/>
          <w:color w:val="auto"/>
          <w:highlight w:val="none"/>
        </w:rPr>
        <w:t>1.1报价响应文件封面格式</w:t>
      </w:r>
    </w:p>
    <w:p>
      <w:pPr>
        <w:autoSpaceDE w:val="0"/>
        <w:autoSpaceDN w:val="0"/>
        <w:adjustRightInd w:val="0"/>
        <w:spacing w:line="360" w:lineRule="auto"/>
        <w:jc w:val="right"/>
        <w:rPr>
          <w:rFonts w:ascii="宋体" w:hAnsi="宋体" w:cs="宋体"/>
          <w:b/>
          <w:color w:val="auto"/>
          <w:sz w:val="28"/>
          <w:szCs w:val="28"/>
          <w:highlight w:val="none"/>
        </w:rPr>
      </w:pPr>
    </w:p>
    <w:p>
      <w:pPr>
        <w:autoSpaceDE w:val="0"/>
        <w:autoSpaceDN w:val="0"/>
        <w:adjustRightInd w:val="0"/>
        <w:spacing w:line="360" w:lineRule="auto"/>
        <w:jc w:val="center"/>
        <w:rPr>
          <w:rFonts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《“三江汇”杭州未来城市实践区控制性规划》项目</w:t>
      </w:r>
    </w:p>
    <w:p>
      <w:pPr>
        <w:autoSpaceDE w:val="0"/>
        <w:autoSpaceDN w:val="0"/>
        <w:adjustRightInd w:val="0"/>
        <w:spacing w:line="360" w:lineRule="auto"/>
        <w:jc w:val="center"/>
        <w:rPr>
          <w:rFonts w:ascii="宋体" w:hAnsi="宋体" w:cs="宋体"/>
          <w:color w:val="auto"/>
          <w:sz w:val="32"/>
          <w:szCs w:val="32"/>
          <w:highlight w:val="none"/>
          <w:u w:val="single"/>
        </w:rPr>
      </w:pPr>
    </w:p>
    <w:p>
      <w:pPr>
        <w:autoSpaceDE w:val="0"/>
        <w:autoSpaceDN w:val="0"/>
        <w:adjustRightInd w:val="0"/>
        <w:spacing w:line="360" w:lineRule="auto"/>
        <w:jc w:val="center"/>
        <w:rPr>
          <w:rFonts w:ascii="宋体" w:hAnsi="宋体" w:cs="宋体"/>
          <w:b/>
          <w:color w:val="auto"/>
          <w:sz w:val="32"/>
          <w:szCs w:val="32"/>
          <w:highlight w:val="none"/>
        </w:rPr>
      </w:pPr>
    </w:p>
    <w:p>
      <w:pPr>
        <w:spacing w:line="360" w:lineRule="auto"/>
        <w:jc w:val="center"/>
        <w:rPr>
          <w:rFonts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pPr>
        <w:autoSpaceDE w:val="0"/>
        <w:autoSpaceDN w:val="0"/>
        <w:adjustRightInd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（报价响应文件）</w:t>
      </w:r>
    </w:p>
    <w:p>
      <w:pPr>
        <w:autoSpaceDE w:val="0"/>
        <w:autoSpaceDN w:val="0"/>
        <w:adjustRightIn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采购编号：ZJ-</w:t>
      </w:r>
      <w:r>
        <w:rPr>
          <w:rFonts w:hint="eastAsia" w:ascii="宋体" w:hAnsi="宋体" w:cs="宋体"/>
          <w:b/>
          <w:color w:val="auto"/>
          <w:sz w:val="32"/>
          <w:szCs w:val="32"/>
          <w:highlight w:val="none"/>
          <w:lang w:eastAsia="zh-CN"/>
        </w:rPr>
        <w:t>2110301</w:t>
      </w:r>
    </w:p>
    <w:p>
      <w:pPr>
        <w:pStyle w:val="3"/>
        <w:ind w:firstLine="2881" w:firstLineChars="900"/>
        <w:rPr>
          <w:color w:val="auto"/>
          <w:highlight w:val="none"/>
        </w:rPr>
      </w:pPr>
      <w:r>
        <w:rPr>
          <w:rFonts w:hint="eastAsia" w:ascii="宋体" w:hAnsi="宋体" w:cs="宋体"/>
          <w:color w:val="auto"/>
          <w:sz w:val="32"/>
          <w:szCs w:val="32"/>
          <w:highlight w:val="none"/>
        </w:rPr>
        <w:t>标项：</w:t>
      </w: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投标人名称（盖章）：</w:t>
      </w: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 xml:space="preserve">法定代表人或授权代表(签字或盖章)： </w:t>
      </w: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时间：    年   月   日</w:t>
      </w:r>
    </w:p>
    <w:p>
      <w:pPr>
        <w:autoSpaceDE w:val="0"/>
        <w:autoSpaceDN w:val="0"/>
        <w:adjustRightInd w:val="0"/>
        <w:rPr>
          <w:rFonts w:ascii="宋体" w:hAnsi="宋体" w:cs="宋体"/>
          <w:bCs/>
          <w:color w:val="auto"/>
          <w:highlight w:val="none"/>
        </w:rPr>
      </w:pPr>
      <w:r>
        <w:rPr>
          <w:rFonts w:hint="eastAsia" w:ascii="宋体" w:hAnsi="宋体" w:cs="宋体"/>
          <w:color w:val="auto"/>
          <w:highlight w:val="none"/>
        </w:rPr>
        <w:br w:type="page"/>
      </w:r>
      <w:r>
        <w:rPr>
          <w:rFonts w:hint="eastAsia" w:ascii="宋体" w:hAnsi="宋体" w:cs="宋体"/>
          <w:bCs/>
          <w:color w:val="auto"/>
          <w:highlight w:val="none"/>
        </w:rPr>
        <w:t>1.2资格响应文件/商务技术响应文件封面格式</w:t>
      </w:r>
    </w:p>
    <w:p>
      <w:pPr>
        <w:autoSpaceDE w:val="0"/>
        <w:autoSpaceDN w:val="0"/>
        <w:adjustRightInd w:val="0"/>
        <w:rPr>
          <w:rFonts w:ascii="宋体" w:hAnsi="宋体" w:cs="宋体"/>
          <w:b/>
          <w:bCs/>
          <w:color w:val="auto"/>
          <w:highlight w:val="none"/>
        </w:rPr>
      </w:pPr>
    </w:p>
    <w:p>
      <w:pPr>
        <w:autoSpaceDE w:val="0"/>
        <w:autoSpaceDN w:val="0"/>
        <w:adjustRightInd w:val="0"/>
        <w:spacing w:line="360" w:lineRule="auto"/>
        <w:jc w:val="right"/>
        <w:rPr>
          <w:rFonts w:ascii="宋体" w:hAnsi="宋体" w:cs="宋体"/>
          <w:b/>
          <w:color w:val="auto"/>
          <w:sz w:val="28"/>
          <w:szCs w:val="28"/>
          <w:highlight w:val="none"/>
        </w:rPr>
      </w:pPr>
    </w:p>
    <w:p>
      <w:pPr>
        <w:autoSpaceDE w:val="0"/>
        <w:autoSpaceDN w:val="0"/>
        <w:adjustRightInd w:val="0"/>
        <w:spacing w:line="360" w:lineRule="auto"/>
        <w:jc w:val="center"/>
        <w:rPr>
          <w:rFonts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2"/>
          <w:szCs w:val="32"/>
          <w:highlight w:val="none"/>
          <w:lang w:eastAsia="zh-CN"/>
        </w:rPr>
        <w:t>《“三江汇”杭州未来城市实践区控制性规划》项目</w:t>
      </w:r>
    </w:p>
    <w:p>
      <w:pPr>
        <w:autoSpaceDE w:val="0"/>
        <w:autoSpaceDN w:val="0"/>
        <w:adjustRightInd w:val="0"/>
        <w:spacing w:line="360" w:lineRule="auto"/>
        <w:jc w:val="center"/>
        <w:rPr>
          <w:rFonts w:ascii="宋体" w:hAnsi="宋体" w:cs="宋体"/>
          <w:color w:val="auto"/>
          <w:sz w:val="32"/>
          <w:szCs w:val="32"/>
          <w:highlight w:val="none"/>
          <w:u w:val="single"/>
        </w:rPr>
      </w:pPr>
    </w:p>
    <w:p>
      <w:pPr>
        <w:autoSpaceDE w:val="0"/>
        <w:autoSpaceDN w:val="0"/>
        <w:adjustRightInd w:val="0"/>
        <w:spacing w:line="360" w:lineRule="auto"/>
        <w:jc w:val="center"/>
        <w:rPr>
          <w:rFonts w:ascii="宋体" w:hAnsi="宋体" w:cs="宋体"/>
          <w:b/>
          <w:color w:val="auto"/>
          <w:sz w:val="32"/>
          <w:szCs w:val="32"/>
          <w:highlight w:val="none"/>
        </w:rPr>
      </w:pPr>
    </w:p>
    <w:p>
      <w:pPr>
        <w:spacing w:line="360" w:lineRule="auto"/>
        <w:jc w:val="center"/>
        <w:rPr>
          <w:rFonts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pPr>
        <w:autoSpaceDE w:val="0"/>
        <w:autoSpaceDN w:val="0"/>
        <w:adjustRightInd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（资格响应文件）</w:t>
      </w:r>
    </w:p>
    <w:p>
      <w:pPr>
        <w:autoSpaceDE w:val="0"/>
        <w:autoSpaceDN w:val="0"/>
        <w:adjustRightIn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采购编号：ZJ-</w:t>
      </w:r>
      <w:r>
        <w:rPr>
          <w:rFonts w:hint="eastAsia" w:ascii="宋体" w:hAnsi="宋体" w:cs="宋体"/>
          <w:b/>
          <w:color w:val="auto"/>
          <w:sz w:val="32"/>
          <w:szCs w:val="32"/>
          <w:highlight w:val="none"/>
          <w:lang w:eastAsia="zh-CN"/>
        </w:rPr>
        <w:t>2110301</w:t>
      </w:r>
    </w:p>
    <w:p>
      <w:pPr>
        <w:autoSpaceDE w:val="0"/>
        <w:autoSpaceDN w:val="0"/>
        <w:adjustRightInd w:val="0"/>
        <w:spacing w:line="360" w:lineRule="auto"/>
        <w:ind w:firstLine="2891" w:firstLineChars="900"/>
        <w:rPr>
          <w:rFonts w:ascii="宋体" w:hAnsi="宋体" w:cs="宋体"/>
          <w:b/>
          <w:color w:val="auto"/>
          <w:sz w:val="32"/>
          <w:szCs w:val="32"/>
          <w:highlight w:val="none"/>
        </w:rPr>
      </w:pPr>
      <w:r>
        <w:rPr>
          <w:rFonts w:hint="eastAsia" w:ascii="宋体" w:hAnsi="宋体" w:cs="宋体"/>
          <w:b/>
          <w:color w:val="auto"/>
          <w:sz w:val="32"/>
          <w:szCs w:val="32"/>
          <w:highlight w:val="none"/>
        </w:rPr>
        <w:t>标项：</w:t>
      </w: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投标人名称（盖章）：</w:t>
      </w: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 xml:space="preserve">法定代表人或授权代表(签字或盖章)： </w:t>
      </w: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时间：    年   月   日</w:t>
      </w:r>
    </w:p>
    <w:p>
      <w:pPr>
        <w:autoSpaceDE w:val="0"/>
        <w:autoSpaceDN w:val="0"/>
        <w:adjustRightInd w:val="0"/>
        <w:spacing w:line="360" w:lineRule="auto"/>
        <w:rPr>
          <w:rFonts w:ascii="宋体" w:hAnsi="宋体" w:cs="宋体"/>
          <w:color w:val="auto"/>
          <w:highlight w:val="none"/>
        </w:rPr>
      </w:pPr>
    </w:p>
    <w:p>
      <w:pPr>
        <w:rPr>
          <w:rFonts w:ascii="宋体" w:hAnsi="宋体" w:cs="宋体"/>
          <w:color w:val="auto"/>
          <w:highlight w:val="none"/>
        </w:rPr>
      </w:pPr>
      <w:r>
        <w:rPr>
          <w:rFonts w:hint="eastAsia" w:ascii="宋体" w:hAnsi="宋体" w:cs="宋体"/>
          <w:snapToGrid w:val="0"/>
          <w:color w:val="auto"/>
          <w:kern w:val="0"/>
          <w:highlight w:val="none"/>
        </w:rPr>
        <w:br w:type="page"/>
      </w:r>
    </w:p>
    <w:p>
      <w:pPr>
        <w:autoSpaceDE w:val="0"/>
        <w:autoSpaceDN w:val="0"/>
        <w:adjustRightInd w:val="0"/>
        <w:spacing w:line="360" w:lineRule="auto"/>
        <w:jc w:val="center"/>
        <w:rPr>
          <w:rFonts w:hint="eastAsia" w:ascii="宋体" w:hAnsi="宋体" w:cs="宋体"/>
          <w:b/>
          <w:color w:val="auto"/>
          <w:sz w:val="32"/>
          <w:szCs w:val="32"/>
          <w:highlight w:val="none"/>
          <w:lang w:eastAsia="zh-CN"/>
        </w:rPr>
      </w:pPr>
      <w:bookmarkStart w:id="79" w:name="_Toc31523"/>
      <w:bookmarkStart w:id="80" w:name="_Toc15653"/>
      <w:bookmarkStart w:id="81" w:name="_Toc22694"/>
    </w:p>
    <w:p>
      <w:pPr>
        <w:autoSpaceDE w:val="0"/>
        <w:autoSpaceDN w:val="0"/>
        <w:adjustRightInd w:val="0"/>
        <w:spacing w:line="360" w:lineRule="auto"/>
        <w:jc w:val="center"/>
        <w:rPr>
          <w:rFonts w:hint="eastAsia" w:ascii="宋体" w:hAnsi="宋体" w:cs="宋体"/>
          <w:b/>
          <w:color w:val="auto"/>
          <w:sz w:val="32"/>
          <w:szCs w:val="32"/>
          <w:highlight w:val="none"/>
          <w:lang w:eastAsia="zh-CN"/>
        </w:rPr>
      </w:pPr>
    </w:p>
    <w:p>
      <w:pPr>
        <w:autoSpaceDE w:val="0"/>
        <w:autoSpaceDN w:val="0"/>
        <w:adjustRightInd w:val="0"/>
        <w:spacing w:line="360" w:lineRule="auto"/>
        <w:jc w:val="center"/>
        <w:rPr>
          <w:rFonts w:hint="eastAsia" w:ascii="宋体" w:hAnsi="宋体" w:cs="宋体"/>
          <w:b/>
          <w:color w:val="auto"/>
          <w:sz w:val="32"/>
          <w:szCs w:val="32"/>
          <w:highlight w:val="none"/>
          <w:lang w:eastAsia="zh-CN"/>
        </w:rPr>
      </w:pPr>
    </w:p>
    <w:p>
      <w:pPr>
        <w:autoSpaceDE w:val="0"/>
        <w:autoSpaceDN w:val="0"/>
        <w:adjustRightInd w:val="0"/>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2"/>
          <w:szCs w:val="32"/>
          <w:highlight w:val="none"/>
          <w:lang w:eastAsia="zh-CN"/>
        </w:rPr>
        <w:t>《“三江汇”杭州未来城市实践区控制性规划》项目</w:t>
      </w:r>
    </w:p>
    <w:p>
      <w:pPr>
        <w:autoSpaceDE w:val="0"/>
        <w:autoSpaceDN w:val="0"/>
        <w:adjustRightInd w:val="0"/>
        <w:spacing w:line="360" w:lineRule="auto"/>
        <w:jc w:val="center"/>
        <w:rPr>
          <w:rFonts w:ascii="宋体" w:hAnsi="宋体" w:cs="宋体"/>
          <w:color w:val="auto"/>
          <w:sz w:val="32"/>
          <w:szCs w:val="32"/>
          <w:highlight w:val="none"/>
          <w:u w:val="single"/>
        </w:rPr>
      </w:pPr>
    </w:p>
    <w:p>
      <w:pPr>
        <w:autoSpaceDE w:val="0"/>
        <w:autoSpaceDN w:val="0"/>
        <w:adjustRightInd w:val="0"/>
        <w:spacing w:line="360" w:lineRule="auto"/>
        <w:jc w:val="center"/>
        <w:rPr>
          <w:rFonts w:ascii="宋体" w:hAnsi="宋体" w:cs="宋体"/>
          <w:b/>
          <w:color w:val="auto"/>
          <w:sz w:val="32"/>
          <w:szCs w:val="32"/>
          <w:highlight w:val="none"/>
        </w:rPr>
      </w:pPr>
    </w:p>
    <w:p>
      <w:pPr>
        <w:spacing w:line="360" w:lineRule="auto"/>
        <w:jc w:val="center"/>
        <w:rPr>
          <w:rFonts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pPr>
        <w:autoSpaceDE w:val="0"/>
        <w:autoSpaceDN w:val="0"/>
        <w:adjustRightInd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（商务技术响应文件）</w:t>
      </w:r>
    </w:p>
    <w:p>
      <w:pPr>
        <w:autoSpaceDE w:val="0"/>
        <w:autoSpaceDN w:val="0"/>
        <w:adjustRightIn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采购编号：ZJ-</w:t>
      </w:r>
      <w:r>
        <w:rPr>
          <w:rFonts w:hint="eastAsia" w:ascii="宋体" w:hAnsi="宋体" w:cs="宋体"/>
          <w:b/>
          <w:color w:val="auto"/>
          <w:sz w:val="32"/>
          <w:szCs w:val="32"/>
          <w:highlight w:val="none"/>
          <w:lang w:eastAsia="zh-CN"/>
        </w:rPr>
        <w:t>2110301</w:t>
      </w:r>
    </w:p>
    <w:p>
      <w:pPr>
        <w:autoSpaceDE w:val="0"/>
        <w:autoSpaceDN w:val="0"/>
        <w:adjustRightIn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 xml:space="preserve">                  标项：</w:t>
      </w: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投标人名称（盖章）：</w:t>
      </w: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 xml:space="preserve">法定代表人或授权代表(签字或盖章)： </w:t>
      </w: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时间：    年   月   日</w:t>
      </w:r>
    </w:p>
    <w:p>
      <w:pPr>
        <w:autoSpaceDE w:val="0"/>
        <w:autoSpaceDN w:val="0"/>
        <w:adjustRightInd w:val="0"/>
        <w:spacing w:line="360" w:lineRule="auto"/>
        <w:rPr>
          <w:rFonts w:ascii="宋体" w:hAnsi="宋体" w:cs="宋体"/>
          <w:color w:val="auto"/>
          <w:highlight w:val="none"/>
        </w:rPr>
      </w:pPr>
    </w:p>
    <w:p>
      <w:pPr>
        <w:rPr>
          <w:rFonts w:ascii="宋体" w:hAnsi="宋体" w:cs="宋体"/>
          <w:color w:val="auto"/>
          <w:highlight w:val="none"/>
        </w:rPr>
      </w:pPr>
      <w:r>
        <w:rPr>
          <w:rFonts w:hint="eastAsia" w:ascii="宋体" w:hAnsi="宋体" w:cs="宋体"/>
          <w:snapToGrid w:val="0"/>
          <w:color w:val="auto"/>
          <w:kern w:val="0"/>
          <w:highlight w:val="none"/>
        </w:rPr>
        <w:br w:type="page"/>
      </w:r>
    </w:p>
    <w:p>
      <w:pPr>
        <w:rPr>
          <w:rFonts w:ascii="宋体" w:hAnsi="宋体" w:cs="宋体"/>
          <w:b/>
          <w:bCs/>
          <w:color w:val="auto"/>
          <w:sz w:val="24"/>
          <w:highlight w:val="none"/>
        </w:rPr>
      </w:pPr>
    </w:p>
    <w:p>
      <w:pPr>
        <w:autoSpaceDE w:val="0"/>
        <w:autoSpaceDN w:val="0"/>
        <w:adjustRightInd w:val="0"/>
        <w:spacing w:line="360" w:lineRule="auto"/>
        <w:outlineLvl w:val="1"/>
        <w:rPr>
          <w:rFonts w:ascii="宋体" w:hAnsi="宋体" w:cs="宋体"/>
          <w:b/>
          <w:bCs/>
          <w:color w:val="auto"/>
          <w:sz w:val="24"/>
          <w:highlight w:val="none"/>
        </w:rPr>
      </w:pPr>
      <w:r>
        <w:rPr>
          <w:rFonts w:hint="eastAsia" w:ascii="宋体" w:hAnsi="宋体" w:cs="宋体"/>
          <w:b/>
          <w:bCs/>
          <w:color w:val="auto"/>
          <w:sz w:val="24"/>
          <w:highlight w:val="none"/>
        </w:rPr>
        <w:t>二、</w:t>
      </w:r>
      <w:bookmarkEnd w:id="79"/>
      <w:bookmarkEnd w:id="80"/>
      <w:r>
        <w:rPr>
          <w:rFonts w:hint="eastAsia" w:ascii="宋体" w:hAnsi="宋体" w:cs="宋体"/>
          <w:b/>
          <w:bCs/>
          <w:color w:val="auto"/>
          <w:sz w:val="24"/>
          <w:highlight w:val="none"/>
        </w:rPr>
        <w:t>资格响应文件</w:t>
      </w:r>
      <w:bookmarkEnd w:id="81"/>
    </w:p>
    <w:p>
      <w:pPr>
        <w:autoSpaceDE w:val="0"/>
        <w:autoSpaceDN w:val="0"/>
        <w:adjustRightInd w:val="0"/>
        <w:snapToGrid w:val="0"/>
        <w:spacing w:line="360" w:lineRule="auto"/>
        <w:ind w:right="420"/>
        <w:rPr>
          <w:rFonts w:ascii="宋体" w:hAnsi="宋体" w:cs="宋体"/>
          <w:b/>
          <w:snapToGrid w:val="0"/>
          <w:color w:val="auto"/>
          <w:kern w:val="0"/>
          <w:highlight w:val="none"/>
        </w:rPr>
      </w:pPr>
      <w:r>
        <w:rPr>
          <w:rFonts w:hint="eastAsia" w:ascii="宋体" w:hAnsi="宋体" w:cs="宋体"/>
          <w:b/>
          <w:snapToGrid w:val="0"/>
          <w:color w:val="auto"/>
          <w:kern w:val="0"/>
          <w:highlight w:val="none"/>
        </w:rPr>
        <w:t>2.1资格审查需要的资料</w:t>
      </w:r>
    </w:p>
    <w:tbl>
      <w:tblPr>
        <w:tblStyle w:val="43"/>
        <w:tblW w:w="879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35"/>
        <w:gridCol w:w="4338"/>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335" w:type="dxa"/>
            <w:vAlign w:val="center"/>
          </w:tcPr>
          <w:p>
            <w:pPr>
              <w:ind w:left="344" w:leftChars="114" w:hanging="105" w:hangingChars="50"/>
              <w:jc w:val="center"/>
              <w:rPr>
                <w:rFonts w:ascii="宋体" w:hAnsi="宋体" w:cs="宋体"/>
                <w:color w:val="auto"/>
                <w:szCs w:val="21"/>
                <w:highlight w:val="none"/>
              </w:rPr>
            </w:pPr>
            <w:r>
              <w:rPr>
                <w:rFonts w:hint="eastAsia" w:ascii="宋体" w:hAnsi="宋体" w:cs="宋体"/>
                <w:color w:val="auto"/>
                <w:szCs w:val="21"/>
                <w:highlight w:val="none"/>
              </w:rPr>
              <w:t>评审因素</w:t>
            </w:r>
          </w:p>
        </w:tc>
        <w:tc>
          <w:tcPr>
            <w:tcW w:w="4338" w:type="dxa"/>
            <w:vAlign w:val="center"/>
          </w:tcPr>
          <w:p>
            <w:pPr>
              <w:ind w:left="2"/>
              <w:jc w:val="center"/>
              <w:rPr>
                <w:rFonts w:ascii="宋体" w:hAnsi="宋体" w:cs="宋体"/>
                <w:color w:val="auto"/>
                <w:szCs w:val="21"/>
                <w:highlight w:val="none"/>
              </w:rPr>
            </w:pPr>
            <w:r>
              <w:rPr>
                <w:rFonts w:hint="eastAsia" w:ascii="宋体" w:hAnsi="宋体" w:cs="宋体"/>
                <w:color w:val="auto"/>
                <w:szCs w:val="21"/>
                <w:highlight w:val="none"/>
              </w:rPr>
              <w:t>相关证明文件</w:t>
            </w:r>
          </w:p>
        </w:tc>
        <w:tc>
          <w:tcPr>
            <w:tcW w:w="1474" w:type="dxa"/>
            <w:vAlign w:val="center"/>
          </w:tcPr>
          <w:p>
            <w:pPr>
              <w:ind w:left="2"/>
              <w:jc w:val="center"/>
              <w:rPr>
                <w:rFonts w:ascii="宋体" w:hAnsi="宋体" w:cs="宋体"/>
                <w:color w:val="auto"/>
                <w:szCs w:val="21"/>
                <w:highlight w:val="none"/>
              </w:rPr>
            </w:pPr>
            <w:r>
              <w:rPr>
                <w:rFonts w:hint="eastAsia" w:ascii="宋体" w:hAnsi="宋体" w:cs="宋体"/>
                <w:color w:val="auto"/>
                <w:szCs w:val="21"/>
                <w:highlight w:val="none"/>
              </w:rPr>
              <w:t>申请人达到程度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335" w:type="dxa"/>
            <w:vAlign w:val="center"/>
          </w:tcPr>
          <w:p>
            <w:pPr>
              <w:widowControl/>
              <w:adjustRightInd w:val="0"/>
              <w:snapToGrid w:val="0"/>
              <w:jc w:val="left"/>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采购公告第二条要求</w:t>
            </w:r>
          </w:p>
        </w:tc>
        <w:tc>
          <w:tcPr>
            <w:tcW w:w="4338" w:type="dxa"/>
            <w:vAlign w:val="center"/>
          </w:tcPr>
          <w:p>
            <w:pPr>
              <w:tabs>
                <w:tab w:val="left" w:pos="720"/>
              </w:tabs>
              <w:adjustRightInd w:val="0"/>
              <w:snapToGrid w:val="0"/>
              <w:jc w:val="left"/>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采购文件投标须知9.1条规定的相关资料</w:t>
            </w:r>
          </w:p>
        </w:tc>
        <w:tc>
          <w:tcPr>
            <w:tcW w:w="1474" w:type="dxa"/>
            <w:vAlign w:val="center"/>
          </w:tcPr>
          <w:p>
            <w:pPr>
              <w:adjustRightInd w:val="0"/>
              <w:snapToGrid w:val="0"/>
              <w:jc w:val="left"/>
              <w:rPr>
                <w:rFonts w:ascii="宋体" w:hAnsi="宋体" w:cs="宋体"/>
                <w:color w:val="auto"/>
                <w:szCs w:val="21"/>
                <w:highlight w:val="none"/>
              </w:rPr>
            </w:pPr>
          </w:p>
        </w:tc>
      </w:tr>
    </w:tbl>
    <w:p>
      <w:pPr>
        <w:tabs>
          <w:tab w:val="left" w:pos="735"/>
        </w:tabs>
        <w:adjustRightInd w:val="0"/>
        <w:snapToGrid w:val="0"/>
        <w:spacing w:line="360" w:lineRule="auto"/>
        <w:rPr>
          <w:rFonts w:ascii="宋体" w:hAnsi="宋体" w:cs="宋体"/>
          <w:b/>
          <w:color w:val="auto"/>
          <w:szCs w:val="21"/>
          <w:highlight w:val="none"/>
        </w:rPr>
      </w:pPr>
      <w:r>
        <w:rPr>
          <w:rFonts w:hint="eastAsia" w:ascii="宋体" w:hAnsi="宋体" w:cs="宋体"/>
          <w:b/>
          <w:snapToGrid w:val="0"/>
          <w:color w:val="auto"/>
          <w:kern w:val="0"/>
          <w:szCs w:val="21"/>
          <w:highlight w:val="none"/>
        </w:rPr>
        <w:t>注：证明材料附后。</w:t>
      </w:r>
    </w:p>
    <w:p>
      <w:pPr>
        <w:pStyle w:val="38"/>
        <w:tabs>
          <w:tab w:val="left" w:pos="630"/>
          <w:tab w:val="left" w:pos="840"/>
          <w:tab w:val="left" w:pos="1050"/>
        </w:tabs>
        <w:adjustRightInd w:val="0"/>
        <w:snapToGrid w:val="0"/>
        <w:spacing w:before="0" w:beforeAutospacing="0" w:after="0" w:afterAutospacing="0" w:line="360" w:lineRule="auto"/>
        <w:rPr>
          <w:rFonts w:hint="eastAsia" w:ascii="宋体" w:hAnsi="宋体" w:cs="宋体"/>
          <w:b/>
          <w:bCs/>
          <w:color w:val="auto"/>
          <w:sz w:val="21"/>
          <w:szCs w:val="21"/>
          <w:highlight w:val="none"/>
        </w:rPr>
      </w:pPr>
      <w:r>
        <w:rPr>
          <w:rFonts w:hint="eastAsia" w:ascii="宋体" w:hAnsi="宋体" w:cs="宋体"/>
          <w:color w:val="auto"/>
          <w:highlight w:val="none"/>
        </w:rPr>
        <w:br w:type="page"/>
      </w:r>
      <w:r>
        <w:rPr>
          <w:rFonts w:hint="eastAsia" w:ascii="宋体" w:hAnsi="宋体" w:cs="宋体"/>
          <w:b/>
          <w:color w:val="auto"/>
          <w:sz w:val="21"/>
          <w:szCs w:val="21"/>
          <w:highlight w:val="none"/>
          <w:lang w:val="en-US" w:eastAsia="zh-CN"/>
        </w:rPr>
        <w:t>2</w:t>
      </w:r>
      <w:r>
        <w:rPr>
          <w:rFonts w:hint="eastAsia" w:ascii="宋体" w:hAnsi="宋体" w:cs="宋体"/>
          <w:b/>
          <w:color w:val="auto"/>
          <w:sz w:val="21"/>
          <w:szCs w:val="21"/>
          <w:highlight w:val="none"/>
        </w:rPr>
        <w:t>.2基本资格条件相关证明材料</w:t>
      </w:r>
    </w:p>
    <w:p>
      <w:pPr>
        <w:pStyle w:val="38"/>
        <w:numPr>
          <w:ilvl w:val="0"/>
          <w:numId w:val="15"/>
        </w:numPr>
        <w:tabs>
          <w:tab w:val="left" w:pos="630"/>
          <w:tab w:val="left" w:pos="840"/>
          <w:tab w:val="left" w:pos="1050"/>
        </w:tabs>
        <w:adjustRightInd w:val="0"/>
        <w:snapToGrid w:val="0"/>
        <w:spacing w:before="0" w:beforeAutospacing="0" w:after="0" w:afterAutospacing="0" w:line="360" w:lineRule="auto"/>
        <w:ind w:hanging="5"/>
        <w:rPr>
          <w:rFonts w:hint="eastAsia" w:ascii="宋体" w:hAnsi="宋体" w:cs="宋体"/>
          <w:b/>
          <w:bCs/>
          <w:color w:val="auto"/>
          <w:sz w:val="21"/>
          <w:szCs w:val="21"/>
          <w:highlight w:val="none"/>
        </w:rPr>
      </w:pPr>
      <w:r>
        <w:rPr>
          <w:rFonts w:hint="eastAsia" w:ascii="宋体" w:hAnsi="宋体" w:eastAsia="宋体" w:cs="宋体"/>
          <w:b/>
          <w:bCs/>
          <w:color w:val="auto"/>
          <w:sz w:val="21"/>
          <w:szCs w:val="21"/>
          <w:highlight w:val="none"/>
          <w:lang w:eastAsia="zh-CN"/>
        </w:rPr>
        <w:t>具有独立承担民事责任能力的证明材料：</w:t>
      </w:r>
    </w:p>
    <w:p>
      <w:pPr>
        <w:pStyle w:val="38"/>
        <w:tabs>
          <w:tab w:val="left" w:pos="630"/>
          <w:tab w:val="left" w:pos="840"/>
          <w:tab w:val="left" w:pos="1050"/>
        </w:tabs>
        <w:adjustRightInd w:val="0"/>
        <w:snapToGrid w:val="0"/>
        <w:spacing w:before="0" w:beforeAutospacing="0" w:after="0" w:afterAutospacing="0" w:line="360" w:lineRule="auto"/>
        <w:ind w:left="42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投标人须在投标文件中出具符合以下情况的证明材料复印件（五选一）：</w:t>
      </w:r>
    </w:p>
    <w:p>
      <w:pPr>
        <w:pStyle w:val="38"/>
        <w:numPr>
          <w:ilvl w:val="0"/>
          <w:numId w:val="16"/>
        </w:numPr>
        <w:tabs>
          <w:tab w:val="left" w:pos="312"/>
        </w:tabs>
        <w:adjustRightInd w:val="0"/>
        <w:snapToGrid w:val="0"/>
        <w:spacing w:before="0" w:beforeAutospacing="0" w:after="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如投标人是企业（包括合伙企业），提供在工商部门注册的有效“企业法人营业执照”或“营业执照”；</w:t>
      </w:r>
    </w:p>
    <w:p>
      <w:pPr>
        <w:pStyle w:val="38"/>
        <w:numPr>
          <w:ilvl w:val="0"/>
          <w:numId w:val="16"/>
        </w:numPr>
        <w:tabs>
          <w:tab w:val="left" w:pos="312"/>
        </w:tabs>
        <w:adjustRightInd w:val="0"/>
        <w:snapToGrid w:val="0"/>
        <w:spacing w:before="0" w:beforeAutospacing="0" w:after="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如投标人是事业单位，提供有效的“事业单位法人证书”；</w:t>
      </w:r>
    </w:p>
    <w:p>
      <w:pPr>
        <w:pStyle w:val="38"/>
        <w:numPr>
          <w:ilvl w:val="0"/>
          <w:numId w:val="16"/>
        </w:numPr>
        <w:tabs>
          <w:tab w:val="left" w:pos="312"/>
        </w:tabs>
        <w:adjustRightInd w:val="0"/>
        <w:snapToGrid w:val="0"/>
        <w:spacing w:before="0" w:beforeAutospacing="0" w:after="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如投标人是非企业专业服务机构的，提供执业许可证等证明文件；</w:t>
      </w:r>
    </w:p>
    <w:p>
      <w:pPr>
        <w:pStyle w:val="38"/>
        <w:numPr>
          <w:ilvl w:val="0"/>
          <w:numId w:val="16"/>
        </w:numPr>
        <w:tabs>
          <w:tab w:val="left" w:pos="312"/>
        </w:tabs>
        <w:adjustRightInd w:val="0"/>
        <w:snapToGrid w:val="0"/>
        <w:spacing w:before="0" w:beforeAutospacing="0" w:after="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如投标人是个体工商户，提供有效的“个体工商户营业执照”；</w:t>
      </w:r>
    </w:p>
    <w:p>
      <w:pPr>
        <w:pStyle w:val="38"/>
        <w:numPr>
          <w:ilvl w:val="0"/>
          <w:numId w:val="16"/>
        </w:numPr>
        <w:tabs>
          <w:tab w:val="left" w:pos="312"/>
        </w:tabs>
        <w:adjustRightInd w:val="0"/>
        <w:snapToGrid w:val="0"/>
        <w:spacing w:before="0" w:beforeAutospacing="0" w:after="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如投标人是自然人，提供有效的自然人身份证明（居民身份证正反面或公安机关出具的临时居民身份证正反面或港澳台胞证或护照）。</w:t>
      </w:r>
    </w:p>
    <w:p>
      <w:pPr>
        <w:pStyle w:val="38"/>
        <w:tabs>
          <w:tab w:val="left" w:pos="312"/>
        </w:tabs>
        <w:adjustRightInd w:val="0"/>
        <w:snapToGrid w:val="0"/>
        <w:spacing w:before="0" w:beforeAutospacing="0" w:after="0" w:afterAutospacing="0" w:line="360" w:lineRule="auto"/>
        <w:ind w:left="420" w:left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br w:type="page"/>
      </w:r>
    </w:p>
    <w:p>
      <w:pPr>
        <w:pStyle w:val="38"/>
        <w:numPr>
          <w:ilvl w:val="0"/>
          <w:numId w:val="15"/>
        </w:numPr>
        <w:tabs>
          <w:tab w:val="left" w:pos="630"/>
          <w:tab w:val="left" w:pos="840"/>
          <w:tab w:val="left" w:pos="1050"/>
        </w:tabs>
        <w:adjustRightInd w:val="0"/>
        <w:snapToGrid w:val="0"/>
        <w:spacing w:before="0" w:beforeAutospacing="0" w:after="0" w:afterAutospacing="0" w:line="360" w:lineRule="auto"/>
        <w:ind w:hanging="5"/>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符合参与政府采购活动资格条件的承诺函：</w:t>
      </w:r>
    </w:p>
    <w:p>
      <w:pPr>
        <w:pStyle w:val="38"/>
        <w:numPr>
          <w:ilvl w:val="0"/>
          <w:numId w:val="0"/>
        </w:numPr>
        <w:adjustRightInd w:val="0"/>
        <w:snapToGrid w:val="0"/>
        <w:spacing w:before="0" w:beforeAutospacing="0" w:after="0" w:afterAutospacing="0" w:line="360" w:lineRule="auto"/>
        <w:ind w:leftChars="200"/>
        <w:rPr>
          <w:rFonts w:hint="eastAsia" w:ascii="宋体" w:hAnsi="宋体" w:cs="宋体"/>
          <w:b/>
          <w:bCs/>
          <w:color w:val="auto"/>
          <w:sz w:val="21"/>
          <w:szCs w:val="21"/>
          <w:highlight w:val="none"/>
        </w:rPr>
      </w:pPr>
    </w:p>
    <w:p>
      <w:pPr>
        <w:pStyle w:val="38"/>
        <w:adjustRightInd w:val="0"/>
        <w:snapToGrid w:val="0"/>
        <w:spacing w:before="0" w:beforeAutospacing="0" w:after="0" w:afterAutospacing="0" w:line="360" w:lineRule="auto"/>
        <w:ind w:left="0" w:leftChars="0" w:firstLine="0" w:firstLineChars="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承诺函</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cs="宋体"/>
          <w:color w:val="auto"/>
          <w:szCs w:val="21"/>
          <w:highlight w:val="none"/>
          <w:u w:val="single"/>
        </w:rPr>
      </w:pP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cs="宋体"/>
          <w:b w:val="0"/>
          <w:bCs w:val="0"/>
          <w:color w:val="auto"/>
          <w:szCs w:val="21"/>
          <w:highlight w:val="none"/>
          <w:u w:val="single"/>
        </w:rPr>
      </w:pPr>
      <w:r>
        <w:rPr>
          <w:rFonts w:hint="eastAsia" w:ascii="宋体" w:hAnsi="宋体" w:cs="宋体"/>
          <w:b w:val="0"/>
          <w:bCs w:val="0"/>
          <w:color w:val="auto"/>
          <w:szCs w:val="21"/>
          <w:highlight w:val="none"/>
          <w:u w:val="single"/>
        </w:rPr>
        <w:t>（采购人）：</w:t>
      </w:r>
    </w:p>
    <w:p>
      <w:pPr>
        <w:pStyle w:val="38"/>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843" w:firstLineChars="400"/>
        <w:textAlignment w:val="auto"/>
        <w:rPr>
          <w:rFonts w:hint="eastAsia" w:ascii="宋体" w:hAnsi="宋体" w:eastAsia="宋体" w:cs="宋体"/>
          <w:b/>
          <w:bCs/>
          <w:color w:val="auto"/>
          <w:sz w:val="21"/>
          <w:szCs w:val="21"/>
          <w:highlight w:val="none"/>
          <w:lang w:eastAsia="zh-CN"/>
        </w:rPr>
      </w:pPr>
    </w:p>
    <w:p>
      <w:pPr>
        <w:pStyle w:val="38"/>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2" w:firstLineChars="200"/>
        <w:textAlignment w:val="auto"/>
        <w:rPr>
          <w:rFonts w:hint="eastAsia" w:ascii="宋体" w:hAnsi="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lang w:eastAsia="zh-CN"/>
        </w:rPr>
        <w:t>我方</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i/>
          <w:iCs/>
          <w:color w:val="auto"/>
          <w:sz w:val="21"/>
          <w:szCs w:val="21"/>
          <w:highlight w:val="none"/>
          <w:u w:val="single"/>
          <w:lang w:val="en-US" w:eastAsia="zh-CN"/>
        </w:rPr>
        <w:t>（投标人全称）</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none"/>
          <w:lang w:val="en-US" w:eastAsia="zh-CN"/>
        </w:rPr>
        <w:t>参与</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i/>
          <w:iCs/>
          <w:color w:val="auto"/>
          <w:sz w:val="21"/>
          <w:szCs w:val="21"/>
          <w:highlight w:val="none"/>
          <w:u w:val="single"/>
          <w:lang w:val="en-US" w:eastAsia="zh-CN"/>
        </w:rPr>
        <w:t xml:space="preserve">  （项目名称）</w:t>
      </w:r>
      <w:r>
        <w:rPr>
          <w:rFonts w:hint="eastAsia" w:ascii="宋体" w:hAnsi="宋体" w:cs="宋体"/>
          <w:b/>
          <w:bCs/>
          <w:i/>
          <w:i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政府采购活动，</w:t>
      </w:r>
      <w:r>
        <w:rPr>
          <w:rFonts w:hint="eastAsia" w:ascii="宋体" w:hAnsi="宋体" w:cs="宋体"/>
          <w:b/>
          <w:bCs/>
          <w:color w:val="auto"/>
          <w:sz w:val="21"/>
          <w:szCs w:val="21"/>
          <w:highlight w:val="none"/>
          <w:u w:val="none"/>
          <w:lang w:val="en-US" w:eastAsia="zh-CN"/>
        </w:rPr>
        <w:t>针对《中华人民共和国政府采购法》第二十二条所述条件做如下承诺：</w:t>
      </w:r>
    </w:p>
    <w:p>
      <w:pPr>
        <w:pStyle w:val="38"/>
        <w:keepNext w:val="0"/>
        <w:keepLines w:val="0"/>
        <w:pageBreakBefore w:val="0"/>
        <w:numPr>
          <w:ilvl w:val="0"/>
          <w:numId w:val="17"/>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2" w:firstLineChars="200"/>
        <w:textAlignment w:val="auto"/>
        <w:rPr>
          <w:rFonts w:hint="eastAsia" w:ascii="宋体" w:hAnsi="宋体" w:cs="宋体"/>
          <w:b/>
          <w:bCs/>
          <w:color w:val="auto"/>
          <w:sz w:val="21"/>
          <w:szCs w:val="21"/>
          <w:highlight w:val="none"/>
          <w:u w:val="none"/>
          <w:lang w:eastAsia="zh-CN"/>
        </w:rPr>
      </w:pPr>
      <w:r>
        <w:rPr>
          <w:rFonts w:hint="eastAsia" w:ascii="宋体" w:hAnsi="宋体" w:cs="宋体"/>
          <w:b/>
          <w:bCs/>
          <w:color w:val="auto"/>
          <w:sz w:val="21"/>
          <w:szCs w:val="21"/>
          <w:highlight w:val="none"/>
          <w:lang w:val="en-US" w:eastAsia="zh-CN"/>
        </w:rPr>
        <w:t>我方</w:t>
      </w:r>
      <w:r>
        <w:rPr>
          <w:rFonts w:hint="eastAsia" w:ascii="宋体" w:hAnsi="宋体" w:eastAsia="宋体" w:cs="宋体"/>
          <w:b/>
          <w:bCs/>
          <w:color w:val="auto"/>
          <w:sz w:val="21"/>
          <w:szCs w:val="21"/>
          <w:highlight w:val="none"/>
          <w:lang w:eastAsia="zh-CN"/>
        </w:rPr>
        <w:t>具有</w:t>
      </w:r>
      <w:r>
        <w:rPr>
          <w:rFonts w:hint="eastAsia" w:ascii="宋体" w:hAnsi="宋体" w:cs="宋体"/>
          <w:b/>
          <w:bCs/>
          <w:color w:val="auto"/>
          <w:sz w:val="21"/>
          <w:szCs w:val="21"/>
          <w:highlight w:val="none"/>
          <w:lang w:eastAsia="zh-CN"/>
        </w:rPr>
        <w:t>良好的商业信誉和</w:t>
      </w:r>
      <w:r>
        <w:rPr>
          <w:rFonts w:hint="eastAsia" w:ascii="宋体" w:hAnsi="宋体" w:eastAsia="宋体" w:cs="宋体"/>
          <w:b/>
          <w:bCs/>
          <w:color w:val="auto"/>
          <w:sz w:val="21"/>
          <w:szCs w:val="21"/>
          <w:highlight w:val="none"/>
          <w:u w:val="none"/>
          <w:lang w:eastAsia="zh-CN"/>
        </w:rPr>
        <w:t>健全的财务会计制度</w:t>
      </w:r>
      <w:r>
        <w:rPr>
          <w:rFonts w:hint="eastAsia" w:ascii="宋体" w:hAnsi="宋体" w:cs="宋体"/>
          <w:b/>
          <w:bCs/>
          <w:color w:val="auto"/>
          <w:sz w:val="21"/>
          <w:szCs w:val="21"/>
          <w:highlight w:val="none"/>
          <w:u w:val="none"/>
          <w:lang w:eastAsia="zh-CN"/>
        </w:rPr>
        <w:t>；</w:t>
      </w:r>
    </w:p>
    <w:p>
      <w:pPr>
        <w:pStyle w:val="38"/>
        <w:keepNext w:val="0"/>
        <w:keepLines w:val="0"/>
        <w:pageBreakBefore w:val="0"/>
        <w:numPr>
          <w:ilvl w:val="0"/>
          <w:numId w:val="17"/>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我方</w:t>
      </w:r>
      <w:r>
        <w:rPr>
          <w:rFonts w:hint="eastAsia" w:ascii="宋体" w:hAnsi="宋体" w:eastAsia="宋体" w:cs="宋体"/>
          <w:b/>
          <w:bCs/>
          <w:color w:val="auto"/>
          <w:sz w:val="21"/>
          <w:szCs w:val="21"/>
          <w:highlight w:val="none"/>
          <w:lang w:eastAsia="zh-CN"/>
        </w:rPr>
        <w:t>具有履行</w:t>
      </w:r>
      <w:r>
        <w:rPr>
          <w:rFonts w:hint="eastAsia" w:ascii="宋体" w:hAnsi="宋体" w:cs="宋体"/>
          <w:b/>
          <w:bCs/>
          <w:color w:val="auto"/>
          <w:sz w:val="21"/>
          <w:szCs w:val="21"/>
          <w:highlight w:val="none"/>
          <w:lang w:eastAsia="zh-CN"/>
        </w:rPr>
        <w:t>本项目</w:t>
      </w:r>
      <w:r>
        <w:rPr>
          <w:rFonts w:hint="eastAsia" w:ascii="宋体" w:hAnsi="宋体" w:eastAsia="宋体" w:cs="宋体"/>
          <w:b/>
          <w:bCs/>
          <w:color w:val="auto"/>
          <w:sz w:val="21"/>
          <w:szCs w:val="21"/>
          <w:highlight w:val="none"/>
          <w:lang w:eastAsia="zh-CN"/>
        </w:rPr>
        <w:t>合同所必需的设备和专业技术能力</w:t>
      </w:r>
      <w:r>
        <w:rPr>
          <w:rFonts w:hint="eastAsia" w:ascii="宋体" w:hAnsi="宋体" w:cs="宋体"/>
          <w:b/>
          <w:bCs/>
          <w:color w:val="auto"/>
          <w:sz w:val="21"/>
          <w:szCs w:val="21"/>
          <w:highlight w:val="none"/>
          <w:lang w:eastAsia="zh-CN"/>
        </w:rPr>
        <w:t>；</w:t>
      </w:r>
    </w:p>
    <w:p>
      <w:pPr>
        <w:pStyle w:val="38"/>
        <w:keepNext w:val="0"/>
        <w:keepLines w:val="0"/>
        <w:pageBreakBefore w:val="0"/>
        <w:numPr>
          <w:ilvl w:val="0"/>
          <w:numId w:val="17"/>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u w:val="none"/>
          <w:lang w:eastAsia="zh-CN"/>
        </w:rPr>
        <w:t>我方</w:t>
      </w:r>
      <w:r>
        <w:rPr>
          <w:rFonts w:hint="eastAsia" w:ascii="宋体" w:hAnsi="宋体" w:eastAsia="宋体" w:cs="宋体"/>
          <w:b/>
          <w:bCs/>
          <w:color w:val="auto"/>
          <w:sz w:val="21"/>
          <w:szCs w:val="21"/>
          <w:highlight w:val="none"/>
          <w:u w:val="none"/>
          <w:lang w:eastAsia="zh-CN"/>
        </w:rPr>
        <w:t>没有缴纳税收和社会保障等方面的失信记录</w:t>
      </w:r>
      <w:r>
        <w:rPr>
          <w:rFonts w:hint="eastAsia" w:ascii="宋体" w:hAnsi="宋体" w:cs="宋体"/>
          <w:b/>
          <w:bCs/>
          <w:color w:val="auto"/>
          <w:sz w:val="21"/>
          <w:szCs w:val="21"/>
          <w:highlight w:val="none"/>
          <w:u w:val="none"/>
          <w:lang w:eastAsia="zh-CN"/>
        </w:rPr>
        <w:t>；</w:t>
      </w:r>
    </w:p>
    <w:p>
      <w:pPr>
        <w:pStyle w:val="38"/>
        <w:keepNext w:val="0"/>
        <w:keepLines w:val="0"/>
        <w:pageBreakBefore w:val="0"/>
        <w:numPr>
          <w:ilvl w:val="0"/>
          <w:numId w:val="17"/>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38"/>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2" w:firstLineChars="200"/>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我方对上述承诺内容的真实性负责。如有虚假，将依法承担相应责任。</w:t>
      </w:r>
    </w:p>
    <w:p>
      <w:pPr>
        <w:pStyle w:val="38"/>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2" w:firstLineChars="200"/>
        <w:textAlignment w:val="auto"/>
        <w:rPr>
          <w:rFonts w:hint="eastAsia" w:ascii="宋体" w:hAnsi="宋体" w:eastAsia="宋体" w:cs="宋体"/>
          <w:b/>
          <w:bCs/>
          <w:color w:val="auto"/>
          <w:sz w:val="21"/>
          <w:szCs w:val="21"/>
          <w:highlight w:val="none"/>
          <w:u w:val="none"/>
          <w:lang w:val="en-US" w:eastAsia="zh-CN"/>
        </w:rPr>
      </w:pPr>
    </w:p>
    <w:p>
      <w:pPr>
        <w:pStyle w:val="38"/>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2" w:firstLineChars="200"/>
        <w:textAlignment w:val="auto"/>
        <w:rPr>
          <w:rFonts w:hint="eastAsia" w:ascii="宋体" w:hAnsi="宋体" w:eastAsia="宋体" w:cs="宋体"/>
          <w:b/>
          <w:bCs/>
          <w:color w:val="auto"/>
          <w:sz w:val="21"/>
          <w:szCs w:val="21"/>
          <w:highlight w:val="none"/>
          <w:u w:val="none"/>
          <w:lang w:val="en-US" w:eastAsia="zh-CN"/>
        </w:rPr>
      </w:pPr>
    </w:p>
    <w:p>
      <w:pPr>
        <w:pStyle w:val="38"/>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供应商名称（盖章） ： </w:t>
      </w:r>
    </w:p>
    <w:p>
      <w:pPr>
        <w:pStyle w:val="38"/>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法定代表人或授权代表（签字或盖章）</w:t>
      </w:r>
    </w:p>
    <w:p>
      <w:pPr>
        <w:pStyle w:val="38"/>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日期：  年  月  日    </w:t>
      </w:r>
    </w:p>
    <w:p>
      <w:pPr>
        <w:snapToGrid w:val="0"/>
        <w:spacing w:line="360" w:lineRule="auto"/>
        <w:rPr>
          <w:rFonts w:ascii="宋体" w:hAnsi="宋体" w:cs="宋体"/>
          <w:color w:val="auto"/>
          <w:spacing w:val="20"/>
          <w:highlight w:val="none"/>
        </w:rPr>
      </w:pPr>
    </w:p>
    <w:p>
      <w:pPr>
        <w:rPr>
          <w:color w:val="auto"/>
          <w:highlight w:val="none"/>
        </w:rPr>
      </w:pPr>
      <w:bookmarkStart w:id="82" w:name="_Toc3961"/>
      <w:bookmarkStart w:id="83" w:name="_Toc8909"/>
      <w:r>
        <w:rPr>
          <w:color w:val="auto"/>
          <w:highlight w:val="none"/>
        </w:rPr>
        <w:br w:type="page"/>
      </w:r>
    </w:p>
    <w:p>
      <w:pPr>
        <w:pStyle w:val="38"/>
        <w:adjustRightInd w:val="0"/>
        <w:snapToGrid w:val="0"/>
        <w:spacing w:before="0" w:beforeAutospacing="0" w:after="0" w:afterAutospacing="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（2）特定资格条件：</w:t>
      </w:r>
      <w:r>
        <w:rPr>
          <w:rFonts w:ascii="宋体" w:hAnsi="宋体" w:cs="宋体"/>
          <w:b/>
          <w:bCs/>
          <w:color w:val="auto"/>
          <w:sz w:val="21"/>
          <w:szCs w:val="21"/>
          <w:highlight w:val="none"/>
        </w:rPr>
        <w:t>具有城乡规划编制单位甲级资质且业务范围符合《城乡规划编制单位资质管理规定》的要求</w:t>
      </w:r>
    </w:p>
    <w:p>
      <w:pPr>
        <w:pStyle w:val="38"/>
        <w:adjustRightInd w:val="0"/>
        <w:snapToGrid w:val="0"/>
        <w:spacing w:before="0" w:beforeAutospacing="0" w:after="0" w:afterAutospacing="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投标人须在投标文件中出具符合以下情况的证明材料的扫描件:</w:t>
      </w:r>
      <w:r>
        <w:rPr>
          <w:rFonts w:ascii="宋体" w:hAnsi="宋体" w:cs="宋体"/>
          <w:b/>
          <w:bCs/>
          <w:color w:val="auto"/>
          <w:sz w:val="21"/>
          <w:szCs w:val="21"/>
          <w:highlight w:val="none"/>
        </w:rPr>
        <w:t>城乡规划编制单位甲级资质</w:t>
      </w:r>
      <w:r>
        <w:rPr>
          <w:rFonts w:hint="eastAsia" w:ascii="宋体" w:hAnsi="宋体" w:cs="宋体"/>
          <w:b/>
          <w:bCs/>
          <w:color w:val="auto"/>
          <w:sz w:val="21"/>
          <w:szCs w:val="21"/>
          <w:highlight w:val="none"/>
        </w:rPr>
        <w:t>证书。</w:t>
      </w:r>
    </w:p>
    <w:p>
      <w:pPr>
        <w:pStyle w:val="2"/>
        <w:rPr>
          <w:color w:val="auto"/>
          <w:highlight w:val="none"/>
        </w:rPr>
      </w:pPr>
    </w:p>
    <w:p>
      <w:pPr>
        <w:pStyle w:val="18"/>
        <w:rPr>
          <w:color w:val="auto"/>
          <w:highlight w:val="none"/>
        </w:rPr>
      </w:pPr>
    </w:p>
    <w:p>
      <w:pPr>
        <w:adjustRightInd w:val="0"/>
        <w:snapToGrid w:val="0"/>
        <w:spacing w:before="0" w:beforeAutospacing="0" w:after="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pStyle w:val="38"/>
        <w:tabs>
          <w:tab w:val="left" w:pos="630"/>
          <w:tab w:val="left" w:pos="840"/>
          <w:tab w:val="left" w:pos="1050"/>
        </w:tabs>
        <w:adjustRightInd w:val="0"/>
        <w:snapToGrid w:val="0"/>
        <w:spacing w:before="0" w:beforeAutospacing="0" w:after="0" w:afterAutospacing="0" w:line="360" w:lineRule="auto"/>
        <w:rPr>
          <w:rFonts w:ascii="宋体" w:hAnsi="宋体" w:cs="宋体"/>
          <w:color w:val="auto"/>
          <w:sz w:val="24"/>
          <w:szCs w:val="24"/>
          <w:highlight w:val="none"/>
        </w:rPr>
      </w:pPr>
      <w:r>
        <w:rPr>
          <w:rFonts w:hint="eastAsia" w:ascii="宋体" w:hAnsi="宋体" w:cs="宋体"/>
          <w:color w:val="auto"/>
          <w:sz w:val="24"/>
          <w:szCs w:val="24"/>
          <w:highlight w:val="none"/>
        </w:rPr>
        <w:t>三、商务技术响应文件部分格式</w:t>
      </w:r>
      <w:bookmarkEnd w:id="82"/>
      <w:bookmarkEnd w:id="83"/>
    </w:p>
    <w:p>
      <w:pPr>
        <w:autoSpaceDE w:val="0"/>
        <w:autoSpaceDN w:val="0"/>
        <w:adjustRightInd w:val="0"/>
        <w:spacing w:line="360" w:lineRule="auto"/>
        <w:rPr>
          <w:rFonts w:ascii="宋体" w:hAnsi="宋体" w:cs="宋体"/>
          <w:b/>
          <w:color w:val="auto"/>
          <w:szCs w:val="21"/>
          <w:highlight w:val="none"/>
        </w:rPr>
      </w:pPr>
      <w:r>
        <w:rPr>
          <w:rFonts w:hint="eastAsia" w:ascii="宋体" w:hAnsi="宋体" w:cs="宋体"/>
          <w:b/>
          <w:color w:val="auto"/>
          <w:szCs w:val="21"/>
          <w:highlight w:val="none"/>
        </w:rPr>
        <w:t>（顺序不做强制；未提供各式的，可自行提供）</w:t>
      </w:r>
    </w:p>
    <w:p>
      <w:pPr>
        <w:autoSpaceDE w:val="0"/>
        <w:autoSpaceDN w:val="0"/>
        <w:adjustRightInd w:val="0"/>
        <w:spacing w:line="360" w:lineRule="auto"/>
        <w:rPr>
          <w:rFonts w:ascii="宋体" w:hAnsi="宋体" w:cs="宋体"/>
          <w:b/>
          <w:color w:val="auto"/>
          <w:szCs w:val="21"/>
          <w:highlight w:val="none"/>
        </w:rPr>
      </w:pPr>
      <w:r>
        <w:rPr>
          <w:rFonts w:hint="eastAsia" w:ascii="宋体" w:hAnsi="宋体" w:cs="宋体"/>
          <w:b/>
          <w:color w:val="auto"/>
          <w:szCs w:val="21"/>
          <w:highlight w:val="none"/>
        </w:rPr>
        <w:t>3.1评分索引表；</w:t>
      </w:r>
    </w:p>
    <w:p>
      <w:pPr>
        <w:pStyle w:val="23"/>
        <w:snapToGrid w:val="0"/>
        <w:spacing w:line="360" w:lineRule="auto"/>
        <w:jc w:val="center"/>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评分索引表</w:t>
      </w:r>
    </w:p>
    <w:tbl>
      <w:tblPr>
        <w:tblStyle w:val="43"/>
        <w:tblW w:w="90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5033"/>
        <w:gridCol w:w="1134"/>
        <w:gridCol w:w="1082"/>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序号</w:t>
            </w:r>
          </w:p>
        </w:tc>
        <w:tc>
          <w:tcPr>
            <w:tcW w:w="5033" w:type="dxa"/>
            <w:vAlign w:val="center"/>
          </w:tcPr>
          <w:p>
            <w:pPr>
              <w:adjustRightInd w:val="0"/>
              <w:snapToGrid w:val="0"/>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评分细则内容</w:t>
            </w:r>
          </w:p>
        </w:tc>
        <w:tc>
          <w:tcPr>
            <w:tcW w:w="1134" w:type="dxa"/>
            <w:vAlign w:val="center"/>
          </w:tcPr>
          <w:p>
            <w:pPr>
              <w:adjustRightInd w:val="0"/>
              <w:snapToGrid w:val="0"/>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投标响应情况</w:t>
            </w:r>
          </w:p>
        </w:tc>
        <w:tc>
          <w:tcPr>
            <w:tcW w:w="1082" w:type="dxa"/>
            <w:vAlign w:val="center"/>
          </w:tcPr>
          <w:p>
            <w:pPr>
              <w:adjustRightInd w:val="0"/>
              <w:snapToGrid w:val="0"/>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证明材料所在页码</w:t>
            </w:r>
          </w:p>
        </w:tc>
        <w:tc>
          <w:tcPr>
            <w:tcW w:w="1044" w:type="dxa"/>
            <w:vAlign w:val="center"/>
          </w:tcPr>
          <w:p>
            <w:pPr>
              <w:adjustRightInd w:val="0"/>
              <w:snapToGrid w:val="0"/>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color w:val="auto"/>
                <w:kern w:val="0"/>
                <w:szCs w:val="21"/>
                <w:highlight w:val="none"/>
              </w:rPr>
            </w:pPr>
          </w:p>
        </w:tc>
        <w:tc>
          <w:tcPr>
            <w:tcW w:w="5033" w:type="dxa"/>
            <w:vAlign w:val="center"/>
          </w:tcPr>
          <w:p>
            <w:pPr>
              <w:adjustRightInd w:val="0"/>
              <w:snapToGrid w:val="0"/>
              <w:rPr>
                <w:rFonts w:ascii="宋体" w:hAnsi="宋体" w:cs="宋体"/>
                <w:snapToGrid w:val="0"/>
                <w:color w:val="auto"/>
                <w:kern w:val="0"/>
                <w:szCs w:val="21"/>
                <w:highlight w:val="none"/>
              </w:rPr>
            </w:pPr>
          </w:p>
        </w:tc>
        <w:tc>
          <w:tcPr>
            <w:tcW w:w="1134" w:type="dxa"/>
            <w:vAlign w:val="center"/>
          </w:tcPr>
          <w:p>
            <w:pPr>
              <w:adjustRightInd w:val="0"/>
              <w:snapToGrid w:val="0"/>
              <w:jc w:val="center"/>
              <w:rPr>
                <w:rFonts w:ascii="宋体" w:hAnsi="宋体" w:cs="宋体"/>
                <w:b/>
                <w:snapToGrid w:val="0"/>
                <w:color w:val="auto"/>
                <w:kern w:val="0"/>
                <w:szCs w:val="21"/>
                <w:highlight w:val="none"/>
              </w:rPr>
            </w:pPr>
          </w:p>
        </w:tc>
        <w:tc>
          <w:tcPr>
            <w:tcW w:w="1082" w:type="dxa"/>
            <w:vAlign w:val="center"/>
          </w:tcPr>
          <w:p>
            <w:pPr>
              <w:adjustRightInd w:val="0"/>
              <w:snapToGrid w:val="0"/>
              <w:jc w:val="center"/>
              <w:rPr>
                <w:rFonts w:ascii="宋体" w:hAnsi="宋体" w:cs="宋体"/>
                <w:b/>
                <w:snapToGrid w:val="0"/>
                <w:color w:val="auto"/>
                <w:kern w:val="0"/>
                <w:szCs w:val="21"/>
                <w:highlight w:val="none"/>
              </w:rPr>
            </w:pPr>
          </w:p>
        </w:tc>
        <w:tc>
          <w:tcPr>
            <w:tcW w:w="1044" w:type="dxa"/>
            <w:vAlign w:val="center"/>
          </w:tcPr>
          <w:p>
            <w:pPr>
              <w:adjustRightInd w:val="0"/>
              <w:snapToGrid w:val="0"/>
              <w:jc w:val="center"/>
              <w:rPr>
                <w:rFonts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color w:val="auto"/>
                <w:kern w:val="0"/>
                <w:szCs w:val="21"/>
                <w:highlight w:val="none"/>
              </w:rPr>
            </w:pPr>
          </w:p>
        </w:tc>
        <w:tc>
          <w:tcPr>
            <w:tcW w:w="5033" w:type="dxa"/>
            <w:vAlign w:val="center"/>
          </w:tcPr>
          <w:p>
            <w:pPr>
              <w:adjustRightInd w:val="0"/>
              <w:snapToGrid w:val="0"/>
              <w:rPr>
                <w:rFonts w:ascii="宋体" w:hAnsi="宋体" w:cs="宋体"/>
                <w:color w:val="auto"/>
                <w:szCs w:val="21"/>
                <w:highlight w:val="none"/>
              </w:rPr>
            </w:pPr>
          </w:p>
        </w:tc>
        <w:tc>
          <w:tcPr>
            <w:tcW w:w="1134" w:type="dxa"/>
            <w:vAlign w:val="center"/>
          </w:tcPr>
          <w:p>
            <w:pPr>
              <w:adjustRightInd w:val="0"/>
              <w:snapToGrid w:val="0"/>
              <w:jc w:val="center"/>
              <w:rPr>
                <w:rFonts w:ascii="宋体" w:hAnsi="宋体" w:cs="宋体"/>
                <w:b/>
                <w:snapToGrid w:val="0"/>
                <w:color w:val="auto"/>
                <w:kern w:val="0"/>
                <w:szCs w:val="21"/>
                <w:highlight w:val="none"/>
              </w:rPr>
            </w:pPr>
          </w:p>
        </w:tc>
        <w:tc>
          <w:tcPr>
            <w:tcW w:w="1082" w:type="dxa"/>
            <w:vAlign w:val="center"/>
          </w:tcPr>
          <w:p>
            <w:pPr>
              <w:adjustRightInd w:val="0"/>
              <w:snapToGrid w:val="0"/>
              <w:jc w:val="center"/>
              <w:rPr>
                <w:rFonts w:ascii="宋体" w:hAnsi="宋体" w:cs="宋体"/>
                <w:b/>
                <w:snapToGrid w:val="0"/>
                <w:color w:val="auto"/>
                <w:kern w:val="0"/>
                <w:szCs w:val="21"/>
                <w:highlight w:val="none"/>
              </w:rPr>
            </w:pPr>
          </w:p>
        </w:tc>
        <w:tc>
          <w:tcPr>
            <w:tcW w:w="1044" w:type="dxa"/>
            <w:vAlign w:val="center"/>
          </w:tcPr>
          <w:p>
            <w:pPr>
              <w:adjustRightInd w:val="0"/>
              <w:snapToGrid w:val="0"/>
              <w:jc w:val="center"/>
              <w:rPr>
                <w:rFonts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color w:val="auto"/>
                <w:kern w:val="0"/>
                <w:szCs w:val="21"/>
                <w:highlight w:val="none"/>
              </w:rPr>
            </w:pPr>
          </w:p>
        </w:tc>
        <w:tc>
          <w:tcPr>
            <w:tcW w:w="5033" w:type="dxa"/>
            <w:vAlign w:val="center"/>
          </w:tcPr>
          <w:p>
            <w:pPr>
              <w:adjustRightInd w:val="0"/>
              <w:snapToGrid w:val="0"/>
              <w:rPr>
                <w:rFonts w:ascii="宋体" w:hAnsi="宋体" w:cs="宋体"/>
                <w:color w:val="auto"/>
                <w:szCs w:val="21"/>
                <w:highlight w:val="none"/>
              </w:rPr>
            </w:pPr>
          </w:p>
        </w:tc>
        <w:tc>
          <w:tcPr>
            <w:tcW w:w="1134" w:type="dxa"/>
            <w:vAlign w:val="center"/>
          </w:tcPr>
          <w:p>
            <w:pPr>
              <w:adjustRightInd w:val="0"/>
              <w:snapToGrid w:val="0"/>
              <w:jc w:val="center"/>
              <w:rPr>
                <w:rFonts w:ascii="宋体" w:hAnsi="宋体" w:cs="宋体"/>
                <w:b/>
                <w:snapToGrid w:val="0"/>
                <w:color w:val="auto"/>
                <w:kern w:val="0"/>
                <w:szCs w:val="21"/>
                <w:highlight w:val="none"/>
              </w:rPr>
            </w:pPr>
          </w:p>
        </w:tc>
        <w:tc>
          <w:tcPr>
            <w:tcW w:w="1082" w:type="dxa"/>
            <w:vAlign w:val="center"/>
          </w:tcPr>
          <w:p>
            <w:pPr>
              <w:adjustRightInd w:val="0"/>
              <w:snapToGrid w:val="0"/>
              <w:jc w:val="center"/>
              <w:rPr>
                <w:rFonts w:ascii="宋体" w:hAnsi="宋体" w:cs="宋体"/>
                <w:b/>
                <w:snapToGrid w:val="0"/>
                <w:color w:val="auto"/>
                <w:kern w:val="0"/>
                <w:szCs w:val="21"/>
                <w:highlight w:val="none"/>
              </w:rPr>
            </w:pPr>
          </w:p>
        </w:tc>
        <w:tc>
          <w:tcPr>
            <w:tcW w:w="1044" w:type="dxa"/>
            <w:vAlign w:val="center"/>
          </w:tcPr>
          <w:p>
            <w:pPr>
              <w:adjustRightInd w:val="0"/>
              <w:snapToGrid w:val="0"/>
              <w:jc w:val="center"/>
              <w:rPr>
                <w:rFonts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color w:val="auto"/>
                <w:kern w:val="0"/>
                <w:szCs w:val="21"/>
                <w:highlight w:val="none"/>
              </w:rPr>
            </w:pPr>
          </w:p>
        </w:tc>
        <w:tc>
          <w:tcPr>
            <w:tcW w:w="5033" w:type="dxa"/>
            <w:vAlign w:val="center"/>
          </w:tcPr>
          <w:p>
            <w:pPr>
              <w:adjustRightInd w:val="0"/>
              <w:snapToGrid w:val="0"/>
              <w:rPr>
                <w:rFonts w:ascii="宋体" w:hAnsi="宋体" w:cs="宋体"/>
                <w:color w:val="auto"/>
                <w:szCs w:val="21"/>
                <w:highlight w:val="none"/>
              </w:rPr>
            </w:pPr>
          </w:p>
        </w:tc>
        <w:tc>
          <w:tcPr>
            <w:tcW w:w="1134" w:type="dxa"/>
            <w:vAlign w:val="center"/>
          </w:tcPr>
          <w:p>
            <w:pPr>
              <w:adjustRightInd w:val="0"/>
              <w:snapToGrid w:val="0"/>
              <w:jc w:val="center"/>
              <w:rPr>
                <w:rFonts w:ascii="宋体" w:hAnsi="宋体" w:cs="宋体"/>
                <w:b/>
                <w:snapToGrid w:val="0"/>
                <w:color w:val="auto"/>
                <w:kern w:val="0"/>
                <w:szCs w:val="21"/>
                <w:highlight w:val="none"/>
              </w:rPr>
            </w:pPr>
          </w:p>
        </w:tc>
        <w:tc>
          <w:tcPr>
            <w:tcW w:w="1082" w:type="dxa"/>
            <w:vAlign w:val="center"/>
          </w:tcPr>
          <w:p>
            <w:pPr>
              <w:adjustRightInd w:val="0"/>
              <w:snapToGrid w:val="0"/>
              <w:jc w:val="center"/>
              <w:rPr>
                <w:rFonts w:ascii="宋体" w:hAnsi="宋体" w:cs="宋体"/>
                <w:b/>
                <w:snapToGrid w:val="0"/>
                <w:color w:val="auto"/>
                <w:kern w:val="0"/>
                <w:szCs w:val="21"/>
                <w:highlight w:val="none"/>
              </w:rPr>
            </w:pPr>
          </w:p>
        </w:tc>
        <w:tc>
          <w:tcPr>
            <w:tcW w:w="1044" w:type="dxa"/>
            <w:vAlign w:val="center"/>
          </w:tcPr>
          <w:p>
            <w:pPr>
              <w:adjustRightInd w:val="0"/>
              <w:snapToGrid w:val="0"/>
              <w:jc w:val="center"/>
              <w:rPr>
                <w:rFonts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color w:val="auto"/>
                <w:kern w:val="0"/>
                <w:szCs w:val="21"/>
                <w:highlight w:val="none"/>
              </w:rPr>
            </w:pPr>
          </w:p>
        </w:tc>
        <w:tc>
          <w:tcPr>
            <w:tcW w:w="5033" w:type="dxa"/>
            <w:vAlign w:val="center"/>
          </w:tcPr>
          <w:p>
            <w:pPr>
              <w:adjustRightInd w:val="0"/>
              <w:snapToGrid w:val="0"/>
              <w:rPr>
                <w:rFonts w:ascii="宋体" w:hAnsi="宋体" w:cs="宋体"/>
                <w:color w:val="auto"/>
                <w:szCs w:val="21"/>
                <w:highlight w:val="none"/>
              </w:rPr>
            </w:pPr>
          </w:p>
        </w:tc>
        <w:tc>
          <w:tcPr>
            <w:tcW w:w="1134" w:type="dxa"/>
            <w:vAlign w:val="center"/>
          </w:tcPr>
          <w:p>
            <w:pPr>
              <w:adjustRightInd w:val="0"/>
              <w:snapToGrid w:val="0"/>
              <w:jc w:val="center"/>
              <w:rPr>
                <w:rFonts w:ascii="宋体" w:hAnsi="宋体" w:cs="宋体"/>
                <w:b/>
                <w:snapToGrid w:val="0"/>
                <w:color w:val="auto"/>
                <w:kern w:val="0"/>
                <w:szCs w:val="21"/>
                <w:highlight w:val="none"/>
              </w:rPr>
            </w:pPr>
          </w:p>
        </w:tc>
        <w:tc>
          <w:tcPr>
            <w:tcW w:w="1082" w:type="dxa"/>
            <w:vAlign w:val="center"/>
          </w:tcPr>
          <w:p>
            <w:pPr>
              <w:adjustRightInd w:val="0"/>
              <w:snapToGrid w:val="0"/>
              <w:jc w:val="center"/>
              <w:rPr>
                <w:rFonts w:ascii="宋体" w:hAnsi="宋体" w:cs="宋体"/>
                <w:b/>
                <w:snapToGrid w:val="0"/>
                <w:color w:val="auto"/>
                <w:kern w:val="0"/>
                <w:szCs w:val="21"/>
                <w:highlight w:val="none"/>
              </w:rPr>
            </w:pPr>
          </w:p>
        </w:tc>
        <w:tc>
          <w:tcPr>
            <w:tcW w:w="1044" w:type="dxa"/>
            <w:vAlign w:val="center"/>
          </w:tcPr>
          <w:p>
            <w:pPr>
              <w:adjustRightInd w:val="0"/>
              <w:snapToGrid w:val="0"/>
              <w:jc w:val="center"/>
              <w:rPr>
                <w:rFonts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color w:val="auto"/>
                <w:kern w:val="0"/>
                <w:szCs w:val="21"/>
                <w:highlight w:val="none"/>
              </w:rPr>
            </w:pPr>
          </w:p>
        </w:tc>
        <w:tc>
          <w:tcPr>
            <w:tcW w:w="5033" w:type="dxa"/>
            <w:vAlign w:val="center"/>
          </w:tcPr>
          <w:p>
            <w:pPr>
              <w:adjustRightInd w:val="0"/>
              <w:snapToGrid w:val="0"/>
              <w:rPr>
                <w:rFonts w:ascii="宋体" w:hAnsi="宋体" w:cs="宋体"/>
                <w:color w:val="auto"/>
                <w:szCs w:val="21"/>
                <w:highlight w:val="none"/>
              </w:rPr>
            </w:pPr>
          </w:p>
        </w:tc>
        <w:tc>
          <w:tcPr>
            <w:tcW w:w="1134" w:type="dxa"/>
            <w:vAlign w:val="center"/>
          </w:tcPr>
          <w:p>
            <w:pPr>
              <w:adjustRightInd w:val="0"/>
              <w:snapToGrid w:val="0"/>
              <w:jc w:val="center"/>
              <w:rPr>
                <w:rFonts w:ascii="宋体" w:hAnsi="宋体" w:cs="宋体"/>
                <w:b/>
                <w:snapToGrid w:val="0"/>
                <w:color w:val="auto"/>
                <w:kern w:val="0"/>
                <w:szCs w:val="21"/>
                <w:highlight w:val="none"/>
              </w:rPr>
            </w:pPr>
          </w:p>
        </w:tc>
        <w:tc>
          <w:tcPr>
            <w:tcW w:w="1082" w:type="dxa"/>
            <w:vAlign w:val="center"/>
          </w:tcPr>
          <w:p>
            <w:pPr>
              <w:adjustRightInd w:val="0"/>
              <w:snapToGrid w:val="0"/>
              <w:jc w:val="center"/>
              <w:rPr>
                <w:rFonts w:ascii="宋体" w:hAnsi="宋体" w:cs="宋体"/>
                <w:b/>
                <w:snapToGrid w:val="0"/>
                <w:color w:val="auto"/>
                <w:kern w:val="0"/>
                <w:szCs w:val="21"/>
                <w:highlight w:val="none"/>
              </w:rPr>
            </w:pPr>
          </w:p>
        </w:tc>
        <w:tc>
          <w:tcPr>
            <w:tcW w:w="1044" w:type="dxa"/>
            <w:vAlign w:val="center"/>
          </w:tcPr>
          <w:p>
            <w:pPr>
              <w:adjustRightInd w:val="0"/>
              <w:snapToGrid w:val="0"/>
              <w:jc w:val="center"/>
              <w:rPr>
                <w:rFonts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color w:val="auto"/>
                <w:kern w:val="0"/>
                <w:szCs w:val="21"/>
                <w:highlight w:val="none"/>
              </w:rPr>
            </w:pPr>
          </w:p>
        </w:tc>
        <w:tc>
          <w:tcPr>
            <w:tcW w:w="5033" w:type="dxa"/>
            <w:vAlign w:val="center"/>
          </w:tcPr>
          <w:p>
            <w:pPr>
              <w:adjustRightInd w:val="0"/>
              <w:snapToGrid w:val="0"/>
              <w:rPr>
                <w:rFonts w:ascii="宋体" w:hAnsi="宋体" w:cs="宋体"/>
                <w:color w:val="auto"/>
                <w:szCs w:val="21"/>
                <w:highlight w:val="none"/>
              </w:rPr>
            </w:pPr>
          </w:p>
        </w:tc>
        <w:tc>
          <w:tcPr>
            <w:tcW w:w="1134" w:type="dxa"/>
            <w:vAlign w:val="center"/>
          </w:tcPr>
          <w:p>
            <w:pPr>
              <w:adjustRightInd w:val="0"/>
              <w:snapToGrid w:val="0"/>
              <w:jc w:val="center"/>
              <w:rPr>
                <w:rFonts w:ascii="宋体" w:hAnsi="宋体" w:cs="宋体"/>
                <w:b/>
                <w:snapToGrid w:val="0"/>
                <w:color w:val="auto"/>
                <w:kern w:val="0"/>
                <w:szCs w:val="21"/>
                <w:highlight w:val="none"/>
              </w:rPr>
            </w:pPr>
          </w:p>
        </w:tc>
        <w:tc>
          <w:tcPr>
            <w:tcW w:w="1082" w:type="dxa"/>
            <w:vAlign w:val="center"/>
          </w:tcPr>
          <w:p>
            <w:pPr>
              <w:adjustRightInd w:val="0"/>
              <w:snapToGrid w:val="0"/>
              <w:jc w:val="center"/>
              <w:rPr>
                <w:rFonts w:ascii="宋体" w:hAnsi="宋体" w:cs="宋体"/>
                <w:b/>
                <w:snapToGrid w:val="0"/>
                <w:color w:val="auto"/>
                <w:kern w:val="0"/>
                <w:szCs w:val="21"/>
                <w:highlight w:val="none"/>
              </w:rPr>
            </w:pPr>
          </w:p>
        </w:tc>
        <w:tc>
          <w:tcPr>
            <w:tcW w:w="1044" w:type="dxa"/>
            <w:vAlign w:val="center"/>
          </w:tcPr>
          <w:p>
            <w:pPr>
              <w:adjustRightInd w:val="0"/>
              <w:snapToGrid w:val="0"/>
              <w:jc w:val="center"/>
              <w:rPr>
                <w:rFonts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color w:val="auto"/>
                <w:kern w:val="0"/>
                <w:szCs w:val="21"/>
                <w:highlight w:val="none"/>
              </w:rPr>
            </w:pPr>
          </w:p>
        </w:tc>
        <w:tc>
          <w:tcPr>
            <w:tcW w:w="5033" w:type="dxa"/>
            <w:vAlign w:val="center"/>
          </w:tcPr>
          <w:p>
            <w:pPr>
              <w:adjustRightInd w:val="0"/>
              <w:snapToGrid w:val="0"/>
              <w:rPr>
                <w:rFonts w:ascii="宋体" w:hAnsi="宋体" w:cs="宋体"/>
                <w:color w:val="auto"/>
                <w:szCs w:val="21"/>
                <w:highlight w:val="none"/>
              </w:rPr>
            </w:pPr>
          </w:p>
        </w:tc>
        <w:tc>
          <w:tcPr>
            <w:tcW w:w="1134" w:type="dxa"/>
            <w:vAlign w:val="center"/>
          </w:tcPr>
          <w:p>
            <w:pPr>
              <w:adjustRightInd w:val="0"/>
              <w:snapToGrid w:val="0"/>
              <w:jc w:val="center"/>
              <w:rPr>
                <w:rFonts w:ascii="宋体" w:hAnsi="宋体" w:cs="宋体"/>
                <w:b/>
                <w:snapToGrid w:val="0"/>
                <w:color w:val="auto"/>
                <w:kern w:val="0"/>
                <w:szCs w:val="21"/>
                <w:highlight w:val="none"/>
              </w:rPr>
            </w:pPr>
          </w:p>
        </w:tc>
        <w:tc>
          <w:tcPr>
            <w:tcW w:w="1082" w:type="dxa"/>
            <w:vAlign w:val="center"/>
          </w:tcPr>
          <w:p>
            <w:pPr>
              <w:adjustRightInd w:val="0"/>
              <w:snapToGrid w:val="0"/>
              <w:jc w:val="center"/>
              <w:rPr>
                <w:rFonts w:ascii="宋体" w:hAnsi="宋体" w:cs="宋体"/>
                <w:b/>
                <w:snapToGrid w:val="0"/>
                <w:color w:val="auto"/>
                <w:kern w:val="0"/>
                <w:szCs w:val="21"/>
                <w:highlight w:val="none"/>
              </w:rPr>
            </w:pPr>
          </w:p>
        </w:tc>
        <w:tc>
          <w:tcPr>
            <w:tcW w:w="1044" w:type="dxa"/>
            <w:vAlign w:val="center"/>
          </w:tcPr>
          <w:p>
            <w:pPr>
              <w:adjustRightInd w:val="0"/>
              <w:snapToGrid w:val="0"/>
              <w:jc w:val="center"/>
              <w:rPr>
                <w:rFonts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color w:val="auto"/>
                <w:kern w:val="0"/>
                <w:szCs w:val="21"/>
                <w:highlight w:val="none"/>
              </w:rPr>
            </w:pPr>
          </w:p>
        </w:tc>
        <w:tc>
          <w:tcPr>
            <w:tcW w:w="5033" w:type="dxa"/>
            <w:vAlign w:val="center"/>
          </w:tcPr>
          <w:p>
            <w:pPr>
              <w:adjustRightInd w:val="0"/>
              <w:snapToGrid w:val="0"/>
              <w:rPr>
                <w:rFonts w:ascii="宋体" w:hAnsi="宋体" w:cs="宋体"/>
                <w:color w:val="auto"/>
                <w:szCs w:val="21"/>
                <w:highlight w:val="none"/>
              </w:rPr>
            </w:pPr>
          </w:p>
        </w:tc>
        <w:tc>
          <w:tcPr>
            <w:tcW w:w="1134" w:type="dxa"/>
            <w:vAlign w:val="center"/>
          </w:tcPr>
          <w:p>
            <w:pPr>
              <w:adjustRightInd w:val="0"/>
              <w:snapToGrid w:val="0"/>
              <w:jc w:val="center"/>
              <w:rPr>
                <w:rFonts w:ascii="宋体" w:hAnsi="宋体" w:cs="宋体"/>
                <w:b/>
                <w:snapToGrid w:val="0"/>
                <w:color w:val="auto"/>
                <w:kern w:val="0"/>
                <w:szCs w:val="21"/>
                <w:highlight w:val="none"/>
              </w:rPr>
            </w:pPr>
          </w:p>
        </w:tc>
        <w:tc>
          <w:tcPr>
            <w:tcW w:w="1082" w:type="dxa"/>
            <w:vAlign w:val="center"/>
          </w:tcPr>
          <w:p>
            <w:pPr>
              <w:adjustRightInd w:val="0"/>
              <w:snapToGrid w:val="0"/>
              <w:jc w:val="center"/>
              <w:rPr>
                <w:rFonts w:ascii="宋体" w:hAnsi="宋体" w:cs="宋体"/>
                <w:b/>
                <w:snapToGrid w:val="0"/>
                <w:color w:val="auto"/>
                <w:kern w:val="0"/>
                <w:szCs w:val="21"/>
                <w:highlight w:val="none"/>
              </w:rPr>
            </w:pPr>
          </w:p>
        </w:tc>
        <w:tc>
          <w:tcPr>
            <w:tcW w:w="1044" w:type="dxa"/>
            <w:vAlign w:val="center"/>
          </w:tcPr>
          <w:p>
            <w:pPr>
              <w:adjustRightInd w:val="0"/>
              <w:snapToGrid w:val="0"/>
              <w:jc w:val="center"/>
              <w:rPr>
                <w:rFonts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vAlign w:val="center"/>
          </w:tcPr>
          <w:p>
            <w:pPr>
              <w:adjustRightInd w:val="0"/>
              <w:snapToGrid w:val="0"/>
              <w:jc w:val="center"/>
              <w:rPr>
                <w:rFonts w:ascii="宋体" w:hAnsi="宋体" w:cs="宋体"/>
                <w:snapToGrid w:val="0"/>
                <w:color w:val="auto"/>
                <w:kern w:val="0"/>
                <w:szCs w:val="21"/>
                <w:highlight w:val="none"/>
              </w:rPr>
            </w:pPr>
          </w:p>
        </w:tc>
        <w:tc>
          <w:tcPr>
            <w:tcW w:w="5033" w:type="dxa"/>
            <w:vAlign w:val="center"/>
          </w:tcPr>
          <w:p>
            <w:pPr>
              <w:adjustRightInd w:val="0"/>
              <w:snapToGrid w:val="0"/>
              <w:rPr>
                <w:rFonts w:ascii="宋体" w:hAnsi="宋体" w:cs="宋体"/>
                <w:color w:val="auto"/>
                <w:szCs w:val="21"/>
                <w:highlight w:val="none"/>
              </w:rPr>
            </w:pPr>
          </w:p>
        </w:tc>
        <w:tc>
          <w:tcPr>
            <w:tcW w:w="1134" w:type="dxa"/>
            <w:vAlign w:val="center"/>
          </w:tcPr>
          <w:p>
            <w:pPr>
              <w:adjustRightInd w:val="0"/>
              <w:snapToGrid w:val="0"/>
              <w:jc w:val="center"/>
              <w:rPr>
                <w:rFonts w:ascii="宋体" w:hAnsi="宋体" w:cs="宋体"/>
                <w:b/>
                <w:snapToGrid w:val="0"/>
                <w:color w:val="auto"/>
                <w:kern w:val="0"/>
                <w:szCs w:val="21"/>
                <w:highlight w:val="none"/>
              </w:rPr>
            </w:pPr>
          </w:p>
        </w:tc>
        <w:tc>
          <w:tcPr>
            <w:tcW w:w="1082" w:type="dxa"/>
            <w:vAlign w:val="center"/>
          </w:tcPr>
          <w:p>
            <w:pPr>
              <w:adjustRightInd w:val="0"/>
              <w:snapToGrid w:val="0"/>
              <w:jc w:val="center"/>
              <w:rPr>
                <w:rFonts w:ascii="宋体" w:hAnsi="宋体" w:cs="宋体"/>
                <w:b/>
                <w:snapToGrid w:val="0"/>
                <w:color w:val="auto"/>
                <w:kern w:val="0"/>
                <w:szCs w:val="21"/>
                <w:highlight w:val="none"/>
              </w:rPr>
            </w:pPr>
          </w:p>
        </w:tc>
        <w:tc>
          <w:tcPr>
            <w:tcW w:w="1044" w:type="dxa"/>
            <w:vAlign w:val="center"/>
          </w:tcPr>
          <w:p>
            <w:pPr>
              <w:adjustRightInd w:val="0"/>
              <w:snapToGrid w:val="0"/>
              <w:jc w:val="center"/>
              <w:rPr>
                <w:rFonts w:ascii="宋体" w:hAnsi="宋体" w:cs="宋体"/>
                <w:b/>
                <w:snapToGrid w:val="0"/>
                <w:color w:val="auto"/>
                <w:kern w:val="0"/>
                <w:szCs w:val="21"/>
                <w:highlight w:val="none"/>
              </w:rPr>
            </w:pPr>
          </w:p>
        </w:tc>
      </w:tr>
    </w:tbl>
    <w:p>
      <w:pPr>
        <w:autoSpaceDE w:val="0"/>
        <w:autoSpaceDN w:val="0"/>
        <w:adjustRightInd w:val="0"/>
        <w:spacing w:line="360" w:lineRule="auto"/>
        <w:rPr>
          <w:rFonts w:ascii="宋体" w:hAnsi="宋体" w:cs="宋体"/>
          <w:b/>
          <w:color w:val="auto"/>
          <w:szCs w:val="21"/>
          <w:highlight w:val="none"/>
        </w:rPr>
        <w:sectPr>
          <w:footerReference r:id="rId5" w:type="default"/>
          <w:footerReference r:id="rId6" w:type="even"/>
          <w:pgSz w:w="11906" w:h="16838"/>
          <w:pgMar w:top="1247" w:right="1588" w:bottom="1089" w:left="1588" w:header="851" w:footer="992" w:gutter="0"/>
          <w:cols w:space="720" w:num="1"/>
          <w:docGrid w:linePitch="312" w:charSpace="0"/>
        </w:sectPr>
      </w:pPr>
    </w:p>
    <w:p>
      <w:pPr>
        <w:autoSpaceDE w:val="0"/>
        <w:autoSpaceDN w:val="0"/>
        <w:adjustRightInd w:val="0"/>
        <w:spacing w:line="360" w:lineRule="auto"/>
        <w:rPr>
          <w:rFonts w:ascii="宋体" w:hAnsi="宋体" w:cs="宋体"/>
          <w:b/>
          <w:color w:val="auto"/>
          <w:szCs w:val="21"/>
          <w:highlight w:val="none"/>
        </w:rPr>
      </w:pPr>
      <w:r>
        <w:rPr>
          <w:rFonts w:hint="eastAsia" w:ascii="宋体" w:hAnsi="宋体" w:cs="宋体"/>
          <w:b/>
          <w:color w:val="auto"/>
          <w:szCs w:val="21"/>
          <w:highlight w:val="none"/>
        </w:rPr>
        <w:t>3.2投标响应一览表</w:t>
      </w:r>
    </w:p>
    <w:p>
      <w:pPr>
        <w:pStyle w:val="23"/>
        <w:snapToGrid w:val="0"/>
        <w:spacing w:line="360" w:lineRule="auto"/>
        <w:jc w:val="center"/>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投标响应一览表</w:t>
      </w:r>
    </w:p>
    <w:p>
      <w:pPr>
        <w:adjustRightInd w:val="0"/>
        <w:snapToGrid w:val="0"/>
        <w:spacing w:line="360" w:lineRule="auto"/>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 xml:space="preserve">项目名称：                                                  </w:t>
      </w:r>
    </w:p>
    <w:p>
      <w:pPr>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采购编号：</w:t>
      </w:r>
    </w:p>
    <w:tbl>
      <w:tblPr>
        <w:tblStyle w:val="4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2"/>
        <w:gridCol w:w="5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2" w:type="dxa"/>
            <w:vAlign w:val="center"/>
          </w:tcPr>
          <w:p>
            <w:pPr>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服务期</w:t>
            </w:r>
          </w:p>
        </w:tc>
        <w:tc>
          <w:tcPr>
            <w:tcW w:w="5271" w:type="dxa"/>
            <w:vAlign w:val="center"/>
          </w:tcPr>
          <w:p>
            <w:pPr>
              <w:adjustRightInd w:val="0"/>
              <w:snapToGrid w:val="0"/>
              <w:spacing w:line="36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2" w:type="dxa"/>
            <w:vAlign w:val="center"/>
          </w:tcPr>
          <w:p>
            <w:pPr>
              <w:adjustRightInd w:val="0"/>
              <w:snapToGrid w:val="0"/>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rPr>
              <w:t>拟派项目</w:t>
            </w:r>
            <w:r>
              <w:rPr>
                <w:rFonts w:hint="eastAsia" w:ascii="宋体" w:hAnsi="宋体" w:cs="宋体"/>
                <w:snapToGrid w:val="0"/>
                <w:color w:val="auto"/>
                <w:kern w:val="0"/>
                <w:szCs w:val="21"/>
                <w:highlight w:val="none"/>
                <w:lang w:val="en-US" w:eastAsia="zh-CN"/>
              </w:rPr>
              <w:t>负责人</w:t>
            </w:r>
          </w:p>
        </w:tc>
        <w:tc>
          <w:tcPr>
            <w:tcW w:w="5271" w:type="dxa"/>
            <w:vAlign w:val="center"/>
          </w:tcPr>
          <w:p>
            <w:pPr>
              <w:adjustRightInd w:val="0"/>
              <w:snapToGrid w:val="0"/>
              <w:spacing w:line="360" w:lineRule="auto"/>
              <w:jc w:val="center"/>
              <w:rPr>
                <w:rFonts w:ascii="宋体" w:hAnsi="宋体" w:cs="宋体"/>
                <w:snapToGrid w:val="0"/>
                <w:color w:val="auto"/>
                <w:kern w:val="0"/>
                <w:szCs w:val="21"/>
                <w:highlight w:val="none"/>
              </w:rPr>
            </w:pPr>
          </w:p>
        </w:tc>
      </w:tr>
    </w:tbl>
    <w:p>
      <w:pPr>
        <w:adjustRightInd w:val="0"/>
        <w:snapToGrid w:val="0"/>
        <w:spacing w:line="360" w:lineRule="auto"/>
        <w:jc w:val="left"/>
        <w:rPr>
          <w:rFonts w:ascii="宋体" w:hAnsi="宋体" w:cs="宋体"/>
          <w:snapToGrid w:val="0"/>
          <w:color w:val="auto"/>
          <w:kern w:val="0"/>
          <w:szCs w:val="21"/>
          <w:highlight w:val="none"/>
        </w:rPr>
      </w:pPr>
    </w:p>
    <w:p>
      <w:pPr>
        <w:widowControl/>
        <w:adjustRightInd w:val="0"/>
        <w:snapToGrid w:val="0"/>
        <w:spacing w:line="360" w:lineRule="auto"/>
        <w:ind w:firstLine="420" w:firstLineChars="200"/>
        <w:jc w:val="left"/>
        <w:rPr>
          <w:rFonts w:ascii="宋体" w:hAnsi="宋体" w:cs="宋体"/>
          <w:snapToGrid w:val="0"/>
          <w:color w:val="auto"/>
          <w:kern w:val="0"/>
          <w:szCs w:val="21"/>
          <w:highlight w:val="none"/>
        </w:rPr>
      </w:pPr>
    </w:p>
    <w:p>
      <w:pPr>
        <w:adjustRightInd w:val="0"/>
        <w:snapToGrid w:val="0"/>
        <w:spacing w:line="360" w:lineRule="auto"/>
        <w:ind w:firstLine="4515" w:firstLineChars="2150"/>
        <w:rPr>
          <w:rFonts w:ascii="宋体" w:hAnsi="宋体" w:cs="宋体"/>
          <w:snapToGrid w:val="0"/>
          <w:color w:val="auto"/>
          <w:kern w:val="0"/>
          <w:szCs w:val="21"/>
          <w:highlight w:val="none"/>
        </w:rPr>
      </w:pPr>
    </w:p>
    <w:p>
      <w:pPr>
        <w:adjustRightInd w:val="0"/>
        <w:snapToGrid w:val="0"/>
        <w:spacing w:line="360" w:lineRule="auto"/>
        <w:ind w:firstLine="4515" w:firstLineChars="21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投标人(盖公章)：</w:t>
      </w:r>
    </w:p>
    <w:p>
      <w:pPr>
        <w:adjustRightInd w:val="0"/>
        <w:snapToGrid w:val="0"/>
        <w:spacing w:line="360" w:lineRule="auto"/>
        <w:ind w:firstLine="4515" w:firstLineChars="21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法定代表人或授权代表(签字或盖章)：</w:t>
      </w:r>
    </w:p>
    <w:p>
      <w:pPr>
        <w:adjustRightInd w:val="0"/>
        <w:snapToGrid w:val="0"/>
        <w:spacing w:line="360" w:lineRule="auto"/>
        <w:ind w:firstLine="4515" w:firstLineChars="21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日期：</w:t>
      </w:r>
    </w:p>
    <w:p>
      <w:pPr>
        <w:pStyle w:val="18"/>
        <w:rPr>
          <w:color w:val="auto"/>
          <w:highlight w:val="none"/>
        </w:rPr>
      </w:pPr>
    </w:p>
    <w:p>
      <w:pPr>
        <w:pStyle w:val="18"/>
        <w:rPr>
          <w:color w:val="auto"/>
          <w:highlight w:val="none"/>
        </w:rPr>
      </w:pPr>
    </w:p>
    <w:p>
      <w:pPr>
        <w:autoSpaceDE w:val="0"/>
        <w:autoSpaceDN w:val="0"/>
        <w:adjustRightInd w:val="0"/>
        <w:spacing w:line="360" w:lineRule="auto"/>
        <w:rPr>
          <w:rFonts w:ascii="宋体" w:hAnsi="宋体" w:cs="宋体"/>
          <w:b/>
          <w:color w:val="auto"/>
          <w:szCs w:val="21"/>
          <w:highlight w:val="none"/>
        </w:rPr>
        <w:sectPr>
          <w:pgSz w:w="11906" w:h="16838"/>
          <w:pgMar w:top="1247" w:right="1588" w:bottom="1089" w:left="1588" w:header="851" w:footer="992" w:gutter="0"/>
          <w:cols w:space="720" w:num="1"/>
          <w:docGrid w:linePitch="312" w:charSpace="0"/>
        </w:sectPr>
      </w:pPr>
    </w:p>
    <w:p>
      <w:pPr>
        <w:autoSpaceDE w:val="0"/>
        <w:autoSpaceDN w:val="0"/>
        <w:adjustRightIn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投标人基本情况</w:t>
      </w:r>
    </w:p>
    <w:p>
      <w:pPr>
        <w:spacing w:line="240" w:lineRule="atLeas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投标人基本情况表</w:t>
      </w:r>
    </w:p>
    <w:p>
      <w:pPr>
        <w:spacing w:line="240" w:lineRule="atLeast"/>
        <w:ind w:firstLine="2233" w:firstLineChars="695"/>
        <w:rPr>
          <w:rFonts w:hint="eastAsia" w:ascii="宋体" w:hAnsi="宋体" w:cs="宋体"/>
          <w:b/>
          <w:color w:val="auto"/>
          <w:sz w:val="32"/>
          <w:szCs w:val="32"/>
          <w:highlight w:val="none"/>
        </w:rPr>
      </w:pPr>
    </w:p>
    <w:tbl>
      <w:tblPr>
        <w:tblStyle w:val="43"/>
        <w:tblW w:w="0" w:type="auto"/>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highlight w:val="none"/>
              </w:rPr>
            </w:pPr>
            <w:r>
              <w:rPr>
                <w:rFonts w:hint="eastAsia" w:ascii="宋体" w:hAnsi="宋体" w:cs="宋体"/>
                <w:color w:val="auto"/>
                <w:highlight w:val="none"/>
              </w:rPr>
              <w:t>企业资质</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r>
              <w:rPr>
                <w:rFonts w:hint="eastAsia" w:ascii="宋体" w:hAnsi="宋体" w:cs="宋体"/>
                <w:color w:val="auto"/>
                <w:highlight w:val="none"/>
              </w:rPr>
              <w:t xml:space="preserve">1.等级:            2.证书号: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r>
              <w:rPr>
                <w:rFonts w:hint="eastAsia" w:ascii="宋体" w:hAnsi="宋体" w:cs="宋体"/>
                <w:color w:val="auto"/>
                <w:highlight w:val="none"/>
              </w:rPr>
              <w:t xml:space="preserve">1.编号:            2.营业范围:     3.发照单位: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jc w:val="center"/>
              <w:textAlignment w:val="bottom"/>
              <w:rPr>
                <w:rFonts w:hint="eastAsia"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jc w:val="center"/>
              <w:textAlignment w:val="bottom"/>
              <w:rPr>
                <w:rFonts w:hint="eastAsia"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r>
              <w:rPr>
                <w:rFonts w:hint="eastAsia" w:ascii="宋体" w:hAnsi="宋体"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highlight w:val="none"/>
              </w:rPr>
            </w:pPr>
            <w:r>
              <w:rPr>
                <w:rFonts w:hint="eastAsia" w:ascii="宋体" w:hAnsi="宋体" w:cs="宋体"/>
                <w:color w:val="auto"/>
                <w:highlight w:val="none"/>
              </w:rPr>
              <w:t>技术负责人</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r>
              <w:rPr>
                <w:rFonts w:hint="eastAsia" w:ascii="宋体" w:hAnsi="宋体"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40" w:lineRule="atLeast"/>
              <w:ind w:left="105"/>
              <w:jc w:val="center"/>
              <w:textAlignment w:val="bottom"/>
              <w:rPr>
                <w:rFonts w:hint="eastAsia"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r>
              <w:rPr>
                <w:rFonts w:hint="eastAsia" w:ascii="宋体" w:hAnsi="宋体" w:cs="宋体"/>
                <w:color w:val="auto"/>
                <w:highlight w:val="none"/>
              </w:rPr>
              <w:t>地址</w:t>
            </w:r>
          </w:p>
          <w:p>
            <w:pPr>
              <w:widowControl/>
              <w:autoSpaceDE w:val="0"/>
              <w:autoSpaceDN w:val="0"/>
              <w:spacing w:line="440" w:lineRule="atLeast"/>
              <w:textAlignment w:val="bottom"/>
              <w:rPr>
                <w:rFonts w:hint="eastAsia" w:ascii="宋体" w:hAnsi="宋体" w:cs="宋体"/>
                <w:color w:val="auto"/>
                <w:highlight w:val="none"/>
              </w:rPr>
            </w:pPr>
            <w:r>
              <w:rPr>
                <w:rFonts w:hint="eastAsia" w:ascii="宋体" w:hAnsi="宋体" w:cs="宋体"/>
                <w:color w:val="auto"/>
                <w:highlight w:val="none"/>
              </w:rPr>
              <w:t>邮编:</w:t>
            </w:r>
          </w:p>
          <w:p>
            <w:pPr>
              <w:widowControl/>
              <w:autoSpaceDE w:val="0"/>
              <w:autoSpaceDN w:val="0"/>
              <w:spacing w:line="440" w:lineRule="atLeast"/>
              <w:textAlignment w:val="bottom"/>
              <w:rPr>
                <w:rFonts w:hint="eastAsia" w:ascii="宋体" w:hAnsi="宋体" w:cs="宋体"/>
                <w:color w:val="auto"/>
                <w:highlight w:val="none"/>
              </w:rPr>
            </w:pPr>
            <w:r>
              <w:rPr>
                <w:rFonts w:hint="eastAsia" w:ascii="宋体" w:hAnsi="宋体" w:cs="宋体"/>
                <w:color w:val="auto"/>
                <w:highlight w:val="none"/>
              </w:rPr>
              <w:t xml:space="preserve">电话:  </w:t>
            </w:r>
          </w:p>
          <w:p>
            <w:pPr>
              <w:widowControl/>
              <w:autoSpaceDE w:val="0"/>
              <w:autoSpaceDN w:val="0"/>
              <w:spacing w:line="440" w:lineRule="atLeast"/>
              <w:textAlignment w:val="bottom"/>
              <w:rPr>
                <w:rFonts w:hint="eastAsia" w:ascii="宋体" w:hAnsi="宋体" w:cs="宋体"/>
                <w:color w:val="auto"/>
                <w:highlight w:val="none"/>
              </w:rPr>
            </w:pPr>
            <w:r>
              <w:rPr>
                <w:rFonts w:hint="eastAsia" w:ascii="宋体" w:hAnsi="宋体" w:cs="宋体"/>
                <w:color w:val="auto"/>
                <w:highlight w:val="none"/>
              </w:rPr>
              <w:t xml:space="preserve">传真: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highlight w:val="none"/>
              </w:rPr>
            </w:pPr>
            <w:r>
              <w:rPr>
                <w:rFonts w:hint="eastAsia" w:ascii="宋体" w:hAnsi="宋体" w:cs="宋体"/>
                <w:color w:val="auto"/>
                <w:highlight w:val="none"/>
              </w:rPr>
              <w:t>开户银行</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r>
              <w:rPr>
                <w:rFonts w:hint="eastAsia" w:ascii="宋体" w:hAnsi="宋体" w:cs="宋体"/>
                <w:color w:val="auto"/>
                <w:highlight w:val="none"/>
              </w:rPr>
              <w:t xml:space="preserve">名称:                      账号:          </w:t>
            </w:r>
          </w:p>
        </w:tc>
      </w:tr>
      <w:tr>
        <w:tblPrEx>
          <w:tblCellMar>
            <w:top w:w="0" w:type="dxa"/>
            <w:left w:w="28" w:type="dxa"/>
            <w:bottom w:w="0" w:type="dxa"/>
            <w:right w:w="28" w:type="dxa"/>
          </w:tblCellMar>
        </w:tblPrEx>
        <w:trPr>
          <w:cantSplit/>
          <w:trHeight w:val="5279" w:hRule="atLeas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highlight w:val="none"/>
              </w:rPr>
            </w:pPr>
          </w:p>
          <w:p>
            <w:pPr>
              <w:widowControl/>
              <w:autoSpaceDE w:val="0"/>
              <w:autoSpaceDN w:val="0"/>
              <w:spacing w:line="440" w:lineRule="atLeast"/>
              <w:ind w:left="105"/>
              <w:jc w:val="center"/>
              <w:textAlignment w:val="bottom"/>
              <w:rPr>
                <w:rFonts w:hint="eastAsia" w:ascii="宋体" w:hAnsi="宋体" w:cs="宋体"/>
                <w:color w:val="auto"/>
                <w:highlight w:val="none"/>
              </w:rPr>
            </w:pPr>
          </w:p>
          <w:p>
            <w:pPr>
              <w:widowControl/>
              <w:autoSpaceDE w:val="0"/>
              <w:autoSpaceDN w:val="0"/>
              <w:spacing w:line="440" w:lineRule="atLeast"/>
              <w:ind w:left="105"/>
              <w:jc w:val="center"/>
              <w:textAlignment w:val="bottom"/>
              <w:rPr>
                <w:rFonts w:hint="eastAsia" w:ascii="宋体" w:hAnsi="宋体" w:cs="宋体"/>
                <w:color w:val="auto"/>
                <w:highlight w:val="none"/>
              </w:rPr>
            </w:pPr>
          </w:p>
          <w:p>
            <w:pPr>
              <w:widowControl/>
              <w:autoSpaceDE w:val="0"/>
              <w:autoSpaceDN w:val="0"/>
              <w:spacing w:line="440" w:lineRule="atLeast"/>
              <w:textAlignment w:val="bottom"/>
              <w:rPr>
                <w:rFonts w:hint="eastAsia" w:ascii="宋体" w:hAnsi="宋体" w:cs="宋体"/>
                <w:color w:val="auto"/>
                <w:highlight w:val="none"/>
              </w:rPr>
            </w:pPr>
          </w:p>
          <w:p>
            <w:pPr>
              <w:widowControl/>
              <w:autoSpaceDE w:val="0"/>
              <w:autoSpaceDN w:val="0"/>
              <w:spacing w:line="440" w:lineRule="atLeast"/>
              <w:ind w:left="105"/>
              <w:jc w:val="center"/>
              <w:textAlignment w:val="bottom"/>
              <w:rPr>
                <w:rFonts w:hint="eastAsia" w:ascii="宋体" w:hAnsi="宋体" w:cs="宋体"/>
                <w:color w:val="auto"/>
                <w:highlight w:val="none"/>
              </w:rPr>
            </w:pPr>
          </w:p>
          <w:p>
            <w:pPr>
              <w:widowControl/>
              <w:autoSpaceDE w:val="0"/>
              <w:autoSpaceDN w:val="0"/>
              <w:spacing w:line="440" w:lineRule="atLeast"/>
              <w:ind w:left="105"/>
              <w:jc w:val="center"/>
              <w:textAlignment w:val="bottom"/>
              <w:rPr>
                <w:rFonts w:hint="eastAsia" w:ascii="宋体" w:hAnsi="宋体" w:cs="宋体"/>
                <w:color w:val="auto"/>
                <w:highlight w:val="none"/>
              </w:rPr>
            </w:pPr>
          </w:p>
          <w:p>
            <w:pPr>
              <w:widowControl/>
              <w:autoSpaceDE w:val="0"/>
              <w:autoSpaceDN w:val="0"/>
              <w:spacing w:line="440" w:lineRule="atLeast"/>
              <w:ind w:left="105"/>
              <w:jc w:val="center"/>
              <w:textAlignment w:val="bottom"/>
              <w:rPr>
                <w:rFonts w:hint="eastAsia" w:ascii="宋体" w:hAnsi="宋体" w:cs="宋体"/>
                <w:color w:val="auto"/>
                <w:highlight w:val="none"/>
              </w:rPr>
            </w:pPr>
            <w:r>
              <w:rPr>
                <w:rFonts w:hint="eastAsia" w:ascii="宋体" w:hAnsi="宋体" w:cs="宋体"/>
                <w:color w:val="auto"/>
                <w:highlight w:val="none"/>
              </w:rPr>
              <w:t>组织机构框图</w:t>
            </w:r>
          </w:p>
          <w:p>
            <w:pPr>
              <w:widowControl/>
              <w:autoSpaceDE w:val="0"/>
              <w:autoSpaceDN w:val="0"/>
              <w:spacing w:line="440" w:lineRule="atLeast"/>
              <w:ind w:left="105"/>
              <w:jc w:val="center"/>
              <w:textAlignment w:val="bottom"/>
              <w:rPr>
                <w:rFonts w:hint="eastAsia" w:ascii="宋体" w:hAnsi="宋体" w:cs="宋体"/>
                <w:color w:val="auto"/>
                <w:highlight w:val="none"/>
              </w:rPr>
            </w:pPr>
          </w:p>
          <w:p>
            <w:pPr>
              <w:autoSpaceDE w:val="0"/>
              <w:autoSpaceDN w:val="0"/>
              <w:spacing w:line="440" w:lineRule="atLeast"/>
              <w:ind w:left="105"/>
              <w:textAlignment w:val="bottom"/>
              <w:rPr>
                <w:rFonts w:hint="eastAsia" w:ascii="宋体" w:hAnsi="宋体" w:cs="宋体"/>
                <w:color w:val="auto"/>
                <w:highlight w:val="none"/>
              </w:rPr>
            </w:pP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p>
        </w:tc>
      </w:tr>
    </w:tbl>
    <w:p>
      <w:pPr>
        <w:spacing w:line="360" w:lineRule="auto"/>
        <w:ind w:left="630" w:hanging="630" w:hangingChars="300"/>
        <w:rPr>
          <w:rFonts w:hint="eastAsia" w:ascii="宋体" w:hAnsi="宋体" w:cs="宋体"/>
          <w:color w:val="auto"/>
          <w:highlight w:val="none"/>
        </w:rPr>
      </w:pPr>
    </w:p>
    <w:p>
      <w:pPr>
        <w:adjustRightInd w:val="0"/>
        <w:snapToGrid w:val="0"/>
        <w:spacing w:before="120" w:beforeLines="50" w:line="360" w:lineRule="auto"/>
        <w:rPr>
          <w:rFonts w:hint="eastAsia" w:ascii="宋体" w:hAnsi="宋体" w:cs="宋体"/>
          <w:b/>
          <w:color w:val="auto"/>
          <w:highlight w:val="none"/>
        </w:rPr>
      </w:pPr>
      <w:r>
        <w:rPr>
          <w:rFonts w:hint="eastAsia" w:ascii="宋体" w:hAnsi="宋体" w:cs="宋体"/>
          <w:b/>
          <w:color w:val="auto"/>
          <w:sz w:val="24"/>
          <w:highlight w:val="none"/>
        </w:rPr>
        <w:br w:type="page"/>
      </w:r>
      <w:r>
        <w:rPr>
          <w:rFonts w:hint="eastAsia" w:ascii="宋体" w:hAnsi="宋体" w:cs="宋体"/>
          <w:b/>
          <w:color w:val="auto"/>
          <w:highlight w:val="none"/>
          <w:lang w:val="en-US" w:eastAsia="zh-CN"/>
        </w:rPr>
        <w:t>3.4</w:t>
      </w:r>
      <w:r>
        <w:rPr>
          <w:rFonts w:hint="eastAsia" w:ascii="宋体" w:hAnsi="宋体" w:cs="宋体"/>
          <w:b/>
          <w:color w:val="auto"/>
          <w:highlight w:val="none"/>
        </w:rPr>
        <w:t>法定代表人资格证明及授权委托书</w:t>
      </w:r>
    </w:p>
    <w:p>
      <w:pP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附件</w:t>
      </w:r>
      <w:r>
        <w:rPr>
          <w:rFonts w:hint="eastAsia" w:ascii="宋体" w:hAnsi="宋体" w:cs="宋体"/>
          <w:b/>
          <w:snapToGrid w:val="0"/>
          <w:color w:val="auto"/>
          <w:kern w:val="0"/>
          <w:szCs w:val="21"/>
          <w:highlight w:val="none"/>
          <w:lang w:val="en-US" w:eastAsia="zh-CN"/>
        </w:rPr>
        <w:t>3.4</w:t>
      </w:r>
      <w:r>
        <w:rPr>
          <w:rFonts w:hint="eastAsia" w:ascii="宋体" w:hAnsi="宋体" w:cs="宋体"/>
          <w:b/>
          <w:snapToGrid w:val="0"/>
          <w:color w:val="auto"/>
          <w:kern w:val="0"/>
          <w:szCs w:val="21"/>
          <w:highlight w:val="none"/>
        </w:rPr>
        <w:t>.1</w:t>
      </w:r>
    </w:p>
    <w:p>
      <w:pPr>
        <w:pStyle w:val="2"/>
        <w:spacing w:line="600" w:lineRule="exact"/>
        <w:ind w:firstLine="0"/>
        <w:jc w:val="center"/>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法定代表人资格证明书</w:t>
      </w:r>
    </w:p>
    <w:p>
      <w:pPr>
        <w:pStyle w:val="2"/>
        <w:spacing w:line="600" w:lineRule="exact"/>
        <w:rPr>
          <w:rFonts w:hint="eastAsia" w:ascii="宋体" w:hAnsi="宋体" w:eastAsia="宋体" w:cs="宋体"/>
          <w:b/>
          <w:bCs/>
          <w:snapToGrid w:val="0"/>
          <w:color w:val="auto"/>
          <w:kern w:val="0"/>
          <w:sz w:val="36"/>
          <w:highlight w:val="none"/>
        </w:rPr>
      </w:pPr>
    </w:p>
    <w:p>
      <w:pPr>
        <w:pStyle w:val="2"/>
        <w:spacing w:line="60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系</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的法定代表人。身份证号：</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w:t>
      </w:r>
    </w:p>
    <w:p>
      <w:pPr>
        <w:pStyle w:val="2"/>
        <w:spacing w:line="6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特此证明</w:t>
      </w:r>
    </w:p>
    <w:p>
      <w:pPr>
        <w:pStyle w:val="2"/>
        <w:spacing w:line="6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投标人：(盖公章)</w:t>
      </w:r>
    </w:p>
    <w:p>
      <w:pPr>
        <w:pStyle w:val="2"/>
        <w:spacing w:line="6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日期：</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日</w:t>
      </w:r>
    </w:p>
    <w:p>
      <w:pPr>
        <w:adjustRightInd w:val="0"/>
        <w:spacing w:line="360" w:lineRule="auto"/>
        <w:rPr>
          <w:rFonts w:hint="eastAsia" w:ascii="宋体" w:hAnsi="宋体" w:cs="宋体"/>
          <w:snapToGrid w:val="0"/>
          <w:color w:val="auto"/>
          <w:kern w:val="0"/>
          <w:szCs w:val="21"/>
          <w:highlight w:val="none"/>
        </w:rPr>
      </w:pP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附：法定代表人身份证复印件（正反面）</w:t>
      </w:r>
    </w:p>
    <w:p>
      <w:pPr>
        <w:adjustRightInd w:val="0"/>
        <w:spacing w:line="360" w:lineRule="auto"/>
        <w:rPr>
          <w:rFonts w:hint="eastAsia" w:ascii="宋体" w:hAnsi="宋体" w:cs="宋体"/>
          <w:snapToGrid w:val="0"/>
          <w:color w:val="auto"/>
          <w:kern w:val="0"/>
          <w:szCs w:val="21"/>
          <w:highlight w:val="none"/>
        </w:rPr>
      </w:pPr>
    </w:p>
    <w:p>
      <w:pPr>
        <w:adjustRightInd w:val="0"/>
        <w:spacing w:line="360" w:lineRule="auto"/>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附件</w:t>
      </w:r>
      <w:r>
        <w:rPr>
          <w:rFonts w:hint="eastAsia" w:ascii="宋体" w:hAnsi="宋体" w:cs="宋体"/>
          <w:b/>
          <w:snapToGrid w:val="0"/>
          <w:color w:val="auto"/>
          <w:kern w:val="0"/>
          <w:szCs w:val="21"/>
          <w:highlight w:val="none"/>
          <w:lang w:val="en-US" w:eastAsia="zh-CN"/>
        </w:rPr>
        <w:t>3.4</w:t>
      </w:r>
      <w:r>
        <w:rPr>
          <w:rFonts w:hint="eastAsia" w:ascii="宋体" w:hAnsi="宋体" w:cs="宋体"/>
          <w:b/>
          <w:snapToGrid w:val="0"/>
          <w:color w:val="auto"/>
          <w:kern w:val="0"/>
          <w:szCs w:val="21"/>
          <w:highlight w:val="none"/>
        </w:rPr>
        <w:t>.2</w:t>
      </w:r>
    </w:p>
    <w:p>
      <w:pPr>
        <w:adjustRightInd w:val="0"/>
        <w:spacing w:line="360" w:lineRule="auto"/>
        <w:jc w:val="center"/>
        <w:rPr>
          <w:rFonts w:hint="eastAsia" w:ascii="宋体" w:hAnsi="宋体" w:cs="宋体"/>
          <w:b/>
          <w:snapToGrid w:val="0"/>
          <w:color w:val="auto"/>
          <w:kern w:val="0"/>
          <w:sz w:val="28"/>
          <w:szCs w:val="28"/>
          <w:highlight w:val="none"/>
        </w:rPr>
      </w:pPr>
      <w:r>
        <w:rPr>
          <w:rFonts w:hint="eastAsia" w:ascii="宋体" w:hAnsi="宋体" w:cs="宋体"/>
          <w:b/>
          <w:bCs/>
          <w:snapToGrid w:val="0"/>
          <w:color w:val="auto"/>
          <w:kern w:val="0"/>
          <w:sz w:val="28"/>
          <w:szCs w:val="28"/>
          <w:highlight w:val="none"/>
        </w:rPr>
        <w:t>授权委托书</w:t>
      </w:r>
    </w:p>
    <w:p>
      <w:pPr>
        <w:adjustRightInd w:val="0"/>
        <w:spacing w:line="360" w:lineRule="auto"/>
        <w:jc w:val="left"/>
        <w:rPr>
          <w:rFonts w:hint="eastAsia" w:ascii="宋体" w:hAnsi="宋体" w:cs="宋体"/>
          <w:b/>
          <w:snapToGrid w:val="0"/>
          <w:color w:val="auto"/>
          <w:kern w:val="0"/>
          <w:sz w:val="32"/>
          <w:szCs w:val="20"/>
          <w:highlight w:val="none"/>
        </w:rPr>
      </w:pPr>
    </w:p>
    <w:p>
      <w:pPr>
        <w:adjustRightInd w:val="0"/>
        <w:spacing w:line="480" w:lineRule="auto"/>
        <w:ind w:left="4" w:firstLine="455" w:firstLineChars="217"/>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我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（姓名）系</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（投标人名称）的法定代表人，现授权委托</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（姓名、身份证号）为我公司授权代表，以本公司的名义参加</w:t>
      </w:r>
      <w:r>
        <w:rPr>
          <w:rFonts w:hint="eastAsia" w:ascii="宋体" w:hAnsi="宋体" w:cs="宋体"/>
          <w:snapToGrid w:val="0"/>
          <w:color w:val="auto"/>
          <w:kern w:val="0"/>
          <w:szCs w:val="21"/>
          <w:highlight w:val="none"/>
          <w:u w:val="single"/>
        </w:rPr>
        <w:t xml:space="preserve">   （采购人）    </w:t>
      </w:r>
      <w:r>
        <w:rPr>
          <w:rFonts w:hint="eastAsia" w:ascii="宋体" w:hAnsi="宋体" w:cs="宋体"/>
          <w:snapToGrid w:val="0"/>
          <w:color w:val="auto"/>
          <w:kern w:val="0"/>
          <w:szCs w:val="21"/>
          <w:highlight w:val="none"/>
        </w:rPr>
        <w:t xml:space="preserve">的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项目的投标活动。授权代表在开标、评标、合同谈判过程中所签署的一切文件和处理与之有关的一切事务，我均予以承认。</w:t>
      </w:r>
    </w:p>
    <w:p>
      <w:pPr>
        <w:adjustRightInd w:val="0"/>
        <w:spacing w:line="48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授权代表无权转委托。特此委托。</w:t>
      </w:r>
    </w:p>
    <w:p>
      <w:pPr>
        <w:spacing w:line="360" w:lineRule="auto"/>
        <w:ind w:right="1800" w:firstLine="3570" w:firstLineChars="17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投标人：（盖公章）       </w:t>
      </w:r>
    </w:p>
    <w:p>
      <w:pPr>
        <w:autoSpaceDE w:val="0"/>
        <w:autoSpaceDN w:val="0"/>
        <w:adjustRightInd w:val="0"/>
        <w:spacing w:line="360" w:lineRule="auto"/>
        <w:ind w:right="42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法定代表人（签字或盖章） </w:t>
      </w:r>
    </w:p>
    <w:p>
      <w:pPr>
        <w:autoSpaceDE w:val="0"/>
        <w:autoSpaceDN w:val="0"/>
        <w:adjustRightInd w:val="0"/>
        <w:spacing w:line="360" w:lineRule="auto"/>
        <w:ind w:right="42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法定代表人身份证号码：</w:t>
      </w:r>
    </w:p>
    <w:p>
      <w:pPr>
        <w:autoSpaceDE w:val="0"/>
        <w:autoSpaceDN w:val="0"/>
        <w:adjustRightInd w:val="0"/>
        <w:spacing w:line="360" w:lineRule="auto"/>
        <w:ind w:right="42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授权代表（签字或盖章） </w:t>
      </w:r>
    </w:p>
    <w:p>
      <w:pPr>
        <w:autoSpaceDE w:val="0"/>
        <w:autoSpaceDN w:val="0"/>
        <w:adjustRightInd w:val="0"/>
        <w:spacing w:line="360" w:lineRule="auto"/>
        <w:ind w:right="42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授权代表身份证号码：</w:t>
      </w:r>
    </w:p>
    <w:p>
      <w:pPr>
        <w:autoSpaceDE w:val="0"/>
        <w:autoSpaceDN w:val="0"/>
        <w:adjustRightInd w:val="0"/>
        <w:spacing w:line="360" w:lineRule="auto"/>
        <w:ind w:right="420"/>
        <w:rPr>
          <w:rFonts w:hint="eastAsia" w:ascii="宋体" w:hAnsi="宋体" w:cs="宋体"/>
          <w:snapToGrid w:val="0"/>
          <w:color w:val="auto"/>
          <w:kern w:val="0"/>
          <w:szCs w:val="21"/>
          <w:highlight w:val="none"/>
        </w:rPr>
      </w:pPr>
    </w:p>
    <w:p>
      <w:pPr>
        <w:autoSpaceDE w:val="0"/>
        <w:autoSpaceDN w:val="0"/>
        <w:adjustRightInd w:val="0"/>
        <w:spacing w:line="360" w:lineRule="auto"/>
        <w:ind w:right="42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年    月    日</w:t>
      </w:r>
    </w:p>
    <w:p>
      <w:pPr>
        <w:autoSpaceDE w:val="0"/>
        <w:autoSpaceDN w:val="0"/>
        <w:adjustRightInd w:val="0"/>
        <w:snapToGrid w:val="0"/>
        <w:spacing w:line="360" w:lineRule="auto"/>
        <w:ind w:right="420"/>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附：法定代表人和授权代表的身份证复印件。（正反面）</w:t>
      </w:r>
    </w:p>
    <w:p>
      <w:pPr>
        <w:autoSpaceDE w:val="0"/>
        <w:autoSpaceDN w:val="0"/>
        <w:adjustRightInd w:val="0"/>
        <w:spacing w:line="360" w:lineRule="auto"/>
        <w:ind w:firstLine="630" w:firstLineChars="300"/>
        <w:rPr>
          <w:rFonts w:hint="eastAsia" w:ascii="宋体" w:hAnsi="宋体" w:cs="宋体"/>
          <w:b/>
          <w:color w:val="auto"/>
          <w:sz w:val="24"/>
          <w:highlight w:val="none"/>
        </w:rPr>
      </w:pPr>
      <w:r>
        <w:rPr>
          <w:rFonts w:hint="eastAsia" w:ascii="宋体" w:hAnsi="宋体" w:cs="宋体"/>
          <w:snapToGrid w:val="0"/>
          <w:color w:val="auto"/>
          <w:kern w:val="0"/>
          <w:szCs w:val="21"/>
          <w:highlight w:val="none"/>
        </w:rPr>
        <w:br w:type="page"/>
      </w:r>
      <w:r>
        <w:rPr>
          <w:rFonts w:hint="eastAsia" w:ascii="宋体" w:hAnsi="宋体" w:cs="宋体"/>
          <w:b/>
          <w:color w:val="auto"/>
          <w:highlight w:val="none"/>
          <w:lang w:val="en-US" w:eastAsia="zh-CN"/>
        </w:rPr>
        <w:t>3.5</w:t>
      </w:r>
      <w:r>
        <w:rPr>
          <w:rFonts w:hint="eastAsia" w:ascii="宋体" w:hAnsi="宋体" w:cs="宋体"/>
          <w:b/>
          <w:color w:val="auto"/>
          <w:highlight w:val="none"/>
        </w:rPr>
        <w:t>廉政承诺书</w:t>
      </w:r>
    </w:p>
    <w:p>
      <w:pPr>
        <w:autoSpaceDE w:val="0"/>
        <w:autoSpaceDN w:val="0"/>
        <w:adjustRightIn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廉 政 承 诺 书</w:t>
      </w: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cs="宋体"/>
          <w:bCs/>
          <w:color w:val="auto"/>
          <w:szCs w:val="21"/>
          <w:highlight w:val="none"/>
        </w:rPr>
        <w:t>：</w:t>
      </w: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我单位响应你单位项目招标要求参加应标。在这次应标过程中和中标后，我们将严格遵守国家法律法规规定要求，并郑重承诺：</w:t>
      </w: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一、不向项目有关人员及部门赠送礼金礼物、有价证券、回扣以及中介费、介绍费、咨询费等好处费；</w:t>
      </w: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二、不为项目有关人员及部门报销应由你方单位或个人支付的费用；</w:t>
      </w: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三、不向项目有关人员及部门提供有可能影响公正执行公务的宴请和健身娱乐等活动；</w:t>
      </w: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四、不为项目有关人员及部门出国（境）、旅游等提供方便；</w:t>
      </w: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五、不为项目有关人员个人装修住房、婚丧嫁娶、配偶子女工作安排等提供好处； </w:t>
      </w: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六、严格遵守政府采购法、</w:t>
      </w:r>
      <w:r>
        <w:rPr>
          <w:rFonts w:hint="eastAsia" w:ascii="宋体" w:hAnsi="宋体" w:cs="宋体"/>
          <w:bCs/>
          <w:color w:val="auto"/>
          <w:szCs w:val="21"/>
          <w:highlight w:val="none"/>
          <w:lang w:eastAsia="zh-CN"/>
        </w:rPr>
        <w:t>民法典</w:t>
      </w:r>
      <w:r>
        <w:rPr>
          <w:rFonts w:hint="eastAsia" w:ascii="宋体" w:hAnsi="宋体" w:cs="宋体"/>
          <w:bCs/>
          <w:color w:val="auto"/>
          <w:szCs w:val="21"/>
          <w:highlight w:val="none"/>
        </w:rPr>
        <w:t>等法律，诚实守信，合法经营，坚决抵制各种违法违纪行为。</w:t>
      </w: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如违反上述承诺，你单位有权立即取消我单位应标、中标或在建项目的资格，有权拒绝我单位在一定时期内进入你单位进行工程建设或其他经营活动，并通报市政府采购办。由此引起的相应损失均由我单位承担。</w:t>
      </w:r>
    </w:p>
    <w:p>
      <w:pPr>
        <w:autoSpaceDE w:val="0"/>
        <w:autoSpaceDN w:val="0"/>
        <w:adjustRightInd w:val="0"/>
        <w:spacing w:line="360" w:lineRule="auto"/>
        <w:rPr>
          <w:rFonts w:hint="eastAsia" w:ascii="宋体" w:hAnsi="宋体" w:cs="宋体"/>
          <w:bCs/>
          <w:color w:val="auto"/>
          <w:szCs w:val="21"/>
          <w:highlight w:val="none"/>
        </w:rPr>
      </w:pPr>
    </w:p>
    <w:p>
      <w:pPr>
        <w:autoSpaceDE w:val="0"/>
        <w:autoSpaceDN w:val="0"/>
        <w:adjustRightInd w:val="0"/>
        <w:spacing w:line="360" w:lineRule="auto"/>
        <w:rPr>
          <w:rFonts w:hint="eastAsia" w:ascii="宋体" w:hAnsi="宋体" w:cs="宋体"/>
          <w:bCs/>
          <w:color w:val="auto"/>
          <w:szCs w:val="21"/>
          <w:highlight w:val="none"/>
        </w:rPr>
      </w:pP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投标人（盖公章）：                </w:t>
      </w: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法定代表人（签字或盖章）：                             </w:t>
      </w:r>
    </w:p>
    <w:p>
      <w:pPr>
        <w:autoSpaceDE w:val="0"/>
        <w:autoSpaceDN w:val="0"/>
        <w:adjustRightInd w:val="0"/>
        <w:spacing w:line="360" w:lineRule="auto"/>
        <w:rPr>
          <w:rFonts w:hint="eastAsia" w:ascii="宋体" w:hAnsi="宋体" w:cs="宋体"/>
          <w:bCs/>
          <w:color w:val="auto"/>
          <w:szCs w:val="21"/>
          <w:highlight w:val="none"/>
        </w:rPr>
      </w:pPr>
    </w:p>
    <w:p>
      <w:pPr>
        <w:autoSpaceDE w:val="0"/>
        <w:autoSpaceDN w:val="0"/>
        <w:adjustRightInd w:val="0"/>
        <w:spacing w:line="360" w:lineRule="auto"/>
        <w:rPr>
          <w:rFonts w:hint="eastAsia" w:ascii="宋体" w:hAnsi="宋体" w:cs="宋体"/>
          <w:bCs/>
          <w:color w:val="auto"/>
          <w:szCs w:val="21"/>
          <w:highlight w:val="none"/>
        </w:rPr>
      </w:pPr>
    </w:p>
    <w:p>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color w:val="auto"/>
          <w:spacing w:val="20"/>
          <w:highlight w:val="none"/>
        </w:rPr>
        <w:t xml:space="preserve">  </w:t>
      </w:r>
      <w:r>
        <w:rPr>
          <w:rFonts w:hint="eastAsia" w:ascii="宋体" w:hAnsi="宋体" w:cs="宋体"/>
          <w:color w:val="auto"/>
          <w:highlight w:val="none"/>
        </w:rPr>
        <w:t>年  月  日</w:t>
      </w:r>
    </w:p>
    <w:p>
      <w:pPr>
        <w:autoSpaceDE w:val="0"/>
        <w:autoSpaceDN w:val="0"/>
        <w:adjustRightInd w:val="0"/>
        <w:spacing w:line="360" w:lineRule="auto"/>
        <w:rPr>
          <w:rFonts w:hint="eastAsia" w:ascii="宋体" w:hAnsi="宋体" w:cs="宋体"/>
          <w:b/>
          <w:bCs/>
          <w:color w:val="auto"/>
          <w:szCs w:val="21"/>
          <w:highlight w:val="none"/>
        </w:rPr>
      </w:pPr>
      <w:r>
        <w:rPr>
          <w:rFonts w:hint="eastAsia" w:ascii="宋体" w:hAnsi="宋体" w:cs="宋体"/>
          <w:b/>
          <w:color w:val="auto"/>
          <w:sz w:val="24"/>
          <w:highlight w:val="none"/>
        </w:rPr>
        <w:br w:type="page"/>
      </w:r>
      <w:r>
        <w:rPr>
          <w:rFonts w:hint="eastAsia" w:ascii="宋体" w:hAnsi="宋体" w:cs="宋体"/>
          <w:b/>
          <w:bCs/>
          <w:color w:val="auto"/>
          <w:szCs w:val="21"/>
          <w:highlight w:val="none"/>
          <w:lang w:val="en-US" w:eastAsia="zh-CN"/>
        </w:rPr>
        <w:t>3.6</w:t>
      </w:r>
      <w:r>
        <w:rPr>
          <w:rFonts w:hint="eastAsia" w:ascii="宋体" w:hAnsi="宋体" w:cs="宋体"/>
          <w:b/>
          <w:bCs/>
          <w:color w:val="auto"/>
          <w:szCs w:val="21"/>
          <w:highlight w:val="none"/>
        </w:rPr>
        <w:t>类似业绩</w:t>
      </w:r>
    </w:p>
    <w:p>
      <w:pPr>
        <w:snapToGrid w:val="0"/>
        <w:spacing w:line="360" w:lineRule="auto"/>
        <w:jc w:val="center"/>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投标人曾承担过的类似项目业绩一览表</w:t>
      </w:r>
    </w:p>
    <w:tbl>
      <w:tblPr>
        <w:tblStyle w:val="4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2399"/>
        <w:gridCol w:w="2213"/>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color w:val="auto"/>
                <w:szCs w:val="21"/>
                <w:highlight w:val="none"/>
              </w:rPr>
            </w:pPr>
            <w:r>
              <w:rPr>
                <w:rFonts w:hint="eastAsia" w:ascii="宋体" w:hAnsi="宋体" w:cs="宋体"/>
                <w:color w:val="auto"/>
                <w:spacing w:val="30"/>
                <w:highlight w:val="none"/>
              </w:rPr>
              <w:t>序号</w:t>
            </w:r>
          </w:p>
        </w:tc>
        <w:tc>
          <w:tcPr>
            <w:tcW w:w="23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color w:val="auto"/>
                <w:szCs w:val="21"/>
                <w:highlight w:val="none"/>
              </w:rPr>
            </w:pPr>
            <w:r>
              <w:rPr>
                <w:rFonts w:hint="eastAsia" w:ascii="宋体" w:hAnsi="宋体" w:cs="宋体"/>
                <w:color w:val="auto"/>
                <w:spacing w:val="30"/>
                <w:highlight w:val="none"/>
              </w:rPr>
              <w:t>项目名称</w:t>
            </w:r>
          </w:p>
        </w:tc>
        <w:tc>
          <w:tcPr>
            <w:tcW w:w="22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color w:val="auto"/>
                <w:szCs w:val="21"/>
                <w:highlight w:val="none"/>
              </w:rPr>
            </w:pPr>
            <w:r>
              <w:rPr>
                <w:rFonts w:hint="eastAsia" w:ascii="宋体" w:hAnsi="宋体" w:cs="宋体"/>
                <w:color w:val="auto"/>
                <w:spacing w:val="30"/>
                <w:highlight w:val="none"/>
              </w:rPr>
              <w:t>业主单位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bCs/>
                <w:color w:val="auto"/>
                <w:szCs w:val="21"/>
                <w:highlight w:val="none"/>
              </w:rPr>
            </w:pPr>
            <w:r>
              <w:rPr>
                <w:rFonts w:hint="eastAsia" w:ascii="宋体" w:hAnsi="宋体" w:cs="宋体"/>
                <w:bCs/>
                <w:color w:val="auto"/>
                <w:szCs w:val="21"/>
                <w:highlight w:val="none"/>
              </w:rPr>
              <w:t>联系方式</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Cs/>
                <w:color w:val="auto"/>
                <w:szCs w:val="21"/>
                <w:highlight w:val="none"/>
              </w:rPr>
            </w:pPr>
            <w:r>
              <w:rPr>
                <w:rFonts w:hint="eastAsia" w:ascii="宋体" w:hAnsi="宋体" w:cs="宋体"/>
                <w:color w:val="auto"/>
                <w:spacing w:val="30"/>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after="50" w:line="460" w:lineRule="exact"/>
              <w:ind w:left="5250"/>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auto"/>
                <w:szCs w:val="21"/>
                <w:highlight w:val="none"/>
              </w:rPr>
            </w:pPr>
          </w:p>
        </w:tc>
      </w:tr>
    </w:tbl>
    <w:p>
      <w:pPr>
        <w:tabs>
          <w:tab w:val="left" w:pos="744"/>
        </w:tabs>
        <w:spacing w:line="400" w:lineRule="exact"/>
        <w:ind w:firstLine="308" w:firstLineChars="147"/>
        <w:rPr>
          <w:rFonts w:hint="eastAsia" w:ascii="宋体" w:hAnsi="宋体" w:cs="宋体"/>
          <w:color w:val="auto"/>
          <w:highlight w:val="none"/>
        </w:rPr>
      </w:pPr>
      <w:r>
        <w:rPr>
          <w:rFonts w:hint="eastAsia" w:ascii="宋体" w:hAnsi="宋体" w:cs="宋体"/>
          <w:color w:val="auto"/>
          <w:highlight w:val="none"/>
        </w:rPr>
        <w:t>注：1.表中所列业绩如与评分有关的，出具的证明材料需满足评审依据，否则不予得分。</w:t>
      </w:r>
    </w:p>
    <w:p>
      <w:pPr>
        <w:tabs>
          <w:tab w:val="left" w:pos="744"/>
        </w:tabs>
        <w:spacing w:line="400" w:lineRule="exact"/>
        <w:ind w:firstLine="308" w:firstLineChars="147"/>
        <w:rPr>
          <w:rFonts w:hint="eastAsia" w:ascii="宋体" w:hAnsi="宋体" w:cs="宋体"/>
          <w:color w:val="auto"/>
          <w:highlight w:val="none"/>
        </w:rPr>
      </w:pPr>
      <w:r>
        <w:rPr>
          <w:rFonts w:hint="eastAsia" w:ascii="宋体" w:hAnsi="宋体" w:cs="宋体"/>
          <w:color w:val="auto"/>
          <w:highlight w:val="none"/>
        </w:rPr>
        <w:t xml:space="preserve">   </w:t>
      </w:r>
    </w:p>
    <w:p>
      <w:pPr>
        <w:rPr>
          <w:rFonts w:hint="eastAsia" w:ascii="宋体" w:hAnsi="宋体" w:cs="宋体"/>
          <w:color w:val="auto"/>
          <w:highlight w:val="none"/>
        </w:rPr>
      </w:pPr>
    </w:p>
    <w:p>
      <w:pPr>
        <w:rPr>
          <w:rFonts w:hint="eastAsia" w:ascii="宋体" w:hAnsi="宋体" w:cs="宋体"/>
          <w:color w:val="auto"/>
          <w:highlight w:val="none"/>
        </w:rPr>
      </w:pPr>
    </w:p>
    <w:p>
      <w:pPr>
        <w:adjustRightInd w:val="0"/>
        <w:snapToGrid w:val="0"/>
        <w:spacing w:line="360" w:lineRule="auto"/>
        <w:ind w:firstLine="4158" w:firstLineChars="198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投标人(盖公章)</w:t>
      </w:r>
    </w:p>
    <w:p>
      <w:pPr>
        <w:adjustRightInd w:val="0"/>
        <w:snapToGrid w:val="0"/>
        <w:spacing w:line="360" w:lineRule="auto"/>
        <w:ind w:firstLine="4158" w:firstLineChars="198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法定代表人或授权代表(签字或盖章)</w:t>
      </w:r>
    </w:p>
    <w:p>
      <w:pPr>
        <w:adjustRightInd w:val="0"/>
        <w:snapToGrid w:val="0"/>
        <w:spacing w:line="360" w:lineRule="auto"/>
        <w:ind w:firstLine="4158" w:firstLineChars="198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日期：</w:t>
      </w:r>
    </w:p>
    <w:p>
      <w:pPr>
        <w:autoSpaceDE w:val="0"/>
        <w:autoSpaceDN w:val="0"/>
        <w:adjustRightInd w:val="0"/>
        <w:spacing w:line="360" w:lineRule="auto"/>
        <w:rPr>
          <w:rFonts w:hint="eastAsia" w:ascii="宋体" w:hAnsi="宋体" w:cs="宋体"/>
          <w:b/>
          <w:bCs/>
          <w:color w:val="auto"/>
          <w:szCs w:val="21"/>
          <w:highlight w:val="none"/>
        </w:rPr>
      </w:pPr>
      <w:r>
        <w:rPr>
          <w:rFonts w:hint="eastAsia" w:ascii="宋体" w:hAnsi="宋体" w:cs="宋体"/>
          <w:snapToGrid w:val="0"/>
          <w:color w:val="auto"/>
          <w:kern w:val="0"/>
          <w:szCs w:val="21"/>
          <w:highlight w:val="none"/>
        </w:rPr>
        <w:br w:type="page"/>
      </w:r>
      <w:r>
        <w:rPr>
          <w:rFonts w:hint="eastAsia" w:ascii="宋体" w:hAnsi="宋体" w:cs="宋体"/>
          <w:b/>
          <w:bCs/>
          <w:color w:val="auto"/>
          <w:szCs w:val="21"/>
          <w:highlight w:val="none"/>
          <w:lang w:val="en-US" w:eastAsia="zh-CN"/>
        </w:rPr>
        <w:t>3.7</w:t>
      </w:r>
      <w:r>
        <w:rPr>
          <w:rFonts w:hint="eastAsia" w:ascii="宋体" w:hAnsi="宋体" w:cs="宋体"/>
          <w:b/>
          <w:bCs/>
          <w:color w:val="auto"/>
          <w:szCs w:val="21"/>
          <w:highlight w:val="none"/>
        </w:rPr>
        <w:t>合同/商务条款偏离表</w:t>
      </w:r>
    </w:p>
    <w:p>
      <w:pPr>
        <w:spacing w:line="360" w:lineRule="atLeas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合同/商务条款偏离表</w:t>
      </w:r>
    </w:p>
    <w:p>
      <w:pPr>
        <w:spacing w:line="360" w:lineRule="atLeast"/>
        <w:jc w:val="center"/>
        <w:rPr>
          <w:rFonts w:hint="eastAsia" w:ascii="宋体" w:hAnsi="宋体" w:cs="宋体"/>
          <w:color w:val="auto"/>
          <w:highlight w:val="none"/>
        </w:rPr>
      </w:pPr>
    </w:p>
    <w:tbl>
      <w:tblPr>
        <w:tblStyle w:val="4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60"/>
        <w:gridCol w:w="1785"/>
        <w:gridCol w:w="1785"/>
        <w:gridCol w:w="1785"/>
        <w:gridCol w:w="1785"/>
        <w:gridCol w:w="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74" w:hRule="atLeast"/>
          <w:jc w:val="center"/>
        </w:trPr>
        <w:tc>
          <w:tcPr>
            <w:tcW w:w="660"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57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采购文件要求</w:t>
            </w:r>
          </w:p>
        </w:tc>
        <w:tc>
          <w:tcPr>
            <w:tcW w:w="357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投标文件响应</w:t>
            </w:r>
          </w:p>
        </w:tc>
        <w:tc>
          <w:tcPr>
            <w:tcW w:w="840"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章节、条款号</w:t>
            </w: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条款内容描述</w:t>
            </w: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章节、条款号</w:t>
            </w: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条款内容描述</w:t>
            </w:r>
          </w:p>
        </w:tc>
        <w:tc>
          <w:tcPr>
            <w:tcW w:w="840"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color w:val="auto"/>
                <w:szCs w:val="21"/>
                <w:highlight w:val="none"/>
              </w:rPr>
            </w:pPr>
          </w:p>
        </w:tc>
      </w:tr>
    </w:tbl>
    <w:p>
      <w:pPr>
        <w:spacing w:line="360" w:lineRule="atLeast"/>
        <w:rPr>
          <w:rFonts w:hint="eastAsia" w:ascii="宋体" w:hAnsi="宋体" w:cs="宋体"/>
          <w:color w:val="auto"/>
          <w:highlight w:val="none"/>
        </w:rPr>
      </w:pPr>
      <w:r>
        <w:rPr>
          <w:rFonts w:hint="eastAsia" w:ascii="宋体" w:hAnsi="宋体" w:cs="宋体"/>
          <w:color w:val="auto"/>
          <w:highlight w:val="none"/>
        </w:rPr>
        <w:t>注：若不填写或只填写“无”视作完全响应采购文件的要求。</w:t>
      </w:r>
    </w:p>
    <w:p>
      <w:pPr>
        <w:spacing w:line="360" w:lineRule="atLeast"/>
        <w:rPr>
          <w:rFonts w:hint="eastAsia" w:ascii="宋体" w:hAnsi="宋体" w:cs="宋体"/>
          <w:color w:val="auto"/>
          <w:highlight w:val="none"/>
        </w:rPr>
      </w:pPr>
    </w:p>
    <w:p>
      <w:pPr>
        <w:spacing w:line="360" w:lineRule="atLeast"/>
        <w:rPr>
          <w:rFonts w:hint="eastAsia" w:ascii="宋体" w:hAnsi="宋体" w:cs="宋体"/>
          <w:color w:val="auto"/>
          <w:highlight w:val="none"/>
        </w:rPr>
      </w:pPr>
    </w:p>
    <w:p>
      <w:pPr>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投标人(盖公章)：</w:t>
      </w:r>
    </w:p>
    <w:p>
      <w:pPr>
        <w:spacing w:line="360" w:lineRule="atLeast"/>
        <w:jc w:val="left"/>
        <w:rPr>
          <w:rFonts w:hint="eastAsia" w:ascii="宋体" w:hAnsi="宋体" w:cs="宋体"/>
          <w:color w:val="auto"/>
          <w:szCs w:val="21"/>
          <w:highlight w:val="none"/>
        </w:rPr>
      </w:pP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法定代表人或其授权代表(签字或盖章)：__________________</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rPr>
          <w:rFonts w:hint="eastAsia" w:ascii="宋体" w:hAnsi="宋体" w:cs="宋体"/>
          <w:color w:val="auto"/>
          <w:highlight w:val="none"/>
        </w:rPr>
      </w:pPr>
      <w:r>
        <w:rPr>
          <w:rFonts w:hint="eastAsia" w:ascii="宋体" w:hAnsi="宋体" w:cs="宋体"/>
          <w:color w:val="auto"/>
          <w:highlight w:val="none"/>
        </w:rPr>
        <w:t>日</w:t>
      </w:r>
      <w:r>
        <w:rPr>
          <w:rFonts w:hint="eastAsia" w:ascii="宋体" w:hAnsi="宋体" w:cs="宋体"/>
          <w:color w:val="auto"/>
          <w:highlight w:val="none"/>
        </w:rPr>
        <w:tab/>
      </w:r>
      <w:r>
        <w:rPr>
          <w:rFonts w:hint="eastAsia" w:ascii="宋体" w:hAnsi="宋体" w:cs="宋体"/>
          <w:color w:val="auto"/>
          <w:highlight w:val="none"/>
        </w:rPr>
        <w:t>期：</w:t>
      </w:r>
    </w:p>
    <w:p>
      <w:pPr>
        <w:adjustRightInd w:val="0"/>
        <w:spacing w:line="360" w:lineRule="auto"/>
        <w:ind w:firstLine="482" w:firstLineChars="200"/>
        <w:rPr>
          <w:rFonts w:hint="eastAsia" w:ascii="宋体" w:hAnsi="宋体" w:cs="宋体"/>
          <w:b/>
          <w:snapToGrid w:val="0"/>
          <w:color w:val="auto"/>
          <w:kern w:val="0"/>
          <w:szCs w:val="21"/>
          <w:highlight w:val="none"/>
        </w:rPr>
      </w:pPr>
      <w:r>
        <w:rPr>
          <w:rFonts w:hint="eastAsia" w:ascii="宋体" w:hAnsi="宋体" w:cs="宋体"/>
          <w:b/>
          <w:color w:val="auto"/>
          <w:sz w:val="24"/>
          <w:highlight w:val="none"/>
        </w:rPr>
        <w:br w:type="page"/>
      </w:r>
      <w:r>
        <w:rPr>
          <w:rFonts w:hint="eastAsia" w:ascii="宋体" w:hAnsi="宋体" w:cs="宋体"/>
          <w:b/>
          <w:snapToGrid w:val="0"/>
          <w:color w:val="auto"/>
          <w:kern w:val="0"/>
          <w:szCs w:val="21"/>
          <w:highlight w:val="none"/>
          <w:lang w:val="en-US" w:eastAsia="zh-CN"/>
        </w:rPr>
        <w:t>3.8</w:t>
      </w:r>
      <w:r>
        <w:rPr>
          <w:rFonts w:hint="eastAsia" w:ascii="宋体" w:hAnsi="宋体" w:cs="宋体"/>
          <w:b/>
          <w:snapToGrid w:val="0"/>
          <w:color w:val="auto"/>
          <w:kern w:val="0"/>
          <w:szCs w:val="21"/>
          <w:highlight w:val="none"/>
        </w:rPr>
        <w:t>拟派项目团队配备情况表</w:t>
      </w:r>
    </w:p>
    <w:p>
      <w:pPr>
        <w:snapToGrid w:val="0"/>
        <w:spacing w:line="360" w:lineRule="auto"/>
        <w:jc w:val="center"/>
        <w:rPr>
          <w:rFonts w:hint="eastAsia" w:ascii="宋体" w:hAnsi="宋体" w:cs="宋体"/>
          <w:b/>
          <w:snapToGrid w:val="0"/>
          <w:color w:val="auto"/>
          <w:kern w:val="0"/>
          <w:sz w:val="24"/>
          <w:highlight w:val="none"/>
        </w:rPr>
      </w:pPr>
    </w:p>
    <w:p>
      <w:pPr>
        <w:pStyle w:val="23"/>
        <w:snapToGrid w:val="0"/>
        <w:spacing w:line="360" w:lineRule="auto"/>
        <w:jc w:val="center"/>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（1）拟派项目团队配备情况表</w:t>
      </w:r>
    </w:p>
    <w:tbl>
      <w:tblPr>
        <w:tblStyle w:val="43"/>
        <w:tblW w:w="0" w:type="auto"/>
        <w:tblInd w:w="108" w:type="dxa"/>
        <w:tblLayout w:type="fixed"/>
        <w:tblCellMar>
          <w:top w:w="0" w:type="dxa"/>
          <w:left w:w="108" w:type="dxa"/>
          <w:bottom w:w="0" w:type="dxa"/>
          <w:right w:w="108" w:type="dxa"/>
        </w:tblCellMar>
      </w:tblPr>
      <w:tblGrid>
        <w:gridCol w:w="828"/>
        <w:gridCol w:w="1015"/>
        <w:gridCol w:w="1701"/>
        <w:gridCol w:w="749"/>
        <w:gridCol w:w="720"/>
        <w:gridCol w:w="720"/>
        <w:gridCol w:w="720"/>
        <w:gridCol w:w="1344"/>
        <w:gridCol w:w="1134"/>
      </w:tblGrid>
      <w:tr>
        <w:tblPrEx>
          <w:tblCellMar>
            <w:top w:w="0" w:type="dxa"/>
            <w:left w:w="108" w:type="dxa"/>
            <w:bottom w:w="0" w:type="dxa"/>
            <w:right w:w="108" w:type="dxa"/>
          </w:tblCellMar>
        </w:tblPrEx>
        <w:trPr>
          <w:trHeight w:val="396" w:hRule="atLeast"/>
        </w:trPr>
        <w:tc>
          <w:tcPr>
            <w:tcW w:w="828" w:type="dxa"/>
            <w:tcBorders>
              <w:top w:val="single" w:color="auto" w:sz="12"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015"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姓名</w:t>
            </w:r>
          </w:p>
        </w:tc>
        <w:tc>
          <w:tcPr>
            <w:tcW w:w="1701"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lang w:val="zh-CN"/>
              </w:rPr>
              <w:t>本项目拟任岗位</w:t>
            </w:r>
          </w:p>
        </w:tc>
        <w:tc>
          <w:tcPr>
            <w:tcW w:w="749"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lang w:val="zh-CN"/>
              </w:rPr>
              <w:t>年龄</w:t>
            </w:r>
          </w:p>
        </w:tc>
        <w:tc>
          <w:tcPr>
            <w:tcW w:w="720"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lang w:val="zh-CN"/>
              </w:rPr>
              <w:t>性别</w:t>
            </w:r>
          </w:p>
        </w:tc>
        <w:tc>
          <w:tcPr>
            <w:tcW w:w="720"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lang w:val="zh-CN"/>
              </w:rPr>
              <w:t>专业</w:t>
            </w:r>
          </w:p>
        </w:tc>
        <w:tc>
          <w:tcPr>
            <w:tcW w:w="720"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lang w:val="zh-CN"/>
              </w:rPr>
              <w:t>专业年限</w:t>
            </w:r>
          </w:p>
        </w:tc>
        <w:tc>
          <w:tcPr>
            <w:tcW w:w="1344"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lang w:val="zh-CN"/>
              </w:rPr>
              <w:t>职务和职称</w:t>
            </w:r>
          </w:p>
        </w:tc>
        <w:tc>
          <w:tcPr>
            <w:tcW w:w="1134" w:type="dxa"/>
            <w:tcBorders>
              <w:top w:val="single" w:color="auto" w:sz="12" w:space="0"/>
              <w:left w:val="single" w:color="auto" w:sz="6" w:space="0"/>
              <w:bottom w:val="single" w:color="auto" w:sz="12" w:space="0"/>
              <w:right w:val="single" w:color="auto" w:sz="12" w:space="0"/>
            </w:tcBorders>
            <w:noWrap w:val="0"/>
            <w:vAlign w:val="center"/>
          </w:tcPr>
          <w:p>
            <w:pPr>
              <w:autoSpaceDE w:val="0"/>
              <w:autoSpaceDN w:val="0"/>
              <w:adjustRightInd w:val="0"/>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备注</w:t>
            </w:r>
          </w:p>
        </w:tc>
      </w:tr>
      <w:tr>
        <w:tblPrEx>
          <w:tblCellMar>
            <w:top w:w="0" w:type="dxa"/>
            <w:left w:w="108" w:type="dxa"/>
            <w:bottom w:w="0" w:type="dxa"/>
            <w:right w:w="108" w:type="dxa"/>
          </w:tblCellMar>
        </w:tblPrEx>
        <w:trPr>
          <w:trHeight w:val="408" w:hRule="atLeast"/>
        </w:trPr>
        <w:tc>
          <w:tcPr>
            <w:tcW w:w="828"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12"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left="5250"/>
              <w:rPr>
                <w:rFonts w:hint="eastAsia" w:ascii="宋体" w:hAnsi="宋体" w:cs="宋体"/>
                <w:color w:val="auto"/>
                <w:szCs w:val="21"/>
                <w:highlight w:val="none"/>
              </w:rPr>
            </w:pPr>
          </w:p>
        </w:tc>
        <w:tc>
          <w:tcPr>
            <w:tcW w:w="1134"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left="525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015" w:type="dxa"/>
            <w:tcBorders>
              <w:top w:val="single" w:color="auto" w:sz="6" w:space="0"/>
              <w:left w:val="single" w:color="auto" w:sz="6" w:space="0"/>
              <w:bottom w:val="single" w:color="auto" w:sz="12" w:space="0"/>
              <w:right w:val="single" w:color="auto" w:sz="6" w:space="0"/>
            </w:tcBorders>
            <w:noWrap w:val="0"/>
            <w:vAlign w:val="top"/>
          </w:tcPr>
          <w:p>
            <w:pPr>
              <w:autoSpaceDE w:val="0"/>
              <w:autoSpaceDN w:val="0"/>
              <w:adjustRightInd w:val="0"/>
              <w:rPr>
                <w:rFonts w:hint="eastAsia" w:ascii="宋体" w:hAnsi="宋体" w:cs="宋体"/>
                <w:color w:val="auto"/>
                <w:szCs w:val="21"/>
                <w:highlight w:val="none"/>
              </w:rPr>
            </w:pPr>
          </w:p>
        </w:tc>
        <w:tc>
          <w:tcPr>
            <w:tcW w:w="1701"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49"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344"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宋体" w:hAnsi="宋体" w:cs="宋体"/>
                <w:color w:val="auto"/>
                <w:szCs w:val="21"/>
                <w:highlight w:val="none"/>
              </w:rPr>
            </w:pPr>
          </w:p>
        </w:tc>
      </w:tr>
    </w:tbl>
    <w:p>
      <w:pPr>
        <w:snapToGrid w:val="0"/>
        <w:spacing w:line="360" w:lineRule="auto"/>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注：涉及评分项的其它证明材料附后。</w:t>
      </w:r>
    </w:p>
    <w:p>
      <w:pPr>
        <w:adjustRightInd w:val="0"/>
        <w:snapToGrid w:val="0"/>
        <w:spacing w:line="360" w:lineRule="auto"/>
        <w:ind w:firstLine="4158" w:firstLineChars="1980"/>
        <w:rPr>
          <w:rFonts w:hint="eastAsia" w:ascii="宋体" w:hAnsi="宋体" w:cs="宋体"/>
          <w:snapToGrid w:val="0"/>
          <w:color w:val="auto"/>
          <w:kern w:val="0"/>
          <w:szCs w:val="21"/>
          <w:highlight w:val="none"/>
        </w:rPr>
      </w:pPr>
    </w:p>
    <w:p>
      <w:pPr>
        <w:adjustRightInd w:val="0"/>
        <w:snapToGrid w:val="0"/>
        <w:spacing w:line="360" w:lineRule="auto"/>
        <w:ind w:firstLine="4158" w:firstLineChars="1980"/>
        <w:rPr>
          <w:rFonts w:hint="eastAsia" w:ascii="宋体" w:hAnsi="宋体" w:cs="宋体"/>
          <w:snapToGrid w:val="0"/>
          <w:color w:val="auto"/>
          <w:kern w:val="0"/>
          <w:szCs w:val="21"/>
          <w:highlight w:val="none"/>
        </w:rPr>
      </w:pPr>
    </w:p>
    <w:p>
      <w:pPr>
        <w:adjustRightInd w:val="0"/>
        <w:snapToGrid w:val="0"/>
        <w:spacing w:line="360" w:lineRule="auto"/>
        <w:ind w:firstLine="4158" w:firstLineChars="198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投标人(盖公章)</w:t>
      </w:r>
    </w:p>
    <w:p>
      <w:pPr>
        <w:adjustRightInd w:val="0"/>
        <w:snapToGrid w:val="0"/>
        <w:spacing w:line="360" w:lineRule="auto"/>
        <w:ind w:firstLine="4158" w:firstLineChars="198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法定代表人或授权代表(签字或盖章)</w:t>
      </w:r>
    </w:p>
    <w:p>
      <w:pPr>
        <w:snapToGrid w:val="0"/>
        <w:spacing w:line="360" w:lineRule="auto"/>
        <w:ind w:firstLine="4200" w:firstLineChars="20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日期：</w:t>
      </w:r>
    </w:p>
    <w:p>
      <w:pPr>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br w:type="page"/>
      </w:r>
    </w:p>
    <w:p>
      <w:pPr>
        <w:pStyle w:val="23"/>
        <w:snapToGrid w:val="0"/>
        <w:spacing w:line="360" w:lineRule="auto"/>
        <w:jc w:val="center"/>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（2）项目负责人简历表</w:t>
      </w:r>
    </w:p>
    <w:tbl>
      <w:tblPr>
        <w:tblStyle w:val="43"/>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
        <w:gridCol w:w="1389"/>
        <w:gridCol w:w="1155"/>
        <w:gridCol w:w="1050"/>
        <w:gridCol w:w="210"/>
        <w:gridCol w:w="1830"/>
        <w:gridCol w:w="262"/>
        <w:gridCol w:w="1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6" w:hRule="atLeast"/>
        </w:trPr>
        <w:tc>
          <w:tcPr>
            <w:tcW w:w="1474" w:type="dxa"/>
            <w:gridSpan w:val="2"/>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姓   名</w:t>
            </w:r>
          </w:p>
        </w:tc>
        <w:tc>
          <w:tcPr>
            <w:tcW w:w="1389" w:type="dxa"/>
            <w:noWrap w:val="0"/>
            <w:vAlign w:val="center"/>
          </w:tcPr>
          <w:p>
            <w:pPr>
              <w:snapToGrid w:val="0"/>
              <w:spacing w:line="320" w:lineRule="atLeast"/>
              <w:jc w:val="center"/>
              <w:rPr>
                <w:rFonts w:hint="eastAsia" w:ascii="宋体" w:hAnsi="宋体" w:cs="宋体"/>
                <w:color w:val="auto"/>
                <w:highlight w:val="none"/>
              </w:rPr>
            </w:pPr>
          </w:p>
        </w:tc>
        <w:tc>
          <w:tcPr>
            <w:tcW w:w="1155" w:type="dxa"/>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年   龄</w:t>
            </w:r>
          </w:p>
        </w:tc>
        <w:tc>
          <w:tcPr>
            <w:tcW w:w="1260" w:type="dxa"/>
            <w:gridSpan w:val="2"/>
            <w:noWrap w:val="0"/>
            <w:vAlign w:val="center"/>
          </w:tcPr>
          <w:p>
            <w:pPr>
              <w:snapToGrid w:val="0"/>
              <w:spacing w:line="320" w:lineRule="atLeast"/>
              <w:jc w:val="center"/>
              <w:rPr>
                <w:rFonts w:hint="eastAsia" w:ascii="宋体" w:hAnsi="宋体" w:cs="宋体"/>
                <w:color w:val="auto"/>
                <w:highlight w:val="none"/>
              </w:rPr>
            </w:pPr>
          </w:p>
        </w:tc>
        <w:tc>
          <w:tcPr>
            <w:tcW w:w="2092" w:type="dxa"/>
            <w:gridSpan w:val="2"/>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专   业</w:t>
            </w:r>
          </w:p>
        </w:tc>
        <w:tc>
          <w:tcPr>
            <w:tcW w:w="1270" w:type="dxa"/>
            <w:noWrap w:val="0"/>
            <w:vAlign w:val="center"/>
          </w:tcPr>
          <w:p>
            <w:pPr>
              <w:snapToGrid w:val="0"/>
              <w:spacing w:line="320" w:lineRule="atLeast"/>
              <w:jc w:val="center"/>
              <w:rPr>
                <w:rFonts w:hint="eastAsia"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474" w:type="dxa"/>
            <w:gridSpan w:val="2"/>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职   称</w:t>
            </w:r>
          </w:p>
        </w:tc>
        <w:tc>
          <w:tcPr>
            <w:tcW w:w="1389" w:type="dxa"/>
            <w:noWrap w:val="0"/>
            <w:vAlign w:val="center"/>
          </w:tcPr>
          <w:p>
            <w:pPr>
              <w:snapToGrid w:val="0"/>
              <w:spacing w:line="320" w:lineRule="atLeast"/>
              <w:jc w:val="center"/>
              <w:rPr>
                <w:rFonts w:hint="eastAsia" w:ascii="宋体" w:hAnsi="宋体" w:cs="宋体"/>
                <w:color w:val="auto"/>
                <w:highlight w:val="none"/>
              </w:rPr>
            </w:pPr>
          </w:p>
        </w:tc>
        <w:tc>
          <w:tcPr>
            <w:tcW w:w="1155" w:type="dxa"/>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职   务</w:t>
            </w:r>
          </w:p>
        </w:tc>
        <w:tc>
          <w:tcPr>
            <w:tcW w:w="1260" w:type="dxa"/>
            <w:gridSpan w:val="2"/>
            <w:noWrap w:val="0"/>
            <w:vAlign w:val="center"/>
          </w:tcPr>
          <w:p>
            <w:pPr>
              <w:snapToGrid w:val="0"/>
              <w:spacing w:line="320" w:lineRule="atLeast"/>
              <w:jc w:val="center"/>
              <w:rPr>
                <w:rFonts w:hint="eastAsia" w:ascii="宋体" w:hAnsi="宋体" w:cs="宋体"/>
                <w:color w:val="auto"/>
                <w:highlight w:val="none"/>
              </w:rPr>
            </w:pPr>
          </w:p>
        </w:tc>
        <w:tc>
          <w:tcPr>
            <w:tcW w:w="2092" w:type="dxa"/>
            <w:gridSpan w:val="2"/>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拟在本合同</w:t>
            </w:r>
          </w:p>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项目担任职务</w:t>
            </w:r>
          </w:p>
        </w:tc>
        <w:tc>
          <w:tcPr>
            <w:tcW w:w="1270" w:type="dxa"/>
            <w:noWrap w:val="0"/>
            <w:vAlign w:val="center"/>
          </w:tcPr>
          <w:p>
            <w:pPr>
              <w:snapToGrid w:val="0"/>
              <w:spacing w:line="320" w:lineRule="atLeast"/>
              <w:jc w:val="center"/>
              <w:rPr>
                <w:rFonts w:hint="eastAsia"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trPr>
        <w:tc>
          <w:tcPr>
            <w:tcW w:w="1474" w:type="dxa"/>
            <w:gridSpan w:val="2"/>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毕业学校</w:t>
            </w:r>
          </w:p>
        </w:tc>
        <w:tc>
          <w:tcPr>
            <w:tcW w:w="7166" w:type="dxa"/>
            <w:gridSpan w:val="7"/>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月毕业于</w:t>
            </w:r>
            <w:r>
              <w:rPr>
                <w:rFonts w:hint="eastAsia" w:ascii="宋体" w:hAnsi="宋体" w:cs="宋体"/>
                <w:color w:val="auto"/>
                <w:highlight w:val="none"/>
                <w:u w:val="single"/>
              </w:rPr>
              <w:t xml:space="preserve">      </w:t>
            </w:r>
            <w:r>
              <w:rPr>
                <w:rFonts w:hint="eastAsia" w:ascii="宋体" w:hAnsi="宋体" w:cs="宋体"/>
                <w:color w:val="auto"/>
                <w:highlight w:val="none"/>
              </w:rPr>
              <w:t>学校</w:t>
            </w:r>
            <w:r>
              <w:rPr>
                <w:rFonts w:hint="eastAsia" w:ascii="宋体" w:hAnsi="宋体" w:cs="宋体"/>
                <w:color w:val="auto"/>
                <w:highlight w:val="none"/>
                <w:u w:val="single"/>
              </w:rPr>
              <w:t xml:space="preserve">    </w:t>
            </w:r>
            <w:r>
              <w:rPr>
                <w:rFonts w:hint="eastAsia" w:ascii="宋体" w:hAnsi="宋体" w:cs="宋体"/>
                <w:color w:val="auto"/>
                <w:highlight w:val="none"/>
              </w:rPr>
              <w:t>系(科)，学制</w:t>
            </w:r>
            <w:r>
              <w:rPr>
                <w:rFonts w:hint="eastAsia" w:ascii="宋体" w:hAnsi="宋体" w:cs="宋体"/>
                <w:color w:val="auto"/>
                <w:highlight w:val="none"/>
                <w:u w:val="single"/>
              </w:rPr>
              <w:t xml:space="preserve">    </w:t>
            </w:r>
            <w:r>
              <w:rPr>
                <w:rFonts w:hint="eastAsia" w:ascii="宋体" w:hAnsi="宋体" w:cs="宋体"/>
                <w:color w:val="auto"/>
                <w:highlight w:val="none"/>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8640" w:type="dxa"/>
            <w:gridSpan w:val="9"/>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经                        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1" w:hRule="atLeast"/>
        </w:trPr>
        <w:tc>
          <w:tcPr>
            <w:tcW w:w="1468" w:type="dxa"/>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年   月</w:t>
            </w:r>
          </w:p>
        </w:tc>
        <w:tc>
          <w:tcPr>
            <w:tcW w:w="3600" w:type="dxa"/>
            <w:gridSpan w:val="4"/>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工作经历</w:t>
            </w:r>
          </w:p>
        </w:tc>
        <w:tc>
          <w:tcPr>
            <w:tcW w:w="2040" w:type="dxa"/>
            <w:gridSpan w:val="2"/>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担 任 何 职</w:t>
            </w:r>
          </w:p>
        </w:tc>
        <w:tc>
          <w:tcPr>
            <w:tcW w:w="1532" w:type="dxa"/>
            <w:gridSpan w:val="2"/>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38" w:hRule="atLeast"/>
        </w:trPr>
        <w:tc>
          <w:tcPr>
            <w:tcW w:w="1468" w:type="dxa"/>
            <w:noWrap w:val="0"/>
            <w:vAlign w:val="center"/>
          </w:tcPr>
          <w:p>
            <w:pPr>
              <w:snapToGrid w:val="0"/>
              <w:spacing w:line="320" w:lineRule="atLeast"/>
              <w:jc w:val="center"/>
              <w:rPr>
                <w:rFonts w:hint="eastAsia" w:ascii="宋体" w:hAnsi="宋体" w:cs="宋体"/>
                <w:color w:val="auto"/>
                <w:highlight w:val="none"/>
              </w:rPr>
            </w:pPr>
          </w:p>
          <w:p>
            <w:pPr>
              <w:snapToGrid w:val="0"/>
              <w:spacing w:line="320" w:lineRule="atLeast"/>
              <w:jc w:val="center"/>
              <w:rPr>
                <w:rFonts w:hint="eastAsia" w:ascii="宋体" w:hAnsi="宋体" w:cs="宋体"/>
                <w:color w:val="auto"/>
                <w:highlight w:val="none"/>
              </w:rPr>
            </w:pPr>
          </w:p>
          <w:p>
            <w:pPr>
              <w:snapToGrid w:val="0"/>
              <w:spacing w:line="320" w:lineRule="atLeast"/>
              <w:jc w:val="center"/>
              <w:rPr>
                <w:rFonts w:hint="eastAsia" w:ascii="宋体" w:hAnsi="宋体" w:cs="宋体"/>
                <w:color w:val="auto"/>
                <w:highlight w:val="none"/>
              </w:rPr>
            </w:pPr>
          </w:p>
          <w:p>
            <w:pPr>
              <w:snapToGrid w:val="0"/>
              <w:spacing w:line="320" w:lineRule="atLeast"/>
              <w:jc w:val="center"/>
              <w:rPr>
                <w:rFonts w:hint="eastAsia" w:ascii="宋体" w:hAnsi="宋体" w:cs="宋体"/>
                <w:color w:val="auto"/>
                <w:highlight w:val="none"/>
              </w:rPr>
            </w:pPr>
          </w:p>
          <w:p>
            <w:pPr>
              <w:snapToGrid w:val="0"/>
              <w:spacing w:line="320" w:lineRule="atLeast"/>
              <w:jc w:val="center"/>
              <w:rPr>
                <w:rFonts w:hint="eastAsia" w:ascii="宋体" w:hAnsi="宋体" w:cs="宋体"/>
                <w:color w:val="auto"/>
                <w:highlight w:val="none"/>
              </w:rPr>
            </w:pPr>
          </w:p>
          <w:p>
            <w:pPr>
              <w:snapToGrid w:val="0"/>
              <w:spacing w:line="320" w:lineRule="atLeast"/>
              <w:jc w:val="center"/>
              <w:rPr>
                <w:rFonts w:hint="eastAsia" w:ascii="宋体" w:hAnsi="宋体" w:cs="宋体"/>
                <w:color w:val="auto"/>
                <w:highlight w:val="none"/>
              </w:rPr>
            </w:pPr>
          </w:p>
          <w:p>
            <w:pPr>
              <w:snapToGrid w:val="0"/>
              <w:spacing w:line="320" w:lineRule="atLeast"/>
              <w:jc w:val="center"/>
              <w:rPr>
                <w:rFonts w:hint="eastAsia" w:ascii="宋体" w:hAnsi="宋体" w:cs="宋体"/>
                <w:color w:val="auto"/>
                <w:highlight w:val="none"/>
              </w:rPr>
            </w:pPr>
          </w:p>
          <w:p>
            <w:pPr>
              <w:snapToGrid w:val="0"/>
              <w:spacing w:line="320" w:lineRule="atLeast"/>
              <w:jc w:val="center"/>
              <w:rPr>
                <w:rFonts w:hint="eastAsia" w:ascii="宋体" w:hAnsi="宋体" w:cs="宋体"/>
                <w:color w:val="auto"/>
                <w:highlight w:val="none"/>
              </w:rPr>
            </w:pPr>
          </w:p>
        </w:tc>
        <w:tc>
          <w:tcPr>
            <w:tcW w:w="3600" w:type="dxa"/>
            <w:gridSpan w:val="4"/>
            <w:noWrap w:val="0"/>
            <w:vAlign w:val="center"/>
          </w:tcPr>
          <w:p>
            <w:pPr>
              <w:snapToGrid w:val="0"/>
              <w:spacing w:line="320" w:lineRule="atLeast"/>
              <w:jc w:val="center"/>
              <w:rPr>
                <w:rFonts w:hint="eastAsia" w:ascii="宋体" w:hAnsi="宋体" w:cs="宋体"/>
                <w:color w:val="auto"/>
                <w:highlight w:val="none"/>
              </w:rPr>
            </w:pPr>
          </w:p>
        </w:tc>
        <w:tc>
          <w:tcPr>
            <w:tcW w:w="2040" w:type="dxa"/>
            <w:gridSpan w:val="2"/>
            <w:noWrap w:val="0"/>
            <w:vAlign w:val="center"/>
          </w:tcPr>
          <w:p>
            <w:pPr>
              <w:snapToGrid w:val="0"/>
              <w:spacing w:line="320" w:lineRule="atLeast"/>
              <w:jc w:val="center"/>
              <w:rPr>
                <w:rFonts w:hint="eastAsia" w:ascii="宋体" w:hAnsi="宋体" w:cs="宋体"/>
                <w:color w:val="auto"/>
                <w:highlight w:val="none"/>
              </w:rPr>
            </w:pPr>
          </w:p>
        </w:tc>
        <w:tc>
          <w:tcPr>
            <w:tcW w:w="1532" w:type="dxa"/>
            <w:gridSpan w:val="2"/>
            <w:noWrap w:val="0"/>
            <w:vAlign w:val="center"/>
          </w:tcPr>
          <w:p>
            <w:pPr>
              <w:snapToGrid w:val="0"/>
              <w:spacing w:line="320" w:lineRule="atLeast"/>
              <w:jc w:val="center"/>
              <w:rPr>
                <w:rFonts w:hint="eastAsia" w:ascii="宋体" w:hAnsi="宋体" w:cs="宋体"/>
                <w:color w:val="auto"/>
                <w:highlight w:val="none"/>
              </w:rPr>
            </w:pPr>
          </w:p>
          <w:p>
            <w:pPr>
              <w:snapToGrid w:val="0"/>
              <w:spacing w:line="320" w:lineRule="atLeast"/>
              <w:jc w:val="center"/>
              <w:rPr>
                <w:rFonts w:hint="eastAsia" w:ascii="宋体" w:hAnsi="宋体" w:cs="宋体"/>
                <w:color w:val="auto"/>
                <w:highlight w:val="none"/>
              </w:rPr>
            </w:pPr>
          </w:p>
          <w:p>
            <w:pPr>
              <w:snapToGrid w:val="0"/>
              <w:spacing w:line="320" w:lineRule="atLeast"/>
              <w:jc w:val="center"/>
              <w:rPr>
                <w:rFonts w:hint="eastAsia" w:ascii="宋体" w:hAnsi="宋体" w:cs="宋体"/>
                <w:color w:val="auto"/>
                <w:highlight w:val="none"/>
              </w:rPr>
            </w:pPr>
          </w:p>
          <w:p>
            <w:pPr>
              <w:snapToGrid w:val="0"/>
              <w:spacing w:line="320" w:lineRule="atLeast"/>
              <w:jc w:val="center"/>
              <w:rPr>
                <w:rFonts w:hint="eastAsia" w:ascii="宋体" w:hAnsi="宋体" w:cs="宋体"/>
                <w:color w:val="auto"/>
                <w:highlight w:val="none"/>
              </w:rPr>
            </w:pPr>
          </w:p>
          <w:p>
            <w:pPr>
              <w:snapToGrid w:val="0"/>
              <w:spacing w:line="320" w:lineRule="atLeast"/>
              <w:jc w:val="center"/>
              <w:rPr>
                <w:rFonts w:hint="eastAsia" w:ascii="宋体" w:hAnsi="宋体" w:cs="宋体"/>
                <w:color w:val="auto"/>
                <w:highlight w:val="none"/>
              </w:rPr>
            </w:pPr>
          </w:p>
        </w:tc>
      </w:tr>
    </w:tbl>
    <w:p>
      <w:pPr>
        <w:snapToGrid w:val="0"/>
        <w:spacing w:line="360" w:lineRule="auto"/>
        <w:rPr>
          <w:rFonts w:hint="eastAsia" w:ascii="宋体" w:hAnsi="宋体" w:cs="宋体"/>
          <w:color w:val="auto"/>
          <w:highlight w:val="none"/>
        </w:rPr>
      </w:pPr>
      <w:r>
        <w:rPr>
          <w:rFonts w:hint="eastAsia" w:ascii="宋体" w:hAnsi="宋体" w:cs="宋体"/>
          <w:color w:val="auto"/>
          <w:highlight w:val="none"/>
        </w:rPr>
        <w:t xml:space="preserve"> 注：与评分有关的证明材料附后。</w:t>
      </w:r>
    </w:p>
    <w:p>
      <w:pPr>
        <w:snapToGrid w:val="0"/>
        <w:spacing w:line="360" w:lineRule="auto"/>
        <w:rPr>
          <w:rFonts w:hint="eastAsia" w:ascii="宋体" w:hAnsi="宋体" w:cs="宋体"/>
          <w:color w:val="auto"/>
          <w:highlight w:val="none"/>
        </w:rPr>
      </w:pPr>
    </w:p>
    <w:p>
      <w:pPr>
        <w:snapToGrid w:val="0"/>
        <w:spacing w:line="360" w:lineRule="auto"/>
        <w:rPr>
          <w:rFonts w:hint="eastAsia" w:ascii="宋体" w:hAnsi="宋体" w:cs="宋体"/>
          <w:color w:val="auto"/>
          <w:highlight w:val="none"/>
        </w:rPr>
      </w:pPr>
    </w:p>
    <w:p>
      <w:pPr>
        <w:snapToGrid w:val="0"/>
        <w:spacing w:line="360" w:lineRule="auto"/>
        <w:rPr>
          <w:rFonts w:hint="eastAsia" w:ascii="宋体" w:hAnsi="宋体" w:cs="宋体"/>
          <w:b/>
          <w:snapToGrid w:val="0"/>
          <w:color w:val="auto"/>
          <w:kern w:val="0"/>
          <w:sz w:val="24"/>
          <w:highlight w:val="none"/>
        </w:rPr>
      </w:pPr>
    </w:p>
    <w:p>
      <w:pPr>
        <w:adjustRightInd w:val="0"/>
        <w:snapToGrid w:val="0"/>
        <w:spacing w:line="360" w:lineRule="auto"/>
        <w:ind w:firstLine="4158" w:firstLineChars="198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投标人(盖公章)</w:t>
      </w:r>
    </w:p>
    <w:p>
      <w:pPr>
        <w:adjustRightInd w:val="0"/>
        <w:snapToGrid w:val="0"/>
        <w:spacing w:line="360" w:lineRule="auto"/>
        <w:ind w:firstLine="4158" w:firstLineChars="198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法定代表人或授权代表(签字或盖章)</w:t>
      </w:r>
    </w:p>
    <w:p>
      <w:pPr>
        <w:snapToGrid w:val="0"/>
        <w:spacing w:line="360" w:lineRule="auto"/>
        <w:ind w:firstLine="4200" w:firstLineChars="20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日期：</w:t>
      </w:r>
    </w:p>
    <w:p>
      <w:pPr>
        <w:spacing w:line="360" w:lineRule="atLeast"/>
        <w:outlineLvl w:val="1"/>
        <w:rPr>
          <w:rFonts w:hint="eastAsia" w:ascii="宋体" w:hAnsi="宋体" w:cs="宋体"/>
          <w:color w:val="auto"/>
          <w:sz w:val="24"/>
          <w:highlight w:val="none"/>
        </w:rPr>
      </w:pPr>
      <w:r>
        <w:rPr>
          <w:rFonts w:hint="eastAsia" w:ascii="宋体" w:hAnsi="宋体" w:cs="宋体"/>
          <w:snapToGrid w:val="0"/>
          <w:color w:val="auto"/>
          <w:kern w:val="0"/>
          <w:szCs w:val="21"/>
          <w:highlight w:val="none"/>
        </w:rPr>
        <w:br w:type="page"/>
      </w:r>
      <w:bookmarkStart w:id="84" w:name="_Toc28558"/>
      <w:bookmarkStart w:id="85" w:name="_Toc18332"/>
      <w:r>
        <w:rPr>
          <w:rFonts w:hint="eastAsia" w:ascii="宋体" w:hAnsi="宋体" w:cs="宋体"/>
          <w:color w:val="auto"/>
          <w:sz w:val="24"/>
          <w:highlight w:val="none"/>
          <w:lang w:val="en-US" w:eastAsia="zh-CN"/>
        </w:rPr>
        <w:t>四</w:t>
      </w:r>
      <w:r>
        <w:rPr>
          <w:rFonts w:hint="eastAsia" w:ascii="宋体" w:hAnsi="宋体" w:cs="宋体"/>
          <w:color w:val="auto"/>
          <w:sz w:val="24"/>
          <w:highlight w:val="none"/>
        </w:rPr>
        <w:t>、</w:t>
      </w:r>
      <w:r>
        <w:rPr>
          <w:rFonts w:hint="eastAsia" w:ascii="宋体" w:hAnsi="宋体" w:cs="宋体"/>
          <w:color w:val="auto"/>
          <w:sz w:val="24"/>
          <w:highlight w:val="none"/>
          <w:lang w:eastAsia="zh-CN"/>
        </w:rPr>
        <w:t>报价响应文件</w:t>
      </w:r>
      <w:r>
        <w:rPr>
          <w:rFonts w:hint="eastAsia" w:ascii="宋体" w:hAnsi="宋体" w:cs="宋体"/>
          <w:color w:val="auto"/>
          <w:sz w:val="24"/>
          <w:highlight w:val="none"/>
        </w:rPr>
        <w:t>部分格式</w:t>
      </w:r>
      <w:bookmarkEnd w:id="84"/>
      <w:bookmarkEnd w:id="85"/>
    </w:p>
    <w:p>
      <w:pPr>
        <w:autoSpaceDE w:val="0"/>
        <w:autoSpaceDN w:val="0"/>
        <w:adjustRightIn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.1投标函</w:t>
      </w:r>
    </w:p>
    <w:p>
      <w:pPr>
        <w:pStyle w:val="23"/>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投标函</w:t>
      </w:r>
    </w:p>
    <w:p>
      <w:pPr>
        <w:pStyle w:val="23"/>
        <w:spacing w:line="360" w:lineRule="auto"/>
        <w:rPr>
          <w:rFonts w:hint="eastAsia" w:ascii="宋体" w:hAnsi="宋体" w:eastAsia="宋体" w:cs="宋体"/>
          <w:color w:val="auto"/>
          <w:highlight w:val="none"/>
          <w:u w:val="single"/>
        </w:rPr>
      </w:pP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color w:val="auto"/>
          <w:highlight w:val="none"/>
        </w:rPr>
        <w:t>：</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(投标人全称)授权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(职务、职称)为全权代表，参加贵方组织的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 (采购编号：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)的有关活动，并对此项目进行投标。为此：</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1、我方同意在投标人编制和提交投标文件须知规定的开标日期起遵守本投标书中的承诺且在投标有效期满之前均具有约束力。</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2、我方承诺已经具备《中华人民共和国政府采购法》中规定的参加政府采购活动的投标人应当具备的条件：</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(2)遵守国家法律、行政法规，具有良好的信誉和商业道德；</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(3)具有履行合同的能力和良好的履行合同记录；</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(4)良好的资金、财务状况；</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(5)没有违反政府采购法规、政策的记录；</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(6)没有发生重大经济纠纷和走私犯罪记录。</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3、提供编制和提交</w:t>
      </w:r>
      <w:r>
        <w:rPr>
          <w:rFonts w:hint="eastAsia" w:ascii="宋体" w:hAnsi="宋体" w:eastAsia="宋体" w:cs="宋体"/>
          <w:color w:val="auto"/>
          <w:highlight w:val="none"/>
          <w:lang w:val="en-US" w:eastAsia="zh-CN"/>
        </w:rPr>
        <w:t>投标文件</w:t>
      </w:r>
      <w:r>
        <w:rPr>
          <w:rFonts w:hint="eastAsia" w:ascii="宋体" w:hAnsi="宋体" w:eastAsia="宋体" w:cs="宋体"/>
          <w:color w:val="auto"/>
          <w:highlight w:val="none"/>
        </w:rPr>
        <w:t>须知规定的全部投标文件，包括一份电子加密标书（后缀格式为.jmbs），一份备份标书文件（后缀格式为.bfbs）。具体内容为：</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(1)资格文件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商务技术文件、报价文件</w:t>
      </w:r>
      <w:r>
        <w:rPr>
          <w:rFonts w:hint="eastAsia" w:ascii="宋体" w:hAnsi="宋体" w:eastAsia="宋体" w:cs="宋体"/>
          <w:color w:val="auto"/>
          <w:highlight w:val="none"/>
        </w:rPr>
        <w:t>；</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)编制和提交投标文件须知要求投标人提交的全部文件；</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文件要求提供和交付的货物和服务的投标报价详见开标一览表；</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)保证忠实地执行双方所签订的合同，并承担合同规定的责任和义务；</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)保证遵守</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文件中的其他有关规定。</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4、我方完全理解贵方不一定要接受最低价的投标。</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5、我方愿意向贵方提供任何与该项投标有关的数据、情况和技术资料。若贵方需要，我方愿意提供我方作出的一切承诺的证明材料。</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6、我方已详细审核全部采购文件，包括采购文件修改书(如果有)、参考资料及有关附件，确认无误。</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a)提供虚假材料谋取中标、成交的；</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b)采取不正当手段诋毁、排挤其他投标人的；</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c)与采购人、其它投标人或者采购代理机构恶意串通的；</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d)向采购人、采购代理机构行贿或者提供其他不正当利益的；</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e)在招标采购过程中与采购人进行协商谈判的；</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f)拒绝有关部门监督检查或提供虚假情况的。</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投标人有前款第a)至e)项情形之一的，中标、成交无效。</w:t>
      </w:r>
    </w:p>
    <w:p>
      <w:pPr>
        <w:pStyle w:val="23"/>
        <w:spacing w:line="420" w:lineRule="exact"/>
        <w:ind w:firstLine="420" w:firstLineChars="200"/>
        <w:rPr>
          <w:rFonts w:hint="eastAsia" w:ascii="宋体" w:hAnsi="宋体" w:eastAsia="宋体" w:cs="宋体"/>
          <w:color w:val="auto"/>
          <w:highlight w:val="none"/>
        </w:rPr>
      </w:pPr>
    </w:p>
    <w:p>
      <w:pPr>
        <w:pStyle w:val="23"/>
        <w:spacing w:line="420" w:lineRule="exact"/>
        <w:ind w:firstLine="420" w:firstLineChars="200"/>
        <w:rPr>
          <w:rFonts w:hint="eastAsia" w:ascii="宋体" w:hAnsi="宋体" w:eastAsia="宋体" w:cs="宋体"/>
          <w:color w:val="auto"/>
          <w:highlight w:val="none"/>
        </w:rPr>
      </w:pP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ab/>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授权委托人（签字）：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投标人（盖公章）：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联系电话</w:t>
      </w:r>
      <w:r>
        <w:rPr>
          <w:rFonts w:hint="eastAsia" w:ascii="宋体" w:hAnsi="宋体" w:eastAsia="宋体" w:cs="宋体"/>
          <w:color w:val="auto"/>
          <w:highlight w:val="none"/>
          <w:u w:val="single"/>
        </w:rPr>
        <w:t xml:space="preserve">：                 </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2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传真号码</w:t>
      </w:r>
      <w:r>
        <w:rPr>
          <w:rFonts w:hint="eastAsia" w:ascii="宋体" w:hAnsi="宋体" w:eastAsia="宋体" w:cs="宋体"/>
          <w:color w:val="auto"/>
          <w:highlight w:val="none"/>
          <w:u w:val="single"/>
        </w:rPr>
        <w:t xml:space="preserve">：                     </w:t>
      </w:r>
    </w:p>
    <w:p>
      <w:pPr>
        <w:pStyle w:val="23"/>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autoSpaceDE w:val="0"/>
        <w:autoSpaceDN w:val="0"/>
        <w:adjustRightInd w:val="0"/>
        <w:spacing w:line="360" w:lineRule="auto"/>
        <w:rPr>
          <w:rFonts w:hint="eastAsia" w:ascii="宋体" w:hAnsi="宋体" w:cs="宋体"/>
          <w:b/>
          <w:bCs/>
          <w:color w:val="auto"/>
          <w:szCs w:val="21"/>
          <w:highlight w:val="none"/>
        </w:rPr>
      </w:pPr>
      <w:r>
        <w:rPr>
          <w:rFonts w:hint="eastAsia" w:ascii="宋体" w:hAnsi="宋体" w:cs="宋体"/>
          <w:bCs/>
          <w:color w:val="auto"/>
          <w:szCs w:val="21"/>
          <w:highlight w:val="none"/>
        </w:rPr>
        <w:br w:type="page"/>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.2开标一览表</w:t>
      </w:r>
    </w:p>
    <w:p>
      <w:pPr>
        <w:pStyle w:val="2"/>
        <w:spacing w:line="600" w:lineRule="exact"/>
        <w:ind w:firstLine="0"/>
        <w:jc w:val="center"/>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开标一览表</w:t>
      </w:r>
    </w:p>
    <w:p>
      <w:pPr>
        <w:adjustRightInd w:val="0"/>
        <w:spacing w:line="360" w:lineRule="auto"/>
        <w:rPr>
          <w:rFonts w:hint="eastAsia" w:ascii="宋体" w:hAnsi="宋体" w:cs="宋体"/>
          <w:color w:val="auto"/>
          <w:szCs w:val="21"/>
          <w:highlight w:val="none"/>
        </w:rPr>
      </w:pPr>
    </w:p>
    <w:p>
      <w:pPr>
        <w:adjustRightIn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项目名称：                                 采购编号：</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522" w:type="dxa"/>
            <w:noWrap w:val="0"/>
            <w:vAlign w:val="center"/>
          </w:tcPr>
          <w:p>
            <w:pPr>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总报价（人民币）¥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pacing w:line="360" w:lineRule="auto"/>
              <w:ind w:firstLine="1260" w:firstLineChars="600"/>
              <w:rPr>
                <w:rFonts w:hint="eastAsia" w:ascii="宋体" w:hAnsi="宋体" w:cs="宋体"/>
                <w:color w:val="auto"/>
                <w:szCs w:val="21"/>
                <w:highlight w:val="none"/>
                <w:u w:val="single"/>
              </w:rPr>
            </w:pPr>
            <w:r>
              <w:rPr>
                <w:rFonts w:hint="eastAsia" w:ascii="宋体" w:hAnsi="宋体" w:cs="宋体"/>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tc>
      </w:tr>
    </w:tbl>
    <w:p>
      <w:pPr>
        <w:adjustRightInd w:val="0"/>
        <w:spacing w:line="360" w:lineRule="auto"/>
        <w:jc w:val="left"/>
        <w:rPr>
          <w:rFonts w:hint="eastAsia" w:ascii="宋体" w:hAnsi="宋体" w:cs="宋体"/>
          <w:color w:val="auto"/>
          <w:szCs w:val="21"/>
          <w:highlight w:val="none"/>
        </w:rPr>
      </w:pPr>
    </w:p>
    <w:p>
      <w:pPr>
        <w:adjustRightIn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注：“报价方式”以一次报清，完成本项目所需的所有费用必须包含在总报价中，如以后已实施而未列入报价的费用将被视为投标人优惠，采购人均不予支付。</w:t>
      </w:r>
    </w:p>
    <w:p>
      <w:pPr>
        <w:adjustRightInd w:val="0"/>
        <w:spacing w:line="360" w:lineRule="auto"/>
        <w:ind w:firstLine="420" w:firstLineChars="200"/>
        <w:rPr>
          <w:rFonts w:hint="eastAsia" w:ascii="宋体" w:hAnsi="宋体" w:cs="宋体"/>
          <w:color w:val="auto"/>
          <w:szCs w:val="21"/>
          <w:highlight w:val="none"/>
        </w:rPr>
      </w:pPr>
    </w:p>
    <w:p>
      <w:pPr>
        <w:adjustRightInd w:val="0"/>
        <w:spacing w:line="360" w:lineRule="auto"/>
        <w:ind w:firstLine="420" w:firstLineChars="200"/>
        <w:rPr>
          <w:rFonts w:hint="eastAsia" w:ascii="宋体" w:hAnsi="宋体" w:cs="宋体"/>
          <w:color w:val="auto"/>
          <w:szCs w:val="21"/>
          <w:highlight w:val="none"/>
        </w:rPr>
      </w:pPr>
    </w:p>
    <w:p>
      <w:pPr>
        <w:adjustRightInd w:val="0"/>
        <w:spacing w:line="360" w:lineRule="auto"/>
        <w:ind w:firstLine="420" w:firstLineChars="200"/>
        <w:rPr>
          <w:rFonts w:hint="eastAsia" w:ascii="宋体" w:hAnsi="宋体" w:cs="宋体"/>
          <w:color w:val="auto"/>
          <w:szCs w:val="21"/>
          <w:highlight w:val="none"/>
        </w:rPr>
      </w:pPr>
    </w:p>
    <w:p>
      <w:pPr>
        <w:adjustRightInd w:val="0"/>
        <w:spacing w:line="360" w:lineRule="auto"/>
        <w:ind w:firstLine="4515" w:firstLineChars="2150"/>
        <w:rPr>
          <w:rFonts w:hint="eastAsia" w:ascii="宋体" w:hAnsi="宋体" w:cs="宋体"/>
          <w:color w:val="auto"/>
          <w:szCs w:val="21"/>
          <w:highlight w:val="none"/>
        </w:rPr>
      </w:pPr>
      <w:r>
        <w:rPr>
          <w:rFonts w:hint="eastAsia" w:ascii="宋体" w:hAnsi="宋体" w:cs="宋体"/>
          <w:color w:val="auto"/>
          <w:szCs w:val="21"/>
          <w:highlight w:val="none"/>
        </w:rPr>
        <w:t>投标人(盖公章)</w:t>
      </w:r>
    </w:p>
    <w:p>
      <w:pPr>
        <w:adjustRightInd w:val="0"/>
        <w:spacing w:line="360" w:lineRule="auto"/>
        <w:ind w:firstLine="4515" w:firstLineChars="2150"/>
        <w:rPr>
          <w:rFonts w:hint="eastAsia" w:ascii="宋体" w:hAnsi="宋体" w:cs="宋体"/>
          <w:color w:val="auto"/>
          <w:szCs w:val="21"/>
          <w:highlight w:val="none"/>
        </w:rPr>
      </w:pPr>
      <w:r>
        <w:rPr>
          <w:rFonts w:hint="eastAsia" w:ascii="宋体" w:hAnsi="宋体" w:cs="宋体"/>
          <w:color w:val="auto"/>
          <w:szCs w:val="21"/>
          <w:highlight w:val="none"/>
        </w:rPr>
        <w:t>法定代表人或授权代表(签字或盖章)</w:t>
      </w:r>
    </w:p>
    <w:p>
      <w:pPr>
        <w:pStyle w:val="23"/>
        <w:spacing w:line="420" w:lineRule="exact"/>
        <w:ind w:firstLine="4515" w:firstLineChars="2150"/>
        <w:rPr>
          <w:rFonts w:hint="eastAsia" w:ascii="宋体" w:hAnsi="宋体" w:eastAsia="宋体" w:cs="宋体"/>
          <w:color w:val="auto"/>
          <w:highlight w:val="none"/>
        </w:rPr>
      </w:pPr>
      <w:r>
        <w:rPr>
          <w:rFonts w:hint="eastAsia" w:ascii="宋体" w:hAnsi="宋体" w:eastAsia="宋体" w:cs="宋体"/>
          <w:color w:val="auto"/>
          <w:highlight w:val="none"/>
        </w:rPr>
        <w:t>日     期：</w:t>
      </w:r>
    </w:p>
    <w:p>
      <w:pPr>
        <w:snapToGrid w:val="0"/>
        <w:spacing w:line="360" w:lineRule="auto"/>
        <w:rPr>
          <w:rFonts w:hint="eastAsia" w:ascii="宋体" w:hAnsi="宋体" w:cs="宋体"/>
          <w:b/>
          <w:bCs/>
          <w:color w:val="auto"/>
          <w:szCs w:val="21"/>
          <w:highlight w:val="none"/>
        </w:rPr>
      </w:pPr>
      <w:r>
        <w:rPr>
          <w:rFonts w:hint="eastAsia" w:ascii="宋体" w:hAnsi="宋体" w:cs="宋体"/>
          <w:color w:val="auto"/>
          <w:highlight w:val="none"/>
        </w:rPr>
        <w:br w:type="page"/>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.3投标报价明细表</w:t>
      </w:r>
    </w:p>
    <w:p>
      <w:pPr>
        <w:pStyle w:val="2"/>
        <w:spacing w:line="600" w:lineRule="exact"/>
        <w:ind w:firstLine="0"/>
        <w:jc w:val="center"/>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投标报价明细表</w:t>
      </w:r>
    </w:p>
    <w:p>
      <w:pPr>
        <w:adjustRightInd w:val="0"/>
        <w:spacing w:line="360" w:lineRule="auto"/>
        <w:jc w:val="left"/>
        <w:rPr>
          <w:rFonts w:hint="eastAsia" w:ascii="宋体" w:hAnsi="宋体" w:cs="宋体"/>
          <w:color w:val="auto"/>
          <w:szCs w:val="21"/>
          <w:highlight w:val="none"/>
        </w:rPr>
      </w:pPr>
    </w:p>
    <w:p>
      <w:pPr>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项目名称：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 xml:space="preserve">采购编号： </w:t>
      </w:r>
      <w:r>
        <w:rPr>
          <w:rFonts w:hint="eastAsia" w:ascii="宋体" w:hAnsi="宋体" w:cs="宋体"/>
          <w:color w:val="auto"/>
          <w:szCs w:val="21"/>
          <w:highlight w:val="none"/>
          <w:u w:val="single"/>
        </w:rPr>
        <w:t xml:space="preserve">                   </w:t>
      </w:r>
    </w:p>
    <w:p>
      <w:pPr>
        <w:jc w:val="right"/>
        <w:rPr>
          <w:rFonts w:hint="eastAsia" w:ascii="宋体" w:hAnsi="宋体" w:cs="宋体"/>
          <w:color w:val="auto"/>
          <w:highlight w:val="none"/>
        </w:rPr>
      </w:pPr>
      <w:r>
        <w:rPr>
          <w:rFonts w:hint="eastAsia" w:ascii="宋体" w:hAnsi="宋体" w:cs="宋体"/>
          <w:color w:val="auto"/>
          <w:highlight w:val="none"/>
        </w:rPr>
        <w:t xml:space="preserve"> 元人民币</w:t>
      </w:r>
    </w:p>
    <w:tbl>
      <w:tblPr>
        <w:tblStyle w:val="43"/>
        <w:tblW w:w="0" w:type="auto"/>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551" w:type="dxa"/>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1659" w:type="dxa"/>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132" w:type="dxa"/>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单价</w:t>
            </w:r>
          </w:p>
        </w:tc>
        <w:tc>
          <w:tcPr>
            <w:tcW w:w="1746" w:type="dxa"/>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总价</w:t>
            </w:r>
          </w:p>
        </w:tc>
        <w:tc>
          <w:tcPr>
            <w:tcW w:w="1127" w:type="dxa"/>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pPr>
              <w:spacing w:line="460" w:lineRule="exact"/>
              <w:jc w:val="center"/>
              <w:rPr>
                <w:rFonts w:hint="eastAsia" w:ascii="宋体" w:hAnsi="宋体" w:cs="宋体"/>
                <w:i/>
                <w:iCs/>
                <w:color w:val="auto"/>
                <w:sz w:val="24"/>
                <w:highlight w:val="none"/>
              </w:rPr>
            </w:pPr>
          </w:p>
        </w:tc>
        <w:tc>
          <w:tcPr>
            <w:tcW w:w="2551" w:type="dxa"/>
            <w:noWrap w:val="0"/>
            <w:vAlign w:val="center"/>
          </w:tcPr>
          <w:p>
            <w:pPr>
              <w:spacing w:line="460" w:lineRule="exact"/>
              <w:rPr>
                <w:rFonts w:hint="eastAsia" w:ascii="宋体" w:hAnsi="宋体" w:cs="宋体"/>
                <w:i/>
                <w:iCs/>
                <w:color w:val="auto"/>
                <w:sz w:val="24"/>
                <w:highlight w:val="none"/>
              </w:rPr>
            </w:pP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pPr>
              <w:spacing w:line="460" w:lineRule="exact"/>
              <w:jc w:val="center"/>
              <w:rPr>
                <w:rFonts w:hint="eastAsia" w:ascii="宋体" w:hAnsi="宋体" w:cs="宋体"/>
                <w:i/>
                <w:iCs/>
                <w:color w:val="auto"/>
                <w:sz w:val="24"/>
                <w:highlight w:val="none"/>
              </w:rPr>
            </w:pPr>
          </w:p>
        </w:tc>
        <w:tc>
          <w:tcPr>
            <w:tcW w:w="2551" w:type="dxa"/>
            <w:noWrap w:val="0"/>
            <w:vAlign w:val="center"/>
          </w:tcPr>
          <w:p>
            <w:pPr>
              <w:adjustRightInd w:val="0"/>
              <w:snapToGrid w:val="0"/>
              <w:spacing w:line="460" w:lineRule="exact"/>
              <w:rPr>
                <w:rFonts w:hint="eastAsia" w:ascii="宋体" w:hAnsi="宋体" w:cs="宋体"/>
                <w:i/>
                <w:iCs/>
                <w:color w:val="auto"/>
                <w:sz w:val="24"/>
                <w:highlight w:val="none"/>
              </w:rPr>
            </w:pP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pPr>
              <w:spacing w:line="460" w:lineRule="exact"/>
              <w:jc w:val="center"/>
              <w:rPr>
                <w:rFonts w:hint="eastAsia" w:ascii="宋体" w:hAnsi="宋体" w:cs="宋体"/>
                <w:i/>
                <w:iCs/>
                <w:color w:val="auto"/>
                <w:sz w:val="24"/>
                <w:highlight w:val="none"/>
              </w:rPr>
            </w:pPr>
          </w:p>
        </w:tc>
        <w:tc>
          <w:tcPr>
            <w:tcW w:w="2551" w:type="dxa"/>
            <w:noWrap w:val="0"/>
            <w:vAlign w:val="center"/>
          </w:tcPr>
          <w:p>
            <w:pPr>
              <w:adjustRightInd w:val="0"/>
              <w:snapToGrid w:val="0"/>
              <w:spacing w:line="460" w:lineRule="exact"/>
              <w:rPr>
                <w:rFonts w:hint="eastAsia" w:ascii="宋体" w:hAnsi="宋体" w:cs="宋体"/>
                <w:i/>
                <w:iCs/>
                <w:color w:val="auto"/>
                <w:sz w:val="24"/>
                <w:highlight w:val="none"/>
              </w:rPr>
            </w:pP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pPr>
              <w:spacing w:line="460" w:lineRule="exact"/>
              <w:jc w:val="center"/>
              <w:rPr>
                <w:rFonts w:hint="eastAsia" w:ascii="宋体" w:hAnsi="宋体" w:cs="宋体"/>
                <w:i/>
                <w:iCs/>
                <w:color w:val="auto"/>
                <w:sz w:val="24"/>
                <w:highlight w:val="none"/>
              </w:rPr>
            </w:pPr>
          </w:p>
        </w:tc>
        <w:tc>
          <w:tcPr>
            <w:tcW w:w="2551" w:type="dxa"/>
            <w:noWrap w:val="0"/>
            <w:vAlign w:val="center"/>
          </w:tcPr>
          <w:p>
            <w:pPr>
              <w:spacing w:line="460" w:lineRule="exact"/>
              <w:rPr>
                <w:rFonts w:hint="eastAsia" w:ascii="宋体" w:hAnsi="宋体" w:cs="宋体"/>
                <w:i/>
                <w:iCs/>
                <w:color w:val="auto"/>
                <w:sz w:val="24"/>
                <w:highlight w:val="none"/>
              </w:rPr>
            </w:pP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pPr>
              <w:spacing w:line="460" w:lineRule="exact"/>
              <w:jc w:val="center"/>
              <w:rPr>
                <w:rFonts w:hint="eastAsia" w:ascii="宋体" w:hAnsi="宋体" w:cs="宋体"/>
                <w:i/>
                <w:iCs/>
                <w:color w:val="auto"/>
                <w:sz w:val="24"/>
                <w:highlight w:val="none"/>
              </w:rPr>
            </w:pPr>
          </w:p>
        </w:tc>
        <w:tc>
          <w:tcPr>
            <w:tcW w:w="2551" w:type="dxa"/>
            <w:noWrap w:val="0"/>
            <w:vAlign w:val="top"/>
          </w:tcPr>
          <w:p>
            <w:pPr>
              <w:spacing w:line="460" w:lineRule="exact"/>
              <w:rPr>
                <w:rFonts w:hint="eastAsia" w:ascii="宋体" w:hAnsi="宋体" w:cs="宋体"/>
                <w:i/>
                <w:iCs/>
                <w:color w:val="auto"/>
                <w:sz w:val="24"/>
                <w:highlight w:val="none"/>
              </w:rPr>
            </w:pP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pPr>
              <w:spacing w:line="460" w:lineRule="exact"/>
              <w:jc w:val="center"/>
              <w:rPr>
                <w:rFonts w:hint="eastAsia" w:ascii="宋体" w:hAnsi="宋体" w:cs="宋体"/>
                <w:i/>
                <w:iCs/>
                <w:color w:val="auto"/>
                <w:sz w:val="24"/>
                <w:highlight w:val="none"/>
              </w:rPr>
            </w:pPr>
          </w:p>
        </w:tc>
        <w:tc>
          <w:tcPr>
            <w:tcW w:w="2551" w:type="dxa"/>
            <w:noWrap w:val="0"/>
            <w:vAlign w:val="top"/>
          </w:tcPr>
          <w:p>
            <w:pPr>
              <w:spacing w:line="460" w:lineRule="exact"/>
              <w:rPr>
                <w:rFonts w:hint="eastAsia" w:ascii="宋体" w:hAnsi="宋体" w:cs="宋体"/>
                <w:i/>
                <w:iCs/>
                <w:color w:val="auto"/>
                <w:sz w:val="24"/>
                <w:highlight w:val="none"/>
              </w:rPr>
            </w:pP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pPr>
              <w:spacing w:line="460" w:lineRule="exact"/>
              <w:jc w:val="center"/>
              <w:rPr>
                <w:rFonts w:hint="eastAsia" w:ascii="宋体" w:hAnsi="宋体" w:cs="宋体"/>
                <w:i/>
                <w:iCs/>
                <w:color w:val="auto"/>
                <w:sz w:val="24"/>
                <w:highlight w:val="none"/>
              </w:rPr>
            </w:pPr>
          </w:p>
        </w:tc>
        <w:tc>
          <w:tcPr>
            <w:tcW w:w="2551" w:type="dxa"/>
            <w:noWrap w:val="0"/>
            <w:vAlign w:val="top"/>
          </w:tcPr>
          <w:p>
            <w:pPr>
              <w:adjustRightInd w:val="0"/>
              <w:snapToGrid w:val="0"/>
              <w:spacing w:line="460" w:lineRule="exact"/>
              <w:rPr>
                <w:rFonts w:hint="eastAsia" w:ascii="宋体" w:hAnsi="宋体" w:cs="宋体"/>
                <w:i/>
                <w:iCs/>
                <w:color w:val="auto"/>
                <w:sz w:val="24"/>
                <w:highlight w:val="none"/>
              </w:rPr>
            </w:pP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pPr>
              <w:spacing w:line="460" w:lineRule="exact"/>
              <w:jc w:val="center"/>
              <w:rPr>
                <w:rFonts w:hint="eastAsia" w:ascii="宋体" w:hAnsi="宋体" w:cs="宋体"/>
                <w:i/>
                <w:iCs/>
                <w:color w:val="auto"/>
                <w:sz w:val="24"/>
                <w:highlight w:val="none"/>
              </w:rPr>
            </w:pPr>
          </w:p>
        </w:tc>
        <w:tc>
          <w:tcPr>
            <w:tcW w:w="2551" w:type="dxa"/>
            <w:noWrap w:val="0"/>
            <w:vAlign w:val="top"/>
          </w:tcPr>
          <w:p>
            <w:pPr>
              <w:adjustRightInd w:val="0"/>
              <w:snapToGrid w:val="0"/>
              <w:spacing w:line="460" w:lineRule="exact"/>
              <w:rPr>
                <w:rFonts w:hint="eastAsia" w:ascii="宋体" w:hAnsi="宋体" w:cs="宋体"/>
                <w:i/>
                <w:iCs/>
                <w:color w:val="auto"/>
                <w:sz w:val="24"/>
                <w:highlight w:val="none"/>
              </w:rPr>
            </w:pP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pPr>
              <w:spacing w:line="460" w:lineRule="exact"/>
              <w:jc w:val="center"/>
              <w:rPr>
                <w:rFonts w:hint="eastAsia" w:ascii="宋体" w:hAnsi="宋体" w:cs="宋体"/>
                <w:i/>
                <w:iCs/>
                <w:color w:val="auto"/>
                <w:sz w:val="24"/>
                <w:highlight w:val="none"/>
              </w:rPr>
            </w:pPr>
          </w:p>
        </w:tc>
        <w:tc>
          <w:tcPr>
            <w:tcW w:w="2551" w:type="dxa"/>
            <w:noWrap w:val="0"/>
            <w:vAlign w:val="top"/>
          </w:tcPr>
          <w:p>
            <w:pPr>
              <w:adjustRightInd w:val="0"/>
              <w:snapToGrid w:val="0"/>
              <w:spacing w:line="460" w:lineRule="exact"/>
              <w:rPr>
                <w:rFonts w:hint="eastAsia" w:ascii="宋体" w:hAnsi="宋体" w:cs="宋体"/>
                <w:i/>
                <w:iCs/>
                <w:color w:val="auto"/>
                <w:sz w:val="24"/>
                <w:highlight w:val="none"/>
              </w:rPr>
            </w:pP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pPr>
              <w:spacing w:line="460" w:lineRule="exact"/>
              <w:jc w:val="center"/>
              <w:rPr>
                <w:rFonts w:hint="eastAsia" w:ascii="宋体" w:hAnsi="宋体" w:cs="宋体"/>
                <w:i/>
                <w:iCs/>
                <w:color w:val="auto"/>
                <w:sz w:val="24"/>
                <w:highlight w:val="none"/>
              </w:rPr>
            </w:pPr>
          </w:p>
        </w:tc>
        <w:tc>
          <w:tcPr>
            <w:tcW w:w="2551" w:type="dxa"/>
            <w:noWrap w:val="0"/>
            <w:vAlign w:val="top"/>
          </w:tcPr>
          <w:p>
            <w:pPr>
              <w:adjustRightInd w:val="0"/>
              <w:snapToGrid w:val="0"/>
              <w:spacing w:line="460" w:lineRule="exact"/>
              <w:rPr>
                <w:rFonts w:hint="eastAsia" w:ascii="宋体" w:hAnsi="宋体" w:cs="宋体"/>
                <w:i/>
                <w:iCs/>
                <w:color w:val="auto"/>
                <w:sz w:val="24"/>
                <w:highlight w:val="none"/>
              </w:rPr>
            </w:pP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pPr>
              <w:spacing w:line="460" w:lineRule="exact"/>
              <w:jc w:val="center"/>
              <w:rPr>
                <w:rFonts w:hint="eastAsia" w:ascii="宋体" w:hAnsi="宋体" w:cs="宋体"/>
                <w:i/>
                <w:iCs/>
                <w:color w:val="auto"/>
                <w:sz w:val="24"/>
                <w:highlight w:val="none"/>
              </w:rPr>
            </w:pPr>
          </w:p>
        </w:tc>
        <w:tc>
          <w:tcPr>
            <w:tcW w:w="2551" w:type="dxa"/>
            <w:noWrap w:val="0"/>
            <w:vAlign w:val="top"/>
          </w:tcPr>
          <w:p>
            <w:pPr>
              <w:adjustRightInd w:val="0"/>
              <w:snapToGrid w:val="0"/>
              <w:spacing w:line="460" w:lineRule="exact"/>
              <w:rPr>
                <w:rFonts w:hint="eastAsia" w:ascii="宋体" w:hAnsi="宋体" w:cs="宋体"/>
                <w:i/>
                <w:iCs/>
                <w:color w:val="auto"/>
                <w:sz w:val="24"/>
                <w:highlight w:val="none"/>
              </w:rPr>
            </w:pP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pPr>
              <w:spacing w:line="460" w:lineRule="exact"/>
              <w:jc w:val="center"/>
              <w:rPr>
                <w:rFonts w:hint="eastAsia" w:ascii="宋体" w:hAnsi="宋体" w:cs="宋体"/>
                <w:i/>
                <w:iCs/>
                <w:color w:val="auto"/>
                <w:sz w:val="24"/>
                <w:highlight w:val="none"/>
              </w:rPr>
            </w:pPr>
          </w:p>
        </w:tc>
        <w:tc>
          <w:tcPr>
            <w:tcW w:w="2551" w:type="dxa"/>
            <w:noWrap w:val="0"/>
            <w:vAlign w:val="top"/>
          </w:tcPr>
          <w:p>
            <w:pPr>
              <w:spacing w:line="460" w:lineRule="exact"/>
              <w:rPr>
                <w:rFonts w:hint="eastAsia" w:ascii="宋体" w:hAnsi="宋体" w:cs="宋体"/>
                <w:i/>
                <w:iCs/>
                <w:color w:val="auto"/>
                <w:sz w:val="24"/>
                <w:highlight w:val="none"/>
              </w:rPr>
            </w:pP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pPr>
              <w:spacing w:line="460" w:lineRule="exact"/>
              <w:jc w:val="center"/>
              <w:rPr>
                <w:rFonts w:hint="eastAsia" w:ascii="宋体" w:hAnsi="宋体" w:cs="宋体"/>
                <w:color w:val="auto"/>
                <w:sz w:val="24"/>
                <w:highlight w:val="none"/>
              </w:rPr>
            </w:pPr>
          </w:p>
        </w:tc>
        <w:tc>
          <w:tcPr>
            <w:tcW w:w="2551" w:type="dxa"/>
            <w:noWrap w:val="0"/>
            <w:vAlign w:val="top"/>
          </w:tcPr>
          <w:p>
            <w:pPr>
              <w:spacing w:line="460" w:lineRule="exact"/>
              <w:rPr>
                <w:rFonts w:hint="eastAsia" w:ascii="宋体" w:hAnsi="宋体" w:cs="宋体"/>
                <w:b/>
                <w:bCs/>
                <w:color w:val="auto"/>
                <w:sz w:val="24"/>
                <w:highlight w:val="none"/>
              </w:rPr>
            </w:pP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pPr>
              <w:spacing w:line="460" w:lineRule="exact"/>
              <w:jc w:val="center"/>
              <w:rPr>
                <w:rFonts w:hint="eastAsia" w:ascii="宋体" w:hAnsi="宋体" w:cs="宋体"/>
                <w:color w:val="auto"/>
                <w:sz w:val="24"/>
                <w:highlight w:val="none"/>
              </w:rPr>
            </w:pPr>
          </w:p>
        </w:tc>
        <w:tc>
          <w:tcPr>
            <w:tcW w:w="2551" w:type="dxa"/>
            <w:noWrap w:val="0"/>
            <w:vAlign w:val="center"/>
          </w:tcPr>
          <w:p>
            <w:pPr>
              <w:spacing w:line="460" w:lineRule="exact"/>
              <w:rPr>
                <w:rFonts w:hint="eastAsia" w:ascii="宋体" w:hAnsi="宋体" w:cs="宋体"/>
                <w:b/>
                <w:bCs/>
                <w:color w:val="auto"/>
                <w:sz w:val="24"/>
                <w:highlight w:val="none"/>
              </w:rPr>
            </w:pP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pPr>
              <w:spacing w:line="460" w:lineRule="exact"/>
              <w:jc w:val="center"/>
              <w:rPr>
                <w:rFonts w:hint="eastAsia" w:ascii="宋体" w:hAnsi="宋体" w:cs="宋体"/>
                <w:color w:val="auto"/>
                <w:sz w:val="24"/>
                <w:highlight w:val="none"/>
              </w:rPr>
            </w:pPr>
          </w:p>
        </w:tc>
        <w:tc>
          <w:tcPr>
            <w:tcW w:w="2551" w:type="dxa"/>
            <w:noWrap w:val="0"/>
            <w:vAlign w:val="center"/>
          </w:tcPr>
          <w:p>
            <w:pPr>
              <w:spacing w:line="460" w:lineRule="exact"/>
              <w:jc w:val="center"/>
              <w:rPr>
                <w:rFonts w:hint="eastAsia" w:ascii="宋体" w:hAnsi="宋体" w:cs="宋体"/>
                <w:color w:val="auto"/>
                <w:sz w:val="24"/>
                <w:highlight w:val="none"/>
              </w:rPr>
            </w:pPr>
          </w:p>
        </w:tc>
        <w:tc>
          <w:tcPr>
            <w:tcW w:w="1659" w:type="dxa"/>
            <w:noWrap w:val="0"/>
            <w:vAlign w:val="center"/>
          </w:tcPr>
          <w:p>
            <w:pPr>
              <w:spacing w:line="460" w:lineRule="exact"/>
              <w:jc w:val="center"/>
              <w:rPr>
                <w:rFonts w:hint="eastAsia" w:ascii="宋体" w:hAnsi="宋体" w:cs="宋体"/>
                <w:color w:val="auto"/>
                <w:sz w:val="24"/>
                <w:highlight w:val="none"/>
              </w:rPr>
            </w:pPr>
          </w:p>
        </w:tc>
        <w:tc>
          <w:tcPr>
            <w:tcW w:w="1132" w:type="dxa"/>
            <w:noWrap w:val="0"/>
            <w:vAlign w:val="center"/>
          </w:tcPr>
          <w:p>
            <w:pPr>
              <w:spacing w:line="460" w:lineRule="exact"/>
              <w:jc w:val="center"/>
              <w:rPr>
                <w:rFonts w:hint="eastAsia" w:ascii="宋体" w:hAnsi="宋体" w:cs="宋体"/>
                <w:color w:val="auto"/>
                <w:sz w:val="24"/>
                <w:highlight w:val="none"/>
              </w:rPr>
            </w:pPr>
          </w:p>
        </w:tc>
        <w:tc>
          <w:tcPr>
            <w:tcW w:w="1746" w:type="dxa"/>
            <w:noWrap w:val="0"/>
            <w:vAlign w:val="center"/>
          </w:tcPr>
          <w:p>
            <w:pPr>
              <w:spacing w:line="460" w:lineRule="exact"/>
              <w:jc w:val="center"/>
              <w:rPr>
                <w:rFonts w:hint="eastAsia" w:ascii="宋体" w:hAnsi="宋体" w:cs="宋体"/>
                <w:color w:val="auto"/>
                <w:sz w:val="24"/>
                <w:highlight w:val="none"/>
              </w:rPr>
            </w:pPr>
          </w:p>
        </w:tc>
        <w:tc>
          <w:tcPr>
            <w:tcW w:w="1127" w:type="dxa"/>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投标总价（小写）</w:t>
            </w:r>
          </w:p>
        </w:tc>
        <w:tc>
          <w:tcPr>
            <w:tcW w:w="5664" w:type="dxa"/>
            <w:gridSpan w:val="4"/>
            <w:noWrap w:val="0"/>
            <w:vAlign w:val="center"/>
          </w:tcPr>
          <w:p>
            <w:pPr>
              <w:spacing w:line="460" w:lineRule="exact"/>
              <w:jc w:val="center"/>
              <w:rPr>
                <w:rFonts w:hint="eastAsia"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投标总价（大写）</w:t>
            </w:r>
          </w:p>
        </w:tc>
        <w:tc>
          <w:tcPr>
            <w:tcW w:w="5664" w:type="dxa"/>
            <w:gridSpan w:val="4"/>
            <w:noWrap w:val="0"/>
            <w:vAlign w:val="center"/>
          </w:tcPr>
          <w:p>
            <w:pPr>
              <w:spacing w:line="460" w:lineRule="exact"/>
              <w:jc w:val="center"/>
              <w:rPr>
                <w:rFonts w:hint="eastAsia" w:ascii="宋体" w:hAnsi="宋体" w:cs="宋体"/>
                <w:color w:val="auto"/>
                <w:sz w:val="24"/>
                <w:highlight w:val="none"/>
              </w:rPr>
            </w:pPr>
          </w:p>
        </w:tc>
      </w:tr>
    </w:tbl>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注：1. 投标人根据实际情况可在表中报价明细的基础上进行扩展。</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2.上表所述“</w:t>
      </w:r>
      <w:r>
        <w:rPr>
          <w:rFonts w:hint="eastAsia" w:ascii="宋体" w:hAnsi="宋体" w:cs="宋体"/>
          <w:color w:val="auto"/>
          <w:szCs w:val="21"/>
          <w:highlight w:val="none"/>
        </w:rPr>
        <w:t>总报价</w:t>
      </w:r>
      <w:r>
        <w:rPr>
          <w:rFonts w:hint="eastAsia" w:ascii="宋体" w:hAnsi="宋体" w:cs="宋体"/>
          <w:color w:val="auto"/>
          <w:highlight w:val="none"/>
        </w:rPr>
        <w:t>”应与“开标一览表”中的总报价一致，如有矛盾，以“开标一览表”中的为准。</w:t>
      </w:r>
    </w:p>
    <w:p>
      <w:pPr>
        <w:adjustRightInd w:val="0"/>
        <w:spacing w:line="360" w:lineRule="auto"/>
        <w:ind w:firstLine="4515" w:firstLineChars="2150"/>
        <w:rPr>
          <w:rFonts w:hint="eastAsia" w:ascii="宋体" w:hAnsi="宋体" w:cs="宋体"/>
          <w:color w:val="auto"/>
          <w:szCs w:val="21"/>
          <w:highlight w:val="none"/>
        </w:rPr>
      </w:pPr>
      <w:r>
        <w:rPr>
          <w:rFonts w:hint="eastAsia" w:ascii="宋体" w:hAnsi="宋体" w:cs="宋体"/>
          <w:color w:val="auto"/>
          <w:szCs w:val="21"/>
          <w:highlight w:val="none"/>
        </w:rPr>
        <w:t>投标人(盖公章)</w:t>
      </w:r>
    </w:p>
    <w:p>
      <w:pPr>
        <w:adjustRightInd w:val="0"/>
        <w:spacing w:line="360" w:lineRule="auto"/>
        <w:ind w:firstLine="4515" w:firstLineChars="2150"/>
        <w:rPr>
          <w:rFonts w:hint="eastAsia" w:ascii="宋体" w:hAnsi="宋体" w:cs="宋体"/>
          <w:color w:val="auto"/>
          <w:szCs w:val="21"/>
          <w:highlight w:val="none"/>
        </w:rPr>
      </w:pPr>
      <w:r>
        <w:rPr>
          <w:rFonts w:hint="eastAsia" w:ascii="宋体" w:hAnsi="宋体" w:cs="宋体"/>
          <w:color w:val="auto"/>
          <w:szCs w:val="21"/>
          <w:highlight w:val="none"/>
        </w:rPr>
        <w:t>法定代表人或授权代表(签字或盖章)</w:t>
      </w:r>
    </w:p>
    <w:p>
      <w:pPr>
        <w:pStyle w:val="23"/>
        <w:spacing w:line="420" w:lineRule="exact"/>
        <w:ind w:firstLine="4515" w:firstLineChars="2150"/>
        <w:rPr>
          <w:rFonts w:hint="eastAsia" w:ascii="宋体" w:hAnsi="宋体" w:eastAsia="宋体" w:cs="宋体"/>
          <w:color w:val="auto"/>
          <w:highlight w:val="none"/>
        </w:rPr>
      </w:pPr>
      <w:r>
        <w:rPr>
          <w:rFonts w:hint="eastAsia" w:ascii="宋体" w:hAnsi="宋体" w:eastAsia="宋体" w:cs="宋体"/>
          <w:color w:val="auto"/>
          <w:highlight w:val="none"/>
        </w:rPr>
        <w:t>日     期：</w:t>
      </w:r>
    </w:p>
    <w:p>
      <w:pPr>
        <w:snapToGrid w:val="0"/>
        <w:spacing w:line="360" w:lineRule="auto"/>
        <w:rPr>
          <w:rFonts w:hint="eastAsia" w:ascii="宋体" w:hAnsi="宋体" w:eastAsia="宋体" w:cs="宋体"/>
          <w:b/>
          <w:color w:val="auto"/>
          <w:szCs w:val="21"/>
          <w:highlight w:val="none"/>
          <w:lang w:eastAsia="zh-CN"/>
        </w:rPr>
      </w:pPr>
      <w:r>
        <w:rPr>
          <w:rFonts w:hint="eastAsia" w:ascii="宋体" w:hAnsi="宋体" w:cs="宋体"/>
          <w:color w:val="auto"/>
          <w:highlight w:val="none"/>
        </w:rPr>
        <w:br w:type="page"/>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.4成本测算依据</w:t>
      </w:r>
      <w:r>
        <w:rPr>
          <w:rFonts w:hint="eastAsia" w:ascii="宋体" w:hAnsi="宋体" w:eastAsia="宋体" w:cs="宋体"/>
          <w:b/>
          <w:color w:val="auto"/>
          <w:szCs w:val="21"/>
          <w:highlight w:val="none"/>
          <w:lang w:eastAsia="zh-CN"/>
        </w:rPr>
        <w:t>（如需）</w:t>
      </w:r>
    </w:p>
    <w:p>
      <w:pPr>
        <w:pStyle w:val="2"/>
        <w:spacing w:line="600" w:lineRule="exact"/>
        <w:ind w:firstLine="0"/>
        <w:jc w:val="center"/>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成本测算依据</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7" w:hRule="atLeast"/>
        </w:trPr>
        <w:tc>
          <w:tcPr>
            <w:tcW w:w="8946" w:type="dxa"/>
            <w:noWrap w:val="0"/>
            <w:vAlign w:val="top"/>
          </w:tcPr>
          <w:p>
            <w:pPr>
              <w:snapToGrid w:val="0"/>
              <w:spacing w:line="360" w:lineRule="auto"/>
              <w:rPr>
                <w:rFonts w:hint="eastAsia" w:ascii="宋体" w:hAnsi="宋体" w:cs="宋体"/>
                <w:color w:val="auto"/>
                <w:highlight w:val="none"/>
              </w:rPr>
            </w:pPr>
          </w:p>
        </w:tc>
      </w:tr>
    </w:tbl>
    <w:p>
      <w:pPr>
        <w:snapToGrid w:val="0"/>
        <w:spacing w:line="360" w:lineRule="auto"/>
        <w:rPr>
          <w:rFonts w:hint="eastAsia" w:ascii="宋体" w:hAnsi="宋体" w:cs="宋体"/>
          <w:color w:val="auto"/>
          <w:highlight w:val="none"/>
        </w:rPr>
      </w:pPr>
      <w:r>
        <w:rPr>
          <w:rFonts w:hint="eastAsia" w:ascii="宋体" w:hAnsi="宋体" w:cs="宋体"/>
          <w:color w:val="auto"/>
          <w:highlight w:val="none"/>
        </w:rPr>
        <w:t>注：各投标人须对本项目投标报价的合理性进行说明，形式不限。</w:t>
      </w:r>
    </w:p>
    <w:p>
      <w:pPr>
        <w:snapToGrid w:val="0"/>
        <w:spacing w:line="360" w:lineRule="auto"/>
        <w:rPr>
          <w:rFonts w:hint="eastAsia" w:ascii="宋体" w:hAnsi="宋体" w:cs="宋体"/>
          <w:color w:val="auto"/>
          <w:highlight w:val="none"/>
        </w:rPr>
      </w:pPr>
    </w:p>
    <w:p>
      <w:pPr>
        <w:snapToGrid w:val="0"/>
        <w:spacing w:line="360" w:lineRule="auto"/>
        <w:rPr>
          <w:rFonts w:hint="eastAsia" w:ascii="宋体" w:hAnsi="宋体" w:cs="宋体"/>
          <w:color w:val="auto"/>
          <w:highlight w:val="none"/>
        </w:rPr>
      </w:pPr>
    </w:p>
    <w:p>
      <w:pPr>
        <w:adjustRightInd w:val="0"/>
        <w:spacing w:line="360" w:lineRule="auto"/>
        <w:ind w:firstLine="4515" w:firstLineChars="2150"/>
        <w:rPr>
          <w:rFonts w:hint="eastAsia" w:ascii="宋体" w:hAnsi="宋体" w:cs="宋体"/>
          <w:color w:val="auto"/>
          <w:szCs w:val="21"/>
          <w:highlight w:val="none"/>
        </w:rPr>
      </w:pPr>
      <w:r>
        <w:rPr>
          <w:rFonts w:hint="eastAsia" w:ascii="宋体" w:hAnsi="宋体" w:cs="宋体"/>
          <w:color w:val="auto"/>
          <w:szCs w:val="21"/>
          <w:highlight w:val="none"/>
        </w:rPr>
        <w:t>投标人(盖公章)</w:t>
      </w:r>
    </w:p>
    <w:p>
      <w:pPr>
        <w:adjustRightInd w:val="0"/>
        <w:spacing w:line="360" w:lineRule="auto"/>
        <w:ind w:firstLine="4515" w:firstLineChars="2150"/>
        <w:rPr>
          <w:rFonts w:hint="eastAsia" w:ascii="宋体" w:hAnsi="宋体" w:cs="宋体"/>
          <w:color w:val="auto"/>
          <w:szCs w:val="21"/>
          <w:highlight w:val="none"/>
        </w:rPr>
      </w:pPr>
      <w:r>
        <w:rPr>
          <w:rFonts w:hint="eastAsia" w:ascii="宋体" w:hAnsi="宋体" w:cs="宋体"/>
          <w:color w:val="auto"/>
          <w:szCs w:val="21"/>
          <w:highlight w:val="none"/>
        </w:rPr>
        <w:t>法定代表人或授权代表(签字或盖章)</w:t>
      </w:r>
    </w:p>
    <w:p>
      <w:pPr>
        <w:pStyle w:val="23"/>
        <w:spacing w:line="420" w:lineRule="exact"/>
        <w:ind w:firstLine="4515" w:firstLineChars="2150"/>
        <w:rPr>
          <w:rFonts w:hint="eastAsia" w:ascii="宋体" w:hAnsi="宋体" w:eastAsia="宋体" w:cs="宋体"/>
          <w:color w:val="auto"/>
          <w:highlight w:val="none"/>
        </w:rPr>
      </w:pPr>
      <w:r>
        <w:rPr>
          <w:rFonts w:hint="eastAsia" w:ascii="宋体" w:hAnsi="宋体" w:eastAsia="宋体" w:cs="宋体"/>
          <w:color w:val="auto"/>
          <w:highlight w:val="none"/>
        </w:rPr>
        <w:t>日     期：</w:t>
      </w:r>
    </w:p>
    <w:p>
      <w:pPr>
        <w:snapToGrid w:val="0"/>
        <w:spacing w:line="360" w:lineRule="auto"/>
        <w:rPr>
          <w:rFonts w:hint="eastAsia" w:ascii="宋体" w:hAnsi="宋体" w:cs="宋体"/>
          <w:b/>
          <w:color w:val="auto"/>
          <w:szCs w:val="21"/>
          <w:highlight w:val="none"/>
        </w:rPr>
      </w:pPr>
      <w:r>
        <w:rPr>
          <w:rFonts w:hint="eastAsia" w:ascii="宋体" w:hAnsi="宋体" w:cs="宋体"/>
          <w:color w:val="auto"/>
          <w:highlight w:val="none"/>
        </w:rPr>
        <w:br w:type="page"/>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.5中小企业声明函</w:t>
      </w:r>
    </w:p>
    <w:p>
      <w:pPr>
        <w:pStyle w:val="2"/>
        <w:spacing w:line="600" w:lineRule="exact"/>
        <w:ind w:firstLine="0"/>
        <w:jc w:val="center"/>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中小企业声明函（服务）</w:t>
      </w:r>
    </w:p>
    <w:p>
      <w:pPr>
        <w:pStyle w:val="18"/>
        <w:spacing w:before="5"/>
        <w:ind w:left="0"/>
        <w:rPr>
          <w:rFonts w:ascii="宋体"/>
          <w:b/>
          <w:color w:val="auto"/>
          <w:spacing w:val="0"/>
          <w:position w:val="0"/>
          <w:sz w:val="18"/>
          <w:szCs w:val="18"/>
          <w:highlight w:val="none"/>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leftChars="0" w:right="-54" w:rightChars="0" w:firstLine="420" w:firstLineChars="200"/>
        <w:jc w:val="both"/>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本公司（联合体）郑重声明，根据《政府采购促进中小企业发展管理办法》（财库﹝2020﹞46 号）的规定，本公司（联合体）参加</w:t>
      </w:r>
      <w:r>
        <w:rPr>
          <w:rFonts w:hint="eastAsia" w:ascii="宋体" w:hAnsi="宋体" w:eastAsia="宋体" w:cs="宋体"/>
          <w:i/>
          <w:color w:val="auto"/>
          <w:spacing w:val="0"/>
          <w:position w:val="0"/>
          <w:sz w:val="21"/>
          <w:szCs w:val="21"/>
          <w:highlight w:val="none"/>
          <w:u w:val="single"/>
        </w:rPr>
        <w:t>（单位名称）</w:t>
      </w:r>
      <w:r>
        <w:rPr>
          <w:rFonts w:hint="eastAsia" w:ascii="宋体" w:hAnsi="宋体" w:eastAsia="宋体" w:cs="宋体"/>
          <w:color w:val="auto"/>
          <w:spacing w:val="0"/>
          <w:position w:val="0"/>
          <w:sz w:val="21"/>
          <w:szCs w:val="21"/>
          <w:highlight w:val="none"/>
        </w:rPr>
        <w:t>的</w:t>
      </w:r>
      <w:r>
        <w:rPr>
          <w:rFonts w:hint="eastAsia" w:ascii="宋体" w:hAnsi="宋体" w:eastAsia="宋体" w:cs="宋体"/>
          <w:i/>
          <w:color w:val="auto"/>
          <w:spacing w:val="0"/>
          <w:position w:val="0"/>
          <w:sz w:val="21"/>
          <w:szCs w:val="21"/>
          <w:highlight w:val="none"/>
          <w:u w:val="single"/>
        </w:rPr>
        <w:t>（项目名称）</w:t>
      </w:r>
      <w:r>
        <w:rPr>
          <w:rFonts w:hint="eastAsia" w:ascii="宋体" w:hAnsi="宋体" w:eastAsia="宋体" w:cs="宋体"/>
          <w:color w:val="auto"/>
          <w:spacing w:val="0"/>
          <w:position w:val="0"/>
          <w:sz w:val="21"/>
          <w:szCs w:val="21"/>
          <w:highlight w:val="none"/>
        </w:rPr>
        <w:t>采购活动，</w:t>
      </w:r>
      <w:r>
        <w:rPr>
          <w:rFonts w:hint="eastAsia" w:ascii="宋体" w:hAnsi="宋体" w:eastAsia="宋体" w:cs="宋体"/>
          <w:b/>
          <w:bCs/>
          <w:color w:val="auto"/>
          <w:spacing w:val="0"/>
          <w:position w:val="0"/>
          <w:sz w:val="21"/>
          <w:szCs w:val="21"/>
          <w:highlight w:val="none"/>
        </w:rPr>
        <w:t>服务</w:t>
      </w:r>
      <w:r>
        <w:rPr>
          <w:rFonts w:hint="eastAsia" w:ascii="宋体" w:hAnsi="宋体" w:eastAsia="宋体" w:cs="宋体"/>
          <w:b/>
          <w:bCs/>
          <w:color w:val="auto"/>
          <w:spacing w:val="0"/>
          <w:w w:val="95"/>
          <w:position w:val="0"/>
          <w:sz w:val="21"/>
          <w:szCs w:val="21"/>
          <w:highlight w:val="none"/>
        </w:rPr>
        <w:t>全部由符合政策要求的中小企业承接。</w:t>
      </w:r>
      <w:r>
        <w:rPr>
          <w:rFonts w:hint="eastAsia" w:ascii="宋体" w:hAnsi="宋体" w:eastAsia="宋体" w:cs="宋体"/>
          <w:color w:val="auto"/>
          <w:spacing w:val="0"/>
          <w:w w:val="95"/>
          <w:position w:val="0"/>
          <w:sz w:val="21"/>
          <w:szCs w:val="21"/>
          <w:highlight w:val="none"/>
        </w:rPr>
        <w:t>相关企业（含联合</w:t>
      </w:r>
      <w:r>
        <w:rPr>
          <w:rFonts w:hint="eastAsia" w:ascii="宋体" w:hAnsi="宋体" w:eastAsia="宋体" w:cs="宋体"/>
          <w:color w:val="auto"/>
          <w:spacing w:val="0"/>
          <w:position w:val="0"/>
          <w:sz w:val="21"/>
          <w:szCs w:val="21"/>
          <w:highlight w:val="none"/>
        </w:rPr>
        <w:t>体中的中小企业、签订分包意向协议的中小企业）的具体情况如下：</w:t>
      </w:r>
    </w:p>
    <w:p>
      <w:pPr>
        <w:pStyle w:val="141"/>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360" w:lineRule="auto"/>
        <w:ind w:left="19" w:leftChars="0" w:right="0" w:rightChars="0" w:firstLine="480" w:firstLineChars="239"/>
        <w:jc w:val="both"/>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i w:val="0"/>
          <w:iCs/>
          <w:color w:val="auto"/>
          <w:spacing w:val="0"/>
          <w:w w:val="96"/>
          <w:position w:val="0"/>
          <w:sz w:val="21"/>
          <w:szCs w:val="21"/>
          <w:highlight w:val="none"/>
          <w:u w:val="none" w:color="auto"/>
          <w:lang w:val="en-US" w:eastAsia="zh-CN"/>
        </w:rPr>
        <w:t>1.</w:t>
      </w:r>
      <w:r>
        <w:rPr>
          <w:rFonts w:hint="eastAsia" w:ascii="宋体" w:hAnsi="宋体" w:eastAsia="宋体" w:cs="宋体"/>
          <w:i/>
          <w:color w:val="auto"/>
          <w:spacing w:val="0"/>
          <w:w w:val="96"/>
          <w:position w:val="0"/>
          <w:sz w:val="21"/>
          <w:szCs w:val="21"/>
          <w:highlight w:val="none"/>
          <w:u w:val="single"/>
        </w:rPr>
        <w:t>（标的名称）</w:t>
      </w:r>
      <w:r>
        <w:rPr>
          <w:rFonts w:hint="eastAsia" w:ascii="宋体" w:hAnsi="宋体" w:eastAsia="宋体" w:cs="宋体"/>
          <w:color w:val="auto"/>
          <w:spacing w:val="0"/>
          <w:w w:val="99"/>
          <w:position w:val="0"/>
          <w:sz w:val="21"/>
          <w:szCs w:val="21"/>
          <w:highlight w:val="none"/>
          <w:u w:val="none"/>
        </w:rPr>
        <w:t>，属于</w:t>
      </w:r>
      <w:r>
        <w:rPr>
          <w:rFonts w:hint="eastAsia" w:ascii="宋体" w:hAnsi="宋体" w:eastAsia="宋体" w:cs="宋体"/>
          <w:i/>
          <w:color w:val="auto"/>
          <w:spacing w:val="0"/>
          <w:w w:val="96"/>
          <w:position w:val="0"/>
          <w:sz w:val="21"/>
          <w:szCs w:val="21"/>
          <w:highlight w:val="none"/>
          <w:u w:val="none"/>
        </w:rPr>
        <w:t>（</w:t>
      </w:r>
      <w:r>
        <w:rPr>
          <w:rFonts w:hint="eastAsia" w:ascii="宋体" w:hAnsi="宋体" w:eastAsia="宋体" w:cs="宋体"/>
          <w:i/>
          <w:color w:val="auto"/>
          <w:spacing w:val="0"/>
          <w:w w:val="96"/>
          <w:position w:val="0"/>
          <w:sz w:val="21"/>
          <w:szCs w:val="21"/>
          <w:highlight w:val="none"/>
          <w:u w:val="single"/>
        </w:rPr>
        <w:t>采购文件中明确的所属行业）</w:t>
      </w:r>
      <w:r>
        <w:rPr>
          <w:rFonts w:hint="eastAsia" w:ascii="宋体" w:hAnsi="宋体" w:eastAsia="宋体" w:cs="宋体"/>
          <w:color w:val="auto"/>
          <w:spacing w:val="0"/>
          <w:w w:val="99"/>
          <w:position w:val="0"/>
          <w:sz w:val="21"/>
          <w:szCs w:val="21"/>
          <w:highlight w:val="none"/>
          <w:u w:val="none"/>
        </w:rPr>
        <w:t>；</w:t>
      </w:r>
      <w:r>
        <w:rPr>
          <w:rFonts w:hint="eastAsia" w:ascii="宋体" w:hAnsi="宋体" w:eastAsia="宋体" w:cs="宋体"/>
          <w:color w:val="auto"/>
          <w:spacing w:val="0"/>
          <w:w w:val="99"/>
          <w:position w:val="0"/>
          <w:sz w:val="21"/>
          <w:szCs w:val="21"/>
          <w:highlight w:val="none"/>
          <w:u w:val="none" w:color="auto"/>
        </w:rPr>
        <w:t>承建（承接）企业为</w:t>
      </w:r>
      <w:r>
        <w:rPr>
          <w:rFonts w:hint="eastAsia" w:ascii="宋体" w:hAnsi="宋体" w:eastAsia="宋体" w:cs="宋体"/>
          <w:i/>
          <w:color w:val="auto"/>
          <w:spacing w:val="0"/>
          <w:w w:val="96"/>
          <w:position w:val="0"/>
          <w:sz w:val="21"/>
          <w:szCs w:val="21"/>
          <w:highlight w:val="none"/>
          <w:u w:val="single"/>
        </w:rPr>
        <w:t>（企业名称）</w:t>
      </w:r>
      <w:r>
        <w:rPr>
          <w:rFonts w:hint="eastAsia" w:ascii="宋体" w:hAnsi="宋体" w:eastAsia="宋体" w:cs="宋体"/>
          <w:color w:val="auto"/>
          <w:spacing w:val="0"/>
          <w:w w:val="99"/>
          <w:position w:val="0"/>
          <w:sz w:val="21"/>
          <w:szCs w:val="21"/>
          <w:highlight w:val="none"/>
          <w:u w:val="none" w:color="auto"/>
        </w:rPr>
        <w:t>，从业人员</w:t>
      </w:r>
      <w:r>
        <w:rPr>
          <w:rFonts w:hint="eastAsia" w:ascii="宋体" w:hAnsi="宋体" w:eastAsia="宋体" w:cs="宋体"/>
          <w:color w:val="auto"/>
          <w:spacing w:val="0"/>
          <w:w w:val="99"/>
          <w:position w:val="0"/>
          <w:sz w:val="21"/>
          <w:szCs w:val="21"/>
          <w:highlight w:val="none"/>
          <w:u w:val="single"/>
        </w:rPr>
        <w:t xml:space="preserve"> </w:t>
      </w:r>
      <w:r>
        <w:rPr>
          <w:rFonts w:hint="eastAsia" w:ascii="宋体" w:hAnsi="宋体" w:eastAsia="宋体" w:cs="宋体"/>
          <w:color w:val="auto"/>
          <w:spacing w:val="0"/>
          <w:position w:val="0"/>
          <w:sz w:val="21"/>
          <w:szCs w:val="21"/>
          <w:highlight w:val="none"/>
          <w:u w:val="single"/>
        </w:rPr>
        <w:tab/>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w w:val="99"/>
          <w:position w:val="0"/>
          <w:sz w:val="21"/>
          <w:szCs w:val="21"/>
          <w:highlight w:val="none"/>
          <w:u w:val="none" w:color="auto"/>
        </w:rPr>
        <w:t>人，营业</w:t>
      </w:r>
      <w:r>
        <w:rPr>
          <w:rFonts w:hint="eastAsia" w:ascii="宋体" w:hAnsi="宋体" w:eastAsia="宋体" w:cs="宋体"/>
          <w:color w:val="auto"/>
          <w:spacing w:val="0"/>
          <w:position w:val="0"/>
          <w:sz w:val="21"/>
          <w:szCs w:val="21"/>
          <w:highlight w:val="none"/>
          <w:u w:val="none" w:color="auto"/>
        </w:rPr>
        <w:t>收入为</w:t>
      </w:r>
      <w:r>
        <w:rPr>
          <w:rFonts w:hint="eastAsia" w:ascii="宋体" w:hAnsi="宋体" w:eastAsia="宋体" w:cs="宋体"/>
          <w:color w:val="auto"/>
          <w:spacing w:val="0"/>
          <w:position w:val="0"/>
          <w:sz w:val="21"/>
          <w:szCs w:val="21"/>
          <w:highlight w:val="none"/>
          <w:u w:val="single"/>
        </w:rPr>
        <w:t xml:space="preserve"> </w:t>
      </w:r>
      <w:r>
        <w:rPr>
          <w:rFonts w:hint="eastAsia" w:ascii="宋体" w:hAnsi="宋体" w:eastAsia="宋体" w:cs="宋体"/>
          <w:color w:val="auto"/>
          <w:spacing w:val="0"/>
          <w:position w:val="0"/>
          <w:sz w:val="21"/>
          <w:szCs w:val="21"/>
          <w:highlight w:val="none"/>
          <w:u w:val="single"/>
        </w:rPr>
        <w:tab/>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u w:val="none" w:color="auto"/>
        </w:rPr>
        <w:t>万元，资产总额为</w:t>
      </w:r>
      <w:r>
        <w:rPr>
          <w:rFonts w:hint="eastAsia" w:ascii="宋体" w:hAnsi="宋体" w:eastAsia="宋体" w:cs="宋体"/>
          <w:color w:val="auto"/>
          <w:spacing w:val="0"/>
          <w:position w:val="0"/>
          <w:sz w:val="21"/>
          <w:szCs w:val="21"/>
          <w:highlight w:val="none"/>
          <w:u w:val="single"/>
        </w:rPr>
        <w:t xml:space="preserve"> </w:t>
      </w:r>
      <w:r>
        <w:rPr>
          <w:rFonts w:hint="eastAsia" w:ascii="宋体" w:hAnsi="宋体" w:eastAsia="宋体" w:cs="宋体"/>
          <w:color w:val="auto"/>
          <w:spacing w:val="0"/>
          <w:position w:val="0"/>
          <w:sz w:val="21"/>
          <w:szCs w:val="21"/>
          <w:highlight w:val="none"/>
          <w:u w:val="single"/>
        </w:rPr>
        <w:tab/>
      </w:r>
      <w:r>
        <w:rPr>
          <w:rFonts w:hint="eastAsia" w:ascii="宋体" w:hAnsi="宋体" w:eastAsia="宋体" w:cs="宋体"/>
          <w:color w:val="auto"/>
          <w:spacing w:val="0"/>
          <w:position w:val="0"/>
          <w:sz w:val="21"/>
          <w:szCs w:val="21"/>
          <w:highlight w:val="none"/>
          <w:u w:val="none" w:color="auto"/>
        </w:rPr>
        <w:t>万元</w:t>
      </w:r>
      <w:r>
        <w:rPr>
          <w:rFonts w:hint="eastAsia" w:ascii="宋体" w:hAnsi="宋体" w:eastAsia="宋体" w:cs="宋体"/>
          <w:color w:val="auto"/>
          <w:spacing w:val="0"/>
          <w:position w:val="0"/>
          <w:sz w:val="21"/>
          <w:szCs w:val="21"/>
          <w:highlight w:val="none"/>
          <w:u w:val="none" w:color="auto"/>
          <w:vertAlign w:val="superscript"/>
        </w:rPr>
        <w:fldChar w:fldCharType="begin"/>
      </w:r>
      <w:r>
        <w:rPr>
          <w:rFonts w:hint="eastAsia" w:ascii="宋体" w:hAnsi="宋体" w:eastAsia="宋体" w:cs="宋体"/>
          <w:color w:val="auto"/>
          <w:spacing w:val="0"/>
          <w:position w:val="0"/>
          <w:sz w:val="21"/>
          <w:szCs w:val="21"/>
          <w:highlight w:val="none"/>
          <w:u w:val="none" w:color="auto"/>
          <w:vertAlign w:val="superscript"/>
        </w:rPr>
        <w:instrText xml:space="preserve"> HYPERLINK \l "_bookmark1" </w:instrText>
      </w:r>
      <w:r>
        <w:rPr>
          <w:rFonts w:hint="eastAsia" w:ascii="宋体" w:hAnsi="宋体" w:eastAsia="宋体" w:cs="宋体"/>
          <w:color w:val="auto"/>
          <w:spacing w:val="0"/>
          <w:position w:val="0"/>
          <w:sz w:val="21"/>
          <w:szCs w:val="21"/>
          <w:highlight w:val="none"/>
          <w:u w:val="none" w:color="auto"/>
          <w:vertAlign w:val="superscript"/>
        </w:rPr>
        <w:fldChar w:fldCharType="separate"/>
      </w:r>
      <w:r>
        <w:rPr>
          <w:rFonts w:hint="eastAsia" w:ascii="宋体" w:hAnsi="宋体" w:eastAsia="宋体" w:cs="宋体"/>
          <w:color w:val="auto"/>
          <w:spacing w:val="0"/>
          <w:position w:val="0"/>
          <w:sz w:val="21"/>
          <w:szCs w:val="21"/>
          <w:highlight w:val="none"/>
          <w:u w:val="none" w:color="auto"/>
          <w:vertAlign w:val="superscript"/>
        </w:rPr>
        <w:t>1</w:t>
      </w:r>
      <w:r>
        <w:rPr>
          <w:rFonts w:hint="eastAsia" w:ascii="宋体" w:hAnsi="宋体" w:eastAsia="宋体" w:cs="宋体"/>
          <w:color w:val="auto"/>
          <w:spacing w:val="0"/>
          <w:position w:val="0"/>
          <w:sz w:val="21"/>
          <w:szCs w:val="21"/>
          <w:highlight w:val="none"/>
          <w:u w:val="none" w:color="auto"/>
          <w:vertAlign w:val="superscript"/>
        </w:rPr>
        <w:fldChar w:fldCharType="end"/>
      </w:r>
      <w:r>
        <w:rPr>
          <w:rFonts w:hint="eastAsia" w:ascii="宋体" w:hAnsi="宋体" w:eastAsia="宋体" w:cs="宋体"/>
          <w:color w:val="auto"/>
          <w:spacing w:val="0"/>
          <w:position w:val="0"/>
          <w:sz w:val="21"/>
          <w:szCs w:val="21"/>
          <w:highlight w:val="none"/>
          <w:u w:val="none" w:color="auto"/>
        </w:rPr>
        <w:t>，属于</w:t>
      </w:r>
      <w:r>
        <w:rPr>
          <w:rFonts w:hint="eastAsia" w:ascii="宋体" w:hAnsi="宋体" w:eastAsia="宋体" w:cs="宋体"/>
          <w:i/>
          <w:color w:val="auto"/>
          <w:spacing w:val="0"/>
          <w:position w:val="0"/>
          <w:sz w:val="21"/>
          <w:szCs w:val="21"/>
          <w:highlight w:val="none"/>
          <w:u w:val="single"/>
        </w:rPr>
        <w:t>（中型企业、</w:t>
      </w:r>
      <w:r>
        <w:rPr>
          <w:rFonts w:hint="eastAsia" w:ascii="宋体" w:hAnsi="宋体" w:eastAsia="宋体" w:cs="宋体"/>
          <w:i/>
          <w:color w:val="auto"/>
          <w:spacing w:val="0"/>
          <w:w w:val="96"/>
          <w:position w:val="0"/>
          <w:sz w:val="21"/>
          <w:szCs w:val="21"/>
          <w:highlight w:val="none"/>
          <w:u w:val="single"/>
        </w:rPr>
        <w:t>小型企业、微型企业）</w:t>
      </w:r>
      <w:r>
        <w:rPr>
          <w:rFonts w:hint="eastAsia" w:ascii="宋体" w:hAnsi="宋体" w:eastAsia="宋体" w:cs="宋体"/>
          <w:color w:val="auto"/>
          <w:spacing w:val="0"/>
          <w:w w:val="99"/>
          <w:position w:val="0"/>
          <w:sz w:val="21"/>
          <w:szCs w:val="21"/>
          <w:highlight w:val="none"/>
          <w:u w:val="none" w:color="auto"/>
        </w:rPr>
        <w:t>；</w:t>
      </w:r>
    </w:p>
    <w:p>
      <w:pPr>
        <w:pStyle w:val="141"/>
        <w:keepNext w:val="0"/>
        <w:keepLines w:val="0"/>
        <w:pageBreakBefore w:val="0"/>
        <w:widowControl w:val="0"/>
        <w:numPr>
          <w:ilvl w:val="0"/>
          <w:numId w:val="0"/>
        </w:numPr>
        <w:tabs>
          <w:tab w:val="left" w:pos="1243"/>
          <w:tab w:val="left" w:pos="1806"/>
          <w:tab w:val="left" w:pos="5005"/>
          <w:tab w:val="left" w:pos="7213"/>
        </w:tabs>
        <w:kinsoku/>
        <w:wordWrap/>
        <w:overflowPunct/>
        <w:topLinePunct w:val="0"/>
        <w:autoSpaceDE w:val="0"/>
        <w:autoSpaceDN w:val="0"/>
        <w:bidi w:val="0"/>
        <w:adjustRightInd/>
        <w:snapToGrid/>
        <w:spacing w:before="0" w:after="0" w:line="360" w:lineRule="auto"/>
        <w:ind w:left="15" w:leftChars="0" w:right="-54" w:rightChars="0" w:firstLine="478" w:firstLineChars="238"/>
        <w:jc w:val="left"/>
        <w:textAlignment w:val="auto"/>
        <w:rPr>
          <w:rFonts w:hint="eastAsia" w:ascii="宋体" w:hAnsi="宋体" w:eastAsia="宋体" w:cs="宋体"/>
          <w:color w:val="auto"/>
          <w:spacing w:val="0"/>
          <w:position w:val="0"/>
          <w:sz w:val="21"/>
          <w:szCs w:val="21"/>
          <w:highlight w:val="none"/>
          <w:u w:val="none"/>
        </w:rPr>
      </w:pPr>
      <w:r>
        <w:rPr>
          <w:rFonts w:hint="eastAsia" w:ascii="宋体" w:hAnsi="宋体" w:eastAsia="宋体" w:cs="宋体"/>
          <w:i w:val="0"/>
          <w:iCs/>
          <w:color w:val="auto"/>
          <w:spacing w:val="0"/>
          <w:w w:val="96"/>
          <w:position w:val="0"/>
          <w:sz w:val="21"/>
          <w:szCs w:val="21"/>
          <w:highlight w:val="none"/>
          <w:u w:val="none" w:color="auto"/>
          <w:lang w:val="en-US" w:eastAsia="zh-CN"/>
        </w:rPr>
        <w:t>2.</w:t>
      </w:r>
      <w:r>
        <w:rPr>
          <w:rFonts w:hint="eastAsia" w:ascii="宋体" w:hAnsi="宋体" w:eastAsia="宋体" w:cs="宋体"/>
          <w:i/>
          <w:color w:val="auto"/>
          <w:spacing w:val="0"/>
          <w:w w:val="96"/>
          <w:position w:val="0"/>
          <w:sz w:val="21"/>
          <w:szCs w:val="21"/>
          <w:highlight w:val="none"/>
          <w:u w:val="single"/>
        </w:rPr>
        <w:t>（标的名称）</w:t>
      </w:r>
      <w:r>
        <w:rPr>
          <w:rFonts w:hint="eastAsia" w:ascii="宋体" w:hAnsi="宋体" w:eastAsia="宋体" w:cs="宋体"/>
          <w:color w:val="auto"/>
          <w:spacing w:val="0"/>
          <w:w w:val="99"/>
          <w:position w:val="0"/>
          <w:sz w:val="21"/>
          <w:szCs w:val="21"/>
          <w:highlight w:val="none"/>
          <w:u w:val="none"/>
        </w:rPr>
        <w:t>，属于</w:t>
      </w:r>
      <w:r>
        <w:rPr>
          <w:rFonts w:hint="eastAsia" w:ascii="宋体" w:hAnsi="宋体" w:eastAsia="宋体" w:cs="宋体"/>
          <w:i/>
          <w:color w:val="auto"/>
          <w:spacing w:val="0"/>
          <w:w w:val="96"/>
          <w:position w:val="0"/>
          <w:sz w:val="21"/>
          <w:szCs w:val="21"/>
          <w:highlight w:val="none"/>
          <w:u w:val="none"/>
        </w:rPr>
        <w:t>（</w:t>
      </w:r>
      <w:r>
        <w:rPr>
          <w:rFonts w:hint="eastAsia" w:ascii="宋体" w:hAnsi="宋体" w:eastAsia="宋体" w:cs="宋体"/>
          <w:i/>
          <w:color w:val="auto"/>
          <w:spacing w:val="0"/>
          <w:w w:val="96"/>
          <w:position w:val="0"/>
          <w:sz w:val="21"/>
          <w:szCs w:val="21"/>
          <w:highlight w:val="none"/>
          <w:u w:val="single"/>
        </w:rPr>
        <w:t>采购文件中明确的所属行业）</w:t>
      </w:r>
      <w:r>
        <w:rPr>
          <w:rFonts w:hint="eastAsia" w:ascii="宋体" w:hAnsi="宋体" w:eastAsia="宋体" w:cs="宋体"/>
          <w:color w:val="auto"/>
          <w:spacing w:val="0"/>
          <w:w w:val="99"/>
          <w:position w:val="0"/>
          <w:sz w:val="21"/>
          <w:szCs w:val="21"/>
          <w:highlight w:val="none"/>
          <w:u w:val="none"/>
        </w:rPr>
        <w:t>； 承建（承接）企业为</w:t>
      </w:r>
      <w:r>
        <w:rPr>
          <w:rFonts w:hint="eastAsia" w:ascii="宋体" w:hAnsi="宋体" w:eastAsia="宋体" w:cs="宋体"/>
          <w:i/>
          <w:color w:val="auto"/>
          <w:spacing w:val="0"/>
          <w:w w:val="96"/>
          <w:position w:val="0"/>
          <w:sz w:val="21"/>
          <w:szCs w:val="21"/>
          <w:highlight w:val="none"/>
          <w:u w:val="single"/>
        </w:rPr>
        <w:t>（企业名称）</w:t>
      </w:r>
      <w:r>
        <w:rPr>
          <w:rFonts w:hint="eastAsia" w:ascii="宋体" w:hAnsi="宋体" w:eastAsia="宋体" w:cs="宋体"/>
          <w:color w:val="auto"/>
          <w:spacing w:val="0"/>
          <w:w w:val="99"/>
          <w:position w:val="0"/>
          <w:sz w:val="21"/>
          <w:szCs w:val="21"/>
          <w:highlight w:val="none"/>
          <w:u w:val="none"/>
        </w:rPr>
        <w:t>，从业人员</w:t>
      </w:r>
      <w:r>
        <w:rPr>
          <w:rFonts w:hint="eastAsia" w:ascii="宋体" w:hAnsi="宋体" w:eastAsia="宋体" w:cs="宋体"/>
          <w:color w:val="auto"/>
          <w:spacing w:val="0"/>
          <w:w w:val="99"/>
          <w:position w:val="0"/>
          <w:sz w:val="21"/>
          <w:szCs w:val="21"/>
          <w:highlight w:val="none"/>
          <w:u w:val="single"/>
        </w:rPr>
        <w:t xml:space="preserve"> </w:t>
      </w:r>
      <w:r>
        <w:rPr>
          <w:rFonts w:hint="eastAsia" w:ascii="宋体" w:hAnsi="宋体" w:eastAsia="宋体" w:cs="宋体"/>
          <w:color w:val="auto"/>
          <w:spacing w:val="0"/>
          <w:position w:val="0"/>
          <w:sz w:val="21"/>
          <w:szCs w:val="21"/>
          <w:highlight w:val="none"/>
          <w:u w:val="single"/>
        </w:rPr>
        <w:tab/>
      </w:r>
      <w:r>
        <w:rPr>
          <w:rFonts w:hint="eastAsia" w:ascii="宋体" w:hAnsi="宋体" w:eastAsia="宋体" w:cs="宋体"/>
          <w:color w:val="auto"/>
          <w:spacing w:val="0"/>
          <w:w w:val="99"/>
          <w:position w:val="0"/>
          <w:sz w:val="21"/>
          <w:szCs w:val="21"/>
          <w:highlight w:val="none"/>
          <w:u w:val="none"/>
        </w:rPr>
        <w:t>人，营业</w:t>
      </w:r>
      <w:r>
        <w:rPr>
          <w:rFonts w:hint="eastAsia" w:ascii="宋体" w:hAnsi="宋体" w:eastAsia="宋体" w:cs="宋体"/>
          <w:color w:val="auto"/>
          <w:spacing w:val="0"/>
          <w:position w:val="0"/>
          <w:sz w:val="21"/>
          <w:szCs w:val="21"/>
          <w:highlight w:val="none"/>
          <w:u w:val="none"/>
        </w:rPr>
        <w:t>收入为</w:t>
      </w:r>
      <w:r>
        <w:rPr>
          <w:rFonts w:hint="eastAsia" w:ascii="宋体" w:hAnsi="宋体" w:eastAsia="宋体" w:cs="宋体"/>
          <w:color w:val="auto"/>
          <w:spacing w:val="0"/>
          <w:position w:val="0"/>
          <w:sz w:val="21"/>
          <w:szCs w:val="21"/>
          <w:highlight w:val="none"/>
          <w:u w:val="single"/>
        </w:rPr>
        <w:t xml:space="preserve"> </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u w:val="single"/>
        </w:rPr>
        <w:tab/>
      </w:r>
      <w:r>
        <w:rPr>
          <w:rFonts w:hint="eastAsia" w:ascii="宋体" w:hAnsi="宋体" w:eastAsia="宋体" w:cs="宋体"/>
          <w:color w:val="auto"/>
          <w:spacing w:val="0"/>
          <w:position w:val="0"/>
          <w:sz w:val="21"/>
          <w:szCs w:val="21"/>
          <w:highlight w:val="none"/>
          <w:u w:val="none"/>
        </w:rPr>
        <w:t>万元，资产总额为</w:t>
      </w:r>
      <w:r>
        <w:rPr>
          <w:rFonts w:hint="eastAsia" w:ascii="宋体" w:hAnsi="宋体" w:eastAsia="宋体" w:cs="宋体"/>
          <w:color w:val="auto"/>
          <w:spacing w:val="0"/>
          <w:position w:val="0"/>
          <w:sz w:val="21"/>
          <w:szCs w:val="21"/>
          <w:highlight w:val="none"/>
          <w:u w:val="single"/>
        </w:rPr>
        <w:t xml:space="preserve"> </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u w:val="none"/>
        </w:rPr>
        <w:t>万元，属于</w:t>
      </w:r>
      <w:r>
        <w:rPr>
          <w:rFonts w:hint="eastAsia" w:ascii="宋体" w:hAnsi="宋体" w:eastAsia="宋体" w:cs="宋体"/>
          <w:i/>
          <w:color w:val="auto"/>
          <w:spacing w:val="0"/>
          <w:position w:val="0"/>
          <w:sz w:val="21"/>
          <w:szCs w:val="21"/>
          <w:highlight w:val="none"/>
          <w:u w:val="single"/>
        </w:rPr>
        <w:t>（中型企业、</w:t>
      </w:r>
      <w:r>
        <w:rPr>
          <w:rFonts w:hint="eastAsia" w:ascii="宋体" w:hAnsi="宋体" w:eastAsia="宋体" w:cs="宋体"/>
          <w:i/>
          <w:color w:val="auto"/>
          <w:spacing w:val="0"/>
          <w:w w:val="96"/>
          <w:position w:val="0"/>
          <w:sz w:val="21"/>
          <w:szCs w:val="21"/>
          <w:highlight w:val="none"/>
          <w:u w:val="single"/>
        </w:rPr>
        <w:t>小型企业、微型企业）</w:t>
      </w:r>
      <w:r>
        <w:rPr>
          <w:rFonts w:hint="eastAsia" w:ascii="宋体" w:hAnsi="宋体" w:eastAsia="宋体" w:cs="宋体"/>
          <w:color w:val="auto"/>
          <w:spacing w:val="0"/>
          <w:w w:val="99"/>
          <w:position w:val="0"/>
          <w:sz w:val="21"/>
          <w:szCs w:val="21"/>
          <w:highlight w:val="none"/>
          <w:u w:val="none"/>
        </w:rPr>
        <w:t>；</w:t>
      </w:r>
    </w:p>
    <w:p>
      <w:pPr>
        <w:pStyle w:val="18"/>
        <w:keepNext w:val="0"/>
        <w:keepLines w:val="0"/>
        <w:pageBreakBefore w:val="0"/>
        <w:widowControl w:val="0"/>
        <w:kinsoku/>
        <w:wordWrap/>
        <w:overflowPunct/>
        <w:topLinePunct w:val="0"/>
        <w:autoSpaceDE w:val="0"/>
        <w:autoSpaceDN w:val="0"/>
        <w:bidi w:val="0"/>
        <w:adjustRightInd/>
        <w:snapToGrid/>
        <w:spacing w:before="11" w:line="360" w:lineRule="auto"/>
        <w:ind w:left="86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w:t>
      </w:r>
    </w:p>
    <w:p>
      <w:pPr>
        <w:pStyle w:val="18"/>
        <w:keepNext w:val="0"/>
        <w:keepLines w:val="0"/>
        <w:pageBreakBefore w:val="0"/>
        <w:widowControl w:val="0"/>
        <w:kinsoku/>
        <w:wordWrap/>
        <w:overflowPunct/>
        <w:topLinePunct w:val="0"/>
        <w:autoSpaceDE w:val="0"/>
        <w:autoSpaceDN w:val="0"/>
        <w:bidi w:val="0"/>
        <w:adjustRightInd/>
        <w:snapToGrid/>
        <w:spacing w:before="108" w:line="360" w:lineRule="auto"/>
        <w:ind w:left="0" w:leftChars="0" w:right="-54" w:rightChars="0" w:firstLine="645" w:firstLineChars="0"/>
        <w:jc w:val="both"/>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以上企业，不属于大企业的分支机构，不存在控股股东为大企业的情形，也不存在与大企业的负责人为同一人的情形。</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leftChars="0" w:right="-54" w:rightChars="0" w:firstLine="640" w:firstLineChars="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本企业对上述声明内容的真实性负责。如有虚假，将依法承担相应责任。</w:t>
      </w:r>
    </w:p>
    <w:p>
      <w:pPr>
        <w:pStyle w:val="18"/>
        <w:keepNext w:val="0"/>
        <w:keepLines w:val="0"/>
        <w:pageBreakBefore w:val="0"/>
        <w:widowControl w:val="0"/>
        <w:kinsoku/>
        <w:wordWrap/>
        <w:overflowPunct/>
        <w:topLinePunct w:val="0"/>
        <w:autoSpaceDE w:val="0"/>
        <w:autoSpaceDN w:val="0"/>
        <w:bidi w:val="0"/>
        <w:adjustRightInd/>
        <w:snapToGrid/>
        <w:spacing w:before="29" w:line="360" w:lineRule="auto"/>
        <w:ind w:left="4060" w:right="-54" w:rightChars="0"/>
        <w:textAlignment w:val="auto"/>
        <w:rPr>
          <w:rFonts w:hint="eastAsia" w:ascii="宋体" w:hAnsi="宋体" w:eastAsia="宋体" w:cs="宋体"/>
          <w:color w:val="auto"/>
          <w:spacing w:val="0"/>
          <w:w w:val="99"/>
          <w:position w:val="0"/>
          <w:sz w:val="21"/>
          <w:szCs w:val="21"/>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29" w:line="360" w:lineRule="auto"/>
        <w:ind w:left="4060" w:right="-54" w:rightChars="0"/>
        <w:textAlignment w:val="auto"/>
        <w:rPr>
          <w:rFonts w:hint="eastAsia" w:ascii="宋体" w:hAnsi="宋体" w:eastAsia="宋体" w:cs="宋体"/>
          <w:color w:val="auto"/>
          <w:spacing w:val="0"/>
          <w:w w:val="99"/>
          <w:position w:val="0"/>
          <w:sz w:val="21"/>
          <w:szCs w:val="21"/>
          <w:highlight w:val="none"/>
        </w:rPr>
      </w:pPr>
    </w:p>
    <w:p>
      <w:pPr>
        <w:pStyle w:val="18"/>
        <w:keepNext w:val="0"/>
        <w:keepLines w:val="0"/>
        <w:pageBreakBefore w:val="0"/>
        <w:widowControl w:val="0"/>
        <w:kinsoku/>
        <w:wordWrap/>
        <w:overflowPunct/>
        <w:topLinePunct w:val="0"/>
        <w:autoSpaceDE w:val="0"/>
        <w:autoSpaceDN w:val="0"/>
        <w:bidi w:val="0"/>
        <w:adjustRightInd/>
        <w:snapToGrid/>
        <w:spacing w:before="29" w:line="360" w:lineRule="auto"/>
        <w:ind w:left="4060" w:right="-54" w:rightChars="0"/>
        <w:textAlignment w:val="auto"/>
        <w:rPr>
          <w:rFonts w:hint="eastAsia" w:ascii="宋体" w:hAnsi="宋体" w:eastAsia="宋体" w:cs="宋体"/>
          <w:color w:val="auto"/>
          <w:spacing w:val="0"/>
          <w:w w:val="99"/>
          <w:position w:val="0"/>
          <w:sz w:val="21"/>
          <w:szCs w:val="21"/>
          <w:highlight w:val="none"/>
        </w:rPr>
      </w:pPr>
      <w:r>
        <w:rPr>
          <w:rFonts w:hint="eastAsia" w:ascii="宋体" w:hAnsi="宋体" w:eastAsia="宋体" w:cs="宋体"/>
          <w:color w:val="auto"/>
          <w:spacing w:val="0"/>
          <w:w w:val="99"/>
          <w:position w:val="0"/>
          <w:sz w:val="21"/>
          <w:szCs w:val="21"/>
          <w:highlight w:val="none"/>
        </w:rPr>
        <w:t>企业名称（盖章）：</w:t>
      </w:r>
    </w:p>
    <w:p>
      <w:pPr>
        <w:pStyle w:val="18"/>
        <w:keepNext w:val="0"/>
        <w:keepLines w:val="0"/>
        <w:pageBreakBefore w:val="0"/>
        <w:widowControl w:val="0"/>
        <w:kinsoku/>
        <w:wordWrap/>
        <w:overflowPunct/>
        <w:topLinePunct w:val="0"/>
        <w:autoSpaceDE w:val="0"/>
        <w:autoSpaceDN w:val="0"/>
        <w:bidi w:val="0"/>
        <w:adjustRightInd/>
        <w:snapToGrid/>
        <w:spacing w:before="29" w:line="360" w:lineRule="auto"/>
        <w:ind w:left="4060" w:right="-54" w:rightChars="0"/>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日期：</w:t>
      </w:r>
    </w:p>
    <w:p>
      <w:pPr>
        <w:pStyle w:val="18"/>
        <w:keepNext w:val="0"/>
        <w:keepLines w:val="0"/>
        <w:pageBreakBefore w:val="0"/>
        <w:widowControl w:val="0"/>
        <w:kinsoku/>
        <w:wordWrap/>
        <w:overflowPunct/>
        <w:topLinePunct w:val="0"/>
        <w:autoSpaceDE w:val="0"/>
        <w:autoSpaceDN w:val="0"/>
        <w:bidi w:val="0"/>
        <w:adjustRightInd/>
        <w:snapToGrid/>
        <w:spacing w:before="29" w:line="360" w:lineRule="auto"/>
        <w:ind w:left="4060" w:right="-54" w:rightChars="0"/>
        <w:textAlignment w:val="auto"/>
        <w:rPr>
          <w:rFonts w:hint="eastAsia" w:ascii="宋体" w:hAnsi="宋体" w:eastAsia="宋体" w:cs="宋体"/>
          <w:color w:val="auto"/>
          <w:spacing w:val="0"/>
          <w:position w:val="0"/>
          <w:sz w:val="21"/>
          <w:szCs w:val="21"/>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8"/>
          <w:szCs w:val="28"/>
          <w:highlight w:val="none"/>
          <w:lang w:val="zh-CN" w:eastAsia="zh-CN"/>
        </w:rPr>
      </w:pPr>
    </w:p>
    <w:p>
      <w:pPr>
        <w:snapToGrid w:val="0"/>
        <w:spacing w:line="360" w:lineRule="auto"/>
        <w:rPr>
          <w:rFonts w:hint="eastAsia" w:ascii="宋体" w:hAnsi="宋体" w:eastAsia="宋体" w:cs="宋体"/>
          <w:b/>
          <w:color w:val="auto"/>
          <w:szCs w:val="21"/>
          <w:highlight w:val="none"/>
          <w:lang w:val="en-US" w:eastAsia="zh-CN"/>
        </w:rPr>
      </w:pPr>
    </w:p>
    <w:p>
      <w:pPr>
        <w:snapToGrid w:val="0"/>
        <w:spacing w:line="360" w:lineRule="auto"/>
        <w:rPr>
          <w:rFonts w:hint="eastAsia" w:ascii="宋体" w:hAnsi="宋体" w:eastAsia="宋体" w:cs="宋体"/>
          <w:b/>
          <w:color w:val="auto"/>
          <w:szCs w:val="21"/>
          <w:highlight w:val="none"/>
          <w:lang w:val="en-US" w:eastAsia="zh-CN"/>
        </w:rPr>
      </w:pPr>
    </w:p>
    <w:p>
      <w:pPr>
        <w:snapToGrid w:val="0"/>
        <w:spacing w:line="360" w:lineRule="auto"/>
        <w:rPr>
          <w:rFonts w:hint="eastAsia" w:ascii="宋体" w:hAnsi="宋体" w:eastAsia="宋体" w:cs="宋体"/>
          <w:b/>
          <w:color w:val="auto"/>
          <w:szCs w:val="21"/>
          <w:highlight w:val="none"/>
          <w:lang w:val="en-US" w:eastAsia="zh-CN"/>
        </w:rPr>
      </w:pPr>
    </w:p>
    <w:p>
      <w:pPr>
        <w:snapToGrid w:val="0"/>
        <w:spacing w:line="360" w:lineRule="auto"/>
        <w:rPr>
          <w:rFonts w:hint="eastAsia" w:ascii="宋体" w:hAnsi="宋体" w:eastAsia="宋体" w:cs="宋体"/>
          <w:b/>
          <w:color w:val="auto"/>
          <w:szCs w:val="21"/>
          <w:highlight w:val="none"/>
          <w:lang w:val="en-US" w:eastAsia="zh-CN"/>
        </w:rPr>
      </w:pPr>
    </w:p>
    <w:p>
      <w:pPr>
        <w:snapToGrid w:val="0"/>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说明：</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b/>
          <w:bCs w:val="0"/>
          <w:color w:val="auto"/>
          <w:sz w:val="18"/>
          <w:highlight w:val="none"/>
        </w:rPr>
      </w:pPr>
      <w:r>
        <w:rPr>
          <w:rFonts w:hint="eastAsia" w:ascii="宋体" w:hAnsi="宋体" w:eastAsia="宋体" w:cs="宋体"/>
          <w:b/>
          <w:bCs w:val="0"/>
          <w:color w:val="auto"/>
          <w:szCs w:val="21"/>
          <w:highlight w:val="none"/>
          <w:lang w:val="en-US" w:eastAsia="zh-CN"/>
        </w:rPr>
        <w:t>1.</w:t>
      </w:r>
      <w:r>
        <w:rPr>
          <w:rFonts w:hint="eastAsia" w:ascii="宋体" w:hAnsi="宋体" w:eastAsia="宋体" w:cs="宋体"/>
          <w:b/>
          <w:bCs w:val="0"/>
          <w:color w:val="auto"/>
          <w:position w:val="6"/>
          <w:sz w:val="11"/>
          <w:highlight w:val="none"/>
        </w:rPr>
        <w:t>1</w:t>
      </w:r>
      <w:r>
        <w:rPr>
          <w:rFonts w:hint="eastAsia" w:ascii="宋体" w:hAnsi="宋体" w:eastAsia="宋体" w:cs="宋体"/>
          <w:b/>
          <w:bCs w:val="0"/>
          <w:color w:val="auto"/>
          <w:sz w:val="18"/>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napToGrid w:val="0"/>
        <w:spacing w:line="320" w:lineRule="exact"/>
        <w:ind w:left="20" w:right="0" w:firstLine="0"/>
        <w:jc w:val="left"/>
        <w:textAlignment w:val="auto"/>
        <w:rPr>
          <w:rFonts w:hint="eastAsia" w:ascii="宋体" w:hAnsi="宋体" w:eastAsia="宋体" w:cs="宋体"/>
          <w:b/>
          <w:bCs w:val="0"/>
          <w:color w:val="auto"/>
          <w:sz w:val="18"/>
          <w:highlight w:val="none"/>
          <w:lang w:val="en-US" w:eastAsia="zh-CN"/>
        </w:rPr>
      </w:pPr>
      <w:r>
        <w:rPr>
          <w:rFonts w:hint="eastAsia" w:ascii="宋体" w:hAnsi="宋体" w:eastAsia="宋体" w:cs="宋体"/>
          <w:b/>
          <w:bCs w:val="0"/>
          <w:color w:val="auto"/>
          <w:sz w:val="18"/>
          <w:highlight w:val="none"/>
          <w:lang w:val="en-US" w:eastAsia="zh-CN"/>
        </w:rPr>
        <w:t>2.</w:t>
      </w:r>
      <w:r>
        <w:rPr>
          <w:rFonts w:hint="eastAsia" w:ascii="宋体" w:hAnsi="宋体" w:eastAsia="宋体" w:cs="宋体"/>
          <w:b/>
          <w:bCs w:val="0"/>
          <w:color w:val="auto"/>
          <w:sz w:val="18"/>
          <w:highlight w:val="none"/>
          <w:lang w:eastAsia="zh-CN"/>
        </w:rPr>
        <w:t>本项目所</w:t>
      </w:r>
      <w:r>
        <w:rPr>
          <w:rFonts w:hint="eastAsia" w:ascii="宋体" w:hAnsi="宋体" w:eastAsia="宋体" w:cs="宋体"/>
          <w:b/>
          <w:bCs w:val="0"/>
          <w:color w:val="auto"/>
          <w:sz w:val="18"/>
          <w:highlight w:val="none"/>
        </w:rPr>
        <w:t>属行业</w:t>
      </w:r>
      <w:r>
        <w:rPr>
          <w:rFonts w:hint="eastAsia" w:ascii="宋体" w:hAnsi="宋体" w:eastAsia="宋体" w:cs="宋体"/>
          <w:b/>
          <w:bCs w:val="0"/>
          <w:color w:val="auto"/>
          <w:sz w:val="18"/>
          <w:highlight w:val="none"/>
          <w:lang w:eastAsia="zh-CN"/>
        </w:rPr>
        <w:t>见前附表。</w:t>
      </w:r>
    </w:p>
    <w:p>
      <w:pPr>
        <w:keepNext w:val="0"/>
        <w:keepLines w:val="0"/>
        <w:pageBreakBefore w:val="0"/>
        <w:widowControl w:val="0"/>
        <w:kinsoku/>
        <w:wordWrap/>
        <w:overflowPunct/>
        <w:topLinePunct w:val="0"/>
        <w:autoSpaceDE/>
        <w:autoSpaceDN/>
        <w:bidi w:val="0"/>
        <w:adjustRightInd w:val="0"/>
        <w:snapToGrid w:val="0"/>
        <w:spacing w:line="320" w:lineRule="exact"/>
        <w:ind w:left="20" w:right="0" w:firstLine="0"/>
        <w:jc w:val="left"/>
        <w:textAlignment w:val="auto"/>
        <w:rPr>
          <w:rFonts w:hint="eastAsia" w:ascii="宋体" w:hAnsi="宋体" w:eastAsia="宋体" w:cs="宋体"/>
          <w:b/>
          <w:bCs/>
          <w:color w:val="auto"/>
          <w:sz w:val="18"/>
          <w:highlight w:val="none"/>
          <w:lang w:eastAsia="zh-CN"/>
        </w:rPr>
        <w:sectPr>
          <w:pgSz w:w="11906" w:h="16838"/>
          <w:pgMar w:top="1247" w:right="1588" w:bottom="1089" w:left="1588" w:header="851" w:footer="992" w:gutter="0"/>
          <w:cols w:space="720" w:num="1"/>
          <w:docGrid w:linePitch="312" w:charSpace="0"/>
        </w:sectPr>
      </w:pPr>
      <w:r>
        <w:rPr>
          <w:rFonts w:hint="eastAsia" w:ascii="宋体" w:hAnsi="宋体" w:eastAsia="宋体" w:cs="宋体"/>
          <w:b/>
          <w:bCs/>
          <w:color w:val="auto"/>
          <w:sz w:val="18"/>
          <w:highlight w:val="none"/>
          <w:lang w:val="en-US" w:eastAsia="zh-CN"/>
        </w:rPr>
        <w:t>3.</w:t>
      </w:r>
      <w:r>
        <w:rPr>
          <w:rFonts w:hint="eastAsia" w:ascii="宋体" w:hAnsi="宋体" w:eastAsia="宋体" w:cs="宋体"/>
          <w:b/>
          <w:bCs/>
          <w:color w:val="auto"/>
          <w:sz w:val="18"/>
          <w:highlight w:val="none"/>
          <w:lang w:eastAsia="zh-CN"/>
        </w:rPr>
        <w:t>中小企业划型标准规定（工信部联企业[2011]300号）附后。</w:t>
      </w:r>
    </w:p>
    <w:p>
      <w:pPr>
        <w:pStyle w:val="2"/>
        <w:ind w:left="0" w:leftChars="0" w:firstLine="0" w:firstLineChars="0"/>
        <w:rPr>
          <w:rFonts w:hint="eastAsia"/>
          <w:color w:val="auto"/>
          <w:highlight w:val="none"/>
          <w:lang w:eastAsia="zh-CN"/>
        </w:rPr>
      </w:pPr>
      <w:r>
        <w:rPr>
          <w:color w:val="auto"/>
          <w:highlight w:val="none"/>
        </w:rPr>
        <w:drawing>
          <wp:inline distT="0" distB="0" distL="114300" distR="114300">
            <wp:extent cx="9091295" cy="5498465"/>
            <wp:effectExtent l="0" t="0" r="190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9091295" cy="5498465"/>
                    </a:xfrm>
                    <a:prstGeom prst="rect">
                      <a:avLst/>
                    </a:prstGeom>
                    <a:noFill/>
                    <a:ln>
                      <a:noFill/>
                    </a:ln>
                  </pic:spPr>
                </pic:pic>
              </a:graphicData>
            </a:graphic>
          </wp:inline>
        </w:drawing>
      </w:r>
    </w:p>
    <w:p>
      <w:pPr>
        <w:snapToGrid w:val="0"/>
        <w:spacing w:line="360" w:lineRule="auto"/>
        <w:rPr>
          <w:rFonts w:hint="eastAsia" w:ascii="宋体" w:hAnsi="宋体" w:cs="宋体"/>
          <w:b/>
          <w:color w:val="auto"/>
          <w:szCs w:val="21"/>
          <w:highlight w:val="none"/>
          <w:lang w:val="en-US" w:eastAsia="zh-CN"/>
        </w:rPr>
        <w:sectPr>
          <w:pgSz w:w="16838" w:h="11906" w:orient="landscape"/>
          <w:pgMar w:top="1587" w:right="1247" w:bottom="1587" w:left="1089" w:header="851" w:footer="992" w:gutter="0"/>
          <w:cols w:space="720" w:num="1"/>
          <w:rtlGutter w:val="0"/>
          <w:docGrid w:linePitch="312" w:charSpace="0"/>
        </w:sectPr>
      </w:pP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w:t>
      </w:r>
      <w:r>
        <w:rPr>
          <w:rFonts w:hint="eastAsia" w:ascii="宋体" w:hAnsi="宋体" w:eastAsia="宋体" w:cs="宋体"/>
          <w:b/>
          <w:color w:val="auto"/>
          <w:szCs w:val="21"/>
          <w:highlight w:val="none"/>
          <w:lang w:val="en-US" w:eastAsia="zh-CN"/>
        </w:rPr>
        <w:t>6</w:t>
      </w:r>
      <w:r>
        <w:rPr>
          <w:rFonts w:hint="eastAsia" w:ascii="宋体" w:hAnsi="宋体" w:cs="宋体"/>
          <w:b/>
          <w:color w:val="auto"/>
          <w:szCs w:val="21"/>
          <w:highlight w:val="none"/>
        </w:rPr>
        <w:t>投标人为监狱企业的证明文件：省级以上监狱管理局、戒毒管理局（含新疆生产建设兵团）出具（如有）</w:t>
      </w:r>
    </w:p>
    <w:p>
      <w:pPr>
        <w:snapToGrid w:val="0"/>
        <w:spacing w:line="360" w:lineRule="auto"/>
        <w:rPr>
          <w:rFonts w:hint="eastAsia" w:ascii="宋体" w:hAnsi="宋体" w:cs="宋体"/>
          <w:snapToGrid w:val="0"/>
          <w:color w:val="auto"/>
          <w:kern w:val="0"/>
          <w:szCs w:val="21"/>
          <w:highlight w:val="none"/>
        </w:rPr>
      </w:pPr>
    </w:p>
    <w:p>
      <w:pPr>
        <w:spacing w:line="588" w:lineRule="exact"/>
        <w:rPr>
          <w:rFonts w:hint="eastAsia" w:ascii="宋体" w:hAnsi="宋体" w:cs="宋体"/>
          <w:b/>
          <w:color w:val="auto"/>
          <w:szCs w:val="21"/>
          <w:highlight w:val="none"/>
        </w:rPr>
      </w:pPr>
      <w:r>
        <w:rPr>
          <w:rFonts w:hint="eastAsia" w:ascii="宋体" w:hAnsi="宋体" w:cs="宋体"/>
          <w:snapToGrid w:val="0"/>
          <w:color w:val="auto"/>
          <w:kern w:val="0"/>
          <w:szCs w:val="21"/>
          <w:highlight w:val="none"/>
        </w:rPr>
        <w:br w:type="page"/>
      </w:r>
      <w:bookmarkStart w:id="86" w:name="OLE_LINK13"/>
      <w:bookmarkStart w:id="87" w:name="OLE_LINK14"/>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w:t>
      </w:r>
      <w:r>
        <w:rPr>
          <w:rFonts w:hint="eastAsia" w:ascii="宋体" w:hAnsi="宋体" w:eastAsia="宋体" w:cs="宋体"/>
          <w:b/>
          <w:color w:val="auto"/>
          <w:szCs w:val="21"/>
          <w:highlight w:val="none"/>
          <w:lang w:val="en-US" w:eastAsia="zh-CN"/>
        </w:rPr>
        <w:t>7</w:t>
      </w:r>
      <w:r>
        <w:rPr>
          <w:rFonts w:hint="eastAsia" w:ascii="宋体" w:hAnsi="宋体" w:cs="宋体"/>
          <w:b/>
          <w:color w:val="auto"/>
          <w:szCs w:val="21"/>
          <w:highlight w:val="none"/>
        </w:rPr>
        <w:t>残疾人福利性单位声明函（如有）</w:t>
      </w:r>
    </w:p>
    <w:p>
      <w:pPr>
        <w:pStyle w:val="2"/>
        <w:spacing w:line="600" w:lineRule="exact"/>
        <w:ind w:firstLine="0"/>
        <w:jc w:val="center"/>
        <w:rPr>
          <w:rFonts w:hint="eastAsia" w:ascii="宋体" w:hAnsi="宋体" w:eastAsia="宋体" w:cs="宋体"/>
          <w:b/>
          <w:bCs/>
          <w:snapToGrid w:val="0"/>
          <w:color w:val="auto"/>
          <w:kern w:val="0"/>
          <w:sz w:val="28"/>
          <w:szCs w:val="28"/>
          <w:highlight w:val="none"/>
        </w:rPr>
      </w:pPr>
    </w:p>
    <w:p>
      <w:pPr>
        <w:spacing w:line="360" w:lineRule="atLeas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残疾人福利性单位声明函</w:t>
      </w:r>
    </w:p>
    <w:bookmarkEnd w:id="86"/>
    <w:bookmarkEnd w:id="87"/>
    <w:p>
      <w:pPr>
        <w:spacing w:line="588" w:lineRule="exact"/>
        <w:rPr>
          <w:rFonts w:hint="eastAsia" w:ascii="宋体" w:hAnsi="宋体" w:cs="宋体"/>
          <w:b/>
          <w:color w:val="auto"/>
          <w:spacing w:val="6"/>
          <w:sz w:val="30"/>
          <w:szCs w:val="30"/>
          <w:highlight w:val="none"/>
        </w:rPr>
      </w:pPr>
    </w:p>
    <w:p>
      <w:pPr>
        <w:spacing w:line="588"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 141</w:t>
      </w:r>
      <w:r>
        <w:rPr>
          <w:rFonts w:hint="eastAsia" w:ascii="宋体" w:hAnsi="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spacing w:line="588" w:lineRule="exact"/>
        <w:ind w:firstLine="444" w:firstLineChars="200"/>
        <w:rPr>
          <w:rFonts w:hint="eastAsia" w:ascii="宋体" w:hAnsi="宋体" w:cs="宋体"/>
          <w:color w:val="auto"/>
          <w:spacing w:val="6"/>
          <w:szCs w:val="21"/>
          <w:highlight w:val="none"/>
        </w:rPr>
      </w:pPr>
    </w:p>
    <w:p>
      <w:pPr>
        <w:spacing w:line="588" w:lineRule="exact"/>
        <w:ind w:firstLine="444" w:firstLineChars="200"/>
        <w:rPr>
          <w:rFonts w:hint="eastAsia" w:ascii="宋体" w:hAnsi="宋体" w:cs="宋体"/>
          <w:color w:val="auto"/>
          <w:spacing w:val="6"/>
          <w:szCs w:val="21"/>
          <w:highlight w:val="none"/>
        </w:rPr>
      </w:pPr>
    </w:p>
    <w:p>
      <w:pPr>
        <w:tabs>
          <w:tab w:val="left" w:pos="4860"/>
        </w:tabs>
        <w:spacing w:line="588" w:lineRule="exact"/>
        <w:ind w:right="1560" w:firstLine="444" w:firstLineChars="200"/>
        <w:jc w:val="center"/>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               单位名称（盖章）：</w:t>
      </w:r>
    </w:p>
    <w:p>
      <w:pPr>
        <w:tabs>
          <w:tab w:val="left" w:pos="4860"/>
        </w:tabs>
        <w:spacing w:line="588" w:lineRule="exact"/>
        <w:ind w:right="1560" w:firstLine="444" w:firstLineChars="200"/>
        <w:jc w:val="center"/>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      日  期：</w:t>
      </w:r>
    </w:p>
    <w:p>
      <w:pPr>
        <w:tabs>
          <w:tab w:val="left" w:pos="4860"/>
        </w:tabs>
        <w:spacing w:line="588" w:lineRule="exact"/>
        <w:ind w:right="1560" w:firstLine="444" w:firstLineChars="200"/>
        <w:jc w:val="center"/>
        <w:rPr>
          <w:rFonts w:hint="eastAsia" w:ascii="宋体" w:hAnsi="宋体" w:cs="宋体"/>
          <w:color w:val="auto"/>
          <w:spacing w:val="6"/>
          <w:szCs w:val="21"/>
          <w:highlight w:val="none"/>
        </w:rPr>
        <w:sectPr>
          <w:pgSz w:w="11906" w:h="16838"/>
          <w:pgMar w:top="1247" w:right="1587" w:bottom="1088" w:left="1587" w:header="851" w:footer="992" w:gutter="0"/>
          <w:cols w:space="720" w:num="1"/>
          <w:rtlGutter w:val="0"/>
          <w:docGrid w:linePitch="312" w:charSpace="0"/>
        </w:sectPr>
      </w:pPr>
    </w:p>
    <w:p>
      <w:pPr>
        <w:adjustRightInd w:val="0"/>
        <w:snapToGrid w:val="0"/>
        <w:spacing w:before="120" w:beforeLines="50" w:after="120" w:afterLines="50" w:line="360" w:lineRule="auto"/>
        <w:jc w:val="center"/>
        <w:outlineLvl w:val="0"/>
        <w:rPr>
          <w:rFonts w:hint="eastAsia" w:ascii="宋体" w:hAnsi="宋体" w:cs="宋体"/>
          <w:b/>
          <w:color w:val="auto"/>
          <w:sz w:val="30"/>
          <w:szCs w:val="30"/>
          <w:highlight w:val="none"/>
        </w:rPr>
      </w:pPr>
      <w:bookmarkStart w:id="88" w:name="_Toc29263"/>
      <w:bookmarkStart w:id="89" w:name="_Toc4094"/>
      <w:r>
        <w:rPr>
          <w:rFonts w:hint="eastAsia" w:ascii="宋体" w:hAnsi="宋体" w:cs="宋体"/>
          <w:b/>
          <w:color w:val="auto"/>
          <w:sz w:val="30"/>
          <w:szCs w:val="30"/>
          <w:highlight w:val="none"/>
        </w:rPr>
        <w:t>第七部分   其它</w:t>
      </w:r>
      <w:bookmarkEnd w:id="88"/>
      <w:bookmarkEnd w:id="89"/>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政府采购支持中小企业信用融资相关事项通知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一、适用对象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在浙江政府采购网注册入库，并取得杭州市政府采购合同的杭州市内中小企业供应商。</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二、相关信息获取方式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请登陆杭州市政府采购网“中小企业信用融资”模块，查看信用融资政策文件及各相关银行服务方案。</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三、申请方式和步骤</w:t>
      </w:r>
    </w:p>
    <w:p>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（一）“云采贷”融资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1、供应商先与银行对接，办理融资前期手续；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2、供应商中标后，登陆“中小企业信用融资”模块测算授信额度，并向银行发出融资申请；</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3、银行线上审批通过后，办理放贷手续。</w:t>
      </w:r>
    </w:p>
    <w:p>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（二）一般融资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1、供应商先与银行对接，办理融资前期手续；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2、供应商中标后，登陆杭州市政府采购网“中小企业信用融资”模块，向相关合作银行发出融资申请；</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3、银行在“中小企业信用融资”模块受理申请；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4、银行、供应商线下办理审批、放贷事宜。</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四、注意事项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1、供应商需确保政府采购合同的收款银行与融资银行一致。</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2、请各采购单位积极支持和配合政府采购信用融资工作，在合同备案环节仔细核对收款银行、账号信息等内容，一旦录入将无法修改。</w:t>
      </w:r>
    </w:p>
    <w:p>
      <w:pPr>
        <w:spacing w:line="360" w:lineRule="auto"/>
        <w:ind w:firstLine="420" w:firstLineChars="200"/>
        <w:rPr>
          <w:rFonts w:hint="eastAsia" w:ascii="宋体" w:hAnsi="宋体" w:cs="宋体"/>
          <w:color w:val="auto"/>
          <w:szCs w:val="21"/>
          <w:highlight w:val="none"/>
        </w:rPr>
      </w:pPr>
      <w:r>
        <w:rPr>
          <w:rFonts w:hint="eastAsia" w:ascii="宋体" w:hAnsi="宋体" w:cs="Arial"/>
          <w:color w:val="auto"/>
          <w:szCs w:val="21"/>
          <w:highlight w:val="none"/>
        </w:rPr>
        <w:t>3、技术服务热线：87210880；如有业务问题可与各合作银行联系。</w:t>
      </w:r>
    </w:p>
    <w:p>
      <w:pPr>
        <w:spacing w:line="360" w:lineRule="auto"/>
        <w:rPr>
          <w:rFonts w:hint="eastAsia" w:ascii="宋体" w:hAnsi="宋体" w:cs="宋体"/>
          <w:color w:val="auto"/>
          <w:szCs w:val="21"/>
          <w:highlight w:val="none"/>
        </w:rPr>
      </w:pPr>
    </w:p>
    <w:p>
      <w:pPr>
        <w:pStyle w:val="2"/>
        <w:rPr>
          <w:rFonts w:hint="eastAsia" w:ascii="宋体" w:hAnsi="宋体" w:cs="宋体"/>
          <w:color w:val="auto"/>
          <w:szCs w:val="21"/>
          <w:highlight w:val="none"/>
        </w:rPr>
      </w:pPr>
    </w:p>
    <w:p>
      <w:pPr>
        <w:pStyle w:val="2"/>
        <w:rPr>
          <w:rFonts w:hint="eastAsia" w:ascii="宋体" w:hAnsi="宋体" w:cs="宋体"/>
          <w:color w:val="auto"/>
          <w:szCs w:val="21"/>
          <w:highlight w:val="none"/>
        </w:rPr>
      </w:pPr>
    </w:p>
    <w:p>
      <w:pPr>
        <w:pStyle w:val="2"/>
        <w:rPr>
          <w:rFonts w:hint="eastAsia" w:ascii="宋体" w:hAnsi="宋体" w:eastAsia="宋体" w:cs="宋体"/>
          <w:color w:val="auto"/>
          <w:szCs w:val="21"/>
          <w:highlight w:val="none"/>
          <w:lang w:eastAsia="zh-CN"/>
        </w:rPr>
        <w:sectPr>
          <w:pgSz w:w="11906" w:h="16838"/>
          <w:pgMar w:top="1247" w:right="1587" w:bottom="1088" w:left="1587" w:header="851" w:footer="992" w:gutter="0"/>
          <w:cols w:space="720" w:num="1"/>
          <w:rtlGutter w:val="0"/>
          <w:docGrid w:linePitch="312" w:charSpace="0"/>
        </w:sectPr>
      </w:pPr>
    </w:p>
    <w:p>
      <w:pPr>
        <w:pStyle w:val="142"/>
        <w:widowControl w:val="0"/>
        <w:snapToGrid w:val="0"/>
        <w:spacing w:line="500" w:lineRule="exact"/>
        <w:jc w:val="center"/>
        <w:rPr>
          <w:rFonts w:hAnsi="宋体" w:cs="方正小标宋简体"/>
          <w:b/>
          <w:color w:val="auto"/>
          <w:sz w:val="28"/>
          <w:szCs w:val="28"/>
          <w:highlight w:val="none"/>
        </w:rPr>
      </w:pPr>
      <w:r>
        <w:rPr>
          <w:rFonts w:hAnsi="宋体" w:cs="方正小标宋简体"/>
          <w:b/>
          <w:color w:val="auto"/>
          <w:sz w:val="28"/>
          <w:szCs w:val="28"/>
          <w:highlight w:val="none"/>
        </w:rPr>
        <w:t>政府采购活动现场确认声明书</w:t>
      </w:r>
    </w:p>
    <w:p>
      <w:pPr>
        <w:pStyle w:val="142"/>
        <w:widowControl w:val="0"/>
        <w:adjustRightInd w:val="0"/>
        <w:snapToGrid w:val="0"/>
        <w:spacing w:line="360" w:lineRule="auto"/>
        <w:jc w:val="both"/>
        <w:rPr>
          <w:rFonts w:ascii="仿宋" w:hAnsi="仿宋"/>
          <w:color w:val="auto"/>
          <w:kern w:val="0"/>
          <w:szCs w:val="21"/>
          <w:highlight w:val="none"/>
          <w:u w:val="single"/>
        </w:rPr>
      </w:pPr>
    </w:p>
    <w:p>
      <w:pPr>
        <w:pStyle w:val="142"/>
        <w:widowControl w:val="0"/>
        <w:adjustRightInd w:val="0"/>
        <w:snapToGrid w:val="0"/>
        <w:spacing w:line="360" w:lineRule="auto"/>
        <w:jc w:val="both"/>
        <w:rPr>
          <w:rFonts w:hint="default" w:ascii="仿宋" w:hAnsi="仿宋"/>
          <w:b/>
          <w:color w:val="auto"/>
          <w:szCs w:val="21"/>
          <w:highlight w:val="none"/>
        </w:rPr>
      </w:pPr>
      <w:r>
        <w:rPr>
          <w:rFonts w:ascii="仿宋" w:hAnsi="仿宋"/>
          <w:color w:val="auto"/>
          <w:kern w:val="0"/>
          <w:szCs w:val="21"/>
          <w:highlight w:val="none"/>
          <w:u w:val="single"/>
        </w:rPr>
        <w:t>浙江国际招（投）标公司</w:t>
      </w:r>
      <w:r>
        <w:rPr>
          <w:rFonts w:ascii="仿宋" w:hAnsi="仿宋"/>
          <w:color w:val="auto"/>
          <w:kern w:val="0"/>
          <w:szCs w:val="21"/>
          <w:highlight w:val="none"/>
        </w:rPr>
        <w:t>：</w:t>
      </w:r>
    </w:p>
    <w:p>
      <w:pPr>
        <w:pStyle w:val="142"/>
        <w:widowControl w:val="0"/>
        <w:adjustRightInd w:val="0"/>
        <w:snapToGrid w:val="0"/>
        <w:spacing w:line="360" w:lineRule="auto"/>
        <w:ind w:firstLine="444" w:firstLineChars="200"/>
        <w:jc w:val="both"/>
        <w:rPr>
          <w:rFonts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hint="eastAsia" w:ascii="仿宋" w:hAnsi="仿宋"/>
          <w:color w:val="auto"/>
          <w:spacing w:val="6"/>
          <w:szCs w:val="21"/>
          <w:highlight w:val="none"/>
          <w:u w:val="single"/>
          <w:lang w:val="en-US" w:eastAsia="zh-CN"/>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w:t>
      </w:r>
      <w:r>
        <w:rPr>
          <w:rFonts w:hint="eastAsia" w:ascii="仿宋" w:hAnsi="仿宋"/>
          <w:color w:val="auto"/>
          <w:spacing w:val="6"/>
          <w:szCs w:val="21"/>
          <w:highlight w:val="none"/>
          <w:u w:val="single"/>
          <w:lang w:val="en-US" w:eastAsia="zh-CN"/>
        </w:rPr>
        <w:t xml:space="preserve">    </w:t>
      </w:r>
      <w:r>
        <w:rPr>
          <w:rFonts w:ascii="仿宋" w:hAnsi="仿宋"/>
          <w:color w:val="auto"/>
          <w:spacing w:val="6"/>
          <w:szCs w:val="21"/>
          <w:highlight w:val="none"/>
          <w:u w:val="single"/>
        </w:rPr>
        <w:t>）</w:t>
      </w:r>
      <w:r>
        <w:rPr>
          <w:rFonts w:ascii="仿宋" w:hAnsi="仿宋"/>
          <w:color w:val="auto"/>
          <w:spacing w:val="6"/>
          <w:szCs w:val="21"/>
          <w:highlight w:val="none"/>
        </w:rPr>
        <w:t xml:space="preserve">政府采购活动，经与本单位法人代表（负责人）联系确认，现就有关公平竞争事项郑重声明如下： </w:t>
      </w:r>
    </w:p>
    <w:p>
      <w:pPr>
        <w:pStyle w:val="143"/>
        <w:widowControl/>
        <w:numPr>
          <w:ilvl w:val="0"/>
          <w:numId w:val="18"/>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43"/>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pPr>
        <w:pStyle w:val="143"/>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pPr>
        <w:pStyle w:val="143"/>
        <w:widowControl/>
        <w:adjustRightInd w:val="0"/>
        <w:snapToGrid w:val="0"/>
        <w:spacing w:line="360" w:lineRule="auto"/>
        <w:ind w:firstLine="200"/>
        <w:rPr>
          <w:rFonts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42"/>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pPr>
        <w:pStyle w:val="142"/>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pPr>
        <w:pStyle w:val="142"/>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pPr>
        <w:pStyle w:val="142"/>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pPr>
        <w:pStyle w:val="142"/>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pPr>
        <w:pStyle w:val="142"/>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pPr>
        <w:pStyle w:val="142"/>
        <w:widowControl w:val="0"/>
        <w:adjustRightInd w:val="0"/>
        <w:snapToGrid w:val="0"/>
        <w:spacing w:line="360" w:lineRule="auto"/>
        <w:ind w:firstLine="200"/>
        <w:jc w:val="both"/>
        <w:rPr>
          <w:rFonts w:ascii="仿宋" w:hAnsi="仿宋" w:cs="Times New Roman"/>
          <w:color w:val="auto"/>
          <w:kern w:val="0"/>
          <w:szCs w:val="21"/>
          <w:highlight w:val="none"/>
        </w:rPr>
      </w:pPr>
      <w:r>
        <w:rPr>
          <w:rFonts w:ascii="仿宋" w:hAnsi="仿宋" w:cs="Times New Roman"/>
          <w:color w:val="auto"/>
          <w:kern w:val="0"/>
          <w:szCs w:val="21"/>
          <w:highlight w:val="none"/>
        </w:rPr>
        <w:t xml:space="preserve">  G.存在共同直接或间接投资设立子公司、联营企业和合营企业情况</w:t>
      </w:r>
    </w:p>
    <w:p>
      <w:pPr>
        <w:pStyle w:val="142"/>
        <w:widowControl w:val="0"/>
        <w:adjustRightInd w:val="0"/>
        <w:snapToGrid w:val="0"/>
        <w:spacing w:line="360" w:lineRule="auto"/>
        <w:ind w:firstLine="200"/>
        <w:jc w:val="both"/>
        <w:rPr>
          <w:rFonts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pPr>
        <w:pStyle w:val="142"/>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pPr>
        <w:pStyle w:val="143"/>
        <w:widowControl/>
        <w:numPr>
          <w:ilvl w:val="0"/>
          <w:numId w:val="19"/>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pPr>
        <w:pStyle w:val="143"/>
        <w:widowControl/>
        <w:numPr>
          <w:ilvl w:val="0"/>
          <w:numId w:val="19"/>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pPr>
        <w:pStyle w:val="143"/>
        <w:widowControl/>
        <w:adjustRightInd w:val="0"/>
        <w:snapToGrid w:val="0"/>
        <w:spacing w:line="360" w:lineRule="auto"/>
        <w:rPr>
          <w:rFonts w:hint="default" w:ascii="仿宋" w:hAnsi="仿宋"/>
          <w:color w:val="auto"/>
          <w:kern w:val="0"/>
          <w:szCs w:val="21"/>
          <w:highlight w:val="none"/>
        </w:rPr>
      </w:pPr>
    </w:p>
    <w:p>
      <w:pPr>
        <w:pStyle w:val="143"/>
        <w:widowControl/>
        <w:adjustRightInd w:val="0"/>
        <w:snapToGrid w:val="0"/>
        <w:spacing w:line="360" w:lineRule="auto"/>
        <w:rPr>
          <w:rFonts w:hint="default" w:ascii="仿宋" w:hAnsi="仿宋"/>
          <w:color w:val="auto"/>
          <w:kern w:val="0"/>
          <w:szCs w:val="21"/>
          <w:highlight w:val="none"/>
        </w:rPr>
      </w:pPr>
    </w:p>
    <w:p>
      <w:pPr>
        <w:pStyle w:val="143"/>
        <w:widowControl/>
        <w:adjustRightInd w:val="0"/>
        <w:snapToGrid w:val="0"/>
        <w:spacing w:line="360" w:lineRule="auto"/>
        <w:rPr>
          <w:rFonts w:hint="default" w:ascii="仿宋" w:hAnsi="仿宋"/>
          <w:color w:val="auto"/>
          <w:kern w:val="0"/>
          <w:szCs w:val="21"/>
          <w:highlight w:val="none"/>
        </w:rPr>
      </w:pPr>
    </w:p>
    <w:p>
      <w:pPr>
        <w:pStyle w:val="142"/>
        <w:widowControl w:val="0"/>
        <w:adjustRightInd w:val="0"/>
        <w:snapToGrid w:val="0"/>
        <w:spacing w:line="360" w:lineRule="auto"/>
        <w:ind w:firstLine="420" w:firstLineChars="200"/>
        <w:jc w:val="both"/>
        <w:rPr>
          <w:rFonts w:hint="default" w:ascii="仿宋" w:hAnsi="仿宋"/>
          <w:color w:val="auto"/>
          <w:szCs w:val="21"/>
          <w:highlight w:val="none"/>
        </w:rPr>
      </w:pPr>
      <w:r>
        <w:rPr>
          <w:rFonts w:ascii="仿宋" w:hAnsi="仿宋"/>
          <w:color w:val="auto"/>
          <w:szCs w:val="21"/>
          <w:highlight w:val="none"/>
        </w:rPr>
        <w:t xml:space="preserve">                                （供应商代表签名）</w:t>
      </w:r>
    </w:p>
    <w:p>
      <w:pPr>
        <w:adjustRightInd w:val="0"/>
        <w:snapToGrid w:val="0"/>
        <w:spacing w:line="360" w:lineRule="auto"/>
        <w:jc w:val="right"/>
        <w:rPr>
          <w:color w:val="auto"/>
          <w:szCs w:val="21"/>
          <w:highlight w:val="none"/>
        </w:rPr>
      </w:pPr>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年</w:t>
      </w:r>
      <w:r>
        <w:rPr>
          <w:rFonts w:hint="eastAsia"/>
          <w:color w:val="auto"/>
          <w:szCs w:val="21"/>
          <w:highlight w:val="none"/>
          <w:lang w:val="en-US" w:eastAsia="zh-CN"/>
        </w:rPr>
        <w:t xml:space="preserve">  </w:t>
      </w:r>
      <w:r>
        <w:rPr>
          <w:color w:val="auto"/>
          <w:szCs w:val="21"/>
          <w:highlight w:val="none"/>
        </w:rPr>
        <w:t>月</w:t>
      </w:r>
      <w:r>
        <w:rPr>
          <w:rFonts w:hint="eastAsia"/>
          <w:color w:val="auto"/>
          <w:szCs w:val="21"/>
          <w:highlight w:val="none"/>
          <w:lang w:val="en-US" w:eastAsia="zh-CN"/>
        </w:rPr>
        <w:t xml:space="preserve">  </w:t>
      </w:r>
      <w:r>
        <w:rPr>
          <w:color w:val="auto"/>
          <w:szCs w:val="21"/>
          <w:highlight w:val="none"/>
        </w:rPr>
        <w:t>日</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jc w:val="center"/>
        <w:rPr>
          <w:rFonts w:hint="eastAsia" w:ascii="宋体" w:hAnsi="宋体" w:cs="宋体"/>
          <w:color w:val="auto"/>
          <w:sz w:val="30"/>
          <w:szCs w:val="30"/>
          <w:highlight w:val="none"/>
        </w:rPr>
      </w:pPr>
    </w:p>
    <w:p>
      <w:pPr>
        <w:pStyle w:val="2"/>
        <w:rPr>
          <w:rFonts w:ascii="宋体" w:hAnsi="宋体"/>
          <w:color w:val="auto"/>
          <w:szCs w:val="21"/>
          <w:highlight w:val="none"/>
        </w:rPr>
      </w:pPr>
    </w:p>
    <w:sectPr>
      <w:pgSz w:w="11906" w:h="16838"/>
      <w:pgMar w:top="1247" w:right="1588" w:bottom="1089"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Angsana New">
    <w:panose1 w:val="02020603050405020304"/>
    <w:charset w:val="00"/>
    <w:family w:val="roman"/>
    <w:pitch w:val="default"/>
    <w:sig w:usb0="81000003" w:usb1="00000000" w:usb2="00000000" w:usb3="00000000" w:csb0="00010001" w:csb1="0000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7"/>
      </w:rPr>
      <w:instrText xml:space="preserve"> PAGE </w:instrText>
    </w:r>
    <w:r>
      <w:fldChar w:fldCharType="separate"/>
    </w:r>
    <w:r>
      <w:rPr>
        <w:rStyle w:val="4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lear" w:pos="4153"/>
        <w:tab w:val="clear" w:pos="8306"/>
      </w:tabs>
      <w:jc w:val="center"/>
    </w:pPr>
    <w:r>
      <w:fldChar w:fldCharType="begin"/>
    </w:r>
    <w:r>
      <w:rPr>
        <w:rStyle w:val="47"/>
      </w:rPr>
      <w:instrText xml:space="preserve"> PAGE </w:instrText>
    </w:r>
    <w:r>
      <w:fldChar w:fldCharType="separate"/>
    </w:r>
    <w:r>
      <w:rPr>
        <w:rStyle w:val="47"/>
      </w:rPr>
      <w:t>59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6" w:space="0"/>
      </w:pBdr>
      <w:jc w:val="right"/>
      <w:rPr>
        <w:rFonts w:ascii="宋体" w:hAnsi="宋体" w:cs="宋体"/>
      </w:rPr>
    </w:pPr>
    <w:r>
      <w:rPr>
        <w:rFonts w:hint="eastAsia" w:ascii="宋体" w:hAnsi="宋体" w:cs="宋体"/>
        <w:lang w:eastAsia="zh-CN"/>
      </w:rPr>
      <w:t>《“三江汇”杭州未来城市实践区控制性规划》项目</w:t>
    </w:r>
    <w:r>
      <w:rPr>
        <w:rFonts w:hint="eastAsia" w:ascii="宋体" w:hAnsi="宋体" w:cs="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43C1F7"/>
    <w:multiLevelType w:val="multilevel"/>
    <w:tmpl w:val="9443C1F7"/>
    <w:lvl w:ilvl="0" w:tentative="0">
      <w:start w:val="1"/>
      <w:numFmt w:val="decimal"/>
      <w:lvlText w:val="（%1）"/>
      <w:lvlJc w:val="left"/>
      <w:pPr>
        <w:tabs>
          <w:tab w:val="left" w:pos="1273"/>
        </w:tabs>
        <w:ind w:left="1262" w:hanging="500"/>
      </w:pPr>
      <w:rPr>
        <w:rFonts w:hint="eastAsia"/>
      </w:rPr>
    </w:lvl>
    <w:lvl w:ilvl="1" w:tentative="0">
      <w:start w:val="1"/>
      <w:numFmt w:val="japaneseCounting"/>
      <w:lvlText w:val="（%2）"/>
      <w:lvlJc w:val="left"/>
      <w:pPr>
        <w:ind w:left="1562" w:hanging="720"/>
      </w:pPr>
      <w:rPr>
        <w:rFonts w:hint="default"/>
      </w:r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
    <w:nsid w:val="98C19939"/>
    <w:multiLevelType w:val="singleLevel"/>
    <w:tmpl w:val="98C19939"/>
    <w:lvl w:ilvl="0" w:tentative="0">
      <w:start w:val="1"/>
      <w:numFmt w:val="decimal"/>
      <w:suff w:val="nothing"/>
      <w:lvlText w:val="（%1）"/>
      <w:lvlJc w:val="left"/>
    </w:lvl>
  </w:abstractNum>
  <w:abstractNum w:abstractNumId="2">
    <w:nsid w:val="AB92FBAC"/>
    <w:multiLevelType w:val="singleLevel"/>
    <w:tmpl w:val="AB92FBAC"/>
    <w:lvl w:ilvl="0" w:tentative="0">
      <w:start w:val="1"/>
      <w:numFmt w:val="decimalEnclosedCircleChinese"/>
      <w:suff w:val="nothing"/>
      <w:lvlText w:val="%1　"/>
      <w:lvlJc w:val="left"/>
      <w:pPr>
        <w:ind w:left="0" w:firstLine="400"/>
      </w:pPr>
      <w:rPr>
        <w:rFonts w:hint="eastAsia"/>
      </w:rPr>
    </w:lvl>
  </w:abstractNum>
  <w:abstractNum w:abstractNumId="3">
    <w:nsid w:val="C8E4A651"/>
    <w:multiLevelType w:val="singleLevel"/>
    <w:tmpl w:val="C8E4A651"/>
    <w:lvl w:ilvl="0" w:tentative="0">
      <w:start w:val="1"/>
      <w:numFmt w:val="decimal"/>
      <w:lvlText w:val="(%1)"/>
      <w:lvlJc w:val="left"/>
      <w:pPr>
        <w:ind w:left="425" w:hanging="425"/>
      </w:pPr>
      <w:rPr>
        <w:rFonts w:hint="default"/>
      </w:rPr>
    </w:lvl>
  </w:abstractNum>
  <w:abstractNum w:abstractNumId="4">
    <w:nsid w:val="CBC0DC41"/>
    <w:multiLevelType w:val="singleLevel"/>
    <w:tmpl w:val="CBC0DC41"/>
    <w:lvl w:ilvl="0" w:tentative="0">
      <w:start w:val="1"/>
      <w:numFmt w:val="decimal"/>
      <w:lvlText w:val="%1."/>
      <w:lvlJc w:val="left"/>
      <w:pPr>
        <w:tabs>
          <w:tab w:val="left" w:pos="312"/>
        </w:tabs>
      </w:pPr>
    </w:lvl>
  </w:abstractNum>
  <w:abstractNum w:abstractNumId="5">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6">
    <w:nsid w:val="FD8902AC"/>
    <w:multiLevelType w:val="singleLevel"/>
    <w:tmpl w:val="FD8902AC"/>
    <w:lvl w:ilvl="0" w:tentative="0">
      <w:start w:val="1"/>
      <w:numFmt w:val="lowerLetter"/>
      <w:lvlText w:val="%1."/>
      <w:lvlJc w:val="left"/>
      <w:pPr>
        <w:ind w:left="425" w:hanging="425"/>
      </w:pPr>
      <w:rPr>
        <w:rFonts w:hint="default"/>
      </w:rPr>
    </w:lvl>
  </w:abstractNum>
  <w:abstractNum w:abstractNumId="7">
    <w:nsid w:val="00000002"/>
    <w:multiLevelType w:val="singleLevel"/>
    <w:tmpl w:val="00000002"/>
    <w:lvl w:ilvl="0" w:tentative="0">
      <w:start w:val="1"/>
      <w:numFmt w:val="decimal"/>
      <w:lvlText w:val="%1."/>
      <w:lvlJc w:val="left"/>
      <w:pPr>
        <w:tabs>
          <w:tab w:val="left" w:pos="312"/>
        </w:tabs>
      </w:pPr>
    </w:lvl>
  </w:abstractNum>
  <w:abstractNum w:abstractNumId="8">
    <w:nsid w:val="00000008"/>
    <w:multiLevelType w:val="multilevel"/>
    <w:tmpl w:val="00000008"/>
    <w:lvl w:ilvl="0" w:tentative="0">
      <w:start w:val="1"/>
      <w:numFmt w:val="decimal"/>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9">
    <w:nsid w:val="0000000C"/>
    <w:multiLevelType w:val="multilevel"/>
    <w:tmpl w:val="0000000C"/>
    <w:lvl w:ilvl="0" w:tentative="0">
      <w:start w:val="1"/>
      <w:numFmt w:val="decimal"/>
      <w:lvlText w:val="（%1）"/>
      <w:lvlJc w:val="left"/>
      <w:pPr>
        <w:tabs>
          <w:tab w:val="left" w:pos="1078"/>
        </w:tabs>
        <w:ind w:left="1067" w:hanging="50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F"/>
    <w:multiLevelType w:val="singleLevel"/>
    <w:tmpl w:val="0000000F"/>
    <w:lvl w:ilvl="0" w:tentative="0">
      <w:start w:val="13"/>
      <w:numFmt w:val="decimal"/>
      <w:suff w:val="nothing"/>
      <w:lvlText w:val="%1．"/>
      <w:lvlJc w:val="left"/>
    </w:lvl>
  </w:abstractNum>
  <w:abstractNum w:abstractNumId="11">
    <w:nsid w:val="00000017"/>
    <w:multiLevelType w:val="multilevel"/>
    <w:tmpl w:val="0000001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0AB90C6B"/>
    <w:multiLevelType w:val="multilevel"/>
    <w:tmpl w:val="0AB90C6B"/>
    <w:lvl w:ilvl="0" w:tentative="0">
      <w:start w:val="1"/>
      <w:numFmt w:val="decimal"/>
      <w:lvlText w:val="（%1）"/>
      <w:lvlJc w:val="left"/>
      <w:pPr>
        <w:tabs>
          <w:tab w:val="left" w:pos="1273"/>
        </w:tabs>
        <w:ind w:left="1262" w:hanging="500"/>
      </w:pPr>
      <w:rPr>
        <w:rFonts w:hint="eastAsia"/>
      </w:rPr>
    </w:lvl>
    <w:lvl w:ilvl="1" w:tentative="0">
      <w:start w:val="1"/>
      <w:numFmt w:val="japaneseCounting"/>
      <w:lvlText w:val="（%2）"/>
      <w:lvlJc w:val="left"/>
      <w:pPr>
        <w:ind w:left="1562" w:hanging="720"/>
      </w:pPr>
      <w:rPr>
        <w:rFonts w:hint="default"/>
      </w:r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3">
    <w:nsid w:val="237E47C9"/>
    <w:multiLevelType w:val="singleLevel"/>
    <w:tmpl w:val="237E47C9"/>
    <w:lvl w:ilvl="0" w:tentative="0">
      <w:start w:val="1"/>
      <w:numFmt w:val="lowerLetter"/>
      <w:lvlText w:val="%1."/>
      <w:lvlJc w:val="left"/>
      <w:pPr>
        <w:tabs>
          <w:tab w:val="left" w:pos="312"/>
        </w:tabs>
      </w:pPr>
    </w:lvl>
  </w:abstractNum>
  <w:abstractNum w:abstractNumId="14">
    <w:nsid w:val="2B30DBE9"/>
    <w:multiLevelType w:val="singleLevel"/>
    <w:tmpl w:val="2B30DBE9"/>
    <w:lvl w:ilvl="0" w:tentative="0">
      <w:start w:val="5"/>
      <w:numFmt w:val="chineseCounting"/>
      <w:suff w:val="nothing"/>
      <w:lvlText w:val="%1、"/>
      <w:lvlJc w:val="left"/>
      <w:rPr>
        <w:rFonts w:hint="eastAsia"/>
      </w:rPr>
    </w:lvl>
  </w:abstractNum>
  <w:abstractNum w:abstractNumId="15">
    <w:nsid w:val="54F403B5"/>
    <w:multiLevelType w:val="singleLevel"/>
    <w:tmpl w:val="54F403B5"/>
    <w:lvl w:ilvl="0" w:tentative="0">
      <w:start w:val="1"/>
      <w:numFmt w:val="chineseCounting"/>
      <w:suff w:val="nothing"/>
      <w:lvlText w:val="%1、"/>
      <w:lvlJc w:val="left"/>
    </w:lvl>
  </w:abstractNum>
  <w:abstractNum w:abstractNumId="16">
    <w:nsid w:val="557FD3DA"/>
    <w:multiLevelType w:val="singleLevel"/>
    <w:tmpl w:val="557FD3DA"/>
    <w:lvl w:ilvl="0" w:tentative="0">
      <w:start w:val="3"/>
      <w:numFmt w:val="chineseCounting"/>
      <w:suff w:val="nothing"/>
      <w:lvlText w:val="%1、"/>
      <w:lvlJc w:val="left"/>
    </w:lvl>
  </w:abstractNum>
  <w:abstractNum w:abstractNumId="17">
    <w:nsid w:val="5A3C02B2"/>
    <w:multiLevelType w:val="singleLevel"/>
    <w:tmpl w:val="5A3C02B2"/>
    <w:lvl w:ilvl="0" w:tentative="0">
      <w:start w:val="1"/>
      <w:numFmt w:val="lowerLetter"/>
      <w:lvlText w:val="%1."/>
      <w:lvlJc w:val="left"/>
      <w:pPr>
        <w:ind w:left="425" w:hanging="425"/>
      </w:pPr>
      <w:rPr>
        <w:rFonts w:hint="default"/>
      </w:rPr>
    </w:lvl>
  </w:abstractNum>
  <w:abstractNum w:abstractNumId="18">
    <w:nsid w:val="7D4C19BB"/>
    <w:multiLevelType w:val="multilevel"/>
    <w:tmpl w:val="7D4C19BB"/>
    <w:lvl w:ilvl="0" w:tentative="0">
      <w:start w:val="1"/>
      <w:numFmt w:val="decimal"/>
      <w:lvlText w:val="（%1）"/>
      <w:lvlJc w:val="left"/>
      <w:pPr>
        <w:ind w:left="1249" w:hanging="420"/>
      </w:pPr>
      <w:rPr>
        <w:rFonts w:hint="eastAsia"/>
      </w:rPr>
    </w:lvl>
    <w:lvl w:ilvl="1" w:tentative="0">
      <w:start w:val="1"/>
      <w:numFmt w:val="decimal"/>
      <w:lvlText w:val="（%2）"/>
      <w:lvlJc w:val="left"/>
      <w:pPr>
        <w:ind w:left="3398" w:hanging="420"/>
      </w:pPr>
      <w:rPr>
        <w:rFonts w:hint="eastAsia"/>
      </w:rPr>
    </w:lvl>
    <w:lvl w:ilvl="2" w:tentative="0">
      <w:start w:val="1"/>
      <w:numFmt w:val="lowerRoman"/>
      <w:lvlText w:val="%3."/>
      <w:lvlJc w:val="right"/>
      <w:pPr>
        <w:ind w:left="2089" w:hanging="420"/>
      </w:pPr>
    </w:lvl>
    <w:lvl w:ilvl="3" w:tentative="0">
      <w:start w:val="1"/>
      <w:numFmt w:val="decimal"/>
      <w:lvlText w:val="%4."/>
      <w:lvlJc w:val="left"/>
      <w:pPr>
        <w:ind w:left="2509" w:hanging="420"/>
      </w:pPr>
    </w:lvl>
    <w:lvl w:ilvl="4" w:tentative="0">
      <w:start w:val="1"/>
      <w:numFmt w:val="lowerLetter"/>
      <w:lvlText w:val="%5)"/>
      <w:lvlJc w:val="left"/>
      <w:pPr>
        <w:ind w:left="2929" w:hanging="420"/>
      </w:pPr>
    </w:lvl>
    <w:lvl w:ilvl="5" w:tentative="0">
      <w:start w:val="1"/>
      <w:numFmt w:val="lowerRoman"/>
      <w:lvlText w:val="%6."/>
      <w:lvlJc w:val="right"/>
      <w:pPr>
        <w:ind w:left="3349" w:hanging="420"/>
      </w:pPr>
    </w:lvl>
    <w:lvl w:ilvl="6" w:tentative="0">
      <w:start w:val="1"/>
      <w:numFmt w:val="decimal"/>
      <w:lvlText w:val="%7."/>
      <w:lvlJc w:val="left"/>
      <w:pPr>
        <w:ind w:left="3769" w:hanging="420"/>
      </w:pPr>
    </w:lvl>
    <w:lvl w:ilvl="7" w:tentative="0">
      <w:start w:val="1"/>
      <w:numFmt w:val="lowerLetter"/>
      <w:lvlText w:val="%8)"/>
      <w:lvlJc w:val="left"/>
      <w:pPr>
        <w:ind w:left="4189" w:hanging="420"/>
      </w:pPr>
    </w:lvl>
    <w:lvl w:ilvl="8" w:tentative="0">
      <w:start w:val="1"/>
      <w:numFmt w:val="lowerRoman"/>
      <w:lvlText w:val="%9."/>
      <w:lvlJc w:val="right"/>
      <w:pPr>
        <w:ind w:left="4609" w:hanging="420"/>
      </w:pPr>
    </w:lvl>
  </w:abstractNum>
  <w:num w:numId="1">
    <w:abstractNumId w:val="7"/>
  </w:num>
  <w:num w:numId="2">
    <w:abstractNumId w:val="17"/>
  </w:num>
  <w:num w:numId="3">
    <w:abstractNumId w:val="2"/>
  </w:num>
  <w:num w:numId="4">
    <w:abstractNumId w:val="9"/>
  </w:num>
  <w:num w:numId="5">
    <w:abstractNumId w:val="8"/>
  </w:num>
  <w:num w:numId="6">
    <w:abstractNumId w:val="11"/>
  </w:num>
  <w:num w:numId="7">
    <w:abstractNumId w:val="10"/>
  </w:num>
  <w:num w:numId="8">
    <w:abstractNumId w:val="13"/>
  </w:num>
  <w:num w:numId="9">
    <w:abstractNumId w:val="14"/>
  </w:num>
  <w:num w:numId="10">
    <w:abstractNumId w:val="18"/>
  </w:num>
  <w:num w:numId="11">
    <w:abstractNumId w:val="1"/>
  </w:num>
  <w:num w:numId="12">
    <w:abstractNumId w:val="3"/>
  </w:num>
  <w:num w:numId="13">
    <w:abstractNumId w:val="12"/>
  </w:num>
  <w:num w:numId="14">
    <w:abstractNumId w:val="0"/>
  </w:num>
  <w:num w:numId="15">
    <w:abstractNumId w:val="6"/>
  </w:num>
  <w:num w:numId="16">
    <w:abstractNumId w:val="5"/>
  </w:num>
  <w:num w:numId="17">
    <w:abstractNumId w:val="4"/>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4E"/>
    <w:rsid w:val="00010588"/>
    <w:rsid w:val="000154B5"/>
    <w:rsid w:val="00034743"/>
    <w:rsid w:val="00037017"/>
    <w:rsid w:val="00042E4C"/>
    <w:rsid w:val="00043DCB"/>
    <w:rsid w:val="00044B96"/>
    <w:rsid w:val="00050D2F"/>
    <w:rsid w:val="00084DF1"/>
    <w:rsid w:val="00092161"/>
    <w:rsid w:val="00096CC9"/>
    <w:rsid w:val="000A0A4E"/>
    <w:rsid w:val="000C09A2"/>
    <w:rsid w:val="000D0070"/>
    <w:rsid w:val="000D51A6"/>
    <w:rsid w:val="000E0D47"/>
    <w:rsid w:val="000E3337"/>
    <w:rsid w:val="000F20B0"/>
    <w:rsid w:val="00100D91"/>
    <w:rsid w:val="001133FB"/>
    <w:rsid w:val="00116EDC"/>
    <w:rsid w:val="00126D88"/>
    <w:rsid w:val="00130BF3"/>
    <w:rsid w:val="001379B9"/>
    <w:rsid w:val="00142CB3"/>
    <w:rsid w:val="001433C8"/>
    <w:rsid w:val="00143A7F"/>
    <w:rsid w:val="00171FC0"/>
    <w:rsid w:val="001908E0"/>
    <w:rsid w:val="001C5A3C"/>
    <w:rsid w:val="001D600D"/>
    <w:rsid w:val="00201146"/>
    <w:rsid w:val="00240C8B"/>
    <w:rsid w:val="0024618A"/>
    <w:rsid w:val="00275DCB"/>
    <w:rsid w:val="002851C6"/>
    <w:rsid w:val="002B18E6"/>
    <w:rsid w:val="002E3134"/>
    <w:rsid w:val="002E6ABC"/>
    <w:rsid w:val="00310E6F"/>
    <w:rsid w:val="00312293"/>
    <w:rsid w:val="00350405"/>
    <w:rsid w:val="00363B5C"/>
    <w:rsid w:val="00380906"/>
    <w:rsid w:val="003A2B47"/>
    <w:rsid w:val="003B2531"/>
    <w:rsid w:val="003C34DC"/>
    <w:rsid w:val="003E2371"/>
    <w:rsid w:val="003E3F91"/>
    <w:rsid w:val="003F01E9"/>
    <w:rsid w:val="003F13B4"/>
    <w:rsid w:val="003F3143"/>
    <w:rsid w:val="0040724D"/>
    <w:rsid w:val="00415236"/>
    <w:rsid w:val="0045737B"/>
    <w:rsid w:val="00463367"/>
    <w:rsid w:val="0047461C"/>
    <w:rsid w:val="00480196"/>
    <w:rsid w:val="004862FF"/>
    <w:rsid w:val="00493786"/>
    <w:rsid w:val="004B6E5D"/>
    <w:rsid w:val="004F0BF5"/>
    <w:rsid w:val="004F67DA"/>
    <w:rsid w:val="00506C44"/>
    <w:rsid w:val="00520827"/>
    <w:rsid w:val="00521AEB"/>
    <w:rsid w:val="005437ED"/>
    <w:rsid w:val="0055142F"/>
    <w:rsid w:val="005836B2"/>
    <w:rsid w:val="00587CDA"/>
    <w:rsid w:val="00592F2D"/>
    <w:rsid w:val="005A5912"/>
    <w:rsid w:val="005B35D3"/>
    <w:rsid w:val="005B438B"/>
    <w:rsid w:val="005B456D"/>
    <w:rsid w:val="005B6CCE"/>
    <w:rsid w:val="005C48EA"/>
    <w:rsid w:val="005D36E4"/>
    <w:rsid w:val="005E2954"/>
    <w:rsid w:val="005E34D3"/>
    <w:rsid w:val="00647507"/>
    <w:rsid w:val="00651B12"/>
    <w:rsid w:val="006611C5"/>
    <w:rsid w:val="00666A1B"/>
    <w:rsid w:val="00671825"/>
    <w:rsid w:val="00686183"/>
    <w:rsid w:val="006A1714"/>
    <w:rsid w:val="006C5B77"/>
    <w:rsid w:val="006C7F82"/>
    <w:rsid w:val="006E0F90"/>
    <w:rsid w:val="006E3535"/>
    <w:rsid w:val="00712DDF"/>
    <w:rsid w:val="007231D9"/>
    <w:rsid w:val="00741D01"/>
    <w:rsid w:val="00753F66"/>
    <w:rsid w:val="007B012D"/>
    <w:rsid w:val="007B0A3B"/>
    <w:rsid w:val="007D3B09"/>
    <w:rsid w:val="00801795"/>
    <w:rsid w:val="00824409"/>
    <w:rsid w:val="00837996"/>
    <w:rsid w:val="00840A00"/>
    <w:rsid w:val="00861260"/>
    <w:rsid w:val="008644B4"/>
    <w:rsid w:val="008856D6"/>
    <w:rsid w:val="008A6142"/>
    <w:rsid w:val="008D59DF"/>
    <w:rsid w:val="008F6A74"/>
    <w:rsid w:val="00900E4D"/>
    <w:rsid w:val="0091518F"/>
    <w:rsid w:val="00915934"/>
    <w:rsid w:val="00926114"/>
    <w:rsid w:val="0092631F"/>
    <w:rsid w:val="00932B65"/>
    <w:rsid w:val="00946605"/>
    <w:rsid w:val="00965AC0"/>
    <w:rsid w:val="009A2A23"/>
    <w:rsid w:val="009E1060"/>
    <w:rsid w:val="009E4DF8"/>
    <w:rsid w:val="009F10EA"/>
    <w:rsid w:val="009F5F54"/>
    <w:rsid w:val="009F67F0"/>
    <w:rsid w:val="00A14DCF"/>
    <w:rsid w:val="00A2797C"/>
    <w:rsid w:val="00A342C5"/>
    <w:rsid w:val="00A4127E"/>
    <w:rsid w:val="00A4392C"/>
    <w:rsid w:val="00A8409F"/>
    <w:rsid w:val="00AA0260"/>
    <w:rsid w:val="00AA27C0"/>
    <w:rsid w:val="00AB769C"/>
    <w:rsid w:val="00AD1944"/>
    <w:rsid w:val="00AD52E9"/>
    <w:rsid w:val="00AE2959"/>
    <w:rsid w:val="00AF1ADE"/>
    <w:rsid w:val="00B138EA"/>
    <w:rsid w:val="00B30E7D"/>
    <w:rsid w:val="00B3250F"/>
    <w:rsid w:val="00B435CB"/>
    <w:rsid w:val="00B5176F"/>
    <w:rsid w:val="00B753A3"/>
    <w:rsid w:val="00B767AD"/>
    <w:rsid w:val="00B801BD"/>
    <w:rsid w:val="00B8413F"/>
    <w:rsid w:val="00BA3C84"/>
    <w:rsid w:val="00BD3C61"/>
    <w:rsid w:val="00BE32CE"/>
    <w:rsid w:val="00C04716"/>
    <w:rsid w:val="00C1025C"/>
    <w:rsid w:val="00C17D41"/>
    <w:rsid w:val="00C25470"/>
    <w:rsid w:val="00C32BA1"/>
    <w:rsid w:val="00C358B1"/>
    <w:rsid w:val="00CC5654"/>
    <w:rsid w:val="00CF6F5F"/>
    <w:rsid w:val="00D2612B"/>
    <w:rsid w:val="00D308D0"/>
    <w:rsid w:val="00D34093"/>
    <w:rsid w:val="00D70484"/>
    <w:rsid w:val="00D72C1C"/>
    <w:rsid w:val="00D7455C"/>
    <w:rsid w:val="00DC1D54"/>
    <w:rsid w:val="00DC7076"/>
    <w:rsid w:val="00DD0ABA"/>
    <w:rsid w:val="00DF5090"/>
    <w:rsid w:val="00E17166"/>
    <w:rsid w:val="00E5649C"/>
    <w:rsid w:val="00E61E14"/>
    <w:rsid w:val="00E6576C"/>
    <w:rsid w:val="00E67B88"/>
    <w:rsid w:val="00E84791"/>
    <w:rsid w:val="00EA2296"/>
    <w:rsid w:val="00ED6755"/>
    <w:rsid w:val="00EF59FB"/>
    <w:rsid w:val="00F07330"/>
    <w:rsid w:val="00F14139"/>
    <w:rsid w:val="00F33623"/>
    <w:rsid w:val="00F47307"/>
    <w:rsid w:val="00F64282"/>
    <w:rsid w:val="00F775E3"/>
    <w:rsid w:val="00F8268C"/>
    <w:rsid w:val="00F86959"/>
    <w:rsid w:val="00FA073C"/>
    <w:rsid w:val="00FA5C41"/>
    <w:rsid w:val="00FB4D6F"/>
    <w:rsid w:val="00FC70CC"/>
    <w:rsid w:val="00FE3FBC"/>
    <w:rsid w:val="00FE5EA7"/>
    <w:rsid w:val="021C2A9E"/>
    <w:rsid w:val="02206CB5"/>
    <w:rsid w:val="02BF1C86"/>
    <w:rsid w:val="03095714"/>
    <w:rsid w:val="032B3E4A"/>
    <w:rsid w:val="03633764"/>
    <w:rsid w:val="038E6C60"/>
    <w:rsid w:val="0397229D"/>
    <w:rsid w:val="03CC1B62"/>
    <w:rsid w:val="0404388D"/>
    <w:rsid w:val="04C444E7"/>
    <w:rsid w:val="0564734A"/>
    <w:rsid w:val="061B1E67"/>
    <w:rsid w:val="06251FF4"/>
    <w:rsid w:val="06474D44"/>
    <w:rsid w:val="068A49ED"/>
    <w:rsid w:val="06A225C5"/>
    <w:rsid w:val="072C4D9B"/>
    <w:rsid w:val="07386903"/>
    <w:rsid w:val="07D233F1"/>
    <w:rsid w:val="07DD28C2"/>
    <w:rsid w:val="07F11259"/>
    <w:rsid w:val="08827127"/>
    <w:rsid w:val="08CF4DCC"/>
    <w:rsid w:val="08E95E7A"/>
    <w:rsid w:val="09D156AB"/>
    <w:rsid w:val="0B3B71BE"/>
    <w:rsid w:val="0B713967"/>
    <w:rsid w:val="0BF81276"/>
    <w:rsid w:val="0D490CA0"/>
    <w:rsid w:val="0DCA6418"/>
    <w:rsid w:val="0ED94953"/>
    <w:rsid w:val="0EF54D37"/>
    <w:rsid w:val="0FAF2C80"/>
    <w:rsid w:val="10422427"/>
    <w:rsid w:val="12305A77"/>
    <w:rsid w:val="124A5F64"/>
    <w:rsid w:val="12E83359"/>
    <w:rsid w:val="14201ABD"/>
    <w:rsid w:val="145115EB"/>
    <w:rsid w:val="15541852"/>
    <w:rsid w:val="15D5668D"/>
    <w:rsid w:val="17222676"/>
    <w:rsid w:val="1797527C"/>
    <w:rsid w:val="182F221B"/>
    <w:rsid w:val="19187857"/>
    <w:rsid w:val="194E3687"/>
    <w:rsid w:val="196A58AD"/>
    <w:rsid w:val="199C08D9"/>
    <w:rsid w:val="1A5C4CFA"/>
    <w:rsid w:val="1AB00624"/>
    <w:rsid w:val="1B37432B"/>
    <w:rsid w:val="1B4B48AE"/>
    <w:rsid w:val="1B510FDB"/>
    <w:rsid w:val="1B607CE1"/>
    <w:rsid w:val="1B6D2B8F"/>
    <w:rsid w:val="1D795B53"/>
    <w:rsid w:val="1D82117E"/>
    <w:rsid w:val="1E471A28"/>
    <w:rsid w:val="1E59131C"/>
    <w:rsid w:val="1E6E7DF0"/>
    <w:rsid w:val="1F9D2379"/>
    <w:rsid w:val="1FD73891"/>
    <w:rsid w:val="200D1C1C"/>
    <w:rsid w:val="202C7818"/>
    <w:rsid w:val="21160C2A"/>
    <w:rsid w:val="21557FCA"/>
    <w:rsid w:val="219E64E6"/>
    <w:rsid w:val="21C25ED6"/>
    <w:rsid w:val="22504B80"/>
    <w:rsid w:val="241712DE"/>
    <w:rsid w:val="242E3923"/>
    <w:rsid w:val="25090BDC"/>
    <w:rsid w:val="252F213A"/>
    <w:rsid w:val="26030F79"/>
    <w:rsid w:val="2649605F"/>
    <w:rsid w:val="26BF762F"/>
    <w:rsid w:val="270E55AD"/>
    <w:rsid w:val="2828438A"/>
    <w:rsid w:val="28347CAB"/>
    <w:rsid w:val="28537A45"/>
    <w:rsid w:val="286728FE"/>
    <w:rsid w:val="286B0803"/>
    <w:rsid w:val="29785A7E"/>
    <w:rsid w:val="2A26495A"/>
    <w:rsid w:val="2A374B67"/>
    <w:rsid w:val="2A6F29A5"/>
    <w:rsid w:val="2A992232"/>
    <w:rsid w:val="2A9C72BB"/>
    <w:rsid w:val="2ADD04AC"/>
    <w:rsid w:val="2BBD0BFC"/>
    <w:rsid w:val="2C2B57B6"/>
    <w:rsid w:val="2CA17FAC"/>
    <w:rsid w:val="2CAF211C"/>
    <w:rsid w:val="2CBB5A1C"/>
    <w:rsid w:val="2DEA06CF"/>
    <w:rsid w:val="2EC8793B"/>
    <w:rsid w:val="2F08280F"/>
    <w:rsid w:val="2F2F5154"/>
    <w:rsid w:val="2F3732A3"/>
    <w:rsid w:val="304842BB"/>
    <w:rsid w:val="307F5098"/>
    <w:rsid w:val="30FC7E37"/>
    <w:rsid w:val="31557995"/>
    <w:rsid w:val="32104D51"/>
    <w:rsid w:val="32D578C0"/>
    <w:rsid w:val="32EB50C1"/>
    <w:rsid w:val="35A12205"/>
    <w:rsid w:val="35B64B97"/>
    <w:rsid w:val="35B87DCF"/>
    <w:rsid w:val="36161609"/>
    <w:rsid w:val="36C775A4"/>
    <w:rsid w:val="37426FB8"/>
    <w:rsid w:val="38713641"/>
    <w:rsid w:val="397E67DB"/>
    <w:rsid w:val="39A4607D"/>
    <w:rsid w:val="3AC241A2"/>
    <w:rsid w:val="3B1752E7"/>
    <w:rsid w:val="3C6901C4"/>
    <w:rsid w:val="3CBF3AED"/>
    <w:rsid w:val="3DF42623"/>
    <w:rsid w:val="3DF5589F"/>
    <w:rsid w:val="3E404294"/>
    <w:rsid w:val="3F2E3FDD"/>
    <w:rsid w:val="40627137"/>
    <w:rsid w:val="406B3E80"/>
    <w:rsid w:val="41074B1F"/>
    <w:rsid w:val="417F5EBB"/>
    <w:rsid w:val="41AD07B2"/>
    <w:rsid w:val="42251C57"/>
    <w:rsid w:val="425A1BA7"/>
    <w:rsid w:val="42FC203D"/>
    <w:rsid w:val="436169D4"/>
    <w:rsid w:val="43ED7957"/>
    <w:rsid w:val="4426016E"/>
    <w:rsid w:val="448D6E87"/>
    <w:rsid w:val="450C6194"/>
    <w:rsid w:val="45150ED2"/>
    <w:rsid w:val="45A569B5"/>
    <w:rsid w:val="45BC769C"/>
    <w:rsid w:val="4628016A"/>
    <w:rsid w:val="467170D7"/>
    <w:rsid w:val="469F03D9"/>
    <w:rsid w:val="46FC5383"/>
    <w:rsid w:val="47D95B40"/>
    <w:rsid w:val="48650F82"/>
    <w:rsid w:val="490919B6"/>
    <w:rsid w:val="495F2828"/>
    <w:rsid w:val="49C34AD9"/>
    <w:rsid w:val="49E15038"/>
    <w:rsid w:val="4AE7607F"/>
    <w:rsid w:val="4B9A47CA"/>
    <w:rsid w:val="4B9E3ABA"/>
    <w:rsid w:val="4BCD1E4E"/>
    <w:rsid w:val="4CF86E6D"/>
    <w:rsid w:val="4D0B54D5"/>
    <w:rsid w:val="4D2C2D7D"/>
    <w:rsid w:val="4D5634F8"/>
    <w:rsid w:val="4DD92411"/>
    <w:rsid w:val="4EDA5182"/>
    <w:rsid w:val="4F17379E"/>
    <w:rsid w:val="500800C7"/>
    <w:rsid w:val="51865E80"/>
    <w:rsid w:val="5194744B"/>
    <w:rsid w:val="51ED1C4A"/>
    <w:rsid w:val="524A39B9"/>
    <w:rsid w:val="52CC5CA2"/>
    <w:rsid w:val="53452FBB"/>
    <w:rsid w:val="53BB5B26"/>
    <w:rsid w:val="53F55B2C"/>
    <w:rsid w:val="55A22F34"/>
    <w:rsid w:val="55A922FD"/>
    <w:rsid w:val="55AF7059"/>
    <w:rsid w:val="56432A31"/>
    <w:rsid w:val="572657DF"/>
    <w:rsid w:val="57A44E20"/>
    <w:rsid w:val="583D43A5"/>
    <w:rsid w:val="58E97AA8"/>
    <w:rsid w:val="5A172C93"/>
    <w:rsid w:val="5AAB6A82"/>
    <w:rsid w:val="5B193064"/>
    <w:rsid w:val="5B1F2404"/>
    <w:rsid w:val="5C515977"/>
    <w:rsid w:val="5CDF4239"/>
    <w:rsid w:val="5D381863"/>
    <w:rsid w:val="5D427742"/>
    <w:rsid w:val="5D7A2F18"/>
    <w:rsid w:val="5DB0093E"/>
    <w:rsid w:val="5DBD36E4"/>
    <w:rsid w:val="5DEA23A1"/>
    <w:rsid w:val="5DF64195"/>
    <w:rsid w:val="5E2358B2"/>
    <w:rsid w:val="5E3F5B09"/>
    <w:rsid w:val="5E552B1A"/>
    <w:rsid w:val="5E9819E8"/>
    <w:rsid w:val="5FED3848"/>
    <w:rsid w:val="60800924"/>
    <w:rsid w:val="610E7495"/>
    <w:rsid w:val="6149685A"/>
    <w:rsid w:val="62283213"/>
    <w:rsid w:val="622B4D2C"/>
    <w:rsid w:val="62726A4A"/>
    <w:rsid w:val="63455BF9"/>
    <w:rsid w:val="66A361B9"/>
    <w:rsid w:val="6A2D299D"/>
    <w:rsid w:val="6A723D94"/>
    <w:rsid w:val="6B320B39"/>
    <w:rsid w:val="6CD146E2"/>
    <w:rsid w:val="6D45772E"/>
    <w:rsid w:val="6E4E4AD1"/>
    <w:rsid w:val="6F836263"/>
    <w:rsid w:val="6F9E120F"/>
    <w:rsid w:val="71FF5D1A"/>
    <w:rsid w:val="722725BB"/>
    <w:rsid w:val="73390CE1"/>
    <w:rsid w:val="739743BD"/>
    <w:rsid w:val="73B9458D"/>
    <w:rsid w:val="73E61103"/>
    <w:rsid w:val="74C72772"/>
    <w:rsid w:val="75313952"/>
    <w:rsid w:val="756C772E"/>
    <w:rsid w:val="75C92A65"/>
    <w:rsid w:val="76457779"/>
    <w:rsid w:val="76693CC9"/>
    <w:rsid w:val="76D66DC3"/>
    <w:rsid w:val="772E70F4"/>
    <w:rsid w:val="778F1CC2"/>
    <w:rsid w:val="781E495D"/>
    <w:rsid w:val="78716ADB"/>
    <w:rsid w:val="78E57BB2"/>
    <w:rsid w:val="79C62236"/>
    <w:rsid w:val="7A594DE4"/>
    <w:rsid w:val="7ACE512F"/>
    <w:rsid w:val="7B9A18B4"/>
    <w:rsid w:val="7BEA0B2A"/>
    <w:rsid w:val="7CBF727F"/>
    <w:rsid w:val="7D52701F"/>
    <w:rsid w:val="7DA22A2C"/>
    <w:rsid w:val="7E2A0D4C"/>
    <w:rsid w:val="7E2E00BA"/>
    <w:rsid w:val="7E476756"/>
    <w:rsid w:val="7E504C82"/>
    <w:rsid w:val="7F297096"/>
    <w:rsid w:val="7FF65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paragraph" w:styleId="3">
    <w:name w:val="heading 1"/>
    <w:basedOn w:val="1"/>
    <w:next w:val="1"/>
    <w:link w:val="72"/>
    <w:qFormat/>
    <w:uiPriority w:val="0"/>
    <w:pPr>
      <w:keepNext/>
      <w:keepLines/>
      <w:spacing w:before="340" w:after="330" w:line="578" w:lineRule="auto"/>
      <w:outlineLvl w:val="0"/>
    </w:pPr>
    <w:rPr>
      <w:rFonts w:eastAsia="Century Gothic"/>
      <w:b/>
      <w:bCs/>
      <w:kern w:val="44"/>
      <w:sz w:val="44"/>
      <w:szCs w:val="44"/>
    </w:rPr>
  </w:style>
  <w:style w:type="paragraph" w:styleId="4">
    <w:name w:val="heading 2"/>
    <w:basedOn w:val="1"/>
    <w:next w:val="1"/>
    <w:qFormat/>
    <w:uiPriority w:val="0"/>
    <w:pPr>
      <w:keepNext/>
      <w:keepLines/>
      <w:adjustRightInd w:val="0"/>
      <w:spacing w:before="260" w:after="260" w:line="415" w:lineRule="auto"/>
      <w:jc w:val="left"/>
      <w:outlineLvl w:val="1"/>
    </w:pPr>
    <w:rPr>
      <w:rFonts w:ascii="黑体" w:hAnsi="黑体" w:eastAsia="楷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7"/>
    <w:qFormat/>
    <w:uiPriority w:val="0"/>
    <w:pPr>
      <w:keepNext/>
      <w:widowControl/>
      <w:jc w:val="center"/>
      <w:outlineLvl w:val="3"/>
    </w:pPr>
    <w:rPr>
      <w:rFonts w:ascii="MS Sans Serif" w:hAnsi="仿宋_GB2312" w:eastAsia="MS Sans Serif"/>
      <w:snapToGrid w:val="0"/>
      <w:kern w:val="0"/>
      <w:sz w:val="24"/>
      <w:szCs w:val="20"/>
    </w:rPr>
  </w:style>
  <w:style w:type="paragraph" w:styleId="8">
    <w:name w:val="heading 5"/>
    <w:basedOn w:val="1"/>
    <w:next w:val="1"/>
    <w:qFormat/>
    <w:uiPriority w:val="0"/>
    <w:pPr>
      <w:widowControl/>
      <w:spacing w:before="240" w:after="60"/>
      <w:jc w:val="left"/>
      <w:outlineLvl w:val="4"/>
    </w:pPr>
    <w:rPr>
      <w:rFonts w:ascii="MS Sans Serif" w:eastAsia="MS Sans Serif"/>
      <w:kern w:val="0"/>
      <w:sz w:val="24"/>
      <w:szCs w:val="20"/>
    </w:rPr>
  </w:style>
  <w:style w:type="paragraph" w:styleId="9">
    <w:name w:val="heading 6"/>
    <w:basedOn w:val="1"/>
    <w:next w:val="7"/>
    <w:qFormat/>
    <w:uiPriority w:val="0"/>
    <w:pPr>
      <w:keepNext/>
      <w:keepLines/>
      <w:spacing w:before="240" w:after="64" w:line="320" w:lineRule="auto"/>
      <w:outlineLvl w:val="5"/>
    </w:pPr>
    <w:rPr>
      <w:rFonts w:ascii="黑体" w:hAnsi="黑体" w:eastAsia="楷体"/>
      <w:b/>
      <w:sz w:val="24"/>
      <w:szCs w:val="20"/>
    </w:rPr>
  </w:style>
  <w:style w:type="paragraph" w:styleId="10">
    <w:name w:val="heading 7"/>
    <w:basedOn w:val="1"/>
    <w:next w:val="7"/>
    <w:qFormat/>
    <w:uiPriority w:val="0"/>
    <w:pPr>
      <w:keepNext/>
      <w:keepLines/>
      <w:spacing w:before="240" w:after="64" w:line="320" w:lineRule="auto"/>
      <w:outlineLvl w:val="6"/>
    </w:pPr>
    <w:rPr>
      <w:b/>
      <w:sz w:val="24"/>
      <w:szCs w:val="20"/>
    </w:rPr>
  </w:style>
  <w:style w:type="paragraph" w:styleId="11">
    <w:name w:val="heading 8"/>
    <w:basedOn w:val="1"/>
    <w:next w:val="7"/>
    <w:qFormat/>
    <w:uiPriority w:val="0"/>
    <w:pPr>
      <w:keepNext/>
      <w:keepLines/>
      <w:spacing w:before="240" w:after="64" w:line="320" w:lineRule="auto"/>
      <w:outlineLvl w:val="7"/>
    </w:pPr>
    <w:rPr>
      <w:rFonts w:ascii="黑体" w:hAnsi="黑体" w:eastAsia="楷体"/>
      <w:sz w:val="24"/>
      <w:szCs w:val="20"/>
    </w:rPr>
  </w:style>
  <w:style w:type="paragraph" w:styleId="12">
    <w:name w:val="heading 9"/>
    <w:basedOn w:val="1"/>
    <w:next w:val="7"/>
    <w:qFormat/>
    <w:uiPriority w:val="0"/>
    <w:pPr>
      <w:keepNext/>
      <w:keepLines/>
      <w:spacing w:before="240" w:after="64" w:line="320" w:lineRule="auto"/>
      <w:outlineLvl w:val="8"/>
    </w:pPr>
    <w:rPr>
      <w:rFonts w:ascii="黑体" w:hAnsi="黑体" w:eastAsia="楷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60"/>
    <w:qFormat/>
    <w:uiPriority w:val="0"/>
    <w:pPr>
      <w:adjustRightInd w:val="0"/>
      <w:spacing w:line="360" w:lineRule="auto"/>
      <w:ind w:firstLine="490"/>
      <w:jc w:val="left"/>
    </w:pPr>
    <w:rPr>
      <w:rFonts w:ascii="Century Gothic" w:hAnsi="Century Gothic" w:eastAsia="Century Gothic"/>
      <w:sz w:val="24"/>
      <w:szCs w:val="20"/>
    </w:rPr>
  </w:style>
  <w:style w:type="paragraph" w:styleId="7">
    <w:name w:val="Normal Indent"/>
    <w:basedOn w:val="1"/>
    <w:link w:val="68"/>
    <w:qFormat/>
    <w:uiPriority w:val="0"/>
    <w:pPr>
      <w:widowControl/>
      <w:ind w:firstLine="420"/>
      <w:jc w:val="left"/>
    </w:pPr>
    <w:rPr>
      <w:rFonts w:ascii="Arial" w:hAnsi="Arial" w:cs="Arial"/>
      <w:kern w:val="0"/>
      <w:sz w:val="20"/>
      <w:szCs w:val="20"/>
    </w:rPr>
  </w:style>
  <w:style w:type="paragraph" w:styleId="13">
    <w:name w:val="toc 7"/>
    <w:basedOn w:val="1"/>
    <w:next w:val="1"/>
    <w:qFormat/>
    <w:uiPriority w:val="0"/>
    <w:pPr>
      <w:ind w:left="1260"/>
      <w:jc w:val="left"/>
    </w:pPr>
    <w:rPr>
      <w:sz w:val="18"/>
      <w:szCs w:val="18"/>
    </w:rPr>
  </w:style>
  <w:style w:type="paragraph" w:styleId="14">
    <w:name w:val="List Number"/>
    <w:basedOn w:val="1"/>
    <w:qFormat/>
    <w:uiPriority w:val="0"/>
    <w:pPr>
      <w:widowControl/>
      <w:tabs>
        <w:tab w:val="left" w:pos="420"/>
        <w:tab w:val="left" w:pos="454"/>
      </w:tabs>
      <w:spacing w:afterLines="50"/>
      <w:ind w:left="454" w:hanging="284"/>
      <w:jc w:val="left"/>
    </w:pPr>
    <w:rPr>
      <w:kern w:val="0"/>
      <w:sz w:val="24"/>
      <w:szCs w:val="20"/>
    </w:rPr>
  </w:style>
  <w:style w:type="paragraph" w:styleId="15">
    <w:name w:val="caption"/>
    <w:basedOn w:val="1"/>
    <w:next w:val="1"/>
    <w:qFormat/>
    <w:uiPriority w:val="0"/>
    <w:rPr>
      <w:rFonts w:ascii="黑体" w:hAnsi="黑体" w:eastAsia="楷体" w:cs="黑体"/>
      <w:sz w:val="20"/>
      <w:szCs w:val="20"/>
    </w:rPr>
  </w:style>
  <w:style w:type="paragraph" w:styleId="16">
    <w:name w:val="Document Map"/>
    <w:basedOn w:val="1"/>
    <w:qFormat/>
    <w:uiPriority w:val="0"/>
    <w:pPr>
      <w:shd w:val="clear" w:color="auto" w:fill="000080"/>
    </w:pPr>
  </w:style>
  <w:style w:type="paragraph" w:styleId="17">
    <w:name w:val="annotation text"/>
    <w:basedOn w:val="1"/>
    <w:qFormat/>
    <w:uiPriority w:val="0"/>
    <w:pPr>
      <w:jc w:val="left"/>
    </w:pPr>
  </w:style>
  <w:style w:type="paragraph" w:styleId="18">
    <w:name w:val="Body Text"/>
    <w:basedOn w:val="1"/>
    <w:qFormat/>
    <w:uiPriority w:val="0"/>
    <w:pPr>
      <w:spacing w:after="120"/>
    </w:pPr>
  </w:style>
  <w:style w:type="paragraph" w:styleId="19">
    <w:name w:val="List Number 3"/>
    <w:basedOn w:val="1"/>
    <w:qFormat/>
    <w:uiPriority w:val="0"/>
    <w:pPr>
      <w:widowControl/>
      <w:tabs>
        <w:tab w:val="left" w:pos="482"/>
        <w:tab w:val="left" w:pos="1157"/>
      </w:tabs>
      <w:spacing w:afterLines="50"/>
      <w:ind w:left="482" w:hanging="340"/>
      <w:jc w:val="left"/>
    </w:pPr>
    <w:rPr>
      <w:kern w:val="0"/>
      <w:sz w:val="24"/>
      <w:szCs w:val="20"/>
    </w:rPr>
  </w:style>
  <w:style w:type="paragraph" w:styleId="20">
    <w:name w:val="Block Text"/>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0"/>
    <w:pPr>
      <w:ind w:left="420"/>
      <w:jc w:val="left"/>
    </w:pPr>
    <w:rPr>
      <w:i/>
      <w:iCs/>
      <w:sz w:val="20"/>
      <w:szCs w:val="20"/>
    </w:rPr>
  </w:style>
  <w:style w:type="paragraph" w:styleId="23">
    <w:name w:val="Plain Text"/>
    <w:basedOn w:val="1"/>
    <w:link w:val="65"/>
    <w:qFormat/>
    <w:uiPriority w:val="0"/>
    <w:rPr>
      <w:rFonts w:ascii="Century Gothic" w:hAnsi="楷体_GB2312" w:eastAsia="Century Gothic" w:cs="楷体_GB2312"/>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qFormat/>
    <w:uiPriority w:val="0"/>
    <w:pPr>
      <w:ind w:left="100" w:leftChars="2500"/>
    </w:pPr>
  </w:style>
  <w:style w:type="paragraph" w:styleId="26">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27">
    <w:name w:val="Balloon Text"/>
    <w:basedOn w:val="1"/>
    <w:qFormat/>
    <w:uiPriority w:val="0"/>
    <w:rPr>
      <w:sz w:val="18"/>
      <w:szCs w:val="18"/>
    </w:rPr>
  </w:style>
  <w:style w:type="paragraph" w:styleId="28">
    <w:name w:val="footer"/>
    <w:basedOn w:val="1"/>
    <w:link w:val="58"/>
    <w:qFormat/>
    <w:uiPriority w:val="0"/>
    <w:pPr>
      <w:tabs>
        <w:tab w:val="center" w:pos="4153"/>
        <w:tab w:val="right" w:pos="8306"/>
      </w:tabs>
      <w:adjustRightInd w:val="0"/>
      <w:jc w:val="left"/>
    </w:pPr>
    <w:rPr>
      <w:rFonts w:eastAsia="Century Gothic"/>
      <w:sz w:val="18"/>
      <w:szCs w:val="20"/>
    </w:rPr>
  </w:style>
  <w:style w:type="paragraph" w:styleId="29">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30">
    <w:name w:val="toc 1"/>
    <w:basedOn w:val="1"/>
    <w:next w:val="1"/>
    <w:qFormat/>
    <w:uiPriority w:val="39"/>
    <w:pPr>
      <w:tabs>
        <w:tab w:val="right" w:leader="dot" w:pos="8720"/>
      </w:tabs>
      <w:spacing w:before="120" w:after="120"/>
      <w:jc w:val="left"/>
    </w:pPr>
    <w:rPr>
      <w:rFonts w:ascii="Century Gothic" w:hAnsi="Century Gothic"/>
      <w:bCs/>
      <w:caps/>
      <w:sz w:val="20"/>
      <w:szCs w:val="20"/>
    </w:rPr>
  </w:style>
  <w:style w:type="paragraph" w:styleId="31">
    <w:name w:val="toc 4"/>
    <w:basedOn w:val="1"/>
    <w:next w:val="1"/>
    <w:qFormat/>
    <w:uiPriority w:val="0"/>
    <w:pPr>
      <w:ind w:left="630"/>
      <w:jc w:val="left"/>
    </w:pPr>
    <w:rPr>
      <w:sz w:val="18"/>
      <w:szCs w:val="18"/>
    </w:rPr>
  </w:style>
  <w:style w:type="paragraph" w:styleId="32">
    <w:name w:val="toc 6"/>
    <w:basedOn w:val="1"/>
    <w:next w:val="1"/>
    <w:qFormat/>
    <w:uiPriority w:val="0"/>
    <w:pPr>
      <w:ind w:left="1050"/>
      <w:jc w:val="left"/>
    </w:pPr>
    <w:rPr>
      <w:sz w:val="18"/>
      <w:szCs w:val="18"/>
    </w:rPr>
  </w:style>
  <w:style w:type="paragraph" w:styleId="33">
    <w:name w:val="List 5"/>
    <w:basedOn w:val="1"/>
    <w:qFormat/>
    <w:uiPriority w:val="0"/>
    <w:pPr>
      <w:ind w:left="100" w:leftChars="800" w:hanging="200" w:hangingChars="200"/>
    </w:pPr>
    <w:rPr>
      <w:szCs w:val="20"/>
    </w:rPr>
  </w:style>
  <w:style w:type="paragraph" w:styleId="34">
    <w:name w:val="Body Text Indent 3"/>
    <w:basedOn w:val="1"/>
    <w:qFormat/>
    <w:uiPriority w:val="0"/>
    <w:pPr>
      <w:spacing w:after="120"/>
      <w:ind w:left="420" w:leftChars="200"/>
    </w:pPr>
    <w:rPr>
      <w:sz w:val="16"/>
      <w:szCs w:val="16"/>
    </w:rPr>
  </w:style>
  <w:style w:type="paragraph" w:styleId="35">
    <w:name w:val="toc 2"/>
    <w:basedOn w:val="1"/>
    <w:next w:val="1"/>
    <w:qFormat/>
    <w:uiPriority w:val="39"/>
    <w:pPr>
      <w:tabs>
        <w:tab w:val="right" w:leader="dot" w:pos="8720"/>
      </w:tabs>
      <w:adjustRightInd w:val="0"/>
      <w:snapToGrid w:val="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qFormat/>
    <w:uiPriority w:val="0"/>
    <w:rPr>
      <w:sz w:val="24"/>
    </w:rPr>
  </w:style>
  <w:style w:type="paragraph" w:styleId="38">
    <w:name w:val="Normal (Web)"/>
    <w:basedOn w:val="1"/>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39">
    <w:name w:val="Title"/>
    <w:basedOn w:val="1"/>
    <w:qFormat/>
    <w:uiPriority w:val="0"/>
    <w:pPr>
      <w:tabs>
        <w:tab w:val="left" w:pos="1200"/>
      </w:tabs>
      <w:spacing w:afterLines="200"/>
      <w:ind w:left="1440" w:hanging="720"/>
      <w:jc w:val="center"/>
    </w:pPr>
    <w:rPr>
      <w:b/>
      <w:bCs/>
      <w:spacing w:val="60"/>
      <w:sz w:val="32"/>
    </w:rPr>
  </w:style>
  <w:style w:type="paragraph" w:styleId="40">
    <w:name w:val="annotation subject"/>
    <w:basedOn w:val="17"/>
    <w:next w:val="17"/>
    <w:qFormat/>
    <w:uiPriority w:val="0"/>
    <w:rPr>
      <w:b/>
      <w:bCs/>
    </w:rPr>
  </w:style>
  <w:style w:type="paragraph" w:styleId="41">
    <w:name w:val="Body Text First Indent"/>
    <w:basedOn w:val="18"/>
    <w:qFormat/>
    <w:uiPriority w:val="0"/>
    <w:pPr>
      <w:ind w:firstLine="420"/>
    </w:pPr>
  </w:style>
  <w:style w:type="paragraph" w:styleId="42">
    <w:name w:val="Body Text First Indent 2"/>
    <w:basedOn w:val="2"/>
    <w:qFormat/>
    <w:uiPriority w:val="0"/>
    <w:pPr>
      <w:adjustRightInd/>
      <w:spacing w:after="120" w:line="240" w:lineRule="auto"/>
      <w:ind w:left="420" w:leftChars="200" w:firstLine="210"/>
    </w:pPr>
    <w:rPr>
      <w:sz w:val="21"/>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0"/>
    <w:rPr>
      <w:b/>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qFormat/>
    <w:uiPriority w:val="0"/>
    <w:rPr>
      <w:sz w:val="21"/>
      <w:szCs w:val="21"/>
    </w:rPr>
  </w:style>
  <w:style w:type="paragraph" w:customStyle="1" w:styleId="51">
    <w:name w:val="DAS正文"/>
    <w:basedOn w:val="1"/>
    <w:qFormat/>
    <w:uiPriority w:val="0"/>
    <w:pPr>
      <w:spacing w:line="360" w:lineRule="auto"/>
      <w:ind w:right="181" w:firstLine="480" w:firstLineChars="200"/>
    </w:pPr>
    <w:rPr>
      <w:rFonts w:ascii="Verdana" w:hAnsi="Verdana"/>
      <w:sz w:val="24"/>
    </w:rPr>
  </w:style>
  <w:style w:type="paragraph" w:customStyle="1" w:styleId="52">
    <w:name w:val="Default"/>
    <w:qFormat/>
    <w:uiPriority w:val="0"/>
    <w:pPr>
      <w:widowControl w:val="0"/>
      <w:autoSpaceDE w:val="0"/>
      <w:autoSpaceDN w:val="0"/>
      <w:adjustRightInd w:val="0"/>
    </w:pPr>
    <w:rPr>
      <w:rFonts w:ascii="楷体" w:hAnsi="Calibri" w:eastAsia="楷体" w:cs="Calibri"/>
      <w:color w:val="000000"/>
      <w:sz w:val="24"/>
      <w:szCs w:val="24"/>
      <w:lang w:val="en-US" w:eastAsia="zh-CN" w:bidi="ar-SA"/>
    </w:rPr>
  </w:style>
  <w:style w:type="paragraph" w:customStyle="1" w:styleId="53">
    <w:name w:val="Char"/>
    <w:basedOn w:val="1"/>
    <w:qFormat/>
    <w:uiPriority w:val="0"/>
    <w:pPr>
      <w:tabs>
        <w:tab w:val="left" w:pos="432"/>
      </w:tabs>
      <w:spacing w:beforeLines="50" w:afterLines="50"/>
      <w:ind w:left="432" w:hanging="432"/>
      <w:jc w:val="center"/>
    </w:pPr>
    <w:rPr>
      <w:sz w:val="24"/>
    </w:rPr>
  </w:style>
  <w:style w:type="character" w:customStyle="1" w:styleId="54">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55">
    <w:name w:val="zbggtop11 style5"/>
    <w:basedOn w:val="45"/>
    <w:qFormat/>
    <w:uiPriority w:val="0"/>
  </w:style>
  <w:style w:type="character" w:customStyle="1" w:styleId="56">
    <w:name w:val="正文2 Char"/>
    <w:link w:val="57"/>
    <w:qFormat/>
    <w:uiPriority w:val="0"/>
    <w:rPr>
      <w:rFonts w:eastAsia="宋体"/>
      <w:kern w:val="2"/>
      <w:sz w:val="24"/>
      <w:lang w:val="en-US" w:eastAsia="zh-CN" w:bidi="ar-SA"/>
    </w:rPr>
  </w:style>
  <w:style w:type="paragraph" w:customStyle="1" w:styleId="57">
    <w:name w:val="正文2"/>
    <w:basedOn w:val="1"/>
    <w:link w:val="56"/>
    <w:qFormat/>
    <w:uiPriority w:val="0"/>
    <w:pPr>
      <w:spacing w:before="156" w:line="360" w:lineRule="auto"/>
      <w:ind w:firstLine="510" w:firstLineChars="200"/>
    </w:pPr>
    <w:rPr>
      <w:sz w:val="24"/>
      <w:szCs w:val="20"/>
    </w:rPr>
  </w:style>
  <w:style w:type="character" w:customStyle="1" w:styleId="58">
    <w:name w:val="页脚 Char"/>
    <w:link w:val="28"/>
    <w:qFormat/>
    <w:uiPriority w:val="0"/>
    <w:rPr>
      <w:rFonts w:eastAsia="Century Gothic"/>
      <w:kern w:val="2"/>
      <w:sz w:val="18"/>
      <w:lang w:val="en-US" w:eastAsia="zh-CN" w:bidi="ar-SA"/>
    </w:rPr>
  </w:style>
  <w:style w:type="character" w:customStyle="1" w:styleId="59">
    <w:name w:val="bulletintext1"/>
    <w:qFormat/>
    <w:uiPriority w:val="0"/>
    <w:rPr>
      <w:color w:val="000000"/>
      <w:sz w:val="18"/>
    </w:rPr>
  </w:style>
  <w:style w:type="character" w:customStyle="1" w:styleId="60">
    <w:name w:val="正文文本缩进 Char"/>
    <w:link w:val="2"/>
    <w:qFormat/>
    <w:uiPriority w:val="0"/>
    <w:rPr>
      <w:rFonts w:ascii="Century Gothic" w:hAnsi="Century Gothic" w:eastAsia="Century Gothic"/>
      <w:kern w:val="2"/>
      <w:sz w:val="24"/>
      <w:lang w:val="en-US" w:eastAsia="zh-CN" w:bidi="ar-SA"/>
    </w:rPr>
  </w:style>
  <w:style w:type="character" w:customStyle="1" w:styleId="61">
    <w:name w:val="Char Char"/>
    <w:qFormat/>
    <w:uiPriority w:val="0"/>
    <w:rPr>
      <w:rFonts w:ascii="Courier New" w:eastAsia="Courier New"/>
      <w:color w:val="FF0000"/>
      <w:kern w:val="2"/>
      <w:sz w:val="24"/>
      <w:szCs w:val="24"/>
      <w:u w:val="single"/>
      <w:lang w:val="en-US" w:eastAsia="zh-CN" w:bidi="ar-SA"/>
    </w:rPr>
  </w:style>
  <w:style w:type="character" w:customStyle="1" w:styleId="62">
    <w:name w:val="zbggmain style9"/>
    <w:qFormat/>
    <w:uiPriority w:val="0"/>
    <w:rPr>
      <w:rFonts w:ascii="Courier New" w:eastAsia="Courier New"/>
      <w:b/>
      <w:kern w:val="2"/>
      <w:sz w:val="32"/>
      <w:szCs w:val="32"/>
      <w:lang w:val="en-US" w:eastAsia="zh-CN" w:bidi="ar-SA"/>
    </w:rPr>
  </w:style>
  <w:style w:type="character" w:customStyle="1" w:styleId="63">
    <w:name w:val="标准文本 Char"/>
    <w:link w:val="64"/>
    <w:qFormat/>
    <w:uiPriority w:val="0"/>
    <w:rPr>
      <w:rFonts w:eastAsia="宋体" w:cs="宋体"/>
      <w:kern w:val="2"/>
      <w:sz w:val="24"/>
      <w:lang w:val="en-US" w:eastAsia="zh-CN" w:bidi="ar-SA"/>
    </w:rPr>
  </w:style>
  <w:style w:type="paragraph" w:customStyle="1" w:styleId="64">
    <w:name w:val="标准文本"/>
    <w:basedOn w:val="1"/>
    <w:link w:val="63"/>
    <w:qFormat/>
    <w:uiPriority w:val="0"/>
    <w:pPr>
      <w:spacing w:line="360" w:lineRule="auto"/>
      <w:ind w:firstLine="480" w:firstLineChars="200"/>
    </w:pPr>
    <w:rPr>
      <w:rFonts w:cs="宋体"/>
      <w:sz w:val="24"/>
      <w:szCs w:val="20"/>
    </w:rPr>
  </w:style>
  <w:style w:type="character" w:customStyle="1" w:styleId="65">
    <w:name w:val="纯文本 Char"/>
    <w:link w:val="23"/>
    <w:qFormat/>
    <w:uiPriority w:val="0"/>
    <w:rPr>
      <w:rFonts w:ascii="Century Gothic" w:hAnsi="楷体_GB2312" w:eastAsia="Century Gothic" w:cs="楷体_GB2312"/>
      <w:kern w:val="2"/>
      <w:sz w:val="21"/>
      <w:szCs w:val="21"/>
      <w:lang w:val="en-US" w:eastAsia="zh-CN" w:bidi="ar-SA"/>
    </w:rPr>
  </w:style>
  <w:style w:type="character" w:customStyle="1" w:styleId="66">
    <w:name w:val="style1"/>
    <w:basedOn w:val="45"/>
    <w:qFormat/>
    <w:uiPriority w:val="0"/>
  </w:style>
  <w:style w:type="character" w:customStyle="1" w:styleId="67">
    <w:name w:val="highlight1"/>
    <w:qFormat/>
    <w:uiPriority w:val="0"/>
    <w:rPr>
      <w:sz w:val="22"/>
      <w:szCs w:val="22"/>
    </w:rPr>
  </w:style>
  <w:style w:type="character" w:customStyle="1" w:styleId="68">
    <w:name w:val="正文缩进 Char"/>
    <w:link w:val="7"/>
    <w:qFormat/>
    <w:uiPriority w:val="0"/>
    <w:rPr>
      <w:rFonts w:ascii="Arial" w:hAnsi="Arial" w:eastAsia="宋体" w:cs="Arial"/>
      <w:lang w:val="en-US" w:eastAsia="zh-CN" w:bidi="ar-SA"/>
    </w:rPr>
  </w:style>
  <w:style w:type="character" w:customStyle="1" w:styleId="69">
    <w:name w:val="Char Char21"/>
    <w:qFormat/>
    <w:uiPriority w:val="0"/>
    <w:rPr>
      <w:rFonts w:eastAsia="Century Gothic"/>
      <w:b/>
      <w:bCs/>
      <w:kern w:val="44"/>
      <w:sz w:val="32"/>
      <w:szCs w:val="44"/>
      <w:lang w:val="en-US" w:eastAsia="zh-CN" w:bidi="ar-SA"/>
    </w:rPr>
  </w:style>
  <w:style w:type="character" w:customStyle="1" w:styleId="70">
    <w:name w:val="tpc_content1"/>
    <w:qFormat/>
    <w:uiPriority w:val="0"/>
    <w:rPr>
      <w:sz w:val="20"/>
      <w:szCs w:val="20"/>
    </w:rPr>
  </w:style>
  <w:style w:type="character" w:customStyle="1" w:styleId="71">
    <w:name w:val="Char Char12"/>
    <w:qFormat/>
    <w:uiPriority w:val="0"/>
    <w:rPr>
      <w:rFonts w:ascii="Century Gothic" w:hAnsi="楷体_GB2312" w:eastAsia="Century Gothic" w:cs="楷体_GB2312"/>
      <w:kern w:val="2"/>
      <w:sz w:val="21"/>
      <w:szCs w:val="21"/>
      <w:lang w:val="en-US" w:eastAsia="zh-CN" w:bidi="ar-SA"/>
    </w:rPr>
  </w:style>
  <w:style w:type="character" w:customStyle="1" w:styleId="72">
    <w:name w:val="标题 1 Char"/>
    <w:link w:val="3"/>
    <w:qFormat/>
    <w:uiPriority w:val="0"/>
    <w:rPr>
      <w:rFonts w:eastAsia="Century Gothic"/>
      <w:b/>
      <w:bCs/>
      <w:kern w:val="44"/>
      <w:sz w:val="44"/>
      <w:szCs w:val="44"/>
      <w:lang w:val="en-US" w:eastAsia="zh-CN" w:bidi="ar-SA"/>
    </w:rPr>
  </w:style>
  <w:style w:type="paragraph" w:customStyle="1" w:styleId="7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74">
    <w:name w:val="Char11"/>
    <w:basedOn w:val="1"/>
    <w:qFormat/>
    <w:uiPriority w:val="0"/>
  </w:style>
  <w:style w:type="paragraph" w:customStyle="1" w:styleId="75">
    <w:name w:val="列出段落1"/>
    <w:basedOn w:val="1"/>
    <w:qFormat/>
    <w:uiPriority w:val="0"/>
    <w:pPr>
      <w:ind w:firstLine="420" w:firstLineChars="200"/>
    </w:pPr>
    <w:rPr>
      <w:rFonts w:ascii="Times New Roman" w:hAnsi="Times New Roman" w:cs="Times New Roman"/>
    </w:rPr>
  </w:style>
  <w:style w:type="paragraph" w:customStyle="1" w:styleId="76">
    <w:name w:val="正文文本 21"/>
    <w:basedOn w:val="1"/>
    <w:qFormat/>
    <w:uiPriority w:val="0"/>
    <w:pPr>
      <w:adjustRightInd w:val="0"/>
      <w:spacing w:line="300" w:lineRule="auto"/>
      <w:jc w:val="center"/>
    </w:pPr>
    <w:rPr>
      <w:rFonts w:hint="eastAsia" w:ascii="Century Gothic" w:hAnsi="Century Gothic"/>
      <w:sz w:val="24"/>
      <w:szCs w:val="20"/>
    </w:rPr>
  </w:style>
  <w:style w:type="paragraph" w:customStyle="1" w:styleId="77">
    <w:name w:val="xl38"/>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78">
    <w:name w:val="正文1"/>
    <w:qFormat/>
    <w:uiPriority w:val="0"/>
    <w:pPr>
      <w:widowControl w:val="0"/>
      <w:jc w:val="both"/>
    </w:pPr>
    <w:rPr>
      <w:rFonts w:hint="eastAsia" w:ascii="Times New Roman" w:hAnsi="Times New Roman" w:eastAsia="宋体" w:cs="Calibri"/>
      <w:kern w:val="2"/>
      <w:sz w:val="21"/>
      <w:lang w:val="en-US" w:eastAsia="zh-CN" w:bidi="ar-SA"/>
    </w:rPr>
  </w:style>
  <w:style w:type="paragraph" w:customStyle="1" w:styleId="79">
    <w:name w:val="List Paragraph1"/>
    <w:basedOn w:val="1"/>
    <w:qFormat/>
    <w:uiPriority w:val="0"/>
    <w:pPr>
      <w:ind w:firstLine="420" w:firstLineChars="200"/>
    </w:p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1">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2">
    <w:name w:val="Char1"/>
    <w:basedOn w:val="1"/>
    <w:qFormat/>
    <w:uiPriority w:val="0"/>
    <w:pPr>
      <w:widowControl/>
      <w:spacing w:after="160" w:line="240" w:lineRule="exact"/>
      <w:jc w:val="left"/>
    </w:pPr>
    <w:rPr>
      <w:szCs w:val="20"/>
    </w:rPr>
  </w:style>
  <w:style w:type="paragraph" w:customStyle="1" w:styleId="8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85">
    <w:name w:val="p0"/>
    <w:basedOn w:val="1"/>
    <w:qFormat/>
    <w:uiPriority w:val="0"/>
    <w:pPr>
      <w:widowControl/>
    </w:pPr>
    <w:rPr>
      <w:rFonts w:hint="eastAsia"/>
    </w:rPr>
  </w:style>
  <w:style w:type="paragraph" w:customStyle="1" w:styleId="86">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7">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8">
    <w:name w:val="表头"/>
    <w:basedOn w:val="1"/>
    <w:qFormat/>
    <w:uiPriority w:val="0"/>
    <w:pPr>
      <w:adjustRightInd w:val="0"/>
      <w:spacing w:before="60" w:after="60" w:line="420" w:lineRule="atLeast"/>
      <w:jc w:val="left"/>
      <w:textAlignment w:val="baseline"/>
    </w:pPr>
    <w:rPr>
      <w:rFonts w:ascii="黑体" w:hAnsi="Times New Roman" w:eastAsia="黑体" w:cs="Times New Roman"/>
      <w:b/>
      <w:kern w:val="0"/>
      <w:szCs w:val="20"/>
    </w:rPr>
  </w:style>
  <w:style w:type="paragraph" w:customStyle="1" w:styleId="89">
    <w:name w:val="标书标题4"/>
    <w:basedOn w:val="6"/>
    <w:qFormat/>
    <w:uiPriority w:val="0"/>
    <w:pPr>
      <w:widowControl w:val="0"/>
      <w:adjustRightInd w:val="0"/>
      <w:snapToGrid w:val="0"/>
      <w:spacing w:line="300" w:lineRule="auto"/>
      <w:jc w:val="both"/>
    </w:pPr>
    <w:rPr>
      <w:rFonts w:eastAsia="Courier New"/>
      <w:b/>
      <w:snapToGrid/>
      <w:color w:val="000000"/>
      <w:sz w:val="28"/>
      <w:szCs w:val="32"/>
    </w:rPr>
  </w:style>
  <w:style w:type="paragraph" w:customStyle="1" w:styleId="90">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91">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92">
    <w:name w:val="Char Char Char Char Char Char Char Char"/>
    <w:basedOn w:val="1"/>
    <w:qFormat/>
    <w:uiPriority w:val="0"/>
    <w:pPr>
      <w:tabs>
        <w:tab w:val="left" w:pos="360"/>
      </w:tabs>
    </w:pPr>
    <w:rPr>
      <w:rFonts w:cs="Times New Roman"/>
      <w:szCs w:val="20"/>
    </w:rPr>
  </w:style>
  <w:style w:type="paragraph" w:customStyle="1" w:styleId="93">
    <w:name w:val="小节"/>
    <w:basedOn w:val="5"/>
    <w:qFormat/>
    <w:uiPriority w:val="0"/>
    <w:pPr>
      <w:spacing w:before="200" w:after="200" w:line="560" w:lineRule="exact"/>
      <w:jc w:val="left"/>
    </w:pPr>
    <w:rPr>
      <w:rFonts w:ascii="Century Gothic" w:hAnsi="Century Gothic"/>
      <w:bCs w:val="0"/>
      <w:color w:val="000000"/>
      <w:spacing w:val="10"/>
      <w:kern w:val="24"/>
      <w:sz w:val="28"/>
    </w:rPr>
  </w:style>
  <w:style w:type="paragraph" w:customStyle="1" w:styleId="9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95">
    <w:name w:val="纯文本1"/>
    <w:basedOn w:val="78"/>
    <w:qFormat/>
    <w:uiPriority w:val="0"/>
    <w:pPr>
      <w:widowControl/>
      <w:jc w:val="left"/>
    </w:pPr>
    <w:rPr>
      <w:rFonts w:ascii="宋体" w:hAnsi="Courier New"/>
    </w:rPr>
  </w:style>
  <w:style w:type="paragraph" w:customStyle="1" w:styleId="96">
    <w:name w:val="font5"/>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97">
    <w:name w:val="Char Char11 Char Char Char Char Char Char Char Char Char Char Char"/>
    <w:basedOn w:val="1"/>
    <w:qFormat/>
    <w:uiPriority w:val="0"/>
    <w:pPr>
      <w:spacing w:line="360" w:lineRule="auto"/>
    </w:pPr>
    <w:rPr>
      <w:rFonts w:eastAsia="黑体"/>
      <w:snapToGrid w:val="0"/>
      <w:kern w:val="0"/>
      <w:szCs w:val="21"/>
    </w:rPr>
  </w:style>
  <w:style w:type="paragraph" w:customStyle="1" w:styleId="98">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99">
    <w:name w:val="标书标题2"/>
    <w:basedOn w:val="4"/>
    <w:qFormat/>
    <w:uiPriority w:val="0"/>
    <w:pPr>
      <w:keepLines w:val="0"/>
      <w:widowControl/>
      <w:tabs>
        <w:tab w:val="left" w:pos="1320"/>
      </w:tabs>
      <w:snapToGrid w:val="0"/>
      <w:spacing w:beforeLines="50" w:after="60" w:line="300" w:lineRule="auto"/>
      <w:ind w:left="1320" w:hanging="420"/>
      <w:jc w:val="both"/>
    </w:pPr>
    <w:rPr>
      <w:rFonts w:eastAsia="Courier New"/>
      <w:color w:val="000000"/>
      <w:kern w:val="0"/>
      <w:sz w:val="28"/>
      <w:szCs w:val="20"/>
    </w:rPr>
  </w:style>
  <w:style w:type="paragraph" w:customStyle="1" w:styleId="100">
    <w:name w:val="font1"/>
    <w:basedOn w:val="1"/>
    <w:qFormat/>
    <w:uiPriority w:val="0"/>
    <w:pPr>
      <w:widowControl/>
      <w:spacing w:before="100" w:beforeAutospacing="1" w:after="100" w:afterAutospacing="1"/>
      <w:jc w:val="left"/>
    </w:pPr>
    <w:rPr>
      <w:rFonts w:ascii="Century Gothic" w:hAnsi="Century Gothic"/>
      <w:kern w:val="0"/>
      <w:sz w:val="24"/>
      <w:szCs w:val="20"/>
    </w:rPr>
  </w:style>
  <w:style w:type="paragraph" w:customStyle="1" w:styleId="101">
    <w:name w:val="title11"/>
    <w:basedOn w:val="1"/>
    <w:qFormat/>
    <w:uiPriority w:val="0"/>
    <w:pPr>
      <w:spacing w:before="150"/>
      <w:jc w:val="left"/>
    </w:pPr>
    <w:rPr>
      <w:rFonts w:cs="Times New Roman"/>
      <w:b/>
      <w:kern w:val="0"/>
    </w:rPr>
  </w:style>
  <w:style w:type="paragraph" w:customStyle="1" w:styleId="102">
    <w:name w:val="Char Char Char Char"/>
    <w:basedOn w:val="1"/>
    <w:qFormat/>
    <w:uiPriority w:val="0"/>
    <w:rPr>
      <w:rFonts w:cs="Times New Roman"/>
      <w:szCs w:val="20"/>
    </w:rPr>
  </w:style>
  <w:style w:type="paragraph" w:customStyle="1" w:styleId="10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04">
    <w:name w:val="节"/>
    <w:basedOn w:val="4"/>
    <w:qFormat/>
    <w:uiPriority w:val="0"/>
    <w:pPr>
      <w:adjustRightInd/>
      <w:spacing w:before="160" w:after="160" w:line="720" w:lineRule="exact"/>
      <w:jc w:val="center"/>
    </w:pPr>
    <w:rPr>
      <w:rFonts w:ascii="Arial" w:hAnsi="Arial"/>
      <w:b w:val="0"/>
      <w:color w:val="000000"/>
      <w:spacing w:val="14"/>
      <w:kern w:val="24"/>
      <w:sz w:val="28"/>
      <w:szCs w:val="20"/>
    </w:rPr>
  </w:style>
  <w:style w:type="paragraph" w:customStyle="1" w:styleId="105">
    <w:name w:val="Char Char Char Char Char"/>
    <w:basedOn w:val="1"/>
    <w:qFormat/>
    <w:uiPriority w:val="0"/>
    <w:pPr>
      <w:widowControl/>
      <w:spacing w:after="160" w:line="240" w:lineRule="exact"/>
      <w:jc w:val="left"/>
    </w:pPr>
    <w:rPr>
      <w:rFonts w:ascii="Verdana" w:hAnsi="Verdana" w:eastAsia="华文细黑" w:cs="Times New Roman"/>
    </w:rPr>
  </w:style>
  <w:style w:type="paragraph" w:customStyle="1" w:styleId="106">
    <w:name w:val="font6"/>
    <w:basedOn w:val="1"/>
    <w:qFormat/>
    <w:uiPriority w:val="0"/>
    <w:pPr>
      <w:widowControl/>
      <w:spacing w:before="100" w:beforeAutospacing="1" w:after="100" w:afterAutospacing="1"/>
      <w:jc w:val="left"/>
    </w:pPr>
    <w:rPr>
      <w:kern w:val="0"/>
      <w:sz w:val="18"/>
      <w:szCs w:val="18"/>
    </w:rPr>
  </w:style>
  <w:style w:type="paragraph" w:customStyle="1" w:styleId="107">
    <w:name w:val="正文文字格式"/>
    <w:basedOn w:val="1"/>
    <w:qFormat/>
    <w:uiPriority w:val="0"/>
    <w:pPr>
      <w:spacing w:line="460" w:lineRule="exact"/>
      <w:ind w:firstLine="505"/>
      <w:jc w:val="left"/>
    </w:pPr>
    <w:rPr>
      <w:rFonts w:ascii="Century Gothic"/>
      <w:kern w:val="24"/>
      <w:sz w:val="24"/>
      <w:szCs w:val="20"/>
    </w:rPr>
  </w:style>
  <w:style w:type="paragraph" w:customStyle="1" w:styleId="108">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10">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111">
    <w:name w:val="Char3 Char Char Char"/>
    <w:basedOn w:val="1"/>
    <w:qFormat/>
    <w:uiPriority w:val="0"/>
    <w:pPr>
      <w:widowControl/>
      <w:spacing w:after="160" w:line="240" w:lineRule="exact"/>
      <w:jc w:val="left"/>
    </w:pPr>
    <w:rPr>
      <w:szCs w:val="20"/>
    </w:rPr>
  </w:style>
  <w:style w:type="paragraph" w:customStyle="1" w:styleId="112">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13">
    <w:name w:val="xl27"/>
    <w:basedOn w:val="1"/>
    <w:qFormat/>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kern w:val="0"/>
      <w:sz w:val="36"/>
      <w:szCs w:val="36"/>
    </w:rPr>
  </w:style>
  <w:style w:type="paragraph" w:customStyle="1" w:styleId="114">
    <w:name w:val="无间隔1"/>
    <w:qFormat/>
    <w:uiPriority w:val="0"/>
    <w:rPr>
      <w:rFonts w:ascii="Calibri" w:hAnsi="Calibri" w:eastAsia="宋体" w:cs="Calibri"/>
      <w:sz w:val="22"/>
      <w:szCs w:val="22"/>
      <w:lang w:val="en-US" w:eastAsia="en-US" w:bidi="ar-SA"/>
    </w:rPr>
  </w:style>
  <w:style w:type="paragraph" w:customStyle="1" w:styleId="115">
    <w:name w:val="标书标题3"/>
    <w:basedOn w:val="5"/>
    <w:qFormat/>
    <w:uiPriority w:val="0"/>
    <w:pPr>
      <w:keepLines w:val="0"/>
      <w:widowControl/>
      <w:adjustRightInd w:val="0"/>
      <w:snapToGrid w:val="0"/>
      <w:spacing w:before="120" w:after="60" w:line="300" w:lineRule="auto"/>
      <w:jc w:val="left"/>
    </w:pPr>
    <w:rPr>
      <w:rFonts w:eastAsia="Courier New"/>
      <w:b w:val="0"/>
      <w:bCs w:val="0"/>
      <w:color w:val="000000"/>
      <w:kern w:val="0"/>
      <w:sz w:val="28"/>
    </w:rPr>
  </w:style>
  <w:style w:type="paragraph" w:customStyle="1" w:styleId="116">
    <w:name w:val="正文段"/>
    <w:basedOn w:val="1"/>
    <w:qFormat/>
    <w:uiPriority w:val="0"/>
    <w:pPr>
      <w:widowControl/>
      <w:snapToGrid w:val="0"/>
      <w:spacing w:afterLines="50"/>
      <w:ind w:firstLine="200" w:firstLineChars="200"/>
    </w:pPr>
    <w:rPr>
      <w:kern w:val="0"/>
      <w:sz w:val="24"/>
      <w:szCs w:val="20"/>
    </w:rPr>
  </w:style>
  <w:style w:type="paragraph" w:customStyle="1" w:styleId="1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18">
    <w:name w:val="无间隔2"/>
    <w:qFormat/>
    <w:uiPriority w:val="0"/>
    <w:rPr>
      <w:rFonts w:ascii="Calibri" w:hAnsi="Calibri" w:eastAsia="宋体" w:cs="Calibri"/>
      <w:sz w:val="22"/>
      <w:szCs w:val="22"/>
      <w:lang w:val="en-US" w:eastAsia="en-US" w:bidi="ar-SA"/>
    </w:rPr>
  </w:style>
  <w:style w:type="paragraph" w:customStyle="1" w:styleId="119">
    <w:name w:val="样式5"/>
    <w:basedOn w:val="6"/>
    <w:qFormat/>
    <w:uiPriority w:val="0"/>
    <w:pPr>
      <w:keepLines/>
      <w:widowControl w:val="0"/>
      <w:spacing w:before="280" w:after="290" w:line="376" w:lineRule="auto"/>
    </w:pPr>
    <w:rPr>
      <w:rFonts w:ascii="Century Gothic" w:hAnsi="Century Gothic" w:eastAsia="Century Gothic"/>
      <w:b/>
      <w:bCs/>
      <w:snapToGrid/>
      <w:kern w:val="2"/>
      <w:sz w:val="32"/>
      <w:szCs w:val="32"/>
    </w:rPr>
  </w:style>
  <w:style w:type="paragraph" w:customStyle="1" w:styleId="120">
    <w:name w:val="Char2"/>
    <w:basedOn w:val="1"/>
    <w:qFormat/>
    <w:uiPriority w:val="0"/>
    <w:rPr>
      <w:rFonts w:ascii="Courier New" w:eastAsia="Courier New"/>
      <w:b/>
      <w:sz w:val="32"/>
      <w:szCs w:val="32"/>
    </w:rPr>
  </w:style>
  <w:style w:type="paragraph" w:customStyle="1" w:styleId="121">
    <w:name w:val="表格文字"/>
    <w:basedOn w:val="1"/>
    <w:next w:val="18"/>
    <w:qFormat/>
    <w:uiPriority w:val="0"/>
    <w:pPr>
      <w:adjustRightInd w:val="0"/>
      <w:spacing w:line="420" w:lineRule="atLeast"/>
      <w:jc w:val="left"/>
      <w:textAlignment w:val="baseline"/>
    </w:pPr>
    <w:rPr>
      <w:kern w:val="0"/>
      <w:sz w:val="24"/>
    </w:rPr>
  </w:style>
  <w:style w:type="paragraph" w:customStyle="1" w:styleId="122">
    <w:name w:val="样式"/>
    <w:basedOn w:val="1"/>
    <w:qFormat/>
    <w:uiPriority w:val="0"/>
    <w:pPr>
      <w:tabs>
        <w:tab w:val="left" w:pos="567"/>
      </w:tabs>
      <w:snapToGrid w:val="0"/>
      <w:spacing w:line="460" w:lineRule="atLeast"/>
    </w:pPr>
    <w:rPr>
      <w:rFonts w:ascii="Arial" w:hAnsi="Arial" w:cs="Times New Roman"/>
      <w:spacing w:val="6"/>
      <w:sz w:val="24"/>
      <w:szCs w:val="20"/>
    </w:rPr>
  </w:style>
  <w:style w:type="paragraph" w:customStyle="1" w:styleId="123">
    <w:name w:val="列出段落2"/>
    <w:basedOn w:val="1"/>
    <w:qFormat/>
    <w:uiPriority w:val="0"/>
    <w:pPr>
      <w:ind w:firstLine="420" w:firstLineChars="200"/>
    </w:pPr>
    <w:rPr>
      <w:kern w:val="0"/>
      <w:sz w:val="20"/>
    </w:rPr>
  </w:style>
  <w:style w:type="paragraph" w:customStyle="1" w:styleId="124">
    <w:name w:val="标题 3_0"/>
    <w:basedOn w:val="1"/>
    <w:next w:val="125"/>
    <w:qFormat/>
    <w:uiPriority w:val="0"/>
    <w:pPr>
      <w:tabs>
        <w:tab w:val="left" w:pos="851"/>
        <w:tab w:val="left" w:pos="1260"/>
      </w:tabs>
      <w:autoSpaceDE w:val="0"/>
      <w:autoSpaceDN w:val="0"/>
      <w:adjustRightInd w:val="0"/>
      <w:snapToGrid w:val="0"/>
      <w:spacing w:line="360" w:lineRule="auto"/>
      <w:outlineLvl w:val="2"/>
    </w:pPr>
    <w:rPr>
      <w:rFonts w:ascii="宋体"/>
      <w:b/>
      <w:kern w:val="0"/>
      <w:sz w:val="24"/>
      <w:szCs w:val="20"/>
    </w:rPr>
  </w:style>
  <w:style w:type="paragraph" w:customStyle="1" w:styleId="125">
    <w:name w:val="正文缩进_0"/>
    <w:basedOn w:val="1"/>
    <w:qFormat/>
    <w:uiPriority w:val="0"/>
    <w:pPr>
      <w:ind w:firstLine="420"/>
    </w:pPr>
    <w:rPr>
      <w:kern w:val="0"/>
      <w:sz w:val="24"/>
      <w:szCs w:val="20"/>
    </w:rPr>
  </w:style>
  <w:style w:type="paragraph" w:customStyle="1" w:styleId="12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new正文"/>
    <w:basedOn w:val="128"/>
    <w:qFormat/>
    <w:uiPriority w:val="0"/>
    <w:pPr>
      <w:spacing w:line="400" w:lineRule="exact"/>
      <w:ind w:right="-58" w:rightChars="-24" w:firstLine="480" w:firstLineChars="200"/>
    </w:pPr>
    <w:rPr>
      <w:rFonts w:ascii="宋体" w:hAnsi="宋体"/>
      <w:kern w:val="0"/>
      <w:sz w:val="20"/>
      <w:szCs w:val="24"/>
    </w:rPr>
  </w:style>
  <w:style w:type="paragraph" w:customStyle="1" w:styleId="12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9">
    <w:name w:val="标题 4_0"/>
    <w:basedOn w:val="1"/>
    <w:next w:val="125"/>
    <w:qFormat/>
    <w:uiPriority w:val="0"/>
    <w:pPr>
      <w:autoSpaceDE w:val="0"/>
      <w:autoSpaceDN w:val="0"/>
      <w:adjustRightInd w:val="0"/>
      <w:snapToGrid w:val="0"/>
      <w:spacing w:before="100" w:beforeAutospacing="1" w:line="360" w:lineRule="auto"/>
      <w:outlineLvl w:val="3"/>
    </w:pPr>
    <w:rPr>
      <w:rFonts w:ascii="宋体" w:hAnsi="Arial"/>
      <w:b/>
      <w:color w:val="000000"/>
      <w:kern w:val="0"/>
      <w:sz w:val="24"/>
      <w:szCs w:val="20"/>
    </w:rPr>
  </w:style>
  <w:style w:type="paragraph" w:customStyle="1" w:styleId="130">
    <w:name w:val="0表头样式"/>
    <w:basedOn w:val="131"/>
    <w:qFormat/>
    <w:uiPriority w:val="0"/>
    <w:pPr>
      <w:jc w:val="center"/>
    </w:pPr>
    <w:rPr>
      <w:b/>
    </w:rPr>
  </w:style>
  <w:style w:type="paragraph" w:customStyle="1" w:styleId="131">
    <w:name w:val="0表格样式"/>
    <w:basedOn w:val="1"/>
    <w:qFormat/>
    <w:uiPriority w:val="0"/>
    <w:rPr>
      <w:rFonts w:ascii="Times New Roman" w:hAnsi="Times New Roman"/>
      <w:szCs w:val="21"/>
    </w:rPr>
  </w:style>
  <w:style w:type="paragraph" w:customStyle="1" w:styleId="132">
    <w:name w:val="111段落文字"/>
    <w:basedOn w:val="1"/>
    <w:qFormat/>
    <w:uiPriority w:val="0"/>
    <w:pPr>
      <w:spacing w:line="400" w:lineRule="exact"/>
      <w:ind w:firstLine="480" w:firstLineChars="200"/>
      <w:jc w:val="left"/>
    </w:pPr>
    <w:rPr>
      <w:rFonts w:ascii="Times New Roman" w:hAnsi="Times New Roman"/>
      <w:sz w:val="24"/>
      <w:szCs w:val="21"/>
    </w:rPr>
  </w:style>
  <w:style w:type="paragraph" w:customStyle="1" w:styleId="133">
    <w:name w:val="H表正"/>
    <w:basedOn w:val="1"/>
    <w:qFormat/>
    <w:uiPriority w:val="0"/>
    <w:pPr>
      <w:widowControl/>
    </w:pPr>
    <w:rPr>
      <w:rFonts w:ascii="宋体" w:hAnsi="宋体"/>
      <w:color w:val="000000"/>
      <w:kern w:val="0"/>
      <w:sz w:val="20"/>
      <w:szCs w:val="20"/>
    </w:rPr>
  </w:style>
  <w:style w:type="paragraph" w:customStyle="1" w:styleId="134">
    <w:name w:val="H正_1"/>
    <w:basedOn w:val="1"/>
    <w:qFormat/>
    <w:uiPriority w:val="0"/>
    <w:pPr>
      <w:spacing w:line="420" w:lineRule="auto"/>
      <w:ind w:firstLine="200" w:firstLineChars="200"/>
      <w:jc w:val="left"/>
    </w:pPr>
    <w:rPr>
      <w:rFonts w:ascii="Times New Roman" w:hAnsi="Times New Roman"/>
      <w:sz w:val="24"/>
    </w:rPr>
  </w:style>
  <w:style w:type="character" w:customStyle="1" w:styleId="135">
    <w:name w:val="10"/>
    <w:qFormat/>
    <w:uiPriority w:val="0"/>
    <w:rPr>
      <w:rFonts w:hint="default" w:ascii="Times New Roman" w:hAnsi="Times New Roman" w:cs="Times New Roman"/>
    </w:rPr>
  </w:style>
  <w:style w:type="paragraph" w:customStyle="1" w:styleId="136">
    <w:name w:val="H表_1"/>
    <w:basedOn w:val="1"/>
    <w:qFormat/>
    <w:uiPriority w:val="0"/>
    <w:pPr>
      <w:widowControl/>
      <w:jc w:val="center"/>
    </w:pPr>
    <w:rPr>
      <w:rFonts w:ascii="宋体" w:hAnsi="宋体"/>
      <w:kern w:val="0"/>
      <w:sz w:val="20"/>
      <w:szCs w:val="20"/>
    </w:rPr>
  </w:style>
  <w:style w:type="paragraph" w:customStyle="1" w:styleId="137">
    <w:name w:val="正文1111"/>
    <w:basedOn w:val="138"/>
    <w:qFormat/>
    <w:uiPriority w:val="0"/>
    <w:pPr>
      <w:spacing w:line="360" w:lineRule="auto"/>
      <w:ind w:firstLine="420"/>
    </w:pPr>
    <w:rPr>
      <w:rFonts w:ascii="仿宋_GB2312" w:eastAsia="仿宋_GB2312"/>
      <w:kern w:val="0"/>
      <w:sz w:val="24"/>
      <w:szCs w:val="24"/>
    </w:rPr>
  </w:style>
  <w:style w:type="paragraph" w:customStyle="1" w:styleId="13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正文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正文_0_0_0_0_0"/>
    <w:qFormat/>
    <w:uiPriority w:val="0"/>
    <w:pPr>
      <w:widowControl w:val="0"/>
      <w:jc w:val="both"/>
    </w:pPr>
    <w:rPr>
      <w:rFonts w:ascii="Calibri" w:hAnsi="Calibri" w:eastAsia="宋体" w:cs="Times New Roman"/>
      <w:kern w:val="2"/>
      <w:sz w:val="21"/>
      <w:szCs w:val="22"/>
      <w:lang w:val="en-US" w:eastAsia="zh-CN" w:bidi="ar-SA"/>
    </w:rPr>
  </w:style>
  <w:style w:type="paragraph" w:styleId="141">
    <w:name w:val="List Paragraph"/>
    <w:basedOn w:val="1"/>
    <w:unhideWhenUsed/>
    <w:qFormat/>
    <w:uiPriority w:val="99"/>
    <w:pPr>
      <w:ind w:firstLine="420" w:firstLineChars="200"/>
    </w:pPr>
  </w:style>
  <w:style w:type="paragraph" w:customStyle="1" w:styleId="142">
    <w:name w:val="Plain Text"/>
    <w:basedOn w:val="143"/>
    <w:qFormat/>
    <w:uiPriority w:val="0"/>
    <w:pPr>
      <w:widowControl/>
      <w:jc w:val="left"/>
    </w:pPr>
    <w:rPr>
      <w:rFonts w:ascii="宋体" w:hAnsi="Courier New"/>
    </w:rPr>
  </w:style>
  <w:style w:type="paragraph" w:customStyle="1" w:styleId="143">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36381</Words>
  <Characters>38319</Characters>
  <Lines>454</Lines>
  <Paragraphs>127</Paragraphs>
  <TotalTime>4</TotalTime>
  <ScaleCrop>false</ScaleCrop>
  <LinksUpToDate>false</LinksUpToDate>
  <CharactersWithSpaces>40502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2021-01-07T08:23:00Z</dcterms:created>
  <dc:creator>admin</dc:creator>
  <cp:lastModifiedBy>admin</cp:lastModifiedBy>
  <cp:lastPrinted>2020-07-22T07:42:00Z</cp:lastPrinted>
  <dcterms:modified xsi:type="dcterms:W3CDTF">2021-02-10T03:34:46Z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