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rPr>
          <w:rFonts w:ascii="仿宋" w:hAnsi="仿宋" w:eastAsia="仿宋" w:cs="仿宋_GB2312"/>
          <w:b/>
          <w:color w:val="auto"/>
          <w:sz w:val="24"/>
          <w:highlight w:val="none"/>
        </w:rPr>
      </w:pPr>
    </w:p>
    <w:p>
      <w:pPr>
        <w:shd w:val="clear"/>
        <w:spacing w:line="360" w:lineRule="auto"/>
        <w:jc w:val="center"/>
        <w:rPr>
          <w:rFonts w:ascii="仿宋" w:hAnsi="仿宋" w:eastAsia="仿宋" w:cs="仿宋_GB2312"/>
          <w:b/>
          <w:color w:val="auto"/>
          <w:sz w:val="24"/>
          <w:highlight w:val="none"/>
        </w:rPr>
      </w:pPr>
    </w:p>
    <w:p>
      <w:pPr>
        <w:shd w:val="clear"/>
        <w:spacing w:line="360" w:lineRule="auto"/>
        <w:jc w:val="center"/>
        <w:rPr>
          <w:rFonts w:ascii="仿宋" w:hAnsi="仿宋" w:eastAsia="仿宋" w:cs="仿宋_GB2312"/>
          <w:b/>
          <w:color w:val="auto"/>
          <w:sz w:val="44"/>
          <w:szCs w:val="44"/>
          <w:highlight w:val="none"/>
        </w:rPr>
      </w:pPr>
    </w:p>
    <w:p>
      <w:pPr>
        <w:shd w:val="clear"/>
        <w:adjustRightInd/>
        <w:spacing w:line="360" w:lineRule="auto"/>
        <w:jc w:val="center"/>
        <w:rPr>
          <w:rFonts w:ascii="仿宋_GB2312" w:hAnsi="仿宋" w:eastAsia="仿宋_GB2312" w:cs="仿宋_GB2312"/>
          <w:b/>
          <w:color w:val="auto"/>
          <w:sz w:val="48"/>
          <w:szCs w:val="48"/>
          <w:highlight w:val="none"/>
        </w:rPr>
      </w:pPr>
    </w:p>
    <w:p>
      <w:pPr>
        <w:shd w:val="clear"/>
        <w:adjustRightInd/>
        <w:snapToGrid w:val="0"/>
        <w:spacing w:line="360" w:lineRule="auto"/>
        <w:jc w:val="center"/>
        <w:rPr>
          <w:rFonts w:hint="eastAsia" w:ascii="仿宋" w:hAnsi="仿宋" w:eastAsia="仿宋" w:cs="仿宋"/>
          <w:color w:val="auto"/>
          <w:w w:val="80"/>
          <w:sz w:val="48"/>
          <w:szCs w:val="48"/>
          <w:highlight w:val="none"/>
          <w:lang w:eastAsia="zh-CN" w:bidi="th-TH"/>
        </w:rPr>
      </w:pPr>
      <w:r>
        <w:rPr>
          <w:rFonts w:hint="eastAsia" w:ascii="仿宋" w:hAnsi="仿宋" w:eastAsia="仿宋" w:cs="仿宋"/>
          <w:color w:val="auto"/>
          <w:w w:val="80"/>
          <w:sz w:val="48"/>
          <w:szCs w:val="48"/>
          <w:highlight w:val="none"/>
          <w:lang w:eastAsia="zh-CN" w:bidi="th-TH"/>
        </w:rPr>
        <w:t>钱塘江干线航道通航安全与应急保障能力评估暨无人机巡航应用研究</w:t>
      </w:r>
    </w:p>
    <w:p>
      <w:pPr>
        <w:shd w:val="clear"/>
        <w:adjustRightInd/>
        <w:spacing w:line="360" w:lineRule="auto"/>
        <w:jc w:val="center"/>
        <w:rPr>
          <w:rFonts w:ascii="仿宋" w:hAnsi="仿宋" w:eastAsia="仿宋" w:cs="仿宋"/>
          <w:color w:val="auto"/>
          <w:sz w:val="48"/>
          <w:szCs w:val="48"/>
          <w:highlight w:val="none"/>
        </w:rPr>
      </w:pPr>
      <w:r>
        <w:rPr>
          <w:rFonts w:hint="eastAsia" w:ascii="仿宋" w:hAnsi="仿宋" w:eastAsia="仿宋" w:cs="仿宋"/>
          <w:color w:val="auto"/>
          <w:spacing w:val="40"/>
          <w:w w:val="80"/>
          <w:sz w:val="96"/>
          <w:szCs w:val="96"/>
          <w:highlight w:val="none"/>
          <w:lang w:bidi="th-TH"/>
        </w:rPr>
        <w:t>招 标 文 件</w:t>
      </w:r>
    </w:p>
    <w:p>
      <w:pPr>
        <w:shd w:val="clear"/>
        <w:adjustRightInd/>
        <w:snapToGrid w:val="0"/>
        <w:spacing w:line="360" w:lineRule="auto"/>
        <w:jc w:val="center"/>
        <w:rPr>
          <w:rFonts w:ascii="仿宋" w:hAnsi="仿宋" w:eastAsia="仿宋" w:cs="仿宋"/>
          <w:color w:val="auto"/>
          <w:w w:val="80"/>
          <w:sz w:val="48"/>
          <w:szCs w:val="48"/>
          <w:highlight w:val="none"/>
          <w:lang w:bidi="th-TH"/>
        </w:rPr>
      </w:pPr>
      <w:r>
        <w:rPr>
          <w:rFonts w:hint="eastAsia" w:ascii="仿宋" w:hAnsi="仿宋" w:eastAsia="仿宋" w:cs="仿宋"/>
          <w:color w:val="auto"/>
          <w:w w:val="80"/>
          <w:sz w:val="48"/>
          <w:szCs w:val="48"/>
          <w:highlight w:val="none"/>
          <w:lang w:bidi="th-TH"/>
        </w:rPr>
        <w:t xml:space="preserve"> （电子招投标）</w:t>
      </w:r>
    </w:p>
    <w:p>
      <w:pPr>
        <w:shd w:val="clear"/>
        <w:adjustRightInd/>
        <w:snapToGrid w:val="0"/>
        <w:spacing w:line="360" w:lineRule="auto"/>
        <w:jc w:val="center"/>
        <w:rPr>
          <w:rFonts w:hint="eastAsia" w:ascii="仿宋" w:hAnsi="仿宋" w:eastAsia="仿宋" w:cs="仿宋"/>
          <w:color w:val="auto"/>
          <w:w w:val="80"/>
          <w:sz w:val="30"/>
          <w:szCs w:val="30"/>
          <w:highlight w:val="none"/>
          <w:lang w:eastAsia="zh-CN" w:bidi="th-TH"/>
        </w:rPr>
      </w:pPr>
      <w:r>
        <w:rPr>
          <w:rFonts w:hint="eastAsia" w:ascii="仿宋" w:hAnsi="仿宋" w:eastAsia="仿宋" w:cs="仿宋"/>
          <w:color w:val="auto"/>
          <w:w w:val="80"/>
          <w:sz w:val="30"/>
          <w:szCs w:val="30"/>
          <w:highlight w:val="none"/>
          <w:lang w:bidi="th-TH"/>
        </w:rPr>
        <w:t>编号:</w:t>
      </w:r>
      <w:r>
        <w:rPr>
          <w:rFonts w:hint="eastAsia" w:ascii="仿宋" w:hAnsi="仿宋" w:eastAsia="仿宋" w:cs="仿宋"/>
          <w:color w:val="auto"/>
          <w:w w:val="80"/>
          <w:sz w:val="30"/>
          <w:szCs w:val="30"/>
          <w:highlight w:val="none"/>
          <w:lang w:eastAsia="zh-CN" w:bidi="th-TH"/>
        </w:rPr>
        <w:t>ZJ-2411068</w:t>
      </w:r>
    </w:p>
    <w:p>
      <w:pPr>
        <w:shd w:val="clear"/>
        <w:adjustRightInd/>
        <w:spacing w:line="360" w:lineRule="auto"/>
        <w:rPr>
          <w:rFonts w:ascii="仿宋" w:hAnsi="仿宋" w:eastAsia="仿宋" w:cs="仿宋"/>
          <w:color w:val="auto"/>
          <w:sz w:val="28"/>
          <w:szCs w:val="20"/>
          <w:highlight w:val="none"/>
        </w:rPr>
      </w:pPr>
    </w:p>
    <w:p>
      <w:pPr>
        <w:pStyle w:val="24"/>
        <w:shd w:val="clear"/>
        <w:rPr>
          <w:color w:val="auto"/>
          <w:highlight w:val="none"/>
        </w:rPr>
      </w:pPr>
    </w:p>
    <w:p>
      <w:pPr>
        <w:shd w:val="clear"/>
        <w:spacing w:line="360" w:lineRule="auto"/>
        <w:jc w:val="center"/>
        <w:rPr>
          <w:rFonts w:ascii="仿宋" w:hAnsi="仿宋" w:eastAsia="仿宋" w:cs="仿宋"/>
          <w:b/>
          <w:color w:val="auto"/>
          <w:sz w:val="44"/>
          <w:szCs w:val="44"/>
          <w:highlight w:val="none"/>
        </w:rPr>
      </w:pPr>
    </w:p>
    <w:p>
      <w:pPr>
        <w:shd w:val="clear"/>
        <w:spacing w:line="360" w:lineRule="auto"/>
        <w:jc w:val="center"/>
        <w:rPr>
          <w:rFonts w:ascii="仿宋" w:hAnsi="仿宋" w:eastAsia="仿宋" w:cs="仿宋"/>
          <w:color w:val="auto"/>
          <w:sz w:val="24"/>
          <w:highlight w:val="none"/>
        </w:rPr>
      </w:pPr>
    </w:p>
    <w:tbl>
      <w:tblPr>
        <w:tblStyle w:val="62"/>
        <w:tblW w:w="0" w:type="auto"/>
        <w:jc w:val="center"/>
        <w:tblLayout w:type="fixed"/>
        <w:tblCellMar>
          <w:top w:w="0" w:type="dxa"/>
          <w:left w:w="108" w:type="dxa"/>
          <w:bottom w:w="0" w:type="dxa"/>
          <w:right w:w="108" w:type="dxa"/>
        </w:tblCellMar>
      </w:tblPr>
      <w:tblGrid>
        <w:gridCol w:w="2032"/>
        <w:gridCol w:w="516"/>
        <w:gridCol w:w="4573"/>
      </w:tblGrid>
      <w:tr>
        <w:tblPrEx>
          <w:tblCellMar>
            <w:top w:w="0" w:type="dxa"/>
            <w:left w:w="108" w:type="dxa"/>
            <w:bottom w:w="0" w:type="dxa"/>
            <w:right w:w="108" w:type="dxa"/>
          </w:tblCellMar>
        </w:tblPrEx>
        <w:trPr>
          <w:trHeight w:val="680" w:hRule="atLeast"/>
          <w:jc w:val="center"/>
        </w:trPr>
        <w:tc>
          <w:tcPr>
            <w:tcW w:w="2032"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 w:val="30"/>
                <w:szCs w:val="30"/>
                <w:highlight w:val="none"/>
              </w:rPr>
            </w:pPr>
            <w:r>
              <w:rPr>
                <w:rFonts w:hint="eastAsia" w:ascii="仿宋" w:hAnsi="仿宋" w:eastAsia="仿宋" w:cs="仿宋"/>
                <w:color w:val="auto"/>
                <w:sz w:val="30"/>
                <w:szCs w:val="30"/>
                <w:highlight w:val="none"/>
              </w:rPr>
              <w:t>采购人</w:t>
            </w:r>
          </w:p>
        </w:tc>
        <w:tc>
          <w:tcPr>
            <w:tcW w:w="516"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573" w:type="dxa"/>
            <w:vAlign w:val="center"/>
          </w:tcPr>
          <w:p>
            <w:pPr>
              <w:keepNext w:val="0"/>
              <w:keepLines w:val="0"/>
              <w:suppressLineNumbers w:val="0"/>
              <w:shd w:val="clear"/>
              <w:snapToGrid w:val="0"/>
              <w:spacing w:before="0" w:beforeAutospacing="0" w:after="0" w:afterAutospacing="0"/>
              <w:ind w:left="0" w:right="0"/>
              <w:jc w:val="distribute"/>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eastAsia="zh-CN"/>
              </w:rPr>
              <w:t>浙江省港航管理中心</w:t>
            </w:r>
          </w:p>
        </w:tc>
      </w:tr>
      <w:tr>
        <w:tblPrEx>
          <w:tblCellMar>
            <w:top w:w="0" w:type="dxa"/>
            <w:left w:w="108" w:type="dxa"/>
            <w:bottom w:w="0" w:type="dxa"/>
            <w:right w:w="108" w:type="dxa"/>
          </w:tblCellMar>
        </w:tblPrEx>
        <w:trPr>
          <w:trHeight w:val="297" w:hRule="atLeast"/>
          <w:jc w:val="center"/>
        </w:trPr>
        <w:tc>
          <w:tcPr>
            <w:tcW w:w="2032"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Cs w:val="21"/>
                <w:highlight w:val="none"/>
              </w:rPr>
            </w:pPr>
          </w:p>
        </w:tc>
        <w:tc>
          <w:tcPr>
            <w:tcW w:w="516"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Cs w:val="21"/>
                <w:highlight w:val="none"/>
              </w:rPr>
            </w:pPr>
          </w:p>
        </w:tc>
        <w:tc>
          <w:tcPr>
            <w:tcW w:w="4573"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Cs w:val="21"/>
                <w:highlight w:val="none"/>
              </w:rPr>
            </w:pPr>
          </w:p>
        </w:tc>
      </w:tr>
      <w:tr>
        <w:tblPrEx>
          <w:tblCellMar>
            <w:top w:w="0" w:type="dxa"/>
            <w:left w:w="108" w:type="dxa"/>
            <w:bottom w:w="0" w:type="dxa"/>
            <w:right w:w="108" w:type="dxa"/>
          </w:tblCellMar>
        </w:tblPrEx>
        <w:trPr>
          <w:trHeight w:val="680" w:hRule="atLeast"/>
          <w:jc w:val="center"/>
        </w:trPr>
        <w:tc>
          <w:tcPr>
            <w:tcW w:w="2032"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 w:val="30"/>
                <w:szCs w:val="30"/>
                <w:highlight w:val="none"/>
              </w:rPr>
            </w:pPr>
            <w:r>
              <w:rPr>
                <w:rFonts w:hint="eastAsia" w:ascii="仿宋" w:hAnsi="仿宋" w:eastAsia="仿宋" w:cs="仿宋"/>
                <w:color w:val="auto"/>
                <w:sz w:val="30"/>
                <w:szCs w:val="30"/>
                <w:highlight w:val="none"/>
              </w:rPr>
              <w:t>采购代理机构</w:t>
            </w:r>
          </w:p>
        </w:tc>
        <w:tc>
          <w:tcPr>
            <w:tcW w:w="516"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 w:val="30"/>
                <w:szCs w:val="30"/>
                <w:highlight w:val="none"/>
              </w:rPr>
            </w:pPr>
            <w:r>
              <w:rPr>
                <w:rFonts w:hint="eastAsia" w:ascii="仿宋" w:hAnsi="仿宋" w:eastAsia="仿宋" w:cs="仿宋"/>
                <w:color w:val="auto"/>
                <w:sz w:val="30"/>
                <w:szCs w:val="30"/>
                <w:highlight w:val="none"/>
              </w:rPr>
              <w:t>：</w:t>
            </w:r>
          </w:p>
        </w:tc>
        <w:tc>
          <w:tcPr>
            <w:tcW w:w="4573" w:type="dxa"/>
            <w:vAlign w:val="center"/>
          </w:tcPr>
          <w:p>
            <w:pPr>
              <w:keepNext w:val="0"/>
              <w:keepLines w:val="0"/>
              <w:suppressLineNumbers w:val="0"/>
              <w:shd w:val="clear"/>
              <w:snapToGrid w:val="0"/>
              <w:spacing w:before="0" w:beforeAutospacing="0" w:after="0" w:afterAutospacing="0"/>
              <w:ind w:left="0" w:right="0"/>
              <w:jc w:val="distribute"/>
              <w:rPr>
                <w:rFonts w:hint="default" w:ascii="仿宋" w:hAnsi="仿宋" w:eastAsia="仿宋" w:cs="仿宋"/>
                <w:color w:val="auto"/>
                <w:sz w:val="30"/>
                <w:szCs w:val="30"/>
                <w:highlight w:val="none"/>
              </w:rPr>
            </w:pPr>
            <w:r>
              <w:rPr>
                <w:rFonts w:hint="eastAsia" w:ascii="仿宋" w:hAnsi="仿宋" w:eastAsia="仿宋" w:cs="仿宋"/>
                <w:color w:val="auto"/>
                <w:sz w:val="30"/>
                <w:szCs w:val="30"/>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7121" w:type="dxa"/>
            <w:gridSpan w:val="3"/>
            <w:vAlign w:val="bottom"/>
          </w:tcPr>
          <w:p>
            <w:pPr>
              <w:keepNext w:val="0"/>
              <w:keepLines w:val="0"/>
              <w:suppressLineNumbers w:val="0"/>
              <w:shd w:val="clear"/>
              <w:snapToGrid w:val="0"/>
              <w:spacing w:before="0" w:beforeAutospacing="0" w:after="0" w:afterAutospacing="0"/>
              <w:ind w:left="0" w:right="0"/>
              <w:jc w:val="center"/>
              <w:rPr>
                <w:rFonts w:hint="default" w:ascii="仿宋" w:hAnsi="仿宋" w:eastAsia="仿宋" w:cs="仿宋"/>
                <w:color w:val="auto"/>
                <w:sz w:val="30"/>
                <w:szCs w:val="30"/>
                <w:highlight w:val="none"/>
              </w:rPr>
            </w:pPr>
            <w:r>
              <w:rPr>
                <w:rFonts w:hint="eastAsia" w:ascii="仿宋" w:hAnsi="仿宋" w:eastAsia="仿宋" w:cs="仿宋"/>
                <w:color w:val="auto"/>
                <w:sz w:val="30"/>
                <w:szCs w:val="30"/>
                <w:highlight w:val="none"/>
              </w:rPr>
              <w:t>2024年</w:t>
            </w:r>
            <w:r>
              <w:rPr>
                <w:rFonts w:hint="eastAsia" w:ascii="仿宋" w:hAnsi="仿宋" w:eastAsia="仿宋" w:cs="仿宋"/>
                <w:color w:val="auto"/>
                <w:sz w:val="30"/>
                <w:szCs w:val="30"/>
                <w:highlight w:val="none"/>
                <w:lang w:val="en-US" w:eastAsia="zh-CN"/>
              </w:rPr>
              <w:t>4</w:t>
            </w:r>
            <w:r>
              <w:rPr>
                <w:rFonts w:hint="eastAsia" w:ascii="仿宋" w:hAnsi="仿宋" w:eastAsia="仿宋" w:cs="仿宋"/>
                <w:color w:val="auto"/>
                <w:sz w:val="30"/>
                <w:szCs w:val="30"/>
                <w:highlight w:val="none"/>
              </w:rPr>
              <w:t>月</w:t>
            </w:r>
          </w:p>
        </w:tc>
      </w:tr>
    </w:tbl>
    <w:p>
      <w:pPr>
        <w:shd w:val="clear"/>
        <w:spacing w:line="360" w:lineRule="auto"/>
        <w:jc w:val="center"/>
        <w:rPr>
          <w:rFonts w:ascii="仿宋" w:hAnsi="仿宋" w:eastAsia="仿宋" w:cs="仿宋_GB2312"/>
          <w:color w:val="auto"/>
          <w:sz w:val="24"/>
          <w:highlight w:val="none"/>
        </w:rPr>
      </w:pPr>
    </w:p>
    <w:p>
      <w:pPr>
        <w:shd w:val="clear"/>
        <w:spacing w:line="360" w:lineRule="auto"/>
        <w:jc w:val="center"/>
        <w:rPr>
          <w:rFonts w:ascii="仿宋" w:hAnsi="仿宋" w:eastAsia="仿宋" w:cs="仿宋_GB2312"/>
          <w:color w:val="auto"/>
          <w:sz w:val="24"/>
          <w:highlight w:val="none"/>
        </w:rPr>
      </w:pPr>
      <w:bookmarkStart w:id="0" w:name="_Hlt67893495"/>
      <w:bookmarkEnd w:id="0"/>
    </w:p>
    <w:p>
      <w:pPr>
        <w:shd w:val="clea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br w:type="page"/>
      </w:r>
    </w:p>
    <w:p>
      <w:pPr>
        <w:shd w:val="clear"/>
        <w:spacing w:line="360" w:lineRule="auto"/>
        <w:jc w:val="center"/>
        <w:rPr>
          <w:rFonts w:ascii="仿宋" w:hAnsi="仿宋" w:eastAsia="仿宋" w:cs="仿宋_GB2312"/>
          <w:b/>
          <w:color w:val="auto"/>
          <w:sz w:val="48"/>
          <w:szCs w:val="48"/>
          <w:highlight w:val="none"/>
        </w:rPr>
      </w:pPr>
    </w:p>
    <w:p>
      <w:pPr>
        <w:shd w:val="clea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hd w:val="clear"/>
        <w:spacing w:line="360" w:lineRule="auto"/>
        <w:rPr>
          <w:rFonts w:ascii="仿宋" w:hAnsi="仿宋" w:eastAsia="仿宋" w:cs="仿宋_GB2312"/>
          <w:color w:val="auto"/>
          <w:sz w:val="32"/>
          <w:szCs w:val="32"/>
          <w:highlight w:val="none"/>
        </w:rPr>
      </w:pP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hd w:val="clea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hd w:val="clea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ind w:firstLine="549" w:firstLineChars="229"/>
        <w:rPr>
          <w:rFonts w:ascii="仿宋" w:hAnsi="仿宋" w:eastAsia="仿宋" w:cs="仿宋_GB2312"/>
          <w:color w:val="auto"/>
          <w:sz w:val="24"/>
          <w:highlight w:val="none"/>
        </w:rPr>
      </w:pPr>
    </w:p>
    <w:p>
      <w:pPr>
        <w:shd w:val="clear"/>
        <w:spacing w:line="360" w:lineRule="auto"/>
        <w:rPr>
          <w:rFonts w:ascii="仿宋" w:hAnsi="仿宋" w:eastAsia="仿宋" w:cs="仿宋_GB2312"/>
          <w:color w:val="auto"/>
          <w:sz w:val="24"/>
          <w:highlight w:val="none"/>
        </w:rPr>
      </w:pPr>
    </w:p>
    <w:p>
      <w:pPr>
        <w:shd w:val="clea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bookmarkEnd w:id="8"/>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hd w:val="clea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s="仿宋_GB2312"/>
          <w:color w:val="auto"/>
          <w:sz w:val="24"/>
          <w:highlight w:val="none"/>
          <w:u w:val="single"/>
          <w:lang w:eastAsia="zh-CN"/>
        </w:rPr>
        <w:t>钱塘江干线航道通航安全与应急保障能力评估暨无人机巡航应用研究</w:t>
      </w:r>
      <w:r>
        <w:rPr>
          <w:rFonts w:hint="eastAsia" w:ascii="仿宋_GB2312" w:hAnsi="仿宋" w:eastAsia="仿宋_GB2312"/>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ascii="仿宋_GB2312" w:hAnsi="仿宋" w:eastAsia="仿宋_GB2312" w:cs="Times New Roman"/>
          <w:snapToGrid/>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00秒</w:t>
      </w:r>
      <w:r>
        <w:rPr>
          <w:rFonts w:hint="eastAsia" w:ascii="仿宋_GB2312" w:hAnsi="仿宋" w:eastAsia="仿宋_GB2312"/>
          <w:bCs/>
          <w:color w:val="auto"/>
          <w:sz w:val="24"/>
          <w:highlight w:val="none"/>
          <w:u w:val="singl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hd w:val="clea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color w:val="auto"/>
          <w:sz w:val="24"/>
          <w:highlight w:val="none"/>
          <w:lang w:eastAsia="zh-CN"/>
        </w:rPr>
        <w:t>ZJ-2411068</w:t>
      </w:r>
    </w:p>
    <w:p>
      <w:pPr>
        <w:shd w:val="clea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cs="仿宋_GB2312"/>
          <w:color w:val="auto"/>
          <w:sz w:val="24"/>
          <w:highlight w:val="none"/>
          <w:lang w:eastAsia="zh-CN"/>
        </w:rPr>
        <w:t>钱塘江干线航道通航安全与应急保障能力评估暨无人机巡航应用研究</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480000</w:t>
      </w:r>
      <w:r>
        <w:rPr>
          <w:rFonts w:hint="eastAsia" w:ascii="仿宋_GB2312" w:hAnsi="仿宋" w:eastAsia="仿宋_GB2312"/>
          <w:b/>
          <w:color w:val="auto"/>
          <w:sz w:val="24"/>
          <w:highlight w:val="none"/>
        </w:rPr>
        <w:t>.00</w:t>
      </w:r>
      <w:r>
        <w:rPr>
          <w:rFonts w:hint="eastAsia" w:ascii="仿宋_GB2312" w:hAnsi="仿宋" w:eastAsia="仿宋_GB2312"/>
          <w:color w:val="auto"/>
          <w:sz w:val="24"/>
          <w:highlight w:val="none"/>
        </w:rPr>
        <w:t xml:space="preserve"> </w:t>
      </w:r>
    </w:p>
    <w:p>
      <w:pPr>
        <w:shd w:val="clea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480000</w:t>
      </w:r>
      <w:r>
        <w:rPr>
          <w:rFonts w:hint="eastAsia" w:ascii="仿宋_GB2312" w:hAnsi="仿宋" w:eastAsia="仿宋_GB2312"/>
          <w:b/>
          <w:color w:val="auto"/>
          <w:sz w:val="24"/>
          <w:highlight w:val="none"/>
        </w:rPr>
        <w:t>.00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pStyle w:val="3"/>
        <w:shd w:val="clea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采购需求：</w:t>
      </w:r>
    </w:p>
    <w:p>
      <w:pPr>
        <w:pStyle w:val="3"/>
        <w:shd w:val="clear"/>
        <w:spacing w:line="360" w:lineRule="auto"/>
        <w:ind w:firstLine="480"/>
        <w:rPr>
          <w:rFonts w:ascii="仿宋_GB2312" w:hAnsi="仿宋" w:eastAsia="仿宋_GB2312"/>
          <w:b/>
          <w:color w:val="auto"/>
          <w:sz w:val="24"/>
          <w:highlight w:val="none"/>
        </w:rPr>
      </w:pPr>
    </w:p>
    <w:p>
      <w:pPr>
        <w:pStyle w:val="3"/>
        <w:shd w:val="clear"/>
        <w:spacing w:line="360" w:lineRule="auto"/>
        <w:ind w:firstLine="480"/>
        <w:rPr>
          <w:rFonts w:hint="eastAsia" w:ascii="仿宋_GB2312" w:hAnsi="仿宋" w:eastAsia="仿宋_GB2312"/>
          <w:bCs/>
          <w:snapToGrid/>
          <w:color w:val="auto"/>
          <w:kern w:val="2"/>
          <w:sz w:val="24"/>
          <w:szCs w:val="24"/>
          <w:highlight w:val="none"/>
          <w:lang w:eastAsia="zh-CN"/>
        </w:rPr>
      </w:pPr>
      <w:r>
        <w:rPr>
          <w:rFonts w:hint="eastAsia" w:ascii="仿宋_GB2312" w:hAnsi="仿宋" w:eastAsia="仿宋_GB2312"/>
          <w:b/>
          <w:color w:val="auto"/>
          <w:sz w:val="24"/>
          <w:highlight w:val="none"/>
        </w:rPr>
        <w:t>标项名称：</w:t>
      </w:r>
      <w:r>
        <w:rPr>
          <w:rFonts w:hint="eastAsia" w:ascii="仿宋_GB2312" w:hAnsi="仿宋" w:eastAsia="仿宋_GB2312"/>
          <w:bCs/>
          <w:snapToGrid/>
          <w:color w:val="auto"/>
          <w:kern w:val="2"/>
          <w:sz w:val="24"/>
          <w:szCs w:val="24"/>
          <w:highlight w:val="none"/>
          <w:lang w:eastAsia="zh-CN"/>
        </w:rPr>
        <w:t>钱塘江干线航道通航安全与应急保障能力评估暨无人机巡航应用研究</w:t>
      </w:r>
    </w:p>
    <w:p>
      <w:pPr>
        <w:pStyle w:val="3"/>
        <w:shd w:val="clea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数量：1</w:t>
      </w:r>
    </w:p>
    <w:p>
      <w:pPr>
        <w:pStyle w:val="3"/>
        <w:shd w:val="clea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预算金额（元）：</w:t>
      </w:r>
      <w:r>
        <w:rPr>
          <w:rFonts w:hint="eastAsia" w:ascii="仿宋_GB2312" w:hAnsi="仿宋" w:eastAsia="仿宋_GB2312"/>
          <w:b/>
          <w:color w:val="auto"/>
          <w:sz w:val="24"/>
          <w:highlight w:val="none"/>
          <w:lang w:val="en-US" w:eastAsia="zh-CN"/>
        </w:rPr>
        <w:t>480000</w:t>
      </w:r>
      <w:r>
        <w:rPr>
          <w:rFonts w:hint="eastAsia" w:ascii="仿宋_GB2312" w:hAnsi="仿宋" w:eastAsia="仿宋_GB2312"/>
          <w:b/>
          <w:color w:val="auto"/>
          <w:sz w:val="24"/>
          <w:highlight w:val="none"/>
        </w:rPr>
        <w:t>.00</w:t>
      </w:r>
    </w:p>
    <w:p>
      <w:pPr>
        <w:pStyle w:val="3"/>
        <w:shd w:val="clear"/>
        <w:spacing w:line="360" w:lineRule="auto"/>
        <w:ind w:firstLine="480"/>
        <w:rPr>
          <w:rFonts w:ascii="仿宋_GB2312" w:hAnsi="仿宋" w:eastAsia="仿宋_GB2312"/>
          <w:bCs/>
          <w:snapToGrid/>
          <w:color w:val="auto"/>
          <w:kern w:val="2"/>
          <w:sz w:val="24"/>
          <w:szCs w:val="24"/>
          <w:highlight w:val="none"/>
        </w:rPr>
      </w:pPr>
      <w:r>
        <w:rPr>
          <w:rFonts w:hint="eastAsia" w:ascii="仿宋_GB2312" w:hAnsi="仿宋" w:eastAsia="仿宋_GB2312"/>
          <w:b/>
          <w:color w:val="auto"/>
          <w:sz w:val="24"/>
          <w:highlight w:val="none"/>
        </w:rPr>
        <w:t>简要规格描述或项目基本概况介绍、用途：</w:t>
      </w:r>
      <w:r>
        <w:rPr>
          <w:rFonts w:hint="eastAsia" w:ascii="仿宋_GB2312" w:hAnsi="仿宋" w:eastAsia="仿宋_GB2312"/>
          <w:bCs/>
          <w:snapToGrid/>
          <w:color w:val="auto"/>
          <w:kern w:val="2"/>
          <w:sz w:val="24"/>
          <w:szCs w:val="24"/>
          <w:highlight w:val="none"/>
        </w:rPr>
        <w:t>钱塘江干线航道通航安全与应急保障能力评估</w:t>
      </w:r>
      <w:r>
        <w:rPr>
          <w:rFonts w:hint="eastAsia" w:ascii="仿宋_GB2312" w:hAnsi="仿宋" w:eastAsia="仿宋_GB2312"/>
          <w:bCs/>
          <w:snapToGrid/>
          <w:color w:val="auto"/>
          <w:kern w:val="2"/>
          <w:sz w:val="24"/>
          <w:szCs w:val="24"/>
          <w:highlight w:val="none"/>
          <w:lang w:eastAsia="zh-CN"/>
        </w:rPr>
        <w:t>、</w:t>
      </w:r>
      <w:r>
        <w:rPr>
          <w:rFonts w:hint="eastAsia" w:ascii="仿宋_GB2312" w:hAnsi="仿宋" w:eastAsia="仿宋_GB2312"/>
          <w:bCs/>
          <w:snapToGrid/>
          <w:color w:val="auto"/>
          <w:kern w:val="2"/>
          <w:sz w:val="24"/>
          <w:szCs w:val="24"/>
          <w:highlight w:val="none"/>
        </w:rPr>
        <w:t>省管内河航道无人机巡航应用研究</w:t>
      </w:r>
      <w:r>
        <w:rPr>
          <w:rFonts w:ascii="仿宋_GB2312" w:hAnsi="仿宋" w:eastAsia="仿宋_GB2312"/>
          <w:bCs/>
          <w:snapToGrid/>
          <w:color w:val="auto"/>
          <w:kern w:val="2"/>
          <w:sz w:val="24"/>
          <w:szCs w:val="24"/>
          <w:highlight w:val="none"/>
        </w:rPr>
        <w:t>。</w:t>
      </w:r>
      <w:r>
        <w:rPr>
          <w:rFonts w:hint="eastAsia" w:ascii="仿宋_GB2312" w:hAnsi="仿宋" w:eastAsia="仿宋_GB2312"/>
          <w:bCs/>
          <w:snapToGrid/>
          <w:color w:val="auto"/>
          <w:kern w:val="2"/>
          <w:sz w:val="24"/>
          <w:szCs w:val="24"/>
          <w:highlight w:val="none"/>
        </w:rPr>
        <w:t>具体以招标文件第三部分采购需求为准,供应商可点击本公告下方“浏览采购文件”查看采购需求。</w:t>
      </w:r>
    </w:p>
    <w:p>
      <w:pPr>
        <w:pStyle w:val="3"/>
        <w:shd w:val="clear"/>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备注：</w:t>
      </w:r>
    </w:p>
    <w:p>
      <w:pPr>
        <w:pStyle w:val="3"/>
        <w:shd w:val="clear"/>
        <w:spacing w:line="360" w:lineRule="auto"/>
        <w:ind w:firstLine="480"/>
        <w:rPr>
          <w:rFonts w:ascii="仿宋_GB2312" w:hAnsi="仿宋" w:eastAsia="仿宋_GB2312"/>
          <w:bCs/>
          <w:snapToGrid/>
          <w:color w:val="auto"/>
          <w:kern w:val="2"/>
          <w:sz w:val="24"/>
          <w:szCs w:val="24"/>
          <w:highlight w:val="none"/>
        </w:rPr>
      </w:pPr>
    </w:p>
    <w:p>
      <w:pPr>
        <w:pStyle w:val="3"/>
        <w:shd w:val="clear"/>
        <w:spacing w:line="360" w:lineRule="auto"/>
        <w:ind w:firstLine="480"/>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rPr>
        <w:t>合同履约期限：</w:t>
      </w:r>
      <w:r>
        <w:rPr>
          <w:rFonts w:hint="eastAsia" w:ascii="仿宋_GB2312" w:hAnsi="仿宋" w:eastAsia="仿宋_GB2312"/>
          <w:b/>
          <w:color w:val="auto"/>
          <w:sz w:val="24"/>
          <w:highlight w:val="none"/>
          <w:lang w:val="en-US" w:eastAsia="zh-CN"/>
        </w:rPr>
        <w:t>合同签订之日起一年。</w:t>
      </w:r>
    </w:p>
    <w:p>
      <w:pPr>
        <w:pStyle w:val="3"/>
        <w:shd w:val="clear"/>
        <w:spacing w:line="360" w:lineRule="auto"/>
        <w:ind w:firstLine="480"/>
        <w:rPr>
          <w:rFonts w:cs="Arial" w:asciiTheme="minorEastAsia" w:hAnsiTheme="minorEastAsia" w:eastAsiaTheme="minorEastAsia"/>
          <w:color w:val="auto"/>
          <w:kern w:val="0"/>
          <w:sz w:val="24"/>
          <w:highlight w:val="none"/>
        </w:rPr>
      </w:pPr>
      <w:r>
        <w:rPr>
          <w:rFonts w:hint="eastAsia" w:ascii="仿宋_GB2312" w:hAnsi="仿宋" w:eastAsia="仿宋_GB2312"/>
          <w:b/>
          <w:color w:val="auto"/>
          <w:sz w:val="24"/>
          <w:highlight w:val="none"/>
        </w:rPr>
        <w:t>本项目接受联合体投标：</w:t>
      </w:r>
      <w:sdt>
        <w:sdtPr>
          <w:rPr>
            <w:rFonts w:hint="eastAsia" w:ascii="仿宋_GB2312" w:hAnsi="仿宋" w:eastAsia="仿宋_GB2312" w:cs="Arial"/>
            <w:color w:val="auto"/>
            <w:kern w:val="0"/>
            <w:sz w:val="24"/>
            <w:highlight w:val="none"/>
          </w:rPr>
          <w:id w:val="2035453831"/>
          <w14:checkbox>
            <w14:checked w14:val="1"/>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Wingdings" w:hAnsi="Wingdings" w:eastAsia="MS Gothic" w:cs="Arial"/>
              <w:color w:val="auto"/>
              <w:kern w:val="0"/>
              <w:sz w:val="24"/>
              <w:highlight w:val="none"/>
            </w:rPr>
            <w:t></w:t>
          </w:r>
        </w:sdtContent>
      </w:sdt>
      <w:r>
        <w:rPr>
          <w:rFonts w:hint="eastAsia" w:ascii="仿宋_GB2312" w:hAnsi="仿宋" w:eastAsia="仿宋_GB2312"/>
          <w:b/>
          <w:color w:val="auto"/>
          <w:sz w:val="24"/>
          <w:highlight w:val="none"/>
        </w:rPr>
        <w:t>是，</w:t>
      </w:r>
      <w:sdt>
        <w:sdtPr>
          <w:rPr>
            <w:rFonts w:hint="eastAsia" w:ascii="仿宋_GB2312" w:hAnsi="仿宋" w:eastAsia="仿宋_GB2312" w:cs="Arial"/>
            <w:color w:val="auto"/>
            <w:kern w:val="0"/>
            <w:sz w:val="24"/>
            <w:highlight w:val="none"/>
          </w:rPr>
          <w:id w:val="-1765526721"/>
          <w14:checkbox>
            <w14:checked w14:val="0"/>
            <w14:checkedState w14:val="00FE" w14:font="Wingdings"/>
            <w14:uncheckedState w14:val="2610" w14:font="MS Gothic"/>
          </w14:checkbox>
        </w:sdtPr>
        <w:sdtEndPr>
          <w:rPr>
            <w:rFonts w:hint="eastAsia" w:ascii="仿宋_GB2312" w:hAnsi="仿宋" w:eastAsia="仿宋_GB2312" w:cs="Arial"/>
            <w:color w:val="auto"/>
            <w:kern w:val="0"/>
            <w:sz w:val="24"/>
            <w:highlight w:val="none"/>
          </w:rPr>
        </w:sdtEndPr>
        <w:sdtContent>
          <w:r>
            <w:rPr>
              <w:rFonts w:ascii="MS Gothic" w:hAnsi="MS Gothic" w:eastAsia="MS Gothic" w:cs="Arial"/>
              <w:color w:val="auto"/>
              <w:kern w:val="0"/>
              <w:sz w:val="24"/>
              <w:highlight w:val="none"/>
            </w:rPr>
            <w:t>☐</w:t>
          </w:r>
        </w:sdtContent>
      </w:sdt>
      <w:r>
        <w:rPr>
          <w:rFonts w:hint="eastAsia" w:ascii="仿宋_GB2312" w:hAnsi="仿宋" w:eastAsia="仿宋_GB2312"/>
          <w:b/>
          <w:color w:val="auto"/>
          <w:sz w:val="24"/>
          <w:highlight w:val="none"/>
        </w:rPr>
        <w:t>否</w:t>
      </w:r>
      <w:r>
        <w:rPr>
          <w:rFonts w:hint="eastAsia" w:cs="Arial" w:asciiTheme="minorEastAsia" w:hAnsiTheme="minorEastAsia" w:eastAsiaTheme="minorEastAsia"/>
          <w:color w:val="auto"/>
          <w:kern w:val="0"/>
          <w:sz w:val="24"/>
          <w:highlight w:val="none"/>
        </w:rPr>
        <w:t>。</w:t>
      </w: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hd w:val="clea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pPr>
        <w:shd w:val="clea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以联合体形式投标的，提供联合协议(本项目不接受联合体投标或者投标人不以联合体形式投标的，则不需要提供) ；</w:t>
      </w:r>
    </w:p>
    <w:p>
      <w:pPr>
        <w:shd w:val="clear"/>
        <w:spacing w:line="360" w:lineRule="auto"/>
        <w:ind w:firstLine="480" w:firstLineChars="20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rPr>
        <w:t>3.落实政府采购政策需满足的资格要求：本项目专门面向中小企业，服务全部由符合政策要求的中小企业承接，提供中小企业声明函；</w:t>
      </w:r>
    </w:p>
    <w:p>
      <w:pPr>
        <w:shd w:val="clear"/>
        <w:spacing w:line="360" w:lineRule="auto"/>
        <w:ind w:firstLine="480" w:firstLineChars="200"/>
        <w:rPr>
          <w:rFonts w:hint="eastAsia" w:ascii="仿宋" w:hAnsi="仿宋" w:eastAsia="仿宋" w:cs="仿宋_GB2312"/>
          <w:snapToGrid w:val="0"/>
          <w:color w:val="auto"/>
          <w:kern w:val="28"/>
          <w:sz w:val="24"/>
          <w:szCs w:val="20"/>
          <w:highlight w:val="none"/>
        </w:rPr>
      </w:pPr>
      <w:r>
        <w:rPr>
          <w:rFonts w:hint="eastAsia" w:ascii="仿宋" w:hAnsi="仿宋" w:eastAsia="仿宋" w:cs="仿宋_GB2312"/>
          <w:snapToGrid w:val="0"/>
          <w:color w:val="auto"/>
          <w:kern w:val="28"/>
          <w:sz w:val="24"/>
          <w:szCs w:val="20"/>
          <w:highlight w:val="none"/>
          <w:lang w:val="en-US" w:eastAsia="zh-CN"/>
        </w:rPr>
        <w:t>4.</w:t>
      </w:r>
      <w:r>
        <w:rPr>
          <w:rFonts w:hint="eastAsia" w:ascii="仿宋" w:hAnsi="仿宋" w:eastAsia="仿宋" w:cs="仿宋_GB2312"/>
          <w:snapToGrid w:val="0"/>
          <w:color w:val="auto"/>
          <w:kern w:val="28"/>
          <w:sz w:val="24"/>
          <w:szCs w:val="20"/>
          <w:highlight w:val="none"/>
        </w:rPr>
        <w:t>本项目的特定资格要求：无</w:t>
      </w: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hd w:val="clea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hd w:val="clea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hd w:val="clea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hd w:val="clea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hd w:val="clea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hd w:val="clea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hd w:val="clea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2024</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21</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14</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00</w:t>
      </w:r>
      <w:r>
        <w:rPr>
          <w:rFonts w:hint="eastAsia" w:ascii="仿宋_GB2312" w:hAnsi="仿宋" w:eastAsia="仿宋_GB2312"/>
          <w:color w:val="auto"/>
          <w:sz w:val="24"/>
          <w:highlight w:val="none"/>
          <w:u w:val="single"/>
        </w:rPr>
        <w:t>分</w:t>
      </w:r>
      <w:r>
        <w:rPr>
          <w:rFonts w:hint="eastAsia" w:ascii="仿宋_GB2312" w:hAnsi="仿宋" w:eastAsia="仿宋_GB2312"/>
          <w:bCs/>
          <w:color w:val="auto"/>
          <w:sz w:val="24"/>
          <w:highlight w:val="none"/>
          <w:u w:val="single"/>
        </w:rPr>
        <w:t xml:space="preserve"> </w:t>
      </w:r>
    </w:p>
    <w:p>
      <w:pPr>
        <w:shd w:val="clea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hd w:val="clea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lang w:val="en-US" w:eastAsia="zh-CN"/>
        </w:rPr>
        <w:t>五、</w:t>
      </w:r>
      <w:r>
        <w:rPr>
          <w:rFonts w:hint="eastAsia" w:ascii="仿宋_GB2312" w:hAnsi="仿宋" w:eastAsia="仿宋_GB2312"/>
          <w:b/>
          <w:color w:val="auto"/>
          <w:sz w:val="24"/>
          <w:highlight w:val="none"/>
        </w:rPr>
        <w:t>公告期限</w:t>
      </w:r>
      <w:r>
        <w:rPr>
          <w:rFonts w:ascii="仿宋_GB2312" w:hAnsi="仿宋" w:eastAsia="仿宋_GB2312"/>
          <w:b/>
          <w:color w:val="auto"/>
          <w:sz w:val="24"/>
          <w:highlight w:val="none"/>
        </w:rPr>
        <w:t xml:space="preserve"> </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lang w:val="en-US" w:eastAsia="zh-CN"/>
        </w:rPr>
        <w:t>六</w:t>
      </w:r>
      <w:r>
        <w:rPr>
          <w:rFonts w:hint="eastAsia" w:ascii="仿宋_GB2312" w:hAnsi="仿宋" w:eastAsia="仿宋_GB2312"/>
          <w:b/>
          <w:color w:val="auto"/>
          <w:sz w:val="24"/>
          <w:highlight w:val="none"/>
        </w:rPr>
        <w:t>、其他补充事宜</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rPr>
        <w:t>4.其他事项：（1）需要落实的政府采购政策：包括节约资源、保护环境、支持创新、促进中小企业发展等。详见招标文件的第二部分总则。（2）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w:t>
      </w:r>
      <w:r>
        <w:rPr>
          <w:rFonts w:hint="eastAsia" w:ascii="仿宋_GB2312" w:hAnsi="仿宋" w:eastAsia="仿宋_GB2312"/>
          <w:color w:val="auto"/>
          <w:sz w:val="24"/>
          <w:highlight w:val="none"/>
        </w:rPr>
        <w:t>采购代理机构</w:t>
      </w:r>
      <w:r>
        <w:rPr>
          <w:rFonts w:ascii="仿宋_GB2312" w:hAnsi="仿宋" w:eastAsia="仿宋_GB2312"/>
          <w:color w:val="auto"/>
          <w:sz w:val="24"/>
          <w:highlight w:val="none"/>
        </w:rPr>
        <w:t>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r>
        <w:rPr>
          <w:rFonts w:hint="eastAsia" w:ascii="仿宋_GB2312" w:hAnsi="仿宋" w:eastAsia="仿宋_GB2312" w:cs="仿宋_GB2312"/>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浙江省港航管理中心</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杭州市拱墅区湖墅北路86号</w:t>
      </w:r>
      <w:r>
        <w:rPr>
          <w:rFonts w:ascii="仿宋_GB2312" w:hAnsi="仿宋" w:eastAsia="仿宋_GB2312"/>
          <w:color w:val="auto"/>
          <w:sz w:val="24"/>
          <w:highlight w:val="none"/>
        </w:rPr>
        <w:t xml:space="preserve"> </w:t>
      </w:r>
    </w:p>
    <w:p>
      <w:pPr>
        <w:shd w:val="clea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hd w:val="clear"/>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项目联系人（询问）：</w:t>
      </w:r>
      <w:r>
        <w:rPr>
          <w:rFonts w:hint="eastAsia" w:ascii="仿宋_GB2312" w:hAnsi="仿宋" w:eastAsia="仿宋_GB2312"/>
          <w:color w:val="auto"/>
          <w:sz w:val="24"/>
          <w:highlight w:val="none"/>
          <w:lang w:val="en-US" w:eastAsia="zh-CN"/>
        </w:rPr>
        <w:t>刘先生</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项目联系方式（询问）：0571-88909318</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质疑联系人：曲先生</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质疑联系方式：0571-</w:t>
      </w:r>
      <w:r>
        <w:rPr>
          <w:rFonts w:hint="eastAsia" w:ascii="仿宋_GB2312" w:hAnsi="仿宋" w:eastAsia="仿宋_GB2312"/>
          <w:color w:val="auto"/>
          <w:sz w:val="24"/>
          <w:highlight w:val="none"/>
          <w:lang w:val="en-US" w:eastAsia="zh-CN"/>
        </w:rPr>
        <w:t>88909571</w:t>
      </w:r>
      <w:r>
        <w:rPr>
          <w:rFonts w:hint="eastAsia" w:ascii="仿宋_GB2312" w:hAnsi="仿宋" w:eastAsia="仿宋_GB2312"/>
          <w:color w:val="auto"/>
          <w:sz w:val="24"/>
          <w:highlight w:val="none"/>
        </w:rPr>
        <w:t xml:space="preserve">（请通过以下路径在线提起质疑：政采云-项目采购-询问质疑投诉-质疑列表） </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hd w:val="clea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称：浙江国际招投标有限公司</w:t>
      </w:r>
    </w:p>
    <w:p>
      <w:pPr>
        <w:shd w:val="clea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址：杭州市文三路90号东部软件园1号楼3楼</w:t>
      </w:r>
      <w:r>
        <w:rPr>
          <w:rFonts w:hint="eastAsia" w:ascii="仿宋" w:hAnsi="仿宋" w:eastAsia="仿宋"/>
          <w:color w:val="auto"/>
          <w:sz w:val="24"/>
          <w:highlight w:val="none"/>
        </w:rPr>
        <w:t xml:space="preserve"> </w:t>
      </w:r>
    </w:p>
    <w:p>
      <w:p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0571-81061828</w:t>
      </w:r>
      <w:r>
        <w:rPr>
          <w:rFonts w:ascii="仿宋_GB2312" w:hAnsi="仿宋" w:eastAsia="仿宋_GB2312"/>
          <w:color w:val="auto"/>
          <w:sz w:val="24"/>
          <w:highlight w:val="none"/>
        </w:rPr>
        <w:t xml:space="preserve">            </w:t>
      </w:r>
    </w:p>
    <w:p>
      <w:pPr>
        <w:shd w:val="clear"/>
        <w:spacing w:line="360" w:lineRule="auto"/>
        <w:rPr>
          <w:rFonts w:hint="eastAsia" w:ascii="仿宋_GB2312" w:hAnsi="仿宋" w:eastAsia="仿宋_GB2312"/>
          <w:color w:val="auto"/>
          <w:sz w:val="24"/>
          <w:highlight w:val="none"/>
          <w:lang w:val="en-US" w:eastAsia="zh-CN"/>
        </w:rPr>
      </w:pP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项目联系人（询问）：邵子野，</w:t>
      </w:r>
      <w:r>
        <w:rPr>
          <w:rFonts w:hint="eastAsia" w:ascii="仿宋_GB2312" w:hAnsi="仿宋" w:eastAsia="仿宋_GB2312"/>
          <w:color w:val="auto"/>
          <w:sz w:val="24"/>
          <w:highlight w:val="none"/>
          <w:lang w:val="en-US" w:eastAsia="zh-CN"/>
        </w:rPr>
        <w:t>陶云龙</w:t>
      </w:r>
    </w:p>
    <w:p>
      <w:pPr>
        <w:shd w:val="clear"/>
        <w:spacing w:line="360" w:lineRule="auto"/>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 xml:space="preserve">    项目联系方式（询问）：0571-81061830/8106183</w:t>
      </w:r>
      <w:r>
        <w:rPr>
          <w:rFonts w:hint="eastAsia" w:ascii="仿宋_GB2312" w:hAnsi="仿宋" w:eastAsia="仿宋_GB2312"/>
          <w:color w:val="auto"/>
          <w:sz w:val="24"/>
          <w:highlight w:val="none"/>
          <w:lang w:val="en-US" w:eastAsia="zh-CN"/>
        </w:rPr>
        <w:t>1</w:t>
      </w:r>
    </w:p>
    <w:p>
      <w:pPr>
        <w:shd w:val="clear"/>
        <w:spacing w:line="360" w:lineRule="auto"/>
        <w:rPr>
          <w:rFonts w:hint="eastAsia" w:ascii="仿宋_GB2312" w:hAnsi="仿宋" w:eastAsia="仿宋_GB2312"/>
          <w:color w:val="auto"/>
          <w:sz w:val="24"/>
          <w:highlight w:val="none"/>
          <w:lang w:eastAsia="zh-CN"/>
        </w:rPr>
      </w:pPr>
      <w:r>
        <w:rPr>
          <w:rFonts w:hint="eastAsia"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lang w:val="en-US" w:eastAsia="zh-CN"/>
        </w:rPr>
        <w:t>康勤勤</w:t>
      </w:r>
    </w:p>
    <w:p>
      <w:pPr>
        <w:shd w:val="clear"/>
        <w:spacing w:line="360" w:lineRule="auto"/>
        <w:rPr>
          <w:rFonts w:ascii="仿宋" w:hAnsi="仿宋" w:eastAsia="仿宋"/>
          <w:color w:val="auto"/>
          <w:sz w:val="24"/>
          <w:highlight w:val="none"/>
        </w:rPr>
      </w:pPr>
      <w:r>
        <w:rPr>
          <w:rFonts w:hint="eastAsia" w:ascii="仿宋_GB2312" w:hAnsi="仿宋" w:eastAsia="仿宋_GB2312"/>
          <w:color w:val="auto"/>
          <w:sz w:val="24"/>
          <w:highlight w:val="none"/>
        </w:rPr>
        <w:t xml:space="preserve">    质疑联系方式：0571-8106183</w:t>
      </w: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（请通过以下路径在线提起质疑：政采云-项目采购-询问质疑投诉-质疑列表）</w:t>
      </w:r>
      <w:r>
        <w:rPr>
          <w:rFonts w:hint="eastAsia" w:ascii="仿宋" w:hAnsi="仿宋" w:eastAsia="仿宋"/>
          <w:color w:val="auto"/>
          <w:sz w:val="24"/>
          <w:highlight w:val="none"/>
        </w:rPr>
        <w:t xml:space="preserve"> </w:t>
      </w:r>
    </w:p>
    <w:p>
      <w:pPr>
        <w:shd w:val="clear"/>
        <w:spacing w:line="360" w:lineRule="auto"/>
        <w:ind w:firstLine="480" w:firstLineChars="200"/>
        <w:rPr>
          <w:rFonts w:hint="eastAsia" w:ascii="仿宋_GB2312" w:hAnsi="仿宋" w:eastAsia="仿宋_GB2312"/>
          <w:color w:val="auto"/>
          <w:sz w:val="24"/>
          <w:highlight w:val="none"/>
        </w:rPr>
      </w:pPr>
      <w:r>
        <w:rPr>
          <w:rFonts w:ascii="仿宋_GB2312" w:hAnsi="仿宋" w:eastAsia="仿宋_GB2312"/>
          <w:color w:val="auto"/>
          <w:sz w:val="24"/>
          <w:highlight w:val="none"/>
        </w:rPr>
        <w:t>3.</w:t>
      </w:r>
      <w:r>
        <w:rPr>
          <w:rFonts w:hint="eastAsia" w:ascii="仿宋_GB2312" w:hAnsi="仿宋" w:eastAsia="仿宋_GB2312"/>
          <w:color w:val="auto"/>
          <w:sz w:val="24"/>
          <w:highlight w:val="none"/>
        </w:rPr>
        <w:t>该项目由采购人处理采购争议。质疑环节，采购人委托采购代理机构处理的，可由采购代理机构答复。对质疑答复不满意的，向采购人内部设置的采购监督机构反映。</w:t>
      </w:r>
    </w:p>
    <w:p>
      <w:pPr>
        <w:shd w:val="clea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政策咨询:何一平、冯华，0571-87058424、87055741</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预算金额未达100万元的采购项目，由采购人处理采购争议。</w:t>
      </w:r>
    </w:p>
    <w:p>
      <w:pPr>
        <w:shd w:val="clear"/>
        <w:spacing w:line="360" w:lineRule="auto"/>
        <w:ind w:firstLine="480" w:firstLineChars="200"/>
        <w:rPr>
          <w:rFonts w:ascii="仿宋_GB2312" w:hAnsi="仿宋" w:eastAsia="仿宋_GB2312"/>
          <w:color w:val="auto"/>
          <w:sz w:val="24"/>
          <w:highlight w:val="none"/>
        </w:rPr>
      </w:pP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hd w:val="clea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2"/>
        <w:shd w:val="clear"/>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shd w:val="clea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bookmarkStart w:id="12" w:name="_Toc11261"/>
      <w:r>
        <w:rPr>
          <w:rFonts w:hint="eastAsia" w:ascii="仿宋" w:hAnsi="仿宋" w:eastAsia="仿宋" w:cs="仿宋_GB2312"/>
          <w:b/>
          <w:color w:val="auto"/>
          <w:sz w:val="36"/>
          <w:szCs w:val="20"/>
          <w:highlight w:val="none"/>
        </w:rPr>
        <w:t>第二部分</w:t>
      </w:r>
      <w:bookmarkEnd w:id="9"/>
      <w:r>
        <w:rPr>
          <w:rFonts w:ascii="仿宋" w:hAnsi="仿宋" w:eastAsia="仿宋" w:cs="仿宋_GB2312"/>
          <w:b/>
          <w:color w:val="auto"/>
          <w:sz w:val="36"/>
          <w:szCs w:val="20"/>
          <w:highlight w:val="none"/>
        </w:rPr>
        <w:t xml:space="preserve"> 投标人须知</w:t>
      </w:r>
      <w:bookmarkEnd w:id="10"/>
      <w:bookmarkEnd w:id="12"/>
    </w:p>
    <w:p>
      <w:pPr>
        <w:shd w:val="clea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46"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b/>
                <w:bCs/>
                <w:color w:val="auto"/>
                <w:sz w:val="32"/>
                <w:szCs w:val="32"/>
                <w:highlight w:val="none"/>
              </w:rPr>
            </w:pP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钱塘江干线航道通航安全与应急保障能力评估暨无人机巡航应用研究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2842570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default"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本项目不允许采购进口产品。</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highlight w:val="none"/>
              </w:rPr>
            </w:pPr>
            <w:sdt>
              <w:sdtPr>
                <w:rPr>
                  <w:rFonts w:hint="eastAsia" w:ascii="仿宋" w:hAnsi="仿宋" w:eastAsia="仿宋" w:cs="仿宋"/>
                  <w:color w:val="auto"/>
                  <w:kern w:val="0"/>
                  <w:sz w:val="24"/>
                  <w:highlight w:val="none"/>
                </w:rPr>
                <w:id w:val="-5285282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可以就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firstLine="482" w:firstLineChars="200"/>
              <w:rPr>
                <w:rFonts w:hint="default"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276331357"/>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default"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文印 </w:t>
            </w:r>
            <w:r>
              <w:rPr>
                <w:rFonts w:hint="eastAsia" w:ascii="仿宋" w:hAnsi="仿宋" w:eastAsia="仿宋" w:cs="仿宋"/>
                <w:color w:val="auto"/>
                <w:sz w:val="24"/>
                <w:highlight w:val="none"/>
              </w:rPr>
              <w:t>工作分包。</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24930163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21296641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default"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szCs w:val="20"/>
                <w:highlight w:val="none"/>
              </w:rPr>
            </w:pPr>
            <w:sdt>
              <w:sdtPr>
                <w:rPr>
                  <w:rFonts w:hint="eastAsia" w:ascii="仿宋" w:hAnsi="仿宋" w:eastAsia="仿宋" w:cs="仿宋"/>
                  <w:color w:val="auto"/>
                  <w:kern w:val="0"/>
                  <w:sz w:val="24"/>
                  <w:highlight w:val="none"/>
                </w:rPr>
                <w:id w:val="-99980297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63994648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default"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shd w:val="clear" w:color="auto" w:fill="000000"/>
              </w:rPr>
            </w:pPr>
            <w:sdt>
              <w:sdtPr>
                <w:rPr>
                  <w:rFonts w:hint="eastAsia" w:ascii="仿宋" w:hAnsi="仿宋" w:eastAsia="仿宋" w:cs="仿宋"/>
                  <w:color w:val="auto"/>
                  <w:kern w:val="0"/>
                  <w:sz w:val="24"/>
                  <w:highlight w:val="none"/>
                </w:rPr>
                <w:id w:val="10268319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B要求提供：</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样品的评审方法以及评审标准</w:t>
            </w:r>
            <w:r>
              <w:rPr>
                <w:rFonts w:hint="eastAsia" w:ascii="仿宋" w:hAnsi="仿宋" w:eastAsia="仿宋" w:cs="仿宋"/>
                <w:snapToGrid w:val="0"/>
                <w:color w:val="auto"/>
                <w:kern w:val="28"/>
                <w:sz w:val="24"/>
                <w:highlight w:val="none"/>
              </w:rPr>
              <w:t>：</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4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样品分未超过价格分的50%；</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4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样品分超过价格分的50%，理由</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r>
              <w:rPr>
                <w:rFonts w:hint="eastAsia" w:ascii="仿宋" w:hAnsi="仿宋" w:eastAsia="仿宋" w:cs="仿宋"/>
                <w:snapToGrid w:val="0"/>
                <w:color w:val="auto"/>
                <w:kern w:val="28"/>
                <w:sz w:val="24"/>
                <w:highlight w:val="none"/>
              </w:rPr>
              <w:t>详见招标文件第四部分</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是否需要随样品提交检测报告：</w:t>
            </w:r>
            <w:sdt>
              <w:sdtPr>
                <w:rPr>
                  <w:rFonts w:hint="eastAsia" w:ascii="仿宋" w:hAnsi="仿宋" w:eastAsia="仿宋" w:cs="仿宋"/>
                  <w:color w:val="auto"/>
                  <w:kern w:val="0"/>
                  <w:sz w:val="24"/>
                  <w:highlight w:val="none"/>
                </w:rPr>
                <w:id w:val="130342145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否；</w:t>
            </w:r>
            <w:sdt>
              <w:sdtPr>
                <w:rPr>
                  <w:rFonts w:hint="eastAsia" w:ascii="仿宋" w:hAnsi="仿宋" w:eastAsia="仿宋" w:cs="仿宋"/>
                  <w:color w:val="auto"/>
                  <w:kern w:val="0"/>
                  <w:sz w:val="24"/>
                  <w:highlight w:val="none"/>
                </w:rPr>
                <w:id w:val="1621728433"/>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。请投标人在上述时间内提供样品并按规定位置安装完毕。超过截止时间的，采购人或采购代理机构将不予接收，并将清场并封闭样品现场。</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b/>
                <w:color w:val="auto"/>
                <w:sz w:val="24"/>
                <w:highlight w:val="none"/>
              </w:rPr>
            </w:pPr>
            <w:r>
              <w:rPr>
                <w:rFonts w:hint="eastAsia" w:ascii="仿宋" w:hAnsi="仿宋" w:eastAsia="仿宋" w:cs="仿宋"/>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keepNext w:val="0"/>
              <w:keepLines w:val="0"/>
              <w:numPr>
                <w:ilvl w:val="0"/>
                <w:numId w:val="1"/>
              </w:numPr>
              <w:suppressLineNumbers w:val="0"/>
              <w:shd w:val="clear"/>
              <w:snapToGrid w:val="0"/>
              <w:spacing w:before="0" w:beforeAutospacing="0" w:after="0" w:afterAutospacing="0" w:line="400" w:lineRule="exact"/>
              <w:ind w:right="0"/>
              <w:rPr>
                <w:rFonts w:hint="default" w:ascii="仿宋" w:hAnsi="仿宋" w:eastAsia="仿宋" w:cs="仿宋"/>
                <w:b/>
                <w:color w:val="auto"/>
                <w:sz w:val="24"/>
                <w:highlight w:val="none"/>
              </w:rPr>
            </w:pPr>
            <w:r>
              <w:rPr>
                <w:rFonts w:hint="eastAsia" w:ascii="仿宋" w:hAnsi="仿宋" w:eastAsia="仿宋" w:cs="仿宋"/>
                <w:color w:val="auto"/>
                <w:sz w:val="24"/>
                <w:highlight w:val="none"/>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sdt>
              <w:sdtPr>
                <w:rPr>
                  <w:rFonts w:hint="eastAsia" w:ascii="仿宋" w:hAnsi="仿宋" w:eastAsia="仿宋" w:cs="仿宋"/>
                  <w:color w:val="auto"/>
                  <w:kern w:val="0"/>
                  <w:sz w:val="24"/>
                  <w:highlight w:val="none"/>
                </w:rPr>
                <w:id w:val="-1859348549"/>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default"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17407171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B组织。</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（1）在评标时安排每个投标人进行方案讲解演示。每个投标人时间不超过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分钟，讲解次序以投标文件解密时间先后次序为准，讲解演示人员不超过</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人。讲解演示结束后按要求解答评标委员会提问。</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（2）方案讲解演示可选择以下其中一种方式：</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07509088"/>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highlight w:val="none"/>
                  </w:rPr>
                  <w:t>☐</w:t>
                </w:r>
              </w:sdtContent>
            </w:sdt>
            <w:r>
              <w:rPr>
                <w:rFonts w:hint="eastAsia" w:ascii="仿宋" w:hAnsi="仿宋" w:eastAsia="仿宋" w:cs="仿宋"/>
                <w:color w:val="auto"/>
                <w:kern w:val="0"/>
                <w:sz w:val="24"/>
                <w:highlight w:val="none"/>
              </w:rPr>
              <w:t>方式一：政采云平台在线讲解演示。政采云平台在线讲解需投标人根据政采云平台操作要求做好准备工作，提前完善软硬件配置环境。</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181798959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方式二：采购代理机构现场讲解演示。现场讲解地点为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，讲解演示所用电脑等设备由投标人自备。现场讲解演示人员进场时提供讲解人员名单（加盖公章或授权代表签名）及身份证明，否则不得讲解演示。</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0"/>
                <w:sz w:val="24"/>
                <w:highlight w:val="none"/>
              </w:rPr>
            </w:pPr>
            <w:sdt>
              <w:sdtPr>
                <w:rPr>
                  <w:rFonts w:hint="eastAsia" w:ascii="仿宋" w:hAnsi="仿宋" w:eastAsia="仿宋" w:cs="仿宋"/>
                  <w:color w:val="auto"/>
                  <w:kern w:val="0"/>
                  <w:sz w:val="24"/>
                  <w:highlight w:val="none"/>
                </w:rPr>
                <w:id w:val="-532349989"/>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p>
        </w:tc>
        <w:tc>
          <w:tcPr>
            <w:tcW w:w="1843" w:type="dxa"/>
            <w:vMerge w:val="continue"/>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l2br w:val="nil"/>
              <w:tr2bl w:val="nil"/>
            </w:tcBorders>
            <w:vAlign w:val="center"/>
          </w:tcPr>
          <w:p>
            <w:pPr>
              <w:keepNext w:val="0"/>
              <w:keepLines w:val="0"/>
              <w:suppressLineNumbers w:val="0"/>
              <w:shd w:val="clear"/>
              <w:tabs>
                <w:tab w:val="left" w:pos="3570"/>
              </w:tabs>
              <w:snapToGrid w:val="0"/>
              <w:spacing w:before="0" w:beforeAutospacing="0" w:after="0" w:afterAutospacing="0" w:line="400" w:lineRule="exact"/>
              <w:ind w:left="0" w:right="0"/>
              <w:jc w:val="left"/>
              <w:rPr>
                <w:rFonts w:hint="default" w:ascii="仿宋" w:hAnsi="仿宋" w:eastAsia="仿宋" w:cs="仿宋"/>
                <w:color w:val="auto"/>
                <w:kern w:val="0"/>
                <w:sz w:val="24"/>
                <w:highlight w:val="none"/>
                <w:lang w:val="zh-CN"/>
              </w:rPr>
            </w:pPr>
            <w:sdt>
              <w:sdtPr>
                <w:rPr>
                  <w:rFonts w:hint="eastAsia" w:ascii="宋体" w:hAnsi="宋体" w:cs="宋体"/>
                  <w:color w:val="auto"/>
                  <w:kern w:val="0"/>
                  <w:sz w:val="24"/>
                  <w:highlight w:val="none"/>
                </w:rPr>
                <w:id w:val="5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val="zh-CN"/>
              </w:rPr>
              <w:t>有：</w:t>
            </w:r>
          </w:p>
          <w:p>
            <w:pPr>
              <w:keepNext w:val="0"/>
              <w:keepLines w:val="0"/>
              <w:suppressLineNumbers w:val="0"/>
              <w:shd w:val="clear"/>
              <w:tabs>
                <w:tab w:val="left" w:pos="3570"/>
              </w:tabs>
              <w:snapToGrid w:val="0"/>
              <w:spacing w:before="0" w:beforeAutospacing="0" w:after="0" w:afterAutospacing="0" w:line="400" w:lineRule="exact"/>
              <w:ind w:left="0" w:right="0" w:firstLine="420" w:firstLineChars="175"/>
              <w:jc w:val="left"/>
              <w:rPr>
                <w:rFonts w:hint="default"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lang w:val="zh-CN"/>
                </w:rPr>
                <w:id w:val="462855534"/>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kern w:val="0"/>
                <w:sz w:val="24"/>
                <w:highlight w:val="none"/>
                <w:lang w:val="zh-CN"/>
              </w:rPr>
              <w:t>依据国家确定的认证机构出具的、处于有效期之内的节能产品认证证书，对获得证书的产品实施政府优先采购或强制采购；其中，对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产品名称XXX</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实施政府优先采购，详见评分标准；</w:t>
            </w:r>
          </w:p>
          <w:p>
            <w:pPr>
              <w:keepNext w:val="0"/>
              <w:keepLines w:val="0"/>
              <w:suppressLineNumbers w:val="0"/>
              <w:shd w:val="clear"/>
              <w:tabs>
                <w:tab w:val="left" w:pos="3570"/>
              </w:tabs>
              <w:snapToGrid w:val="0"/>
              <w:spacing w:before="0" w:beforeAutospacing="0" w:after="0" w:afterAutospacing="0" w:line="400" w:lineRule="exact"/>
              <w:ind w:left="0" w:right="0" w:firstLine="420" w:firstLineChars="175"/>
              <w:jc w:val="left"/>
              <w:rPr>
                <w:rFonts w:hint="default"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▲对</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zh-CN"/>
              </w:rPr>
              <w:t>产品名称XXX</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lang w:val="zh-CN"/>
              </w:rPr>
              <w:t>实施政府强制采购，投标人就相应的投标产品未提供国家确定的认证机构出具的、处于有效期之内的节能产品认证证书的，投标无效。</w:t>
            </w:r>
          </w:p>
          <w:p>
            <w:pPr>
              <w:keepNext w:val="0"/>
              <w:keepLines w:val="0"/>
              <w:suppressLineNumbers w:val="0"/>
              <w:shd w:val="clear"/>
              <w:tabs>
                <w:tab w:val="left" w:pos="3570"/>
              </w:tabs>
              <w:snapToGrid w:val="0"/>
              <w:spacing w:before="0" w:beforeAutospacing="0" w:after="0" w:afterAutospacing="0" w:line="400" w:lineRule="exact"/>
              <w:ind w:left="0" w:right="0" w:firstLine="420" w:firstLineChars="175"/>
              <w:jc w:val="left"/>
              <w:rPr>
                <w:rFonts w:hint="default"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☐依据国家确定的认证机构出具的、处于有效期之内的环境标志产品认证证书，对获得证书的产品名称XXX实施政府优先采购，详见评分标准。</w:t>
            </w:r>
          </w:p>
          <w:p>
            <w:pPr>
              <w:keepNext w:val="0"/>
              <w:keepLines w:val="0"/>
              <w:suppressLineNumbers w:val="0"/>
              <w:shd w:val="clear"/>
              <w:tabs>
                <w:tab w:val="left" w:pos="3570"/>
              </w:tabs>
              <w:snapToGrid w:val="0"/>
              <w:spacing w:before="0" w:beforeAutospacing="0" w:after="0" w:afterAutospacing="0" w:line="400" w:lineRule="exact"/>
              <w:ind w:left="0" w:right="0"/>
              <w:jc w:val="left"/>
              <w:rPr>
                <w:rFonts w:hint="default"/>
                <w:color w:val="auto"/>
                <w:highlight w:val="none"/>
              </w:rPr>
            </w:pPr>
            <w:sdt>
              <w:sdtPr>
                <w:rPr>
                  <w:rFonts w:hint="eastAsia" w:ascii="仿宋" w:hAnsi="仿宋" w:eastAsia="仿宋" w:cs="仿宋"/>
                  <w:color w:val="auto"/>
                  <w:kern w:val="0"/>
                  <w:sz w:val="24"/>
                  <w:highlight w:val="none"/>
                  <w:lang w:val="zh-CN"/>
                </w:rPr>
                <w:id w:val="167013795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lang w:val="zh-CN"/>
                </w:rPr>
              </w:sdtEndPr>
              <w:sdtContent>
                <w:r>
                  <w:rPr>
                    <w:rFonts w:hint="default" w:ascii="Wingdings" w:hAnsi="Wingdings" w:eastAsia="仿宋" w:cs="仿宋"/>
                    <w:color w:val="auto"/>
                    <w:kern w:val="0"/>
                    <w:sz w:val="24"/>
                    <w:highlight w:val="none"/>
                  </w:rPr>
                  <w:t></w:t>
                </w:r>
              </w:sdtContent>
            </w:sdt>
            <w:r>
              <w:rPr>
                <w:rFonts w:hint="eastAsia" w:ascii="仿宋" w:hAnsi="仿宋" w:eastAsia="仿宋" w:cs="仿宋"/>
                <w:color w:val="auto"/>
                <w:kern w:val="0"/>
                <w:sz w:val="24"/>
                <w:highlight w:val="none"/>
                <w:lang w:val="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l2br w:val="nil"/>
              <w:tr2bl w:val="nil"/>
            </w:tcBorders>
            <w:vAlign w:val="center"/>
          </w:tcPr>
          <w:p>
            <w:pPr>
              <w:keepNext w:val="0"/>
              <w:keepLines w:val="0"/>
              <w:suppressLineNumbers w:val="0"/>
              <w:shd w:val="clear"/>
              <w:tabs>
                <w:tab w:val="left" w:pos="3570"/>
              </w:tabs>
              <w:snapToGrid w:val="0"/>
              <w:spacing w:before="0" w:beforeAutospacing="0" w:after="0" w:afterAutospacing="0" w:line="400" w:lineRule="exact"/>
              <w:ind w:left="0" w:right="0"/>
              <w:jc w:val="left"/>
              <w:rPr>
                <w:rFonts w:hint="default"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highlight w:val="none"/>
                <w:lang w:val="zh-CN"/>
              </w:rPr>
              <w:t>提醒：验收时检测费用由采购人承担，不包含在投标总价中。</w:t>
            </w:r>
          </w:p>
          <w:p>
            <w:pPr>
              <w:keepNext w:val="0"/>
              <w:keepLines w:val="0"/>
              <w:suppressLineNumbers w:val="0"/>
              <w:shd w:val="clear"/>
              <w:snapToGrid w:val="0"/>
              <w:spacing w:before="0" w:beforeAutospacing="0" w:after="0" w:afterAutospacing="0" w:line="400" w:lineRule="exact"/>
              <w:ind w:left="0" w:right="0"/>
              <w:jc w:val="left"/>
              <w:rPr>
                <w:rFonts w:hint="default"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投标报价出现下列情形的，投标无效：</w:t>
            </w:r>
          </w:p>
          <w:p>
            <w:pPr>
              <w:keepNext w:val="0"/>
              <w:keepLines w:val="0"/>
              <w:numPr>
                <w:ilvl w:val="0"/>
                <w:numId w:val="2"/>
              </w:numPr>
              <w:suppressLineNumbers w:val="0"/>
              <w:shd w:val="clear"/>
              <w:snapToGrid w:val="0"/>
              <w:spacing w:before="0" w:beforeAutospacing="0" w:after="0" w:afterAutospacing="0" w:line="400" w:lineRule="exact"/>
              <w:ind w:right="0"/>
              <w:jc w:val="left"/>
              <w:rPr>
                <w:rFonts w:hint="default"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投标文件出现不是唯一的、有选择性投标报价的；</w:t>
            </w:r>
          </w:p>
          <w:p>
            <w:pPr>
              <w:keepNext w:val="0"/>
              <w:keepLines w:val="0"/>
              <w:numPr>
                <w:ilvl w:val="0"/>
                <w:numId w:val="2"/>
              </w:numPr>
              <w:suppressLineNumbers w:val="0"/>
              <w:shd w:val="clear"/>
              <w:snapToGrid w:val="0"/>
              <w:spacing w:before="0" w:beforeAutospacing="0" w:after="0" w:afterAutospacing="0" w:line="400" w:lineRule="exact"/>
              <w:ind w:right="0"/>
              <w:jc w:val="left"/>
              <w:rPr>
                <w:rFonts w:hint="default"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投标报价超过招标文件中规定的预算金额或者最高限价的;</w:t>
            </w:r>
          </w:p>
          <w:p>
            <w:pPr>
              <w:keepNext w:val="0"/>
              <w:keepLines w:val="0"/>
              <w:numPr>
                <w:ilvl w:val="0"/>
                <w:numId w:val="2"/>
              </w:numPr>
              <w:suppressLineNumbers w:val="0"/>
              <w:shd w:val="clear"/>
              <w:snapToGrid w:val="0"/>
              <w:spacing w:before="0" w:beforeAutospacing="0" w:after="0" w:afterAutospacing="0" w:line="400" w:lineRule="exact"/>
              <w:ind w:right="0"/>
              <w:rPr>
                <w:rFonts w:hint="default" w:ascii="仿宋" w:hAnsi="仿宋" w:eastAsia="仿宋" w:cs="仿宋"/>
                <w:b/>
                <w:color w:val="auto"/>
                <w:sz w:val="24"/>
                <w:highlight w:val="none"/>
              </w:rPr>
            </w:pPr>
            <w:r>
              <w:rPr>
                <w:rFonts w:hint="eastAsia" w:ascii="仿宋" w:hAnsi="仿宋" w:eastAsia="仿宋" w:cs="仿宋"/>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highlight w:val="none"/>
              </w:rPr>
              <w:t>;</w:t>
            </w:r>
          </w:p>
          <w:p>
            <w:pPr>
              <w:keepNext w:val="0"/>
              <w:keepLines w:val="0"/>
              <w:numPr>
                <w:ilvl w:val="0"/>
                <w:numId w:val="2"/>
              </w:numPr>
              <w:suppressLineNumbers w:val="0"/>
              <w:shd w:val="clear"/>
              <w:snapToGrid w:val="0"/>
              <w:spacing w:before="0" w:beforeAutospacing="0" w:after="0" w:afterAutospacing="0" w:line="400" w:lineRule="exact"/>
              <w:ind w:right="0"/>
              <w:rPr>
                <w:rFonts w:hint="default" w:ascii="仿宋" w:hAnsi="仿宋" w:eastAsia="仿宋" w:cs="仿宋"/>
                <w:color w:val="auto"/>
                <w:sz w:val="24"/>
                <w:highlight w:val="none"/>
              </w:rPr>
            </w:pPr>
            <w:r>
              <w:rPr>
                <w:rFonts w:hint="eastAsia" w:ascii="仿宋" w:hAnsi="仿宋" w:eastAsia="仿宋" w:cs="仿宋"/>
                <w:b/>
                <w:color w:val="auto"/>
                <w:kern w:val="0"/>
                <w:sz w:val="24"/>
                <w:highlight w:val="none"/>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firstLine="240" w:firstLineChars="100"/>
              <w:rPr>
                <w:rFonts w:hint="default" w:ascii="仿宋" w:hAnsi="仿宋" w:eastAsia="仿宋" w:cs="仿宋"/>
                <w:b/>
                <w:color w:val="auto"/>
                <w:kern w:val="0"/>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l2br w:val="nil"/>
              <w:tr2bl w:val="nil"/>
            </w:tcBorders>
            <w:vAlign w:val="center"/>
          </w:tcPr>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杭州市文三路90号东部软件园1号楼3楼325室    </w:t>
            </w:r>
            <w:r>
              <w:rPr>
                <w:rFonts w:hint="eastAsia" w:ascii="仿宋" w:hAnsi="仿宋" w:eastAsia="仿宋" w:cs="仿宋"/>
                <w:color w:val="auto"/>
                <w:kern w:val="28"/>
                <w:sz w:val="24"/>
                <w:szCs w:val="24"/>
                <w:highlight w:val="none"/>
              </w:rPr>
              <w:t>；</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备份投标文件签收联系人：</w:t>
            </w:r>
            <w:r>
              <w:rPr>
                <w:rFonts w:hint="eastAsia" w:ascii="仿宋" w:hAnsi="仿宋" w:eastAsia="仿宋" w:cs="仿宋"/>
                <w:color w:val="auto"/>
                <w:kern w:val="28"/>
                <w:sz w:val="24"/>
                <w:szCs w:val="24"/>
                <w:highlight w:val="none"/>
                <w:u w:val="single"/>
              </w:rPr>
              <w:t xml:space="preserve"> </w:t>
            </w:r>
            <w:r>
              <w:rPr>
                <w:rFonts w:hint="eastAsia" w:ascii="仿宋_GB2312" w:hAnsi="仿宋" w:eastAsia="仿宋_GB2312" w:cs="Times New Roman"/>
                <w:color w:val="auto"/>
                <w:kern w:val="28"/>
                <w:sz w:val="24"/>
                <w:szCs w:val="24"/>
                <w:highlight w:val="none"/>
                <w:u w:val="single"/>
              </w:rPr>
              <w:t xml:space="preserve"> 邵子野 </w:t>
            </w:r>
            <w:r>
              <w:rPr>
                <w:rFonts w:hint="eastAsia" w:ascii="仿宋_GB2312" w:hAnsi="仿宋" w:eastAsia="仿宋_GB2312" w:cs="Times New Roman"/>
                <w:color w:val="auto"/>
                <w:kern w:val="28"/>
                <w:sz w:val="24"/>
                <w:szCs w:val="24"/>
                <w:highlight w:val="none"/>
              </w:rPr>
              <w:t>；联系电话：</w:t>
            </w:r>
            <w:r>
              <w:rPr>
                <w:rFonts w:hint="eastAsia" w:ascii="仿宋_GB2312" w:hAnsi="仿宋" w:eastAsia="仿宋_GB2312"/>
                <w:color w:val="auto"/>
                <w:sz w:val="24"/>
                <w:highlight w:val="none"/>
                <w:u w:val="single"/>
              </w:rPr>
              <w:t xml:space="preserve"> 18957164355 </w:t>
            </w:r>
            <w:r>
              <w:rPr>
                <w:rFonts w:hint="eastAsia" w:ascii="仿宋" w:hAnsi="仿宋" w:eastAsia="仿宋" w:cs="仿宋"/>
                <w:color w:val="auto"/>
                <w:sz w:val="24"/>
                <w:szCs w:val="24"/>
                <w:highlight w:val="none"/>
              </w:rPr>
              <w:t>。</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tc>
        <w:tc>
          <w:tcPr>
            <w:tcW w:w="6095" w:type="dxa"/>
            <w:tcBorders>
              <w:tl2br w:val="nil"/>
              <w:tr2bl w:val="nil"/>
            </w:tcBorders>
            <w:vAlign w:val="center"/>
          </w:tcPr>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本项目的采购代理服务费由中标人支付。</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计费标准：中标（成交）金额</w:t>
            </w:r>
            <w:r>
              <w:rPr>
                <w:rFonts w:hint="eastAsia" w:ascii="仿宋" w:hAnsi="仿宋" w:eastAsia="仿宋" w:cs="仿宋"/>
                <w:color w:val="auto"/>
                <w:kern w:val="28"/>
                <w:sz w:val="24"/>
                <w:szCs w:val="24"/>
                <w:highlight w:val="none"/>
                <w:lang w:eastAsia="zh-CN"/>
              </w:rPr>
              <w:t>的</w:t>
            </w:r>
            <w:r>
              <w:rPr>
                <w:rFonts w:hint="eastAsia" w:ascii="仿宋" w:hAnsi="仿宋" w:eastAsia="仿宋" w:cs="仿宋"/>
                <w:color w:val="auto"/>
                <w:kern w:val="28"/>
                <w:sz w:val="24"/>
                <w:szCs w:val="24"/>
                <w:highlight w:val="none"/>
                <w:lang w:val="en-US" w:eastAsia="zh-CN"/>
              </w:rPr>
              <w:t>1.2%</w:t>
            </w:r>
            <w:r>
              <w:rPr>
                <w:rFonts w:hint="eastAsia" w:ascii="仿宋" w:hAnsi="仿宋" w:eastAsia="仿宋" w:cs="仿宋"/>
                <w:color w:val="auto"/>
                <w:kern w:val="28"/>
                <w:sz w:val="24"/>
                <w:szCs w:val="24"/>
                <w:highlight w:val="none"/>
              </w:rPr>
              <w:t>，结算方式及时间为：</w:t>
            </w:r>
            <w:r>
              <w:rPr>
                <w:rFonts w:hint="eastAsia" w:ascii="仿宋" w:hAnsi="仿宋" w:eastAsia="仿宋" w:cs="仿宋"/>
                <w:color w:val="auto"/>
                <w:kern w:val="0"/>
                <w:sz w:val="24"/>
                <w:szCs w:val="24"/>
                <w:highlight w:val="none"/>
              </w:rPr>
              <w:t>在领取中标通知书时由中标人一次性向采购代理机构付清。</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付款账号：</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 xml:space="preserve">账户名称：浙江国际招投标有限公司 </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开户银行：工商银行杭州武林支行</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highlight w:val="none"/>
              </w:rPr>
            </w:pPr>
            <w:r>
              <w:rPr>
                <w:rFonts w:hint="eastAsia" w:ascii="仿宋" w:hAnsi="仿宋" w:eastAsia="仿宋" w:cs="仿宋"/>
                <w:color w:val="auto"/>
                <w:kern w:val="28"/>
                <w:sz w:val="24"/>
                <w:szCs w:val="24"/>
                <w:highlight w:val="none"/>
              </w:rPr>
              <w:t>账号：1202021209906782015</w:t>
            </w:r>
            <w:r>
              <w:rPr>
                <w:rFonts w:hint="eastAsia" w:ascii="仿宋" w:hAnsi="仿宋" w:eastAsia="仿宋" w:cs="仿宋"/>
                <w:color w:val="auto"/>
                <w:kern w:val="28"/>
                <w:sz w:val="24"/>
                <w:szCs w:val="24"/>
                <w:highlight w:val="none"/>
              </w:rPr>
              <w:br w:type="textWrapping"/>
            </w:r>
            <w:r>
              <w:rPr>
                <w:rFonts w:hint="eastAsia" w:ascii="仿宋" w:hAnsi="仿宋" w:eastAsia="仿宋" w:cs="仿宋"/>
                <w:color w:val="auto"/>
                <w:kern w:val="28"/>
                <w:sz w:val="24"/>
                <w:szCs w:val="24"/>
                <w:highlight w:val="none"/>
              </w:rPr>
              <w:t>说明：中标、成交供应商放弃中标、成交资格导致重新采购的，应当承担支付代理费和专家评审费等费用在内的赔偿责任。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联合体投标说明</w:t>
            </w:r>
          </w:p>
        </w:tc>
        <w:tc>
          <w:tcPr>
            <w:tcW w:w="6095" w:type="dxa"/>
            <w:tcBorders>
              <w:tl2br w:val="nil"/>
              <w:tr2bl w:val="nil"/>
            </w:tcBorders>
            <w:vAlign w:val="center"/>
          </w:tcPr>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52"/>
            </w:r>
            <w:r>
              <w:rPr>
                <w:rFonts w:hint="eastAsia" w:ascii="仿宋" w:hAnsi="仿宋" w:eastAsia="仿宋" w:cs="仿宋"/>
                <w:color w:val="auto"/>
                <w:kern w:val="28"/>
                <w:sz w:val="24"/>
                <w:szCs w:val="24"/>
                <w:highlight w:val="none"/>
              </w:rPr>
              <w:t>联合体投标的，由联合体牵头方出具相应的业绩证明材料。</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continue"/>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p>
        </w:tc>
        <w:tc>
          <w:tcPr>
            <w:tcW w:w="1843" w:type="dxa"/>
            <w:vMerge w:val="continue"/>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p>
        </w:tc>
        <w:tc>
          <w:tcPr>
            <w:tcW w:w="6095" w:type="dxa"/>
            <w:tcBorders>
              <w:tl2br w:val="nil"/>
              <w:tr2bl w:val="nil"/>
            </w:tcBorders>
            <w:vAlign w:val="center"/>
          </w:tcPr>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52"/>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32"/>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2" w:char="00A3"/>
            </w: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rPr>
        <w:tc>
          <w:tcPr>
            <w:tcW w:w="629"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color w:val="auto"/>
                <w:sz w:val="24"/>
                <w:highlight w:val="none"/>
              </w:rPr>
            </w:pPr>
            <w:r>
              <w:rPr>
                <w:rFonts w:hint="eastAsia" w:ascii="仿宋" w:hAnsi="仿宋" w:eastAsia="仿宋" w:cs="仿宋"/>
                <w:color w:val="auto"/>
                <w:sz w:val="24"/>
                <w:highlight w:val="none"/>
              </w:rPr>
              <w:t>15</w:t>
            </w:r>
          </w:p>
        </w:tc>
        <w:tc>
          <w:tcPr>
            <w:tcW w:w="1843"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5" w:type="dxa"/>
            <w:tcBorders>
              <w:tl2br w:val="nil"/>
              <w:tr2bl w:val="nil"/>
            </w:tcBorders>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
                <w:snapToGrid w:val="0"/>
                <w:color w:val="auto"/>
                <w:kern w:val="28"/>
                <w:sz w:val="24"/>
                <w:highlight w:val="none"/>
                <w:u w:val="single"/>
              </w:rPr>
            </w:pPr>
            <w:r>
              <w:rPr>
                <w:rFonts w:hint="eastAsia" w:ascii="仿宋" w:hAnsi="仿宋" w:eastAsia="仿宋" w:cs="仿宋"/>
                <w:snapToGrid w:val="0"/>
                <w:color w:val="auto"/>
                <w:kern w:val="28"/>
                <w:sz w:val="24"/>
                <w:highlight w:val="none"/>
              </w:rPr>
              <w:t>□有，</w:t>
            </w:r>
            <w:r>
              <w:rPr>
                <w:rFonts w:hint="eastAsia" w:ascii="仿宋" w:hAnsi="仿宋" w:eastAsia="仿宋" w:cs="仿宋"/>
                <w:snapToGrid w:val="0"/>
                <w:color w:val="auto"/>
                <w:kern w:val="28"/>
                <w:sz w:val="24"/>
                <w:highlight w:val="none"/>
                <w:u w:val="single"/>
              </w:rPr>
              <w:t xml:space="preserve">                    </w:t>
            </w:r>
          </w:p>
          <w:p>
            <w:pPr>
              <w:pStyle w:val="23"/>
              <w:keepNext w:val="0"/>
              <w:keepLines w:val="0"/>
              <w:suppressLineNumbers w:val="0"/>
              <w:shd w:val="clear"/>
              <w:autoSpaceDE/>
              <w:autoSpaceDN/>
              <w:snapToGrid w:val="0"/>
              <w:spacing w:before="0" w:beforeAutospacing="0" w:after="0" w:afterAutospacing="0" w:line="400" w:lineRule="exact"/>
              <w:ind w:left="0" w:right="0"/>
              <w:rPr>
                <w:rFonts w:hint="default" w:ascii="仿宋" w:hAnsi="仿宋" w:eastAsia="仿宋" w:cs="仿宋"/>
                <w:color w:val="auto"/>
                <w:highlight w:val="none"/>
              </w:rPr>
            </w:pPr>
            <w:r>
              <w:rPr>
                <w:rFonts w:hint="eastAsia" w:ascii="仿宋" w:hAnsi="仿宋" w:eastAsia="仿宋" w:cs="仿宋"/>
                <w:color w:val="auto"/>
                <w:kern w:val="28"/>
                <w:highlight w:val="none"/>
              </w:rPr>
              <w:t>☑无</w:t>
            </w:r>
            <w:r>
              <w:rPr>
                <w:rFonts w:hint="eastAsia" w:ascii="仿宋" w:hAnsi="仿宋" w:eastAsia="仿宋" w:cs="仿宋"/>
                <w:b/>
                <w:color w:val="auto"/>
                <w:kern w:val="0"/>
                <w:highlight w:val="none"/>
              </w:rPr>
              <w:t>。</w:t>
            </w:r>
          </w:p>
        </w:tc>
      </w:tr>
      <w:bookmarkEnd w:id="11"/>
    </w:tbl>
    <w:p>
      <w:pPr>
        <w:shd w:val="clear"/>
        <w:rPr>
          <w:rFonts w:ascii="仿宋_GB2312" w:hAnsi="仿宋" w:eastAsia="仿宋_GB2312" w:cs="仿宋_GB2312"/>
          <w:b/>
          <w:color w:val="auto"/>
          <w:sz w:val="32"/>
          <w:szCs w:val="20"/>
          <w:highlight w:val="none"/>
        </w:rPr>
      </w:pPr>
      <w:bookmarkStart w:id="13" w:name="第三部分"/>
      <w:bookmarkStart w:id="14" w:name="_Toc164416483"/>
      <w:r>
        <w:rPr>
          <w:rFonts w:hint="eastAsia" w:ascii="仿宋_GB2312" w:hAnsi="仿宋" w:eastAsia="仿宋_GB2312" w:cs="仿宋_GB2312"/>
          <w:b/>
          <w:color w:val="auto"/>
          <w:sz w:val="32"/>
          <w:szCs w:val="20"/>
          <w:highlight w:val="none"/>
        </w:rPr>
        <w:br w:type="page"/>
      </w:r>
    </w:p>
    <w:p>
      <w:pPr>
        <w:shd w:val="clea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一、总则</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shd w:val="clea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shd w:val="clear"/>
        <w:rPr>
          <w:color w:val="auto"/>
          <w:highlight w:val="none"/>
        </w:rPr>
      </w:pP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“采购代理机构”系指招标公告中载明的本项目的采购代理机构。</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3"/>
        </w:num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3"/>
        </w:num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3"/>
        </w:numPr>
        <w:shd w:val="clear"/>
        <w:spacing w:line="360" w:lineRule="auto"/>
        <w:rPr>
          <w:rFonts w:ascii="仿宋_GB2312" w:hAnsi="仿宋" w:eastAsia="仿宋_GB2312"/>
          <w:b/>
          <w:bCs/>
          <w:i/>
          <w:iCs/>
          <w:color w:val="auto"/>
          <w:sz w:val="24"/>
          <w:highlight w:val="none"/>
        </w:rPr>
      </w:pPr>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系指实质性要求条款，“</w:t>
      </w:r>
      <w:sdt>
        <w:sdtPr>
          <w:rPr>
            <w:rFonts w:hint="eastAsia" w:ascii="仿宋_GB2312" w:hAnsi="仿宋" w:eastAsia="仿宋_GB2312" w:cs="Arial"/>
            <w:b/>
            <w:bCs/>
            <w:color w:val="auto"/>
            <w:kern w:val="0"/>
            <w:sz w:val="24"/>
            <w:highlight w:val="none"/>
          </w:rPr>
          <w:id w:val="512970236"/>
          <w14:checkbox>
            <w14:checked w14:val="1"/>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Wingdings" w:hAnsi="Wingdings" w:eastAsia="仿宋_GB2312"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系指适用本项目的要求，“</w:t>
      </w:r>
      <w:sdt>
        <w:sdtPr>
          <w:rPr>
            <w:rFonts w:hint="eastAsia" w:ascii="仿宋_GB2312" w:hAnsi="仿宋" w:eastAsia="仿宋_GB2312" w:cs="Arial"/>
            <w:b/>
            <w:bCs/>
            <w:color w:val="auto"/>
            <w:kern w:val="0"/>
            <w:sz w:val="24"/>
            <w:highlight w:val="none"/>
          </w:rPr>
          <w:id w:val="404888855"/>
          <w14:checkbox>
            <w14:checked w14:val="0"/>
            <w14:checkedState w14:val="00FE" w14:font="Wingdings"/>
            <w14:uncheckedState w14:val="2610" w14:font="MS Gothic"/>
          </w14:checkbox>
        </w:sdtPr>
        <w:sdtEndPr>
          <w:rPr>
            <w:rFonts w:hint="eastAsia" w:ascii="仿宋_GB2312" w:hAnsi="仿宋" w:eastAsia="仿宋_GB2312" w:cs="Arial"/>
            <w:b/>
            <w:bCs/>
            <w:color w:val="auto"/>
            <w:kern w:val="0"/>
            <w:sz w:val="24"/>
            <w:highlight w:val="none"/>
          </w:rPr>
        </w:sdtEndPr>
        <w:sdtContent>
          <w:r>
            <w:rPr>
              <w:rFonts w:ascii="MS Gothic" w:hAnsi="MS Gothic" w:eastAsia="MS Gothic" w:cs="Arial"/>
              <w:b/>
              <w:bCs/>
              <w:color w:val="auto"/>
              <w:kern w:val="0"/>
              <w:sz w:val="24"/>
              <w:highlight w:val="none"/>
            </w:rPr>
            <w:t>☐</w:t>
          </w:r>
        </w:sdtContent>
      </w:sdt>
      <w:r>
        <w:rPr>
          <w:rFonts w:hint="eastAsia" w:ascii="仿宋_GB2312" w:hAnsi="仿宋" w:eastAsia="仿宋_GB2312"/>
          <w:b/>
          <w:bCs/>
          <w:color w:val="auto"/>
          <w:sz w:val="24"/>
          <w:highlight w:val="none"/>
        </w:rPr>
        <w:t>”</w:t>
      </w:r>
      <w:r>
        <w:rPr>
          <w:rFonts w:ascii="仿宋_GB2312" w:hAnsi="仿宋" w:eastAsia="仿宋_GB2312"/>
          <w:b/>
          <w:bCs/>
          <w:color w:val="auto"/>
          <w:sz w:val="24"/>
          <w:highlight w:val="none"/>
        </w:rPr>
        <w:t xml:space="preserve"> </w:t>
      </w:r>
      <w:r>
        <w:rPr>
          <w:rFonts w:hint="eastAsia" w:ascii="仿宋_GB2312" w:hAnsi="仿宋" w:eastAsia="仿宋_GB2312"/>
          <w:b/>
          <w:bCs/>
          <w:color w:val="auto"/>
          <w:sz w:val="24"/>
          <w:highlight w:val="none"/>
        </w:rPr>
        <w:t>系指不适用本项目的要求。</w:t>
      </w:r>
    </w:p>
    <w:p>
      <w:pPr>
        <w:shd w:val="clear"/>
        <w:spacing w:line="360" w:lineRule="auto"/>
        <w:ind w:firstLine="241" w:firstLineChars="100"/>
        <w:rPr>
          <w:rFonts w:ascii="仿宋_GB2312" w:hAnsi="仿宋" w:eastAsia="仿宋_GB2312"/>
          <w:b/>
          <w:color w:val="auto"/>
          <w:sz w:val="24"/>
          <w:highlight w:val="none"/>
        </w:rPr>
      </w:pP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hd w:val="clea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3"/>
        </w:num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hd w:val="clear"/>
        <w:spacing w:line="360" w:lineRule="auto"/>
        <w:ind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hd w:val="clear"/>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color w:val="auto"/>
          <w:sz w:val="24"/>
          <w:highlight w:val="none"/>
        </w:rPr>
        <w:t>10%-20%（招标文件第四部分评标办分法明确具体的扣除比例，未明确的，给予20%的扣除）</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rPr>
        <w:t>4%-6%（招标文件第四部分评标办分法明确具体的扣除比例，未明确的，给予6%的扣除）</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pPr>
        <w:numPr>
          <w:ilvl w:val="2"/>
          <w:numId w:val="3"/>
        </w:numPr>
        <w:shd w:val="clea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pPr>
        <w:numPr>
          <w:ilvl w:val="2"/>
          <w:numId w:val="3"/>
        </w:numPr>
        <w:shd w:val="clea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r>
        <w:rPr>
          <w:rFonts w:hint="eastAsia" w:ascii="仿宋" w:hAnsi="仿宋" w:eastAsia="仿宋" w:cs="仿宋"/>
          <w:b/>
          <w:color w:val="auto"/>
          <w:sz w:val="24"/>
          <w:highlight w:val="none"/>
        </w:rPr>
        <w:t>、补偿救济</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在线询问、质疑、投诉、补偿救济。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供应商询问</w:t>
      </w:r>
    </w:p>
    <w:p>
      <w:pPr>
        <w:shd w:val="clea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供应商质疑</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提出质疑的供应商应当是参与所质疑项目采购活动的供应商。潜在供应商已依法获取其可质疑的招标文件的，可以对该文件提出质疑。</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shd w:val="clea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对招标文件提出质疑的，质疑期限为供应商获得招标文件之日或者招标文件公告期限届满之日起计算。</w:t>
      </w:r>
    </w:p>
    <w:p>
      <w:pPr>
        <w:numPr>
          <w:ilvl w:val="3"/>
          <w:numId w:val="3"/>
        </w:numPr>
        <w:shd w:val="clea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对采购过程提出质疑的，质疑期限为各采购程序环节结束之日起计算。</w:t>
      </w:r>
    </w:p>
    <w:p>
      <w:pPr>
        <w:numPr>
          <w:ilvl w:val="3"/>
          <w:numId w:val="3"/>
        </w:numPr>
        <w:shd w:val="clear"/>
        <w:tabs>
          <w:tab w:val="left" w:pos="210"/>
          <w:tab w:val="left" w:pos="1050"/>
        </w:tabs>
        <w:snapToGrid w:val="0"/>
        <w:spacing w:line="360" w:lineRule="auto"/>
        <w:ind w:left="1050" w:hanging="105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对采购结果提出质疑的，质疑期限自采购结果公告期限届满之日起计算。</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供应商提出质疑应当提交质疑函和必要的证明材料。质疑函应当包括下列内容：</w:t>
      </w:r>
    </w:p>
    <w:p>
      <w:pPr>
        <w:numPr>
          <w:ilvl w:val="3"/>
          <w:numId w:val="3"/>
        </w:numPr>
        <w:shd w:val="clea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供应商的姓名或者名称、地址、邮编、联系人及联系电话；</w:t>
      </w:r>
    </w:p>
    <w:p>
      <w:pPr>
        <w:numPr>
          <w:ilvl w:val="3"/>
          <w:numId w:val="3"/>
        </w:numPr>
        <w:shd w:val="clea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质疑项目的名称、编号；</w:t>
      </w:r>
    </w:p>
    <w:p>
      <w:pPr>
        <w:numPr>
          <w:ilvl w:val="3"/>
          <w:numId w:val="3"/>
        </w:numPr>
        <w:shd w:val="clea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具体、明确的质疑事项和与质疑事项相关的请求；</w:t>
      </w:r>
    </w:p>
    <w:p>
      <w:pPr>
        <w:numPr>
          <w:ilvl w:val="3"/>
          <w:numId w:val="3"/>
        </w:numPr>
        <w:shd w:val="clea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事实依据；</w:t>
      </w:r>
    </w:p>
    <w:p>
      <w:pPr>
        <w:numPr>
          <w:ilvl w:val="3"/>
          <w:numId w:val="3"/>
        </w:numPr>
        <w:shd w:val="clea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必要的法律依据；</w:t>
      </w:r>
    </w:p>
    <w:p>
      <w:pPr>
        <w:numPr>
          <w:ilvl w:val="3"/>
          <w:numId w:val="3"/>
        </w:numPr>
        <w:shd w:val="clear"/>
        <w:tabs>
          <w:tab w:val="left" w:pos="210"/>
          <w:tab w:val="left" w:pos="1050"/>
        </w:tabs>
        <w:snapToGrid w:val="0"/>
        <w:spacing w:line="360" w:lineRule="auto"/>
        <w:ind w:hanging="21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提出质疑的日期。</w:t>
      </w:r>
    </w:p>
    <w:p>
      <w:pPr>
        <w:shd w:val="clea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shd w:val="clea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质疑函范本及制作说明详见附件2。</w:t>
      </w:r>
    </w:p>
    <w:p>
      <w:pPr>
        <w:numPr>
          <w:ilvl w:val="2"/>
          <w:numId w:val="3"/>
        </w:numPr>
        <w:shd w:val="clear"/>
        <w:tabs>
          <w:tab w:val="left" w:pos="21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对同一采购程序环节的质疑，供应商须在法定质疑期内一次性提出。</w:t>
      </w:r>
    </w:p>
    <w:p>
      <w:pPr>
        <w:numPr>
          <w:ilvl w:val="2"/>
          <w:numId w:val="3"/>
        </w:numPr>
        <w:shd w:val="clear"/>
        <w:tabs>
          <w:tab w:val="left" w:pos="21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采购人负责供应商质疑答复。采购人委托采购代理机构采购的，采购代理机构对委托授权范围内质疑事项作出答复。委托授权范围应当在采购代理协议中明确。</w:t>
      </w:r>
    </w:p>
    <w:p>
      <w:pPr>
        <w:numPr>
          <w:ilvl w:val="2"/>
          <w:numId w:val="3"/>
        </w:numPr>
        <w:shd w:val="clear"/>
        <w:tabs>
          <w:tab w:val="left" w:pos="21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询问或者质疑事项可能影响采购结果的，采购人应当暂停签订合同，已经签订合同的，应当中止履行合同。</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供应商投诉</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供应商投诉的事项不得超出已质疑事项的范围，基于质疑答复内容提出的投诉事项除外。</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供应商投诉应当有明确的请求和必要的证明材料。</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以联合体形式参加政府采购活动的，其投诉应当由组成联合体的所有供应商共同提出。</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浙江省本级、杭州市本级、拱墅区、富阳区政府采购项目投诉材料可寄送浙江省政府采购行政裁决服务中心（杭州），地址：杭州市上城区四季青街道新业路市民之家G03办公室，收件人：朱女士，电话：15121014815。</w:t>
      </w:r>
    </w:p>
    <w:p>
      <w:pPr>
        <w:shd w:val="clear"/>
        <w:tabs>
          <w:tab w:val="left" w:pos="210"/>
        </w:tabs>
        <w:snapToGrid w:val="0"/>
        <w:spacing w:line="360" w:lineRule="auto"/>
        <w:ind w:firstLine="480" w:firstLineChars="200"/>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投诉书范本及制作说明详见附件3。</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补偿救济</w:t>
      </w:r>
    </w:p>
    <w:p>
      <w:pPr>
        <w:shd w:val="clear"/>
        <w:tabs>
          <w:tab w:val="left" w:pos="210"/>
        </w:tabs>
        <w:snapToGrid w:val="0"/>
        <w:spacing w:line="360" w:lineRule="auto"/>
        <w:ind w:firstLine="480" w:firstLineChars="200"/>
        <w:jc w:val="left"/>
        <w:outlineLvl w:val="2"/>
        <w:rPr>
          <w:color w:val="auto"/>
          <w:highlight w:val="none"/>
        </w:rPr>
      </w:pPr>
      <w:r>
        <w:rPr>
          <w:rFonts w:hint="eastAsia" w:ascii="仿宋_GB2312" w:hAnsi="仿宋" w:eastAsia="仿宋_GB2312"/>
          <w:bCs/>
          <w:color w:val="auto"/>
          <w:sz w:val="24"/>
          <w:highlight w:val="none"/>
          <w:lang w:val="zh-CN"/>
        </w:rPr>
        <w:t>采购人（行政机关）因政策变化、规划调整而不履行政府采购合同的，供应商可依据《杭州市涉企补偿救济实施办法（试行）》向采购人（行政机关）提起补偿申请。</w:t>
      </w:r>
    </w:p>
    <w:p>
      <w:pPr>
        <w:shd w:val="clear"/>
        <w:adjustRightInd/>
        <w:spacing w:line="360" w:lineRule="auto"/>
        <w:jc w:val="center"/>
        <w:outlineLvl w:val="1"/>
        <w:rPr>
          <w:rFonts w:ascii="仿宋_GB2312" w:hAnsi="仿宋" w:eastAsia="仿宋_GB2312" w:cs="仿宋_GB2312"/>
          <w:b/>
          <w:color w:val="auto"/>
          <w:sz w:val="32"/>
          <w:szCs w:val="20"/>
          <w:highlight w:val="none"/>
        </w:rPr>
      </w:pPr>
      <w:r>
        <w:rPr>
          <w:rFonts w:hint="eastAsia" w:ascii="仿宋_GB2312" w:hAnsi="仿宋" w:eastAsia="仿宋_GB2312" w:cs="仿宋_GB2312"/>
          <w:b/>
          <w:color w:val="auto"/>
          <w:sz w:val="32"/>
          <w:szCs w:val="20"/>
          <w:highlight w:val="none"/>
        </w:rPr>
        <w:t>二、招标文件的构成、澄清、修改</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招标文件包括下列文件及附件：</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招标公告；</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投标人须知；</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采购需求；</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评标办法；</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拟签订的合同文本；</w:t>
      </w:r>
    </w:p>
    <w:p>
      <w:pPr>
        <w:numPr>
          <w:ilvl w:val="2"/>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应提交的有关格式范例。</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与本项目有关的澄清或者修改的内容为招标文件的组成部分。</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已获取招标文件的潜在投标人，若有问题需要澄清，应于投标截止时间前，以书面形式向采购代理机构提出。</w:t>
      </w:r>
    </w:p>
    <w:p>
      <w:pPr>
        <w:numPr>
          <w:ilvl w:val="1"/>
          <w:numId w:val="3"/>
        </w:numPr>
        <w:shd w:val="clear"/>
        <w:tabs>
          <w:tab w:val="left" w:pos="21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shd w:val="clear"/>
        <w:rPr>
          <w:color w:val="auto"/>
          <w:highlight w:val="none"/>
        </w:rPr>
      </w:pPr>
      <w:r>
        <w:rPr>
          <w:color w:val="auto"/>
          <w:highlight w:val="none"/>
        </w:rPr>
        <w:t xml:space="preserve">    </w:t>
      </w:r>
    </w:p>
    <w:p>
      <w:pPr>
        <w:shd w:val="clea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pPr>
        <w:shd w:val="clear"/>
        <w:spacing w:line="360" w:lineRule="auto"/>
        <w:ind w:firstLine="42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pPr>
        <w:pStyle w:val="32"/>
        <w:shd w:val="clear"/>
        <w:spacing w:line="360" w:lineRule="auto"/>
        <w:ind w:firstLine="42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pPr>
        <w:pStyle w:val="3"/>
        <w:shd w:val="clear"/>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pPr>
        <w:shd w:val="clea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pPr>
        <w:numPr>
          <w:ilvl w:val="1"/>
          <w:numId w:val="3"/>
        </w:numPr>
        <w:shd w:val="clear"/>
        <w:tabs>
          <w:tab w:val="left" w:pos="210"/>
          <w:tab w:val="left" w:pos="630"/>
          <w:tab w:val="left" w:pos="84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资格文件：</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符合参加政府采购活动应当具备的一般条件的承诺函；</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联合协议（如果有）；</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落实政府采购政策需满足的资格要求（</w:t>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门面向中小企业，服务全部由符合政策要求的中小企业承接，提供中小企业声明函</w:t>
      </w:r>
      <w:r>
        <w:rPr>
          <w:rFonts w:hint="eastAsia" w:ascii="仿宋_GB2312" w:hAnsi="仿宋" w:eastAsia="仿宋_GB2312"/>
          <w:bCs/>
          <w:color w:val="auto"/>
          <w:sz w:val="24"/>
          <w:highlight w:val="none"/>
        </w:rPr>
        <w:t>）；</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本项目的特定资格要求。</w:t>
      </w:r>
      <w:r>
        <w:rPr>
          <w:rFonts w:hint="eastAsia" w:ascii="仿宋_GB2312" w:hAnsi="仿宋" w:eastAsia="仿宋_GB2312" w:cs="仿宋_GB2312"/>
          <w:color w:val="auto"/>
          <w:sz w:val="24"/>
          <w:highlight w:val="none"/>
        </w:rPr>
        <w:t>（本项目不适用）</w:t>
      </w:r>
      <w:r>
        <w:rPr>
          <w:rFonts w:hint="eastAsia" w:ascii="仿宋_GB2312" w:hAnsi="仿宋" w:eastAsia="仿宋_GB2312"/>
          <w:bCs/>
          <w:i/>
          <w:iCs/>
          <w:color w:val="auto"/>
          <w:sz w:val="24"/>
          <w:highlight w:val="none"/>
        </w:rPr>
        <w:t>。</w:t>
      </w:r>
    </w:p>
    <w:p>
      <w:pPr>
        <w:numPr>
          <w:ilvl w:val="1"/>
          <w:numId w:val="3"/>
        </w:numPr>
        <w:shd w:val="clear"/>
        <w:tabs>
          <w:tab w:val="left" w:pos="210"/>
          <w:tab w:val="left" w:pos="630"/>
          <w:tab w:val="left" w:pos="840"/>
        </w:tabs>
        <w:snapToGrid w:val="0"/>
        <w:spacing w:line="360" w:lineRule="auto"/>
        <w:jc w:val="left"/>
        <w:outlineLvl w:val="2"/>
        <w:rPr>
          <w:rFonts w:ascii="仿宋_GB2312" w:hAnsi="仿宋" w:eastAsia="仿宋_GB2312"/>
          <w:b/>
          <w:color w:val="auto"/>
          <w:sz w:val="24"/>
          <w:highlight w:val="none"/>
          <w:lang w:val="zh-CN"/>
        </w:rPr>
      </w:pPr>
      <w:r>
        <w:rPr>
          <w:rFonts w:hint="eastAsia" w:ascii="仿宋_GB2312" w:hAnsi="仿宋" w:eastAsia="仿宋_GB2312"/>
          <w:b/>
          <w:color w:val="auto"/>
          <w:sz w:val="24"/>
          <w:highlight w:val="none"/>
        </w:rPr>
        <w:t>商务技术</w:t>
      </w:r>
      <w:r>
        <w:rPr>
          <w:rFonts w:hint="eastAsia" w:ascii="仿宋_GB2312" w:hAnsi="仿宋" w:eastAsia="仿宋_GB2312"/>
          <w:b/>
          <w:color w:val="auto"/>
          <w:sz w:val="24"/>
          <w:highlight w:val="none"/>
          <w:lang w:val="zh-CN"/>
        </w:rPr>
        <w:t>文件：</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投标函；</w:t>
      </w:r>
      <w:r>
        <w:rPr>
          <w:rFonts w:hint="eastAsia" w:ascii="仿宋_GB2312" w:hAnsi="仿宋" w:eastAsia="仿宋_GB2312"/>
          <w:bCs/>
          <w:color w:val="auto"/>
          <w:sz w:val="24"/>
          <w:highlight w:val="none"/>
          <w:lang w:val="zh-CN"/>
        </w:rPr>
        <w:t xml:space="preserve"> </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授权委托书或法定代表人（单位负责人、自然人本人）身份证明；</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分包意向协议（如果有）；</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符合性审查资料；</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评标标准相应的商务技术资料；</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投标标的清单；</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商务技术偏离表；</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政府采购供应商廉洁自律承诺书。</w:t>
      </w:r>
    </w:p>
    <w:p>
      <w:pPr>
        <w:numPr>
          <w:ilvl w:val="1"/>
          <w:numId w:val="3"/>
        </w:numPr>
        <w:shd w:val="clear"/>
        <w:tabs>
          <w:tab w:val="left" w:pos="210"/>
          <w:tab w:val="left" w:pos="630"/>
          <w:tab w:val="left" w:pos="840"/>
        </w:tabs>
        <w:snapToGrid w:val="0"/>
        <w:spacing w:line="360" w:lineRule="auto"/>
        <w:jc w:val="left"/>
        <w:outlineLvl w:val="2"/>
        <w:rPr>
          <w:rFonts w:ascii="仿宋_GB2312" w:hAnsi="仿宋" w:eastAsia="仿宋_GB2312"/>
          <w:b/>
          <w:color w:val="auto"/>
          <w:sz w:val="24"/>
          <w:highlight w:val="none"/>
          <w:lang w:val="zh-CN"/>
        </w:rPr>
      </w:pPr>
      <w:r>
        <w:rPr>
          <w:rFonts w:hint="eastAsia" w:ascii="仿宋_GB2312" w:hAnsi="仿宋" w:eastAsia="仿宋_GB2312"/>
          <w:b/>
          <w:color w:val="auto"/>
          <w:sz w:val="24"/>
          <w:highlight w:val="none"/>
        </w:rPr>
        <w:t xml:space="preserve">报价文件： </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开标一览表（报价表）；</w:t>
      </w:r>
    </w:p>
    <w:p>
      <w:pPr>
        <w:numPr>
          <w:ilvl w:val="2"/>
          <w:numId w:val="3"/>
        </w:numPr>
        <w:shd w:val="clear"/>
        <w:tabs>
          <w:tab w:val="left" w:pos="210"/>
          <w:tab w:val="left" w:pos="630"/>
          <w:tab w:val="left" w:pos="8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报价情况说明（如供应商报价低于项目预算50%的，应当提交本文档，详细阐述不影响产品质量或者诚信履约的具体原因）</w:t>
      </w:r>
    </w:p>
    <w:p>
      <w:pPr>
        <w:shd w:val="clea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hd w:val="clea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供应商提供虚假材料投标的，投标无效；</w:t>
      </w:r>
    </w:p>
    <w:p>
      <w:pPr>
        <w:pStyle w:val="7"/>
        <w:shd w:val="clear"/>
        <w:ind w:left="1021" w:leftChars="282" w:hanging="429" w:hangingChars="178"/>
        <w:rPr>
          <w:rFonts w:ascii="仿宋_GB2312" w:hAnsi="仿宋" w:eastAsia="仿宋_GB2312"/>
          <w:bCs w:val="0"/>
          <w:color w:val="auto"/>
          <w:sz w:val="24"/>
          <w:szCs w:val="24"/>
          <w:highlight w:val="none"/>
        </w:rPr>
      </w:pPr>
      <w:r>
        <w:rPr>
          <w:rFonts w:hint="eastAsia" w:ascii="仿宋_GB2312" w:hAnsi="仿宋" w:eastAsia="仿宋_GB2312"/>
          <w:bCs w:val="0"/>
          <w:color w:val="auto"/>
          <w:sz w:val="24"/>
          <w:szCs w:val="24"/>
          <w:highlight w:val="none"/>
        </w:rPr>
        <w:t>供应商应对响应文件中材料的真实性、合法性负责。</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pPr>
        <w:numPr>
          <w:ilvl w:val="1"/>
          <w:numId w:val="3"/>
        </w:numPr>
        <w:shd w:val="clea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投标文件按照招标文件第六部分格式要求进行签署、盖章。</w:t>
      </w:r>
    </w:p>
    <w:p>
      <w:pPr>
        <w:pStyle w:val="128"/>
        <w:shd w:val="clear"/>
        <w:snapToGrid w:val="0"/>
        <w:spacing w:before="0"/>
        <w:ind w:firstLine="482"/>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招标文件对投标文件签署、盖章的要求适用于电子签名。</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pPr>
        <w:numPr>
          <w:ilvl w:val="1"/>
          <w:numId w:val="3"/>
        </w:numPr>
        <w:shd w:val="clea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shd w:val="clea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color w:val="auto"/>
          <w:sz w:val="24"/>
          <w:highlight w:val="none"/>
        </w:rPr>
        <w:t>但采购人、采购代理机构不强制或变相强制投标人提交备份投标文件</w:t>
      </w:r>
      <w:r>
        <w:rPr>
          <w:rFonts w:hint="eastAsia" w:ascii="仿宋_GB2312" w:hAnsi="仿宋" w:eastAsia="仿宋_GB2312"/>
          <w:bCs/>
          <w:color w:val="auto"/>
          <w:sz w:val="24"/>
          <w:highlight w:val="none"/>
        </w:rPr>
        <w:t>。</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不符合上述制作、存储、密封规定的备份投标文件将被视为无效或者被拒绝接收。</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直接提交备份投标文件的，投标人应于投标截止时间前在招标公告中载明的开标地点将备份投标文件提交给采购代理机构，</w:t>
      </w:r>
      <w:r>
        <w:rPr>
          <w:rFonts w:hint="eastAsia" w:ascii="仿宋_GB2312" w:hAnsi="仿宋" w:eastAsia="仿宋_GB2312"/>
          <w:b/>
          <w:color w:val="auto"/>
          <w:sz w:val="24"/>
          <w:highlight w:val="none"/>
        </w:rPr>
        <w:t>采购代理机构将拒绝接受逾期送达的备份投标文件</w:t>
      </w:r>
      <w:r>
        <w:rPr>
          <w:rFonts w:hint="eastAsia" w:ascii="仿宋_GB2312" w:hAnsi="仿宋" w:eastAsia="仿宋_GB2312"/>
          <w:bCs/>
          <w:color w:val="auto"/>
          <w:sz w:val="24"/>
          <w:highlight w:val="none"/>
        </w:rPr>
        <w:t>。</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投标人仅提交备份投标文件，未在电子交易平台传输递交投标文件的，投标无效。</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pPr>
        <w:pStyle w:val="24"/>
        <w:shd w:val="clear"/>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pPr>
        <w:numPr>
          <w:ilvl w:val="1"/>
          <w:numId w:val="3"/>
        </w:numPr>
        <w:shd w:val="clear"/>
        <w:tabs>
          <w:tab w:val="left" w:pos="210"/>
          <w:tab w:val="left" w:pos="640"/>
        </w:tabs>
        <w:snapToGrid w:val="0"/>
        <w:spacing w:line="360" w:lineRule="auto"/>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投标有效期为从提交投标文件的截止之日起90天。</w:t>
      </w:r>
    </w:p>
    <w:p>
      <w:pPr>
        <w:shd w:val="clea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投标文件合格投递后，自投标截止日期起，在投标有效期内有效。</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在原定投标有效期满之前，如果出现特殊情况，采购代理机构可以以书面形式通知投标人延长投标有效期。投标人同意延长的，不得要求或被允许修改其投标文件，投标人拒绝延长的，其投标无效。</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在投标截止时间起至投标有效期届满，供应商投标文件不可撤销。</w:t>
      </w:r>
    </w:p>
    <w:p>
      <w:pPr>
        <w:pStyle w:val="128"/>
        <w:shd w:val="clear"/>
        <w:spacing w:before="0"/>
        <w:ind w:firstLine="643"/>
        <w:rPr>
          <w:rFonts w:ascii="仿宋_GB2312" w:hAnsi="仿宋" w:eastAsia="仿宋_GB2312" w:cs="仿宋_GB2312"/>
          <w:b/>
          <w:color w:val="auto"/>
          <w:sz w:val="32"/>
          <w:highlight w:val="none"/>
        </w:rPr>
      </w:pPr>
    </w:p>
    <w:p>
      <w:pPr>
        <w:shd w:val="clear"/>
        <w:adjustRightInd/>
        <w:spacing w:line="360" w:lineRule="auto"/>
        <w:jc w:val="center"/>
        <w:outlineLvl w:val="1"/>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四、开标、资格审查与信用信息查询</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采购代理机构按照招标文件规定的时间通过电子交易平台组织开标，所有投标人均应当准时在线参加。投标人不足3家的，不得开标。</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投标文件未按时解密，投标人提供了备份投标文件的，以备份投标文件作为依据，否则视为投标文件撤回。投标文件已按时解密的，备份投标文件自动失效。</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开标后，采购人或采购代理机构依据法律法规和招标文件的规定，对投标人的资格进行审查。</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投标人未按照招标文件要求提供与资格条件相应的有效资格证明材料的，视为投标人不具备招标文件中规定的资格要求，其投标无效。</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对未通过资格审查的投标人，采购人或采购代理机构告知其未通过的原因。</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合格投标人不足3家的，不再评标。</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信用信息查询渠道及截止时间：采购代理机构将通过“信用中国”网站(www.creditchina.gov.cn)、中国政府采购网(www.ccgp.gov.cn)渠道查询投标人投标截止时间当天的信用记录。</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信用信息查询记录和证据留存的具体方式：现场查询的投标人的信用记录、查询结果经确认后将与采购文件一起存档。</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信用信息的使用规则：经查询列入失信被执行人名单、重大税收违法案件当事人名单、政府采购严重违法失信行为记录名单的投标人将被拒绝参与政府采购活动。</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cs="Arial"/>
          <w:color w:val="auto"/>
          <w:kern w:val="0"/>
          <w:highlight w:val="none"/>
        </w:rPr>
      </w:pPr>
      <w:r>
        <w:rPr>
          <w:rFonts w:hint="eastAsia" w:ascii="仿宋_GB2312" w:hAnsi="仿宋" w:eastAsia="仿宋_GB2312"/>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hd w:val="clea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bookmarkStart w:id="15" w:name="_Toc91899903"/>
      <w:r>
        <w:rPr>
          <w:rFonts w:hint="eastAsia" w:ascii="仿宋_GB2312" w:hAnsi="仿宋" w:eastAsia="仿宋_GB2312"/>
          <w:b/>
          <w:color w:val="auto"/>
          <w:sz w:val="24"/>
          <w:highlight w:val="none"/>
        </w:rPr>
        <w:t>评标</w:t>
      </w:r>
    </w:p>
    <w:p>
      <w:pPr>
        <w:shd w:val="clea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hd w:val="clea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确定中标供应商</w:t>
      </w:r>
    </w:p>
    <w:p>
      <w:pPr>
        <w:pStyle w:val="128"/>
        <w:shd w:val="clear"/>
        <w:snapToGrid w:val="0"/>
        <w:spacing w:before="0"/>
        <w:ind w:firstLine="420" w:firstLineChars="175"/>
        <w:rPr>
          <w:rFonts w:ascii="仿宋_GB2312" w:hAnsi="仿宋" w:eastAsia="仿宋_GB2312" w:cs="仿宋_GB2312"/>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hint="eastAsia" w:ascii="仿宋_GB2312" w:hAnsi="仿宋" w:eastAsia="仿宋_GB2312" w:cs="仿宋_GB2312"/>
          <w:color w:val="auto"/>
          <w:szCs w:val="24"/>
          <w:highlight w:val="none"/>
          <w:lang w:val="en-US" w:eastAsia="zh-CN"/>
        </w:rPr>
        <w:t>5</w:t>
      </w:r>
      <w:r>
        <w:rPr>
          <w:rFonts w:hint="eastAsia" w:ascii="仿宋_GB2312" w:hAnsi="仿宋" w:eastAsia="仿宋_GB2312" w:cs="仿宋_GB2312"/>
          <w:color w:val="auto"/>
          <w:szCs w:val="24"/>
          <w:highlight w:val="none"/>
        </w:rPr>
        <w:t>个工作日内在线确定中标或者成交供应商。中标候选人并列的，由采购人或者采购人委托评标委员会按照招标文件规定的方式确定中标人；招标文件未规定的，采取随机抽取的方式确定。在采购结果确认环节，中标候选人撤销投标文件不能成为采购人不确认采购结果的正当理由。中标、成交通知书和中标、成交结果公告应当在规定时间内同时发出。</w:t>
      </w:r>
    </w:p>
    <w:p>
      <w:pPr>
        <w:pStyle w:val="128"/>
        <w:shd w:val="clear"/>
        <w:snapToGrid w:val="0"/>
        <w:spacing w:before="0"/>
        <w:ind w:firstLine="0" w:firstLineChars="0"/>
        <w:rPr>
          <w:rFonts w:ascii="仿宋_GB2312" w:hAnsi="仿宋" w:eastAsia="仿宋_GB2312" w:cs="仿宋_GB2312"/>
          <w:b/>
          <w:color w:val="auto"/>
          <w:szCs w:val="24"/>
          <w:highlight w:val="none"/>
        </w:rPr>
      </w:pP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中标通知与中标结果公告</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自中标人确定之日起2个工作日内，采购代理机构通过电子交易平台向中标人发出中标通知书，同时编制发布采购结果公告。采购代理机构也可以以纸质形式进行中标通知。</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公告期限为1个工作日。</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rPr>
      </w:pPr>
      <w:r>
        <w:rPr>
          <w:rFonts w:hint="eastAsia" w:ascii="仿宋_GB2312" w:hAnsi="仿宋" w:eastAsia="仿宋_GB2312"/>
          <w:bCs/>
          <w:color w:val="auto"/>
          <w:sz w:val="24"/>
          <w:highlight w:val="none"/>
        </w:rPr>
        <w:t>由于中标供应商原因导致重新招标的，应当承担支付代理费和专家评审费等费用在内的赔偿责任。</w:t>
      </w:r>
    </w:p>
    <w:p>
      <w:pPr>
        <w:shd w:val="clear"/>
        <w:rPr>
          <w:color w:val="auto"/>
          <w:highlight w:val="none"/>
        </w:rPr>
      </w:pPr>
    </w:p>
    <w:p>
      <w:pPr>
        <w:shd w:val="clear" w:color="auto"/>
        <w:snapToGrid w:val="0"/>
        <w:spacing w:line="360" w:lineRule="auto"/>
        <w:jc w:val="center"/>
        <w:outlineLvl w:val="2"/>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七、合同授予</w:t>
      </w:r>
    </w:p>
    <w:p>
      <w:pPr>
        <w:numPr>
          <w:ilvl w:val="0"/>
          <w:numId w:val="3"/>
        </w:numPr>
        <w:shd w:val="clear" w:color="auto"/>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合同授予</w:t>
      </w:r>
    </w:p>
    <w:p>
      <w:pPr>
        <w:widowControl/>
        <w:shd w:val="clear" w:color="auto"/>
        <w:spacing w:line="360" w:lineRule="auto"/>
        <w:ind w:firstLine="42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合同主要条款详见第五部分拟签订的合同文本。</w:t>
      </w:r>
    </w:p>
    <w:p>
      <w:pPr>
        <w:pStyle w:val="24"/>
        <w:shd w:val="clear" w:color="auto"/>
        <w:spacing w:line="360" w:lineRule="auto"/>
        <w:ind w:left="479" w:hanging="479" w:hangingChars="199"/>
        <w:rPr>
          <w:rFonts w:ascii="仿宋_GB2312" w:hAnsi="仿宋" w:eastAsia="仿宋_GB2312" w:cs="仿宋_GB2312"/>
          <w:b/>
          <w:color w:val="auto"/>
          <w:highlight w:val="none"/>
        </w:rPr>
      </w:pPr>
    </w:p>
    <w:p>
      <w:pPr>
        <w:numPr>
          <w:ilvl w:val="0"/>
          <w:numId w:val="3"/>
        </w:numPr>
        <w:shd w:val="clear" w:color="auto"/>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合同的签订</w:t>
      </w:r>
    </w:p>
    <w:p>
      <w:pPr>
        <w:numPr>
          <w:ilvl w:val="1"/>
          <w:numId w:val="3"/>
        </w:numPr>
        <w:shd w:val="clear" w:color="auto"/>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pPr>
        <w:numPr>
          <w:ilvl w:val="1"/>
          <w:numId w:val="3"/>
        </w:numPr>
        <w:shd w:val="clea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shd w:val="clea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如签订合同并生效后，供应商无故拒绝或延期，除按照合同条款处理外，列入不良行为记录一次，并给予通报。</w:t>
      </w:r>
    </w:p>
    <w:p>
      <w:pPr>
        <w:numPr>
          <w:ilvl w:val="1"/>
          <w:numId w:val="3"/>
        </w:numPr>
        <w:shd w:val="clea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中标供应商拒绝与采购人签订合同的，采购人可以按照评审报告推荐的中标或者成交候选人名单排序，确定下一候选人为中标供应商，也可以重新开展政府采购活动。</w:t>
      </w:r>
    </w:p>
    <w:p>
      <w:pPr>
        <w:numPr>
          <w:ilvl w:val="1"/>
          <w:numId w:val="3"/>
        </w:numPr>
        <w:shd w:val="clea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采购合同由采购人与中标供应商根据招标文件、投标文件等内容通过政府采购电子交易平台在线签订，自动备案。</w:t>
      </w:r>
    </w:p>
    <w:p>
      <w:pPr>
        <w:pStyle w:val="24"/>
        <w:shd w:val="clear"/>
        <w:spacing w:line="360" w:lineRule="auto"/>
        <w:ind w:left="479" w:hanging="479" w:hangingChars="199"/>
        <w:rPr>
          <w:rFonts w:ascii="仿宋_GB2312" w:hAnsi="仿宋" w:eastAsia="仿宋_GB2312" w:cs="仿宋_GB2312"/>
          <w:b/>
          <w:color w:val="auto"/>
          <w:highlight w:val="none"/>
        </w:rPr>
      </w:pPr>
    </w:p>
    <w:p>
      <w:pPr>
        <w:numPr>
          <w:ilvl w:val="0"/>
          <w:numId w:val="3"/>
        </w:numPr>
        <w:shd w:val="clear"/>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履约保证金</w:t>
      </w:r>
    </w:p>
    <w:p>
      <w:pPr>
        <w:numPr>
          <w:ilvl w:val="1"/>
          <w:numId w:val="3"/>
        </w:numPr>
        <w:shd w:val="clea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color w:val="auto"/>
          <w:sz w:val="24"/>
          <w:highlight w:val="none"/>
        </w:rPr>
        <w:t>1.0</w:t>
      </w:r>
      <w:r>
        <w:rPr>
          <w:rFonts w:hint="eastAsia" w:ascii="仿宋_GB2312" w:hAnsi="仿宋" w:eastAsia="仿宋_GB2312"/>
          <w:bCs/>
          <w:color w:val="auto"/>
          <w:sz w:val="24"/>
          <w:highlight w:val="none"/>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shd w:val="clear"/>
        <w:tabs>
          <w:tab w:val="left" w:pos="210"/>
          <w:tab w:val="left" w:pos="640"/>
        </w:tabs>
        <w:snapToGrid w:val="0"/>
        <w:spacing w:line="360" w:lineRule="auto"/>
        <w:ind w:left="627" w:hanging="627"/>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w:t>
      </w:r>
      <w:r>
        <w:rPr>
          <w:rFonts w:hint="eastAsia" w:ascii="仿宋_GB2312" w:hAnsi="仿宋" w:eastAsia="仿宋_GB2312"/>
          <w:bCs/>
          <w:color w:val="auto"/>
          <w:sz w:val="24"/>
          <w:highlight w:val="none"/>
        </w:rPr>
        <w:t>可</w:t>
      </w:r>
      <w:r>
        <w:rPr>
          <w:rFonts w:hint="eastAsia" w:ascii="仿宋_GB2312" w:hAnsi="仿宋" w:eastAsia="仿宋_GB2312"/>
          <w:bCs/>
          <w:color w:val="auto"/>
          <w:sz w:val="24"/>
          <w:highlight w:val="none"/>
          <w:lang w:val="zh-CN"/>
        </w:rPr>
        <w:t>登录政采云平台-【金融服务】—【我的项目】—【已备案合同】以保函形式提供：</w:t>
      </w:r>
    </w:p>
    <w:p>
      <w:pPr>
        <w:numPr>
          <w:ilvl w:val="2"/>
          <w:numId w:val="3"/>
        </w:numPr>
        <w:shd w:val="clear"/>
        <w:tabs>
          <w:tab w:val="left" w:pos="210"/>
        </w:tabs>
        <w:snapToGrid w:val="0"/>
        <w:spacing w:line="360" w:lineRule="auto"/>
        <w:jc w:val="left"/>
        <w:outlineLvl w:val="3"/>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供应商在合同列表选择需要投保的合同，点击【保函推荐】。</w:t>
      </w:r>
    </w:p>
    <w:p>
      <w:pPr>
        <w:numPr>
          <w:ilvl w:val="2"/>
          <w:numId w:val="3"/>
        </w:numPr>
        <w:shd w:val="clear"/>
        <w:tabs>
          <w:tab w:val="left" w:pos="210"/>
        </w:tabs>
        <w:snapToGrid w:val="0"/>
        <w:spacing w:line="360" w:lineRule="auto"/>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在弹框里查看推荐的保函产品，供应商自行选择保函产品，点击【立即申请】。</w:t>
      </w:r>
    </w:p>
    <w:p>
      <w:pPr>
        <w:numPr>
          <w:ilvl w:val="2"/>
          <w:numId w:val="3"/>
        </w:numPr>
        <w:shd w:val="clear"/>
        <w:tabs>
          <w:tab w:val="left" w:pos="210"/>
        </w:tabs>
        <w:snapToGrid w:val="0"/>
        <w:spacing w:line="360" w:lineRule="auto"/>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shd w:val="clear"/>
        <w:tabs>
          <w:tab w:val="left" w:pos="210"/>
        </w:tabs>
        <w:snapToGrid w:val="0"/>
        <w:spacing w:line="360" w:lineRule="auto"/>
        <w:jc w:val="left"/>
        <w:outlineLvl w:val="3"/>
        <w:rPr>
          <w:rFonts w:ascii="仿宋_GB2312" w:hAnsi="仿宋" w:eastAsia="仿宋_GB2312"/>
          <w:b/>
          <w:color w:val="auto"/>
          <w:sz w:val="24"/>
          <w:highlight w:val="none"/>
        </w:rPr>
      </w:pPr>
      <w:r>
        <w:rPr>
          <w:rFonts w:hint="eastAsia" w:ascii="仿宋_GB2312" w:hAnsi="仿宋" w:eastAsia="仿宋_GB2312"/>
          <w:b/>
          <w:color w:val="auto"/>
          <w:sz w:val="24"/>
          <w:highlight w:val="none"/>
        </w:rPr>
        <w:t>预付款</w:t>
      </w:r>
    </w:p>
    <w:p>
      <w:pPr>
        <w:shd w:val="clear"/>
        <w:tabs>
          <w:tab w:val="left" w:pos="210"/>
          <w:tab w:val="left" w:pos="640"/>
        </w:tabs>
        <w:snapToGrid w:val="0"/>
        <w:spacing w:line="360" w:lineRule="auto"/>
        <w:ind w:firstLine="480" w:firstLineChars="200"/>
        <w:jc w:val="left"/>
        <w:outlineLvl w:val="3"/>
        <w:rPr>
          <w:rFonts w:ascii="仿宋_GB2312" w:hAnsi="仿宋" w:eastAsia="仿宋_GB2312"/>
          <w:bCs/>
          <w:color w:val="auto"/>
          <w:sz w:val="24"/>
          <w:highlight w:val="none"/>
        </w:rPr>
      </w:pPr>
      <w:r>
        <w:rPr>
          <w:rFonts w:hint="eastAsia" w:ascii="仿宋_GB2312" w:hAnsi="仿宋" w:eastAsia="仿宋_GB2312"/>
          <w:bCs/>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w:t>
      </w:r>
      <w:r>
        <w:rPr>
          <w:rFonts w:hint="eastAsia" w:ascii="仿宋_GB2312" w:hAnsi="仿宋" w:eastAsia="仿宋_GB2312"/>
          <w:bCs/>
          <w:color w:val="auto"/>
          <w:sz w:val="24"/>
          <w:highlight w:val="none"/>
          <w:lang w:val="en-US" w:eastAsia="zh-CN"/>
        </w:rPr>
        <w:t>7</w:t>
      </w:r>
      <w:r>
        <w:rPr>
          <w:rFonts w:hint="eastAsia" w:ascii="仿宋_GB2312" w:hAnsi="仿宋" w:eastAsia="仿宋_GB2312"/>
          <w:bCs/>
          <w:color w:val="auto"/>
          <w:sz w:val="24"/>
          <w:highlight w:val="none"/>
        </w:rPr>
        <w:t>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hd w:val="clear"/>
        <w:snapToGrid w:val="0"/>
        <w:spacing w:line="360" w:lineRule="auto"/>
        <w:ind w:firstLine="3357" w:firstLineChars="1045"/>
        <w:rPr>
          <w:rFonts w:ascii="仿宋_GB2312" w:hAnsi="仿宋" w:eastAsia="仿宋_GB2312" w:cs="仿宋_GB2312"/>
          <w:b/>
          <w:color w:val="auto"/>
          <w:sz w:val="32"/>
          <w:highlight w:val="none"/>
        </w:rPr>
      </w:pPr>
    </w:p>
    <w:p>
      <w:pPr>
        <w:shd w:val="clea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八、电子交易活动的中止</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电子交易活动的中止</w:t>
      </w:r>
    </w:p>
    <w:p>
      <w:pPr>
        <w:pStyle w:val="128"/>
        <w:shd w:val="clear"/>
        <w:snapToGrid w:val="0"/>
        <w:spacing w:before="0"/>
        <w:ind w:firstLine="48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采购过程中出现以下情形，导致电子交易平台无法正常运行，或者无法保证电子交易的公平、公正和安全时，采购代理机构可中止电子交易活动：</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 xml:space="preserve">电子交易平台发生故障而无法登录访问的； </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电子交易平台应用或数据库出现错误，不能进行正常操作的；</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电子交易平台发现严重安全漏洞，有潜在泄密危险的；</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 xml:space="preserve">病毒发作导致不能进行正常操作的； </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其他无法保证电子交易的公平、公正和安全的情况。</w:t>
      </w:r>
    </w:p>
    <w:p>
      <w:pPr>
        <w:numPr>
          <w:ilvl w:val="0"/>
          <w:numId w:val="3"/>
        </w:numPr>
        <w:shd w:val="clear"/>
        <w:tabs>
          <w:tab w:val="left" w:pos="210"/>
        </w:tabs>
        <w:snapToGrid w:val="0"/>
        <w:spacing w:line="360" w:lineRule="auto"/>
        <w:ind w:left="403" w:hanging="403"/>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shd w:val="clear"/>
        <w:tabs>
          <w:tab w:val="left" w:pos="0"/>
        </w:tabs>
        <w:spacing w:line="360" w:lineRule="auto"/>
        <w:ind w:firstLine="480"/>
        <w:rPr>
          <w:rFonts w:ascii="仿宋_GB2312" w:hAnsi="仿宋" w:eastAsia="仿宋_GB2312"/>
          <w:color w:val="auto"/>
          <w:sz w:val="24"/>
          <w:highlight w:val="none"/>
        </w:rPr>
      </w:pPr>
    </w:p>
    <w:p>
      <w:pPr>
        <w:shd w:val="clear"/>
        <w:snapToGrid w:val="0"/>
        <w:spacing w:line="360" w:lineRule="auto"/>
        <w:jc w:val="center"/>
        <w:outlineLvl w:val="1"/>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九、验收</w:t>
      </w:r>
    </w:p>
    <w:p>
      <w:pPr>
        <w:numPr>
          <w:ilvl w:val="0"/>
          <w:numId w:val="3"/>
        </w:numPr>
        <w:shd w:val="clear"/>
        <w:tabs>
          <w:tab w:val="left" w:pos="210"/>
        </w:tabs>
        <w:snapToGrid w:val="0"/>
        <w:spacing w:line="360" w:lineRule="auto"/>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验收</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采购人应当根据采购项目的具体情况，自行组织项目验收或者委托采购代理机构验收</w:t>
      </w:r>
      <w:r>
        <w:rPr>
          <w:rFonts w:hint="eastAsia" w:ascii="仿宋" w:hAnsi="仿宋" w:eastAsia="仿宋" w:cs="仿宋"/>
          <w:color w:val="auto"/>
          <w:kern w:val="0"/>
          <w:sz w:val="24"/>
          <w:highlight w:val="none"/>
        </w:rPr>
        <w:t>。</w:t>
      </w:r>
      <w:r>
        <w:rPr>
          <w:rFonts w:hint="eastAsia" w:ascii="仿宋_GB2312" w:hAnsi="仿宋" w:eastAsia="仿宋_GB2312"/>
          <w:bCs/>
          <w:color w:val="auto"/>
          <w:sz w:val="24"/>
          <w:highlight w:val="none"/>
          <w:lang w:val="zh-CN"/>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采购人可以邀请参加本项目的其他投标人或者第三方机构参与验收。参与验收的投标人或者第三方机构的意见作为验收书的参考资料一并存档。</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numPr>
          <w:ilvl w:val="1"/>
          <w:numId w:val="3"/>
        </w:numPr>
        <w:shd w:val="clear"/>
        <w:tabs>
          <w:tab w:val="left" w:pos="210"/>
          <w:tab w:val="left" w:pos="640"/>
        </w:tabs>
        <w:snapToGrid w:val="0"/>
        <w:spacing w:line="360" w:lineRule="auto"/>
        <w:ind w:left="627" w:hanging="627"/>
        <w:jc w:val="left"/>
        <w:outlineLvl w:val="2"/>
        <w:rPr>
          <w:rFonts w:ascii="仿宋_GB2312" w:hAnsi="仿宋" w:eastAsia="仿宋_GB2312"/>
          <w:bCs/>
          <w:color w:val="auto"/>
          <w:sz w:val="24"/>
          <w:highlight w:val="none"/>
          <w:lang w:val="zh-CN"/>
        </w:rPr>
      </w:pPr>
      <w:r>
        <w:rPr>
          <w:rFonts w:hint="eastAsia" w:ascii="仿宋_GB2312" w:hAnsi="仿宋" w:eastAsia="仿宋_GB2312"/>
          <w:bCs/>
          <w:color w:val="auto"/>
          <w:sz w:val="24"/>
          <w:highlight w:val="none"/>
          <w:lang w:val="zh-CN"/>
        </w:rPr>
        <w:t>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bookmarkEnd w:id="15"/>
    <w:p>
      <w:pPr>
        <w:pStyle w:val="128"/>
        <w:shd w:val="clear"/>
        <w:snapToGrid w:val="0"/>
        <w:spacing w:before="0"/>
        <w:ind w:firstLine="480"/>
        <w:rPr>
          <w:rFonts w:ascii="仿宋_GB2312" w:hAnsi="仿宋" w:eastAsia="仿宋_GB2312" w:cs="仿宋_GB2312"/>
          <w:color w:val="auto"/>
          <w:highlight w:val="none"/>
        </w:rPr>
      </w:pPr>
      <w:bookmarkStart w:id="16" w:name="_Hlt68072998"/>
      <w:bookmarkEnd w:id="16"/>
      <w:bookmarkStart w:id="17" w:name="_Hlt74707468"/>
      <w:bookmarkEnd w:id="17"/>
      <w:bookmarkStart w:id="18" w:name="_Hlt74729768"/>
      <w:bookmarkEnd w:id="18"/>
      <w:bookmarkStart w:id="19" w:name="_Hlt68057669"/>
      <w:bookmarkEnd w:id="19"/>
      <w:bookmarkStart w:id="20" w:name="_Hlt68073093"/>
      <w:bookmarkEnd w:id="20"/>
      <w:bookmarkStart w:id="21" w:name="_Hlt75236290"/>
      <w:bookmarkEnd w:id="21"/>
      <w:bookmarkStart w:id="22" w:name="_Hlt74714665"/>
      <w:bookmarkEnd w:id="22"/>
      <w:bookmarkStart w:id="23" w:name="_Hlt75236011"/>
      <w:bookmarkEnd w:id="23"/>
      <w:bookmarkStart w:id="24" w:name="_Hlt68072990"/>
      <w:bookmarkEnd w:id="24"/>
      <w:bookmarkStart w:id="25" w:name="_Hlt68403820"/>
      <w:bookmarkEnd w:id="25"/>
      <w:bookmarkStart w:id="26" w:name="_Hlt74730295"/>
      <w:bookmarkEnd w:id="26"/>
      <w:bookmarkStart w:id="27" w:name="_Hlt75236101"/>
      <w:bookmarkEnd w:id="27"/>
    </w:p>
    <w:p>
      <w:pPr>
        <w:pStyle w:val="128"/>
        <w:shd w:val="clear"/>
        <w:snapToGrid w:val="0"/>
        <w:spacing w:before="0"/>
        <w:ind w:firstLine="480"/>
        <w:rPr>
          <w:rFonts w:ascii="仿宋_GB2312" w:hAnsi="仿宋" w:eastAsia="仿宋_GB2312"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1287" w:right="1757" w:bottom="1440" w:left="1757" w:header="651" w:footer="992" w:gutter="0"/>
          <w:cols w:space="720" w:num="1"/>
          <w:titlePg/>
          <w:docGrid w:linePitch="312" w:charSpace="0"/>
        </w:sectPr>
      </w:pPr>
    </w:p>
    <w:bookmarkEnd w:id="13"/>
    <w:bookmarkEnd w:id="14"/>
    <w:p>
      <w:pPr>
        <w:shd w:val="clear"/>
        <w:adjustRightInd/>
        <w:spacing w:line="360" w:lineRule="auto"/>
        <w:jc w:val="center"/>
        <w:outlineLvl w:val="0"/>
        <w:rPr>
          <w:rFonts w:ascii="仿宋" w:hAnsi="仿宋" w:eastAsia="仿宋" w:cs="仿宋_GB2312"/>
          <w:b/>
          <w:color w:val="auto"/>
          <w:sz w:val="36"/>
          <w:szCs w:val="20"/>
          <w:highlight w:val="none"/>
        </w:rPr>
      </w:pPr>
      <w:bookmarkStart w:id="28" w:name="_Toc5571"/>
      <w:bookmarkStart w:id="29" w:name="第四部分"/>
      <w:r>
        <w:rPr>
          <w:rFonts w:hint="eastAsia" w:ascii="仿宋" w:hAnsi="仿宋" w:eastAsia="仿宋" w:cs="仿宋_GB2312"/>
          <w:b/>
          <w:color w:val="auto"/>
          <w:sz w:val="36"/>
          <w:szCs w:val="20"/>
          <w:highlight w:val="none"/>
        </w:rPr>
        <w:t>第三部分   采购需求</w:t>
      </w:r>
      <w:bookmarkEnd w:id="28"/>
    </w:p>
    <w:p>
      <w:pPr>
        <w:pStyle w:val="24"/>
        <w:numPr>
          <w:ilvl w:val="-1"/>
          <w:numId w:val="0"/>
        </w:numPr>
        <w:shd w:val="clear"/>
        <w:ind w:firstLine="0" w:firstLineChars="0"/>
        <w:rPr>
          <w:rFonts w:hint="eastAsia" w:ascii="仿宋" w:hAnsi="仿宋" w:eastAsia="仿宋" w:cs="仿宋"/>
          <w:b/>
          <w:color w:val="auto"/>
          <w:highlight w:val="none"/>
        </w:rPr>
      </w:pPr>
    </w:p>
    <w:p>
      <w:pPr>
        <w:pStyle w:val="24"/>
        <w:numPr>
          <w:ilvl w:val="-1"/>
          <w:numId w:val="0"/>
        </w:numPr>
        <w:shd w:val="clear"/>
        <w:spacing w:line="360" w:lineRule="auto"/>
        <w:ind w:firstLine="0" w:firstLineChars="0"/>
        <w:rPr>
          <w:rFonts w:hint="eastAsia"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
          <w:bCs w:val="0"/>
          <w:color w:val="auto"/>
          <w:kern w:val="2"/>
          <w:sz w:val="24"/>
          <w:szCs w:val="24"/>
          <w:highlight w:val="none"/>
          <w:lang w:val="en-US" w:eastAsia="zh-CN" w:bidi="ar-SA"/>
        </w:rPr>
        <w:t>一、项目概况</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随着钱塘江干线航道提升工程的实施,船舶数量和水路货运运输量随之增长,但近年来极端恶劣天气频发,给水上安全应急管理工作提出了更高的要求，本项研究结合钱塘江干线航道特点和无人机巡航技术发展现状，针对钱塘江干线航道通航安全与应急保障能力和省管内河航道无人机巡航应用技术开展研究。</w:t>
      </w:r>
    </w:p>
    <w:p>
      <w:pPr>
        <w:spacing w:line="360" w:lineRule="auto"/>
        <w:rPr>
          <w:rFonts w:hint="default" w:ascii="仿宋_GB2312" w:hAnsi="仿宋" w:eastAsia="仿宋_GB2312" w:cs="Times New Roman"/>
          <w:bCs/>
          <w:color w:val="auto"/>
          <w:kern w:val="2"/>
          <w:sz w:val="24"/>
          <w:szCs w:val="24"/>
          <w:highlight w:val="none"/>
          <w:lang w:val="en-US" w:eastAsia="zh-CN" w:bidi="ar-SA"/>
        </w:rPr>
      </w:pPr>
    </w:p>
    <w:p>
      <w:pPr>
        <w:spacing w:line="360" w:lineRule="auto"/>
        <w:rPr>
          <w:rFonts w:hint="eastAsia"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
          <w:bCs w:val="0"/>
          <w:color w:val="auto"/>
          <w:kern w:val="2"/>
          <w:sz w:val="24"/>
          <w:szCs w:val="24"/>
          <w:highlight w:val="none"/>
          <w:lang w:val="en-US" w:eastAsia="zh-CN" w:bidi="ar-SA"/>
        </w:rPr>
        <w:t>二、服务内容</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en-US" w:eastAsia="zh-CN" w:bidi="ar-SA"/>
        </w:rPr>
        <w:t>1.</w:t>
      </w:r>
      <w:r>
        <w:rPr>
          <w:rFonts w:hint="eastAsia" w:ascii="仿宋_GB2312" w:hAnsi="仿宋" w:eastAsia="仿宋_GB2312" w:cs="Times New Roman"/>
          <w:bCs/>
          <w:color w:val="auto"/>
          <w:kern w:val="2"/>
          <w:sz w:val="24"/>
          <w:szCs w:val="24"/>
          <w:highlight w:val="none"/>
          <w:lang w:val="zh-CN" w:eastAsia="zh-CN" w:bidi="ar-SA"/>
        </w:rPr>
        <w:t>钱塘江干线航道通航安全与应急保障能力评估</w:t>
      </w:r>
    </w:p>
    <w:p>
      <w:pPr>
        <w:shd w:val="clear" w:color="auto" w:fill="FFFFFF"/>
        <w:spacing w:line="360" w:lineRule="auto"/>
        <w:ind w:firstLine="480" w:firstLineChars="200"/>
        <w:rPr>
          <w:rFonts w:hint="default" w:ascii="仿宋_GB2312" w:hAnsi="仿宋" w:eastAsia="仿宋_GB2312" w:cs="Times New Roman"/>
          <w:bCs/>
          <w:color w:val="auto"/>
          <w:kern w:val="2"/>
          <w:sz w:val="24"/>
          <w:szCs w:val="24"/>
          <w:highlight w:val="none"/>
          <w:lang w:val="en-US" w:eastAsia="zh-CN" w:bidi="ar-SA"/>
        </w:rPr>
      </w:pPr>
      <w:r>
        <w:rPr>
          <w:rFonts w:hint="eastAsia" w:ascii="仿宋_GB2312" w:hAnsi="仿宋" w:eastAsia="仿宋_GB2312" w:cs="Times New Roman"/>
          <w:bCs/>
          <w:color w:val="auto"/>
          <w:kern w:val="2"/>
          <w:sz w:val="24"/>
          <w:szCs w:val="24"/>
          <w:highlight w:val="none"/>
          <w:lang w:val="zh-CN" w:eastAsia="zh-CN" w:bidi="ar-SA"/>
        </w:rPr>
        <w:t>结合钱塘江干线航道特点，对通航</w:t>
      </w:r>
      <w:r>
        <w:rPr>
          <w:rFonts w:hint="eastAsia" w:ascii="仿宋_GB2312" w:hAnsi="仿宋" w:eastAsia="仿宋_GB2312" w:cs="Times New Roman"/>
          <w:bCs/>
          <w:color w:val="auto"/>
          <w:kern w:val="2"/>
          <w:sz w:val="24"/>
          <w:szCs w:val="24"/>
          <w:highlight w:val="none"/>
          <w:lang w:val="en-US" w:eastAsia="zh-CN" w:bidi="ar-SA"/>
        </w:rPr>
        <w:t>条件</w:t>
      </w:r>
      <w:r>
        <w:rPr>
          <w:rFonts w:hint="eastAsia" w:ascii="仿宋_GB2312" w:hAnsi="仿宋" w:eastAsia="仿宋_GB2312" w:cs="Times New Roman"/>
          <w:bCs/>
          <w:color w:val="auto"/>
          <w:kern w:val="2"/>
          <w:sz w:val="24"/>
          <w:szCs w:val="24"/>
          <w:highlight w:val="none"/>
          <w:lang w:val="zh-CN" w:eastAsia="zh-CN" w:bidi="ar-SA"/>
        </w:rPr>
        <w:t>、通航</w:t>
      </w:r>
      <w:r>
        <w:rPr>
          <w:rFonts w:hint="eastAsia" w:ascii="仿宋_GB2312" w:hAnsi="仿宋" w:eastAsia="仿宋_GB2312" w:cs="Times New Roman"/>
          <w:bCs/>
          <w:color w:val="auto"/>
          <w:kern w:val="2"/>
          <w:sz w:val="24"/>
          <w:szCs w:val="24"/>
          <w:highlight w:val="none"/>
          <w:lang w:val="en-US" w:eastAsia="zh-CN" w:bidi="ar-SA"/>
        </w:rPr>
        <w:t>环境</w:t>
      </w:r>
      <w:r>
        <w:rPr>
          <w:rFonts w:hint="eastAsia" w:ascii="仿宋_GB2312" w:hAnsi="仿宋" w:eastAsia="仿宋_GB2312" w:cs="Times New Roman"/>
          <w:bCs/>
          <w:color w:val="auto"/>
          <w:kern w:val="2"/>
          <w:sz w:val="24"/>
          <w:szCs w:val="24"/>
          <w:highlight w:val="none"/>
          <w:lang w:val="zh-CN" w:eastAsia="zh-CN" w:bidi="ar-SA"/>
        </w:rPr>
        <w:t>开展安全影响及风险分析，评估应急保障能力，</w:t>
      </w:r>
      <w:r>
        <w:rPr>
          <w:rFonts w:hint="eastAsia" w:ascii="仿宋_GB2312" w:hAnsi="仿宋" w:eastAsia="仿宋_GB2312" w:cs="Times New Roman"/>
          <w:bCs/>
          <w:color w:val="auto"/>
          <w:kern w:val="2"/>
          <w:sz w:val="24"/>
          <w:szCs w:val="24"/>
          <w:highlight w:val="none"/>
          <w:lang w:val="en-US" w:eastAsia="zh-CN" w:bidi="ar-SA"/>
        </w:rPr>
        <w:t>提出通航安全监管与应急保障能力提升的重点建设内容</w:t>
      </w:r>
      <w:r>
        <w:rPr>
          <w:rFonts w:hint="eastAsia" w:ascii="仿宋_GB2312" w:hAnsi="仿宋" w:eastAsia="仿宋_GB2312" w:cs="Times New Roman"/>
          <w:bCs/>
          <w:color w:val="auto"/>
          <w:kern w:val="2"/>
          <w:sz w:val="24"/>
          <w:szCs w:val="24"/>
          <w:highlight w:val="none"/>
          <w:lang w:val="zh-CN" w:eastAsia="zh-CN" w:bidi="ar-SA"/>
        </w:rPr>
        <w:t>，为行业发展提供决策支持，</w:t>
      </w:r>
      <w:r>
        <w:rPr>
          <w:rFonts w:hint="eastAsia" w:ascii="仿宋_GB2312" w:hAnsi="仿宋" w:eastAsia="仿宋_GB2312" w:cs="Times New Roman"/>
          <w:bCs/>
          <w:color w:val="auto"/>
          <w:kern w:val="2"/>
          <w:sz w:val="24"/>
          <w:szCs w:val="24"/>
          <w:highlight w:val="none"/>
          <w:lang w:val="en-US" w:eastAsia="zh-CN" w:bidi="ar-SA"/>
        </w:rPr>
        <w:t>推动</w:t>
      </w:r>
      <w:r>
        <w:rPr>
          <w:rFonts w:hint="eastAsia" w:ascii="仿宋_GB2312" w:hAnsi="仿宋" w:eastAsia="仿宋_GB2312" w:cs="Times New Roman"/>
          <w:bCs/>
          <w:color w:val="auto"/>
          <w:kern w:val="2"/>
          <w:sz w:val="24"/>
          <w:szCs w:val="24"/>
          <w:highlight w:val="none"/>
          <w:lang w:val="zh-CN" w:eastAsia="zh-CN" w:bidi="ar-SA"/>
        </w:rPr>
        <w:t>钱塘江干线航道安全监管与应急保障能力</w:t>
      </w:r>
      <w:r>
        <w:rPr>
          <w:rFonts w:hint="eastAsia" w:ascii="仿宋_GB2312" w:hAnsi="仿宋" w:eastAsia="仿宋_GB2312" w:cs="Times New Roman"/>
          <w:bCs/>
          <w:color w:val="auto"/>
          <w:kern w:val="2"/>
          <w:sz w:val="24"/>
          <w:szCs w:val="24"/>
          <w:highlight w:val="none"/>
          <w:lang w:val="en-US" w:eastAsia="zh-CN" w:bidi="ar-SA"/>
        </w:rPr>
        <w:t>全面提升</w:t>
      </w:r>
      <w:r>
        <w:rPr>
          <w:rFonts w:hint="eastAsia" w:ascii="仿宋_GB2312" w:hAnsi="仿宋" w:eastAsia="仿宋_GB2312" w:cs="Times New Roman"/>
          <w:bCs/>
          <w:color w:val="auto"/>
          <w:kern w:val="2"/>
          <w:sz w:val="24"/>
          <w:szCs w:val="24"/>
          <w:highlight w:val="none"/>
          <w:lang w:val="zh-CN" w:eastAsia="zh-CN" w:bidi="ar-SA"/>
        </w:rPr>
        <w:t>。</w:t>
      </w:r>
      <w:r>
        <w:rPr>
          <w:rFonts w:hint="eastAsia" w:ascii="仿宋_GB2312" w:hAnsi="仿宋" w:eastAsia="仿宋_GB2312" w:cs="Times New Roman"/>
          <w:bCs/>
          <w:color w:val="auto"/>
          <w:kern w:val="2"/>
          <w:sz w:val="24"/>
          <w:szCs w:val="24"/>
          <w:highlight w:val="none"/>
          <w:lang w:val="en-US" w:eastAsia="zh-CN" w:bidi="ar-SA"/>
        </w:rPr>
        <w:t>投标文件中需提供</w:t>
      </w:r>
      <w:r>
        <w:rPr>
          <w:rFonts w:hint="eastAsia" w:ascii="仿宋_GB2312" w:hAnsi="仿宋" w:eastAsia="仿宋_GB2312" w:cs="Times New Roman"/>
          <w:bCs/>
          <w:color w:val="auto"/>
          <w:kern w:val="2"/>
          <w:sz w:val="24"/>
          <w:szCs w:val="24"/>
          <w:highlight w:val="none"/>
          <w:lang w:val="zh-CN" w:eastAsia="zh-CN" w:bidi="ar-SA"/>
        </w:rPr>
        <w:t>对钱塘江干线航道特点和无人机巡航技术发展现状分析，</w:t>
      </w:r>
      <w:r>
        <w:rPr>
          <w:rFonts w:hint="eastAsia" w:ascii="仿宋_GB2312" w:hAnsi="仿宋" w:eastAsia="仿宋_GB2312" w:cs="Times New Roman"/>
          <w:bCs/>
          <w:color w:val="auto"/>
          <w:kern w:val="2"/>
          <w:sz w:val="24"/>
          <w:szCs w:val="24"/>
          <w:highlight w:val="none"/>
          <w:lang w:val="en-US" w:eastAsia="zh-CN" w:bidi="ar-SA"/>
        </w:rPr>
        <w:t>以及相关工作思路。</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en-US" w:eastAsia="zh-CN" w:bidi="ar-SA"/>
        </w:rPr>
        <w:t>2.</w:t>
      </w:r>
      <w:r>
        <w:rPr>
          <w:rFonts w:hint="eastAsia" w:ascii="仿宋_GB2312" w:hAnsi="仿宋" w:eastAsia="仿宋_GB2312" w:cs="Times New Roman"/>
          <w:bCs/>
          <w:color w:val="auto"/>
          <w:kern w:val="2"/>
          <w:sz w:val="24"/>
          <w:szCs w:val="24"/>
          <w:highlight w:val="none"/>
          <w:lang w:val="zh-CN" w:eastAsia="zh-CN" w:bidi="ar-SA"/>
        </w:rPr>
        <w:t>省管内河航道无人机巡航应用研究</w:t>
      </w:r>
    </w:p>
    <w:p>
      <w:pPr>
        <w:shd w:val="clear" w:color="auto" w:fill="FFFFFF"/>
        <w:spacing w:line="360" w:lineRule="auto"/>
        <w:ind w:firstLine="480" w:firstLineChars="200"/>
        <w:rPr>
          <w:rFonts w:hint="default" w:ascii="仿宋_GB2312" w:hAnsi="仿宋" w:eastAsia="仿宋_GB2312" w:cs="Times New Roman"/>
          <w:bCs/>
          <w:color w:val="auto"/>
          <w:kern w:val="2"/>
          <w:sz w:val="24"/>
          <w:szCs w:val="24"/>
          <w:highlight w:val="none"/>
          <w:lang w:val="en-US" w:eastAsia="zh-CN" w:bidi="ar-SA"/>
        </w:rPr>
      </w:pPr>
      <w:r>
        <w:rPr>
          <w:rFonts w:hint="eastAsia" w:ascii="仿宋_GB2312" w:hAnsi="仿宋" w:eastAsia="仿宋_GB2312" w:cs="Times New Roman"/>
          <w:bCs/>
          <w:color w:val="auto"/>
          <w:kern w:val="2"/>
          <w:sz w:val="24"/>
          <w:szCs w:val="24"/>
          <w:highlight w:val="none"/>
          <w:lang w:val="zh-CN" w:eastAsia="zh-CN" w:bidi="ar-SA"/>
        </w:rPr>
        <w:t>从客观需求出发，结合河道监管、空域管理、数字化改革等政策导向，分析现有巡检体系下内河航道无人机巡检应用的必要性、技术可行性和技术创新性;结合浙江省内河航道实际使用情况、巡检任务需求、技术发展水平等多方面因素，在现有内河航道巡检体系的基础上，研究提出我省内河航道无人机巡险应用体系架构、运行管理机制和基础设施布局方案;针对杭甬运河绍兴航段场景特点，制定无人机巡检服务方案、采集二维和三维地理信息数据、构建航段实景三维模型，开展该场景下的无人机巡检试点飞行，实现无人机飞行位置实时监视、航道巡检视频实时回传等，数据采集建模同时正射影像和倾斜模型，测试飞行次数不少于</w:t>
      </w:r>
      <w:r>
        <w:rPr>
          <w:rFonts w:hint="eastAsia" w:ascii="仿宋_GB2312" w:hAnsi="仿宋" w:eastAsia="仿宋_GB2312" w:cs="Times New Roman"/>
          <w:bCs/>
          <w:color w:val="auto"/>
          <w:kern w:val="2"/>
          <w:sz w:val="24"/>
          <w:szCs w:val="24"/>
          <w:highlight w:val="none"/>
          <w:lang w:val="en-US" w:eastAsia="zh-CN" w:bidi="ar-SA"/>
        </w:rPr>
        <w:t>2</w:t>
      </w:r>
      <w:r>
        <w:rPr>
          <w:rFonts w:hint="eastAsia" w:ascii="仿宋_GB2312" w:hAnsi="仿宋" w:eastAsia="仿宋_GB2312" w:cs="Times New Roman"/>
          <w:bCs/>
          <w:color w:val="auto"/>
          <w:kern w:val="2"/>
          <w:sz w:val="24"/>
          <w:szCs w:val="24"/>
          <w:highlight w:val="none"/>
          <w:lang w:val="zh-CN" w:eastAsia="zh-CN" w:bidi="ar-SA"/>
        </w:rPr>
        <w:t>次。</w:t>
      </w:r>
      <w:r>
        <w:rPr>
          <w:rFonts w:hint="eastAsia" w:ascii="仿宋_GB2312" w:hAnsi="仿宋" w:eastAsia="仿宋_GB2312" w:cs="Times New Roman"/>
          <w:bCs/>
          <w:color w:val="auto"/>
          <w:kern w:val="2"/>
          <w:sz w:val="24"/>
          <w:szCs w:val="24"/>
          <w:highlight w:val="none"/>
          <w:lang w:val="en-US" w:eastAsia="zh-CN" w:bidi="ar-SA"/>
        </w:rPr>
        <w:t>投标文件中需提供相关工作思路。</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p>
    <w:p>
      <w:pPr>
        <w:spacing w:line="360" w:lineRule="auto"/>
        <w:rPr>
          <w:rFonts w:hint="default" w:ascii="仿宋_GB2312" w:hAnsi="仿宋" w:eastAsia="仿宋_GB2312" w:cs="Times New Roman"/>
          <w:bCs/>
          <w:color w:val="auto"/>
          <w:kern w:val="2"/>
          <w:sz w:val="24"/>
          <w:szCs w:val="24"/>
          <w:highlight w:val="none"/>
          <w:lang w:val="en-US" w:eastAsia="zh-CN" w:bidi="ar-SA"/>
        </w:rPr>
      </w:pPr>
    </w:p>
    <w:p>
      <w:pPr>
        <w:spacing w:line="360" w:lineRule="auto"/>
        <w:rPr>
          <w:rFonts w:hint="eastAsia"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
          <w:bCs w:val="0"/>
          <w:color w:val="auto"/>
          <w:kern w:val="2"/>
          <w:sz w:val="24"/>
          <w:szCs w:val="24"/>
          <w:highlight w:val="none"/>
          <w:lang w:val="en-US" w:eastAsia="zh-CN" w:bidi="ar-SA"/>
        </w:rPr>
        <w:t>三、进度要求</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项目实施推进计划分为准备、调研与测试、初稿、成果提交，具体进度安排如下：</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1.理论研究阶段，</w:t>
      </w:r>
      <w:r>
        <w:rPr>
          <w:rFonts w:hint="eastAsia" w:ascii="仿宋_GB2312" w:hAnsi="仿宋" w:eastAsia="仿宋_GB2312" w:cs="Times New Roman"/>
          <w:bCs/>
          <w:color w:val="auto"/>
          <w:kern w:val="2"/>
          <w:sz w:val="24"/>
          <w:szCs w:val="24"/>
          <w:highlight w:val="none"/>
          <w:lang w:val="en-US" w:eastAsia="zh-CN" w:bidi="ar-SA"/>
        </w:rPr>
        <w:t>签订合同后1个月内</w:t>
      </w:r>
      <w:r>
        <w:rPr>
          <w:rFonts w:hint="eastAsia" w:ascii="仿宋_GB2312" w:hAnsi="仿宋" w:eastAsia="仿宋_GB2312" w:cs="Times New Roman"/>
          <w:bCs/>
          <w:color w:val="auto"/>
          <w:kern w:val="2"/>
          <w:sz w:val="24"/>
          <w:szCs w:val="24"/>
          <w:highlight w:val="none"/>
          <w:lang w:val="zh-CN" w:eastAsia="zh-CN" w:bidi="ar-SA"/>
        </w:rPr>
        <w:t>，收集航道基础资料，明确调研需求；</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2.调研测试阶段，</w:t>
      </w:r>
      <w:r>
        <w:rPr>
          <w:rFonts w:hint="eastAsia" w:ascii="仿宋_GB2312" w:hAnsi="仿宋" w:eastAsia="仿宋_GB2312" w:cs="Times New Roman"/>
          <w:bCs/>
          <w:color w:val="auto"/>
          <w:kern w:val="2"/>
          <w:sz w:val="24"/>
          <w:szCs w:val="24"/>
          <w:highlight w:val="none"/>
          <w:lang w:val="en-US" w:eastAsia="zh-CN" w:bidi="ar-SA"/>
        </w:rPr>
        <w:t>6</w:t>
      </w:r>
      <w:r>
        <w:rPr>
          <w:rFonts w:hint="eastAsia" w:ascii="仿宋_GB2312" w:hAnsi="仿宋" w:eastAsia="仿宋_GB2312" w:cs="Times New Roman"/>
          <w:bCs/>
          <w:color w:val="auto"/>
          <w:kern w:val="2"/>
          <w:sz w:val="24"/>
          <w:szCs w:val="24"/>
          <w:highlight w:val="none"/>
          <w:lang w:val="zh-CN" w:eastAsia="zh-CN" w:bidi="ar-SA"/>
        </w:rPr>
        <w:t>月-7月，现场调研航道</w:t>
      </w:r>
      <w:r>
        <w:rPr>
          <w:rFonts w:hint="default" w:ascii="仿宋_GB2312" w:hAnsi="仿宋" w:eastAsia="仿宋_GB2312" w:cs="Times New Roman"/>
          <w:bCs/>
          <w:color w:val="auto"/>
          <w:kern w:val="2"/>
          <w:sz w:val="24"/>
          <w:szCs w:val="24"/>
          <w:highlight w:val="none"/>
          <w:lang w:val="en-US" w:eastAsia="zh-CN" w:bidi="ar-SA"/>
        </w:rPr>
        <w:t>通航</w:t>
      </w:r>
      <w:r>
        <w:rPr>
          <w:rFonts w:hint="eastAsia" w:ascii="仿宋_GB2312" w:hAnsi="仿宋" w:eastAsia="仿宋_GB2312" w:cs="Times New Roman"/>
          <w:bCs/>
          <w:color w:val="auto"/>
          <w:kern w:val="2"/>
          <w:sz w:val="24"/>
          <w:szCs w:val="24"/>
          <w:highlight w:val="none"/>
          <w:lang w:val="zh-CN" w:eastAsia="zh-CN" w:bidi="ar-SA"/>
        </w:rPr>
        <w:t>情况、应急管理现状，省内河航道现有巡检体系发展现状、技术水平、巡检效率等情况，对杭甬运河绍兴航段开展巡航测试；</w:t>
      </w:r>
    </w:p>
    <w:p>
      <w:pPr>
        <w:shd w:val="clear" w:color="auto" w:fill="FFFFFF"/>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3.初稿阶段，8月-9月，分析通航安全影响及风险，研究</w:t>
      </w:r>
      <w:r>
        <w:rPr>
          <w:rFonts w:hint="eastAsia" w:ascii="仿宋_GB2312" w:hAnsi="仿宋" w:eastAsia="仿宋_GB2312" w:cs="Times New Roman"/>
          <w:bCs/>
          <w:color w:val="auto"/>
          <w:kern w:val="2"/>
          <w:sz w:val="24"/>
          <w:szCs w:val="24"/>
          <w:highlight w:val="none"/>
          <w:lang w:val="en-US" w:eastAsia="zh-CN" w:bidi="ar-SA"/>
        </w:rPr>
        <w:t>通航安全监管与应急保障能力存在问题与不足，</w:t>
      </w:r>
      <w:r>
        <w:rPr>
          <w:rFonts w:hint="eastAsia" w:ascii="仿宋_GB2312" w:hAnsi="仿宋" w:eastAsia="仿宋_GB2312" w:cs="Times New Roman"/>
          <w:bCs/>
          <w:color w:val="auto"/>
          <w:kern w:val="2"/>
          <w:sz w:val="24"/>
          <w:szCs w:val="24"/>
          <w:highlight w:val="none"/>
          <w:lang w:val="zh-CN" w:eastAsia="zh-CN" w:bidi="ar-SA"/>
        </w:rPr>
        <w:t>提出</w:t>
      </w:r>
      <w:r>
        <w:rPr>
          <w:rFonts w:hint="eastAsia" w:ascii="仿宋_GB2312" w:hAnsi="仿宋" w:eastAsia="仿宋_GB2312" w:cs="Times New Roman"/>
          <w:bCs/>
          <w:color w:val="auto"/>
          <w:kern w:val="2"/>
          <w:sz w:val="24"/>
          <w:szCs w:val="24"/>
          <w:highlight w:val="none"/>
          <w:lang w:val="en-US" w:eastAsia="zh-CN" w:bidi="ar-SA"/>
        </w:rPr>
        <w:t>对策</w:t>
      </w:r>
      <w:r>
        <w:rPr>
          <w:rFonts w:hint="eastAsia" w:ascii="仿宋_GB2312" w:hAnsi="仿宋" w:eastAsia="仿宋_GB2312" w:cs="Times New Roman"/>
          <w:bCs/>
          <w:color w:val="auto"/>
          <w:kern w:val="2"/>
          <w:sz w:val="24"/>
          <w:szCs w:val="24"/>
          <w:highlight w:val="none"/>
          <w:lang w:val="zh-CN" w:eastAsia="zh-CN" w:bidi="ar-SA"/>
        </w:rPr>
        <w:t>建议；研究提出我省内河航道无人机巡检应用体系架构、发展路径、重点任务及政策保障建议；</w:t>
      </w:r>
    </w:p>
    <w:p>
      <w:pPr>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4.成果提交，10月，提交钱塘江干线航道安全监管与应急保障能力评估研究报告、省管内河航道无人机巡航应用研究报告。</w:t>
      </w:r>
    </w:p>
    <w:p>
      <w:pPr>
        <w:spacing w:line="360" w:lineRule="auto"/>
        <w:rPr>
          <w:rFonts w:hint="eastAsia" w:ascii="仿宋_GB2312" w:hAnsi="仿宋" w:eastAsia="仿宋_GB2312" w:cs="Times New Roman"/>
          <w:bCs/>
          <w:color w:val="auto"/>
          <w:kern w:val="2"/>
          <w:sz w:val="24"/>
          <w:szCs w:val="24"/>
          <w:highlight w:val="none"/>
          <w:lang w:val="zh-CN" w:eastAsia="zh-CN" w:bidi="ar-SA"/>
        </w:rPr>
      </w:pPr>
    </w:p>
    <w:p>
      <w:pPr>
        <w:spacing w:line="360" w:lineRule="auto"/>
        <w:rPr>
          <w:rFonts w:hint="eastAsia"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
          <w:bCs w:val="0"/>
          <w:color w:val="auto"/>
          <w:kern w:val="2"/>
          <w:sz w:val="24"/>
          <w:szCs w:val="24"/>
          <w:highlight w:val="none"/>
          <w:lang w:val="en-US" w:eastAsia="zh-CN" w:bidi="ar-SA"/>
        </w:rPr>
        <w:t>四、年度绩效目标</w:t>
      </w:r>
    </w:p>
    <w:p>
      <w:pPr>
        <w:spacing w:line="360" w:lineRule="auto"/>
        <w:ind w:firstLine="480" w:firstLineChars="200"/>
        <w:rPr>
          <w:rFonts w:hint="default" w:ascii="仿宋_GB2312" w:hAnsi="仿宋" w:eastAsia="仿宋_GB2312" w:cs="Times New Roman"/>
          <w:bCs/>
          <w:color w:val="auto"/>
          <w:kern w:val="2"/>
          <w:sz w:val="24"/>
          <w:szCs w:val="24"/>
          <w:highlight w:val="none"/>
          <w:lang w:val="en-US" w:eastAsia="zh-CN" w:bidi="ar-SA"/>
        </w:rPr>
      </w:pPr>
      <w:r>
        <w:rPr>
          <w:rFonts w:hint="eastAsia" w:ascii="仿宋_GB2312" w:hAnsi="仿宋" w:eastAsia="仿宋_GB2312" w:cs="Times New Roman"/>
          <w:bCs/>
          <w:color w:val="auto"/>
          <w:kern w:val="2"/>
          <w:sz w:val="24"/>
          <w:szCs w:val="24"/>
          <w:highlight w:val="none"/>
          <w:lang w:val="en-US" w:eastAsia="zh-CN" w:bidi="ar-SA"/>
        </w:rPr>
        <w:t>完成钱塘江干线航道安全监管与应急保障能力评估研究报告1份；完成省管内河航道无人机巡航应用研究1份；杭甬运河绍兴航段巡航测试不少于1次。具体目标为：</w:t>
      </w:r>
    </w:p>
    <w:p>
      <w:pPr>
        <w:pStyle w:val="24"/>
        <w:numPr>
          <w:ilvl w:val="-1"/>
          <w:numId w:val="0"/>
        </w:numPr>
        <w:shd w:val="clear"/>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1.调研</w:t>
      </w:r>
      <w:r>
        <w:rPr>
          <w:rFonts w:hint="eastAsia" w:ascii="仿宋_GB2312" w:hAnsi="仿宋" w:eastAsia="仿宋_GB2312" w:cs="Times New Roman"/>
          <w:bCs/>
          <w:color w:val="auto"/>
          <w:kern w:val="2"/>
          <w:sz w:val="24"/>
          <w:szCs w:val="24"/>
          <w:highlight w:val="none"/>
          <w:lang w:val="en-US" w:eastAsia="zh-CN" w:bidi="ar-SA"/>
        </w:rPr>
        <w:t>要求</w:t>
      </w:r>
    </w:p>
    <w:p>
      <w:pPr>
        <w:pStyle w:val="24"/>
        <w:numPr>
          <w:ilvl w:val="-1"/>
          <w:numId w:val="0"/>
        </w:numPr>
        <w:shd w:val="clear"/>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根据工作需要，赴航道现场、地方交通主管部门、相关巡检主管单位和巡检企业等调研</w:t>
      </w:r>
      <w:r>
        <w:rPr>
          <w:rFonts w:hint="eastAsia" w:ascii="仿宋_GB2312" w:hAnsi="仿宋" w:eastAsia="仿宋_GB2312" w:cs="Times New Roman"/>
          <w:bCs/>
          <w:color w:val="auto"/>
          <w:kern w:val="2"/>
          <w:sz w:val="24"/>
          <w:szCs w:val="24"/>
          <w:highlight w:val="none"/>
          <w:lang w:val="en-US" w:eastAsia="zh-CN" w:bidi="ar-SA"/>
        </w:rPr>
        <w:t>7</w:t>
      </w:r>
      <w:r>
        <w:rPr>
          <w:rFonts w:hint="eastAsia" w:ascii="仿宋_GB2312" w:hAnsi="仿宋" w:eastAsia="仿宋_GB2312" w:cs="Times New Roman"/>
          <w:bCs/>
          <w:color w:val="auto"/>
          <w:kern w:val="2"/>
          <w:sz w:val="24"/>
          <w:szCs w:val="24"/>
          <w:highlight w:val="none"/>
          <w:lang w:val="zh-CN" w:eastAsia="zh-CN" w:bidi="ar-SA"/>
        </w:rPr>
        <w:t>次，平均每次4人，每次1天，共计</w:t>
      </w:r>
      <w:r>
        <w:rPr>
          <w:rFonts w:hint="eastAsia" w:ascii="仿宋_GB2312" w:hAnsi="仿宋" w:eastAsia="仿宋_GB2312" w:cs="Times New Roman"/>
          <w:bCs/>
          <w:color w:val="auto"/>
          <w:kern w:val="2"/>
          <w:sz w:val="24"/>
          <w:szCs w:val="24"/>
          <w:highlight w:val="none"/>
          <w:lang w:val="en-US" w:eastAsia="zh-CN" w:bidi="ar-SA"/>
        </w:rPr>
        <w:t>28</w:t>
      </w:r>
      <w:r>
        <w:rPr>
          <w:rFonts w:hint="eastAsia" w:ascii="仿宋_GB2312" w:hAnsi="仿宋" w:eastAsia="仿宋_GB2312" w:cs="Times New Roman"/>
          <w:bCs/>
          <w:color w:val="auto"/>
          <w:kern w:val="2"/>
          <w:sz w:val="24"/>
          <w:szCs w:val="24"/>
          <w:highlight w:val="none"/>
          <w:lang w:val="zh-CN" w:eastAsia="zh-CN" w:bidi="ar-SA"/>
        </w:rPr>
        <w:t>人次天。</w:t>
      </w:r>
    </w:p>
    <w:p>
      <w:pPr>
        <w:pStyle w:val="24"/>
        <w:numPr>
          <w:ilvl w:val="-1"/>
          <w:numId w:val="0"/>
        </w:numPr>
        <w:shd w:val="clear"/>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2.会议</w:t>
      </w:r>
      <w:r>
        <w:rPr>
          <w:rFonts w:hint="eastAsia" w:ascii="仿宋_GB2312" w:hAnsi="仿宋" w:eastAsia="仿宋_GB2312" w:cs="Times New Roman"/>
          <w:bCs/>
          <w:color w:val="auto"/>
          <w:kern w:val="2"/>
          <w:sz w:val="24"/>
          <w:szCs w:val="24"/>
          <w:highlight w:val="none"/>
          <w:lang w:val="en-US" w:eastAsia="zh-CN" w:bidi="ar-SA"/>
        </w:rPr>
        <w:t>要求</w:t>
      </w:r>
    </w:p>
    <w:p>
      <w:pPr>
        <w:pStyle w:val="24"/>
        <w:numPr>
          <w:ilvl w:val="-1"/>
          <w:numId w:val="0"/>
        </w:numPr>
        <w:shd w:val="clear"/>
        <w:spacing w:line="360" w:lineRule="auto"/>
        <w:ind w:firstLine="480" w:firstLineChars="200"/>
        <w:rPr>
          <w:rFonts w:hint="default"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Cs/>
          <w:color w:val="auto"/>
          <w:kern w:val="2"/>
          <w:sz w:val="24"/>
          <w:szCs w:val="24"/>
          <w:highlight w:val="none"/>
          <w:lang w:val="zh-CN" w:eastAsia="zh-CN" w:bidi="ar-SA"/>
        </w:rPr>
        <w:t>召开讨论会、咨询会等</w:t>
      </w:r>
      <w:r>
        <w:rPr>
          <w:rFonts w:hint="eastAsia" w:ascii="仿宋_GB2312" w:hAnsi="仿宋" w:eastAsia="仿宋_GB2312" w:cs="Times New Roman"/>
          <w:bCs/>
          <w:color w:val="auto"/>
          <w:kern w:val="2"/>
          <w:sz w:val="24"/>
          <w:szCs w:val="24"/>
          <w:highlight w:val="none"/>
          <w:lang w:val="en-US" w:eastAsia="zh-CN" w:bidi="ar-SA"/>
        </w:rPr>
        <w:t>4</w:t>
      </w:r>
      <w:r>
        <w:rPr>
          <w:rFonts w:hint="eastAsia" w:ascii="仿宋_GB2312" w:hAnsi="仿宋" w:eastAsia="仿宋_GB2312" w:cs="Times New Roman"/>
          <w:bCs/>
          <w:color w:val="auto"/>
          <w:kern w:val="2"/>
          <w:sz w:val="24"/>
          <w:szCs w:val="24"/>
          <w:highlight w:val="none"/>
          <w:lang w:val="zh-CN" w:eastAsia="zh-CN" w:bidi="ar-SA"/>
        </w:rPr>
        <w:t>次，参会人数16人，共计</w:t>
      </w:r>
      <w:r>
        <w:rPr>
          <w:rFonts w:hint="eastAsia" w:ascii="仿宋_GB2312" w:hAnsi="仿宋" w:eastAsia="仿宋_GB2312" w:cs="Times New Roman"/>
          <w:bCs/>
          <w:color w:val="auto"/>
          <w:kern w:val="2"/>
          <w:sz w:val="24"/>
          <w:szCs w:val="24"/>
          <w:highlight w:val="none"/>
          <w:lang w:val="en-US" w:eastAsia="zh-CN" w:bidi="ar-SA"/>
        </w:rPr>
        <w:t>64</w:t>
      </w:r>
      <w:r>
        <w:rPr>
          <w:rFonts w:hint="eastAsia" w:ascii="仿宋_GB2312" w:hAnsi="仿宋" w:eastAsia="仿宋_GB2312" w:cs="Times New Roman"/>
          <w:bCs/>
          <w:color w:val="auto"/>
          <w:kern w:val="2"/>
          <w:sz w:val="24"/>
          <w:szCs w:val="24"/>
          <w:highlight w:val="none"/>
          <w:lang w:val="zh-CN" w:eastAsia="zh-CN" w:bidi="ar-SA"/>
        </w:rPr>
        <w:t>人次。</w:t>
      </w:r>
    </w:p>
    <w:p>
      <w:pPr>
        <w:pStyle w:val="24"/>
        <w:numPr>
          <w:ilvl w:val="-1"/>
          <w:numId w:val="0"/>
        </w:numPr>
        <w:shd w:val="clear"/>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3.数据采集</w:t>
      </w:r>
      <w:r>
        <w:rPr>
          <w:rFonts w:hint="eastAsia" w:ascii="仿宋_GB2312" w:hAnsi="仿宋" w:eastAsia="仿宋_GB2312" w:cs="Times New Roman"/>
          <w:bCs/>
          <w:color w:val="auto"/>
          <w:kern w:val="2"/>
          <w:sz w:val="24"/>
          <w:szCs w:val="24"/>
          <w:highlight w:val="none"/>
          <w:lang w:val="en-US" w:eastAsia="zh-CN" w:bidi="ar-SA"/>
        </w:rPr>
        <w:t>要求</w:t>
      </w:r>
    </w:p>
    <w:p>
      <w:pPr>
        <w:pStyle w:val="24"/>
        <w:numPr>
          <w:ilvl w:val="-1"/>
          <w:numId w:val="0"/>
        </w:numPr>
        <w:shd w:val="clear"/>
        <w:spacing w:line="360" w:lineRule="auto"/>
        <w:ind w:firstLine="480" w:firstLineChars="200"/>
        <w:rPr>
          <w:rFonts w:hint="eastAsia" w:ascii="仿宋_GB2312" w:hAnsi="仿宋" w:eastAsia="仿宋_GB2312" w:cs="Times New Roman"/>
          <w:bCs/>
          <w:color w:val="auto"/>
          <w:kern w:val="2"/>
          <w:sz w:val="24"/>
          <w:szCs w:val="24"/>
          <w:highlight w:val="none"/>
          <w:lang w:val="zh-CN" w:eastAsia="zh-CN" w:bidi="ar-SA"/>
        </w:rPr>
      </w:pPr>
      <w:r>
        <w:rPr>
          <w:rFonts w:hint="eastAsia" w:ascii="仿宋_GB2312" w:hAnsi="仿宋" w:eastAsia="仿宋_GB2312" w:cs="Times New Roman"/>
          <w:bCs/>
          <w:color w:val="auto"/>
          <w:kern w:val="2"/>
          <w:sz w:val="24"/>
          <w:szCs w:val="24"/>
          <w:highlight w:val="none"/>
          <w:lang w:val="zh-CN" w:eastAsia="zh-CN" w:bidi="ar-SA"/>
        </w:rPr>
        <w:t>根据工作需要，赴钱塘江、杭甬运河绍兴航段勘察无人机起降场地和三维地理信息数据采集，</w:t>
      </w:r>
      <w:r>
        <w:rPr>
          <w:rFonts w:hint="eastAsia" w:ascii="仿宋_GB2312" w:hAnsi="仿宋" w:eastAsia="仿宋_GB2312" w:cs="Times New Roman"/>
          <w:bCs/>
          <w:color w:val="auto"/>
          <w:kern w:val="2"/>
          <w:sz w:val="24"/>
          <w:szCs w:val="24"/>
          <w:highlight w:val="none"/>
          <w:lang w:val="en-US" w:eastAsia="zh-CN" w:bidi="ar-SA"/>
        </w:rPr>
        <w:t>约</w:t>
      </w:r>
      <w:r>
        <w:rPr>
          <w:rFonts w:hint="eastAsia" w:ascii="仿宋_GB2312" w:hAnsi="仿宋" w:eastAsia="仿宋_GB2312" w:cs="Times New Roman"/>
          <w:bCs/>
          <w:color w:val="auto"/>
          <w:kern w:val="2"/>
          <w:sz w:val="24"/>
          <w:szCs w:val="24"/>
          <w:highlight w:val="none"/>
          <w:lang w:val="zh-CN" w:eastAsia="zh-CN" w:bidi="ar-SA"/>
        </w:rPr>
        <w:t>5平方公里。</w:t>
      </w:r>
    </w:p>
    <w:p>
      <w:pPr>
        <w:pStyle w:val="24"/>
        <w:numPr>
          <w:ilvl w:val="-1"/>
          <w:numId w:val="0"/>
        </w:numPr>
        <w:shd w:val="clear"/>
        <w:spacing w:line="360" w:lineRule="auto"/>
        <w:ind w:firstLine="480" w:firstLineChars="200"/>
        <w:rPr>
          <w:rFonts w:hint="default" w:ascii="仿宋_GB2312" w:hAnsi="仿宋" w:eastAsia="仿宋_GB2312" w:cs="Times New Roman"/>
          <w:bCs/>
          <w:color w:val="auto"/>
          <w:kern w:val="2"/>
          <w:sz w:val="24"/>
          <w:szCs w:val="24"/>
          <w:highlight w:val="none"/>
          <w:lang w:val="en-US" w:eastAsia="zh-CN" w:bidi="ar-SA"/>
        </w:rPr>
      </w:pPr>
      <w:r>
        <w:rPr>
          <w:rFonts w:hint="eastAsia" w:ascii="仿宋_GB2312" w:hAnsi="仿宋" w:eastAsia="仿宋_GB2312" w:cs="Times New Roman"/>
          <w:bCs/>
          <w:color w:val="auto"/>
          <w:kern w:val="2"/>
          <w:sz w:val="24"/>
          <w:szCs w:val="24"/>
          <w:highlight w:val="none"/>
          <w:lang w:val="en-US" w:eastAsia="zh-CN" w:bidi="ar-SA"/>
        </w:rPr>
        <w:t>4.现场巡航测试不少于3次，附完整的巡航记录和巡航报告，每次1天。</w:t>
      </w:r>
    </w:p>
    <w:p>
      <w:pPr>
        <w:pStyle w:val="24"/>
        <w:numPr>
          <w:ilvl w:val="-1"/>
          <w:numId w:val="0"/>
        </w:numPr>
        <w:shd w:val="clear"/>
        <w:spacing w:line="360" w:lineRule="auto"/>
        <w:ind w:firstLine="480" w:firstLineChars="200"/>
        <w:rPr>
          <w:rFonts w:hint="default" w:ascii="仿宋_GB2312" w:hAnsi="仿宋" w:eastAsia="仿宋_GB2312" w:cs="Times New Roman"/>
          <w:bCs/>
          <w:color w:val="auto"/>
          <w:kern w:val="2"/>
          <w:sz w:val="24"/>
          <w:szCs w:val="24"/>
          <w:highlight w:val="none"/>
          <w:lang w:val="en-US" w:eastAsia="zh-CN" w:bidi="ar-SA"/>
        </w:rPr>
      </w:pPr>
      <w:r>
        <w:rPr>
          <w:rFonts w:hint="eastAsia" w:ascii="仿宋_GB2312" w:hAnsi="仿宋" w:eastAsia="仿宋_GB2312" w:cs="Times New Roman"/>
          <w:bCs/>
          <w:color w:val="auto"/>
          <w:kern w:val="2"/>
          <w:sz w:val="24"/>
          <w:szCs w:val="24"/>
          <w:highlight w:val="none"/>
          <w:lang w:val="en-US" w:eastAsia="zh-CN" w:bidi="ar-SA"/>
        </w:rPr>
        <w:t>5</w:t>
      </w:r>
      <w:r>
        <w:rPr>
          <w:rFonts w:hint="eastAsia" w:ascii="仿宋_GB2312" w:hAnsi="仿宋" w:eastAsia="仿宋_GB2312" w:cs="Times New Roman"/>
          <w:bCs/>
          <w:color w:val="auto"/>
          <w:kern w:val="2"/>
          <w:sz w:val="24"/>
          <w:szCs w:val="24"/>
          <w:highlight w:val="none"/>
          <w:lang w:val="zh-CN" w:eastAsia="zh-CN" w:bidi="ar-SA"/>
        </w:rPr>
        <w:t>.</w:t>
      </w:r>
      <w:r>
        <w:rPr>
          <w:rFonts w:hint="eastAsia" w:ascii="仿宋_GB2312" w:hAnsi="仿宋" w:eastAsia="仿宋_GB2312" w:cs="Times New Roman"/>
          <w:bCs/>
          <w:color w:val="auto"/>
          <w:kern w:val="2"/>
          <w:sz w:val="24"/>
          <w:szCs w:val="24"/>
          <w:highlight w:val="none"/>
          <w:lang w:val="en-US" w:eastAsia="zh-CN" w:bidi="ar-SA"/>
        </w:rPr>
        <w:t>实施人员要求</w:t>
      </w:r>
    </w:p>
    <w:p>
      <w:pPr>
        <w:snapToGrid w:val="0"/>
        <w:spacing w:line="360" w:lineRule="auto"/>
        <w:ind w:firstLine="480" w:firstLineChars="200"/>
        <w:rPr>
          <w:rFonts w:hint="eastAsia" w:ascii="宋体" w:hAnsi="宋体"/>
          <w:bCs/>
          <w:szCs w:val="24"/>
        </w:rPr>
      </w:pPr>
      <w:r>
        <w:rPr>
          <w:rFonts w:hint="eastAsia" w:ascii="仿宋_GB2312" w:hAnsi="仿宋_GB2312" w:eastAsia="仿宋_GB2312" w:cs="仿宋_GB2312"/>
          <w:bCs/>
          <w:sz w:val="24"/>
          <w:szCs w:val="24"/>
        </w:rPr>
        <w:t>项目组人员</w:t>
      </w:r>
      <w:r>
        <w:rPr>
          <w:rFonts w:hint="eastAsia" w:ascii="仿宋_GB2312" w:hAnsi="仿宋_GB2312" w:eastAsia="仿宋_GB2312" w:cs="仿宋_GB2312"/>
          <w:bCs/>
          <w:sz w:val="24"/>
          <w:szCs w:val="24"/>
          <w:lang w:val="en-US" w:eastAsia="zh-CN"/>
        </w:rPr>
        <w:t>需</w:t>
      </w:r>
      <w:r>
        <w:rPr>
          <w:rFonts w:hint="eastAsia" w:ascii="仿宋_GB2312" w:hAnsi="仿宋_GB2312" w:eastAsia="仿宋_GB2312" w:cs="仿宋_GB2312"/>
          <w:bCs/>
          <w:sz w:val="24"/>
          <w:szCs w:val="24"/>
        </w:rPr>
        <w:t>具有相应专业知识且在项目进行期间，确保项目组人员的稳定性。</w:t>
      </w:r>
    </w:p>
    <w:p>
      <w:pPr>
        <w:spacing w:line="360" w:lineRule="auto"/>
        <w:ind w:firstLine="480" w:firstLineChars="200"/>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cs="Times New Roman"/>
          <w:b w:val="0"/>
          <w:bCs/>
          <w:color w:val="auto"/>
          <w:kern w:val="2"/>
          <w:sz w:val="24"/>
          <w:szCs w:val="24"/>
          <w:highlight w:val="none"/>
          <w:lang w:val="en-US" w:eastAsia="zh-CN" w:bidi="ar-SA"/>
        </w:rPr>
        <w:t>拟派项目组成员要求：</w:t>
      </w:r>
    </w:p>
    <w:p>
      <w:pPr>
        <w:spacing w:line="360" w:lineRule="auto"/>
        <w:ind w:firstLine="480" w:firstLineChars="200"/>
        <w:rPr>
          <w:rFonts w:hint="eastAsia" w:ascii="仿宋_GB2312" w:hAnsi="仿宋" w:eastAsia="仿宋_GB2312" w:cs="Times New Roman"/>
          <w:b w:val="0"/>
          <w:bCs/>
          <w:color w:val="auto"/>
          <w:kern w:val="2"/>
          <w:sz w:val="24"/>
          <w:szCs w:val="24"/>
          <w:highlight w:val="none"/>
          <w:lang w:val="en-US" w:eastAsia="zh-CN" w:bidi="ar-SA"/>
        </w:rPr>
      </w:pPr>
      <w:r>
        <w:rPr>
          <w:rFonts w:hint="eastAsia" w:ascii="仿宋_GB2312" w:hAnsi="仿宋" w:eastAsia="仿宋_GB2312" w:cs="Times New Roman"/>
          <w:b w:val="0"/>
          <w:bCs/>
          <w:color w:val="auto"/>
          <w:kern w:val="2"/>
          <w:sz w:val="24"/>
          <w:szCs w:val="24"/>
          <w:highlight w:val="none"/>
          <w:lang w:val="en-US" w:eastAsia="zh-CN" w:bidi="ar-SA"/>
        </w:rPr>
        <w:t>（1）拟派项目负责人具有港航相关专业并持有高级职称；</w:t>
      </w:r>
    </w:p>
    <w:p>
      <w:pPr>
        <w:spacing w:line="360" w:lineRule="auto"/>
        <w:ind w:firstLine="480" w:firstLineChars="200"/>
        <w:rPr>
          <w:rFonts w:hint="eastAsia"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 w:val="0"/>
          <w:bCs/>
          <w:color w:val="auto"/>
          <w:kern w:val="2"/>
          <w:sz w:val="24"/>
          <w:szCs w:val="24"/>
          <w:highlight w:val="none"/>
          <w:lang w:val="en-US" w:eastAsia="zh-CN" w:bidi="ar-SA"/>
        </w:rPr>
        <w:t>（2）拟派项目组成员要求（项目负责人除外）：拟投入成员不少于12人；具有高级工程师及以上职称，且同时具有注册安全工程师和注册咨询工程师资格证书的人员不少于4人；具有与交通运输相关的中级职称人员不少于6人；根据项目需求，在合同服务期内派遣不少于1名具有硕士研究生及以上学历的人员提供驻场服务。</w:t>
      </w:r>
    </w:p>
    <w:p>
      <w:pPr>
        <w:spacing w:line="360" w:lineRule="auto"/>
        <w:rPr>
          <w:rFonts w:hint="eastAsia" w:ascii="仿宋_GB2312" w:hAnsi="仿宋" w:eastAsia="仿宋_GB2312" w:cs="Times New Roman"/>
          <w:b/>
          <w:bCs w:val="0"/>
          <w:color w:val="auto"/>
          <w:kern w:val="2"/>
          <w:sz w:val="24"/>
          <w:szCs w:val="24"/>
          <w:highlight w:val="none"/>
          <w:lang w:val="en-US" w:eastAsia="zh-CN" w:bidi="ar-SA"/>
        </w:rPr>
      </w:pPr>
    </w:p>
    <w:p>
      <w:pPr>
        <w:spacing w:line="360" w:lineRule="auto"/>
        <w:rPr>
          <w:rFonts w:hint="default" w:ascii="仿宋_GB2312" w:hAnsi="仿宋" w:eastAsia="仿宋_GB2312" w:cs="Times New Roman"/>
          <w:b/>
          <w:bCs w:val="0"/>
          <w:color w:val="auto"/>
          <w:kern w:val="2"/>
          <w:sz w:val="24"/>
          <w:szCs w:val="24"/>
          <w:highlight w:val="none"/>
          <w:lang w:val="en-US" w:eastAsia="zh-CN" w:bidi="ar-SA"/>
        </w:rPr>
      </w:pPr>
      <w:r>
        <w:rPr>
          <w:rFonts w:hint="eastAsia" w:ascii="仿宋_GB2312" w:hAnsi="仿宋" w:eastAsia="仿宋_GB2312" w:cs="Times New Roman"/>
          <w:b/>
          <w:bCs w:val="0"/>
          <w:color w:val="auto"/>
          <w:kern w:val="2"/>
          <w:sz w:val="24"/>
          <w:szCs w:val="24"/>
          <w:highlight w:val="none"/>
          <w:lang w:val="en-US" w:eastAsia="zh-CN" w:bidi="ar-SA"/>
        </w:rPr>
        <w:t>五、其他要求</w:t>
      </w:r>
    </w:p>
    <w:p>
      <w:pPr>
        <w:pStyle w:val="24"/>
        <w:numPr>
          <w:ilvl w:val="-1"/>
          <w:numId w:val="0"/>
        </w:numPr>
        <w:shd w:val="clear"/>
        <w:ind w:firstLine="480" w:firstLineChars="200"/>
        <w:rPr>
          <w:rFonts w:hint="default" w:ascii="仿宋" w:hAnsi="仿宋" w:eastAsia="仿宋" w:cs="仿宋"/>
          <w:b w:val="0"/>
          <w:bCs/>
          <w:color w:val="auto"/>
          <w:highlight w:val="none"/>
          <w:lang w:val="en-US" w:eastAsia="zh-CN"/>
        </w:rPr>
      </w:pPr>
      <w:r>
        <w:rPr>
          <w:rFonts w:hint="eastAsia" w:ascii="仿宋" w:hAnsi="仿宋" w:eastAsia="仿宋" w:cs="仿宋"/>
          <w:b w:val="0"/>
          <w:bCs/>
          <w:color w:val="auto"/>
          <w:highlight w:val="none"/>
          <w:lang w:val="en-US" w:eastAsia="zh-CN"/>
        </w:rPr>
        <w:t>1.投标人需在投标文件中提供工作计划安排，针对本项目提出的服务承诺及合理化建议，以及质量保障措施。</w:t>
      </w:r>
    </w:p>
    <w:p>
      <w:pPr>
        <w:pStyle w:val="24"/>
        <w:numPr>
          <w:ilvl w:val="-1"/>
          <w:numId w:val="0"/>
        </w:numPr>
        <w:shd w:val="clear"/>
        <w:ind w:firstLine="480" w:firstLineChars="200"/>
        <w:rPr>
          <w:rFonts w:hint="eastAsia" w:ascii="仿宋" w:hAnsi="仿宋" w:eastAsia="仿宋" w:cs="仿宋"/>
          <w:b w:val="0"/>
          <w:bCs/>
          <w:color w:val="auto"/>
          <w:highlight w:val="none"/>
          <w:lang w:eastAsia="zh-CN"/>
        </w:rPr>
      </w:pPr>
      <w:r>
        <w:rPr>
          <w:rFonts w:hint="eastAsia" w:ascii="仿宋" w:hAnsi="仿宋" w:eastAsia="仿宋" w:cs="仿宋"/>
          <w:b w:val="0"/>
          <w:bCs/>
          <w:color w:val="auto"/>
          <w:highlight w:val="none"/>
          <w:lang w:val="en-US" w:eastAsia="zh-CN"/>
        </w:rPr>
        <w:t>2.</w:t>
      </w:r>
      <w:r>
        <w:rPr>
          <w:rFonts w:hint="eastAsia" w:ascii="仿宋" w:hAnsi="仿宋" w:eastAsia="仿宋" w:cs="仿宋"/>
          <w:b w:val="0"/>
          <w:bCs/>
          <w:color w:val="auto"/>
          <w:highlight w:val="none"/>
        </w:rPr>
        <w:t>投标人具有</w:t>
      </w:r>
      <w:r>
        <w:rPr>
          <w:rFonts w:hint="eastAsia" w:ascii="仿宋" w:hAnsi="仿宋" w:eastAsia="仿宋" w:cs="仿宋"/>
          <w:b w:val="0"/>
          <w:bCs/>
          <w:color w:val="auto"/>
          <w:highlight w:val="none"/>
          <w:lang w:val="en-US" w:eastAsia="zh-CN"/>
        </w:rPr>
        <w:t>有效期内的</w:t>
      </w:r>
      <w:r>
        <w:rPr>
          <w:rFonts w:hint="eastAsia" w:ascii="仿宋" w:hAnsi="仿宋" w:eastAsia="仿宋" w:cs="仿宋"/>
          <w:b w:val="0"/>
          <w:bCs/>
          <w:color w:val="auto"/>
          <w:highlight w:val="none"/>
        </w:rPr>
        <w:t>ISO9001质量体系认证证书</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投标文件中需</w:t>
      </w:r>
      <w:r>
        <w:rPr>
          <w:rFonts w:hint="eastAsia" w:ascii="仿宋" w:hAnsi="仿宋" w:eastAsia="仿宋" w:cs="仿宋"/>
          <w:b w:val="0"/>
          <w:bCs/>
          <w:color w:val="auto"/>
          <w:highlight w:val="none"/>
        </w:rPr>
        <w:t>提供提供国家认证认可监督管理委员会https://www.cnca.gov.cn/网站查询截图</w:t>
      </w:r>
      <w:r>
        <w:rPr>
          <w:rFonts w:hint="eastAsia" w:ascii="仿宋" w:hAnsi="仿宋" w:eastAsia="仿宋" w:cs="仿宋"/>
          <w:b w:val="0"/>
          <w:bCs/>
          <w:color w:val="auto"/>
          <w:highlight w:val="none"/>
          <w:lang w:eastAsia="zh-CN"/>
        </w:rPr>
        <w:t>。</w:t>
      </w:r>
    </w:p>
    <w:p>
      <w:pPr>
        <w:pStyle w:val="24"/>
        <w:numPr>
          <w:ilvl w:val="-1"/>
          <w:numId w:val="0"/>
        </w:numPr>
        <w:shd w:val="clear"/>
        <w:ind w:firstLine="480" w:firstLineChars="200"/>
        <w:rPr>
          <w:rFonts w:ascii="仿宋" w:hAnsi="仿宋" w:eastAsia="仿宋" w:cs="仿宋"/>
          <w:b/>
          <w:color w:val="auto"/>
          <w:highlight w:val="none"/>
        </w:rPr>
      </w:pPr>
      <w:r>
        <w:rPr>
          <w:rFonts w:hint="eastAsia" w:ascii="仿宋" w:hAnsi="仿宋" w:eastAsia="仿宋" w:cs="仿宋"/>
          <w:b w:val="0"/>
          <w:bCs/>
          <w:color w:val="auto"/>
          <w:highlight w:val="none"/>
          <w:lang w:val="en-US" w:eastAsia="zh-CN"/>
        </w:rPr>
        <w:t>3.</w:t>
      </w:r>
      <w:r>
        <w:rPr>
          <w:rFonts w:hint="eastAsia" w:ascii="仿宋" w:hAnsi="仿宋" w:eastAsia="仿宋" w:cs="仿宋"/>
          <w:b w:val="0"/>
          <w:bCs/>
          <w:color w:val="auto"/>
          <w:highlight w:val="none"/>
        </w:rPr>
        <w:t>投标人自2021年1月1日（以合同签订时间为准）以来承接过类似项目（通航安全类）</w:t>
      </w:r>
      <w:r>
        <w:rPr>
          <w:rFonts w:hint="eastAsia" w:ascii="仿宋" w:hAnsi="仿宋" w:eastAsia="仿宋" w:cs="仿宋"/>
          <w:b w:val="0"/>
          <w:bCs/>
          <w:color w:val="auto"/>
          <w:highlight w:val="none"/>
          <w:lang w:eastAsia="zh-CN"/>
        </w:rPr>
        <w:t>，</w:t>
      </w:r>
      <w:r>
        <w:rPr>
          <w:rFonts w:hint="eastAsia" w:ascii="仿宋" w:hAnsi="仿宋" w:eastAsia="仿宋" w:cs="仿宋"/>
          <w:b w:val="0"/>
          <w:bCs/>
          <w:color w:val="auto"/>
          <w:highlight w:val="none"/>
          <w:lang w:val="en-US" w:eastAsia="zh-CN"/>
        </w:rPr>
        <w:t>投标文件中需提供</w:t>
      </w:r>
      <w:r>
        <w:rPr>
          <w:rFonts w:hint="eastAsia" w:ascii="仿宋" w:eastAsia="仿宋"/>
          <w:b w:val="0"/>
          <w:bCs/>
          <w:color w:val="auto"/>
          <w:szCs w:val="21"/>
          <w:highlight w:val="none"/>
        </w:rPr>
        <w:t>合同协议书（或中标通知书）</w:t>
      </w:r>
      <w:r>
        <w:rPr>
          <w:rFonts w:hint="eastAsia" w:ascii="仿宋" w:eastAsia="仿宋"/>
          <w:b w:val="0"/>
          <w:bCs/>
          <w:color w:val="auto"/>
          <w:szCs w:val="21"/>
          <w:highlight w:val="none"/>
          <w:lang w:val="en-US" w:eastAsia="zh-CN"/>
        </w:rPr>
        <w:t>复印件</w:t>
      </w:r>
      <w:r>
        <w:rPr>
          <w:rFonts w:hint="eastAsia" w:ascii="仿宋" w:hAnsi="仿宋" w:eastAsia="仿宋" w:cs="仿宋"/>
          <w:b w:val="0"/>
          <w:bCs/>
          <w:color w:val="auto"/>
          <w:highlight w:val="none"/>
        </w:rPr>
        <w:t>。</w:t>
      </w:r>
      <w:r>
        <w:rPr>
          <w:rFonts w:hint="eastAsia" w:ascii="仿宋" w:hAnsi="仿宋" w:eastAsia="仿宋" w:cs="仿宋"/>
          <w:b/>
          <w:color w:val="auto"/>
          <w:highlight w:val="none"/>
        </w:rPr>
        <w:br w:type="page"/>
      </w:r>
    </w:p>
    <w:p>
      <w:pPr>
        <w:pStyle w:val="24"/>
        <w:shd w:val="clear"/>
        <w:rPr>
          <w:color w:val="auto"/>
          <w:highlight w:val="none"/>
        </w:rPr>
      </w:pPr>
    </w:p>
    <w:p>
      <w:pPr>
        <w:shd w:val="clear"/>
        <w:spacing w:line="360" w:lineRule="auto"/>
        <w:jc w:val="center"/>
        <w:outlineLvl w:val="0"/>
        <w:rPr>
          <w:rFonts w:ascii="仿宋" w:hAnsi="仿宋" w:eastAsia="仿宋" w:cs="仿宋_GB2312"/>
          <w:b/>
          <w:color w:val="auto"/>
          <w:sz w:val="36"/>
          <w:szCs w:val="36"/>
          <w:highlight w:val="none"/>
        </w:rPr>
      </w:pPr>
      <w:bookmarkStart w:id="30" w:name="_Toc28740"/>
      <w:r>
        <w:rPr>
          <w:rFonts w:hint="eastAsia" w:ascii="仿宋" w:hAnsi="仿宋" w:eastAsia="仿宋" w:cs="仿宋_GB2312"/>
          <w:b/>
          <w:color w:val="auto"/>
          <w:sz w:val="36"/>
          <w:szCs w:val="36"/>
          <w:highlight w:val="none"/>
        </w:rPr>
        <w:t xml:space="preserve">第四部分   </w:t>
      </w:r>
      <w:bookmarkStart w:id="31" w:name="_Toc184308102"/>
      <w:bookmarkEnd w:id="31"/>
      <w:bookmarkStart w:id="32" w:name="_Toc184313275"/>
      <w:bookmarkEnd w:id="32"/>
      <w:bookmarkStart w:id="33" w:name="_Toc184310324"/>
      <w:bookmarkEnd w:id="33"/>
      <w:bookmarkStart w:id="34" w:name="_Toc184313279"/>
      <w:bookmarkEnd w:id="34"/>
      <w:bookmarkStart w:id="35" w:name="_Toc184308058"/>
      <w:bookmarkEnd w:id="35"/>
      <w:bookmarkStart w:id="36" w:name="_Toc184308079"/>
      <w:bookmarkEnd w:id="36"/>
      <w:bookmarkStart w:id="37" w:name="_Toc184313278"/>
      <w:bookmarkEnd w:id="37"/>
      <w:bookmarkStart w:id="38" w:name="_Toc184314414"/>
      <w:bookmarkEnd w:id="38"/>
      <w:bookmarkStart w:id="39" w:name="_Toc184312107"/>
      <w:bookmarkEnd w:id="39"/>
      <w:bookmarkStart w:id="40" w:name="_Toc184310310"/>
      <w:bookmarkEnd w:id="40"/>
      <w:bookmarkStart w:id="41" w:name="_Toc184313288"/>
      <w:bookmarkEnd w:id="41"/>
      <w:bookmarkStart w:id="42" w:name="_Toc184314441"/>
      <w:bookmarkEnd w:id="42"/>
      <w:bookmarkStart w:id="43" w:name="_Toc184314419"/>
      <w:bookmarkEnd w:id="43"/>
      <w:bookmarkStart w:id="44" w:name="_Toc184310291"/>
      <w:bookmarkEnd w:id="44"/>
      <w:bookmarkStart w:id="45" w:name="_Toc184313256"/>
      <w:bookmarkEnd w:id="45"/>
      <w:bookmarkStart w:id="46" w:name="_Toc184314464"/>
      <w:bookmarkEnd w:id="46"/>
      <w:bookmarkStart w:id="47" w:name="_Toc184310309"/>
      <w:bookmarkEnd w:id="47"/>
      <w:bookmarkStart w:id="48" w:name="_Toc184312101"/>
      <w:bookmarkEnd w:id="48"/>
      <w:bookmarkStart w:id="49" w:name="_Toc184313254"/>
      <w:bookmarkEnd w:id="49"/>
      <w:bookmarkStart w:id="50" w:name="_Toc184312093"/>
      <w:bookmarkEnd w:id="50"/>
      <w:bookmarkStart w:id="51" w:name="_Toc184310334"/>
      <w:bookmarkEnd w:id="51"/>
      <w:bookmarkStart w:id="52" w:name="_Toc184310316"/>
      <w:bookmarkEnd w:id="52"/>
      <w:bookmarkStart w:id="53" w:name="_Toc184314461"/>
      <w:bookmarkEnd w:id="53"/>
      <w:bookmarkStart w:id="54" w:name="_Toc184312095"/>
      <w:bookmarkEnd w:id="54"/>
      <w:bookmarkStart w:id="55" w:name="_Toc184314481"/>
      <w:bookmarkEnd w:id="55"/>
      <w:bookmarkStart w:id="56" w:name="_Toc184310337"/>
      <w:bookmarkEnd w:id="56"/>
      <w:bookmarkStart w:id="57" w:name="_Toc184313306"/>
      <w:bookmarkEnd w:id="57"/>
      <w:bookmarkStart w:id="58" w:name="_Toc184308077"/>
      <w:bookmarkEnd w:id="58"/>
      <w:bookmarkStart w:id="59" w:name="_Toc184310319"/>
      <w:bookmarkEnd w:id="59"/>
      <w:bookmarkStart w:id="60" w:name="_Toc184314437"/>
      <w:bookmarkEnd w:id="60"/>
      <w:bookmarkStart w:id="61" w:name="_Toc184312118"/>
      <w:bookmarkEnd w:id="61"/>
      <w:bookmarkStart w:id="62" w:name="_Toc184312133"/>
      <w:bookmarkEnd w:id="62"/>
      <w:bookmarkStart w:id="63" w:name="_Toc184314428"/>
      <w:bookmarkEnd w:id="63"/>
      <w:bookmarkStart w:id="64" w:name="_Toc184313242"/>
      <w:bookmarkEnd w:id="64"/>
      <w:bookmarkStart w:id="65" w:name="_Toc184313250"/>
      <w:bookmarkEnd w:id="65"/>
      <w:bookmarkStart w:id="66" w:name="_Toc184310323"/>
      <w:bookmarkEnd w:id="66"/>
      <w:bookmarkStart w:id="67" w:name="_Toc184310325"/>
      <w:bookmarkEnd w:id="67"/>
      <w:bookmarkStart w:id="68" w:name="_Toc184314426"/>
      <w:bookmarkEnd w:id="68"/>
      <w:bookmarkStart w:id="69" w:name="_Toc184312108"/>
      <w:bookmarkEnd w:id="69"/>
      <w:bookmarkStart w:id="70" w:name="_Toc184308053"/>
      <w:bookmarkEnd w:id="70"/>
      <w:bookmarkStart w:id="71" w:name="_Toc184313249"/>
      <w:bookmarkEnd w:id="71"/>
      <w:bookmarkStart w:id="72" w:name="_Toc184314472"/>
      <w:bookmarkEnd w:id="72"/>
      <w:bookmarkStart w:id="73" w:name="_Toc184310318"/>
      <w:bookmarkEnd w:id="73"/>
      <w:bookmarkStart w:id="74" w:name="_Toc184312117"/>
      <w:bookmarkEnd w:id="74"/>
      <w:bookmarkStart w:id="75" w:name="_Toc184312096"/>
      <w:bookmarkEnd w:id="75"/>
      <w:bookmarkStart w:id="76" w:name="_Toc184310303"/>
      <w:bookmarkEnd w:id="76"/>
      <w:bookmarkStart w:id="77" w:name="_Toc184310283"/>
      <w:bookmarkEnd w:id="77"/>
      <w:bookmarkStart w:id="78" w:name="_Toc184308061"/>
      <w:bookmarkEnd w:id="78"/>
      <w:bookmarkStart w:id="79" w:name="_Toc184308067"/>
      <w:bookmarkEnd w:id="79"/>
      <w:bookmarkStart w:id="80" w:name="_Toc184312071"/>
      <w:bookmarkEnd w:id="80"/>
      <w:bookmarkStart w:id="81" w:name="_Toc184308091"/>
      <w:bookmarkEnd w:id="81"/>
      <w:bookmarkStart w:id="82" w:name="_Toc184314469"/>
      <w:bookmarkEnd w:id="82"/>
      <w:bookmarkStart w:id="83" w:name="_Toc184312124"/>
      <w:bookmarkEnd w:id="83"/>
      <w:bookmarkStart w:id="84" w:name="_Toc184310326"/>
      <w:bookmarkEnd w:id="84"/>
      <w:bookmarkStart w:id="85" w:name="_Toc184313243"/>
      <w:bookmarkEnd w:id="85"/>
      <w:bookmarkStart w:id="86" w:name="_Toc184314450"/>
      <w:bookmarkEnd w:id="86"/>
      <w:bookmarkStart w:id="87" w:name="_Toc184314480"/>
      <w:bookmarkEnd w:id="87"/>
      <w:bookmarkStart w:id="88" w:name="_Toc184312103"/>
      <w:bookmarkEnd w:id="88"/>
      <w:bookmarkStart w:id="89" w:name="_Toc184314466"/>
      <w:bookmarkEnd w:id="89"/>
      <w:bookmarkStart w:id="90" w:name="_Toc184308101"/>
      <w:bookmarkEnd w:id="90"/>
      <w:bookmarkStart w:id="91" w:name="_Toc184310273"/>
      <w:bookmarkEnd w:id="91"/>
      <w:bookmarkStart w:id="92" w:name="_Toc184308062"/>
      <w:bookmarkEnd w:id="92"/>
      <w:bookmarkStart w:id="93" w:name="_Toc184313282"/>
      <w:bookmarkEnd w:id="93"/>
      <w:bookmarkStart w:id="94" w:name="_Toc184314432"/>
      <w:bookmarkEnd w:id="94"/>
      <w:bookmarkStart w:id="95" w:name="_Toc184310329"/>
      <w:bookmarkEnd w:id="95"/>
      <w:bookmarkStart w:id="96" w:name="_Toc184312074"/>
      <w:bookmarkEnd w:id="96"/>
      <w:bookmarkStart w:id="97" w:name="_Toc184308047"/>
      <w:bookmarkEnd w:id="97"/>
      <w:bookmarkStart w:id="98" w:name="_Toc184312129"/>
      <w:bookmarkEnd w:id="98"/>
      <w:bookmarkStart w:id="99" w:name="_Toc184308048"/>
      <w:bookmarkEnd w:id="99"/>
      <w:bookmarkStart w:id="100" w:name="_Toc184308087"/>
      <w:bookmarkEnd w:id="100"/>
      <w:bookmarkStart w:id="101" w:name="_Toc184308064"/>
      <w:bookmarkEnd w:id="101"/>
      <w:bookmarkStart w:id="102" w:name="_Toc184313295"/>
      <w:bookmarkEnd w:id="102"/>
      <w:bookmarkStart w:id="103" w:name="_Toc184312116"/>
      <w:bookmarkEnd w:id="103"/>
      <w:bookmarkStart w:id="104" w:name="_Toc184312098"/>
      <w:bookmarkEnd w:id="104"/>
      <w:bookmarkStart w:id="105" w:name="_Toc184313255"/>
      <w:bookmarkEnd w:id="105"/>
      <w:bookmarkStart w:id="106" w:name="_Toc184310278"/>
      <w:bookmarkEnd w:id="106"/>
      <w:bookmarkStart w:id="107" w:name="_Toc184313257"/>
      <w:bookmarkEnd w:id="107"/>
      <w:bookmarkStart w:id="108" w:name="_Toc184313310"/>
      <w:bookmarkEnd w:id="108"/>
      <w:bookmarkStart w:id="109" w:name="_Toc184310282"/>
      <w:bookmarkEnd w:id="109"/>
      <w:bookmarkStart w:id="110" w:name="_Toc184308084"/>
      <w:bookmarkEnd w:id="110"/>
      <w:bookmarkStart w:id="111" w:name="_Toc184313277"/>
      <w:bookmarkEnd w:id="111"/>
      <w:bookmarkStart w:id="112" w:name="_Toc184310322"/>
      <w:bookmarkEnd w:id="112"/>
      <w:bookmarkStart w:id="113" w:name="_Toc184314449"/>
      <w:bookmarkEnd w:id="113"/>
      <w:bookmarkStart w:id="114" w:name="_Toc184308071"/>
      <w:bookmarkEnd w:id="114"/>
      <w:bookmarkStart w:id="115" w:name="_Toc184314460"/>
      <w:bookmarkEnd w:id="115"/>
      <w:bookmarkStart w:id="116" w:name="_Toc184310311"/>
      <w:bookmarkEnd w:id="116"/>
      <w:bookmarkStart w:id="117" w:name="_Toc184313272"/>
      <w:bookmarkEnd w:id="117"/>
      <w:bookmarkStart w:id="118" w:name="_Toc184308095"/>
      <w:bookmarkEnd w:id="118"/>
      <w:bookmarkStart w:id="119" w:name="_Toc184313302"/>
      <w:bookmarkEnd w:id="119"/>
      <w:bookmarkStart w:id="120" w:name="_Toc184313304"/>
      <w:bookmarkEnd w:id="120"/>
      <w:bookmarkStart w:id="121" w:name="_Toc184310341"/>
      <w:bookmarkEnd w:id="121"/>
      <w:bookmarkStart w:id="122" w:name="_Toc184308039"/>
      <w:bookmarkEnd w:id="122"/>
      <w:bookmarkStart w:id="123" w:name="_Toc184313290"/>
      <w:bookmarkEnd w:id="123"/>
      <w:bookmarkStart w:id="124" w:name="_Toc184310333"/>
      <w:bookmarkEnd w:id="124"/>
      <w:bookmarkStart w:id="125" w:name="_Toc184308083"/>
      <w:bookmarkEnd w:id="125"/>
      <w:bookmarkStart w:id="126" w:name="_Toc184312113"/>
      <w:bookmarkEnd w:id="126"/>
      <w:bookmarkStart w:id="127" w:name="_Toc184312089"/>
      <w:bookmarkEnd w:id="127"/>
      <w:bookmarkStart w:id="128" w:name="_Toc184314479"/>
      <w:bookmarkEnd w:id="128"/>
      <w:bookmarkStart w:id="129" w:name="_Toc184313248"/>
      <w:bookmarkEnd w:id="129"/>
      <w:bookmarkStart w:id="130" w:name="_Toc184314443"/>
      <w:bookmarkEnd w:id="130"/>
      <w:bookmarkStart w:id="131" w:name="_Toc184310308"/>
      <w:bookmarkEnd w:id="131"/>
      <w:bookmarkStart w:id="132" w:name="_Toc184312131"/>
      <w:bookmarkEnd w:id="132"/>
      <w:bookmarkStart w:id="133" w:name="_Toc184313259"/>
      <w:bookmarkEnd w:id="133"/>
      <w:bookmarkStart w:id="134" w:name="_Toc184313251"/>
      <w:bookmarkEnd w:id="134"/>
      <w:bookmarkStart w:id="135" w:name="_Toc184312136"/>
      <w:bookmarkEnd w:id="135"/>
      <w:bookmarkStart w:id="136" w:name="_Toc184313283"/>
      <w:bookmarkEnd w:id="136"/>
      <w:bookmarkStart w:id="137" w:name="_Toc184310290"/>
      <w:bookmarkEnd w:id="137"/>
      <w:bookmarkStart w:id="138" w:name="_Toc184314422"/>
      <w:bookmarkEnd w:id="138"/>
      <w:bookmarkStart w:id="139" w:name="_Toc184312139"/>
      <w:bookmarkEnd w:id="139"/>
      <w:bookmarkStart w:id="140" w:name="_Toc184313246"/>
      <w:bookmarkEnd w:id="140"/>
      <w:bookmarkStart w:id="141" w:name="_Toc184313268"/>
      <w:bookmarkEnd w:id="141"/>
      <w:bookmarkStart w:id="142" w:name="_Toc184310276"/>
      <w:bookmarkEnd w:id="142"/>
      <w:bookmarkStart w:id="143" w:name="_Toc184312085"/>
      <w:bookmarkEnd w:id="143"/>
      <w:bookmarkStart w:id="144" w:name="_Toc184308100"/>
      <w:bookmarkEnd w:id="144"/>
      <w:bookmarkStart w:id="145" w:name="_Toc184308103"/>
      <w:bookmarkEnd w:id="145"/>
      <w:bookmarkStart w:id="146" w:name="_Toc184312126"/>
      <w:bookmarkEnd w:id="146"/>
      <w:bookmarkStart w:id="147" w:name="_Toc184308059"/>
      <w:bookmarkEnd w:id="147"/>
      <w:bookmarkStart w:id="148" w:name="_Toc184308066"/>
      <w:bookmarkEnd w:id="148"/>
      <w:bookmarkStart w:id="149" w:name="_Toc184313292"/>
      <w:bookmarkEnd w:id="149"/>
      <w:bookmarkStart w:id="150" w:name="_Toc184308082"/>
      <w:bookmarkEnd w:id="150"/>
      <w:bookmarkStart w:id="151" w:name="_Toc184308065"/>
      <w:bookmarkEnd w:id="151"/>
      <w:bookmarkStart w:id="152" w:name="_Toc184314439"/>
      <w:bookmarkEnd w:id="152"/>
      <w:bookmarkStart w:id="153" w:name="_Toc184310336"/>
      <w:bookmarkEnd w:id="153"/>
      <w:bookmarkStart w:id="154" w:name="_Toc184314444"/>
      <w:bookmarkEnd w:id="154"/>
      <w:bookmarkStart w:id="155" w:name="_Toc184308096"/>
      <w:bookmarkEnd w:id="155"/>
      <w:bookmarkStart w:id="156" w:name="_Toc184314471"/>
      <w:bookmarkEnd w:id="156"/>
      <w:bookmarkStart w:id="157" w:name="_Toc184308049"/>
      <w:bookmarkEnd w:id="157"/>
      <w:bookmarkStart w:id="158" w:name="_Toc184313240"/>
      <w:bookmarkEnd w:id="158"/>
      <w:bookmarkStart w:id="159" w:name="_Toc184314457"/>
      <w:bookmarkEnd w:id="159"/>
      <w:bookmarkStart w:id="160" w:name="_Toc184313261"/>
      <w:bookmarkEnd w:id="160"/>
      <w:bookmarkStart w:id="161" w:name="_Toc184314424"/>
      <w:bookmarkEnd w:id="161"/>
      <w:bookmarkStart w:id="162" w:name="_Toc184312069"/>
      <w:bookmarkEnd w:id="162"/>
      <w:bookmarkStart w:id="163" w:name="_Toc184312115"/>
      <w:bookmarkEnd w:id="163"/>
      <w:bookmarkStart w:id="164" w:name="_Toc184308055"/>
      <w:bookmarkEnd w:id="164"/>
      <w:bookmarkStart w:id="165" w:name="_Toc184308099"/>
      <w:bookmarkEnd w:id="165"/>
      <w:bookmarkStart w:id="166" w:name="_Toc184308037"/>
      <w:bookmarkEnd w:id="166"/>
      <w:bookmarkStart w:id="167" w:name="_Toc184314425"/>
      <w:bookmarkEnd w:id="167"/>
      <w:bookmarkStart w:id="168" w:name="_Toc184312138"/>
      <w:bookmarkEnd w:id="168"/>
      <w:bookmarkStart w:id="169" w:name="_Toc184313274"/>
      <w:bookmarkEnd w:id="169"/>
      <w:bookmarkStart w:id="170" w:name="_Toc184310331"/>
      <w:bookmarkEnd w:id="170"/>
      <w:bookmarkStart w:id="171" w:name="_Toc184308074"/>
      <w:bookmarkEnd w:id="171"/>
      <w:bookmarkStart w:id="172" w:name="_Toc184313260"/>
      <w:bookmarkEnd w:id="172"/>
      <w:bookmarkStart w:id="173" w:name="_Toc184308106"/>
      <w:bookmarkEnd w:id="173"/>
      <w:bookmarkStart w:id="174" w:name="_Toc184310279"/>
      <w:bookmarkEnd w:id="174"/>
      <w:bookmarkStart w:id="175" w:name="_Toc184314474"/>
      <w:bookmarkEnd w:id="175"/>
      <w:bookmarkStart w:id="176" w:name="_Toc184310284"/>
      <w:bookmarkEnd w:id="176"/>
      <w:bookmarkStart w:id="177" w:name="_Toc184310339"/>
      <w:bookmarkEnd w:id="177"/>
      <w:bookmarkStart w:id="178" w:name="_Toc184312081"/>
      <w:bookmarkEnd w:id="178"/>
      <w:bookmarkStart w:id="179" w:name="_Toc184312087"/>
      <w:bookmarkEnd w:id="179"/>
      <w:bookmarkStart w:id="180" w:name="_Toc184314455"/>
      <w:bookmarkEnd w:id="180"/>
      <w:bookmarkStart w:id="181" w:name="_Toc184308090"/>
      <w:bookmarkEnd w:id="181"/>
      <w:bookmarkStart w:id="182" w:name="_Toc184314462"/>
      <w:bookmarkEnd w:id="182"/>
      <w:bookmarkStart w:id="183" w:name="_Toc184312068"/>
      <w:bookmarkEnd w:id="183"/>
      <w:bookmarkStart w:id="184" w:name="_Toc184308078"/>
      <w:bookmarkEnd w:id="184"/>
      <w:bookmarkStart w:id="185" w:name="_Toc184310340"/>
      <w:bookmarkEnd w:id="185"/>
      <w:bookmarkStart w:id="186" w:name="_Toc184310301"/>
      <w:bookmarkEnd w:id="186"/>
      <w:bookmarkStart w:id="187" w:name="_Toc184308097"/>
      <w:bookmarkEnd w:id="187"/>
      <w:bookmarkStart w:id="188" w:name="_Toc184310299"/>
      <w:bookmarkEnd w:id="188"/>
      <w:bookmarkStart w:id="189" w:name="_Toc184312100"/>
      <w:bookmarkEnd w:id="189"/>
      <w:bookmarkStart w:id="190" w:name="_Toc184308054"/>
      <w:bookmarkEnd w:id="190"/>
      <w:bookmarkStart w:id="191" w:name="_Toc184313267"/>
      <w:bookmarkEnd w:id="191"/>
      <w:bookmarkStart w:id="192" w:name="_Toc184314410"/>
      <w:bookmarkEnd w:id="192"/>
      <w:bookmarkStart w:id="193" w:name="_Toc184310289"/>
      <w:bookmarkEnd w:id="193"/>
      <w:bookmarkStart w:id="194" w:name="_Toc184313264"/>
      <w:bookmarkEnd w:id="194"/>
      <w:bookmarkStart w:id="195" w:name="_Toc184308057"/>
      <w:bookmarkEnd w:id="195"/>
      <w:bookmarkStart w:id="196" w:name="_Toc184308081"/>
      <w:bookmarkEnd w:id="196"/>
      <w:bookmarkStart w:id="197" w:name="_Toc184308085"/>
      <w:bookmarkEnd w:id="197"/>
      <w:bookmarkStart w:id="198" w:name="_Toc184310281"/>
      <w:bookmarkEnd w:id="198"/>
      <w:bookmarkStart w:id="199" w:name="_Toc184310302"/>
      <w:bookmarkEnd w:id="199"/>
      <w:bookmarkStart w:id="200" w:name="_Toc184312070"/>
      <w:bookmarkEnd w:id="200"/>
      <w:bookmarkStart w:id="201" w:name="_Toc184313297"/>
      <w:bookmarkEnd w:id="201"/>
      <w:bookmarkStart w:id="202" w:name="_Toc184313299"/>
      <w:bookmarkEnd w:id="202"/>
      <w:bookmarkStart w:id="203" w:name="_Toc184312084"/>
      <w:bookmarkEnd w:id="203"/>
      <w:bookmarkStart w:id="204" w:name="_Toc184314420"/>
      <w:bookmarkEnd w:id="204"/>
      <w:bookmarkStart w:id="205" w:name="_Toc184313247"/>
      <w:bookmarkEnd w:id="205"/>
      <w:bookmarkStart w:id="206" w:name="_Toc184313280"/>
      <w:bookmarkEnd w:id="206"/>
      <w:bookmarkStart w:id="207" w:name="_Toc184312114"/>
      <w:bookmarkEnd w:id="207"/>
      <w:bookmarkStart w:id="208" w:name="_Toc184310327"/>
      <w:bookmarkEnd w:id="208"/>
      <w:bookmarkStart w:id="209" w:name="_Toc184314470"/>
      <w:bookmarkEnd w:id="209"/>
      <w:bookmarkStart w:id="210" w:name="_Toc184314476"/>
      <w:bookmarkEnd w:id="210"/>
      <w:bookmarkStart w:id="211" w:name="_Toc184314465"/>
      <w:bookmarkEnd w:id="211"/>
      <w:bookmarkStart w:id="212" w:name="_Toc184312109"/>
      <w:bookmarkEnd w:id="212"/>
      <w:bookmarkStart w:id="213" w:name="_Toc184314478"/>
      <w:bookmarkEnd w:id="213"/>
      <w:bookmarkStart w:id="214" w:name="_Toc184310313"/>
      <w:bookmarkEnd w:id="214"/>
      <w:bookmarkStart w:id="215" w:name="_Toc184310272"/>
      <w:bookmarkEnd w:id="215"/>
      <w:bookmarkStart w:id="216" w:name="_Toc184310328"/>
      <w:bookmarkEnd w:id="216"/>
      <w:bookmarkStart w:id="217" w:name="_Toc184310277"/>
      <w:bookmarkEnd w:id="217"/>
      <w:bookmarkStart w:id="218" w:name="_Toc184313263"/>
      <w:bookmarkEnd w:id="218"/>
      <w:bookmarkStart w:id="219" w:name="_Toc184308104"/>
      <w:bookmarkEnd w:id="219"/>
      <w:bookmarkStart w:id="220" w:name="_Toc184312121"/>
      <w:bookmarkEnd w:id="220"/>
      <w:bookmarkStart w:id="221" w:name="_Toc184310320"/>
      <w:bookmarkEnd w:id="221"/>
      <w:bookmarkStart w:id="222" w:name="_Toc184314429"/>
      <w:bookmarkEnd w:id="222"/>
      <w:bookmarkStart w:id="223" w:name="_Toc184313286"/>
      <w:bookmarkEnd w:id="223"/>
      <w:bookmarkStart w:id="224" w:name="_Toc184310293"/>
      <w:bookmarkEnd w:id="224"/>
      <w:bookmarkStart w:id="225" w:name="_Toc184313294"/>
      <w:bookmarkEnd w:id="225"/>
      <w:bookmarkStart w:id="226" w:name="_Toc184312076"/>
      <w:bookmarkEnd w:id="226"/>
      <w:bookmarkStart w:id="227" w:name="_Toc184308045"/>
      <w:bookmarkEnd w:id="227"/>
      <w:bookmarkStart w:id="228" w:name="_Toc184312112"/>
      <w:bookmarkEnd w:id="228"/>
      <w:bookmarkStart w:id="229" w:name="_Toc184313266"/>
      <w:bookmarkEnd w:id="229"/>
      <w:bookmarkStart w:id="230" w:name="_Toc184310330"/>
      <w:bookmarkEnd w:id="230"/>
      <w:bookmarkStart w:id="231" w:name="_Toc184313241"/>
      <w:bookmarkEnd w:id="231"/>
      <w:bookmarkStart w:id="232" w:name="_Toc184313305"/>
      <w:bookmarkEnd w:id="232"/>
      <w:bookmarkStart w:id="233" w:name="_Toc184308050"/>
      <w:bookmarkEnd w:id="233"/>
      <w:bookmarkStart w:id="234" w:name="_Toc184308094"/>
      <w:bookmarkEnd w:id="234"/>
      <w:bookmarkStart w:id="235" w:name="_Toc184313287"/>
      <w:bookmarkEnd w:id="235"/>
      <w:bookmarkStart w:id="236" w:name="_Toc184313285"/>
      <w:bookmarkEnd w:id="236"/>
      <w:bookmarkStart w:id="237" w:name="_Toc184310321"/>
      <w:bookmarkEnd w:id="237"/>
      <w:bookmarkStart w:id="238" w:name="_Toc184313262"/>
      <w:bookmarkEnd w:id="238"/>
      <w:bookmarkStart w:id="239" w:name="_Toc184313258"/>
      <w:bookmarkEnd w:id="239"/>
      <w:bookmarkStart w:id="240" w:name="_Toc184312097"/>
      <w:bookmarkEnd w:id="240"/>
      <w:bookmarkStart w:id="241" w:name="_Toc184312072"/>
      <w:bookmarkEnd w:id="241"/>
      <w:bookmarkStart w:id="242" w:name="_Toc184312125"/>
      <w:bookmarkEnd w:id="242"/>
      <w:bookmarkStart w:id="243" w:name="_Toc184308042"/>
      <w:bookmarkEnd w:id="243"/>
      <w:bookmarkStart w:id="244" w:name="_Toc184314448"/>
      <w:bookmarkEnd w:id="244"/>
      <w:bookmarkStart w:id="245" w:name="_Toc184310312"/>
      <w:bookmarkEnd w:id="245"/>
      <w:bookmarkStart w:id="246" w:name="_Toc184313293"/>
      <w:bookmarkEnd w:id="246"/>
      <w:bookmarkStart w:id="247" w:name="_Toc184312082"/>
      <w:bookmarkEnd w:id="247"/>
      <w:bookmarkStart w:id="248" w:name="_Toc184308092"/>
      <w:bookmarkEnd w:id="248"/>
      <w:bookmarkStart w:id="249" w:name="_Toc184312079"/>
      <w:bookmarkEnd w:id="249"/>
      <w:bookmarkStart w:id="250" w:name="_Toc184310307"/>
      <w:bookmarkEnd w:id="250"/>
      <w:bookmarkStart w:id="251" w:name="_Toc184308069"/>
      <w:bookmarkEnd w:id="251"/>
      <w:bookmarkStart w:id="252" w:name="_Toc184314435"/>
      <w:bookmarkEnd w:id="252"/>
      <w:bookmarkStart w:id="253" w:name="_Toc184313303"/>
      <w:bookmarkEnd w:id="253"/>
      <w:bookmarkStart w:id="254" w:name="_Toc184312122"/>
      <w:bookmarkEnd w:id="254"/>
      <w:bookmarkStart w:id="255" w:name="_Toc184310332"/>
      <w:bookmarkEnd w:id="255"/>
      <w:bookmarkStart w:id="256" w:name="_Toc184312134"/>
      <w:bookmarkEnd w:id="256"/>
      <w:bookmarkStart w:id="257" w:name="_Toc184308056"/>
      <w:bookmarkEnd w:id="257"/>
      <w:bookmarkStart w:id="258" w:name="_Toc184312073"/>
      <w:bookmarkEnd w:id="258"/>
      <w:bookmarkStart w:id="259" w:name="_Toc184308043"/>
      <w:bookmarkEnd w:id="259"/>
      <w:bookmarkStart w:id="260" w:name="_Toc184310338"/>
      <w:bookmarkEnd w:id="260"/>
      <w:bookmarkStart w:id="261" w:name="_Toc184308075"/>
      <w:bookmarkEnd w:id="261"/>
      <w:bookmarkStart w:id="262" w:name="_Toc184312130"/>
      <w:bookmarkEnd w:id="262"/>
      <w:bookmarkStart w:id="263" w:name="_Toc184314430"/>
      <w:bookmarkEnd w:id="263"/>
      <w:bookmarkStart w:id="264" w:name="_Toc184313239"/>
      <w:bookmarkEnd w:id="264"/>
      <w:bookmarkStart w:id="265" w:name="_Toc184310287"/>
      <w:bookmarkEnd w:id="265"/>
      <w:bookmarkStart w:id="266" w:name="_Toc184310306"/>
      <w:bookmarkEnd w:id="266"/>
      <w:bookmarkStart w:id="267" w:name="_Toc184310295"/>
      <w:bookmarkEnd w:id="267"/>
      <w:bookmarkStart w:id="268" w:name="_Toc184314459"/>
      <w:bookmarkEnd w:id="268"/>
      <w:bookmarkStart w:id="269" w:name="_Toc184312099"/>
      <w:bookmarkEnd w:id="269"/>
      <w:bookmarkStart w:id="270" w:name="_Toc184310280"/>
      <w:bookmarkEnd w:id="270"/>
      <w:bookmarkStart w:id="271" w:name="_Toc184310305"/>
      <w:bookmarkEnd w:id="271"/>
      <w:bookmarkStart w:id="272" w:name="_Toc184308052"/>
      <w:bookmarkEnd w:id="272"/>
      <w:bookmarkStart w:id="273" w:name="_Toc184308046"/>
      <w:bookmarkEnd w:id="273"/>
      <w:bookmarkStart w:id="274" w:name="_Toc184312137"/>
      <w:bookmarkEnd w:id="274"/>
      <w:bookmarkStart w:id="275" w:name="_Toc184310314"/>
      <w:bookmarkEnd w:id="275"/>
      <w:bookmarkStart w:id="276" w:name="_Toc184313301"/>
      <w:bookmarkEnd w:id="276"/>
      <w:bookmarkStart w:id="277" w:name="_Toc184313244"/>
      <w:bookmarkEnd w:id="277"/>
      <w:bookmarkStart w:id="278" w:name="_Toc184312135"/>
      <w:bookmarkEnd w:id="278"/>
      <w:bookmarkStart w:id="279" w:name="_Toc184308105"/>
      <w:bookmarkEnd w:id="279"/>
      <w:bookmarkStart w:id="280" w:name="_Toc184314416"/>
      <w:bookmarkEnd w:id="280"/>
      <w:bookmarkStart w:id="281" w:name="_Toc184312086"/>
      <w:bookmarkEnd w:id="281"/>
      <w:bookmarkStart w:id="282" w:name="_Toc184313265"/>
      <w:bookmarkEnd w:id="282"/>
      <w:bookmarkStart w:id="283" w:name="_Toc184314451"/>
      <w:bookmarkEnd w:id="283"/>
      <w:bookmarkStart w:id="284" w:name="_Toc184312104"/>
      <w:bookmarkEnd w:id="284"/>
      <w:bookmarkStart w:id="285" w:name="_Toc184312123"/>
      <w:bookmarkEnd w:id="285"/>
      <w:bookmarkStart w:id="286" w:name="_Toc184314440"/>
      <w:bookmarkEnd w:id="286"/>
      <w:bookmarkStart w:id="287" w:name="_Toc184313298"/>
      <w:bookmarkEnd w:id="287"/>
      <w:bookmarkStart w:id="288" w:name="_Toc184314447"/>
      <w:bookmarkEnd w:id="288"/>
      <w:bookmarkStart w:id="289" w:name="_Toc184313245"/>
      <w:bookmarkEnd w:id="289"/>
      <w:bookmarkStart w:id="290" w:name="_Toc184310285"/>
      <w:bookmarkEnd w:id="290"/>
      <w:bookmarkStart w:id="291" w:name="_Toc184312083"/>
      <w:bookmarkEnd w:id="291"/>
      <w:bookmarkStart w:id="292" w:name="_Toc184308089"/>
      <w:bookmarkEnd w:id="292"/>
      <w:bookmarkStart w:id="293" w:name="_Toc184314463"/>
      <w:bookmarkEnd w:id="293"/>
      <w:bookmarkStart w:id="294" w:name="_Toc184310315"/>
      <w:bookmarkEnd w:id="294"/>
      <w:bookmarkStart w:id="295" w:name="_Toc184314454"/>
      <w:bookmarkEnd w:id="295"/>
      <w:bookmarkStart w:id="296" w:name="_Toc184313284"/>
      <w:bookmarkEnd w:id="296"/>
      <w:bookmarkStart w:id="297" w:name="_Toc184314442"/>
      <w:bookmarkEnd w:id="297"/>
      <w:bookmarkStart w:id="298" w:name="_Toc184310298"/>
      <w:bookmarkEnd w:id="298"/>
      <w:bookmarkStart w:id="299" w:name="_Toc184312127"/>
      <w:bookmarkEnd w:id="299"/>
      <w:bookmarkStart w:id="300" w:name="_Toc184313296"/>
      <w:bookmarkEnd w:id="300"/>
      <w:bookmarkStart w:id="301" w:name="_Toc184308088"/>
      <w:bookmarkEnd w:id="301"/>
      <w:bookmarkStart w:id="302" w:name="_Toc184313289"/>
      <w:bookmarkEnd w:id="302"/>
      <w:bookmarkStart w:id="303" w:name="_Toc184308080"/>
      <w:bookmarkEnd w:id="303"/>
      <w:bookmarkStart w:id="304" w:name="_Toc184310343"/>
      <w:bookmarkEnd w:id="304"/>
      <w:bookmarkStart w:id="305" w:name="_Toc184312110"/>
      <w:bookmarkEnd w:id="305"/>
      <w:bookmarkStart w:id="306" w:name="_Toc184313281"/>
      <w:bookmarkEnd w:id="306"/>
      <w:bookmarkStart w:id="307" w:name="_Toc184312091"/>
      <w:bookmarkEnd w:id="307"/>
      <w:bookmarkStart w:id="308" w:name="_Toc184312128"/>
      <w:bookmarkEnd w:id="308"/>
      <w:bookmarkStart w:id="309" w:name="_Toc184308098"/>
      <w:bookmarkEnd w:id="309"/>
      <w:bookmarkStart w:id="310" w:name="_Toc184314413"/>
      <w:bookmarkEnd w:id="310"/>
      <w:bookmarkStart w:id="311" w:name="_Toc184312111"/>
      <w:bookmarkEnd w:id="311"/>
      <w:bookmarkStart w:id="312" w:name="_Toc184308073"/>
      <w:bookmarkEnd w:id="312"/>
      <w:bookmarkStart w:id="313" w:name="_Toc184313253"/>
      <w:bookmarkEnd w:id="313"/>
      <w:bookmarkStart w:id="314" w:name="_Toc184314427"/>
      <w:bookmarkEnd w:id="314"/>
      <w:bookmarkStart w:id="315" w:name="_Toc184314467"/>
      <w:bookmarkEnd w:id="315"/>
      <w:bookmarkStart w:id="316" w:name="_Toc184308108"/>
      <w:bookmarkEnd w:id="316"/>
      <w:bookmarkStart w:id="317" w:name="_Toc184310275"/>
      <w:bookmarkEnd w:id="317"/>
      <w:bookmarkStart w:id="318" w:name="_Toc184314445"/>
      <w:bookmarkEnd w:id="318"/>
      <w:bookmarkStart w:id="319" w:name="_Toc184314456"/>
      <w:bookmarkEnd w:id="319"/>
      <w:bookmarkStart w:id="320" w:name="_Toc184314412"/>
      <w:bookmarkEnd w:id="320"/>
      <w:bookmarkStart w:id="321" w:name="_Toc184308063"/>
      <w:bookmarkEnd w:id="321"/>
      <w:bookmarkStart w:id="322" w:name="_Toc184313269"/>
      <w:bookmarkEnd w:id="322"/>
      <w:bookmarkStart w:id="323" w:name="_Toc184308060"/>
      <w:bookmarkEnd w:id="323"/>
      <w:bookmarkStart w:id="324" w:name="_Toc184312094"/>
      <w:bookmarkEnd w:id="324"/>
      <w:bookmarkStart w:id="325" w:name="_Toc184314477"/>
      <w:bookmarkEnd w:id="325"/>
      <w:bookmarkStart w:id="326" w:name="_Toc184308070"/>
      <w:bookmarkEnd w:id="326"/>
      <w:bookmarkStart w:id="327" w:name="_Toc184313307"/>
      <w:bookmarkEnd w:id="327"/>
      <w:bookmarkStart w:id="328" w:name="_Toc184314473"/>
      <w:bookmarkEnd w:id="328"/>
      <w:bookmarkStart w:id="329" w:name="_Toc184312105"/>
      <w:bookmarkEnd w:id="329"/>
      <w:bookmarkStart w:id="330" w:name="_Toc184313300"/>
      <w:bookmarkEnd w:id="330"/>
      <w:bookmarkStart w:id="331" w:name="_Toc184313309"/>
      <w:bookmarkEnd w:id="331"/>
      <w:bookmarkStart w:id="332" w:name="_Toc184310342"/>
      <w:bookmarkEnd w:id="332"/>
      <w:bookmarkStart w:id="333" w:name="_Toc184314452"/>
      <w:bookmarkEnd w:id="333"/>
      <w:bookmarkStart w:id="334" w:name="_Toc184308076"/>
      <w:bookmarkEnd w:id="334"/>
      <w:bookmarkStart w:id="335" w:name="_Toc184310317"/>
      <w:bookmarkEnd w:id="335"/>
      <w:bookmarkStart w:id="336" w:name="_Toc184314475"/>
      <w:bookmarkEnd w:id="336"/>
      <w:bookmarkStart w:id="337" w:name="_Toc184313252"/>
      <w:bookmarkEnd w:id="337"/>
      <w:bookmarkStart w:id="338" w:name="_Toc184312119"/>
      <w:bookmarkEnd w:id="338"/>
      <w:bookmarkStart w:id="339" w:name="_Toc184308086"/>
      <w:bookmarkEnd w:id="339"/>
      <w:bookmarkStart w:id="340" w:name="_Toc184310335"/>
      <w:bookmarkEnd w:id="340"/>
      <w:bookmarkStart w:id="341" w:name="_Toc184310292"/>
      <w:bookmarkEnd w:id="341"/>
      <w:bookmarkStart w:id="342" w:name="_Toc184310344"/>
      <w:bookmarkEnd w:id="342"/>
      <w:bookmarkStart w:id="343" w:name="_Toc184310300"/>
      <w:bookmarkEnd w:id="343"/>
      <w:bookmarkStart w:id="344" w:name="_Toc184314431"/>
      <w:bookmarkEnd w:id="344"/>
      <w:bookmarkStart w:id="345" w:name="_Toc184312080"/>
      <w:bookmarkEnd w:id="345"/>
      <w:bookmarkStart w:id="346" w:name="_Toc184312075"/>
      <w:bookmarkEnd w:id="346"/>
      <w:bookmarkStart w:id="347" w:name="_Toc184310286"/>
      <w:bookmarkEnd w:id="347"/>
      <w:bookmarkStart w:id="348" w:name="_Toc184312120"/>
      <w:bookmarkEnd w:id="348"/>
      <w:bookmarkStart w:id="349" w:name="_Toc184314421"/>
      <w:bookmarkEnd w:id="349"/>
      <w:bookmarkStart w:id="350" w:name="_Toc184308038"/>
      <w:bookmarkEnd w:id="350"/>
      <w:bookmarkStart w:id="351" w:name="_Toc184312078"/>
      <w:bookmarkEnd w:id="351"/>
      <w:bookmarkStart w:id="352" w:name="_Toc184313271"/>
      <w:bookmarkEnd w:id="352"/>
      <w:bookmarkStart w:id="353" w:name="_Toc184314433"/>
      <w:bookmarkEnd w:id="353"/>
      <w:bookmarkStart w:id="354" w:name="_Toc184308041"/>
      <w:bookmarkEnd w:id="354"/>
      <w:bookmarkStart w:id="355" w:name="_Toc184308036"/>
      <w:bookmarkEnd w:id="355"/>
      <w:bookmarkStart w:id="356" w:name="_Toc184312092"/>
      <w:bookmarkEnd w:id="356"/>
      <w:bookmarkStart w:id="357" w:name="_Toc184314411"/>
      <w:bookmarkEnd w:id="357"/>
      <w:bookmarkStart w:id="358" w:name="_Toc184314436"/>
      <w:bookmarkEnd w:id="358"/>
      <w:bookmarkStart w:id="359" w:name="_Toc184308051"/>
      <w:bookmarkEnd w:id="359"/>
      <w:bookmarkStart w:id="360" w:name="_Toc184312077"/>
      <w:bookmarkEnd w:id="360"/>
      <w:bookmarkStart w:id="361" w:name="_Toc184310288"/>
      <w:bookmarkEnd w:id="361"/>
      <w:bookmarkStart w:id="362" w:name="_Toc184310297"/>
      <w:bookmarkEnd w:id="362"/>
      <w:bookmarkStart w:id="363" w:name="_Toc184312132"/>
      <w:bookmarkEnd w:id="363"/>
      <w:bookmarkStart w:id="364" w:name="_Toc184310304"/>
      <w:bookmarkEnd w:id="364"/>
      <w:bookmarkStart w:id="365" w:name="_Toc184312102"/>
      <w:bookmarkEnd w:id="365"/>
      <w:bookmarkStart w:id="366" w:name="_Toc184314415"/>
      <w:bookmarkEnd w:id="366"/>
      <w:bookmarkStart w:id="367" w:name="_Toc184314453"/>
      <w:bookmarkEnd w:id="367"/>
      <w:bookmarkStart w:id="368" w:name="_Toc184313276"/>
      <w:bookmarkEnd w:id="368"/>
      <w:bookmarkStart w:id="369" w:name="_Toc184312088"/>
      <w:bookmarkEnd w:id="369"/>
      <w:bookmarkStart w:id="370" w:name="_Toc184312090"/>
      <w:bookmarkEnd w:id="370"/>
      <w:bookmarkStart w:id="371" w:name="_Toc184308044"/>
      <w:bookmarkEnd w:id="371"/>
      <w:bookmarkStart w:id="372" w:name="_Toc184313291"/>
      <w:bookmarkEnd w:id="372"/>
      <w:bookmarkStart w:id="373" w:name="_Toc184312067"/>
      <w:bookmarkEnd w:id="373"/>
      <w:bookmarkStart w:id="374" w:name="_Toc184313308"/>
      <w:bookmarkEnd w:id="374"/>
      <w:bookmarkStart w:id="375" w:name="_Toc184310274"/>
      <w:bookmarkEnd w:id="375"/>
      <w:bookmarkStart w:id="376" w:name="_Toc184308040"/>
      <w:bookmarkEnd w:id="376"/>
      <w:bookmarkStart w:id="377" w:name="_Toc184308093"/>
      <w:bookmarkEnd w:id="377"/>
      <w:bookmarkStart w:id="378" w:name="_Toc184310294"/>
      <w:bookmarkEnd w:id="378"/>
      <w:bookmarkStart w:id="379" w:name="_Toc184313238"/>
      <w:bookmarkEnd w:id="379"/>
      <w:bookmarkStart w:id="380" w:name="_Toc184314423"/>
      <w:bookmarkEnd w:id="380"/>
      <w:bookmarkStart w:id="381" w:name="_Toc184314418"/>
      <w:bookmarkEnd w:id="381"/>
      <w:bookmarkStart w:id="382" w:name="_Toc184314458"/>
      <w:bookmarkEnd w:id="382"/>
      <w:bookmarkStart w:id="383" w:name="_Toc184314482"/>
      <w:bookmarkEnd w:id="383"/>
      <w:bookmarkStart w:id="384" w:name="_Toc184314434"/>
      <w:bookmarkEnd w:id="384"/>
      <w:bookmarkStart w:id="385" w:name="_Toc184314468"/>
      <w:bookmarkEnd w:id="385"/>
      <w:bookmarkStart w:id="386" w:name="_Toc184314417"/>
      <w:bookmarkEnd w:id="386"/>
      <w:bookmarkStart w:id="387" w:name="_Toc184310296"/>
      <w:bookmarkEnd w:id="387"/>
      <w:bookmarkStart w:id="388" w:name="_Toc184308072"/>
      <w:bookmarkEnd w:id="388"/>
      <w:bookmarkStart w:id="389" w:name="_Toc184308107"/>
      <w:bookmarkEnd w:id="389"/>
      <w:bookmarkStart w:id="390" w:name="_Toc184314446"/>
      <w:bookmarkEnd w:id="390"/>
      <w:bookmarkStart w:id="391" w:name="_Toc184313273"/>
      <w:bookmarkEnd w:id="391"/>
      <w:bookmarkStart w:id="392" w:name="_Toc184308068"/>
      <w:bookmarkEnd w:id="392"/>
      <w:bookmarkStart w:id="393" w:name="_Toc184312106"/>
      <w:bookmarkEnd w:id="393"/>
      <w:bookmarkStart w:id="394" w:name="_Toc184314438"/>
      <w:bookmarkEnd w:id="394"/>
      <w:bookmarkStart w:id="395" w:name="_Toc184313270"/>
      <w:bookmarkEnd w:id="395"/>
      <w:r>
        <w:rPr>
          <w:rFonts w:hint="eastAsia" w:ascii="仿宋" w:hAnsi="仿宋" w:eastAsia="仿宋" w:cs="仿宋_GB2312"/>
          <w:b/>
          <w:color w:val="auto"/>
          <w:sz w:val="36"/>
          <w:szCs w:val="36"/>
          <w:highlight w:val="none"/>
        </w:rPr>
        <w:t>评标办法</w:t>
      </w:r>
      <w:bookmarkEnd w:id="30"/>
    </w:p>
    <w:p>
      <w:pPr>
        <w:shd w:val="clear"/>
        <w:snapToGrid w:val="0"/>
        <w:spacing w:line="360" w:lineRule="auto"/>
        <w:jc w:val="center"/>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评标办法前附表</w:t>
      </w:r>
    </w:p>
    <w:p>
      <w:pPr>
        <w:shd w:val="clear"/>
        <w:rPr>
          <w:rFonts w:ascii="仿宋" w:hAnsi="仿宋" w:eastAsia="仿宋" w:cs="仿宋"/>
          <w:color w:val="auto"/>
          <w:highlight w:val="none"/>
        </w:rPr>
      </w:pPr>
    </w:p>
    <w:tbl>
      <w:tblPr>
        <w:tblStyle w:val="62"/>
        <w:tblW w:w="53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4207"/>
        <w:gridCol w:w="727"/>
        <w:gridCol w:w="942"/>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rPr>
            </w:pPr>
            <w:bookmarkStart w:id="396" w:name="_Toc17588"/>
            <w:r>
              <w:rPr>
                <w:rFonts w:hint="eastAsia" w:ascii="仿宋" w:hAnsi="仿宋" w:eastAsia="仿宋" w:cs="仿宋_GB2312"/>
                <w:bCs/>
                <w:color w:val="auto"/>
                <w:szCs w:val="21"/>
                <w:highlight w:val="none"/>
              </w:rPr>
              <w:t>序号</w:t>
            </w:r>
            <w:bookmarkEnd w:id="396"/>
          </w:p>
        </w:tc>
        <w:tc>
          <w:tcPr>
            <w:tcW w:w="2331"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rPr>
            </w:pPr>
            <w:bookmarkStart w:id="397" w:name="_Toc22841"/>
            <w:r>
              <w:rPr>
                <w:rFonts w:hint="eastAsia" w:ascii="仿宋" w:hAnsi="仿宋" w:eastAsia="仿宋" w:cs="仿宋_GB2312"/>
                <w:bCs/>
                <w:color w:val="auto"/>
                <w:szCs w:val="21"/>
                <w:highlight w:val="none"/>
              </w:rPr>
              <w:t>评标标准</w:t>
            </w:r>
            <w:bookmarkEnd w:id="397"/>
          </w:p>
        </w:tc>
        <w:tc>
          <w:tcPr>
            <w:tcW w:w="402"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rPr>
            </w:pPr>
            <w:bookmarkStart w:id="398" w:name="_Toc27932"/>
            <w:r>
              <w:rPr>
                <w:rFonts w:hint="eastAsia" w:ascii="仿宋" w:hAnsi="仿宋" w:eastAsia="仿宋" w:cs="仿宋_GB2312"/>
                <w:bCs/>
                <w:color w:val="auto"/>
                <w:szCs w:val="21"/>
                <w:highlight w:val="none"/>
              </w:rPr>
              <w:t>权重</w:t>
            </w:r>
            <w:bookmarkEnd w:id="398"/>
          </w:p>
        </w:tc>
        <w:tc>
          <w:tcPr>
            <w:tcW w:w="522"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rPr>
            </w:pPr>
            <w:bookmarkStart w:id="399" w:name="_Toc26704"/>
            <w:r>
              <w:rPr>
                <w:rFonts w:hint="eastAsia" w:ascii="仿宋" w:hAnsi="仿宋" w:eastAsia="仿宋" w:cs="仿宋_GB2312"/>
                <w:bCs/>
                <w:color w:val="auto"/>
                <w:szCs w:val="21"/>
                <w:highlight w:val="none"/>
              </w:rPr>
              <w:t>主观分/客观分属性</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rPr>
            </w:pPr>
            <w:r>
              <w:rPr>
                <w:rFonts w:hint="eastAsia" w:ascii="仿宋" w:hAnsi="仿宋" w:eastAsia="仿宋" w:cs="仿宋_GB2312"/>
                <w:bCs/>
                <w:color w:val="auto"/>
                <w:szCs w:val="21"/>
                <w:highlight w:val="none"/>
              </w:rPr>
              <w:t>投标文件中评标标准相应的商务技术资料目录</w:t>
            </w:r>
            <w:r>
              <w:rPr>
                <w:rFonts w:hint="default" w:ascii="仿宋" w:hAnsi="仿宋" w:eastAsia="仿宋" w:cs="Arial"/>
                <w:color w:val="auto"/>
                <w:szCs w:val="21"/>
                <w:highlight w:val="none"/>
                <w:shd w:val="clear" w:color="auto" w:fill="FFFFFF"/>
              </w:rPr>
              <w:t>*</w:t>
            </w:r>
            <w:bookmarkEnd w:id="39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eastAsia" w:ascii="仿宋" w:hAnsi="仿宋" w:eastAsia="仿宋" w:cs="仿宋_GB2312"/>
                <w:bCs/>
                <w:color w:val="auto"/>
                <w:szCs w:val="21"/>
                <w:highlight w:val="none"/>
                <w:lang w:val="en-US" w:eastAsia="zh-CN"/>
              </w:rPr>
            </w:pPr>
            <w:bookmarkStart w:id="400" w:name="_Toc4237"/>
            <w:r>
              <w:rPr>
                <w:rFonts w:hint="eastAsia" w:ascii="仿宋" w:hAnsi="仿宋" w:eastAsia="仿宋" w:cs="仿宋_GB2312"/>
                <w:bCs/>
                <w:color w:val="auto"/>
                <w:szCs w:val="21"/>
                <w:highlight w:val="none"/>
                <w:lang w:val="en-US" w:eastAsia="zh-CN"/>
              </w:rPr>
              <w:t>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对钱塘江干线航道特点和无人机巡航技术发展现状分析：分析准确、全面得4分；分析较准确、较全面得3分；分析准确性、全面性有欠缺得2分；分析准确性、全面性不足得1分；未体现相关内容不得分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4</w:t>
            </w:r>
          </w:p>
        </w:tc>
        <w:tc>
          <w:tcPr>
            <w:tcW w:w="52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bookmarkEnd w:id="4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eastAsia" w:ascii="仿宋" w:hAnsi="仿宋" w:eastAsia="仿宋" w:cs="仿宋_GB2312"/>
                <w:bCs/>
                <w:color w:val="auto"/>
                <w:szCs w:val="21"/>
                <w:highlight w:val="none"/>
                <w:lang w:eastAsia="zh-CN"/>
              </w:rPr>
            </w:pPr>
            <w:r>
              <w:rPr>
                <w:rFonts w:hint="eastAsia" w:ascii="仿宋" w:hAnsi="仿宋" w:eastAsia="仿宋" w:cs="仿宋_GB2312"/>
                <w:bCs/>
                <w:color w:val="auto"/>
                <w:szCs w:val="21"/>
                <w:highlight w:val="none"/>
                <w:lang w:val="en-US" w:eastAsia="zh-CN"/>
              </w:rPr>
              <w:t>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工作思路</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rPr>
            </w:pPr>
            <w:r>
              <w:rPr>
                <w:rFonts w:hint="eastAsia" w:ascii="仿宋" w:eastAsia="仿宋"/>
                <w:color w:val="auto"/>
                <w:szCs w:val="21"/>
                <w:highlight w:val="none"/>
              </w:rPr>
              <w:t>钱塘江干线航道通航安全与应急保障能力评估</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bookmarkStart w:id="401" w:name="_Toc12562"/>
            <w:r>
              <w:rPr>
                <w:rFonts w:hint="eastAsia" w:ascii="仿宋" w:hAnsi="仿宋" w:eastAsia="仿宋" w:cs="仿宋_GB2312"/>
                <w:bCs/>
                <w:color w:val="auto"/>
                <w:szCs w:val="21"/>
                <w:highlight w:val="none"/>
                <w:lang w:val="en-US" w:eastAsia="zh-CN"/>
              </w:rPr>
              <w:t>2.1.1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对钱塘江干线通航安全影响及风险分析的工作思路：思路明确、条理清晰得5分；思路较明确、条理较清晰得4分；思路基本明确、条理基本清晰得3分；思路明确性、条理清晰性有欠缺得2分；思路明确性、条理清晰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2.1.2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对通航安全监管与应急保障能力建设现状分析的工作思路：思路明确、条理清晰得5分；思路较明确、条理较清晰得4分；思路基本明确、条理基本清晰得3分；思路明确性、条理清晰性有欠缺得2分；思路明确性、条理清晰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2.1.3</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对应急保障能力评估分析的工作思路：思路明确、条理清晰得5分；思路较明确、条理较清晰得4分；思路基本明确、条理基本清晰得3分；思路明确性、条理清晰性有欠缺得2分；思路明确性、条理清晰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2.1.4</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对通航安全监管与应急保障能力提升对策建议</w:t>
            </w:r>
            <w:r>
              <w:rPr>
                <w:rFonts w:hint="eastAsia" w:ascii="仿宋" w:eastAsia="仿宋"/>
                <w:color w:val="auto"/>
                <w:szCs w:val="21"/>
                <w:highlight w:val="none"/>
              </w:rPr>
              <w:t>分析</w:t>
            </w:r>
            <w:r>
              <w:rPr>
                <w:rFonts w:hint="eastAsia" w:ascii="仿宋" w:eastAsia="仿宋"/>
                <w:color w:val="auto"/>
                <w:szCs w:val="21"/>
                <w:highlight w:val="none"/>
                <w:lang w:eastAsia="zh-CN"/>
              </w:rPr>
              <w:t>的</w:t>
            </w:r>
            <w:r>
              <w:rPr>
                <w:rFonts w:hint="eastAsia" w:ascii="仿宋" w:eastAsia="仿宋"/>
                <w:color w:val="auto"/>
                <w:szCs w:val="21"/>
                <w:highlight w:val="none"/>
                <w:lang w:val="en-US" w:eastAsia="zh-CN"/>
              </w:rPr>
              <w:t>工作思路：思路明确、条理清晰得5分；思路较明确、条理较清晰得4分；思路基本明确、条理基本清晰得3分；思路明确性、条理清晰性有欠缺得2分；思路明确性、条理清晰性不足得1分；未体现相关内容不得分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rPr>
            </w:pPr>
            <w:r>
              <w:rPr>
                <w:rFonts w:hint="eastAsia" w:ascii="仿宋" w:eastAsia="仿宋"/>
                <w:color w:val="auto"/>
                <w:szCs w:val="21"/>
                <w:highlight w:val="none"/>
              </w:rPr>
              <w:t>省管内河航道无人机巡航应用研究</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rPr>
              <w:t>分析无人机巡检在各行业的应用前景，以及内河航道无人机巡检应用的必要性、技术可行性和技术创新性</w:t>
            </w:r>
            <w:r>
              <w:rPr>
                <w:rFonts w:hint="eastAsia" w:ascii="仿宋" w:eastAsia="仿宋"/>
                <w:color w:val="auto"/>
                <w:szCs w:val="21"/>
                <w:highlight w:val="none"/>
                <w:lang w:eastAsia="zh-CN"/>
              </w:rPr>
              <w:t>的</w:t>
            </w:r>
            <w:r>
              <w:rPr>
                <w:rFonts w:hint="eastAsia" w:ascii="仿宋" w:eastAsia="仿宋"/>
                <w:color w:val="auto"/>
                <w:szCs w:val="21"/>
                <w:highlight w:val="none"/>
                <w:lang w:val="en-US" w:eastAsia="zh-CN"/>
              </w:rPr>
              <w:t>工作思路</w:t>
            </w:r>
            <w:r>
              <w:rPr>
                <w:rFonts w:hint="eastAsia" w:ascii="仿宋" w:eastAsia="仿宋"/>
                <w:color w:val="auto"/>
                <w:szCs w:val="21"/>
                <w:highlight w:val="none"/>
              </w:rPr>
              <w:t>:思路明确、条理清晰得</w:t>
            </w:r>
            <w:r>
              <w:rPr>
                <w:rFonts w:hint="eastAsia" w:ascii="仿宋" w:eastAsia="仿宋"/>
                <w:color w:val="auto"/>
                <w:szCs w:val="21"/>
                <w:highlight w:val="none"/>
                <w:lang w:val="en-US" w:eastAsia="zh-CN"/>
              </w:rPr>
              <w:t>5</w:t>
            </w:r>
            <w:r>
              <w:rPr>
                <w:rFonts w:hint="eastAsia" w:ascii="仿宋" w:eastAsia="仿宋"/>
                <w:color w:val="auto"/>
                <w:szCs w:val="21"/>
                <w:highlight w:val="none"/>
              </w:rPr>
              <w:t>分;思路较明确、条理较清晰得</w:t>
            </w:r>
            <w:r>
              <w:rPr>
                <w:rFonts w:hint="eastAsia" w:ascii="仿宋" w:eastAsia="仿宋"/>
                <w:color w:val="auto"/>
                <w:szCs w:val="21"/>
                <w:highlight w:val="none"/>
                <w:lang w:val="en-US" w:eastAsia="zh-CN"/>
              </w:rPr>
              <w:t>4</w:t>
            </w:r>
            <w:r>
              <w:rPr>
                <w:rFonts w:hint="eastAsia" w:ascii="仿宋" w:eastAsia="仿宋"/>
                <w:color w:val="auto"/>
                <w:szCs w:val="21"/>
                <w:highlight w:val="none"/>
              </w:rPr>
              <w:t>分;思路基本明确、条理基本清晰得</w:t>
            </w:r>
            <w:r>
              <w:rPr>
                <w:rFonts w:hint="eastAsia" w:ascii="仿宋" w:eastAsia="仿宋"/>
                <w:color w:val="auto"/>
                <w:szCs w:val="21"/>
                <w:highlight w:val="none"/>
                <w:lang w:val="en-US" w:eastAsia="zh-CN"/>
              </w:rPr>
              <w:t>3</w:t>
            </w:r>
            <w:r>
              <w:rPr>
                <w:rFonts w:hint="eastAsia" w:ascii="仿宋" w:eastAsia="仿宋"/>
                <w:color w:val="auto"/>
                <w:szCs w:val="21"/>
                <w:highlight w:val="none"/>
              </w:rPr>
              <w:t>分;思路明确性、条理清晰性有欠缺得2分;思路明确性、条理清晰性不足得1分;未体现相关内容不得分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rPr>
              <w:t>结合浙江省内河航道实际使用情况、巡检任务需求、技术发展水平等多方面因素，在现有内河航道巡检体系的基础上，研究提出我省内河航道无人机巡检应用体系架构的工作思路</w:t>
            </w:r>
            <w:r>
              <w:rPr>
                <w:rFonts w:hint="eastAsia" w:ascii="仿宋" w:eastAsia="仿宋"/>
                <w:color w:val="auto"/>
                <w:szCs w:val="21"/>
                <w:highlight w:val="none"/>
                <w:lang w:eastAsia="zh-CN"/>
              </w:rPr>
              <w:t>：</w:t>
            </w:r>
            <w:r>
              <w:rPr>
                <w:rFonts w:hint="eastAsia" w:ascii="仿宋" w:eastAsia="仿宋"/>
                <w:color w:val="auto"/>
                <w:szCs w:val="21"/>
                <w:highlight w:val="none"/>
                <w:lang w:val="en-US" w:eastAsia="zh-CN"/>
              </w:rPr>
              <w:t>思路明确、</w:t>
            </w:r>
            <w:r>
              <w:rPr>
                <w:rFonts w:hint="eastAsia" w:ascii="仿宋" w:eastAsia="仿宋"/>
                <w:color w:val="auto"/>
                <w:szCs w:val="21"/>
                <w:highlight w:val="none"/>
              </w:rPr>
              <w:t>条理清晰得</w:t>
            </w:r>
            <w:r>
              <w:rPr>
                <w:rFonts w:hint="eastAsia" w:ascii="仿宋" w:eastAsia="仿宋"/>
                <w:color w:val="auto"/>
                <w:szCs w:val="21"/>
                <w:highlight w:val="none"/>
                <w:lang w:val="en-US" w:eastAsia="zh-CN"/>
              </w:rPr>
              <w:t>5</w:t>
            </w:r>
            <w:r>
              <w:rPr>
                <w:rFonts w:hint="eastAsia" w:ascii="仿宋" w:eastAsia="仿宋"/>
                <w:color w:val="auto"/>
                <w:szCs w:val="21"/>
                <w:highlight w:val="none"/>
              </w:rPr>
              <w:t>分;思路较明确、条理较清晰得</w:t>
            </w:r>
            <w:r>
              <w:rPr>
                <w:rFonts w:hint="eastAsia" w:ascii="仿宋" w:eastAsia="仿宋"/>
                <w:color w:val="auto"/>
                <w:szCs w:val="21"/>
                <w:highlight w:val="none"/>
                <w:lang w:val="en-US" w:eastAsia="zh-CN"/>
              </w:rPr>
              <w:t>4</w:t>
            </w:r>
            <w:r>
              <w:rPr>
                <w:rFonts w:hint="eastAsia" w:ascii="仿宋" w:eastAsia="仿宋"/>
                <w:color w:val="auto"/>
                <w:szCs w:val="21"/>
                <w:highlight w:val="none"/>
              </w:rPr>
              <w:t>分；思路基本明确、条理基本清晰得</w:t>
            </w:r>
            <w:r>
              <w:rPr>
                <w:rFonts w:hint="eastAsia" w:ascii="仿宋" w:eastAsia="仿宋"/>
                <w:color w:val="auto"/>
                <w:szCs w:val="21"/>
                <w:highlight w:val="none"/>
                <w:lang w:val="en-US" w:eastAsia="zh-CN"/>
              </w:rPr>
              <w:t>3</w:t>
            </w:r>
            <w:r>
              <w:rPr>
                <w:rFonts w:hint="eastAsia" w:ascii="仿宋" w:eastAsia="仿宋"/>
                <w:color w:val="auto"/>
                <w:szCs w:val="21"/>
                <w:highlight w:val="none"/>
              </w:rPr>
              <w:t>分;思路明确性、条理清晰性有欠缺得2分;思路明确性、条理清晰性不足得1分;未体现相关内容不得分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2.2.3</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rPr>
              <w:t>杭甬运河绍兴航段巡航测试服务方案</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2.2.3.1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rPr>
              <w:t>针对杭甬运河绍兴航段场景特点，制定无人机巡检服务方案、采集二维和三维地理信息数据、构建航段实景三维模型，开展该场景下的无人机巡检试点飞行，实现无人机飞行位置实时监视、航道巡检视频实时回传等</w:t>
            </w:r>
            <w:r>
              <w:rPr>
                <w:rFonts w:hint="eastAsia" w:ascii="仿宋" w:eastAsia="仿宋"/>
                <w:color w:val="auto"/>
                <w:szCs w:val="21"/>
                <w:highlight w:val="none"/>
                <w:lang w:eastAsia="zh-CN"/>
              </w:rPr>
              <w:t>：</w:t>
            </w:r>
            <w:r>
              <w:rPr>
                <w:rFonts w:hint="eastAsia" w:ascii="仿宋" w:eastAsia="仿宋"/>
                <w:color w:val="auto"/>
                <w:szCs w:val="21"/>
                <w:highlight w:val="none"/>
              </w:rPr>
              <w:t>方案完整得</w:t>
            </w:r>
            <w:r>
              <w:rPr>
                <w:rFonts w:hint="eastAsia" w:ascii="仿宋" w:eastAsia="仿宋"/>
                <w:color w:val="auto"/>
                <w:szCs w:val="21"/>
                <w:highlight w:val="none"/>
                <w:lang w:val="en-US" w:eastAsia="zh-CN"/>
              </w:rPr>
              <w:t>5</w:t>
            </w:r>
            <w:r>
              <w:rPr>
                <w:rFonts w:hint="eastAsia" w:ascii="仿宋" w:eastAsia="仿宋"/>
                <w:color w:val="auto"/>
                <w:szCs w:val="21"/>
                <w:highlight w:val="none"/>
              </w:rPr>
              <w:t>分;</w:t>
            </w:r>
            <w:r>
              <w:rPr>
                <w:rFonts w:hint="eastAsia" w:ascii="仿宋" w:eastAsia="仿宋"/>
                <w:color w:val="auto"/>
                <w:szCs w:val="21"/>
                <w:highlight w:val="none"/>
                <w:lang w:val="en-US" w:eastAsia="zh-CN"/>
              </w:rPr>
              <w:t>方案较完整得4分；方案基本完整得3分；方案完整性有欠缺得2分；方案完整性不足得1分；</w:t>
            </w:r>
            <w:r>
              <w:rPr>
                <w:rFonts w:hint="eastAsia" w:ascii="仿宋" w:eastAsia="仿宋"/>
                <w:color w:val="auto"/>
                <w:szCs w:val="21"/>
                <w:highlight w:val="none"/>
              </w:rPr>
              <w:t>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2.2.3.2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rPr>
              <w:t>数据采集建模同时正射影像和倾斜模型得2分，仅有正射影像或倾斜模型得1分，无相应数据模型不得分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2</w:t>
            </w:r>
          </w:p>
        </w:tc>
        <w:tc>
          <w:tcPr>
            <w:tcW w:w="52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2.2.3.3</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lang w:val="en-US" w:eastAsia="zh-CN"/>
              </w:rPr>
              <w:t>承诺</w:t>
            </w:r>
            <w:r>
              <w:rPr>
                <w:rFonts w:hint="eastAsia" w:ascii="仿宋" w:eastAsia="仿宋"/>
                <w:color w:val="auto"/>
                <w:szCs w:val="21"/>
                <w:highlight w:val="none"/>
              </w:rPr>
              <w:t>测试飞行次数不少于4次得</w:t>
            </w:r>
            <w:r>
              <w:rPr>
                <w:rFonts w:hint="eastAsia" w:ascii="仿宋" w:eastAsia="仿宋"/>
                <w:color w:val="auto"/>
                <w:szCs w:val="21"/>
                <w:highlight w:val="none"/>
                <w:lang w:val="en-US" w:eastAsia="zh-CN"/>
              </w:rPr>
              <w:t>3</w:t>
            </w:r>
            <w:r>
              <w:rPr>
                <w:rFonts w:hint="eastAsia" w:ascii="仿宋" w:eastAsia="仿宋"/>
                <w:color w:val="auto"/>
                <w:szCs w:val="21"/>
                <w:highlight w:val="none"/>
              </w:rPr>
              <w:t>分，2-3次得2分，少于2次不得分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3</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3</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Cs w:val="21"/>
                <w:highlight w:val="none"/>
              </w:rPr>
              <w:t>投标人制定的工作计划安排</w:t>
            </w:r>
            <w:r>
              <w:rPr>
                <w:rFonts w:hint="eastAsia" w:ascii="仿宋" w:eastAsia="仿宋"/>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完善得</w:t>
            </w:r>
            <w:r>
              <w:rPr>
                <w:rFonts w:hint="eastAsia" w:ascii="仿宋" w:eastAsia="仿宋" w:cs="Times New Roman"/>
                <w:strike w:val="0"/>
                <w:color w:val="auto"/>
                <w:szCs w:val="21"/>
                <w:highlight w:val="none"/>
                <w:lang w:val="en-US" w:eastAsia="zh-CN"/>
              </w:rPr>
              <w:t>5</w:t>
            </w:r>
            <w:r>
              <w:rPr>
                <w:rFonts w:hint="eastAsia" w:ascii="仿宋" w:hAnsi="Times New Roman" w:eastAsia="仿宋" w:cs="Times New Roman"/>
                <w:strike w:val="0"/>
                <w:color w:val="auto"/>
                <w:szCs w:val="21"/>
                <w:highlight w:val="none"/>
                <w:lang w:val="en-US" w:eastAsia="zh-CN"/>
              </w:rPr>
              <w:t>分；</w:t>
            </w:r>
            <w:r>
              <w:rPr>
                <w:rFonts w:hint="eastAsia" w:ascii="仿宋" w:eastAsia="仿宋" w:cs="Times New Roman"/>
                <w:strike w:val="0"/>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较完善得</w:t>
            </w:r>
            <w:r>
              <w:rPr>
                <w:rFonts w:hint="eastAsia" w:ascii="仿宋" w:eastAsia="仿宋" w:cs="Times New Roman"/>
                <w:strike w:val="0"/>
                <w:color w:val="auto"/>
                <w:szCs w:val="21"/>
                <w:highlight w:val="none"/>
                <w:lang w:val="en-US" w:eastAsia="zh-CN"/>
              </w:rPr>
              <w:t>4</w:t>
            </w:r>
            <w:r>
              <w:rPr>
                <w:rFonts w:hint="eastAsia" w:ascii="仿宋" w:hAnsi="Times New Roman" w:eastAsia="仿宋" w:cs="Times New Roman"/>
                <w:strike w:val="0"/>
                <w:color w:val="auto"/>
                <w:szCs w:val="21"/>
                <w:highlight w:val="none"/>
                <w:lang w:val="en-US" w:eastAsia="zh-CN"/>
              </w:rPr>
              <w:t>分；</w:t>
            </w:r>
            <w:r>
              <w:rPr>
                <w:rFonts w:hint="eastAsia" w:ascii="仿宋" w:eastAsia="仿宋" w:cs="Times New Roman"/>
                <w:strike w:val="0"/>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基本完善得</w:t>
            </w:r>
            <w:r>
              <w:rPr>
                <w:rFonts w:hint="eastAsia" w:ascii="仿宋" w:eastAsia="仿宋" w:cs="Times New Roman"/>
                <w:strike w:val="0"/>
                <w:color w:val="auto"/>
                <w:szCs w:val="21"/>
                <w:highlight w:val="none"/>
                <w:lang w:val="en-US" w:eastAsia="zh-CN"/>
              </w:rPr>
              <w:t>3</w:t>
            </w:r>
            <w:r>
              <w:rPr>
                <w:rFonts w:hint="eastAsia" w:ascii="仿宋" w:hAnsi="Times New Roman" w:eastAsia="仿宋" w:cs="Times New Roman"/>
                <w:strike w:val="0"/>
                <w:color w:val="auto"/>
                <w:szCs w:val="21"/>
                <w:highlight w:val="none"/>
                <w:lang w:val="en-US" w:eastAsia="zh-CN"/>
              </w:rPr>
              <w:t>分；</w:t>
            </w:r>
            <w:r>
              <w:rPr>
                <w:rFonts w:hint="eastAsia" w:ascii="仿宋" w:eastAsia="仿宋" w:cs="Times New Roman"/>
                <w:strike w:val="0"/>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完善性</w:t>
            </w:r>
            <w:r>
              <w:rPr>
                <w:rFonts w:hint="eastAsia" w:ascii="仿宋" w:eastAsia="仿宋" w:cs="Times New Roman"/>
                <w:strike w:val="0"/>
                <w:color w:val="auto"/>
                <w:szCs w:val="21"/>
                <w:highlight w:val="none"/>
                <w:lang w:val="en-US" w:eastAsia="zh-CN"/>
              </w:rPr>
              <w:t>有欠缺得2分；内容完善性</w:t>
            </w:r>
            <w:r>
              <w:rPr>
                <w:rFonts w:hint="eastAsia" w:ascii="仿宋" w:hAnsi="Times New Roman" w:eastAsia="仿宋" w:cs="Times New Roman"/>
                <w:strike w:val="0"/>
                <w:color w:val="auto"/>
                <w:szCs w:val="21"/>
                <w:highlight w:val="none"/>
                <w:lang w:val="en-US" w:eastAsia="zh-CN"/>
              </w:rPr>
              <w:t>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4</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eastAsia="zh-CN"/>
              </w:rPr>
            </w:pPr>
            <w:r>
              <w:rPr>
                <w:rFonts w:hint="eastAsia" w:ascii="仿宋" w:eastAsia="仿宋"/>
                <w:color w:val="auto"/>
                <w:szCs w:val="21"/>
                <w:highlight w:val="none"/>
                <w:lang w:val="en-US" w:eastAsia="zh-CN"/>
              </w:rPr>
              <w:t>针对本项目提出的服务承诺及合理化建议：内容</w:t>
            </w:r>
            <w:r>
              <w:rPr>
                <w:rFonts w:hint="eastAsia" w:ascii="仿宋" w:hAnsi="Times New Roman" w:eastAsia="仿宋" w:cs="Times New Roman"/>
                <w:strike w:val="0"/>
                <w:color w:val="auto"/>
                <w:szCs w:val="21"/>
                <w:highlight w:val="none"/>
                <w:lang w:val="en-US" w:eastAsia="zh-CN"/>
              </w:rPr>
              <w:t>完善得</w:t>
            </w:r>
            <w:r>
              <w:rPr>
                <w:rFonts w:hint="eastAsia" w:ascii="仿宋" w:eastAsia="仿宋" w:cs="Times New Roman"/>
                <w:strike w:val="0"/>
                <w:color w:val="auto"/>
                <w:szCs w:val="21"/>
                <w:highlight w:val="none"/>
                <w:lang w:val="en-US" w:eastAsia="zh-CN"/>
              </w:rPr>
              <w:t>5</w:t>
            </w:r>
            <w:r>
              <w:rPr>
                <w:rFonts w:hint="eastAsia" w:ascii="仿宋" w:hAnsi="Times New Roman" w:eastAsia="仿宋" w:cs="Times New Roman"/>
                <w:strike w:val="0"/>
                <w:color w:val="auto"/>
                <w:szCs w:val="21"/>
                <w:highlight w:val="none"/>
                <w:lang w:val="en-US" w:eastAsia="zh-CN"/>
              </w:rPr>
              <w:t>分；</w:t>
            </w:r>
            <w:r>
              <w:rPr>
                <w:rFonts w:hint="eastAsia" w:ascii="仿宋" w:eastAsia="仿宋" w:cs="Times New Roman"/>
                <w:strike w:val="0"/>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较完善得</w:t>
            </w:r>
            <w:r>
              <w:rPr>
                <w:rFonts w:hint="eastAsia" w:ascii="仿宋" w:eastAsia="仿宋" w:cs="Times New Roman"/>
                <w:strike w:val="0"/>
                <w:color w:val="auto"/>
                <w:szCs w:val="21"/>
                <w:highlight w:val="none"/>
                <w:lang w:val="en-US" w:eastAsia="zh-CN"/>
              </w:rPr>
              <w:t>4</w:t>
            </w:r>
            <w:r>
              <w:rPr>
                <w:rFonts w:hint="eastAsia" w:ascii="仿宋" w:hAnsi="Times New Roman" w:eastAsia="仿宋" w:cs="Times New Roman"/>
                <w:strike w:val="0"/>
                <w:color w:val="auto"/>
                <w:szCs w:val="21"/>
                <w:highlight w:val="none"/>
                <w:lang w:val="en-US" w:eastAsia="zh-CN"/>
              </w:rPr>
              <w:t>分；</w:t>
            </w:r>
            <w:r>
              <w:rPr>
                <w:rFonts w:hint="eastAsia" w:ascii="仿宋" w:eastAsia="仿宋" w:cs="Times New Roman"/>
                <w:strike w:val="0"/>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基本完善得</w:t>
            </w:r>
            <w:r>
              <w:rPr>
                <w:rFonts w:hint="eastAsia" w:ascii="仿宋" w:eastAsia="仿宋" w:cs="Times New Roman"/>
                <w:strike w:val="0"/>
                <w:color w:val="auto"/>
                <w:szCs w:val="21"/>
                <w:highlight w:val="none"/>
                <w:lang w:val="en-US" w:eastAsia="zh-CN"/>
              </w:rPr>
              <w:t>3</w:t>
            </w:r>
            <w:r>
              <w:rPr>
                <w:rFonts w:hint="eastAsia" w:ascii="仿宋" w:hAnsi="Times New Roman" w:eastAsia="仿宋" w:cs="Times New Roman"/>
                <w:strike w:val="0"/>
                <w:color w:val="auto"/>
                <w:szCs w:val="21"/>
                <w:highlight w:val="none"/>
                <w:lang w:val="en-US" w:eastAsia="zh-CN"/>
              </w:rPr>
              <w:t>分；</w:t>
            </w:r>
            <w:r>
              <w:rPr>
                <w:rFonts w:hint="eastAsia" w:ascii="仿宋" w:eastAsia="仿宋" w:cs="Times New Roman"/>
                <w:strike w:val="0"/>
                <w:color w:val="auto"/>
                <w:szCs w:val="21"/>
                <w:highlight w:val="none"/>
                <w:lang w:val="en-US" w:eastAsia="zh-CN"/>
              </w:rPr>
              <w:t>内容</w:t>
            </w:r>
            <w:r>
              <w:rPr>
                <w:rFonts w:hint="eastAsia" w:ascii="仿宋" w:hAnsi="Times New Roman" w:eastAsia="仿宋" w:cs="Times New Roman"/>
                <w:strike w:val="0"/>
                <w:color w:val="auto"/>
                <w:szCs w:val="21"/>
                <w:highlight w:val="none"/>
                <w:lang w:val="en-US" w:eastAsia="zh-CN"/>
              </w:rPr>
              <w:t>完善性</w:t>
            </w:r>
            <w:r>
              <w:rPr>
                <w:rFonts w:hint="eastAsia" w:ascii="仿宋" w:eastAsia="仿宋" w:cs="Times New Roman"/>
                <w:strike w:val="0"/>
                <w:color w:val="auto"/>
                <w:szCs w:val="21"/>
                <w:highlight w:val="none"/>
                <w:lang w:val="en-US" w:eastAsia="zh-CN"/>
              </w:rPr>
              <w:t>有欠缺得2分；内容完善性</w:t>
            </w:r>
            <w:r>
              <w:rPr>
                <w:rFonts w:hint="eastAsia" w:ascii="仿宋" w:hAnsi="Times New Roman" w:eastAsia="仿宋" w:cs="Times New Roman"/>
                <w:strike w:val="0"/>
                <w:color w:val="auto"/>
                <w:szCs w:val="21"/>
                <w:highlight w:val="none"/>
                <w:lang w:val="en-US" w:eastAsia="zh-CN"/>
              </w:rPr>
              <w:t>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5</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针对质量保证措施：措施</w:t>
            </w:r>
            <w:r>
              <w:rPr>
                <w:rFonts w:hint="eastAsia" w:ascii="仿宋" w:hAnsi="Times New Roman" w:eastAsia="仿宋" w:cs="Times New Roman"/>
                <w:strike w:val="0"/>
                <w:color w:val="auto"/>
                <w:szCs w:val="21"/>
                <w:highlight w:val="none"/>
                <w:lang w:val="en-US" w:eastAsia="zh-CN"/>
              </w:rPr>
              <w:t>完善得</w:t>
            </w:r>
            <w:r>
              <w:rPr>
                <w:rFonts w:hint="eastAsia" w:ascii="仿宋" w:eastAsia="仿宋" w:cs="Times New Roman"/>
                <w:strike w:val="0"/>
                <w:color w:val="auto"/>
                <w:szCs w:val="21"/>
                <w:highlight w:val="none"/>
                <w:lang w:val="en-US" w:eastAsia="zh-CN"/>
              </w:rPr>
              <w:t>5</w:t>
            </w:r>
            <w:r>
              <w:rPr>
                <w:rFonts w:hint="eastAsia" w:ascii="仿宋" w:hAnsi="Times New Roman" w:eastAsia="仿宋" w:cs="Times New Roman"/>
                <w:strike w:val="0"/>
                <w:color w:val="auto"/>
                <w:szCs w:val="21"/>
                <w:highlight w:val="none"/>
                <w:lang w:val="en-US" w:eastAsia="zh-CN"/>
              </w:rPr>
              <w:t>分；</w:t>
            </w:r>
            <w:r>
              <w:rPr>
                <w:rFonts w:hint="eastAsia" w:ascii="仿宋" w:eastAsia="仿宋"/>
                <w:color w:val="auto"/>
                <w:szCs w:val="21"/>
                <w:highlight w:val="none"/>
                <w:lang w:val="en-US" w:eastAsia="zh-CN"/>
              </w:rPr>
              <w:t>措施</w:t>
            </w:r>
            <w:r>
              <w:rPr>
                <w:rFonts w:hint="eastAsia" w:ascii="仿宋" w:hAnsi="Times New Roman" w:eastAsia="仿宋" w:cs="Times New Roman"/>
                <w:strike w:val="0"/>
                <w:color w:val="auto"/>
                <w:szCs w:val="21"/>
                <w:highlight w:val="none"/>
                <w:lang w:val="en-US" w:eastAsia="zh-CN"/>
              </w:rPr>
              <w:t>较完善得</w:t>
            </w:r>
            <w:r>
              <w:rPr>
                <w:rFonts w:hint="eastAsia" w:ascii="仿宋" w:eastAsia="仿宋" w:cs="Times New Roman"/>
                <w:strike w:val="0"/>
                <w:color w:val="auto"/>
                <w:szCs w:val="21"/>
                <w:highlight w:val="none"/>
                <w:lang w:val="en-US" w:eastAsia="zh-CN"/>
              </w:rPr>
              <w:t>4</w:t>
            </w:r>
            <w:r>
              <w:rPr>
                <w:rFonts w:hint="eastAsia" w:ascii="仿宋" w:hAnsi="Times New Roman" w:eastAsia="仿宋" w:cs="Times New Roman"/>
                <w:strike w:val="0"/>
                <w:color w:val="auto"/>
                <w:szCs w:val="21"/>
                <w:highlight w:val="none"/>
                <w:lang w:val="en-US" w:eastAsia="zh-CN"/>
              </w:rPr>
              <w:t>分；</w:t>
            </w:r>
            <w:r>
              <w:rPr>
                <w:rFonts w:hint="eastAsia" w:ascii="仿宋" w:eastAsia="仿宋"/>
                <w:color w:val="auto"/>
                <w:szCs w:val="21"/>
                <w:highlight w:val="none"/>
                <w:lang w:val="en-US" w:eastAsia="zh-CN"/>
              </w:rPr>
              <w:t>措施</w:t>
            </w:r>
            <w:r>
              <w:rPr>
                <w:rFonts w:hint="eastAsia" w:ascii="仿宋" w:hAnsi="Times New Roman" w:eastAsia="仿宋" w:cs="Times New Roman"/>
                <w:strike w:val="0"/>
                <w:color w:val="auto"/>
                <w:szCs w:val="21"/>
                <w:highlight w:val="none"/>
                <w:lang w:val="en-US" w:eastAsia="zh-CN"/>
              </w:rPr>
              <w:t>基本完善得</w:t>
            </w:r>
            <w:r>
              <w:rPr>
                <w:rFonts w:hint="eastAsia" w:ascii="仿宋" w:eastAsia="仿宋" w:cs="Times New Roman"/>
                <w:strike w:val="0"/>
                <w:color w:val="auto"/>
                <w:szCs w:val="21"/>
                <w:highlight w:val="none"/>
                <w:lang w:val="en-US" w:eastAsia="zh-CN"/>
              </w:rPr>
              <w:t>3</w:t>
            </w:r>
            <w:r>
              <w:rPr>
                <w:rFonts w:hint="eastAsia" w:ascii="仿宋" w:hAnsi="Times New Roman" w:eastAsia="仿宋" w:cs="Times New Roman"/>
                <w:strike w:val="0"/>
                <w:color w:val="auto"/>
                <w:szCs w:val="21"/>
                <w:highlight w:val="none"/>
                <w:lang w:val="en-US" w:eastAsia="zh-CN"/>
              </w:rPr>
              <w:t>分；</w:t>
            </w:r>
            <w:r>
              <w:rPr>
                <w:rFonts w:hint="eastAsia" w:ascii="仿宋" w:eastAsia="仿宋"/>
                <w:color w:val="auto"/>
                <w:szCs w:val="21"/>
                <w:highlight w:val="none"/>
                <w:lang w:val="en-US" w:eastAsia="zh-CN"/>
              </w:rPr>
              <w:t>措施</w:t>
            </w:r>
            <w:r>
              <w:rPr>
                <w:rFonts w:hint="eastAsia" w:ascii="仿宋" w:hAnsi="Times New Roman" w:eastAsia="仿宋" w:cs="Times New Roman"/>
                <w:strike w:val="0"/>
                <w:color w:val="auto"/>
                <w:szCs w:val="21"/>
                <w:highlight w:val="none"/>
                <w:lang w:val="en-US" w:eastAsia="zh-CN"/>
              </w:rPr>
              <w:t>完善性</w:t>
            </w:r>
            <w:r>
              <w:rPr>
                <w:rFonts w:hint="eastAsia" w:ascii="仿宋" w:eastAsia="仿宋" w:cs="Times New Roman"/>
                <w:strike w:val="0"/>
                <w:color w:val="auto"/>
                <w:szCs w:val="21"/>
                <w:highlight w:val="none"/>
                <w:lang w:val="en-US" w:eastAsia="zh-CN"/>
              </w:rPr>
              <w:t>有欠缺得2分；</w:t>
            </w:r>
            <w:r>
              <w:rPr>
                <w:rFonts w:hint="eastAsia" w:ascii="仿宋" w:eastAsia="仿宋"/>
                <w:color w:val="auto"/>
                <w:szCs w:val="21"/>
                <w:highlight w:val="none"/>
                <w:lang w:val="en-US" w:eastAsia="zh-CN"/>
              </w:rPr>
              <w:t>措施</w:t>
            </w:r>
            <w:r>
              <w:rPr>
                <w:rFonts w:hint="eastAsia" w:ascii="仿宋" w:eastAsia="仿宋" w:cs="Times New Roman"/>
                <w:strike w:val="0"/>
                <w:color w:val="auto"/>
                <w:szCs w:val="21"/>
                <w:highlight w:val="none"/>
                <w:lang w:val="en-US" w:eastAsia="zh-CN"/>
              </w:rPr>
              <w:t>完善性</w:t>
            </w:r>
            <w:r>
              <w:rPr>
                <w:rFonts w:hint="eastAsia" w:ascii="仿宋" w:hAnsi="Times New Roman" w:eastAsia="仿宋" w:cs="Times New Roman"/>
                <w:strike w:val="0"/>
                <w:color w:val="auto"/>
                <w:szCs w:val="21"/>
                <w:highlight w:val="none"/>
                <w:lang w:val="en-US" w:eastAsia="zh-CN"/>
              </w:rPr>
              <w:t>不足得1分；未体现相关内容不得分</w:t>
            </w:r>
          </w:p>
        </w:tc>
        <w:tc>
          <w:tcPr>
            <w:tcW w:w="40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default"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5</w:t>
            </w:r>
          </w:p>
        </w:tc>
        <w:tc>
          <w:tcPr>
            <w:tcW w:w="52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主观分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拟派项目组成员情况</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拟派项目负责人情况：项目负责人具有港航相关专业并持有高级职称的得3分，没有不得分。</w:t>
            </w:r>
          </w:p>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注：需提供项目负责人学历、学位证书、职称证书等证明材料及在投标人单位投标前3个月任一月的社保缴纳证明，否则本项不得分</w:t>
            </w:r>
          </w:p>
        </w:tc>
        <w:tc>
          <w:tcPr>
            <w:tcW w:w="40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3</w:t>
            </w:r>
          </w:p>
        </w:tc>
        <w:tc>
          <w:tcPr>
            <w:tcW w:w="522" w:type="pct"/>
            <w:vAlign w:val="center"/>
          </w:tcPr>
          <w:p>
            <w:pPr>
              <w:keepNext w:val="0"/>
              <w:keepLines w:val="0"/>
              <w:suppressLineNumbers w:val="0"/>
              <w:shd w:val="clear"/>
              <w:spacing w:before="0" w:beforeAutospacing="0" w:after="0" w:afterAutospacing="0" w:line="360" w:lineRule="auto"/>
              <w:ind w:left="0" w:leftChars="0" w:right="0" w:rightChars="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拟派项目组成员情况（项目负责人除外）</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6.2.1</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lang w:val="en-US" w:eastAsia="zh-CN"/>
              </w:rPr>
            </w:pPr>
            <w:r>
              <w:rPr>
                <w:rFonts w:hint="eastAsia" w:ascii="仿宋" w:eastAsia="仿宋"/>
                <w:color w:val="auto"/>
                <w:sz w:val="21"/>
                <w:szCs w:val="21"/>
                <w:highlight w:val="none"/>
                <w:lang w:val="en-US" w:eastAsia="zh-CN"/>
              </w:rPr>
              <w:t>项目组拟投入成员12人及以上得3分，少于12人不得分（需提供项目组成员在投标人单位投标前3个月任一月的社保缴纳证明，否则本项不得分）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3</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6.2.2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 w:val="21"/>
                <w:szCs w:val="21"/>
                <w:highlight w:val="none"/>
                <w:lang w:val="en-US" w:eastAsia="zh-CN"/>
              </w:rPr>
            </w:pPr>
            <w:r>
              <w:rPr>
                <w:rFonts w:hint="eastAsia" w:ascii="仿宋" w:eastAsia="仿宋"/>
                <w:color w:val="auto"/>
                <w:sz w:val="21"/>
                <w:szCs w:val="21"/>
                <w:highlight w:val="none"/>
                <w:lang w:val="en-US" w:eastAsia="zh-CN"/>
              </w:rPr>
              <w:t>项目组成员（项目负责人除外）中每有1人具有高级工程师及以上职称，且同时具有注册安全工程师和注册咨询工程师资格证书的，每人得2分，最多得8分</w:t>
            </w:r>
            <w:r>
              <w:rPr>
                <w:rFonts w:hint="eastAsia" w:ascii="仿宋" w:hAnsi="Times New Roman" w:eastAsia="仿宋" w:cs="Times New Roman"/>
                <w:color w:val="auto"/>
                <w:szCs w:val="21"/>
                <w:highlight w:val="none"/>
                <w:lang w:val="en-US" w:eastAsia="zh-CN"/>
              </w:rPr>
              <w:t>（需提供</w:t>
            </w:r>
            <w:r>
              <w:rPr>
                <w:rFonts w:hint="eastAsia" w:ascii="仿宋" w:eastAsia="仿宋" w:cs="Times New Roman"/>
                <w:color w:val="auto"/>
                <w:szCs w:val="21"/>
                <w:highlight w:val="none"/>
                <w:lang w:val="en-US" w:eastAsia="zh-CN"/>
              </w:rPr>
              <w:t>相关人员</w:t>
            </w:r>
            <w:r>
              <w:rPr>
                <w:rFonts w:hint="eastAsia" w:ascii="仿宋" w:hAnsi="Times New Roman" w:eastAsia="仿宋" w:cs="Times New Roman"/>
                <w:color w:val="auto"/>
                <w:szCs w:val="21"/>
                <w:highlight w:val="none"/>
                <w:lang w:val="en-US" w:eastAsia="zh-CN"/>
              </w:rPr>
              <w:t>职称证书、资格证书的</w:t>
            </w:r>
            <w:r>
              <w:rPr>
                <w:rFonts w:hint="eastAsia" w:ascii="仿宋" w:eastAsia="仿宋" w:cs="Times New Roman"/>
                <w:color w:val="auto"/>
                <w:szCs w:val="21"/>
                <w:highlight w:val="none"/>
                <w:lang w:val="en-US" w:eastAsia="zh-CN"/>
              </w:rPr>
              <w:t>复印件</w:t>
            </w:r>
            <w:r>
              <w:rPr>
                <w:rFonts w:hint="eastAsia" w:ascii="仿宋" w:hAnsi="Times New Roman" w:eastAsia="仿宋" w:cs="Times New Roman"/>
                <w:color w:val="auto"/>
                <w:szCs w:val="21"/>
                <w:highlight w:val="none"/>
                <w:lang w:val="en-US" w:eastAsia="zh-CN"/>
              </w:rPr>
              <w:t>及在投标人单位投标前3个月任一月的社保缴纳证明，否则本项不得分）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8</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6.2.3</w:t>
            </w:r>
          </w:p>
        </w:tc>
        <w:tc>
          <w:tcPr>
            <w:tcW w:w="2331" w:type="pct"/>
            <w:vAlign w:val="center"/>
          </w:tcPr>
          <w:p>
            <w:pPr>
              <w:keepNext w:val="0"/>
              <w:keepLines w:val="0"/>
              <w:suppressLineNumbers w:val="0"/>
              <w:spacing w:before="0" w:beforeAutospacing="0" w:after="0" w:afterAutospacing="0" w:line="360" w:lineRule="auto"/>
              <w:ind w:left="0" w:right="0"/>
              <w:jc w:val="left"/>
              <w:outlineLvl w:val="0"/>
              <w:rPr>
                <w:rFonts w:hint="default"/>
                <w:lang w:val="en-US" w:eastAsia="zh-CN"/>
              </w:rPr>
            </w:pPr>
            <w:r>
              <w:rPr>
                <w:rFonts w:hint="eastAsia" w:ascii="仿宋" w:eastAsia="仿宋"/>
                <w:color w:val="auto"/>
                <w:sz w:val="21"/>
                <w:szCs w:val="21"/>
                <w:highlight w:val="none"/>
                <w:lang w:val="en-US" w:eastAsia="zh-CN"/>
              </w:rPr>
              <w:t>项目组成员（项目负责人除外）具有与交通运输相关</w:t>
            </w:r>
            <w:r>
              <w:rPr>
                <w:rFonts w:hint="eastAsia" w:ascii="仿宋" w:eastAsia="仿宋"/>
                <w:color w:val="auto"/>
                <w:szCs w:val="21"/>
                <w:highlight w:val="none"/>
                <w:lang w:val="en-US" w:eastAsia="zh-CN"/>
              </w:rPr>
              <w:t>的中级职称，</w:t>
            </w:r>
            <w:r>
              <w:rPr>
                <w:rFonts w:hint="eastAsia" w:ascii="仿宋" w:hAnsi="Times New Roman" w:eastAsia="仿宋" w:cs="Times New Roman"/>
                <w:color w:val="auto"/>
                <w:sz w:val="21"/>
                <w:szCs w:val="21"/>
                <w:highlight w:val="none"/>
                <w:lang w:val="en-US" w:eastAsia="zh-CN"/>
              </w:rPr>
              <w:t>每有一人得1分，最多得6分</w:t>
            </w:r>
            <w:r>
              <w:rPr>
                <w:rFonts w:hint="eastAsia" w:ascii="仿宋" w:hAnsi="Times New Roman" w:eastAsia="仿宋" w:cs="Times New Roman"/>
                <w:color w:val="auto"/>
                <w:szCs w:val="21"/>
                <w:highlight w:val="none"/>
                <w:lang w:val="en-US" w:eastAsia="zh-CN"/>
              </w:rPr>
              <w:t>（需提供</w:t>
            </w:r>
            <w:r>
              <w:rPr>
                <w:rFonts w:hint="eastAsia" w:ascii="仿宋" w:eastAsia="仿宋" w:cs="Times New Roman"/>
                <w:color w:val="auto"/>
                <w:szCs w:val="21"/>
                <w:highlight w:val="none"/>
                <w:lang w:val="en-US" w:eastAsia="zh-CN"/>
              </w:rPr>
              <w:t>相关人员</w:t>
            </w:r>
            <w:r>
              <w:rPr>
                <w:rFonts w:hint="eastAsia" w:ascii="仿宋" w:hAnsi="Times New Roman" w:eastAsia="仿宋" w:cs="Times New Roman"/>
                <w:color w:val="auto"/>
                <w:szCs w:val="21"/>
                <w:highlight w:val="none"/>
                <w:lang w:val="en-US" w:eastAsia="zh-CN"/>
              </w:rPr>
              <w:t>职称证书及在投标人单位投标前3个月任一月的社保缴纳证明，否则本项不得分）</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6</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6.2.4</w:t>
            </w:r>
          </w:p>
        </w:tc>
        <w:tc>
          <w:tcPr>
            <w:tcW w:w="2331" w:type="pct"/>
            <w:vAlign w:val="center"/>
          </w:tcPr>
          <w:p>
            <w:pPr>
              <w:keepNext w:val="0"/>
              <w:keepLines w:val="0"/>
              <w:suppressLineNumbers w:val="0"/>
              <w:spacing w:before="0" w:beforeAutospacing="0" w:after="0" w:afterAutospacing="0" w:line="360" w:lineRule="auto"/>
              <w:ind w:left="0" w:right="0"/>
              <w:jc w:val="left"/>
              <w:outlineLvl w:val="0"/>
              <w:rPr>
                <w:rFonts w:hint="default"/>
                <w:lang w:val="en-US" w:eastAsia="zh-CN"/>
              </w:rPr>
            </w:pPr>
            <w:r>
              <w:rPr>
                <w:rFonts w:hint="eastAsia" w:ascii="仿宋" w:eastAsia="仿宋"/>
                <w:color w:val="auto"/>
                <w:sz w:val="21"/>
                <w:szCs w:val="21"/>
                <w:highlight w:val="none"/>
                <w:lang w:val="en-US" w:eastAsia="zh-CN"/>
              </w:rPr>
              <w:t>根据项目需求，承诺在合同服务期内派遣不少于1名具有硕士研究生及以上学历的人员提供驻场服务的得3分，否则</w:t>
            </w:r>
            <w:r>
              <w:rPr>
                <w:rFonts w:hint="eastAsia" w:ascii="仿宋" w:hAnsi="Times New Roman" w:eastAsia="仿宋" w:cs="Times New Roman"/>
                <w:color w:val="auto"/>
                <w:sz w:val="21"/>
                <w:szCs w:val="21"/>
                <w:highlight w:val="none"/>
                <w:lang w:val="en-US" w:eastAsia="zh-CN"/>
              </w:rPr>
              <w:t>不得分（</w:t>
            </w:r>
            <w:r>
              <w:rPr>
                <w:rFonts w:hint="eastAsia" w:ascii="仿宋" w:hAnsi="Times New Roman" w:eastAsia="仿宋" w:cs="Times New Roman"/>
                <w:color w:val="auto"/>
                <w:szCs w:val="21"/>
                <w:highlight w:val="none"/>
                <w:lang w:val="en-US" w:eastAsia="zh-CN"/>
              </w:rPr>
              <w:t>需提供</w:t>
            </w:r>
            <w:r>
              <w:rPr>
                <w:rFonts w:hint="eastAsia" w:ascii="仿宋" w:eastAsia="仿宋" w:cs="Times New Roman"/>
                <w:color w:val="auto"/>
                <w:szCs w:val="21"/>
                <w:highlight w:val="none"/>
                <w:lang w:val="en-US" w:eastAsia="zh-CN"/>
              </w:rPr>
              <w:t>相关人员</w:t>
            </w:r>
            <w:r>
              <w:rPr>
                <w:rFonts w:hint="eastAsia" w:ascii="仿宋" w:hAnsi="Times New Roman" w:eastAsia="仿宋" w:cs="Times New Roman"/>
                <w:color w:val="auto"/>
                <w:szCs w:val="21"/>
                <w:highlight w:val="none"/>
                <w:lang w:val="en-US" w:eastAsia="zh-CN"/>
              </w:rPr>
              <w:t>在投标人单位投标前3个月任一月的社保缴纳证明，否则本项不得分；</w:t>
            </w:r>
            <w:r>
              <w:rPr>
                <w:rFonts w:hint="eastAsia" w:ascii="仿宋" w:eastAsia="仿宋" w:cs="Times New Roman"/>
                <w:color w:val="auto"/>
                <w:sz w:val="21"/>
                <w:szCs w:val="21"/>
                <w:highlight w:val="none"/>
                <w:lang w:val="en-US" w:eastAsia="zh-CN"/>
              </w:rPr>
              <w:t>5.2.2-5.2.4</w:t>
            </w:r>
            <w:r>
              <w:rPr>
                <w:rFonts w:hint="eastAsia" w:ascii="仿宋" w:hAnsi="Times New Roman" w:eastAsia="仿宋" w:cs="Times New Roman"/>
                <w:color w:val="auto"/>
                <w:sz w:val="21"/>
                <w:szCs w:val="21"/>
                <w:highlight w:val="none"/>
                <w:lang w:val="en-US" w:eastAsia="zh-CN"/>
              </w:rPr>
              <w:t>项中</w:t>
            </w:r>
            <w:r>
              <w:rPr>
                <w:rFonts w:hint="eastAsia" w:ascii="仿宋" w:eastAsia="仿宋" w:cs="Times New Roman"/>
                <w:color w:val="auto"/>
                <w:sz w:val="21"/>
                <w:szCs w:val="21"/>
                <w:highlight w:val="none"/>
                <w:lang w:val="en-US" w:eastAsia="zh-CN"/>
              </w:rPr>
              <w:t>同一</w:t>
            </w:r>
            <w:r>
              <w:rPr>
                <w:rFonts w:hint="eastAsia" w:ascii="仿宋" w:hAnsi="Times New Roman" w:eastAsia="仿宋" w:cs="Times New Roman"/>
                <w:color w:val="auto"/>
                <w:kern w:val="2"/>
                <w:sz w:val="21"/>
                <w:szCs w:val="21"/>
                <w:highlight w:val="none"/>
                <w:lang w:val="en-US" w:eastAsia="zh-CN"/>
              </w:rPr>
              <w:t>人员仅按最高分值计取）</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3</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eastAsia="仿宋"/>
                <w:color w:val="auto"/>
                <w:szCs w:val="21"/>
                <w:highlight w:val="none"/>
                <w:lang w:val="en-US" w:eastAsia="zh-CN"/>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7</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 w:val="21"/>
                <w:szCs w:val="21"/>
                <w:highlight w:val="none"/>
                <w:lang w:val="en-US" w:eastAsia="zh-CN"/>
              </w:rPr>
            </w:pPr>
            <w:r>
              <w:rPr>
                <w:rFonts w:hint="eastAsia" w:ascii="仿宋" w:hAnsi="仿宋" w:eastAsia="仿宋" w:cs="仿宋"/>
                <w:bCs/>
                <w:color w:val="auto"/>
                <w:kern w:val="2"/>
                <w:sz w:val="21"/>
                <w:szCs w:val="21"/>
                <w:highlight w:val="none"/>
                <w:lang w:val="en-US" w:eastAsia="zh-CN" w:bidi="ar-SA"/>
              </w:rPr>
              <w:t>资信和业绩</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7.1</w:t>
            </w:r>
          </w:p>
        </w:tc>
        <w:tc>
          <w:tcPr>
            <w:tcW w:w="2331" w:type="pct"/>
            <w:vAlign w:val="center"/>
          </w:tcPr>
          <w:p>
            <w:pPr>
              <w:keepNext w:val="0"/>
              <w:keepLines w:val="0"/>
              <w:suppressLineNumbers w:val="0"/>
              <w:snapToGrid/>
              <w:spacing w:before="0" w:beforeAutospacing="0" w:after="0" w:afterAutospacing="0" w:line="360" w:lineRule="auto"/>
              <w:ind w:left="0" w:right="0"/>
              <w:jc w:val="left"/>
              <w:outlineLvl w:val="0"/>
              <w:rPr>
                <w:rFonts w:hint="default" w:ascii="仿宋" w:hAnsi="Times New Roman" w:eastAsia="仿宋" w:cs="Times New Roman"/>
                <w:bCs w:val="0"/>
                <w:color w:val="auto"/>
                <w:kern w:val="2"/>
                <w:sz w:val="21"/>
                <w:szCs w:val="21"/>
                <w:highlight w:val="none"/>
                <w:lang w:val="en-US" w:eastAsia="zh-CN" w:bidi="ar-SA"/>
              </w:rPr>
            </w:pPr>
            <w:r>
              <w:rPr>
                <w:rFonts w:hint="eastAsia" w:ascii="仿宋" w:hAnsi="Times New Roman" w:eastAsia="仿宋" w:cs="Times New Roman"/>
                <w:bCs w:val="0"/>
                <w:color w:val="auto"/>
                <w:sz w:val="21"/>
                <w:szCs w:val="21"/>
                <w:highlight w:val="none"/>
              </w:rPr>
              <w:t>投标人具有</w:t>
            </w:r>
            <w:r>
              <w:rPr>
                <w:rFonts w:hint="eastAsia" w:ascii="仿宋" w:eastAsia="仿宋" w:cs="Times New Roman"/>
                <w:bCs w:val="0"/>
                <w:color w:val="auto"/>
                <w:sz w:val="21"/>
                <w:szCs w:val="21"/>
                <w:highlight w:val="none"/>
                <w:lang w:val="en-US" w:eastAsia="zh-CN"/>
              </w:rPr>
              <w:t>有效期内的</w:t>
            </w:r>
            <w:r>
              <w:rPr>
                <w:rFonts w:hint="eastAsia" w:ascii="仿宋" w:hAnsi="Times New Roman" w:eastAsia="仿宋" w:cs="Times New Roman"/>
                <w:bCs w:val="0"/>
                <w:color w:val="auto"/>
                <w:sz w:val="21"/>
                <w:szCs w:val="21"/>
                <w:highlight w:val="none"/>
              </w:rPr>
              <w:t>ISO9001质量体系认证证书的得</w:t>
            </w:r>
            <w:r>
              <w:rPr>
                <w:rFonts w:hint="eastAsia" w:ascii="仿宋" w:eastAsia="仿宋" w:cs="Times New Roman"/>
                <w:bCs w:val="0"/>
                <w:color w:val="auto"/>
                <w:sz w:val="21"/>
                <w:szCs w:val="21"/>
                <w:highlight w:val="none"/>
                <w:lang w:val="en-US" w:eastAsia="zh-CN"/>
              </w:rPr>
              <w:t>2</w:t>
            </w:r>
            <w:r>
              <w:rPr>
                <w:rFonts w:hint="eastAsia" w:ascii="仿宋" w:hAnsi="Times New Roman" w:eastAsia="仿宋" w:cs="Times New Roman"/>
                <w:bCs w:val="0"/>
                <w:color w:val="auto"/>
                <w:sz w:val="21"/>
                <w:szCs w:val="21"/>
                <w:highlight w:val="none"/>
              </w:rPr>
              <w:t>分（提供国家认证认可监督管理委员会https://www.cnca.gov.cn/</w:t>
            </w:r>
            <w:r>
              <w:rPr>
                <w:rFonts w:hint="eastAsia" w:ascii="仿宋" w:eastAsia="仿宋" w:cs="Times New Roman"/>
                <w:bCs w:val="0"/>
                <w:color w:val="auto"/>
                <w:sz w:val="21"/>
                <w:szCs w:val="21"/>
                <w:highlight w:val="none"/>
                <w:lang w:val="en-US" w:eastAsia="zh-CN"/>
              </w:rPr>
              <w:t>网站查询截图</w:t>
            </w:r>
            <w:r>
              <w:rPr>
                <w:rFonts w:hint="eastAsia" w:ascii="仿宋" w:hAnsi="Times New Roman" w:eastAsia="仿宋" w:cs="Times New Roman"/>
                <w:bCs w:val="0"/>
                <w:color w:val="auto"/>
                <w:sz w:val="21"/>
                <w:szCs w:val="21"/>
                <w:highlight w:val="none"/>
              </w:rPr>
              <w:t>）</w:t>
            </w:r>
          </w:p>
        </w:tc>
        <w:tc>
          <w:tcPr>
            <w:tcW w:w="402" w:type="pct"/>
            <w:vAlign w:val="center"/>
          </w:tcPr>
          <w:p>
            <w:pPr>
              <w:keepNext w:val="0"/>
              <w:keepLines w:val="0"/>
              <w:suppressLineNumbers w:val="0"/>
              <w:snapToGrid/>
              <w:spacing w:before="0" w:beforeAutospacing="0" w:after="0" w:afterAutospacing="0" w:line="360" w:lineRule="auto"/>
              <w:ind w:left="0" w:right="0"/>
              <w:jc w:val="center"/>
              <w:outlineLvl w:val="0"/>
              <w:rPr>
                <w:rFonts w:hint="default" w:ascii="仿宋" w:hAnsi="Times New Roman" w:eastAsia="仿宋" w:cs="Times New Roman"/>
                <w:color w:val="auto"/>
                <w:kern w:val="2"/>
                <w:sz w:val="21"/>
                <w:szCs w:val="21"/>
                <w:highlight w:val="none"/>
                <w:lang w:val="en-US" w:eastAsia="zh-CN" w:bidi="ar-SA"/>
              </w:rPr>
            </w:pPr>
            <w:r>
              <w:rPr>
                <w:rFonts w:hint="eastAsia" w:ascii="仿宋" w:eastAsia="仿宋" w:cs="Times New Roman"/>
                <w:color w:val="auto"/>
                <w:kern w:val="2"/>
                <w:sz w:val="21"/>
                <w:szCs w:val="21"/>
                <w:highlight w:val="none"/>
                <w:lang w:val="en-US" w:eastAsia="zh-CN" w:bidi="ar-SA"/>
              </w:rPr>
              <w:t>2</w:t>
            </w:r>
          </w:p>
        </w:tc>
        <w:tc>
          <w:tcPr>
            <w:tcW w:w="522" w:type="pct"/>
            <w:vAlign w:val="center"/>
          </w:tcPr>
          <w:p>
            <w:pPr>
              <w:keepNext w:val="0"/>
              <w:keepLines w:val="0"/>
              <w:suppressLineNumbers w:val="0"/>
              <w:spacing w:before="0" w:beforeAutospacing="0" w:after="0" w:afterAutospacing="0" w:line="360" w:lineRule="auto"/>
              <w:ind w:left="0" w:right="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78"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bCs/>
                <w:color w:val="auto"/>
                <w:szCs w:val="21"/>
                <w:highlight w:val="none"/>
                <w:lang w:val="en-US" w:eastAsia="zh-CN"/>
              </w:rPr>
            </w:pPr>
            <w:r>
              <w:rPr>
                <w:rFonts w:hint="eastAsia" w:ascii="仿宋" w:hAnsi="仿宋" w:eastAsia="仿宋" w:cs="仿宋_GB2312"/>
                <w:bCs/>
                <w:color w:val="auto"/>
                <w:szCs w:val="21"/>
                <w:highlight w:val="none"/>
                <w:lang w:val="en-US" w:eastAsia="zh-CN"/>
              </w:rPr>
              <w:t>7.2</w:t>
            </w:r>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eastAsia" w:ascii="仿宋" w:eastAsia="仿宋"/>
                <w:color w:val="auto"/>
                <w:szCs w:val="21"/>
                <w:highlight w:val="none"/>
              </w:rPr>
            </w:pPr>
            <w:r>
              <w:rPr>
                <w:rFonts w:hint="eastAsia" w:ascii="仿宋" w:eastAsia="仿宋"/>
                <w:color w:val="auto"/>
                <w:szCs w:val="21"/>
                <w:highlight w:val="none"/>
              </w:rPr>
              <w:t>业绩：投标人自202</w:t>
            </w:r>
            <w:r>
              <w:rPr>
                <w:rFonts w:hint="eastAsia" w:ascii="仿宋" w:eastAsia="仿宋"/>
                <w:color w:val="auto"/>
                <w:szCs w:val="21"/>
                <w:highlight w:val="none"/>
                <w:lang w:val="en-US" w:eastAsia="zh-CN"/>
              </w:rPr>
              <w:t>1</w:t>
            </w:r>
            <w:r>
              <w:rPr>
                <w:rFonts w:hint="eastAsia" w:ascii="仿宋" w:eastAsia="仿宋"/>
                <w:color w:val="auto"/>
                <w:szCs w:val="21"/>
                <w:highlight w:val="none"/>
              </w:rPr>
              <w:t>年1月1日（以合同签订时间为准）以来承接过类似项目（</w:t>
            </w:r>
            <w:r>
              <w:rPr>
                <w:rFonts w:hint="eastAsia" w:ascii="仿宋" w:eastAsia="仿宋"/>
                <w:color w:val="auto"/>
                <w:szCs w:val="21"/>
                <w:highlight w:val="none"/>
                <w:lang w:val="en-US" w:eastAsia="zh-CN"/>
              </w:rPr>
              <w:t>通航安全类</w:t>
            </w:r>
            <w:r>
              <w:rPr>
                <w:rFonts w:hint="eastAsia" w:ascii="仿宋" w:eastAsia="仿宋"/>
                <w:color w:val="auto"/>
                <w:szCs w:val="21"/>
                <w:highlight w:val="none"/>
              </w:rPr>
              <w:t>）的，每个业绩得</w:t>
            </w:r>
            <w:r>
              <w:rPr>
                <w:rFonts w:hint="eastAsia" w:ascii="仿宋" w:eastAsia="仿宋"/>
                <w:color w:val="auto"/>
                <w:szCs w:val="21"/>
                <w:highlight w:val="none"/>
                <w:lang w:val="en-US" w:eastAsia="zh-CN"/>
              </w:rPr>
              <w:t>0.5</w:t>
            </w:r>
            <w:r>
              <w:rPr>
                <w:rFonts w:hint="eastAsia" w:ascii="仿宋" w:eastAsia="仿宋"/>
                <w:color w:val="auto"/>
                <w:szCs w:val="21"/>
                <w:highlight w:val="none"/>
              </w:rPr>
              <w:t>分，本项最高得</w:t>
            </w:r>
            <w:r>
              <w:rPr>
                <w:rFonts w:hint="eastAsia" w:ascii="仿宋" w:eastAsia="仿宋"/>
                <w:color w:val="auto"/>
                <w:szCs w:val="21"/>
                <w:highlight w:val="none"/>
                <w:lang w:val="en-US" w:eastAsia="zh-CN"/>
              </w:rPr>
              <w:t>1</w:t>
            </w:r>
            <w:r>
              <w:rPr>
                <w:rFonts w:hint="eastAsia" w:ascii="仿宋" w:eastAsia="仿宋"/>
                <w:color w:val="auto"/>
                <w:szCs w:val="21"/>
                <w:highlight w:val="none"/>
              </w:rPr>
              <w:t>分。</w:t>
            </w:r>
          </w:p>
          <w:p>
            <w:pPr>
              <w:keepNext w:val="0"/>
              <w:keepLines w:val="0"/>
              <w:suppressLineNumbers w:val="0"/>
              <w:shd w:val="clear"/>
              <w:spacing w:before="0" w:beforeAutospacing="0" w:after="0" w:afterAutospacing="0" w:line="360" w:lineRule="auto"/>
              <w:ind w:left="0" w:right="0"/>
              <w:jc w:val="left"/>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rPr>
              <w:t>注：证明材料应附合同协议书（或中标通知书）</w:t>
            </w:r>
            <w:r>
              <w:rPr>
                <w:rFonts w:hint="eastAsia" w:ascii="仿宋" w:eastAsia="仿宋"/>
                <w:color w:val="auto"/>
                <w:szCs w:val="21"/>
                <w:highlight w:val="none"/>
                <w:lang w:val="en-US" w:eastAsia="zh-CN"/>
              </w:rPr>
              <w:t>复印件</w:t>
            </w:r>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1</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hAnsi="Times New Roman" w:eastAsia="仿宋" w:cs="Times New Roman"/>
                <w:color w:val="auto"/>
                <w:kern w:val="2"/>
                <w:sz w:val="21"/>
                <w:szCs w:val="21"/>
                <w:highlight w:val="none"/>
                <w:lang w:val="en-US" w:eastAsia="zh-CN" w:bidi="ar-SA"/>
              </w:rPr>
            </w:pPr>
            <w:r>
              <w:rPr>
                <w:rFonts w:hint="eastAsia" w:ascii="仿宋" w:eastAsia="仿宋"/>
                <w:color w:val="auto"/>
                <w:szCs w:val="21"/>
                <w:highlight w:val="none"/>
                <w:lang w:val="en-US" w:eastAsia="zh-CN"/>
              </w:rPr>
              <w:t>客观分</w:t>
            </w:r>
          </w:p>
        </w:tc>
        <w:tc>
          <w:tcPr>
            <w:tcW w:w="1165" w:type="pct"/>
            <w:vAlign w:val="center"/>
          </w:tcPr>
          <w:p>
            <w:pPr>
              <w:keepNext w:val="0"/>
              <w:keepLines w:val="0"/>
              <w:suppressLineNumbers w:val="0"/>
              <w:shd w:val="clear"/>
              <w:snapToGrid w:val="0"/>
              <w:spacing w:before="0" w:beforeAutospacing="0" w:after="0" w:afterAutospacing="0" w:line="360" w:lineRule="auto"/>
              <w:ind w:left="0" w:right="0"/>
              <w:jc w:val="center"/>
              <w:outlineLvl w:val="0"/>
              <w:rPr>
                <w:rFonts w:hint="default" w:ascii="仿宋" w:hAnsi="仿宋" w:eastAsia="仿宋" w:cs="仿宋_GB2312"/>
                <w:color w:val="auto"/>
                <w:szCs w:val="21"/>
                <w:highlight w:val="none"/>
              </w:rPr>
            </w:pPr>
          </w:p>
        </w:tc>
      </w:tr>
      <w:bookmarkEnd w:id="4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578" w:type="pct"/>
            <w:vAlign w:val="center"/>
          </w:tcPr>
          <w:p>
            <w:pPr>
              <w:keepNext w:val="0"/>
              <w:keepLines w:val="0"/>
              <w:suppressLineNumbers w:val="0"/>
              <w:shd w:val="clear"/>
              <w:spacing w:before="0" w:beforeAutospacing="0" w:after="0" w:afterAutospacing="0" w:line="360" w:lineRule="auto"/>
              <w:ind w:left="0" w:right="0"/>
              <w:jc w:val="center"/>
              <w:outlineLvl w:val="0"/>
              <w:rPr>
                <w:rFonts w:hint="eastAsia" w:ascii="仿宋" w:hAnsi="仿宋" w:eastAsia="仿宋" w:cs="仿宋_GB2312"/>
                <w:color w:val="auto"/>
                <w:sz w:val="24"/>
                <w:highlight w:val="none"/>
                <w:lang w:eastAsia="zh-CN"/>
              </w:rPr>
            </w:pPr>
            <w:r>
              <w:rPr>
                <w:rFonts w:hint="eastAsia" w:ascii="仿宋" w:hAnsi="仿宋" w:eastAsia="仿宋" w:cs="仿宋_GB2312"/>
                <w:bCs/>
                <w:color w:val="auto"/>
                <w:szCs w:val="21"/>
                <w:highlight w:val="none"/>
                <w:lang w:val="en-US" w:eastAsia="zh-CN"/>
              </w:rPr>
              <w:t>8</w:t>
            </w:r>
            <w:bookmarkStart w:id="568" w:name="_GoBack"/>
            <w:bookmarkEnd w:id="568"/>
          </w:p>
        </w:tc>
        <w:tc>
          <w:tcPr>
            <w:tcW w:w="2331" w:type="pct"/>
            <w:vAlign w:val="center"/>
          </w:tcPr>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rPr>
            </w:pPr>
            <w:bookmarkStart w:id="402" w:name="_Toc12829"/>
            <w:r>
              <w:rPr>
                <w:rFonts w:hint="eastAsia" w:ascii="仿宋" w:eastAsia="仿宋"/>
                <w:color w:val="auto"/>
                <w:szCs w:val="21"/>
                <w:highlight w:val="none"/>
              </w:rPr>
              <w:t>有效投标报价的最低价作为评标基准价，其最低报价为满分；按［投标报价得分</w:t>
            </w:r>
            <w:r>
              <w:rPr>
                <w:rFonts w:hint="default" w:ascii="仿宋" w:eastAsia="仿宋"/>
                <w:color w:val="auto"/>
                <w:szCs w:val="21"/>
                <w:highlight w:val="none"/>
              </w:rPr>
              <w:t>=（评标基准价/投标报价）*</w:t>
            </w:r>
            <w:r>
              <w:rPr>
                <w:rFonts w:hint="eastAsia" w:ascii="仿宋" w:eastAsia="仿宋"/>
                <w:color w:val="auto"/>
                <w:szCs w:val="21"/>
                <w:highlight w:val="none"/>
                <w:lang w:val="en-US" w:eastAsia="zh-CN"/>
              </w:rPr>
              <w:t>15</w:t>
            </w:r>
            <w:r>
              <w:rPr>
                <w:rFonts w:hint="default" w:ascii="仿宋" w:eastAsia="仿宋"/>
                <w:color w:val="auto"/>
                <w:szCs w:val="21"/>
                <w:highlight w:val="none"/>
              </w:rPr>
              <w:t>］的计算公式计算。</w:t>
            </w:r>
            <w:bookmarkEnd w:id="402"/>
          </w:p>
          <w:p>
            <w:pPr>
              <w:keepNext w:val="0"/>
              <w:keepLines w:val="0"/>
              <w:suppressLineNumbers w:val="0"/>
              <w:shd w:val="clear"/>
              <w:spacing w:before="0" w:beforeAutospacing="0" w:after="0" w:afterAutospacing="0" w:line="360" w:lineRule="auto"/>
              <w:ind w:left="0" w:right="0"/>
              <w:jc w:val="left"/>
              <w:outlineLvl w:val="0"/>
              <w:rPr>
                <w:rFonts w:hint="default" w:ascii="仿宋" w:eastAsia="仿宋"/>
                <w:color w:val="auto"/>
                <w:szCs w:val="21"/>
                <w:highlight w:val="none"/>
              </w:rPr>
            </w:pPr>
            <w:bookmarkStart w:id="403" w:name="_Toc4105"/>
            <w:r>
              <w:rPr>
                <w:rFonts w:hint="default" w:ascii="仿宋" w:eastAsia="仿宋"/>
                <w:color w:val="auto"/>
                <w:szCs w:val="21"/>
                <w:highlight w:val="none"/>
              </w:rPr>
              <w:t>评标过程中，不得去掉报价中的最高报价和最低报价</w:t>
            </w:r>
            <w:bookmarkEnd w:id="403"/>
          </w:p>
        </w:tc>
        <w:tc>
          <w:tcPr>
            <w:tcW w:w="40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lang w:val="en-US" w:eastAsia="zh-CN"/>
              </w:rPr>
            </w:pPr>
            <w:r>
              <w:rPr>
                <w:rFonts w:hint="eastAsia" w:ascii="仿宋" w:eastAsia="仿宋"/>
                <w:color w:val="auto"/>
                <w:szCs w:val="21"/>
                <w:highlight w:val="none"/>
                <w:lang w:val="en-US" w:eastAsia="zh-CN"/>
              </w:rPr>
              <w:t>15</w:t>
            </w:r>
          </w:p>
        </w:tc>
        <w:tc>
          <w:tcPr>
            <w:tcW w:w="522"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eastAsia="仿宋"/>
                <w:color w:val="auto"/>
                <w:szCs w:val="21"/>
                <w:highlight w:val="none"/>
              </w:rPr>
            </w:pPr>
            <w:bookmarkStart w:id="404" w:name="_Toc19432"/>
            <w:r>
              <w:rPr>
                <w:rFonts w:hint="eastAsia" w:ascii="仿宋" w:eastAsia="仿宋"/>
                <w:color w:val="auto"/>
                <w:szCs w:val="21"/>
                <w:highlight w:val="none"/>
              </w:rPr>
              <w:t>客观分</w:t>
            </w:r>
          </w:p>
          <w:bookmarkEnd w:id="404"/>
        </w:tc>
        <w:tc>
          <w:tcPr>
            <w:tcW w:w="1165" w:type="pct"/>
            <w:vAlign w:val="center"/>
          </w:tcPr>
          <w:p>
            <w:pPr>
              <w:keepNext w:val="0"/>
              <w:keepLines w:val="0"/>
              <w:suppressLineNumbers w:val="0"/>
              <w:shd w:val="clear"/>
              <w:spacing w:before="0" w:beforeAutospacing="0" w:after="0" w:afterAutospacing="0" w:line="360" w:lineRule="auto"/>
              <w:ind w:left="0" w:right="0"/>
              <w:jc w:val="center"/>
              <w:outlineLvl w:val="0"/>
              <w:rPr>
                <w:rFonts w:hint="default" w:ascii="仿宋" w:hAnsi="仿宋" w:eastAsia="仿宋" w:cs="仿宋_GB2312"/>
                <w:color w:val="auto"/>
                <w:sz w:val="24"/>
                <w:highlight w:val="none"/>
              </w:rPr>
            </w:pPr>
          </w:p>
        </w:tc>
      </w:tr>
    </w:tbl>
    <w:p>
      <w:pPr>
        <w:shd w:val="clear"/>
        <w:snapToGrid w:val="0"/>
        <w:spacing w:line="360" w:lineRule="auto"/>
        <w:rPr>
          <w:rFonts w:ascii="仿宋_GB2312" w:hAnsi="仿宋" w:eastAsia="仿宋_GB2312" w:cs="仿宋_GB2312"/>
          <w:b/>
          <w:color w:val="auto"/>
          <w:sz w:val="32"/>
          <w:highlight w:val="none"/>
        </w:rPr>
      </w:pPr>
      <w:r>
        <w:rPr>
          <w:rFonts w:ascii="Arial" w:hAnsi="Arial" w:cs="Arial"/>
          <w:color w:val="auto"/>
          <w:sz w:val="16"/>
          <w:szCs w:val="16"/>
          <w:highlight w:val="none"/>
          <w:shd w:val="clear" w:color="auto" w:fill="FFFFFF"/>
        </w:rPr>
        <w:t> *</w:t>
      </w:r>
      <w:r>
        <w:rPr>
          <w:rFonts w:hint="eastAsia" w:ascii="仿宋" w:hAnsi="仿宋" w:eastAsia="仿宋" w:cs="仿宋_GB2312"/>
          <w:b/>
          <w:color w:val="auto"/>
          <w:szCs w:val="21"/>
          <w:highlight w:val="none"/>
        </w:rPr>
        <w:t>备注：</w:t>
      </w:r>
      <w:r>
        <w:rPr>
          <w:rFonts w:hint="eastAsia" w:ascii="仿宋" w:hAnsi="仿宋" w:eastAsia="仿宋" w:cs="仿宋_GB2312"/>
          <w:color w:val="auto"/>
          <w:szCs w:val="21"/>
          <w:highlight w:val="none"/>
        </w:rPr>
        <w:t>投标人编制投标文件（商务技术文件部分）时，建议按此目录（序号和内容）提供评标标准相应的商务技术资料。</w:t>
      </w:r>
      <w:r>
        <w:rPr>
          <w:rFonts w:ascii="仿宋" w:hAnsi="仿宋" w:eastAsia="仿宋" w:cs="仿宋_GB2312"/>
          <w:color w:val="auto"/>
          <w:szCs w:val="21"/>
          <w:highlight w:val="none"/>
        </w:rPr>
        <w:t> </w:t>
      </w:r>
      <w:r>
        <w:rPr>
          <w:rFonts w:hint="eastAsia" w:ascii="仿宋_GB2312" w:hAnsi="仿宋" w:eastAsia="仿宋_GB2312" w:cs="仿宋_GB2312"/>
          <w:b/>
          <w:color w:val="auto"/>
          <w:sz w:val="32"/>
          <w:highlight w:val="none"/>
        </w:rPr>
        <w:br w:type="page"/>
      </w:r>
    </w:p>
    <w:p>
      <w:pPr>
        <w:numPr>
          <w:ilvl w:val="0"/>
          <w:numId w:val="4"/>
        </w:numPr>
        <w:shd w:val="clea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评标方法</w:t>
      </w:r>
    </w:p>
    <w:p>
      <w:pPr>
        <w:numPr>
          <w:ilvl w:val="0"/>
          <w:numId w:val="5"/>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numPr>
          <w:ilvl w:val="0"/>
          <w:numId w:val="4"/>
        </w:numPr>
        <w:shd w:val="clea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评标标准</w:t>
      </w:r>
    </w:p>
    <w:p>
      <w:pPr>
        <w:numPr>
          <w:ilvl w:val="0"/>
          <w:numId w:val="5"/>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pPr>
        <w:numPr>
          <w:ilvl w:val="0"/>
          <w:numId w:val="4"/>
        </w:numPr>
        <w:shd w:val="clea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评标程序</w:t>
      </w:r>
    </w:p>
    <w:p>
      <w:pPr>
        <w:numPr>
          <w:ilvl w:val="1"/>
          <w:numId w:val="6"/>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numPr>
          <w:ilvl w:val="1"/>
          <w:numId w:val="6"/>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hd w:val="clear"/>
        <w:tabs>
          <w:tab w:val="left" w:pos="210"/>
        </w:tabs>
        <w:adjustRightInd/>
        <w:spacing w:line="360" w:lineRule="auto"/>
        <w:ind w:firstLine="480" w:firstLineChars="20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pPr>
        <w:numPr>
          <w:ilvl w:val="2"/>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pPr>
        <w:numPr>
          <w:ilvl w:val="3"/>
          <w:numId w:val="6"/>
        </w:numPr>
        <w:shd w:val="clea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投标文件中开标一览表(报价表)内容与投标文件中相应内容不一致的，以开标一览表(报价表)为准;</w:t>
      </w:r>
    </w:p>
    <w:p>
      <w:pPr>
        <w:numPr>
          <w:ilvl w:val="3"/>
          <w:numId w:val="6"/>
        </w:numPr>
        <w:shd w:val="clea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大写金额和小写金额不一致的，以大写金额为准;</w:t>
      </w:r>
    </w:p>
    <w:p>
      <w:pPr>
        <w:numPr>
          <w:ilvl w:val="3"/>
          <w:numId w:val="6"/>
        </w:numPr>
        <w:shd w:val="clea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单价金额小数点或者百分比有明显错位的，以开标一览表的总价为准，并修改单价;</w:t>
      </w:r>
    </w:p>
    <w:p>
      <w:pPr>
        <w:numPr>
          <w:ilvl w:val="3"/>
          <w:numId w:val="6"/>
        </w:numPr>
        <w:shd w:val="clea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总价金额与按单价汇总金额不一致的，以单价金额计算结果为准。</w:t>
      </w:r>
    </w:p>
    <w:p>
      <w:pPr>
        <w:numPr>
          <w:ilvl w:val="3"/>
          <w:numId w:val="6"/>
        </w:numPr>
        <w:shd w:val="clear"/>
        <w:tabs>
          <w:tab w:val="left" w:pos="210"/>
          <w:tab w:val="left" w:pos="1050"/>
        </w:tabs>
        <w:adjustRightInd/>
        <w:spacing w:line="360" w:lineRule="auto"/>
        <w:ind w:left="1050" w:hanging="1050"/>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pPr>
        <w:numPr>
          <w:ilvl w:val="2"/>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pPr>
        <w:numPr>
          <w:ilvl w:val="2"/>
          <w:numId w:val="6"/>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rPr>
        <w:t>10%-20%</w:t>
      </w:r>
      <w:r>
        <w:rPr>
          <w:rFonts w:hint="eastAsia" w:ascii="仿宋_GB2312" w:hAnsi="仿宋" w:eastAsia="仿宋_GB2312" w:cs="Arial"/>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auto"/>
          <w:kern w:val="0"/>
          <w:sz w:val="24"/>
          <w:highlight w:val="none"/>
        </w:rPr>
        <w:t>4%-6%</w:t>
      </w:r>
      <w:r>
        <w:rPr>
          <w:rFonts w:hint="eastAsia" w:ascii="仿宋_GB2312" w:hAnsi="仿宋" w:eastAsia="仿宋_GB2312" w:cs="Arial"/>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br w:type="textWrapping"/>
      </w:r>
      <w:r>
        <w:rPr>
          <w:rFonts w:hint="eastAsia" w:ascii="仿宋_GB2312" w:hAnsi="仿宋" w:eastAsia="仿宋_GB2312" w:cs="Arial"/>
          <w:b/>
          <w:bCs/>
          <w:color w:val="auto"/>
          <w:kern w:val="0"/>
          <w:sz w:val="24"/>
          <w:highlight w:val="none"/>
        </w:rPr>
        <w:t>采购文件中未特别说明的，评标委员会推荐的中标候选人数量为1名。</w:t>
      </w:r>
    </w:p>
    <w:p>
      <w:pPr>
        <w:numPr>
          <w:ilvl w:val="1"/>
          <w:numId w:val="6"/>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评分时保留小数点后1位小数，计算评分值时保留小数点后2位小数。</w:t>
      </w:r>
    </w:p>
    <w:p>
      <w:pPr>
        <w:numPr>
          <w:ilvl w:val="1"/>
          <w:numId w:val="6"/>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4"/>
        </w:numPr>
        <w:shd w:val="clea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评标中的其他事项</w:t>
      </w:r>
    </w:p>
    <w:p>
      <w:pPr>
        <w:numPr>
          <w:ilvl w:val="1"/>
          <w:numId w:val="7"/>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color w:val="auto"/>
          <w:kern w:val="0"/>
          <w:sz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shd w:val="clear"/>
        <w:tabs>
          <w:tab w:val="left" w:pos="210"/>
        </w:tabs>
        <w:adjustRightInd/>
        <w:spacing w:line="360" w:lineRule="auto"/>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7"/>
        </w:numPr>
        <w:shd w:val="clear"/>
        <w:tabs>
          <w:tab w:val="left" w:pos="210"/>
          <w:tab w:val="left" w:pos="84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pPr>
        <w:numPr>
          <w:ilvl w:val="2"/>
          <w:numId w:val="7"/>
        </w:numPr>
        <w:shd w:val="clear"/>
        <w:tabs>
          <w:tab w:val="left" w:pos="210"/>
          <w:tab w:val="left" w:pos="840"/>
          <w:tab w:val="left" w:pos="1050"/>
          <w:tab w:val="left" w:pos="1260"/>
        </w:tabs>
        <w:adjustRightInd/>
        <w:spacing w:line="360" w:lineRule="auto"/>
        <w:ind w:left="829" w:hanging="82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pPr>
        <w:numPr>
          <w:ilvl w:val="2"/>
          <w:numId w:val="7"/>
        </w:numPr>
        <w:shd w:val="clea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pPr>
        <w:numPr>
          <w:ilvl w:val="2"/>
          <w:numId w:val="7"/>
        </w:numPr>
        <w:shd w:val="clea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pPr>
        <w:numPr>
          <w:ilvl w:val="2"/>
          <w:numId w:val="7"/>
        </w:numPr>
        <w:shd w:val="clea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投标文件不满足招标文件的其它实质性要求的；</w:t>
      </w:r>
    </w:p>
    <w:p>
      <w:pPr>
        <w:numPr>
          <w:ilvl w:val="2"/>
          <w:numId w:val="7"/>
        </w:numPr>
        <w:shd w:val="clea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法律、法规、规章及省级以上规范性文件规定的其他无效情形。</w:t>
      </w:r>
    </w:p>
    <w:p>
      <w:pPr>
        <w:numPr>
          <w:ilvl w:val="0"/>
          <w:numId w:val="7"/>
        </w:numPr>
        <w:shd w:val="clea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color w:val="auto"/>
          <w:kern w:val="0"/>
          <w:sz w:val="24"/>
          <w:highlight w:val="none"/>
        </w:rPr>
        <w:t>根据《中华人民共和国政府采购法》第三十六条之规定，在采购中，出现下列情形之一的，应予废标：</w:t>
      </w:r>
    </w:p>
    <w:p>
      <w:pPr>
        <w:numPr>
          <w:ilvl w:val="1"/>
          <w:numId w:val="7"/>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符合专业条件的供应商或者对招标文件作实质响应的供应商不足3家的；</w:t>
      </w:r>
    </w:p>
    <w:p>
      <w:pPr>
        <w:numPr>
          <w:ilvl w:val="1"/>
          <w:numId w:val="7"/>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出现影响采购公正的违法、违规行为的；</w:t>
      </w:r>
    </w:p>
    <w:p>
      <w:pPr>
        <w:numPr>
          <w:ilvl w:val="1"/>
          <w:numId w:val="7"/>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投标人的报价均超过了采购预算，采购人不能支付的；</w:t>
      </w:r>
    </w:p>
    <w:p>
      <w:pPr>
        <w:numPr>
          <w:ilvl w:val="1"/>
          <w:numId w:val="7"/>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因重大变故，采购任务取消的。</w:t>
      </w:r>
    </w:p>
    <w:p>
      <w:pPr>
        <w:pStyle w:val="24"/>
        <w:shd w:val="clear"/>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废标后，采购代理机构应当将废标理由通知所有投标人。</w:t>
      </w:r>
    </w:p>
    <w:p>
      <w:pPr>
        <w:numPr>
          <w:ilvl w:val="0"/>
          <w:numId w:val="7"/>
        </w:numPr>
        <w:shd w:val="clea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color w:val="auto"/>
          <w:kern w:val="0"/>
          <w:sz w:val="24"/>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shd w:val="clear"/>
        <w:tabs>
          <w:tab w:val="left" w:pos="210"/>
          <w:tab w:val="clear" w:pos="399"/>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color w:val="auto"/>
          <w:kern w:val="0"/>
          <w:sz w:val="24"/>
          <w:highlight w:val="none"/>
        </w:rPr>
        <w:t>有政府采购法第七十一条、第七十二条规定的违法行为之一，影响或者可能影响中标、成交结果的，依照下列规定处理：</w:t>
      </w:r>
    </w:p>
    <w:p>
      <w:pPr>
        <w:numPr>
          <w:ilvl w:val="1"/>
          <w:numId w:val="8"/>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未确定中标或者中标人的，终止本次政府采购活动，重新开展政府采购活动。</w:t>
      </w:r>
    </w:p>
    <w:p>
      <w:pPr>
        <w:numPr>
          <w:ilvl w:val="1"/>
          <w:numId w:val="8"/>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8"/>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政府采购合同已经履行，给采购人、供应商造成损失的，由责任人承担赔偿责任。</w:t>
      </w:r>
    </w:p>
    <w:p>
      <w:pPr>
        <w:numPr>
          <w:ilvl w:val="1"/>
          <w:numId w:val="8"/>
        </w:numPr>
        <w:shd w:val="clear"/>
        <w:tabs>
          <w:tab w:val="left" w:pos="210"/>
        </w:tabs>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p>
    <w:p>
      <w:pPr>
        <w:pStyle w:val="24"/>
        <w:shd w:val="clear"/>
        <w:rPr>
          <w:color w:val="auto"/>
          <w:highlight w:val="none"/>
        </w:rPr>
      </w:pPr>
    </w:p>
    <w:bookmarkEnd w:id="29"/>
    <w:p>
      <w:pPr>
        <w:pStyle w:val="24"/>
        <w:shd w:val="clear"/>
        <w:rPr>
          <w:color w:val="auto"/>
          <w:highlight w:val="none"/>
        </w:rPr>
      </w:pPr>
      <w:bookmarkStart w:id="405" w:name="第五部分"/>
      <w:bookmarkStart w:id="406" w:name="_Toc86217003"/>
    </w:p>
    <w:p>
      <w:pPr>
        <w:pStyle w:val="24"/>
        <w:shd w:val="clear"/>
        <w:rPr>
          <w:color w:val="auto"/>
          <w:highlight w:val="none"/>
        </w:rPr>
      </w:pPr>
      <w:r>
        <w:rPr>
          <w:color w:val="auto"/>
          <w:highlight w:val="none"/>
        </w:rPr>
        <w:t xml:space="preserve">    </w:t>
      </w:r>
    </w:p>
    <w:p>
      <w:pPr>
        <w:pStyle w:val="24"/>
        <w:shd w:val="clear"/>
        <w:rPr>
          <w:color w:val="auto"/>
          <w:highlight w:val="none"/>
        </w:rPr>
      </w:pPr>
    </w:p>
    <w:p>
      <w:pPr>
        <w:shd w:val="clea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br w:type="page"/>
      </w:r>
    </w:p>
    <w:p>
      <w:pPr>
        <w:shd w:val="clear"/>
        <w:spacing w:line="360" w:lineRule="auto"/>
        <w:jc w:val="center"/>
        <w:outlineLvl w:val="0"/>
        <w:rPr>
          <w:rFonts w:ascii="仿宋_GB2312" w:hAnsi="仿宋" w:eastAsia="仿宋_GB2312" w:cs="仿宋_GB2312"/>
          <w:b/>
          <w:color w:val="auto"/>
          <w:sz w:val="36"/>
          <w:szCs w:val="36"/>
          <w:highlight w:val="none"/>
        </w:rPr>
      </w:pPr>
      <w:bookmarkStart w:id="407" w:name="_Toc26904"/>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bookmarkEnd w:id="407"/>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pStyle w:val="24"/>
        <w:rPr>
          <w:color w:val="auto"/>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w:t>
      </w:r>
      <w:r>
        <w:rPr>
          <w:rFonts w:hint="eastAsia" w:ascii="仿宋_GB2312" w:hAnsi="仿宋" w:eastAsia="仿宋_GB2312" w:cs="仿宋_GB2312"/>
          <w:b/>
          <w:color w:val="auto"/>
          <w:sz w:val="36"/>
          <w:szCs w:val="36"/>
          <w:highlight w:val="none"/>
          <w:lang w:eastAsia="zh-CN"/>
        </w:rPr>
        <w:t>服务</w:t>
      </w:r>
      <w:r>
        <w:rPr>
          <w:rFonts w:hint="eastAsia" w:ascii="仿宋_GB2312" w:hAnsi="仿宋" w:eastAsia="仿宋_GB2312" w:cs="仿宋_GB2312"/>
          <w:b/>
          <w:color w:val="auto"/>
          <w:sz w:val="36"/>
          <w:szCs w:val="36"/>
          <w:highlight w:val="none"/>
        </w:rPr>
        <w:t>类）</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pStyle w:val="699"/>
        <w:jc w:val="center"/>
        <w:rPr>
          <w:rFonts w:ascii="仿宋" w:hAnsi="仿宋" w:eastAsia="仿宋"/>
          <w:color w:val="auto"/>
          <w:szCs w:val="24"/>
          <w:highlight w:val="none"/>
        </w:rPr>
      </w:pPr>
    </w:p>
    <w:p>
      <w:pPr>
        <w:rPr>
          <w:rFonts w:hint="eastAsia" w:ascii="仿宋" w:hAnsi="仿宋" w:eastAsia="仿宋"/>
          <w:b/>
          <w:color w:val="auto"/>
          <w:szCs w:val="24"/>
          <w:highlight w:val="none"/>
        </w:rPr>
      </w:pPr>
      <w:r>
        <w:rPr>
          <w:rFonts w:hint="eastAsia" w:ascii="仿宋" w:hAnsi="仿宋" w:eastAsia="仿宋"/>
          <w:b/>
          <w:color w:val="auto"/>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1"/>
        <w:rPr>
          <w:rFonts w:hint="eastAsia" w:ascii="仿宋_GB2312" w:hAnsi="仿宋" w:eastAsia="仿宋_GB2312" w:cs="仿宋_GB2312"/>
          <w:b/>
          <w:color w:val="auto"/>
          <w:sz w:val="28"/>
          <w:szCs w:val="28"/>
          <w:highlight w:val="none"/>
        </w:rPr>
      </w:pPr>
      <w:r>
        <w:rPr>
          <w:rFonts w:hint="eastAsia" w:ascii="仿宋_GB2312" w:hAnsi="仿宋" w:eastAsia="仿宋_GB2312" w:cs="仿宋_GB2312"/>
          <w:b/>
          <w:color w:val="auto"/>
          <w:sz w:val="28"/>
          <w:szCs w:val="28"/>
          <w:highlight w:val="none"/>
        </w:rPr>
        <w:t>第一部分 合同书</w:t>
      </w:r>
    </w:p>
    <w:p>
      <w:pPr>
        <w:pStyle w:val="699"/>
        <w:rPr>
          <w:rFonts w:ascii="仿宋" w:hAnsi="仿宋" w:eastAsia="仿宋"/>
          <w:color w:val="auto"/>
          <w:szCs w:val="24"/>
          <w:highlight w:val="none"/>
        </w:rPr>
      </w:pPr>
    </w:p>
    <w:p>
      <w:pPr>
        <w:pStyle w:val="699"/>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596"/>
        <w:spacing w:before="120" w:line="22" w:lineRule="atLeast"/>
        <w:rPr>
          <w:rFonts w:ascii="仿宋" w:hAnsi="仿宋" w:eastAsia="仿宋"/>
          <w:color w:val="auto"/>
          <w:szCs w:val="24"/>
          <w:highlight w:val="none"/>
        </w:rPr>
      </w:pPr>
    </w:p>
    <w:p>
      <w:pPr>
        <w:pStyle w:val="596"/>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hint="eastAsia"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hint="eastAsia" w:ascii="仿宋" w:hAnsi="仿宋" w:eastAsia="仿宋"/>
          <w:color w:val="auto"/>
          <w:sz w:val="24"/>
          <w:highlight w:val="none"/>
        </w:rPr>
      </w:pPr>
    </w:p>
    <w:p>
      <w:pPr>
        <w:spacing w:before="120" w:line="22" w:lineRule="atLeast"/>
        <w:ind w:firstLine="960" w:firstLineChars="400"/>
        <w:rPr>
          <w:rFonts w:hint="eastAsia" w:ascii="仿宋" w:hAnsi="仿宋" w:eastAsia="仿宋"/>
          <w:color w:val="auto"/>
          <w:sz w:val="24"/>
          <w:highlight w:val="none"/>
        </w:rPr>
      </w:pPr>
    </w:p>
    <w:p>
      <w:pPr>
        <w:spacing w:before="120" w:line="22" w:lineRule="atLeast"/>
        <w:ind w:firstLine="960" w:firstLineChars="400"/>
        <w:rPr>
          <w:rFonts w:hint="eastAsia" w:ascii="仿宋" w:hAnsi="仿宋" w:eastAsia="仿宋"/>
          <w:color w:val="auto"/>
          <w:sz w:val="24"/>
          <w:highlight w:val="none"/>
        </w:rPr>
      </w:pPr>
    </w:p>
    <w:p>
      <w:pPr>
        <w:spacing w:before="120" w:line="22" w:lineRule="atLeast"/>
        <w:ind w:firstLine="960" w:firstLineChars="400"/>
        <w:rPr>
          <w:rFonts w:hint="eastAsia" w:ascii="仿宋" w:hAnsi="仿宋" w:eastAsia="仿宋"/>
          <w:color w:val="auto"/>
          <w:sz w:val="24"/>
          <w:highlight w:val="none"/>
        </w:rPr>
      </w:pPr>
    </w:p>
    <w:p>
      <w:pPr>
        <w:spacing w:before="120" w:line="22" w:lineRule="atLeast"/>
        <w:ind w:firstLine="960" w:firstLineChars="400"/>
        <w:rPr>
          <w:rFonts w:hint="eastAsia"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type w:val="continuous"/>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u w:val="single"/>
          <w:lang w:val="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年</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月</w:t>
      </w:r>
      <w:r>
        <w:rPr>
          <w:rFonts w:ascii="仿宋" w:hAnsi="仿宋" w:eastAsia="仿宋"/>
          <w:color w:val="auto"/>
          <w:sz w:val="24"/>
          <w:highlight w:val="none"/>
          <w:u w:val="single"/>
          <w:lang w:val="zh-CN"/>
        </w:rPr>
        <w:t xml:space="preserve">    </w:t>
      </w:r>
      <w:r>
        <w:rPr>
          <w:rFonts w:hint="eastAsia" w:ascii="仿宋" w:hAnsi="仿宋" w:eastAsia="仿宋"/>
          <w:color w:val="auto"/>
          <w:sz w:val="24"/>
          <w:highlight w:val="none"/>
          <w:lang w:val="zh-CN"/>
        </w:rPr>
        <w:t>日</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浙江省港航管理中心</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以</w:t>
      </w:r>
      <w:r>
        <w:rPr>
          <w:rFonts w:ascii="仿宋" w:hAnsi="仿宋" w:eastAsia="仿宋"/>
          <w:color w:val="auto"/>
          <w:sz w:val="24"/>
          <w:highlight w:val="none"/>
          <w:u w:val="single"/>
        </w:rPr>
        <w:t xml:space="preserve">   （政府采购方式）  </w:t>
      </w:r>
      <w:r>
        <w:rPr>
          <w:rFonts w:hint="eastAsia" w:ascii="仿宋" w:hAnsi="仿宋" w:eastAsia="仿宋"/>
          <w:color w:val="auto"/>
          <w:sz w:val="24"/>
          <w:highlight w:val="none"/>
        </w:rPr>
        <w:t>对</w:t>
      </w:r>
      <w:r>
        <w:rPr>
          <w:rFonts w:ascii="仿宋" w:hAnsi="仿宋" w:eastAsia="仿宋"/>
          <w:color w:val="auto"/>
          <w:sz w:val="24"/>
          <w:highlight w:val="none"/>
          <w:u w:val="single"/>
        </w:rPr>
        <w:t xml:space="preserve">   （同前</w:t>
      </w:r>
      <w:r>
        <w:rPr>
          <w:rFonts w:hint="eastAsia" w:ascii="仿宋" w:hAnsi="仿宋" w:eastAsia="仿宋"/>
          <w:color w:val="auto"/>
          <w:sz w:val="24"/>
          <w:highlight w:val="none"/>
          <w:u w:val="single"/>
        </w:rPr>
        <w:t>页项目名称）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项目进行了采购。经</w:t>
      </w:r>
      <w:r>
        <w:rPr>
          <w:rFonts w:ascii="仿宋" w:hAnsi="仿宋" w:eastAsia="仿宋"/>
          <w:color w:val="auto"/>
          <w:sz w:val="24"/>
          <w:highlight w:val="none"/>
          <w:u w:val="single"/>
        </w:rPr>
        <w:t xml:space="preserve">   （相关评定主体名称）   </w:t>
      </w:r>
      <w:r>
        <w:rPr>
          <w:rFonts w:hint="eastAsia" w:ascii="仿宋" w:hAnsi="仿宋" w:eastAsia="仿宋"/>
          <w:color w:val="auto"/>
          <w:sz w:val="24"/>
          <w:highlight w:val="none"/>
        </w:rPr>
        <w:t>评定，</w:t>
      </w:r>
      <w:r>
        <w:rPr>
          <w:rFonts w:ascii="仿宋" w:hAnsi="仿宋" w:eastAsia="仿宋"/>
          <w:color w:val="auto"/>
          <w:sz w:val="24"/>
          <w:highlight w:val="none"/>
          <w:u w:val="single"/>
        </w:rPr>
        <w:t xml:space="preserve">   （中标供应商名称）</w:t>
      </w:r>
      <w:r>
        <w:rPr>
          <w:rFonts w:hint="eastAsia" w:ascii="仿宋" w:hAnsi="仿宋" w:eastAsia="仿宋"/>
          <w:color w:val="auto"/>
          <w:sz w:val="24"/>
          <w:highlight w:val="none"/>
        </w:rPr>
        <w:t>为该项目中标供应商。现于中标通知书发出之日起三十日内，按照采购文件确定的事项签订本合同。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lang w:val="zh-CN"/>
        </w:rPr>
        <w:t>根据《中华人民共和国民法典》、《中华人民共和国政府采购法》等相关法律法规之规定，按照平等、自愿、公平、诚实信用和绿色的原则，经</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lang w:eastAsia="zh-CN"/>
        </w:rPr>
        <w:t>浙江省港航管理中心</w:t>
      </w:r>
      <w:r>
        <w:rPr>
          <w:rFonts w:ascii="仿宋" w:hAnsi="仿宋" w:eastAsia="仿宋"/>
          <w:color w:val="auto"/>
          <w:sz w:val="24"/>
          <w:highlight w:val="none"/>
          <w:u w:val="single"/>
        </w:rPr>
        <w:t xml:space="preserve">   </w:t>
      </w:r>
      <w:r>
        <w:rPr>
          <w:rFonts w:ascii="仿宋" w:hAnsi="仿宋" w:eastAsia="仿宋"/>
          <w:color w:val="auto"/>
          <w:sz w:val="24"/>
          <w:highlight w:val="none"/>
          <w:lang w:val="zh-CN"/>
        </w:rPr>
        <w:t>(以下简称：甲方)和</w:t>
      </w:r>
      <w:r>
        <w:rPr>
          <w:rFonts w:ascii="仿宋" w:hAnsi="仿宋" w:eastAsia="仿宋"/>
          <w:color w:val="auto"/>
          <w:sz w:val="24"/>
          <w:highlight w:val="none"/>
          <w:u w:val="single"/>
        </w:rPr>
        <w:t xml:space="preserve">   （中标供应商名称）   </w:t>
      </w:r>
      <w:r>
        <w:rPr>
          <w:rFonts w:ascii="仿宋" w:hAnsi="仿宋" w:eastAsia="仿宋"/>
          <w:color w:val="auto"/>
          <w:sz w:val="24"/>
          <w:highlight w:val="none"/>
          <w:lang w:val="zh-CN"/>
        </w:rPr>
        <w:t>(以下简称：乙方)协商一致，约定以下合同</w:t>
      </w:r>
      <w:r>
        <w:rPr>
          <w:rFonts w:hint="eastAsia" w:ascii="仿宋" w:hAnsi="仿宋" w:eastAsia="仿宋"/>
          <w:color w:val="auto"/>
          <w:sz w:val="24"/>
          <w:highlight w:val="none"/>
        </w:rPr>
        <w:t>条款，以兹共同遵守、全面履行。</w:t>
      </w:r>
    </w:p>
    <w:p>
      <w:pPr>
        <w:pStyle w:val="24"/>
        <w:rPr>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ascii="仿宋" w:hAnsi="仿宋" w:eastAsia="仿宋"/>
          <w:b/>
          <w:color w:val="auto"/>
          <w:sz w:val="24"/>
          <w:highlight w:val="none"/>
        </w:rPr>
      </w:pPr>
      <w:bookmarkStart w:id="408" w:name="_Toc24059"/>
      <w:bookmarkStart w:id="409" w:name="_Toc3029"/>
      <w:bookmarkStart w:id="410" w:name="_Toc2232"/>
      <w:r>
        <w:rPr>
          <w:rFonts w:ascii="仿宋" w:hAnsi="仿宋" w:eastAsia="仿宋"/>
          <w:b/>
          <w:color w:val="auto"/>
          <w:sz w:val="24"/>
          <w:highlight w:val="none"/>
        </w:rPr>
        <w:t xml:space="preserve">1.1 </w:t>
      </w:r>
      <w:r>
        <w:rPr>
          <w:rFonts w:hint="eastAsia" w:ascii="仿宋" w:hAnsi="仿宋" w:eastAsia="仿宋"/>
          <w:b/>
          <w:color w:val="auto"/>
          <w:sz w:val="24"/>
          <w:highlight w:val="none"/>
        </w:rPr>
        <w:t>合同组成部分</w:t>
      </w:r>
      <w:bookmarkEnd w:id="408"/>
      <w:bookmarkEnd w:id="409"/>
      <w:bookmarkEnd w:id="41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1.1.1 </w:t>
      </w:r>
      <w:r>
        <w:rPr>
          <w:rFonts w:hint="eastAsia" w:ascii="仿宋" w:hAnsi="仿宋" w:eastAsia="仿宋"/>
          <w:color w:val="auto"/>
          <w:sz w:val="24"/>
          <w:highlight w:val="none"/>
        </w:rPr>
        <w:t>本合同及其补充合同、变更协议；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1.1.2 </w:t>
      </w:r>
      <w:r>
        <w:rPr>
          <w:rFonts w:hint="eastAsia" w:ascii="仿宋" w:hAnsi="仿宋" w:eastAsia="仿宋"/>
          <w:color w:val="auto"/>
          <w:sz w:val="24"/>
          <w:highlight w:val="none"/>
        </w:rPr>
        <w:t>中标通知书；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1.1.3 </w:t>
      </w:r>
      <w:r>
        <w:rPr>
          <w:rFonts w:hint="eastAsia" w:ascii="仿宋" w:hAnsi="仿宋" w:eastAsia="仿宋"/>
          <w:color w:val="auto"/>
          <w:sz w:val="24"/>
          <w:highlight w:val="none"/>
        </w:rPr>
        <w:t>投标文件（含澄清或者说明文件）；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1.1.4 </w:t>
      </w:r>
      <w:r>
        <w:rPr>
          <w:rFonts w:hint="eastAsia" w:ascii="仿宋" w:hAnsi="仿宋" w:eastAsia="仿宋"/>
          <w:color w:val="auto"/>
          <w:sz w:val="24"/>
          <w:highlight w:val="none"/>
        </w:rPr>
        <w:t>招标文件（含澄清或者修改文件）；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1.1.5 </w:t>
      </w:r>
      <w:r>
        <w:rPr>
          <w:rFonts w:hint="eastAsia" w:ascii="仿宋" w:hAnsi="仿宋" w:eastAsia="仿宋"/>
          <w:color w:val="auto"/>
          <w:sz w:val="24"/>
          <w:highlight w:val="none"/>
        </w:rPr>
        <w:t>其他相关采购文件。</w:t>
      </w:r>
    </w:p>
    <w:p>
      <w:pPr>
        <w:bidi w:val="0"/>
        <w:rPr>
          <w:color w:val="auto"/>
          <w:highlight w:val="none"/>
        </w:rPr>
      </w:pPr>
      <w:bookmarkStart w:id="411" w:name="_Toc21295"/>
      <w:bookmarkStart w:id="412" w:name="_Toc27126"/>
      <w:bookmarkStart w:id="413" w:name="_Toc24300"/>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lang w:eastAsia="zh-CN"/>
        </w:rPr>
      </w:pPr>
      <w:r>
        <w:rPr>
          <w:rFonts w:hint="eastAsia" w:ascii="仿宋" w:hAnsi="仿宋" w:eastAsia="仿宋"/>
          <w:b/>
          <w:color w:val="auto"/>
          <w:sz w:val="24"/>
          <w:highlight w:val="none"/>
        </w:rPr>
        <w:t xml:space="preserve">1.2 </w:t>
      </w:r>
      <w:bookmarkEnd w:id="411"/>
      <w:bookmarkEnd w:id="412"/>
      <w:bookmarkEnd w:id="413"/>
      <w:r>
        <w:rPr>
          <w:rFonts w:hint="eastAsia" w:ascii="仿宋" w:hAnsi="仿宋" w:eastAsia="仿宋"/>
          <w:b/>
          <w:color w:val="auto"/>
          <w:sz w:val="24"/>
          <w:highlight w:val="none"/>
          <w:lang w:eastAsia="zh-CN"/>
        </w:rPr>
        <w:t>标的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u w:val="single"/>
        </w:rPr>
      </w:pPr>
      <w:r>
        <w:rPr>
          <w:rFonts w:ascii="仿宋" w:hAnsi="仿宋" w:eastAsia="仿宋"/>
          <w:color w:val="auto"/>
          <w:sz w:val="24"/>
          <w:highlight w:val="none"/>
        </w:rPr>
        <w:t xml:space="preserve">1.2.1 </w:t>
      </w:r>
      <w:r>
        <w:rPr>
          <w:rFonts w:hint="eastAsia" w:ascii="仿宋" w:hAnsi="仿宋" w:eastAsia="仿宋"/>
          <w:color w:val="auto"/>
          <w:sz w:val="24"/>
          <w:highlight w:val="none"/>
          <w:lang w:eastAsia="zh-CN"/>
        </w:rPr>
        <w:t>服务内容</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u w:val="single"/>
        </w:rPr>
      </w:pPr>
      <w:r>
        <w:rPr>
          <w:rFonts w:ascii="仿宋" w:hAnsi="仿宋" w:eastAsia="仿宋"/>
          <w:color w:val="auto"/>
          <w:sz w:val="24"/>
          <w:highlight w:val="none"/>
        </w:rPr>
        <w:t xml:space="preserve">1.2.2 </w:t>
      </w:r>
      <w:r>
        <w:rPr>
          <w:rFonts w:hint="eastAsia" w:ascii="仿宋" w:hAnsi="仿宋" w:eastAsia="仿宋"/>
          <w:color w:val="auto"/>
          <w:sz w:val="24"/>
          <w:highlight w:val="none"/>
          <w:lang w:eastAsia="zh-CN"/>
        </w:rPr>
        <w:t>服务标准</w:t>
      </w:r>
      <w:r>
        <w:rPr>
          <w:rFonts w:hint="eastAsia" w:ascii="仿宋" w:hAnsi="仿宋" w:eastAsia="仿宋"/>
          <w:color w:val="auto"/>
          <w:sz w:val="24"/>
          <w:highlight w:val="none"/>
        </w:rPr>
        <w:t>：</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u w:val="none"/>
          <w:lang w:eastAsia="zh-CN"/>
        </w:rPr>
      </w:pPr>
      <w:r>
        <w:rPr>
          <w:rFonts w:ascii="仿宋" w:hAnsi="仿宋" w:eastAsia="仿宋"/>
          <w:color w:val="auto"/>
          <w:sz w:val="24"/>
          <w:highlight w:val="none"/>
        </w:rPr>
        <w:t xml:space="preserve">1.2.3 </w:t>
      </w:r>
      <w:r>
        <w:rPr>
          <w:rFonts w:hint="eastAsia" w:ascii="仿宋" w:hAnsi="仿宋" w:eastAsia="仿宋"/>
          <w:color w:val="auto"/>
          <w:sz w:val="24"/>
          <w:highlight w:val="none"/>
          <w:lang w:eastAsia="zh-CN"/>
        </w:rPr>
        <w:t>技术保障</w:t>
      </w:r>
      <w:r>
        <w:rPr>
          <w:rFonts w:hint="eastAsia" w:ascii="仿宋" w:hAnsi="仿宋" w:eastAsia="仿宋"/>
          <w:color w:val="auto"/>
          <w:sz w:val="24"/>
          <w:highlight w:val="none"/>
        </w:rPr>
        <w:t>：</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1.2.4 服务人员组成：</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1.2.5合同</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u w:val="none"/>
          <w:lang w:eastAsia="zh-CN"/>
        </w:rPr>
        <w:t>（是/否）</w:t>
      </w:r>
      <w:r>
        <w:rPr>
          <w:rFonts w:hint="eastAsia" w:ascii="仿宋" w:hAnsi="仿宋" w:eastAsia="仿宋"/>
          <w:color w:val="auto"/>
          <w:sz w:val="24"/>
          <w:highlight w:val="none"/>
          <w:lang w:eastAsia="zh-CN"/>
        </w:rPr>
        <w:t>涉及货物。若涉及货物的，则：</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1.2.5.1 货物名称、品牌、规格型号、花色：                      ；</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1.2.5.2 货物数量：</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eastAsia="宋体" w:cs="宋体"/>
          <w:color w:val="auto"/>
          <w:sz w:val="24"/>
          <w:highlight w:val="none"/>
          <w:u w:val="single"/>
          <w:lang w:eastAsia="zh-CN"/>
        </w:rPr>
      </w:pPr>
      <w:r>
        <w:rPr>
          <w:rFonts w:hint="eastAsia" w:ascii="仿宋" w:hAnsi="仿宋" w:eastAsia="仿宋"/>
          <w:color w:val="auto"/>
          <w:sz w:val="24"/>
          <w:highlight w:val="none"/>
          <w:lang w:eastAsia="zh-CN"/>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eastAsia="zh-CN"/>
        </w:rPr>
        <w:t>。</w:t>
      </w:r>
    </w:p>
    <w:p>
      <w:pPr>
        <w:bidi w:val="0"/>
        <w:rPr>
          <w:color w:val="auto"/>
          <w:highlight w:val="none"/>
        </w:rPr>
      </w:pPr>
      <w:bookmarkStart w:id="414" w:name="_Toc21551"/>
      <w:bookmarkStart w:id="415" w:name="_Toc23292"/>
      <w:bookmarkStart w:id="416" w:name="_Toc21631"/>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1.3 价款</w:t>
      </w:r>
      <w:bookmarkEnd w:id="414"/>
      <w:bookmarkEnd w:id="415"/>
      <w:bookmarkEnd w:id="41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本项目采用以下第</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条款规定的计价方式计价。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1.3.1总价合同，本合同总价（含税）为：￥</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元（大写：</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元人民币）。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序号</w:t>
            </w: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分项名称</w:t>
            </w: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340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center"/>
              <w:textAlignment w:val="auto"/>
              <w:rPr>
                <w:rFonts w:hint="eastAsia" w:ascii="仿宋" w:hAnsi="仿宋" w:eastAsia="仿宋"/>
                <w:color w:val="auto"/>
                <w:sz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总价</w:t>
            </w:r>
          </w:p>
        </w:tc>
        <w:tc>
          <w:tcPr>
            <w:tcW w:w="255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firstLineChars="200"/>
              <w:jc w:val="both"/>
              <w:textAlignment w:val="auto"/>
              <w:rPr>
                <w:rFonts w:hint="eastAsia" w:ascii="仿宋" w:hAnsi="仿宋" w:eastAsia="仿宋"/>
                <w:color w:val="auto"/>
                <w:sz w:val="24"/>
                <w:highlight w:val="none"/>
                <w:lang w:eastAsia="zh-CN"/>
              </w:rPr>
            </w:pP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eastAsia="zh-CN"/>
        </w:rPr>
      </w:pPr>
      <w:bookmarkStart w:id="417" w:name="_Toc26916"/>
      <w:bookmarkStart w:id="418" w:name="_Toc3654"/>
      <w:bookmarkStart w:id="419" w:name="_Toc30158"/>
      <w:bookmarkStart w:id="420" w:name="_Toc30506"/>
      <w:bookmarkStart w:id="421" w:name="_Toc14993"/>
      <w:r>
        <w:rPr>
          <w:rFonts w:hint="eastAsia" w:ascii="仿宋" w:hAnsi="仿宋" w:eastAsia="仿宋"/>
          <w:color w:val="auto"/>
          <w:sz w:val="24"/>
          <w:highlight w:val="none"/>
          <w:lang w:eastAsia="zh-CN"/>
        </w:rPr>
        <w:t>1.3.2单价合同，本合同单价（含税）标准为：</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。服务工作量的计量方式为：</w:t>
      </w:r>
      <w:r>
        <w:rPr>
          <w:rFonts w:hint="eastAsia" w:ascii="仿宋" w:hAnsi="仿宋" w:eastAsia="仿宋"/>
          <w:color w:val="auto"/>
          <w:sz w:val="24"/>
          <w:highlight w:val="none"/>
          <w:u w:val="single"/>
          <w:lang w:eastAsia="zh-CN"/>
        </w:rPr>
        <w:t xml:space="preserve">       </w:t>
      </w:r>
      <w:r>
        <w:rPr>
          <w:rFonts w:hint="eastAsia" w:ascii="仿宋" w:hAnsi="仿宋" w:eastAsia="仿宋"/>
          <w:i/>
          <w:iCs/>
          <w:color w:val="auto"/>
          <w:sz w:val="24"/>
          <w:highlight w:val="none"/>
          <w:u w:val="single"/>
          <w:lang w:eastAsia="zh-CN"/>
        </w:rPr>
        <w:t xml:space="preserve">合同专用条款 </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。单价合同，在合同履行期间内，根据实际完成的工作量据实结算，但结算总价上限不得超过预算金额或者双方确定的金额￥</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元（大写：</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元人民币）。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1.3.3其他计价方式：</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eastAsia="zh-CN"/>
        </w:rPr>
        <w:t>。</w:t>
      </w:r>
    </w:p>
    <w:bookmarkEnd w:id="417"/>
    <w:bookmarkEnd w:id="418"/>
    <w:bookmarkEnd w:id="419"/>
    <w:bookmarkEnd w:id="420"/>
    <w:bookmarkEnd w:id="421"/>
    <w:p>
      <w:pPr>
        <w:bidi w:val="0"/>
        <w:rPr>
          <w:color w:val="auto"/>
          <w:highlight w:val="none"/>
        </w:rPr>
      </w:pPr>
      <w:bookmarkStart w:id="422" w:name="_Toc10340"/>
      <w:bookmarkStart w:id="423" w:name="_Toc22618"/>
      <w:bookmarkStart w:id="424" w:name="_Toc1814"/>
    </w:p>
    <w:bookmarkEnd w:id="422"/>
    <w:bookmarkEnd w:id="423"/>
    <w:bookmarkEnd w:id="424"/>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25" w:name="_Toc32071"/>
      <w:bookmarkStart w:id="426" w:name="_Toc19304"/>
      <w:bookmarkStart w:id="427" w:name="_Toc2846"/>
      <w:r>
        <w:rPr>
          <w:rFonts w:hint="eastAsia" w:ascii="仿宋" w:hAnsi="仿宋" w:eastAsia="仿宋"/>
          <w:b/>
          <w:color w:val="auto"/>
          <w:sz w:val="24"/>
          <w:highlight w:val="none"/>
        </w:rPr>
        <w:t>1.4履约保证金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乙方</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u w:val="none"/>
          <w:lang w:val="en-US" w:eastAsia="zh-CN"/>
        </w:rPr>
        <w:t>（是/否）</w:t>
      </w:r>
      <w:r>
        <w:rPr>
          <w:rFonts w:hint="eastAsia" w:ascii="仿宋" w:hAnsi="仿宋" w:eastAsia="仿宋"/>
          <w:color w:val="auto"/>
          <w:sz w:val="24"/>
          <w:highlight w:val="none"/>
          <w:lang w:val="en-US" w:eastAsia="zh-CN"/>
        </w:rPr>
        <w:t>需要支付履约保证金。若需要支付履约保证金的，则：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1.4.1履约保证金的比例为合同金额的</w:t>
      </w:r>
      <w:r>
        <w:rPr>
          <w:rFonts w:hint="eastAsia" w:ascii="仿宋" w:hAnsi="仿宋" w:eastAsia="仿宋"/>
          <w:color w:val="auto"/>
          <w:sz w:val="24"/>
          <w:highlight w:val="none"/>
          <w:u w:val="single"/>
          <w:lang w:val="en-US" w:eastAsia="zh-CN"/>
        </w:rPr>
        <w:t xml:space="preserve"> /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1.4.2履约保证金支付方式详见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1.4.4甲方在项目验收结束后及时退还履约保证金。甲方在项目通过验收之日起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个工作日内将履约保证金无息退还乙方，逾期退还的，乙方可要求甲方支付违约金，违约金按每迟延退还一日的应退还而未退还金额的</w:t>
      </w:r>
      <w:r>
        <w:rPr>
          <w:rFonts w:hint="eastAsia" w:ascii="仿宋" w:hAnsi="仿宋" w:eastAsia="仿宋"/>
          <w:color w:val="auto"/>
          <w:sz w:val="24"/>
          <w:highlight w:val="none"/>
          <w:u w:val="single"/>
          <w:lang w:val="en-US" w:eastAsia="zh-CN"/>
        </w:rPr>
        <w:t xml:space="preserve">  0.05 </w:t>
      </w:r>
      <w:r>
        <w:rPr>
          <w:rFonts w:hint="eastAsia" w:ascii="仿宋" w:hAnsi="仿宋" w:eastAsia="仿宋"/>
          <w:color w:val="auto"/>
          <w:sz w:val="24"/>
          <w:highlight w:val="none"/>
          <w:lang w:val="en-US" w:eastAsia="zh-CN"/>
        </w:rPr>
        <w:t xml:space="preserve"> %计算，最高限额为本合同履约保证金的</w:t>
      </w:r>
      <w:r>
        <w:rPr>
          <w:rFonts w:hint="eastAsia" w:ascii="仿宋" w:hAnsi="仿宋" w:eastAsia="仿宋"/>
          <w:color w:val="auto"/>
          <w:sz w:val="24"/>
          <w:highlight w:val="none"/>
          <w:u w:val="single"/>
          <w:lang w:val="en-US" w:eastAsia="zh-CN"/>
        </w:rPr>
        <w:t xml:space="preserve">  20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1.5预付款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甲方</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（是/否）需要支付预付款。若需要支付预付款的，则：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1.5.1预付款比例、支付方式、时间详见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1.5.2预付款的扣回方式详见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1.5.3预付款的担保措施详见</w:t>
      </w:r>
      <w:r>
        <w:rPr>
          <w:rFonts w:hint="eastAsia" w:ascii="仿宋" w:hAnsi="仿宋" w:eastAsia="仿宋"/>
          <w:color w:val="auto"/>
          <w:sz w:val="24"/>
          <w:highlight w:val="none"/>
          <w:u w:val="single"/>
          <w:lang w:val="en-US" w:eastAsia="zh-CN"/>
        </w:rPr>
        <w:t xml:space="preserve">    </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1.6资金支付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1.6.1甲方应严格履行合同，及时组织验收，验收合格后及时将合同款支付完毕。对于满足合同约定支付条件的，甲方自收到发票后7个工作日内将资金支付到合同约定的乙方账户，有条件的甲方可以即时支付。甲方不得以机构变动、人员更替、政策调整、单位放假等为由延迟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1.6.2资金支付的方式、时间和条件详见</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7</w:t>
      </w:r>
      <w:r>
        <w:rPr>
          <w:rFonts w:hint="eastAsia" w:ascii="仿宋" w:hAnsi="仿宋" w:eastAsia="仿宋"/>
          <w:b/>
          <w:color w:val="auto"/>
          <w:sz w:val="24"/>
          <w:highlight w:val="none"/>
        </w:rPr>
        <w:t xml:space="preserve"> </w:t>
      </w:r>
      <w:bookmarkEnd w:id="425"/>
      <w:bookmarkEnd w:id="426"/>
      <w:bookmarkEnd w:id="427"/>
      <w:r>
        <w:rPr>
          <w:rFonts w:hint="eastAsia" w:ascii="仿宋" w:hAnsi="仿宋" w:eastAsia="仿宋"/>
          <w:b/>
          <w:color w:val="auto"/>
          <w:sz w:val="24"/>
          <w:highlight w:val="none"/>
        </w:rPr>
        <w:t>履行期限、地点和方式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1.7.1 服务交付（实施）的时间（期限）：</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1.7.2 服务交付（实施）的地点（地域范围）：</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1.7.3 服务交付（实施）的方式：</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1.7.4若服务涉及货物的，则货物的：</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1.7.4.1 交付期限：详见</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1.7.4.2 交付地点：</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1.7.4.3 交付方式：</w:t>
      </w:r>
      <w:r>
        <w:rPr>
          <w:rFonts w:hint="eastAsia" w:ascii="仿宋" w:hAnsi="仿宋" w:eastAsia="仿宋"/>
          <w:i/>
          <w:iCs/>
          <w:color w:val="auto"/>
          <w:sz w:val="24"/>
          <w:highlight w:val="none"/>
          <w:u w:val="single"/>
          <w:lang w:val="en-US" w:eastAsia="zh-CN"/>
        </w:rPr>
        <w:t>合同专用条款</w:t>
      </w:r>
      <w:r>
        <w:rPr>
          <w:rFonts w:hint="eastAsia" w:ascii="仿宋" w:hAnsi="仿宋" w:eastAsia="仿宋"/>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lang w:val="en-US" w:eastAsia="zh-CN"/>
        </w:rPr>
      </w:pPr>
      <w:bookmarkStart w:id="428" w:name="_Toc21423"/>
      <w:bookmarkStart w:id="429" w:name="_Toc19554"/>
      <w:bookmarkStart w:id="430" w:name="_Toc27250"/>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1.</w:t>
      </w:r>
      <w:r>
        <w:rPr>
          <w:rFonts w:hint="eastAsia" w:ascii="仿宋" w:hAnsi="仿宋" w:eastAsia="仿宋"/>
          <w:b/>
          <w:color w:val="auto"/>
          <w:sz w:val="24"/>
          <w:highlight w:val="none"/>
          <w:lang w:val="en-US" w:eastAsia="zh-CN"/>
        </w:rPr>
        <w:t>8</w:t>
      </w:r>
      <w:r>
        <w:rPr>
          <w:rFonts w:hint="eastAsia" w:ascii="仿宋" w:hAnsi="仿宋" w:eastAsia="仿宋"/>
          <w:b/>
          <w:color w:val="auto"/>
          <w:sz w:val="24"/>
          <w:highlight w:val="none"/>
        </w:rPr>
        <w:t xml:space="preserve"> 违约责任</w:t>
      </w:r>
      <w:bookmarkEnd w:id="428"/>
      <w:bookmarkEnd w:id="429"/>
      <w:bookmarkEnd w:id="430"/>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8</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w:t>
      </w:r>
      <w:r>
        <w:rPr>
          <w:rFonts w:hint="eastAsia" w:ascii="仿宋" w:hAnsi="仿宋" w:eastAsia="仿宋"/>
          <w:color w:val="auto"/>
          <w:sz w:val="24"/>
          <w:highlight w:val="none"/>
          <w:lang w:eastAsia="zh-CN"/>
        </w:rPr>
        <w:t>履行</w:t>
      </w:r>
      <w:r>
        <w:rPr>
          <w:rFonts w:hint="eastAsia" w:ascii="仿宋" w:hAnsi="仿宋" w:eastAsia="仿宋"/>
          <w:color w:val="auto"/>
          <w:sz w:val="24"/>
          <w:highlight w:val="none"/>
        </w:rPr>
        <w:t>，那么甲方可要求乙方支付违约金，违约金按每迟延履行一日的应提供而未提供服务价格的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w:t>
      </w:r>
      <w:r>
        <w:rPr>
          <w:rFonts w:hint="eastAsia" w:ascii="仿宋" w:hAnsi="仿宋" w:eastAsia="仿宋"/>
          <w:color w:val="auto"/>
          <w:sz w:val="24"/>
          <w:highlight w:val="none"/>
        </w:rPr>
        <w:t>履行</w:t>
      </w:r>
      <w:r>
        <w:rPr>
          <w:rFonts w:ascii="仿宋" w:hAnsi="仿宋" w:eastAsia="仿宋"/>
          <w:color w:val="auto"/>
          <w:sz w:val="24"/>
          <w:highlight w:val="none"/>
        </w:rPr>
        <w:t>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8</w:t>
      </w:r>
      <w:r>
        <w:rPr>
          <w:rFonts w:ascii="仿宋" w:hAnsi="仿宋" w:eastAsia="仿宋"/>
          <w:color w:val="auto"/>
          <w:sz w:val="24"/>
          <w:highlight w:val="none"/>
        </w:rPr>
        <w:t>.</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olor w:val="auto"/>
          <w:sz w:val="24"/>
          <w:highlight w:val="none"/>
          <w:u w:val="single"/>
        </w:rPr>
        <w:t xml:space="preserve">  0.05</w:t>
      </w:r>
      <w:r>
        <w:rPr>
          <w:rFonts w:hint="eastAsia" w:ascii="仿宋" w:hAnsi="仿宋" w:eastAsia="仿宋"/>
          <w:color w:val="auto"/>
          <w:sz w:val="24"/>
          <w:highlight w:val="none"/>
        </w:rPr>
        <w:t>%计算，最高限额为本合同总价的</w:t>
      </w:r>
      <w:r>
        <w:rPr>
          <w:rFonts w:hint="eastAsia" w:ascii="仿宋" w:hAnsi="仿宋" w:eastAsia="仿宋"/>
          <w:color w:val="auto"/>
          <w:sz w:val="24"/>
          <w:highlight w:val="none"/>
          <w:u w:val="single"/>
        </w:rPr>
        <w:t xml:space="preserve">  20  </w:t>
      </w:r>
      <w:r>
        <w:rPr>
          <w:rFonts w:hint="eastAsia" w:ascii="仿宋" w:hAnsi="仿宋" w:eastAsia="仿宋"/>
          <w:color w:val="auto"/>
          <w:sz w:val="24"/>
          <w:highlight w:val="none"/>
        </w:rPr>
        <w:t>%；迟延交付货物的违约金计算数额达到前述最高限额之日起，甲方有权在要求乙方支付违约金的同时，书面通知乙方解除本合同；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lang w:val="en-US" w:eastAsia="zh-CN"/>
        </w:rPr>
        <w:t>1.8.3</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8</w:t>
      </w:r>
      <w:r>
        <w:rPr>
          <w:rFonts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ascii="仿宋" w:hAnsi="仿宋" w:eastAsia="仿宋"/>
          <w:color w:val="auto"/>
          <w:sz w:val="24"/>
          <w:highlight w:val="none"/>
        </w:rPr>
        <w:t xml:space="preserve">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8</w:t>
      </w:r>
      <w:r>
        <w:rPr>
          <w:rFonts w:ascii="仿宋" w:hAnsi="仿宋" w:eastAsia="仿宋"/>
          <w:color w:val="auto"/>
          <w:sz w:val="24"/>
          <w:highlight w:val="none"/>
        </w:rPr>
        <w:t>.</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 </w:t>
      </w:r>
      <w:r>
        <w:rPr>
          <w:rFonts w:hint="eastAsia" w:ascii="仿宋" w:hAnsi="仿宋" w:eastAsia="仿宋"/>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lang w:val="en-US" w:eastAsia="zh-CN"/>
        </w:rPr>
        <w:t>8</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color w:val="auto"/>
          <w:highlight w:val="none"/>
        </w:rPr>
      </w:pPr>
      <w:r>
        <w:rPr>
          <w:rFonts w:hint="eastAsia" w:ascii="仿宋" w:hAnsi="仿宋" w:eastAsia="仿宋"/>
          <w:color w:val="auto"/>
          <w:sz w:val="24"/>
          <w:highlight w:val="none"/>
        </w:rPr>
        <w:t>1.</w:t>
      </w:r>
      <w:r>
        <w:rPr>
          <w:rFonts w:hint="eastAsia" w:ascii="仿宋" w:hAnsi="仿宋" w:eastAsia="仿宋"/>
          <w:color w:val="auto"/>
          <w:sz w:val="24"/>
          <w:highlight w:val="none"/>
          <w:lang w:val="en-US" w:eastAsia="zh-CN"/>
        </w:rPr>
        <w:t>8</w:t>
      </w:r>
      <w:r>
        <w:rPr>
          <w:rFonts w:hint="eastAsia" w:ascii="仿宋" w:hAnsi="仿宋" w:eastAsia="仿宋"/>
          <w:color w:val="auto"/>
          <w:sz w:val="24"/>
          <w:highlight w:val="none"/>
        </w:rPr>
        <w:t>.7违约责任</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另有约定的，从其约定。</w:t>
      </w:r>
    </w:p>
    <w:p>
      <w:pPr>
        <w:bidi w:val="0"/>
        <w:rPr>
          <w:color w:val="auto"/>
          <w:highlight w:val="none"/>
        </w:rPr>
      </w:pPr>
      <w:bookmarkStart w:id="431" w:name="_Toc28375"/>
      <w:bookmarkStart w:id="432" w:name="_Toc16021"/>
      <w:bookmarkStart w:id="433" w:name="_Toc15583"/>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lang w:val="en-US" w:eastAsia="zh-CN"/>
        </w:rPr>
      </w:pPr>
      <w:r>
        <w:rPr>
          <w:rFonts w:hint="eastAsia" w:ascii="仿宋" w:hAnsi="仿宋" w:eastAsia="仿宋"/>
          <w:b/>
          <w:color w:val="auto"/>
          <w:sz w:val="24"/>
          <w:highlight w:val="none"/>
          <w:lang w:val="en-US" w:eastAsia="zh-CN"/>
        </w:rPr>
        <w:t>1.9 合同争议的解决</w:t>
      </w:r>
      <w:bookmarkEnd w:id="431"/>
      <w:bookmarkEnd w:id="432"/>
      <w:bookmarkEnd w:id="433"/>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本合同履行过程中发生的任何争议，双方当事人均可通过和解或者调解解决；不愿和解、调解或者和解、调解不成的，可以选择以下第</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条款规定的方式解决：</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1.9.1 将争议提交</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仲裁委员会依申请仲裁时其现行有效的仲裁规则裁决；</w:t>
      </w:r>
    </w:p>
    <w:p>
      <w:pPr>
        <w:keepNext w:val="0"/>
        <w:keepLines w:val="0"/>
        <w:pageBreakBefore w:val="0"/>
        <w:kinsoku/>
        <w:wordWrap/>
        <w:overflowPunct/>
        <w:topLinePunct w:val="0"/>
        <w:autoSpaceDE/>
        <w:autoSpaceDN/>
        <w:bidi w:val="0"/>
        <w:adjustRightInd w:val="0"/>
        <w:snapToGrid w:val="0"/>
        <w:spacing w:line="360" w:lineRule="auto"/>
        <w:ind w:left="-420" w:leftChars="-200" w:right="-420" w:rightChars="-200" w:firstLine="960" w:firstLineChars="400"/>
        <w:textAlignment w:val="auto"/>
        <w:rPr>
          <w:rFonts w:hint="eastAsia" w:ascii="仿宋" w:hAnsi="仿宋" w:eastAsia="仿宋"/>
          <w:color w:val="auto"/>
          <w:sz w:val="24"/>
          <w:highlight w:val="none"/>
        </w:rPr>
      </w:pPr>
      <w:r>
        <w:rPr>
          <w:rFonts w:hint="eastAsia" w:ascii="仿宋" w:hAnsi="仿宋" w:eastAsia="仿宋"/>
          <w:color w:val="auto"/>
          <w:sz w:val="24"/>
          <w:highlight w:val="none"/>
        </w:rPr>
        <w:t>1.9.2 向</w:t>
      </w:r>
      <w:r>
        <w:rPr>
          <w:rFonts w:hint="eastAsia" w:ascii="仿宋" w:hAnsi="仿宋" w:eastAsia="仿宋"/>
          <w:i/>
          <w:iCs/>
          <w:color w:val="auto"/>
          <w:sz w:val="24"/>
          <w:highlight w:val="none"/>
          <w:u w:val="single"/>
        </w:rPr>
        <w:t>合同专用条款</w:t>
      </w:r>
      <w:r>
        <w:rPr>
          <w:rFonts w:hint="eastAsia" w:ascii="仿宋" w:hAnsi="仿宋" w:eastAsia="仿宋"/>
          <w:color w:val="auto"/>
          <w:sz w:val="24"/>
          <w:highlight w:val="none"/>
        </w:rPr>
        <w:t>人民法院起诉。</w:t>
      </w:r>
    </w:p>
    <w:p>
      <w:pPr>
        <w:bidi w:val="0"/>
        <w:rPr>
          <w:color w:val="auto"/>
          <w:highlight w:val="none"/>
        </w:rPr>
      </w:pPr>
      <w:bookmarkStart w:id="434" w:name="_Toc15322"/>
      <w:bookmarkStart w:id="435" w:name="_Toc7245"/>
      <w:bookmarkStart w:id="436" w:name="_Toc11173"/>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lang w:val="en-US" w:eastAsia="zh-CN"/>
        </w:rPr>
        <w:t>2.0</w:t>
      </w:r>
      <w:r>
        <w:rPr>
          <w:rFonts w:hint="eastAsia" w:ascii="仿宋" w:hAnsi="仿宋" w:eastAsia="仿宋"/>
          <w:b/>
          <w:color w:val="auto"/>
          <w:sz w:val="24"/>
          <w:highlight w:val="none"/>
        </w:rPr>
        <w:t xml:space="preserve"> 合同生效</w:t>
      </w:r>
      <w:bookmarkEnd w:id="434"/>
      <w:bookmarkEnd w:id="435"/>
      <w:bookmarkEnd w:id="436"/>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b/>
          <w:color w:val="auto"/>
          <w:sz w:val="24"/>
          <w:highlight w:val="none"/>
        </w:rPr>
      </w:pPr>
      <w:r>
        <w:rPr>
          <w:rFonts w:hint="eastAsia" w:ascii="仿宋" w:hAnsi="仿宋" w:eastAsia="仿宋"/>
          <w:color w:val="auto"/>
          <w:sz w:val="24"/>
          <w:highlight w:val="none"/>
        </w:rPr>
        <w:t>本合同自双方当事人盖章或者签字时生效。</w:t>
      </w:r>
    </w:p>
    <w:p>
      <w:pPr>
        <w:autoSpaceDE w:val="0"/>
        <w:autoSpaceDN w:val="0"/>
        <w:spacing w:line="560" w:lineRule="exact"/>
        <w:rPr>
          <w:rFonts w:ascii="仿宋" w:hAnsi="仿宋" w:eastAsia="仿宋"/>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b/>
          <w:color w:val="auto"/>
          <w:sz w:val="24"/>
          <w:highlight w:val="none"/>
          <w:lang w:val="zh-CN"/>
        </w:rPr>
        <w:t>甲方</w:t>
      </w:r>
      <w:r>
        <w:rPr>
          <w:rFonts w:hint="eastAsia" w:ascii="仿宋" w:hAnsi="仿宋" w:eastAsia="仿宋"/>
          <w:color w:val="auto"/>
          <w:sz w:val="24"/>
          <w:highlight w:val="none"/>
          <w:lang w:val="zh-CN"/>
        </w:rPr>
        <w:t>：</w:t>
      </w:r>
      <w:r>
        <w:rPr>
          <w:rFonts w:ascii="仿宋" w:hAnsi="仿宋" w:eastAsia="仿宋"/>
          <w:color w:val="auto"/>
          <w:sz w:val="24"/>
          <w:highlight w:val="none"/>
          <w:lang w:val="zh-CN"/>
        </w:rPr>
        <w:t xml:space="preserve">                             </w:t>
      </w:r>
      <w:r>
        <w:rPr>
          <w:rFonts w:ascii="仿宋" w:hAnsi="仿宋" w:eastAsia="仿宋"/>
          <w:b/>
          <w:color w:val="auto"/>
          <w:sz w:val="24"/>
          <w:highlight w:val="none"/>
          <w:lang w:val="zh-CN"/>
        </w:rPr>
        <w:t xml:space="preserve">      乙方</w:t>
      </w:r>
      <w:r>
        <w:rPr>
          <w:rFonts w:hint="eastAsia" w:ascii="仿宋" w:hAnsi="仿宋" w:eastAsia="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统一社会信用代码：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统一社会信用代码或身份证号码：</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住所：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住所：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法定代表人或</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法定代表人</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授权代表（签字）：</w:t>
      </w:r>
      <w:r>
        <w:rPr>
          <w:rFonts w:ascii="仿宋" w:hAnsi="仿宋" w:eastAsia="仿宋"/>
          <w:color w:val="auto"/>
          <w:sz w:val="24"/>
          <w:highlight w:val="none"/>
          <w:lang w:val="zh-CN"/>
        </w:rPr>
        <w:t xml:space="preserve">                        或授权代表（签字）: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联系人：</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联系人：</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约定送达地址：</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约定送达地址：</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邮政编码：</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邮政编码：</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电话</w:t>
      </w:r>
      <w:r>
        <w:rPr>
          <w:rFonts w:ascii="仿宋" w:hAnsi="仿宋" w:eastAsia="仿宋"/>
          <w:color w:val="auto"/>
          <w:sz w:val="24"/>
          <w:highlight w:val="none"/>
          <w:lang w:val="zh-CN"/>
        </w:rPr>
        <w:t xml:space="preserve">:                                    电话: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lang w:val="zh-CN"/>
        </w:rPr>
      </w:pP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传真</w:t>
      </w:r>
      <w:r>
        <w:rPr>
          <w:rFonts w:ascii="仿宋" w:hAnsi="仿宋" w:eastAsia="仿宋"/>
          <w:color w:val="auto"/>
          <w:sz w:val="24"/>
          <w:highlight w:val="none"/>
          <w:lang w:val="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lang w:val="zh-CN"/>
        </w:rPr>
        <w:t>电子邮箱：</w:t>
      </w:r>
      <w:r>
        <w:rPr>
          <w:rFonts w:ascii="仿宋" w:hAnsi="仿宋" w:eastAsia="仿宋"/>
          <w:color w:val="auto"/>
          <w:sz w:val="24"/>
          <w:highlight w:val="none"/>
          <w:lang w:val="zh-CN"/>
        </w:rPr>
        <w:t xml:space="preserve">                               </w:t>
      </w:r>
      <w:r>
        <w:rPr>
          <w:rFonts w:hint="eastAsia" w:ascii="仿宋" w:hAnsi="仿宋" w:eastAsia="仿宋"/>
          <w:color w:val="auto"/>
          <w:sz w:val="24"/>
          <w:highlight w:val="none"/>
          <w:lang w:val="zh-CN"/>
        </w:rPr>
        <w:t>电子邮箱：</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开户银行：</w:t>
      </w:r>
      <w:r>
        <w:rPr>
          <w:rFonts w:ascii="仿宋" w:hAnsi="仿宋" w:eastAsia="仿宋"/>
          <w:color w:val="auto"/>
          <w:sz w:val="24"/>
          <w:highlight w:val="none"/>
        </w:rPr>
        <w:t xml:space="preserve">                               开户银行：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开户名称：</w:t>
      </w:r>
      <w:r>
        <w:rPr>
          <w:rFonts w:ascii="仿宋" w:hAnsi="仿宋" w:eastAsia="仿宋"/>
          <w:color w:val="auto"/>
          <w:sz w:val="24"/>
          <w:highlight w:val="none"/>
        </w:rPr>
        <w:t xml:space="preserve">                               开户名称：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ascii="仿宋" w:hAnsi="仿宋" w:eastAsia="仿宋"/>
          <w:color w:val="auto"/>
          <w:sz w:val="24"/>
          <w:highlight w:val="none"/>
        </w:rPr>
      </w:pPr>
      <w:r>
        <w:rPr>
          <w:rFonts w:hint="eastAsia" w:ascii="仿宋" w:hAnsi="仿宋" w:eastAsia="仿宋"/>
          <w:color w:val="auto"/>
          <w:sz w:val="24"/>
          <w:highlight w:val="none"/>
        </w:rPr>
        <w:t>开户账号：</w:t>
      </w:r>
      <w:r>
        <w:rPr>
          <w:rFonts w:ascii="仿宋" w:hAnsi="仿宋" w:eastAsia="仿宋"/>
          <w:color w:val="auto"/>
          <w:sz w:val="24"/>
          <w:highlight w:val="none"/>
          <w:lang w:val="zh-CN"/>
        </w:rPr>
        <w:t xml:space="preserve">                               </w:t>
      </w:r>
      <w:r>
        <w:rPr>
          <w:rFonts w:hint="eastAsia" w:ascii="仿宋" w:hAnsi="仿宋" w:eastAsia="仿宋"/>
          <w:color w:val="auto"/>
          <w:sz w:val="24"/>
          <w:highlight w:val="none"/>
        </w:rPr>
        <w:t>开户账号：</w:t>
      </w:r>
    </w:p>
    <w:p>
      <w:pPr>
        <w:rPr>
          <w:rFonts w:hint="eastAsia" w:ascii="仿宋" w:hAnsi="仿宋" w:eastAsia="仿宋"/>
          <w:b/>
          <w:color w:val="auto"/>
          <w:szCs w:val="24"/>
          <w:highlight w:val="none"/>
        </w:rPr>
      </w:pPr>
      <w:bookmarkStart w:id="437" w:name="_Toc331685783"/>
      <w:r>
        <w:rPr>
          <w:rFonts w:hint="eastAsia" w:ascii="仿宋" w:hAnsi="仿宋" w:eastAsia="仿宋"/>
          <w:b/>
          <w:color w:val="auto"/>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highlight w:val="none"/>
        </w:rPr>
      </w:pPr>
      <w:bookmarkStart w:id="438" w:name="_Toc20959"/>
      <w:r>
        <w:rPr>
          <w:rFonts w:hint="eastAsia" w:ascii="仿宋_GB2312" w:hAnsi="仿宋" w:eastAsia="仿宋_GB2312" w:cs="仿宋_GB2312"/>
          <w:b/>
          <w:color w:val="auto"/>
          <w:sz w:val="28"/>
          <w:szCs w:val="28"/>
          <w:highlight w:val="none"/>
        </w:rPr>
        <w:t>第二部分 合同一般条款</w:t>
      </w:r>
      <w:bookmarkEnd w:id="437"/>
      <w:bookmarkEnd w:id="438"/>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39" w:name="_Ref467378463"/>
      <w:bookmarkStart w:id="440" w:name="_Toc19614"/>
      <w:bookmarkStart w:id="441" w:name="_Ref467378499"/>
      <w:bookmarkStart w:id="442" w:name="_Ref467378404"/>
      <w:bookmarkStart w:id="443" w:name="_Toc16917"/>
      <w:bookmarkStart w:id="444" w:name="_Ref467379109"/>
      <w:bookmarkStart w:id="445" w:name="_Toc28763"/>
      <w:bookmarkStart w:id="446" w:name="_Ref467379101"/>
      <w:bookmarkStart w:id="447" w:name="_Ref467379205"/>
      <w:bookmarkStart w:id="448" w:name="_Toc259093669"/>
      <w:bookmarkStart w:id="449" w:name="_Ref467379225"/>
      <w:bookmarkStart w:id="450" w:name="_Toc279701240"/>
      <w:bookmarkStart w:id="451" w:name="_Toc487900349"/>
      <w:bookmarkStart w:id="452" w:name="_Ref467379094"/>
      <w:bookmarkStart w:id="453" w:name="_Ref467379195"/>
      <w:bookmarkStart w:id="454" w:name="_Ref467379214"/>
      <w:r>
        <w:rPr>
          <w:rFonts w:hint="eastAsia" w:ascii="仿宋" w:hAnsi="仿宋" w:eastAsia="仿宋"/>
          <w:b/>
          <w:color w:val="auto"/>
          <w:sz w:val="24"/>
          <w:highlight w:val="none"/>
        </w:rPr>
        <w:t>2.1 定义</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本合同中的下列词语应按以下内容进行解释：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2.1.1 </w:t>
      </w:r>
      <w:r>
        <w:rPr>
          <w:rFonts w:hint="eastAsia" w:ascii="仿宋" w:hAnsi="仿宋" w:eastAsia="仿宋"/>
          <w:color w:val="auto"/>
          <w:sz w:val="24"/>
          <w:highlight w:val="none"/>
        </w:rPr>
        <w:t>“合同”系指采购人和中标供应商签订的载明双方当事人所达成的协议，并包括所有的附件、附录和构成合同的其他文件。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2.1.2 </w:t>
      </w:r>
      <w:r>
        <w:rPr>
          <w:rFonts w:hint="eastAsia" w:ascii="仿宋" w:hAnsi="仿宋" w:eastAsia="仿宋"/>
          <w:color w:val="auto"/>
          <w:sz w:val="24"/>
          <w:highlight w:val="none"/>
        </w:rPr>
        <w:t>“合同价”系指根据合同约定，中标供应商在完全履行合同义务后，采购人应支付给中标供应商的价格。</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2.1.3 </w:t>
      </w:r>
      <w:r>
        <w:rPr>
          <w:rFonts w:hint="eastAsia" w:ascii="仿宋" w:hAnsi="仿宋" w:eastAsia="仿宋"/>
          <w:color w:val="auto"/>
          <w:sz w:val="24"/>
          <w:highlight w:val="none"/>
        </w:rPr>
        <w:t>“服务”系指中标供应商根据合同约定应向采购人履行的除货物和工程以外的其他政府采购对象，包括采购人自身需要的服务和向社会公众提供的公共服务。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455" w:name="_Ref467378840"/>
      <w:r>
        <w:rPr>
          <w:rFonts w:ascii="仿宋" w:hAnsi="仿宋" w:eastAsia="仿宋"/>
          <w:color w:val="auto"/>
          <w:sz w:val="24"/>
          <w:highlight w:val="none"/>
        </w:rPr>
        <w:t xml:space="preserve">2.1.4 </w:t>
      </w:r>
      <w:r>
        <w:rPr>
          <w:rFonts w:hint="eastAsia" w:ascii="仿宋" w:hAnsi="仿宋" w:eastAsia="仿宋"/>
          <w:color w:val="auto"/>
          <w:sz w:val="24"/>
          <w:highlight w:val="none"/>
        </w:rPr>
        <w:t>“甲方”系指与中标供应商签署合同的采购人</w:t>
      </w:r>
      <w:bookmarkEnd w:id="455"/>
      <w:r>
        <w:rPr>
          <w:rFonts w:hint="eastAsia" w:ascii="仿宋" w:hAnsi="仿宋" w:eastAsia="仿宋"/>
          <w:color w:val="auto"/>
          <w:sz w:val="24"/>
          <w:highlight w:val="none"/>
        </w:rPr>
        <w:t>；采购人委托采购代理机构代表其与乙方签订合同的，采购人的授权委托书作为合同附件。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456" w:name="_Ref467379400"/>
      <w:r>
        <w:rPr>
          <w:rFonts w:ascii="仿宋" w:hAnsi="仿宋" w:eastAsia="仿宋"/>
          <w:color w:val="auto"/>
          <w:sz w:val="24"/>
          <w:highlight w:val="none"/>
        </w:rPr>
        <w:t xml:space="preserve">2.1.5 </w:t>
      </w:r>
      <w:r>
        <w:rPr>
          <w:rFonts w:hint="eastAsia" w:ascii="仿宋" w:hAnsi="仿宋" w:eastAsia="仿宋"/>
          <w:color w:val="auto"/>
          <w:sz w:val="24"/>
          <w:highlight w:val="none"/>
        </w:rPr>
        <w:t>“乙方”系指根据合同约定</w:t>
      </w:r>
      <w:r>
        <w:rPr>
          <w:rFonts w:hint="eastAsia" w:ascii="仿宋" w:hAnsi="仿宋" w:eastAsia="仿宋"/>
          <w:color w:val="auto"/>
          <w:sz w:val="24"/>
          <w:highlight w:val="none"/>
          <w:lang w:eastAsia="zh-CN"/>
        </w:rPr>
        <w:t>提供服务</w:t>
      </w:r>
      <w:r>
        <w:rPr>
          <w:rFonts w:hint="eastAsia" w:ascii="仿宋" w:hAnsi="仿宋" w:eastAsia="仿宋"/>
          <w:color w:val="auto"/>
          <w:sz w:val="24"/>
          <w:highlight w:val="none"/>
        </w:rPr>
        <w:t>的中标供应商</w:t>
      </w:r>
      <w:bookmarkEnd w:id="456"/>
      <w:r>
        <w:rPr>
          <w:rFonts w:hint="eastAsia" w:ascii="仿宋" w:hAnsi="仿宋" w:eastAsia="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457" w:name="_Ref467379436"/>
      <w:r>
        <w:rPr>
          <w:rFonts w:ascii="仿宋" w:hAnsi="仿宋" w:eastAsia="仿宋"/>
          <w:color w:val="auto"/>
          <w:sz w:val="24"/>
          <w:highlight w:val="none"/>
        </w:rPr>
        <w:t xml:space="preserve">2.1.6 </w:t>
      </w:r>
      <w:r>
        <w:rPr>
          <w:rFonts w:hint="eastAsia" w:ascii="仿宋" w:hAnsi="仿宋" w:eastAsia="仿宋"/>
          <w:color w:val="auto"/>
          <w:sz w:val="24"/>
          <w:highlight w:val="none"/>
        </w:rPr>
        <w:t>“现场”系指合同约定提供服务的地点。</w:t>
      </w:r>
      <w:bookmarkEnd w:id="457"/>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58" w:name="_Toc13336"/>
      <w:bookmarkStart w:id="459" w:name="_Toc259093670"/>
      <w:bookmarkStart w:id="460" w:name="_Toc279701241"/>
      <w:bookmarkStart w:id="461" w:name="_Toc27635"/>
      <w:bookmarkStart w:id="462" w:name="_Toc32504"/>
      <w:bookmarkStart w:id="463" w:name="_Toc487900350"/>
      <w:r>
        <w:rPr>
          <w:rFonts w:hint="eastAsia" w:ascii="仿宋" w:hAnsi="仿宋" w:eastAsia="仿宋"/>
          <w:b/>
          <w:color w:val="auto"/>
          <w:sz w:val="24"/>
          <w:highlight w:val="none"/>
        </w:rPr>
        <w:t>2.2 技术规范</w:t>
      </w:r>
      <w:bookmarkEnd w:id="458"/>
      <w:bookmarkEnd w:id="459"/>
      <w:bookmarkEnd w:id="460"/>
      <w:bookmarkEnd w:id="461"/>
      <w:bookmarkEnd w:id="462"/>
      <w:bookmarkEnd w:id="463"/>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64" w:name="_Toc31634"/>
      <w:bookmarkStart w:id="465" w:name="_Toc279701242"/>
      <w:bookmarkStart w:id="466" w:name="_Toc9829"/>
      <w:bookmarkStart w:id="467" w:name="_Toc259093671"/>
      <w:bookmarkStart w:id="468" w:name="_Toc487900351"/>
      <w:bookmarkStart w:id="469" w:name="_Toc27853"/>
      <w:r>
        <w:rPr>
          <w:rFonts w:hint="eastAsia" w:ascii="仿宋" w:hAnsi="仿宋" w:eastAsia="仿宋"/>
          <w:b/>
          <w:color w:val="auto"/>
          <w:sz w:val="24"/>
          <w:highlight w:val="none"/>
        </w:rPr>
        <w:t>2.3 知识产权</w:t>
      </w:r>
      <w:bookmarkEnd w:id="464"/>
      <w:bookmarkEnd w:id="465"/>
      <w:bookmarkEnd w:id="466"/>
      <w:bookmarkEnd w:id="467"/>
      <w:bookmarkEnd w:id="468"/>
      <w:bookmarkEnd w:id="469"/>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 xml:space="preserve">2.3.1 </w:t>
      </w:r>
      <w:r>
        <w:rPr>
          <w:rFonts w:hint="eastAsia" w:ascii="仿宋" w:hAnsi="仿宋" w:eastAsia="仿宋"/>
          <w:color w:val="auto"/>
          <w:sz w:val="24"/>
          <w:highlight w:val="none"/>
        </w:rPr>
        <w:t>乙方应保证</w:t>
      </w:r>
      <w:r>
        <w:rPr>
          <w:rFonts w:hint="eastAsia" w:ascii="仿宋" w:hAnsi="仿宋" w:eastAsia="仿宋"/>
          <w:color w:val="auto"/>
          <w:sz w:val="24"/>
          <w:highlight w:val="none"/>
          <w:lang w:eastAsia="zh-CN"/>
        </w:rPr>
        <w:t>其提供的服务</w:t>
      </w:r>
      <w:r>
        <w:rPr>
          <w:rFonts w:hint="eastAsia" w:ascii="仿宋" w:hAnsi="仿宋" w:eastAsia="仿宋"/>
          <w:color w:val="auto"/>
          <w:sz w:val="24"/>
          <w:highlight w:val="none"/>
        </w:rPr>
        <w:t>不受任何第三方提出的侵犯其著作权、商标权、专利权等知识产权方面的起诉；如果任何第三方提出侵权指控，那么乙方须与该第三方交涉并承担由此发生的一切责任、费用和赔偿；</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2.3.2</w:t>
      </w:r>
      <w:r>
        <w:rPr>
          <w:rFonts w:hint="eastAsia" w:ascii="仿宋" w:hAnsi="仿宋" w:eastAsia="仿宋"/>
          <w:color w:val="auto"/>
          <w:sz w:val="24"/>
          <w:highlight w:val="none"/>
        </w:rPr>
        <w:t>合同涉及技术成果的归属和收益的分成办法的</w:t>
      </w:r>
      <w:r>
        <w:rPr>
          <w:rFonts w:ascii="仿宋" w:hAnsi="仿宋" w:eastAsia="仿宋"/>
          <w:color w:val="auto"/>
          <w:sz w:val="24"/>
          <w:highlight w:val="none"/>
        </w:rPr>
        <w:t>，详见</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70" w:name="_Toc259093674"/>
      <w:bookmarkStart w:id="471" w:name="_Ref467379527"/>
      <w:bookmarkStart w:id="472" w:name="_Ref467378541"/>
      <w:bookmarkStart w:id="473" w:name="_Ref467379536"/>
      <w:bookmarkStart w:id="474" w:name="_Toc279701245"/>
      <w:bookmarkStart w:id="475" w:name="_Ref467379542"/>
      <w:bookmarkStart w:id="476" w:name="_Toc487900354"/>
      <w:bookmarkStart w:id="477" w:name="_Ref467378591"/>
      <w:bookmarkStart w:id="478" w:name="_Toc30272"/>
      <w:bookmarkStart w:id="479" w:name="_Toc19074"/>
      <w:bookmarkStart w:id="480" w:name="_Toc26182"/>
      <w:r>
        <w:rPr>
          <w:rFonts w:hint="eastAsia" w:ascii="仿宋" w:hAnsi="仿宋" w:eastAsia="仿宋"/>
          <w:b/>
          <w:color w:val="auto"/>
          <w:sz w:val="24"/>
          <w:highlight w:val="none"/>
        </w:rPr>
        <w:t>2.</w:t>
      </w:r>
      <w:bookmarkEnd w:id="470"/>
      <w:bookmarkEnd w:id="471"/>
      <w:bookmarkEnd w:id="472"/>
      <w:bookmarkEnd w:id="473"/>
      <w:bookmarkEnd w:id="474"/>
      <w:bookmarkEnd w:id="475"/>
      <w:bookmarkEnd w:id="476"/>
      <w:bookmarkEnd w:id="477"/>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 xml:space="preserve"> 履约检查和问题反馈</w:t>
      </w:r>
      <w:bookmarkEnd w:id="478"/>
      <w:bookmarkEnd w:id="479"/>
      <w:bookmarkEnd w:id="480"/>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481" w:name="_Ref467379657"/>
      <w:r>
        <w:rPr>
          <w:rFonts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ascii="仿宋" w:hAnsi="仿宋" w:eastAsia="仿宋"/>
          <w:color w:val="auto"/>
          <w:sz w:val="24"/>
          <w:highlight w:val="none"/>
        </w:rPr>
        <w:t>.1</w:t>
      </w:r>
      <w:bookmarkEnd w:id="481"/>
      <w:bookmarkStart w:id="482" w:name="_Toc186431854"/>
      <w:bookmarkStart w:id="483" w:name="_Ref467379793"/>
      <w:bookmarkStart w:id="484" w:name="_Toc259093676"/>
      <w:bookmarkStart w:id="485" w:name="_Ref467379807"/>
      <w:bookmarkStart w:id="486" w:name="_Toc487900357"/>
      <w:bookmarkStart w:id="487" w:name="_Toc279701247"/>
      <w:r>
        <w:rPr>
          <w:rFonts w:hint="eastAsia" w:ascii="仿宋" w:hAnsi="仿宋" w:eastAsia="仿宋"/>
          <w:color w:val="auto"/>
          <w:sz w:val="24"/>
          <w:highlight w:val="none"/>
        </w:rPr>
        <w:t>甲方有权在其认为必要时，对乙方是否能够按照合同约定提供服务进行履约检查，以确保乙方所提供的服务能够依约满足甲方之项目需求，但不得因履约检查妨碍乙方的正常工作，乙方应予积极配合；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lang w:val="en-US" w:eastAsia="zh-CN"/>
        </w:rPr>
        <w:t>4</w:t>
      </w:r>
      <w:r>
        <w:rPr>
          <w:rFonts w:ascii="仿宋" w:hAnsi="仿宋" w:eastAsia="仿宋"/>
          <w:color w:val="auto"/>
          <w:sz w:val="24"/>
          <w:highlight w:val="none"/>
        </w:rPr>
        <w:t xml:space="preserve">.2 </w:t>
      </w:r>
      <w:r>
        <w:rPr>
          <w:rFonts w:hint="eastAsia" w:ascii="仿宋" w:hAnsi="仿宋" w:eastAsia="仿宋"/>
          <w:color w:val="auto"/>
          <w:sz w:val="24"/>
          <w:highlight w:val="none"/>
        </w:rPr>
        <w:t>合同履行期间，甲方有权将履行过程中出现的问题反馈给乙方，双方当事人应以书面形式约定需要完善和改进的内容</w:t>
      </w:r>
      <w:bookmarkEnd w:id="482"/>
      <w:bookmarkStart w:id="488" w:name="_Toc186431855"/>
      <w:r>
        <w:rPr>
          <w:rFonts w:hint="eastAsia" w:ascii="仿宋" w:hAnsi="仿宋" w:eastAsia="仿宋"/>
          <w:color w:val="auto"/>
          <w:sz w:val="24"/>
          <w:highlight w:val="none"/>
        </w:rPr>
        <w:t>。</w:t>
      </w:r>
    </w:p>
    <w:bookmarkEnd w:id="483"/>
    <w:bookmarkEnd w:id="484"/>
    <w:bookmarkEnd w:id="485"/>
    <w:bookmarkEnd w:id="486"/>
    <w:bookmarkEnd w:id="487"/>
    <w:bookmarkEnd w:id="488"/>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89" w:name="_Ref467379863"/>
      <w:bookmarkStart w:id="490" w:name="_Ref467379852"/>
      <w:bookmarkStart w:id="491" w:name="_Toc259093677"/>
      <w:bookmarkStart w:id="492" w:name="_Toc3225"/>
      <w:bookmarkStart w:id="493" w:name="_Toc279701248"/>
      <w:bookmarkStart w:id="494" w:name="_Toc774"/>
      <w:bookmarkStart w:id="495" w:name="_Toc487900358"/>
      <w:bookmarkStart w:id="496" w:name="_Toc16110"/>
      <w:bookmarkStart w:id="497" w:name="_Ref467379923"/>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 xml:space="preserve"> </w:t>
      </w:r>
      <w:bookmarkEnd w:id="489"/>
      <w:bookmarkEnd w:id="490"/>
      <w:bookmarkEnd w:id="491"/>
      <w:bookmarkEnd w:id="492"/>
      <w:bookmarkEnd w:id="493"/>
      <w:bookmarkEnd w:id="494"/>
      <w:bookmarkEnd w:id="495"/>
      <w:bookmarkEnd w:id="496"/>
      <w:bookmarkEnd w:id="497"/>
      <w:r>
        <w:rPr>
          <w:rFonts w:hint="eastAsia" w:ascii="仿宋" w:hAnsi="仿宋" w:eastAsia="仿宋"/>
          <w:b/>
          <w:color w:val="auto"/>
          <w:sz w:val="24"/>
          <w:highlight w:val="none"/>
        </w:rPr>
        <w:t>结算方式和付款条件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详见</w:t>
      </w:r>
      <w:r>
        <w:rPr>
          <w:rFonts w:hint="eastAsia" w:ascii="仿宋" w:hAnsi="仿宋" w:eastAsia="仿宋"/>
          <w:b/>
          <w:bCs/>
          <w:i/>
          <w:iCs/>
          <w:color w:val="auto"/>
          <w:sz w:val="24"/>
          <w:highlight w:val="none"/>
          <w:u w:val="single"/>
        </w:rPr>
        <w:t>合同专用条款</w:t>
      </w:r>
      <w:r>
        <w:rPr>
          <w:rFonts w:hint="eastAsia"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2.6 技术资料和保密义务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2.6.1 乙方有权依据合同约定和项目需要，向甲方了解有关情况，调阅有关资料等，甲方应予积极配合；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2.6.2 乙方有义务妥善保管和保护由甲方提供的前款信息和资料等；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r>
        <w:rPr>
          <w:rFonts w:hint="eastAsia" w:ascii="仿宋" w:hAnsi="仿宋" w:eastAsia="仿宋"/>
          <w:b/>
          <w:color w:val="auto"/>
          <w:sz w:val="24"/>
          <w:highlight w:val="none"/>
        </w:rPr>
        <w:t>2.7 质量保证</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2.7.1 乙方应建立和完善履行合同的内部质量保证体系，并提供相关内部规章制度给甲方，以便甲方进行监督检查；</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2.7.2 乙方应保证履行合同的人员数量和素质、软件和硬件设备的配置、场地、环境和设施等满足全面履行合同的要求，并应接受甲方的监督检查。</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b/>
          <w:bCs/>
          <w:color w:val="auto"/>
          <w:sz w:val="24"/>
          <w:highlight w:val="none"/>
        </w:rPr>
      </w:pPr>
      <w:r>
        <w:rPr>
          <w:rFonts w:hint="eastAsia" w:ascii="仿宋" w:hAnsi="仿宋" w:eastAsia="仿宋"/>
          <w:b/>
          <w:bCs/>
          <w:color w:val="auto"/>
          <w:sz w:val="24"/>
          <w:highlight w:val="none"/>
        </w:rPr>
        <w:t>2.8 延迟履行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498" w:name="_Toc7502"/>
      <w:bookmarkStart w:id="499" w:name="_Ref467378121"/>
      <w:bookmarkStart w:id="500" w:name="_Toc487900364"/>
      <w:bookmarkStart w:id="501" w:name="_Toc259093683"/>
      <w:bookmarkStart w:id="502" w:name="_Toc279701254"/>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9</w:t>
      </w:r>
      <w:r>
        <w:rPr>
          <w:rFonts w:hint="eastAsia" w:ascii="仿宋" w:hAnsi="仿宋" w:eastAsia="仿宋"/>
          <w:b/>
          <w:color w:val="auto"/>
          <w:sz w:val="24"/>
          <w:highlight w:val="none"/>
        </w:rPr>
        <w:t xml:space="preserve"> 合同变更</w:t>
      </w:r>
      <w:bookmarkEnd w:id="498"/>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3" w:name="_Toc487900369"/>
      <w:bookmarkStart w:id="504" w:name="_Toc259093688"/>
      <w:bookmarkStart w:id="505" w:name="_Toc279701259"/>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06" w:name="_Toc10366"/>
      <w:bookmarkStart w:id="507" w:name="_Toc22955"/>
      <w:bookmarkStart w:id="508" w:name="_Toc15237"/>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 xml:space="preserve"> 合同转让</w:t>
      </w:r>
      <w:bookmarkEnd w:id="503"/>
      <w:bookmarkEnd w:id="504"/>
      <w:bookmarkEnd w:id="505"/>
      <w:r>
        <w:rPr>
          <w:rFonts w:hint="eastAsia" w:ascii="仿宋" w:hAnsi="仿宋" w:eastAsia="仿宋"/>
          <w:b/>
          <w:color w:val="auto"/>
          <w:sz w:val="24"/>
          <w:highlight w:val="none"/>
        </w:rPr>
        <w:t>和分包</w:t>
      </w:r>
      <w:bookmarkEnd w:id="506"/>
      <w:bookmarkEnd w:id="507"/>
      <w:bookmarkEnd w:id="508"/>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r>
        <w:rPr>
          <w:rFonts w:ascii="仿宋" w:hAnsi="仿宋" w:eastAsia="仿宋"/>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09" w:name="_Toc13566"/>
      <w:bookmarkStart w:id="510" w:name="_Toc14066"/>
      <w:bookmarkStart w:id="511" w:name="_Toc16508"/>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 xml:space="preserve"> 不可抗力</w:t>
      </w:r>
      <w:bookmarkEnd w:id="509"/>
      <w:bookmarkEnd w:id="510"/>
      <w:bookmarkEnd w:id="511"/>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.1如果任何一方遭遇法律规定的不可抗力，致使合同履行受阻时，履行合同的期限应予延长，延长的期限应相当于不可抗力所影响的时间；</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 xml:space="preserve">.2 </w:t>
      </w:r>
      <w:r>
        <w:rPr>
          <w:rFonts w:hint="eastAsia" w:ascii="仿宋" w:hAnsi="仿宋" w:eastAsia="仿宋"/>
          <w:color w:val="auto"/>
          <w:sz w:val="24"/>
          <w:highlight w:val="none"/>
        </w:rPr>
        <w:t>因不可抗力致使不能实现合同目的的，当事人可以解除合同；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 xml:space="preserve">.3 </w:t>
      </w:r>
      <w:r>
        <w:rPr>
          <w:rFonts w:hint="eastAsia" w:ascii="仿宋" w:hAnsi="仿宋" w:eastAsia="仿宋"/>
          <w:color w:val="auto"/>
          <w:sz w:val="24"/>
          <w:highlight w:val="none"/>
        </w:rPr>
        <w:t>因不可抗力致使合同有变更必要的，双方当事人应在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约定时间内以书面形式变更合同；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1</w:t>
      </w:r>
      <w:r>
        <w:rPr>
          <w:rFonts w:ascii="仿宋" w:hAnsi="仿宋" w:eastAsia="仿宋"/>
          <w:color w:val="auto"/>
          <w:sz w:val="24"/>
          <w:highlight w:val="none"/>
        </w:rPr>
        <w:t>.4受不可抗力影响的一方在不可抗力发生后，应在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约定时间内以书面形式通知对方当事人，并在</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约定时间内，将有关部门出具的证明文件送达对方当事人。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12" w:name="_Toc279701255"/>
      <w:bookmarkStart w:id="513" w:name="_Toc259093684"/>
      <w:bookmarkStart w:id="514" w:name="_Toc6969"/>
      <w:bookmarkStart w:id="515" w:name="_Toc689"/>
      <w:bookmarkStart w:id="516" w:name="_Toc487900365"/>
      <w:bookmarkStart w:id="517" w:name="_Toc30676"/>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 xml:space="preserve"> 税费</w:t>
      </w:r>
      <w:bookmarkEnd w:id="512"/>
      <w:bookmarkEnd w:id="513"/>
      <w:bookmarkEnd w:id="514"/>
      <w:bookmarkEnd w:id="515"/>
      <w:bookmarkEnd w:id="516"/>
      <w:bookmarkEnd w:id="517"/>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与合同有关的一切税费，均按照中华人民共和国法律的相关规定。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18" w:name="_Toc16959"/>
      <w:bookmarkStart w:id="519" w:name="_Toc7102"/>
      <w:bookmarkStart w:id="520" w:name="_Toc259093687"/>
      <w:bookmarkStart w:id="521" w:name="_Toc8298"/>
      <w:bookmarkStart w:id="522" w:name="_Toc279701258"/>
      <w:bookmarkStart w:id="523" w:name="_Toc487900368"/>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乙方破产</w:t>
      </w:r>
      <w:bookmarkEnd w:id="518"/>
      <w:bookmarkEnd w:id="519"/>
      <w:bookmarkEnd w:id="520"/>
      <w:bookmarkEnd w:id="521"/>
      <w:bookmarkEnd w:id="522"/>
      <w:bookmarkEnd w:id="523"/>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24" w:name="_Toc15387"/>
      <w:bookmarkStart w:id="525" w:name="_Toc29333"/>
      <w:bookmarkStart w:id="526" w:name="_Toc6134"/>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合同中止、终止</w:t>
      </w:r>
      <w:bookmarkEnd w:id="524"/>
      <w:bookmarkEnd w:id="525"/>
      <w:bookmarkEnd w:id="526"/>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4</w:t>
      </w:r>
      <w:r>
        <w:rPr>
          <w:rFonts w:ascii="仿宋" w:hAnsi="仿宋" w:eastAsia="仿宋"/>
          <w:color w:val="auto"/>
          <w:sz w:val="24"/>
          <w:highlight w:val="none"/>
        </w:rPr>
        <w:t xml:space="preserve">.1 </w:t>
      </w:r>
      <w:r>
        <w:rPr>
          <w:rFonts w:hint="eastAsia" w:ascii="仿宋" w:hAnsi="仿宋" w:eastAsia="仿宋"/>
          <w:color w:val="auto"/>
          <w:sz w:val="24"/>
          <w:highlight w:val="none"/>
        </w:rPr>
        <w:t>双方当事人不得擅自中止或者终止合同；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4</w:t>
      </w:r>
      <w:r>
        <w:rPr>
          <w:rFonts w:ascii="仿宋" w:hAnsi="仿宋" w:eastAsia="仿宋"/>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27" w:name="_Toc1125"/>
      <w:bookmarkStart w:id="528" w:name="_Toc14563"/>
      <w:bookmarkStart w:id="529" w:name="_Toc6596"/>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检验和验收</w:t>
      </w:r>
      <w:bookmarkEnd w:id="527"/>
      <w:bookmarkEnd w:id="528"/>
      <w:bookmarkEnd w:id="529"/>
    </w:p>
    <w:p>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.1</w:t>
      </w:r>
      <w:r>
        <w:rPr>
          <w:rFonts w:hint="eastAsia" w:ascii="仿宋" w:hAnsi="仿宋" w:eastAsia="仿宋"/>
          <w:color w:val="auto"/>
          <w:sz w:val="24"/>
          <w:highlight w:val="none"/>
        </w:rPr>
        <w:t>乙方按照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的约定，定期提交服务报告，甲方按照</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的约定进行定期验收</w:t>
      </w:r>
      <w:r>
        <w:rPr>
          <w:rFonts w:hint="eastAsia" w:ascii="仿宋" w:hAnsi="仿宋" w:eastAsia="仿宋"/>
          <w:color w:val="auto"/>
          <w:sz w:val="24"/>
          <w:highlight w:val="none"/>
          <w:lang w:eastAsia="zh-CN"/>
        </w:rPr>
        <w:t>；</w:t>
      </w:r>
    </w:p>
    <w:p>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.2</w:t>
      </w:r>
      <w:r>
        <w:rPr>
          <w:rFonts w:hint="eastAsia" w:ascii="仿宋" w:hAnsi="仿宋" w:eastAsia="仿宋"/>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r>
        <w:rPr>
          <w:rFonts w:ascii="仿宋" w:hAnsi="仿宋" w:eastAsia="仿宋"/>
          <w:color w:val="auto"/>
          <w:sz w:val="24"/>
          <w:highlight w:val="none"/>
        </w:rPr>
        <w:t>。</w:t>
      </w:r>
    </w:p>
    <w:p>
      <w:pPr>
        <w:keepNext w:val="0"/>
        <w:keepLines w:val="0"/>
        <w:pageBreakBefore w:val="0"/>
        <w:tabs>
          <w:tab w:val="left" w:pos="360"/>
          <w:tab w:val="left" w:pos="540"/>
          <w:tab w:val="left" w:pos="1080"/>
        </w:tabs>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.3 </w:t>
      </w:r>
      <w:r>
        <w:rPr>
          <w:rFonts w:hint="eastAsia" w:ascii="仿宋" w:hAnsi="仿宋" w:eastAsia="仿宋"/>
          <w:color w:val="auto"/>
          <w:sz w:val="24"/>
          <w:highlight w:val="none"/>
        </w:rPr>
        <w:t>检验和验收标准、程序等具体内容以及前述验收书的效力详见</w:t>
      </w:r>
      <w:r>
        <w:rPr>
          <w:rFonts w:hint="eastAsia" w:ascii="仿宋" w:hAnsi="仿宋" w:eastAsia="仿宋"/>
          <w:b/>
          <w:i/>
          <w:color w:val="auto"/>
          <w:sz w:val="24"/>
          <w:highlight w:val="none"/>
          <w:u w:val="single"/>
        </w:rPr>
        <w:t>合同专用条款</w:t>
      </w:r>
      <w:r>
        <w:rPr>
          <w:rFonts w:hint="eastAsia" w:ascii="仿宋" w:hAnsi="仿宋" w:eastAsia="仿宋"/>
          <w:i/>
          <w:color w:val="auto"/>
          <w:sz w:val="24"/>
          <w:highlight w:val="none"/>
        </w:rPr>
        <w:t>。</w:t>
      </w:r>
    </w:p>
    <w:bookmarkEnd w:id="499"/>
    <w:bookmarkEnd w:id="500"/>
    <w:bookmarkEnd w:id="501"/>
    <w:bookmarkEnd w:id="502"/>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30" w:name="_Toc487900371"/>
      <w:bookmarkStart w:id="531" w:name="_Toc279701261"/>
      <w:bookmarkStart w:id="532" w:name="_Toc259093690"/>
      <w:bookmarkStart w:id="533" w:name="_Toc25182"/>
      <w:bookmarkStart w:id="534" w:name="_Toc11284"/>
      <w:bookmarkStart w:id="535" w:name="_Toc19604"/>
      <w:r>
        <w:rPr>
          <w:rFonts w:hint="eastAsia" w:ascii="仿宋" w:hAnsi="仿宋" w:eastAsia="仿宋"/>
          <w:b/>
          <w:color w:val="auto"/>
          <w:sz w:val="24"/>
          <w:highlight w:val="none"/>
        </w:rPr>
        <w:t>2.1</w:t>
      </w:r>
      <w:r>
        <w:rPr>
          <w:rFonts w:hint="eastAsia" w:ascii="仿宋" w:hAnsi="仿宋" w:eastAsia="仿宋"/>
          <w:b/>
          <w:color w:val="auto"/>
          <w:sz w:val="24"/>
          <w:highlight w:val="none"/>
          <w:lang w:val="en-US" w:eastAsia="zh-CN"/>
        </w:rPr>
        <w:t>6</w:t>
      </w:r>
      <w:r>
        <w:rPr>
          <w:rFonts w:hint="eastAsia" w:ascii="仿宋" w:hAnsi="仿宋" w:eastAsia="仿宋"/>
          <w:b/>
          <w:color w:val="auto"/>
          <w:sz w:val="24"/>
          <w:highlight w:val="none"/>
        </w:rPr>
        <w:t xml:space="preserve"> 通知</w:t>
      </w:r>
      <w:bookmarkEnd w:id="530"/>
      <w:bookmarkEnd w:id="531"/>
      <w:bookmarkEnd w:id="532"/>
      <w:r>
        <w:rPr>
          <w:rFonts w:hint="eastAsia" w:ascii="仿宋" w:hAnsi="仿宋" w:eastAsia="仿宋"/>
          <w:b/>
          <w:color w:val="auto"/>
          <w:sz w:val="24"/>
          <w:highlight w:val="none"/>
        </w:rPr>
        <w:t>和送达</w:t>
      </w:r>
      <w:bookmarkEnd w:id="533"/>
      <w:bookmarkEnd w:id="534"/>
      <w:bookmarkEnd w:id="535"/>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536" w:name="_Toc3135"/>
      <w:bookmarkStart w:id="537" w:name="_Toc6698"/>
      <w:bookmarkStart w:id="538" w:name="_Toc259093691"/>
      <w:bookmarkStart w:id="539" w:name="_Toc279701262"/>
      <w:bookmarkStart w:id="540" w:name="_Toc487900372"/>
      <w:r>
        <w:rPr>
          <w:rFonts w:ascii="仿宋" w:hAnsi="仿宋" w:eastAsia="仿宋"/>
          <w:color w:val="auto"/>
          <w:sz w:val="24"/>
          <w:highlight w:val="none"/>
        </w:rPr>
        <w:t>2.1</w:t>
      </w:r>
      <w:r>
        <w:rPr>
          <w:rFonts w:hint="eastAsia" w:ascii="仿宋" w:hAnsi="仿宋" w:eastAsia="仿宋"/>
          <w:color w:val="auto"/>
          <w:sz w:val="24"/>
          <w:highlight w:val="none"/>
          <w:lang w:val="en-US" w:eastAsia="zh-CN"/>
        </w:rPr>
        <w:t>6</w:t>
      </w:r>
      <w:r>
        <w:rPr>
          <w:rFonts w:ascii="仿宋" w:hAnsi="仿宋" w:eastAsia="仿宋"/>
          <w:color w:val="auto"/>
          <w:sz w:val="24"/>
          <w:highlight w:val="none"/>
        </w:rPr>
        <w:t>.1</w:t>
      </w:r>
      <w:r>
        <w:rPr>
          <w:rFonts w:hint="eastAsia" w:ascii="仿宋" w:hAnsi="仿宋" w:eastAsia="仿宋"/>
          <w:color w:val="auto"/>
          <w:sz w:val="24"/>
          <w:highlight w:val="none"/>
        </w:rPr>
        <w:t>任何一方因履行合同而以合同第一部分尾部所列明的传真或电子邮件</w:t>
      </w:r>
      <w:r>
        <w:rPr>
          <w:rFonts w:ascii="仿宋" w:hAnsi="仿宋" w:eastAsia="仿宋"/>
          <w:color w:val="auto"/>
          <w:sz w:val="24"/>
          <w:highlight w:val="none"/>
        </w:rPr>
        <w:t xml:space="preserve">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发出的所有通知、文件、材料，均视为已向对方当事人送达；任何一方变更上述送达方式或者地址的，应于</w:t>
      </w:r>
      <w:r>
        <w:rPr>
          <w:rFonts w:hint="eastAsia" w:ascii="仿宋" w:hAnsi="仿宋" w:eastAsia="仿宋"/>
          <w:color w:val="auto"/>
          <w:sz w:val="24"/>
          <w:highlight w:val="none"/>
          <w:u w:val="single"/>
        </w:rPr>
        <w:t>3</w:t>
      </w:r>
      <w:r>
        <w:rPr>
          <w:rFonts w:hint="eastAsia" w:ascii="仿宋" w:hAnsi="仿宋" w:eastAsia="仿宋"/>
          <w:color w:val="auto"/>
          <w:sz w:val="24"/>
          <w:highlight w:val="none"/>
        </w:rPr>
        <w:t>个工作日内书面通知对方当事人，在对方当事人收到有关变更通知之前，变更前的约定送达方式或者地址仍视为有效。</w:t>
      </w:r>
      <w:bookmarkEnd w:id="536"/>
      <w:bookmarkEnd w:id="537"/>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bookmarkStart w:id="541" w:name="_Toc23128"/>
      <w:bookmarkStart w:id="542" w:name="_Toc23294"/>
      <w:r>
        <w:rPr>
          <w:rFonts w:ascii="仿宋" w:hAnsi="仿宋" w:eastAsia="仿宋"/>
          <w:color w:val="auto"/>
          <w:sz w:val="24"/>
          <w:highlight w:val="none"/>
        </w:rPr>
        <w:t>2.1</w:t>
      </w:r>
      <w:r>
        <w:rPr>
          <w:rFonts w:hint="eastAsia" w:ascii="仿宋" w:hAnsi="仿宋" w:eastAsia="仿宋"/>
          <w:color w:val="auto"/>
          <w:sz w:val="24"/>
          <w:highlight w:val="none"/>
          <w:lang w:val="en-US" w:eastAsia="zh-CN"/>
        </w:rPr>
        <w:t>6</w:t>
      </w:r>
      <w:r>
        <w:rPr>
          <w:rFonts w:ascii="仿宋" w:hAnsi="仿宋" w:eastAsia="仿宋"/>
          <w:color w:val="auto"/>
          <w:sz w:val="24"/>
          <w:highlight w:val="none"/>
        </w:rPr>
        <w:t>.2以当面交付方式送达的，交付之时视为送达；以电子邮件方式送达的，发出电子邮件之时视为送达；以传真方式送达的，发出传真之时视为送达；以邮寄方式送达</w:t>
      </w:r>
      <w:r>
        <w:rPr>
          <w:rFonts w:hint="eastAsia" w:ascii="仿宋" w:hAnsi="仿宋" w:eastAsia="仿宋"/>
          <w:color w:val="auto"/>
          <w:sz w:val="24"/>
          <w:highlight w:val="none"/>
        </w:rPr>
        <w:t>的，邮件挂号寄出或者交邮之日之次日视为送达。</w:t>
      </w:r>
      <w:bookmarkEnd w:id="541"/>
      <w:bookmarkEnd w:id="542"/>
    </w:p>
    <w:bookmarkEnd w:id="538"/>
    <w:bookmarkEnd w:id="539"/>
    <w:bookmarkEnd w:id="540"/>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43" w:name="_Toc10330"/>
      <w:bookmarkStart w:id="544" w:name="_Toc12773"/>
      <w:bookmarkStart w:id="545" w:name="_Toc487900373"/>
      <w:bookmarkStart w:id="546" w:name="_Toc279701263"/>
      <w:bookmarkStart w:id="547" w:name="_Toc18567"/>
      <w:bookmarkStart w:id="548" w:name="_Toc259093692"/>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17</w:t>
      </w:r>
      <w:r>
        <w:rPr>
          <w:rFonts w:hint="eastAsia" w:ascii="仿宋" w:hAnsi="仿宋" w:eastAsia="仿宋"/>
          <w:b/>
          <w:color w:val="auto"/>
          <w:sz w:val="24"/>
          <w:highlight w:val="none"/>
        </w:rPr>
        <w:t>合同使用的文字和适用的法律</w:t>
      </w:r>
      <w:bookmarkEnd w:id="543"/>
      <w:bookmarkEnd w:id="544"/>
      <w:bookmarkEnd w:id="545"/>
      <w:bookmarkEnd w:id="546"/>
      <w:bookmarkEnd w:id="547"/>
      <w:bookmarkEnd w:id="548"/>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.1 </w:t>
      </w:r>
      <w:r>
        <w:rPr>
          <w:rFonts w:hint="eastAsia" w:ascii="仿宋" w:hAnsi="仿宋" w:eastAsia="仿宋"/>
          <w:color w:val="auto"/>
          <w:sz w:val="24"/>
          <w:highlight w:val="none"/>
        </w:rPr>
        <w:t>合同使用汉语书就、变更和解释；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lang w:val="en-US" w:eastAsia="zh-CN"/>
        </w:rPr>
        <w:t>7</w:t>
      </w:r>
      <w:r>
        <w:rPr>
          <w:rFonts w:ascii="仿宋" w:hAnsi="仿宋" w:eastAsia="仿宋"/>
          <w:color w:val="auto"/>
          <w:sz w:val="24"/>
          <w:highlight w:val="none"/>
        </w:rPr>
        <w:t xml:space="preserve">.2 </w:t>
      </w:r>
      <w:r>
        <w:rPr>
          <w:rFonts w:hint="eastAsia" w:ascii="仿宋" w:hAnsi="仿宋" w:eastAsia="仿宋"/>
          <w:color w:val="auto"/>
          <w:sz w:val="24"/>
          <w:highlight w:val="none"/>
        </w:rPr>
        <w:t>合同适用中华人民共和国法律。</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49" w:name="_Toc4355"/>
      <w:bookmarkStart w:id="550" w:name="_Toc18540"/>
      <w:bookmarkStart w:id="551" w:name="_Toc30599"/>
      <w:bookmarkStart w:id="552" w:name="_Toc487900374"/>
      <w:r>
        <w:rPr>
          <w:rFonts w:hint="eastAsia" w:ascii="仿宋" w:hAnsi="仿宋" w:eastAsia="仿宋"/>
          <w:b/>
          <w:color w:val="auto"/>
          <w:sz w:val="24"/>
          <w:highlight w:val="none"/>
        </w:rPr>
        <w:t>2.18 计量单位</w:t>
      </w:r>
      <w:bookmarkEnd w:id="549"/>
      <w:bookmarkEnd w:id="550"/>
      <w:bookmarkEnd w:id="551"/>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除技术规范中另有规定外,合同的计量单位均使用国家法定计量单位。</w:t>
      </w:r>
    </w:p>
    <w:bookmarkEnd w:id="552"/>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1"/>
        <w:rPr>
          <w:rFonts w:hint="eastAsia" w:ascii="仿宋" w:hAnsi="仿宋" w:eastAsia="仿宋"/>
          <w:b/>
          <w:color w:val="auto"/>
          <w:sz w:val="24"/>
          <w:highlight w:val="none"/>
        </w:rPr>
      </w:pPr>
      <w:bookmarkStart w:id="553" w:name="_Toc19890"/>
      <w:bookmarkStart w:id="554" w:name="_Toc14001"/>
      <w:bookmarkStart w:id="555" w:name="_Toc6885"/>
      <w:r>
        <w:rPr>
          <w:rFonts w:hint="eastAsia" w:ascii="仿宋" w:hAnsi="仿宋" w:eastAsia="仿宋"/>
          <w:b/>
          <w:color w:val="auto"/>
          <w:sz w:val="24"/>
          <w:highlight w:val="none"/>
        </w:rPr>
        <w:t>2.</w:t>
      </w:r>
      <w:r>
        <w:rPr>
          <w:rFonts w:hint="eastAsia" w:ascii="仿宋" w:hAnsi="仿宋" w:eastAsia="仿宋"/>
          <w:b/>
          <w:color w:val="auto"/>
          <w:sz w:val="24"/>
          <w:highlight w:val="none"/>
          <w:lang w:val="en-US" w:eastAsia="zh-CN"/>
        </w:rPr>
        <w:t>19</w:t>
      </w:r>
      <w:r>
        <w:rPr>
          <w:rFonts w:hint="eastAsia" w:ascii="仿宋" w:hAnsi="仿宋" w:eastAsia="仿宋"/>
          <w:b/>
          <w:color w:val="auto"/>
          <w:sz w:val="24"/>
          <w:highlight w:val="none"/>
        </w:rPr>
        <w:t>合同份数</w:t>
      </w:r>
      <w:bookmarkEnd w:id="553"/>
      <w:bookmarkEnd w:id="554"/>
      <w:bookmarkEnd w:id="555"/>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合同份数按</w:t>
      </w:r>
      <w:r>
        <w:rPr>
          <w:rFonts w:hint="eastAsia" w:ascii="仿宋" w:hAnsi="仿宋" w:eastAsia="仿宋"/>
          <w:b/>
          <w:i/>
          <w:color w:val="auto"/>
          <w:sz w:val="24"/>
          <w:highlight w:val="none"/>
          <w:u w:val="single"/>
        </w:rPr>
        <w:t>合同专用条款</w:t>
      </w:r>
      <w:r>
        <w:rPr>
          <w:rFonts w:hint="eastAsia" w:ascii="仿宋" w:hAnsi="仿宋" w:eastAsia="仿宋"/>
          <w:color w:val="auto"/>
          <w:sz w:val="24"/>
          <w:highlight w:val="none"/>
        </w:rPr>
        <w:t>规定，每份均具有同等法律效力。</w:t>
      </w:r>
    </w:p>
    <w:p>
      <w:pPr>
        <w:rPr>
          <w:rFonts w:hint="eastAsia" w:ascii="仿宋" w:hAnsi="仿宋" w:eastAsia="仿宋"/>
          <w:b/>
          <w:color w:val="auto"/>
          <w:szCs w:val="24"/>
          <w:highlight w:val="none"/>
        </w:rPr>
      </w:pPr>
      <w:r>
        <w:rPr>
          <w:rFonts w:hint="eastAsia" w:ascii="仿宋" w:hAnsi="仿宋" w:eastAsia="仿宋"/>
          <w:b/>
          <w:color w:val="auto"/>
          <w:szCs w:val="24"/>
          <w:highlight w:val="none"/>
        </w:rPr>
        <w:br w:type="page"/>
      </w:r>
    </w:p>
    <w:p>
      <w:pPr>
        <w:keepNext w:val="0"/>
        <w:keepLines w:val="0"/>
        <w:pageBreakBefore w:val="0"/>
        <w:widowControl w:val="0"/>
        <w:kinsoku/>
        <w:wordWrap/>
        <w:overflowPunct/>
        <w:topLinePunct w:val="0"/>
        <w:autoSpaceDE/>
        <w:autoSpaceDN/>
        <w:bidi w:val="0"/>
        <w:adjustRightInd w:val="0"/>
        <w:snapToGrid w:val="0"/>
        <w:spacing w:before="0" w:beforeLines="50" w:after="0" w:afterLines="50" w:line="360" w:lineRule="auto"/>
        <w:jc w:val="center"/>
        <w:textAlignment w:val="auto"/>
        <w:outlineLvl w:val="0"/>
        <w:rPr>
          <w:rFonts w:hint="eastAsia" w:ascii="仿宋_GB2312" w:hAnsi="仿宋" w:eastAsia="仿宋_GB2312" w:cs="仿宋_GB2312"/>
          <w:b/>
          <w:color w:val="auto"/>
          <w:sz w:val="28"/>
          <w:szCs w:val="28"/>
          <w:highlight w:val="none"/>
        </w:rPr>
      </w:pPr>
      <w:bookmarkStart w:id="556" w:name="_Toc11897"/>
      <w:r>
        <w:rPr>
          <w:rFonts w:hint="eastAsia" w:ascii="仿宋_GB2312" w:hAnsi="仿宋" w:eastAsia="仿宋_GB2312" w:cs="仿宋_GB2312"/>
          <w:b/>
          <w:color w:val="auto"/>
          <w:sz w:val="28"/>
          <w:szCs w:val="28"/>
          <w:highlight w:val="none"/>
        </w:rPr>
        <w:t>第三部分  合同专用条款</w:t>
      </w:r>
      <w:bookmarkEnd w:id="556"/>
    </w:p>
    <w:p>
      <w:pPr>
        <w:keepNext w:val="0"/>
        <w:keepLines w:val="0"/>
        <w:pageBreakBefore w:val="0"/>
        <w:widowControl w:val="0"/>
        <w:kinsoku/>
        <w:wordWrap/>
        <w:overflowPunct/>
        <w:topLinePunct w:val="0"/>
        <w:autoSpaceDE/>
        <w:autoSpaceDN/>
        <w:bidi w:val="0"/>
        <w:adjustRightInd w:val="0"/>
        <w:snapToGrid w:val="0"/>
        <w:spacing w:line="360" w:lineRule="auto"/>
        <w:ind w:left="-420" w:leftChars="-200" w:right="-420" w:rightChars="-200" w:firstLine="480" w:firstLineChars="200"/>
        <w:textAlignment w:val="auto"/>
        <w:rPr>
          <w:color w:val="auto"/>
          <w:highlight w:val="none"/>
        </w:rPr>
      </w:pPr>
      <w:r>
        <w:rPr>
          <w:rFonts w:hint="eastAsia" w:ascii="仿宋" w:hAnsi="仿宋" w:eastAsia="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94"/>
        <w:gridCol w:w="82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楷体" w:eastAsia="仿宋_GB2312"/>
                <w:b/>
                <w:color w:val="auto"/>
                <w:sz w:val="24"/>
                <w:highlight w:val="none"/>
              </w:rPr>
            </w:pPr>
            <w:r>
              <w:rPr>
                <w:rFonts w:hint="eastAsia" w:ascii="仿宋_GB2312" w:hAnsi="楷体" w:eastAsia="仿宋_GB2312"/>
                <w:b/>
                <w:color w:val="auto"/>
                <w:sz w:val="24"/>
                <w:highlight w:val="none"/>
              </w:rPr>
              <w:t>条款号</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_GB2312" w:hAnsi="楷体" w:eastAsia="仿宋_GB2312"/>
                <w:b/>
                <w:color w:val="auto"/>
                <w:sz w:val="24"/>
                <w:highlight w:val="none"/>
              </w:rPr>
            </w:pPr>
            <w:r>
              <w:rPr>
                <w:rFonts w:hint="eastAsia" w:ascii="仿宋_GB2312" w:hAnsi="楷体" w:eastAsia="仿宋_GB2312"/>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1"/>
                <w:szCs w:val="21"/>
                <w:highlight w:val="none"/>
                <w:lang w:val="en-US" w:eastAsia="zh-CN"/>
              </w:rPr>
              <w:t>1.3.2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olor w:val="auto"/>
                <w:sz w:val="24"/>
                <w:highlight w:val="none"/>
                <w:lang w:eastAsia="zh-CN"/>
              </w:rPr>
            </w:pPr>
            <w:r>
              <w:rPr>
                <w:rFonts w:hint="default" w:ascii="仿宋" w:hAnsi="仿宋" w:eastAsia="仿宋"/>
                <w:color w:val="auto"/>
                <w:sz w:val="21"/>
                <w:szCs w:val="21"/>
                <w:highlight w:val="none"/>
              </w:rPr>
              <w:t>1.4.</w:t>
            </w:r>
            <w:r>
              <w:rPr>
                <w:rFonts w:hint="eastAsia" w:ascii="仿宋" w:hAnsi="仿宋" w:eastAsia="仿宋"/>
                <w:color w:val="auto"/>
                <w:sz w:val="21"/>
                <w:szCs w:val="21"/>
                <w:highlight w:val="none"/>
                <w:lang w:val="en-US" w:eastAsia="zh-CN"/>
              </w:rPr>
              <w:t>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olor w:val="auto"/>
                <w:sz w:val="24"/>
                <w:highlight w:val="none"/>
                <w:lang w:eastAsia="zh-CN"/>
              </w:rPr>
            </w:pPr>
            <w:r>
              <w:rPr>
                <w:rFonts w:hint="eastAsia" w:ascii="仿宋" w:hAnsi="仿宋" w:eastAsia="仿宋"/>
                <w:color w:val="auto"/>
                <w:sz w:val="21"/>
                <w:szCs w:val="21"/>
                <w:highlight w:val="none"/>
                <w:lang w:val="en-US" w:eastAsia="zh-CN"/>
              </w:rPr>
              <w:t>履约保证金支付方式：</w:t>
            </w:r>
            <w:r>
              <w:rPr>
                <w:rFonts w:hint="eastAsia" w:ascii="仿宋" w:hAnsi="仿宋" w:eastAsia="仿宋"/>
                <w:color w:val="auto"/>
                <w:sz w:val="21"/>
                <w:szCs w:val="21"/>
                <w:highlight w:val="none"/>
                <w:lang w:eastAsia="zh-CN"/>
              </w:rP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default" w:ascii="仿宋" w:hAnsi="仿宋" w:eastAsia="仿宋"/>
                <w:color w:val="auto"/>
                <w:sz w:val="21"/>
                <w:szCs w:val="21"/>
                <w:highlight w:val="none"/>
              </w:rPr>
              <w:t>1.5.1</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预付款比例、支付方式、时间：合同生效并具备实施条件后7个工作日内，采购人支付项目</w:t>
            </w:r>
            <w:r>
              <w:rPr>
                <w:rFonts w:hint="eastAsia" w:ascii="仿宋_GB2312" w:eastAsia="仿宋_GB2312" w:cs="Times New Roman"/>
                <w:color w:val="auto"/>
                <w:sz w:val="21"/>
                <w:szCs w:val="21"/>
                <w:highlight w:val="none"/>
                <w:lang w:val="en-US" w:eastAsia="zh-CN"/>
              </w:rPr>
              <w:t>合同</w:t>
            </w:r>
            <w:r>
              <w:rPr>
                <w:rFonts w:hint="eastAsia" w:ascii="仿宋" w:hAnsi="仿宋" w:eastAsia="仿宋"/>
                <w:color w:val="auto"/>
                <w:sz w:val="21"/>
                <w:szCs w:val="21"/>
                <w:highlight w:val="none"/>
                <w:lang w:val="en-US" w:eastAsia="zh-CN"/>
              </w:rPr>
              <w:t>金额的70%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default" w:ascii="仿宋" w:hAnsi="仿宋" w:eastAsia="仿宋"/>
                <w:color w:val="auto"/>
                <w:sz w:val="21"/>
                <w:szCs w:val="21"/>
                <w:highlight w:val="none"/>
              </w:rPr>
              <w:t>1.5.2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default" w:ascii="仿宋" w:hAnsi="仿宋" w:eastAsia="仿宋"/>
                <w:color w:val="auto"/>
                <w:sz w:val="21"/>
                <w:szCs w:val="21"/>
                <w:highlight w:val="none"/>
              </w:rPr>
              <w:t>1.5.3</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仿宋" w:hAnsi="仿宋" w:eastAsia="仿宋"/>
                <w:color w:val="auto"/>
                <w:sz w:val="24"/>
                <w:highlight w:val="none"/>
                <w:lang w:eastAsia="zh-CN"/>
              </w:rPr>
            </w:pPr>
            <w:r>
              <w:rPr>
                <w:rFonts w:hint="eastAsia" w:ascii="仿宋" w:hAnsi="仿宋" w:eastAsia="仿宋"/>
                <w:color w:val="auto"/>
                <w:sz w:val="21"/>
                <w:szCs w:val="21"/>
                <w:highlight w:val="none"/>
              </w:rPr>
              <w:t>1.6.</w:t>
            </w:r>
            <w:r>
              <w:rPr>
                <w:rFonts w:hint="eastAsia" w:ascii="仿宋" w:hAnsi="仿宋" w:eastAsia="仿宋"/>
                <w:color w:val="auto"/>
                <w:sz w:val="21"/>
                <w:szCs w:val="21"/>
                <w:highlight w:val="none"/>
                <w:lang w:val="en-US" w:eastAsia="zh-CN"/>
              </w:rPr>
              <w:t>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资金支付的方式、时间和条件：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合同生效并具备实施条件后7个工作日内，采购人支付项目</w:t>
            </w:r>
            <w:r>
              <w:rPr>
                <w:rFonts w:hint="eastAsia" w:ascii="仿宋_GB2312" w:eastAsia="仿宋_GB2312" w:cs="Times New Roman"/>
                <w:color w:val="auto"/>
                <w:sz w:val="21"/>
                <w:szCs w:val="21"/>
                <w:highlight w:val="none"/>
                <w:lang w:val="en-US" w:eastAsia="zh-CN"/>
              </w:rPr>
              <w:t>合同</w:t>
            </w:r>
            <w:r>
              <w:rPr>
                <w:rFonts w:hint="eastAsia" w:ascii="仿宋" w:hAnsi="仿宋" w:eastAsia="仿宋"/>
                <w:color w:val="auto"/>
                <w:sz w:val="21"/>
                <w:szCs w:val="21"/>
                <w:highlight w:val="none"/>
                <w:lang w:val="en-US" w:eastAsia="zh-CN"/>
              </w:rPr>
              <w:t>金额的70%（预付款在后续合同款中作相应抵扣）；2024年通过评审验收后，支付项目</w:t>
            </w:r>
            <w:r>
              <w:rPr>
                <w:rFonts w:hint="eastAsia" w:ascii="仿宋_GB2312" w:eastAsia="仿宋_GB2312" w:cs="Times New Roman"/>
                <w:color w:val="auto"/>
                <w:sz w:val="21"/>
                <w:szCs w:val="21"/>
                <w:highlight w:val="none"/>
                <w:lang w:val="en-US" w:eastAsia="zh-CN"/>
              </w:rPr>
              <w:t>合同</w:t>
            </w:r>
            <w:r>
              <w:rPr>
                <w:rFonts w:hint="eastAsia" w:ascii="仿宋" w:hAnsi="仿宋" w:eastAsia="仿宋"/>
                <w:color w:val="auto"/>
                <w:sz w:val="21"/>
                <w:szCs w:val="21"/>
                <w:highlight w:val="none"/>
                <w:lang w:val="en-US" w:eastAsia="zh-CN"/>
              </w:rPr>
              <w:t>金额的30%，支付时限为项目验收通过后7个工作日内。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1.7.1</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s="Times New Roman"/>
                <w:color w:val="auto"/>
                <w:sz w:val="21"/>
                <w:szCs w:val="21"/>
                <w:highlight w:val="none"/>
                <w:lang w:val="en-US" w:eastAsia="zh-CN"/>
              </w:rPr>
              <w:t>服务交付（实施）的时间（期限）：合同签订之日起一年。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1.7.2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服务交付（实施）的地点（地域范围）：浙江省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1"/>
                <w:szCs w:val="21"/>
                <w:highlight w:val="none"/>
                <w:lang w:val="en-US" w:eastAsia="zh-CN"/>
              </w:rPr>
              <w:t>1.7.3</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服务交付（实施）的方式：详见</w:t>
            </w:r>
            <w:r>
              <w:rPr>
                <w:rFonts w:hint="eastAsia" w:ascii="仿宋" w:hAnsi="仿宋" w:eastAsia="仿宋"/>
                <w:b/>
                <w:i/>
                <w:color w:val="auto"/>
                <w:sz w:val="21"/>
                <w:szCs w:val="21"/>
                <w:highlight w:val="none"/>
                <w:u w:val="single"/>
                <w:lang w:val="en-US" w:eastAsia="zh-CN"/>
              </w:rPr>
              <w:t>采购需求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1"/>
                <w:szCs w:val="21"/>
                <w:highlight w:val="none"/>
                <w:lang w:val="en-US" w:eastAsia="zh-CN"/>
              </w:rPr>
              <w:t>1.7.4.1</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1"/>
                <w:szCs w:val="21"/>
                <w:highlight w:val="none"/>
                <w:lang w:val="en-US" w:eastAsia="zh-CN"/>
              </w:rPr>
              <w:t>1.7.4.2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lang w:val="en-US" w:eastAsia="zh-CN"/>
              </w:rPr>
            </w:pPr>
            <w:r>
              <w:rPr>
                <w:rFonts w:hint="eastAsia" w:ascii="仿宋" w:hAnsi="仿宋" w:eastAsia="仿宋"/>
                <w:color w:val="auto"/>
                <w:sz w:val="21"/>
                <w:szCs w:val="21"/>
                <w:highlight w:val="none"/>
                <w:lang w:val="en-US" w:eastAsia="zh-CN"/>
              </w:rPr>
              <w:t>1.7.4.3</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rPr>
              <w:t>1.8.7</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rPr>
              <w:t>1.9.1</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eastAsia="zh-CN"/>
              </w:rPr>
              <w:t>杭州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1"/>
                <w:szCs w:val="21"/>
                <w:highlight w:val="none"/>
              </w:rPr>
              <w:t>1.9.2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default" w:ascii="仿宋" w:hAnsi="仿宋" w:eastAsia="仿宋"/>
                <w:color w:val="auto"/>
                <w:sz w:val="21"/>
                <w:szCs w:val="21"/>
                <w:highlight w:val="none"/>
              </w:rPr>
              <w:t>2.3.2</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420" w:leftChars="-200" w:right="-420" w:rightChars="-200" w:firstLine="420" w:firstLineChars="20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2"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宋体" w:hAnsi="宋体" w:cs="宋体"/>
                <w:color w:val="auto"/>
                <w:sz w:val="21"/>
                <w:szCs w:val="21"/>
                <w:highlight w:val="none"/>
              </w:rPr>
              <w:t>2.</w:t>
            </w:r>
            <w:r>
              <w:rPr>
                <w:rFonts w:hint="default" w:ascii="宋体" w:hAnsi="宋体" w:cs="宋体"/>
                <w:color w:val="auto"/>
                <w:sz w:val="21"/>
                <w:szCs w:val="21"/>
                <w:highlight w:val="none"/>
              </w:rPr>
              <w:t>5</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eastAsia" w:ascii="仿宋" w:hAnsi="仿宋" w:eastAsia="仿宋"/>
                <w:color w:val="auto"/>
                <w:sz w:val="21"/>
                <w:szCs w:val="21"/>
                <w:highlight w:val="none"/>
                <w:lang w:val="en-US" w:eastAsia="zh-CN"/>
              </w:rPr>
            </w:pPr>
            <w:r>
              <w:rPr>
                <w:rFonts w:hint="eastAsia" w:ascii="仿宋" w:hAnsi="仿宋" w:eastAsia="仿宋"/>
                <w:color w:val="auto"/>
                <w:sz w:val="21"/>
                <w:szCs w:val="21"/>
                <w:highlight w:val="none"/>
                <w:lang w:val="en-US" w:eastAsia="zh-CN"/>
              </w:rPr>
              <w:t>结算方式和付款条件：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420" w:rightChars="-20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lang w:val="en-US" w:eastAsia="zh-CN"/>
              </w:rPr>
              <w:t>合同生效并具备实施条件后7个工作日内，采购人支付项目</w:t>
            </w:r>
            <w:r>
              <w:rPr>
                <w:rFonts w:hint="eastAsia" w:ascii="仿宋_GB2312" w:eastAsia="仿宋_GB2312" w:cs="Times New Roman"/>
                <w:color w:val="auto"/>
                <w:sz w:val="21"/>
                <w:szCs w:val="21"/>
                <w:highlight w:val="none"/>
                <w:lang w:val="en-US" w:eastAsia="zh-CN"/>
              </w:rPr>
              <w:t>合同</w:t>
            </w:r>
            <w:r>
              <w:rPr>
                <w:rFonts w:hint="eastAsia" w:ascii="仿宋" w:hAnsi="仿宋" w:eastAsia="仿宋"/>
                <w:color w:val="auto"/>
                <w:sz w:val="21"/>
                <w:szCs w:val="21"/>
                <w:highlight w:val="none"/>
                <w:lang w:val="en-US" w:eastAsia="zh-CN"/>
              </w:rPr>
              <w:t>金额的70%（预付款在后续合同款中作相应抵扣）；2024年通过评审验收后，支付项目</w:t>
            </w:r>
            <w:r>
              <w:rPr>
                <w:rFonts w:hint="eastAsia" w:ascii="仿宋_GB2312" w:eastAsia="仿宋_GB2312" w:cs="Times New Roman"/>
                <w:color w:val="auto"/>
                <w:sz w:val="21"/>
                <w:szCs w:val="21"/>
                <w:highlight w:val="none"/>
                <w:lang w:val="en-US" w:eastAsia="zh-CN"/>
              </w:rPr>
              <w:t>合同</w:t>
            </w:r>
            <w:r>
              <w:rPr>
                <w:rFonts w:hint="eastAsia" w:ascii="仿宋" w:hAnsi="仿宋" w:eastAsia="仿宋"/>
                <w:color w:val="auto"/>
                <w:sz w:val="21"/>
                <w:szCs w:val="21"/>
                <w:highlight w:val="none"/>
                <w:lang w:val="en-US" w:eastAsia="zh-CN"/>
              </w:rPr>
              <w:t>金额的30%，支付时限为项目验收通过后7个工作日内。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宋体" w:hAnsi="宋体" w:cs="宋体"/>
                <w:color w:val="auto"/>
                <w:sz w:val="21"/>
                <w:szCs w:val="21"/>
                <w:highlight w:val="none"/>
              </w:rPr>
              <w:t>2.</w:t>
            </w:r>
            <w:r>
              <w:rPr>
                <w:rFonts w:hint="default" w:ascii="宋体" w:hAnsi="宋体" w:cs="宋体"/>
                <w:color w:val="auto"/>
                <w:sz w:val="21"/>
                <w:szCs w:val="21"/>
                <w:highlight w:val="none"/>
              </w:rPr>
              <w:t>11</w:t>
            </w:r>
            <w:r>
              <w:rPr>
                <w:rFonts w:hint="eastAsia" w:ascii="宋体" w:hAnsi="宋体" w:cs="宋体"/>
                <w:color w:val="auto"/>
                <w:sz w:val="21"/>
                <w:szCs w:val="21"/>
                <w:highlight w:val="none"/>
              </w:rPr>
              <w:t>.</w:t>
            </w:r>
            <w:r>
              <w:rPr>
                <w:rFonts w:hint="default" w:ascii="宋体" w:hAnsi="宋体" w:cs="宋体"/>
                <w:color w:val="auto"/>
                <w:sz w:val="21"/>
                <w:szCs w:val="21"/>
                <w:highlight w:val="none"/>
              </w:rPr>
              <w:t>3</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因不可抗力致使合同有变更必要的，双方当事人应在3个工作日内以书面形式变更合同；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宋体" w:hAnsi="宋体" w:cs="宋体"/>
                <w:color w:val="auto"/>
                <w:sz w:val="21"/>
                <w:szCs w:val="21"/>
                <w:highlight w:val="none"/>
              </w:rPr>
              <w:t>2.</w:t>
            </w:r>
            <w:r>
              <w:rPr>
                <w:rFonts w:hint="default" w:ascii="宋体" w:hAnsi="宋体" w:cs="宋体"/>
                <w:color w:val="auto"/>
                <w:sz w:val="21"/>
                <w:szCs w:val="21"/>
                <w:highlight w:val="none"/>
              </w:rPr>
              <w:t>11.4</w:t>
            </w:r>
          </w:p>
        </w:tc>
        <w:tc>
          <w:tcPr>
            <w:tcW w:w="823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受不可抗力影响的一方在不可抗力发生后，应在1个工作日内以书面形式通知对方当事人，并在3个工作日内，将有关部门出具的证明文件送达对方当事人。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宋体" w:hAnsi="宋体" w:cs="宋体"/>
                <w:color w:val="auto"/>
                <w:sz w:val="21"/>
                <w:szCs w:val="21"/>
                <w:highlight w:val="none"/>
              </w:rPr>
              <w:t>2.</w:t>
            </w:r>
            <w:r>
              <w:rPr>
                <w:rFonts w:hint="default" w:ascii="宋体" w:hAnsi="宋体" w:cs="宋体"/>
                <w:color w:val="auto"/>
                <w:sz w:val="21"/>
                <w:szCs w:val="21"/>
                <w:highlight w:val="none"/>
              </w:rPr>
              <w:t>15</w:t>
            </w:r>
            <w:r>
              <w:rPr>
                <w:rFonts w:hint="eastAsia" w:ascii="宋体" w:hAnsi="宋体" w:cs="宋体"/>
                <w:color w:val="auto"/>
                <w:sz w:val="21"/>
                <w:szCs w:val="21"/>
                <w:highlight w:val="none"/>
              </w:rPr>
              <w:t>.</w:t>
            </w:r>
            <w:r>
              <w:rPr>
                <w:rFonts w:hint="default" w:ascii="宋体" w:hAnsi="宋体" w:cs="宋体"/>
                <w:color w:val="auto"/>
                <w:sz w:val="21"/>
                <w:szCs w:val="21"/>
                <w:highlight w:val="none"/>
              </w:rPr>
              <w:t>1</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乙方按照</w:t>
            </w:r>
            <w:r>
              <w:rPr>
                <w:rFonts w:hint="eastAsia" w:ascii="仿宋" w:hAnsi="仿宋" w:eastAsia="仿宋"/>
                <w:b/>
                <w:i/>
                <w:color w:val="auto"/>
                <w:sz w:val="21"/>
                <w:szCs w:val="21"/>
                <w:highlight w:val="none"/>
                <w:u w:val="single"/>
                <w:lang w:eastAsia="zh-CN"/>
              </w:rPr>
              <w:t>采购需求</w:t>
            </w:r>
            <w:r>
              <w:rPr>
                <w:rFonts w:hint="eastAsia" w:ascii="仿宋" w:hAnsi="仿宋" w:eastAsia="仿宋"/>
                <w:color w:val="auto"/>
                <w:sz w:val="21"/>
                <w:szCs w:val="21"/>
                <w:highlight w:val="none"/>
              </w:rPr>
              <w:t>的约定，定期提交服务报告，甲方按照</w:t>
            </w:r>
            <w:r>
              <w:rPr>
                <w:rFonts w:hint="eastAsia" w:ascii="仿宋" w:hAnsi="仿宋" w:eastAsia="仿宋"/>
                <w:b/>
                <w:i/>
                <w:color w:val="auto"/>
                <w:sz w:val="21"/>
                <w:szCs w:val="21"/>
                <w:highlight w:val="none"/>
                <w:u w:val="single"/>
                <w:lang w:eastAsia="zh-CN"/>
              </w:rPr>
              <w:t>采购需求</w:t>
            </w:r>
            <w:r>
              <w:rPr>
                <w:rFonts w:hint="eastAsia" w:ascii="仿宋" w:hAnsi="仿宋" w:eastAsia="仿宋"/>
                <w:color w:val="auto"/>
                <w:sz w:val="21"/>
                <w:szCs w:val="21"/>
                <w:highlight w:val="none"/>
              </w:rPr>
              <w:t>的约定进行定期验收</w:t>
            </w:r>
            <w:r>
              <w:rPr>
                <w:rFonts w:hint="eastAsia" w:ascii="仿宋" w:hAnsi="仿宋" w:eastAsia="仿宋"/>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仿宋"/>
                <w:color w:val="auto"/>
                <w:sz w:val="24"/>
                <w:highlight w:val="none"/>
              </w:rPr>
            </w:pPr>
            <w:r>
              <w:rPr>
                <w:rFonts w:hint="eastAsia" w:ascii="宋体" w:hAnsi="宋体" w:cs="宋体"/>
                <w:color w:val="auto"/>
                <w:sz w:val="21"/>
                <w:szCs w:val="21"/>
                <w:highlight w:val="none"/>
              </w:rPr>
              <w:t>2.</w:t>
            </w:r>
            <w:r>
              <w:rPr>
                <w:rFonts w:hint="default" w:ascii="宋体" w:hAnsi="宋体" w:cs="宋体"/>
                <w:color w:val="auto"/>
                <w:sz w:val="21"/>
                <w:szCs w:val="21"/>
                <w:highlight w:val="none"/>
              </w:rPr>
              <w:t>15</w:t>
            </w:r>
            <w:r>
              <w:rPr>
                <w:rFonts w:hint="eastAsia" w:ascii="宋体" w:hAnsi="宋体" w:cs="宋体"/>
                <w:color w:val="auto"/>
                <w:sz w:val="21"/>
                <w:szCs w:val="21"/>
                <w:highlight w:val="none"/>
              </w:rPr>
              <w:t>.</w:t>
            </w:r>
            <w:r>
              <w:rPr>
                <w:rFonts w:hint="default" w:ascii="宋体" w:hAnsi="宋体" w:cs="宋体"/>
                <w:color w:val="auto"/>
                <w:sz w:val="21"/>
                <w:szCs w:val="21"/>
                <w:highlight w:val="none"/>
              </w:rPr>
              <w:t>3</w:t>
            </w:r>
          </w:p>
        </w:tc>
        <w:tc>
          <w:tcPr>
            <w:tcW w:w="8232" w:type="dxa"/>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检验和验收标准、程序等具体内容以及前述验收书的效力详见</w:t>
            </w:r>
            <w:r>
              <w:rPr>
                <w:rFonts w:hint="eastAsia" w:ascii="仿宋" w:hAnsi="仿宋" w:eastAsia="仿宋"/>
                <w:b/>
                <w:i/>
                <w:color w:val="auto"/>
                <w:sz w:val="21"/>
                <w:szCs w:val="21"/>
                <w:highlight w:val="none"/>
                <w:u w:val="single"/>
                <w:lang w:val="en-US" w:eastAsia="zh-CN"/>
              </w:rPr>
              <w:t>投标人须知30.验收</w:t>
            </w:r>
            <w:r>
              <w:rPr>
                <w:rFonts w:hint="eastAsia" w:ascii="仿宋" w:hAnsi="仿宋" w:eastAsia="仿宋"/>
                <w:i/>
                <w:color w:val="auto"/>
                <w:sz w:val="21"/>
                <w:szCs w:val="21"/>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7" w:hRule="atLeast"/>
        </w:trPr>
        <w:tc>
          <w:tcPr>
            <w:tcW w:w="894"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仿宋" w:hAnsi="仿宋" w:eastAsia="宋体"/>
                <w:color w:val="auto"/>
                <w:sz w:val="24"/>
                <w:highlight w:val="none"/>
                <w:lang w:val="en-US" w:eastAsia="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19</w:t>
            </w:r>
          </w:p>
        </w:tc>
        <w:tc>
          <w:tcPr>
            <w:tcW w:w="8232"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rPr>
                <w:rFonts w:hint="default" w:ascii="仿宋" w:hAnsi="仿宋" w:eastAsia="仿宋"/>
                <w:color w:val="auto"/>
                <w:sz w:val="24"/>
                <w:highlight w:val="none"/>
              </w:rPr>
            </w:pPr>
            <w:r>
              <w:rPr>
                <w:rFonts w:hint="eastAsia" w:ascii="仿宋" w:hAnsi="仿宋" w:eastAsia="仿宋"/>
                <w:color w:val="auto"/>
                <w:sz w:val="21"/>
                <w:szCs w:val="21"/>
                <w:highlight w:val="none"/>
              </w:rPr>
              <w:t>本合同一式</w:t>
            </w:r>
            <w:r>
              <w:rPr>
                <w:rFonts w:hint="eastAsia" w:ascii="仿宋" w:hAnsi="仿宋" w:eastAsia="仿宋"/>
                <w:color w:val="auto"/>
                <w:sz w:val="21"/>
                <w:szCs w:val="21"/>
                <w:highlight w:val="none"/>
                <w:lang w:eastAsia="zh-CN"/>
              </w:rPr>
              <w:t>四</w:t>
            </w:r>
            <w:r>
              <w:rPr>
                <w:rFonts w:hint="eastAsia" w:ascii="仿宋" w:hAnsi="仿宋" w:eastAsia="仿宋"/>
                <w:color w:val="auto"/>
                <w:sz w:val="21"/>
                <w:szCs w:val="21"/>
                <w:highlight w:val="none"/>
              </w:rPr>
              <w:t>份，双方各执</w:t>
            </w:r>
            <w:r>
              <w:rPr>
                <w:rFonts w:hint="eastAsia" w:ascii="仿宋" w:hAnsi="仿宋" w:eastAsia="仿宋"/>
                <w:color w:val="auto"/>
                <w:sz w:val="21"/>
                <w:szCs w:val="21"/>
                <w:highlight w:val="none"/>
                <w:lang w:eastAsia="zh-CN"/>
              </w:rPr>
              <w:t>二</w:t>
            </w:r>
            <w:r>
              <w:rPr>
                <w:rFonts w:hint="eastAsia" w:ascii="仿宋" w:hAnsi="仿宋" w:eastAsia="仿宋"/>
                <w:color w:val="auto"/>
                <w:sz w:val="21"/>
                <w:szCs w:val="21"/>
                <w:highlight w:val="none"/>
              </w:rPr>
              <w:t>份，自双方当事人盖章和签字时生效。</w:t>
            </w:r>
          </w:p>
        </w:tc>
      </w:tr>
    </w:tbl>
    <w:p>
      <w:pPr>
        <w:bidi w:val="0"/>
        <w:rPr>
          <w:color w:val="auto"/>
          <w:highlight w:val="none"/>
        </w:rPr>
      </w:pPr>
    </w:p>
    <w:p>
      <w:pPr>
        <w:shd w:val="clear"/>
        <w:spacing w:line="360" w:lineRule="auto"/>
        <w:rPr>
          <w:rFonts w:ascii="仿宋" w:hAnsi="仿宋" w:eastAsia="仿宋" w:cs="仿宋_GB2312"/>
          <w:b/>
          <w:color w:val="auto"/>
          <w:sz w:val="36"/>
          <w:szCs w:val="20"/>
          <w:highlight w:val="none"/>
        </w:rPr>
      </w:pPr>
      <w:r>
        <w:rPr>
          <w:rFonts w:hint="eastAsia" w:ascii="仿宋" w:hAnsi="仿宋" w:eastAsia="仿宋" w:cs="仿宋"/>
          <w:b/>
          <w:color w:val="auto"/>
          <w:sz w:val="24"/>
          <w:highlight w:val="none"/>
        </w:rPr>
        <w:br w:type="page"/>
      </w:r>
    </w:p>
    <w:p>
      <w:pPr>
        <w:shd w:val="clear"/>
        <w:spacing w:line="360" w:lineRule="auto"/>
        <w:jc w:val="center"/>
        <w:outlineLvl w:val="0"/>
        <w:rPr>
          <w:rFonts w:ascii="仿宋" w:hAnsi="仿宋" w:eastAsia="仿宋" w:cs="仿宋_GB2312"/>
          <w:b/>
          <w:color w:val="auto"/>
          <w:sz w:val="36"/>
          <w:szCs w:val="20"/>
          <w:highlight w:val="none"/>
        </w:rPr>
      </w:pPr>
      <w:bookmarkStart w:id="557" w:name="_Toc12455"/>
      <w:r>
        <w:rPr>
          <w:rFonts w:hint="eastAsia" w:ascii="仿宋" w:hAnsi="仿宋" w:eastAsia="仿宋" w:cs="仿宋_GB2312"/>
          <w:b/>
          <w:color w:val="auto"/>
          <w:sz w:val="36"/>
          <w:szCs w:val="20"/>
          <w:highlight w:val="none"/>
        </w:rPr>
        <w:t>第六部分</w:t>
      </w:r>
      <w:bookmarkEnd w:id="405"/>
      <w:r>
        <w:rPr>
          <w:rFonts w:ascii="仿宋" w:hAnsi="仿宋" w:eastAsia="仿宋" w:cs="仿宋_GB2312"/>
          <w:b/>
          <w:color w:val="auto"/>
          <w:sz w:val="36"/>
          <w:szCs w:val="20"/>
          <w:highlight w:val="none"/>
        </w:rPr>
        <w:t xml:space="preserve"> </w:t>
      </w:r>
      <w:bookmarkEnd w:id="406"/>
      <w:r>
        <w:rPr>
          <w:rFonts w:hint="eastAsia" w:ascii="仿宋" w:hAnsi="仿宋" w:eastAsia="仿宋" w:cs="仿宋_GB2312"/>
          <w:b/>
          <w:color w:val="auto"/>
          <w:sz w:val="36"/>
          <w:szCs w:val="20"/>
          <w:highlight w:val="none"/>
        </w:rPr>
        <w:t>应提交的有关格式范例</w:t>
      </w:r>
      <w:bookmarkEnd w:id="557"/>
    </w:p>
    <w:p>
      <w:pPr>
        <w:shd w:val="clear"/>
        <w:rPr>
          <w:color w:val="auto"/>
          <w:highlight w:val="none"/>
        </w:rPr>
      </w:pPr>
    </w:p>
    <w:p>
      <w:pPr>
        <w:shd w:val="clea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hd w:val="clear"/>
        <w:jc w:val="center"/>
        <w:rPr>
          <w:color w:val="auto"/>
          <w:sz w:val="32"/>
          <w:szCs w:val="32"/>
          <w:highlight w:val="none"/>
        </w:rPr>
      </w:pPr>
      <w:r>
        <w:rPr>
          <w:rFonts w:hint="eastAsia"/>
          <w:color w:val="auto"/>
          <w:sz w:val="32"/>
          <w:szCs w:val="32"/>
          <w:highlight w:val="none"/>
        </w:rPr>
        <w:t>目录</w:t>
      </w:r>
    </w:p>
    <w:p>
      <w:pPr>
        <w:shd w:val="clear"/>
        <w:rPr>
          <w:color w:val="auto"/>
          <w:highlight w:val="none"/>
        </w:rPr>
      </w:pPr>
    </w:p>
    <w:p>
      <w:pPr>
        <w:pStyle w:val="24"/>
        <w:shd w:val="clear"/>
        <w:rPr>
          <w:color w:val="auto"/>
          <w:highlight w:val="none"/>
        </w:rPr>
      </w:pPr>
    </w:p>
    <w:p>
      <w:pPr>
        <w:numPr>
          <w:ilvl w:val="0"/>
          <w:numId w:val="9"/>
        </w:numPr>
        <w:shd w:val="clea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符合参加政府采购活动应当具备的一般条件的承诺函……</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（2）联合协议………………………………………………………………（页码）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…………………………………………（页码）</w:t>
      </w:r>
    </w:p>
    <w:p>
      <w:pPr>
        <w:pStyle w:val="5"/>
        <w:shd w:val="clear"/>
        <w:rPr>
          <w:color w:val="auto"/>
          <w:highlight w:val="none"/>
        </w:rPr>
      </w:pPr>
    </w:p>
    <w:p>
      <w:pPr>
        <w:shd w:val="clear"/>
        <w:snapToGrid w:val="0"/>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一、 符合参加政府采购活动应当具备的一般条件的承诺函</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lang w:eastAsia="zh-CN"/>
        </w:rPr>
        <w:t>浙江省港航管理中心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sz w:val="24"/>
          <w:highlight w:val="none"/>
        </w:rPr>
        <w:t>：</w:t>
      </w:r>
    </w:p>
    <w:p>
      <w:pPr>
        <w:shd w:val="clear"/>
        <w:snapToGrid w:val="0"/>
        <w:spacing w:line="360" w:lineRule="auto"/>
        <w:ind w:firstLine="42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w:t>
      </w:r>
      <w:r>
        <w:rPr>
          <w:rFonts w:hint="eastAsia" w:ascii="仿宋_GB2312" w:hAnsi="仿宋" w:eastAsia="仿宋_GB2312" w:cs="仿宋_GB2312"/>
          <w:color w:val="auto"/>
          <w:sz w:val="24"/>
          <w:highlight w:val="none"/>
          <w:u w:val="single"/>
          <w:lang w:eastAsia="zh-CN"/>
        </w:rPr>
        <w:t>钱塘江干线航道通航安全与应急保障能力评估暨无人机巡航应用研究</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u w:val="single"/>
          <w:lang w:eastAsia="zh-CN"/>
        </w:rPr>
        <w:t>ZJ-2411068</w:t>
      </w:r>
      <w:r>
        <w:rPr>
          <w:rFonts w:hint="eastAsia" w:ascii="仿宋_GB2312" w:hAnsi="仿宋" w:eastAsia="仿宋_GB2312" w:cs="仿宋_GB2312"/>
          <w:color w:val="auto"/>
          <w:sz w:val="24"/>
          <w:highlight w:val="none"/>
        </w:rPr>
        <w:t>】政府采购活动，郑重承诺：</w:t>
      </w:r>
    </w:p>
    <w:p>
      <w:pPr>
        <w:shd w:val="clea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hd w:val="clea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hd w:val="clea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hd w:val="clear"/>
        <w:rPr>
          <w:color w:val="auto"/>
          <w:highlight w:val="none"/>
        </w:rPr>
      </w:pPr>
    </w:p>
    <w:p>
      <w:pPr>
        <w:shd w:val="clea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年</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color w:val="auto"/>
          <w:kern w:val="0"/>
          <w:sz w:val="24"/>
          <w:highlight w:val="none"/>
          <w:lang w:val="zh-CN"/>
        </w:rPr>
        <w:t>日</w:t>
      </w:r>
    </w:p>
    <w:p>
      <w:pPr>
        <w:shd w:val="clear"/>
        <w:snapToGrid w:val="0"/>
        <w:spacing w:line="360" w:lineRule="auto"/>
        <w:ind w:firstLine="480" w:firstLineChars="200"/>
        <w:rPr>
          <w:rFonts w:ascii="仿宋_GB2312" w:hAnsi="仿宋" w:eastAsia="仿宋_GB2312" w:cs="仿宋_GB2312"/>
          <w:color w:val="auto"/>
          <w:sz w:val="24"/>
          <w:highlight w:val="none"/>
          <w:lang w:val="zh-CN"/>
        </w:rPr>
      </w:pPr>
    </w:p>
    <w:p>
      <w:pPr>
        <w:shd w:val="clear"/>
        <w:snapToGrid w:val="0"/>
        <w:spacing w:line="360" w:lineRule="auto"/>
        <w:ind w:firstLine="480" w:firstLineChars="200"/>
        <w:rPr>
          <w:rFonts w:ascii="仿宋_GB2312" w:hAnsi="仿宋" w:eastAsia="仿宋_GB2312" w:cs="仿宋_GB2312"/>
          <w:b/>
          <w:color w:val="auto"/>
          <w:kern w:val="0"/>
          <w:sz w:val="32"/>
          <w:szCs w:val="32"/>
          <w:highlight w:val="none"/>
        </w:rPr>
      </w:pPr>
      <w:r>
        <w:rPr>
          <w:rFonts w:hint="eastAsia" w:ascii="仿宋_GB2312" w:hAnsi="仿宋" w:eastAsia="仿宋_GB2312" w:cs="仿宋_GB2312"/>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hd w:val="clea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二、联合协议（如果有）</w:t>
      </w:r>
    </w:p>
    <w:p>
      <w:pPr>
        <w:shd w:val="clea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[以联合体形式投标的，提供联合协议（附件5）；本项目不接受联合体投标或者投标人不以联合体形式投标的，则不需要提供）]</w:t>
      </w: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三、落实政府采购政策需满足的资格要求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hd w:val="clea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hd w:val="clear"/>
        <w:spacing w:line="360" w:lineRule="auto"/>
        <w:ind w:firstLine="480"/>
        <w:jc w:val="left"/>
        <w:rPr>
          <w:rFonts w:ascii="仿宋" w:hAnsi="仿宋" w:eastAsia="仿宋" w:cs="仿宋"/>
          <w:color w:val="auto"/>
          <w:sz w:val="24"/>
          <w:highlight w:val="none"/>
        </w:rPr>
      </w:pPr>
    </w:p>
    <w:p>
      <w:pPr>
        <w:widowControl/>
        <w:shd w:val="clear"/>
        <w:spacing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hd w:val="clear"/>
        <w:snapToGrid w:val="0"/>
        <w:spacing w:before="50" w:after="50" w:line="360" w:lineRule="auto"/>
        <w:jc w:val="center"/>
        <w:rPr>
          <w:rFonts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hd w:val="clea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 xml:space="preserve">视同符合了资格条件，无需再向中小企业分包，无需提供分包意向协议。 </w:t>
      </w:r>
    </w:p>
    <w:p>
      <w:pPr>
        <w:widowControl/>
        <w:shd w:val="clear"/>
        <w:spacing w:line="360" w:lineRule="auto"/>
        <w:ind w:firstLine="480"/>
        <w:jc w:val="left"/>
        <w:rPr>
          <w:rFonts w:ascii="仿宋_GB2312" w:hAnsi="宋体" w:eastAsia="仿宋_GB2312"/>
          <w:color w:val="auto"/>
          <w:sz w:val="24"/>
          <w:highlight w:val="none"/>
        </w:rPr>
      </w:pPr>
    </w:p>
    <w:p>
      <w:pPr>
        <w:shd w:val="clea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sz w:val="24"/>
          <w:highlight w:val="none"/>
        </w:rPr>
        <w:br w:type="page"/>
      </w:r>
    </w:p>
    <w:p>
      <w:pPr>
        <w:widowControl/>
        <w:shd w:val="clear"/>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四、本项目的特定资格要求</w:t>
      </w:r>
    </w:p>
    <w:p>
      <w:pPr>
        <w:shd w:val="clea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（根据招标公告本项目的特定资格要求提供相应的材料；未要求的，无需提供）</w:t>
      </w:r>
    </w:p>
    <w:p>
      <w:pPr>
        <w:shd w:val="clear"/>
        <w:rPr>
          <w:color w:val="auto"/>
          <w:highlight w:val="none"/>
        </w:rPr>
      </w:pPr>
    </w:p>
    <w:p>
      <w:pPr>
        <w:shd w:val="clear"/>
        <w:rPr>
          <w:rFonts w:ascii="仿宋_GB2312" w:hAnsi="仿宋" w:eastAsia="仿宋_GB2312" w:cs="仿宋_GB2312"/>
          <w:b/>
          <w:color w:val="auto"/>
          <w:kern w:val="0"/>
          <w:sz w:val="36"/>
          <w:szCs w:val="36"/>
          <w:highlight w:val="none"/>
        </w:rPr>
      </w:pPr>
      <w:r>
        <w:rPr>
          <w:rFonts w:ascii="仿宋_GB2312" w:hAnsi="仿宋" w:eastAsia="仿宋_GB2312" w:cs="仿宋_GB2312"/>
          <w:b/>
          <w:color w:val="auto"/>
          <w:kern w:val="0"/>
          <w:sz w:val="32"/>
          <w:szCs w:val="32"/>
          <w:highlight w:val="none"/>
        </w:rPr>
        <w:br w:type="page"/>
      </w:r>
    </w:p>
    <w:p>
      <w:pPr>
        <w:shd w:val="clea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hd w:val="clear"/>
        <w:rPr>
          <w:color w:val="auto"/>
          <w:highlight w:val="none"/>
        </w:rPr>
      </w:pPr>
    </w:p>
    <w:p>
      <w:pPr>
        <w:shd w:val="clear"/>
        <w:spacing w:line="360" w:lineRule="auto"/>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投标函…………………………………………………………………………（页码）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授权委托书或法定代表人（单位负责人、自然人本人）身份证明………（页码）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分包意向协议…………………………………………………………………（页码）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符合性审查资料………………………………………………………………（页码）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评标标准相应的商务技术资料………………………………………………（页码）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投标标的清单…………………………………………………………………（页码）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rPr>
        <w:t>商务技术偏离表………………………………………………………………（页码）</w:t>
      </w:r>
    </w:p>
    <w:p>
      <w:pPr>
        <w:numPr>
          <w:ilvl w:val="0"/>
          <w:numId w:val="10"/>
        </w:numPr>
        <w:shd w:val="clear"/>
        <w:snapToGrid w:val="0"/>
        <w:spacing w:line="360" w:lineRule="auto"/>
        <w:ind w:hanging="5"/>
        <w:rPr>
          <w:rFonts w:ascii="仿宋" w:hAnsi="仿宋" w:eastAsia="仿宋" w:cs="仿宋"/>
          <w:color w:val="auto"/>
          <w:sz w:val="24"/>
          <w:highlight w:val="none"/>
        </w:rPr>
      </w:pP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sz w:val="24"/>
          <w:highlight w:val="none"/>
        </w:rPr>
        <w:t>……………………………………………（页码）</w:t>
      </w:r>
    </w:p>
    <w:p>
      <w:pPr>
        <w:shd w:val="clear"/>
        <w:rPr>
          <w:color w:val="auto"/>
          <w:highlight w:val="none"/>
          <w:lang w:val="zh-CN"/>
        </w:rPr>
      </w:pPr>
    </w:p>
    <w:p>
      <w:pPr>
        <w:shd w:val="clear"/>
        <w:rPr>
          <w:color w:val="auto"/>
          <w:highlight w:val="none"/>
          <w:lang w:val="zh-CN"/>
        </w:rPr>
      </w:pPr>
    </w:p>
    <w:p>
      <w:pPr>
        <w:shd w:val="clear"/>
        <w:rPr>
          <w:color w:val="auto"/>
          <w:highlight w:val="none"/>
          <w:lang w:val="zh-CN"/>
        </w:rPr>
      </w:pPr>
    </w:p>
    <w:p>
      <w:pPr>
        <w:shd w:val="clear"/>
        <w:rPr>
          <w:color w:val="auto"/>
          <w:highlight w:val="none"/>
          <w:lang w:val="zh-CN"/>
        </w:rPr>
      </w:pPr>
    </w:p>
    <w:p>
      <w:pPr>
        <w:shd w:val="clear"/>
        <w:rPr>
          <w:color w:val="auto"/>
          <w:highlight w:val="none"/>
          <w:lang w:val="zh-CN"/>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color w:val="auto"/>
          <w:highlight w:val="none"/>
        </w:rPr>
      </w:pPr>
    </w:p>
    <w:p>
      <w:pPr>
        <w:shd w:val="clea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hd w:val="clear"/>
        <w:snapToGrid w:val="0"/>
        <w:spacing w:line="360" w:lineRule="auto"/>
        <w:jc w:val="center"/>
        <w:outlineLvl w:val="1"/>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hd w:val="clear"/>
        <w:snapToGrid w:val="0"/>
        <w:spacing w:line="36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lang w:eastAsia="zh-CN"/>
        </w:rPr>
        <w:t>浙江省港航管理中心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sz w:val="24"/>
          <w:highlight w:val="none"/>
        </w:rPr>
        <w:t>：</w:t>
      </w:r>
    </w:p>
    <w:p>
      <w:pPr>
        <w:shd w:val="clear"/>
        <w:snapToGrid w:val="0"/>
        <w:spacing w:line="36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w:t>
      </w:r>
      <w:r>
        <w:rPr>
          <w:rFonts w:hint="eastAsia" w:ascii="仿宋_GB2312" w:hAnsi="仿宋" w:eastAsia="仿宋_GB2312" w:cs="仿宋_GB2312"/>
          <w:color w:val="auto"/>
          <w:sz w:val="24"/>
          <w:highlight w:val="none"/>
          <w:lang w:eastAsia="zh-CN"/>
        </w:rPr>
        <w:t>钱塘江干线航道通航安全与应急保障能力评估暨无人机巡航应用研究</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ZJ-2411068</w:t>
      </w:r>
      <w:r>
        <w:rPr>
          <w:rFonts w:hint="eastAsia" w:ascii="仿宋_GB2312" w:hAnsi="仿宋" w:eastAsia="仿宋_GB2312" w:cs="仿宋_GB2312"/>
          <w:color w:val="auto"/>
          <w:sz w:val="24"/>
          <w:highlight w:val="none"/>
        </w:rPr>
        <w:t>】招标的有关活动，并对此项目进行投标。为此：</w:t>
      </w:r>
    </w:p>
    <w:p>
      <w:pPr>
        <w:shd w:val="clea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hd w:val="clear"/>
        <w:snapToGrid w:val="0"/>
        <w:spacing w:line="360" w:lineRule="exact"/>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hd w:val="clea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w:t>
      </w:r>
      <w:r>
        <w:rPr>
          <w:rFonts w:hint="eastAsia" w:ascii="仿宋_GB2312" w:hAnsi="仿宋" w:eastAsia="仿宋_GB2312" w:cs="仿宋_GB2312"/>
          <w:color w:val="auto"/>
          <w:sz w:val="24"/>
          <w:highlight w:val="none"/>
        </w:rPr>
        <w:t>联合协议（如果有)；</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2.1.3</w:t>
      </w:r>
      <w:r>
        <w:rPr>
          <w:rFonts w:ascii="仿宋_GB2312" w:hAnsi="仿宋" w:eastAsia="仿宋_GB2312" w:cs="仿宋_GB2312"/>
          <w:color w:val="auto"/>
          <w:sz w:val="24"/>
          <w:highlight w:val="none"/>
        </w:rPr>
        <w:t>落实政府采购政策需满足的资格要求</w:t>
      </w:r>
      <w:r>
        <w:rPr>
          <w:rFonts w:hint="eastAsia" w:ascii="仿宋_GB2312" w:hAnsi="仿宋" w:eastAsia="仿宋_GB2312"/>
          <w:bCs/>
          <w:color w:val="auto"/>
          <w:sz w:val="24"/>
          <w:highlight w:val="none"/>
        </w:rPr>
        <w:t>（</w:t>
      </w:r>
      <w:r>
        <w:rPr>
          <w:rFonts w:hint="eastAsia" w:ascii="仿宋_GB2312" w:hAnsi="仿宋" w:eastAsia="仿宋_GB2312" w:cs="Arial"/>
          <w:color w:val="auto"/>
          <w:kern w:val="0"/>
          <w:sz w:val="24"/>
          <w:highlight w:val="none"/>
        </w:rPr>
        <w:t>专</w:t>
      </w:r>
      <w:r>
        <w:rPr>
          <w:rFonts w:hint="eastAsia" w:ascii="仿宋_GB2312" w:hAnsi="仿宋" w:eastAsia="仿宋_GB2312"/>
          <w:color w:val="auto"/>
          <w:sz w:val="24"/>
          <w:highlight w:val="none"/>
        </w:rPr>
        <w:t>门面向中小企业，服务全部由符合政策要求的中小企业承接，提供中小企业声明函</w:t>
      </w:r>
      <w:r>
        <w:rPr>
          <w:rFonts w:hint="eastAsia" w:ascii="仿宋_GB2312" w:hAnsi="仿宋" w:eastAsia="仿宋_GB2312"/>
          <w:bCs/>
          <w:color w:val="auto"/>
          <w:sz w:val="24"/>
          <w:highlight w:val="none"/>
        </w:rPr>
        <w:t>）；</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本项目的特定资格要求</w:t>
      </w:r>
      <w:r>
        <w:rPr>
          <w:rFonts w:hint="eastAsia" w:ascii="仿宋_GB2312" w:hAnsi="仿宋" w:eastAsia="仿宋_GB2312" w:cs="仿宋_GB2312"/>
          <w:color w:val="auto"/>
          <w:sz w:val="24"/>
          <w:highlight w:val="none"/>
        </w:rPr>
        <w:t>（本项目不适用）</w:t>
      </w:r>
      <w:r>
        <w:rPr>
          <w:rFonts w:hint="eastAsia" w:ascii="仿宋_GB2312" w:hAnsi="仿宋" w:eastAsia="仿宋_GB2312"/>
          <w:bCs/>
          <w:color w:val="auto"/>
          <w:sz w:val="24"/>
          <w:highlight w:val="none"/>
        </w:rPr>
        <w:t>。</w:t>
      </w:r>
    </w:p>
    <w:p>
      <w:pPr>
        <w:shd w:val="clear"/>
        <w:snapToGrid w:val="0"/>
        <w:spacing w:line="360" w:lineRule="exact"/>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2.2.3</w:t>
      </w:r>
      <w:r>
        <w:rPr>
          <w:rFonts w:ascii="仿宋_GB2312" w:hAnsi="仿宋" w:eastAsia="仿宋_GB2312" w:cs="仿宋_GB2312"/>
          <w:color w:val="auto"/>
          <w:sz w:val="24"/>
          <w:highlight w:val="none"/>
        </w:rPr>
        <w:t>分包意向协议</w:t>
      </w:r>
      <w:r>
        <w:rPr>
          <w:rFonts w:hint="eastAsia" w:ascii="仿宋_GB2312" w:hAnsi="仿宋" w:eastAsia="仿宋_GB2312" w:cs="仿宋_GB2312"/>
          <w:color w:val="auto"/>
          <w:sz w:val="24"/>
          <w:highlight w:val="none"/>
        </w:rPr>
        <w:t>（</w:t>
      </w:r>
      <w:r>
        <w:rPr>
          <w:rFonts w:hint="eastAsia" w:ascii="仿宋_GB2312" w:hAnsi="仿宋" w:eastAsia="仿宋_GB2312"/>
          <w:bCs/>
          <w:color w:val="auto"/>
          <w:sz w:val="24"/>
          <w:highlight w:val="none"/>
        </w:rPr>
        <w:t>如果有</w:t>
      </w:r>
      <w:r>
        <w:rPr>
          <w:rFonts w:hint="eastAsia" w:ascii="仿宋_GB2312" w:hAnsi="仿宋" w:eastAsia="仿宋_GB2312" w:cs="仿宋_GB2312"/>
          <w:color w:val="auto"/>
          <w:sz w:val="24"/>
          <w:highlight w:val="none"/>
        </w:rPr>
        <w:t>）；</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4</w:t>
      </w:r>
      <w:r>
        <w:rPr>
          <w:rFonts w:ascii="仿宋_GB2312" w:hAnsi="仿宋" w:eastAsia="仿宋_GB2312" w:cs="仿宋_GB2312"/>
          <w:color w:val="auto"/>
          <w:sz w:val="24"/>
          <w:highlight w:val="none"/>
        </w:rPr>
        <w:t>符合性审查资料；</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5</w:t>
      </w:r>
      <w:r>
        <w:rPr>
          <w:rFonts w:ascii="仿宋_GB2312" w:hAnsi="仿宋" w:eastAsia="仿宋_GB2312" w:cs="仿宋_GB2312"/>
          <w:color w:val="auto"/>
          <w:sz w:val="24"/>
          <w:highlight w:val="none"/>
        </w:rPr>
        <w:t>评标标准相应的商务技术资料；</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2.2.6投标标的清单；</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w:t>
      </w:r>
      <w:r>
        <w:rPr>
          <w:rFonts w:hint="eastAsia" w:ascii="仿宋_GB2312" w:hAnsi="仿宋" w:eastAsia="仿宋_GB2312" w:cs="仿宋_GB2312"/>
          <w:color w:val="auto"/>
          <w:sz w:val="24"/>
          <w:highlight w:val="none"/>
        </w:rPr>
        <w:t>7</w:t>
      </w:r>
      <w:r>
        <w:rPr>
          <w:rFonts w:ascii="仿宋_GB2312" w:hAnsi="仿宋" w:eastAsia="仿宋_GB2312" w:cs="仿宋_GB2312"/>
          <w:color w:val="auto"/>
          <w:sz w:val="24"/>
          <w:highlight w:val="none"/>
        </w:rPr>
        <w:t>商务技术偏离表；</w:t>
      </w:r>
    </w:p>
    <w:p>
      <w:pPr>
        <w:shd w:val="clear"/>
        <w:snapToGrid w:val="0"/>
        <w:spacing w:line="360" w:lineRule="exact"/>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hd w:val="clea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hd w:val="clear"/>
        <w:snapToGrid w:val="0"/>
        <w:spacing w:line="360" w:lineRule="exact"/>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w:t>
      </w:r>
      <w:r>
        <w:rPr>
          <w:rFonts w:hint="eastAsia" w:ascii="仿宋_GB2312" w:hAnsi="仿宋" w:eastAsia="仿宋_GB2312" w:cs="仿宋_GB2312"/>
          <w:color w:val="auto"/>
          <w:sz w:val="24"/>
          <w:highlight w:val="none"/>
        </w:rPr>
        <w:t>2报价情况说明（如供应商报价低于项目预算50%的，应当提交本文档，详细阐述不影响产品质量或者诚信履约的具体原因）</w:t>
      </w:r>
    </w:p>
    <w:p>
      <w:pPr>
        <w:shd w:val="clea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r>
        <w:rPr>
          <w:rFonts w:hint="eastAsia" w:ascii="仿宋_GB2312" w:hAnsi="仿宋" w:eastAsia="仿宋_GB2312" w:cs="仿宋_GB2312"/>
          <w:color w:val="auto"/>
          <w:sz w:val="24"/>
          <w:highlight w:val="none"/>
        </w:rPr>
        <w:t>对响应文件中材料的真实性、合法性负责。</w:t>
      </w:r>
    </w:p>
    <w:p>
      <w:pPr>
        <w:shd w:val="clea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hd w:val="clea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hd w:val="clea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hd w:val="clea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hd w:val="clear"/>
        <w:snapToGrid w:val="0"/>
        <w:spacing w:line="360" w:lineRule="exact"/>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hd w:val="clear"/>
        <w:snapToGrid w:val="0"/>
        <w:spacing w:line="360" w:lineRule="exact"/>
        <w:ind w:firstLine="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hd w:val="clear"/>
        <w:snapToGrid w:val="0"/>
        <w:spacing w:line="360" w:lineRule="exact"/>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hd w:val="clear"/>
        <w:snapToGrid w:val="0"/>
        <w:spacing w:line="360" w:lineRule="exact"/>
        <w:jc w:val="center"/>
        <w:rPr>
          <w:rFonts w:ascii="仿宋_GB2312" w:hAnsi="仿宋" w:eastAsia="仿宋_GB2312" w:cs="仿宋_GB2312"/>
          <w:color w:val="auto"/>
          <w:kern w:val="0"/>
          <w:sz w:val="24"/>
          <w:highlight w:val="none"/>
          <w:u w:val="single"/>
          <w:lang w:val="en-US"/>
        </w:rPr>
      </w:pPr>
      <w:r>
        <w:rPr>
          <w:rFonts w:ascii="仿宋_GB2312" w:hAnsi="仿宋" w:eastAsia="仿宋_GB2312" w:cs="仿宋_GB2312"/>
          <w:color w:val="auto"/>
          <w:sz w:val="24"/>
          <w:highlight w:val="none"/>
        </w:rPr>
        <w:t xml:space="preserve">     日期：</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日</w:t>
      </w:r>
    </w:p>
    <w:p>
      <w:pPr>
        <w:shd w:val="clear"/>
        <w:spacing w:line="360" w:lineRule="auto"/>
        <w:ind w:right="420"/>
        <w:jc w:val="both"/>
        <w:rPr>
          <w:rFonts w:ascii="仿宋_GB2312" w:hAnsi="仿宋" w:eastAsia="仿宋_GB2312" w:cs="仿宋_GB2312"/>
          <w:b/>
          <w:color w:val="auto"/>
          <w:kern w:val="0"/>
          <w:sz w:val="32"/>
          <w:szCs w:val="32"/>
          <w:highlight w:val="none"/>
          <w:lang w:val="zh-CN"/>
        </w:rPr>
      </w:pPr>
      <w:r>
        <w:rPr>
          <w:rFonts w:hint="eastAsia" w:ascii="宋体" w:hAnsi="宋体" w:cs="宋体"/>
          <w:color w:val="auto"/>
          <w:sz w:val="24"/>
          <w:highlight w:val="none"/>
        </w:rPr>
        <w:t>注：按本格式和要求提供。</w:t>
      </w:r>
      <w:r>
        <w:rPr>
          <w:rFonts w:ascii="仿宋_GB2312" w:hAnsi="仿宋" w:eastAsia="仿宋_GB2312" w:cs="仿宋_GB2312"/>
          <w:b/>
          <w:color w:val="auto"/>
          <w:kern w:val="0"/>
          <w:sz w:val="32"/>
          <w:szCs w:val="32"/>
          <w:highlight w:val="none"/>
          <w:lang w:val="en-US"/>
        </w:rPr>
        <w:br w:type="page"/>
      </w: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hd w:val="clea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hd w:val="clear"/>
        <w:snapToGrid w:val="0"/>
        <w:spacing w:line="360" w:lineRule="auto"/>
        <w:jc w:val="center"/>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浙江省港航管理中心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zh-CN"/>
        </w:rPr>
        <w:t xml:space="preserve">，所在单位：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钱塘江干线航道通航安全与应急保障能力评估暨无人机巡航应用研究</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ZJ-2411068</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sz w:val="24"/>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lang w:eastAsia="zh-CN"/>
        </w:rPr>
        <w:t>浙江省港航管理中心</w:t>
      </w:r>
      <w:r>
        <w:rPr>
          <w:rFonts w:hint="eastAsia" w:ascii="仿宋_GB2312" w:hAnsi="仿宋" w:eastAsia="仿宋_GB2312" w:cs="仿宋_GB2312"/>
          <w:color w:val="auto"/>
          <w:sz w:val="24"/>
          <w:highlight w:val="none"/>
        </w:rPr>
        <w:t>、浙江国际招投标有限公司</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lang w:val="zh-CN"/>
        </w:rPr>
        <w:t xml:space="preserve">，所在单位：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lang w:eastAsia="zh-CN"/>
        </w:rPr>
        <w:t>钱塘江干线航道通航安全与应急保障能力评估暨无人机巡航应用研究</w:t>
      </w:r>
      <w:r>
        <w:rPr>
          <w:rFonts w:hint="eastAsia" w:ascii="仿宋_GB2312" w:hAnsi="仿宋" w:eastAsia="仿宋_GB2312" w:cs="仿宋_GB2312"/>
          <w:color w:val="auto"/>
          <w:sz w:val="24"/>
          <w:highlight w:val="none"/>
        </w:rPr>
        <w:t>【招标编号：</w:t>
      </w:r>
      <w:r>
        <w:rPr>
          <w:rFonts w:hint="eastAsia" w:ascii="仿宋_GB2312" w:hAnsi="仿宋" w:eastAsia="仿宋_GB2312"/>
          <w:color w:val="auto"/>
          <w:sz w:val="24"/>
          <w:highlight w:val="none"/>
          <w:lang w:eastAsia="zh-CN"/>
        </w:rPr>
        <w:t>ZJ-2411068</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委托期限：</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起至</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en-US"/>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en-US"/>
        </w:rPr>
        <w:t xml:space="preserve">   </w:t>
      </w:r>
      <w:r>
        <w:rPr>
          <w:rFonts w:ascii="仿宋_GB2312" w:hAnsi="仿宋" w:eastAsia="仿宋_GB2312" w:cs="仿宋_GB2312"/>
          <w:color w:val="auto"/>
          <w:kern w:val="0"/>
          <w:sz w:val="24"/>
          <w:highlight w:val="none"/>
          <w:lang w:val="zh-CN"/>
        </w:rPr>
        <w:t>日</w:t>
      </w:r>
      <w:r>
        <w:rPr>
          <w:rFonts w:hint="eastAsia" w:ascii="仿宋_GB2312" w:hAnsi="仿宋" w:eastAsia="仿宋_GB2312" w:cs="仿宋_GB2312"/>
          <w:color w:val="auto"/>
          <w:kern w:val="0"/>
          <w:sz w:val="24"/>
          <w:highlight w:val="none"/>
          <w:lang w:val="zh-CN"/>
        </w:rPr>
        <w:t>止。</w:t>
      </w:r>
    </w:p>
    <w:p>
      <w:pPr>
        <w:shd w:val="clea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hd w:val="clear"/>
        <w:jc w:val="center"/>
        <w:rPr>
          <w:rFonts w:ascii="仿宋_GB2312" w:hAnsi="仿宋" w:eastAsia="仿宋_GB2312" w:cs="仿宋_GB2312"/>
          <w:b/>
          <w:color w:val="auto"/>
          <w:kern w:val="0"/>
          <w:sz w:val="32"/>
          <w:szCs w:val="32"/>
          <w:highlight w:val="none"/>
        </w:rPr>
      </w:pPr>
    </w:p>
    <w:p>
      <w:pPr>
        <w:shd w:val="clear"/>
        <w:rPr>
          <w:color w:val="auto"/>
          <w:highlight w:val="none"/>
        </w:rPr>
      </w:pP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hd w:val="clea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hd w:val="clea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hd w:val="clea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hd w:val="clea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46"/>
        <w:shd w:val="clear"/>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146"/>
              <w:keepNext w:val="0"/>
              <w:keepLines w:val="0"/>
              <w:suppressLineNumbers w:val="0"/>
              <w:shd w:val="clear"/>
              <w:adjustRightInd w:val="0"/>
              <w:spacing w:before="0" w:beforeAutospacing="0" w:after="0" w:afterAutospacing="0" w:line="360" w:lineRule="auto"/>
              <w:ind w:left="0" w:right="0"/>
              <w:rPr>
                <w:rFonts w:hint="default"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hint="default"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46"/>
              <w:keepNext w:val="0"/>
              <w:keepLines w:val="0"/>
              <w:suppressLineNumbers w:val="0"/>
              <w:shd w:val="clear"/>
              <w:adjustRightInd w:val="0"/>
              <w:spacing w:before="0" w:beforeAutospacing="0" w:after="0" w:afterAutospacing="0" w:line="360" w:lineRule="auto"/>
              <w:ind w:left="0" w:right="0"/>
              <w:rPr>
                <w:rFonts w:hint="default" w:ascii="仿宋_GB2312" w:hAnsi="仿宋" w:eastAsia="仿宋_GB2312"/>
                <w:bCs/>
                <w:color w:val="auto"/>
                <w:sz w:val="24"/>
                <w:highlight w:val="none"/>
              </w:rPr>
            </w:pPr>
          </w:p>
        </w:tc>
      </w:tr>
    </w:tbl>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hd w:val="clea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hd w:val="clea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hd w:val="clea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三、分包意向协议（如果有）</w:t>
      </w:r>
    </w:p>
    <w:p>
      <w:pPr>
        <w:widowControl/>
        <w:shd w:val="clear"/>
        <w:spacing w:line="360" w:lineRule="auto"/>
        <w:ind w:firstLine="482"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sz w:val="24"/>
          <w:highlight w:val="none"/>
        </w:rPr>
        <w:t>[中标后以分包方式履行合同的，提供分包意向协议(附件6)；采购人不同意分包或者投标人中标后不以分包方式履行合同的，则不需要提供。]</w:t>
      </w:r>
    </w:p>
    <w:p>
      <w:pPr>
        <w:shd w:val="clea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br w:type="page"/>
      </w:r>
    </w:p>
    <w:p>
      <w:pPr>
        <w:shd w:val="clea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四、符合性审查资料</w:t>
      </w:r>
    </w:p>
    <w:p>
      <w:pPr>
        <w:shd w:val="clear"/>
        <w:jc w:val="center"/>
        <w:rPr>
          <w:rFonts w:ascii="仿宋_GB2312" w:hAnsi="仿宋" w:eastAsia="仿宋_GB2312" w:cs="仿宋_GB2312"/>
          <w:b/>
          <w:color w:val="auto"/>
          <w:kern w:val="0"/>
          <w:sz w:val="32"/>
          <w:szCs w:val="32"/>
          <w:highlight w:val="none"/>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序号</w:t>
            </w:r>
          </w:p>
        </w:tc>
        <w:tc>
          <w:tcPr>
            <w:tcW w:w="424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672"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
                <w:color w:val="auto"/>
                <w:sz w:val="24"/>
                <w:highlight w:val="none"/>
              </w:rPr>
            </w:pPr>
            <w:r>
              <w:rPr>
                <w:rFonts w:hint="eastAsia" w:ascii="仿宋" w:hAnsi="仿宋" w:eastAsia="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Cs/>
                <w:color w:val="auto"/>
                <w:sz w:val="24"/>
                <w:highlight w:val="none"/>
              </w:rPr>
            </w:pPr>
            <w:r>
              <w:rPr>
                <w:rFonts w:hint="eastAsia" w:ascii="仿宋" w:hAnsi="仿宋" w:eastAsia="仿宋"/>
                <w:bCs/>
                <w:color w:val="auto"/>
                <w:sz w:val="24"/>
                <w:highlight w:val="none"/>
              </w:rPr>
              <w:t>1</w:t>
            </w:r>
          </w:p>
        </w:tc>
        <w:tc>
          <w:tcPr>
            <w:tcW w:w="4245"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672"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_GB2312"/>
                <w:color w:val="auto"/>
                <w:sz w:val="24"/>
                <w:highlight w:val="none"/>
              </w:rPr>
            </w:pPr>
          </w:p>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suppressLineNumbers w:val="0"/>
              <w:shd w:val="clear"/>
              <w:snapToGrid w:val="0"/>
              <w:spacing w:before="0" w:beforeAutospacing="0" w:after="0" w:afterAutospacing="0" w:line="400" w:lineRule="exact"/>
              <w:ind w:left="0" w:right="0"/>
              <w:rPr>
                <w:rFonts w:hint="default"/>
                <w:color w:val="auto"/>
                <w:highlight w:val="none"/>
              </w:rPr>
            </w:pPr>
            <w:r>
              <w:rPr>
                <w:rFonts w:hint="eastAsia" w:ascii="仿宋" w:eastAsia="仿宋" w:cs="仿宋_GB2312"/>
                <w:color w:val="auto"/>
                <w:sz w:val="24"/>
                <w:highlight w:val="none"/>
              </w:rPr>
              <w:t>第</w:t>
            </w:r>
            <w:r>
              <w:rPr>
                <w:rFonts w:hint="default"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0" w:hRule="atLeast"/>
        </w:trPr>
        <w:tc>
          <w:tcPr>
            <w:tcW w:w="6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Cs/>
                <w:color w:val="auto"/>
                <w:sz w:val="24"/>
                <w:highlight w:val="none"/>
              </w:rPr>
            </w:pPr>
            <w:r>
              <w:rPr>
                <w:rFonts w:hint="eastAsia" w:ascii="仿宋" w:hAnsi="仿宋" w:eastAsia="仿宋"/>
                <w:bCs/>
                <w:color w:val="auto"/>
                <w:sz w:val="24"/>
                <w:highlight w:val="none"/>
              </w:rPr>
              <w:t>2</w:t>
            </w:r>
          </w:p>
        </w:tc>
        <w:tc>
          <w:tcPr>
            <w:tcW w:w="4245"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olor w:val="auto"/>
                <w:sz w:val="24"/>
                <w:highlight w:val="none"/>
              </w:rPr>
            </w:pPr>
            <w:r>
              <w:rPr>
                <w:rFonts w:hint="eastAsia" w:ascii="仿宋" w:hAnsi="仿宋" w:eastAsia="仿宋"/>
                <w:color w:val="auto"/>
                <w:sz w:val="24"/>
                <w:highlight w:val="none"/>
              </w:rPr>
              <w:t>投标函</w:t>
            </w:r>
          </w:p>
        </w:tc>
        <w:tc>
          <w:tcPr>
            <w:tcW w:w="1672"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suppressLineNumbers w:val="0"/>
              <w:shd w:val="clear"/>
              <w:snapToGrid w:val="0"/>
              <w:spacing w:before="0" w:beforeAutospacing="0" w:after="0" w:afterAutospacing="0" w:line="400" w:lineRule="exact"/>
              <w:ind w:left="0" w:right="0"/>
              <w:rPr>
                <w:rFonts w:hint="default"/>
                <w:color w:val="auto"/>
                <w:highlight w:val="none"/>
              </w:rPr>
            </w:pPr>
            <w:r>
              <w:rPr>
                <w:rFonts w:hint="eastAsia" w:ascii="仿宋" w:hAnsi="仿宋" w:eastAsia="仿宋" w:cs="仿宋_GB2312"/>
                <w:color w:val="auto"/>
                <w:sz w:val="24"/>
                <w:highlight w:val="none"/>
              </w:rPr>
              <w:t>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 w:hAnsi="仿宋" w:eastAsia="仿宋"/>
                <w:bCs/>
                <w:color w:val="auto"/>
                <w:sz w:val="24"/>
                <w:highlight w:val="none"/>
              </w:rPr>
            </w:pPr>
            <w:r>
              <w:rPr>
                <w:rFonts w:hint="eastAsia" w:ascii="仿宋" w:hAnsi="仿宋" w:eastAsia="仿宋"/>
                <w:bCs/>
                <w:color w:val="auto"/>
                <w:sz w:val="24"/>
                <w:highlight w:val="none"/>
              </w:rPr>
              <w:t>3</w:t>
            </w:r>
          </w:p>
        </w:tc>
        <w:tc>
          <w:tcPr>
            <w:tcW w:w="4245"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hint="default"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672" w:type="dxa"/>
            <w:vAlign w:val="center"/>
          </w:tcPr>
          <w:p>
            <w:pPr>
              <w:keepNext w:val="0"/>
              <w:keepLines w:val="0"/>
              <w:suppressLineNumbers w:val="0"/>
              <w:shd w:val="clear"/>
              <w:snapToGrid w:val="0"/>
              <w:spacing w:before="0" w:beforeAutospacing="0" w:after="0" w:afterAutospacing="0" w:line="400" w:lineRule="exact"/>
              <w:ind w:left="0" w:right="0"/>
              <w:rPr>
                <w:rFonts w:hint="default"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keepNext w:val="0"/>
              <w:keepLines w:val="0"/>
              <w:suppressLineNumbers w:val="0"/>
              <w:shd w:val="clear"/>
              <w:snapToGrid w:val="0"/>
              <w:spacing w:before="0" w:beforeAutospacing="0" w:after="0" w:afterAutospacing="0" w:line="400" w:lineRule="exact"/>
              <w:ind w:left="0" w:right="0"/>
              <w:rPr>
                <w:rFonts w:hint="default"/>
                <w:color w:val="auto"/>
                <w:highlight w:val="none"/>
              </w:rPr>
            </w:pPr>
            <w:r>
              <w:rPr>
                <w:rFonts w:hint="eastAsia" w:ascii="仿宋" w:hAnsi="仿宋" w:eastAsia="仿宋" w:cs="仿宋_GB2312"/>
                <w:color w:val="auto"/>
                <w:sz w:val="24"/>
                <w:highlight w:val="none"/>
              </w:rPr>
              <w:t>第</w:t>
            </w:r>
            <w:r>
              <w:rPr>
                <w:rFonts w:hint="default"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hd w:val="clea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五、评标标准相应的商务技术资料</w:t>
      </w:r>
    </w:p>
    <w:p>
      <w:pPr>
        <w:shd w:val="clear"/>
        <w:snapToGrid w:val="0"/>
        <w:spacing w:line="360" w:lineRule="auto"/>
        <w:jc w:val="left"/>
        <w:rPr>
          <w:rFonts w:ascii="仿宋_GB2312" w:hAnsi="仿宋" w:eastAsia="仿宋_GB2312" w:cs="仿宋_GB2312"/>
          <w:b/>
          <w:color w:val="auto"/>
          <w:sz w:val="24"/>
          <w:highlight w:val="none"/>
        </w:rPr>
      </w:pPr>
    </w:p>
    <w:p>
      <w:pPr>
        <w:shd w:val="clea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jc w:val="center"/>
        <w:rPr>
          <w:rFonts w:ascii="仿宋_GB2312" w:hAnsi="仿宋" w:eastAsia="仿宋_GB2312" w:cs="仿宋_GB2312"/>
          <w:b/>
          <w:color w:val="auto"/>
          <w:kern w:val="0"/>
          <w:sz w:val="32"/>
          <w:szCs w:val="32"/>
          <w:highlight w:val="none"/>
        </w:rPr>
      </w:pPr>
    </w:p>
    <w:p>
      <w:pPr>
        <w:shd w:val="clea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hd w:val="clea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 w:hAnsi="仿宋" w:eastAsia="仿宋" w:cs="仿宋"/>
                <w:color w:val="auto"/>
                <w:sz w:val="24"/>
                <w:highlight w:val="none"/>
              </w:rPr>
            </w:pPr>
          </w:p>
        </w:tc>
      </w:tr>
    </w:tbl>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rPr>
          <w:color w:val="auto"/>
          <w:highlight w:val="none"/>
          <w:lang w:val="en-US"/>
        </w:rPr>
      </w:pPr>
    </w:p>
    <w:p>
      <w:pPr>
        <w:shd w:val="clea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七、商务技术偏离表</w:t>
      </w:r>
    </w:p>
    <w:p>
      <w:pPr>
        <w:shd w:val="clear"/>
        <w:jc w:val="center"/>
        <w:rPr>
          <w:rFonts w:ascii="仿宋_GB2312" w:hAnsi="仿宋" w:eastAsia="仿宋_GB2312"/>
          <w:b/>
          <w:bCs/>
          <w:color w:val="auto"/>
          <w:sz w:val="24"/>
          <w:highlight w:val="none"/>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1</w:t>
            </w:r>
          </w:p>
        </w:tc>
        <w:tc>
          <w:tcPr>
            <w:tcW w:w="368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c>
          <w:tcPr>
            <w:tcW w:w="35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c>
          <w:tcPr>
            <w:tcW w:w="12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kern w:val="0"/>
                <w:sz w:val="24"/>
                <w:highlight w:val="none"/>
              </w:rPr>
            </w:pPr>
            <w:r>
              <w:rPr>
                <w:rFonts w:hint="default" w:ascii="仿宋_GB2312" w:hAnsi="仿宋" w:eastAsia="仿宋_GB2312" w:cs="仿宋_GB2312"/>
                <w:color w:val="auto"/>
                <w:kern w:val="0"/>
                <w:sz w:val="24"/>
                <w:highlight w:val="none"/>
              </w:rPr>
              <w:t>2</w:t>
            </w:r>
          </w:p>
        </w:tc>
        <w:tc>
          <w:tcPr>
            <w:tcW w:w="368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c>
          <w:tcPr>
            <w:tcW w:w="35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c>
          <w:tcPr>
            <w:tcW w:w="12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c>
          <w:tcPr>
            <w:tcW w:w="354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c>
          <w:tcPr>
            <w:tcW w:w="12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kern w:val="0"/>
                <w:sz w:val="32"/>
                <w:szCs w:val="32"/>
                <w:highlight w:val="none"/>
              </w:rPr>
            </w:pPr>
          </w:p>
        </w:tc>
      </w:tr>
    </w:tbl>
    <w:p>
      <w:pPr>
        <w:shd w:val="clea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shd w:val="clear"/>
        <w:jc w:val="center"/>
        <w:rPr>
          <w:rFonts w:ascii="仿宋_GB2312" w:hAnsi="仿宋" w:eastAsia="仿宋_GB2312" w:cs="仿宋_GB2312"/>
          <w:b/>
          <w:color w:val="auto"/>
          <w:kern w:val="0"/>
          <w:sz w:val="32"/>
          <w:szCs w:val="32"/>
          <w:highlight w:val="none"/>
        </w:rPr>
      </w:pP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br w:type="page"/>
      </w:r>
    </w:p>
    <w:p>
      <w:pPr>
        <w:shd w:val="clear"/>
        <w:snapToGrid w:val="0"/>
        <w:spacing w:line="360" w:lineRule="auto"/>
        <w:jc w:val="center"/>
        <w:outlineLvl w:val="1"/>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八、政府采购供应商廉洁自律承诺书</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浙江省港航管理中心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kern w:val="0"/>
          <w:sz w:val="24"/>
          <w:highlight w:val="none"/>
          <w:lang w:val="zh-CN"/>
        </w:rPr>
        <w:t>：</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shd w:val="clea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shd w:val="clea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shd w:val="clea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shd w:val="clea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shd w:val="clea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pPr>
        <w:shd w:val="clear"/>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br w:type="page"/>
      </w:r>
    </w:p>
    <w:p>
      <w:pPr>
        <w:shd w:val="clear"/>
        <w:spacing w:line="360" w:lineRule="auto"/>
        <w:jc w:val="center"/>
        <w:outlineLvl w:val="1"/>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hd w:val="clear"/>
        <w:jc w:val="center"/>
        <w:rPr>
          <w:rFonts w:ascii="仿宋" w:hAnsi="仿宋" w:eastAsia="仿宋" w:cs="仿宋"/>
          <w:b/>
          <w:bCs/>
          <w:color w:val="auto"/>
          <w:sz w:val="28"/>
          <w:szCs w:val="28"/>
          <w:highlight w:val="none"/>
        </w:rPr>
      </w:pPr>
    </w:p>
    <w:p>
      <w:pPr>
        <w:shd w:val="clear"/>
        <w:jc w:val="cente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目录</w:t>
      </w:r>
    </w:p>
    <w:p>
      <w:pPr>
        <w:shd w:val="clear"/>
        <w:rPr>
          <w:color w:val="auto"/>
          <w:highlight w:val="none"/>
        </w:rPr>
      </w:pP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hd w:val="clea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（2）报价情况说明…………………………………………………………………（页码）</w:t>
      </w:r>
    </w:p>
    <w:p>
      <w:pPr>
        <w:shd w:val="clear"/>
        <w:snapToGrid w:val="0"/>
        <w:spacing w:line="360" w:lineRule="auto"/>
        <w:rPr>
          <w:rFonts w:ascii="仿宋_GB2312" w:hAnsi="仿宋" w:eastAsia="仿宋_GB2312" w:cs="仿宋_GB2312"/>
          <w:color w:val="auto"/>
          <w:sz w:val="24"/>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shd w:val="clear"/>
        <w:snapToGrid w:val="0"/>
        <w:spacing w:line="360" w:lineRule="auto"/>
        <w:ind w:right="480"/>
        <w:jc w:val="center"/>
        <w:rPr>
          <w:rFonts w:ascii="仿宋_GB2312" w:hAnsi="仿宋" w:eastAsia="仿宋_GB2312" w:cs="仿宋_GB2312"/>
          <w:b/>
          <w:color w:val="auto"/>
          <w:kern w:val="0"/>
          <w:sz w:val="32"/>
          <w:szCs w:val="32"/>
          <w:highlight w:val="none"/>
        </w:rPr>
      </w:pPr>
    </w:p>
    <w:p>
      <w:pPr>
        <w:pStyle w:val="690"/>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0" w:num="1"/>
          <w:titlePg/>
          <w:docGrid w:linePitch="312" w:charSpace="0"/>
        </w:sectPr>
      </w:pPr>
    </w:p>
    <w:p>
      <w:pPr>
        <w:shd w:val="clea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lang w:val="zh-CN"/>
        </w:rPr>
        <w:t>一、开标一览表（报价表）</w:t>
      </w:r>
    </w:p>
    <w:p>
      <w:pPr>
        <w:shd w:val="clea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u w:val="single"/>
          <w:lang w:eastAsia="zh-CN"/>
        </w:rPr>
        <w:t>浙江省港航管理中心</w:t>
      </w:r>
      <w:r>
        <w:rPr>
          <w:rFonts w:hint="eastAsia" w:ascii="仿宋_GB2312" w:hAnsi="仿宋" w:eastAsia="仿宋_GB2312" w:cs="仿宋_GB2312"/>
          <w:color w:val="auto"/>
          <w:sz w:val="24"/>
          <w:highlight w:val="none"/>
          <w:u w:val="single"/>
        </w:rPr>
        <w:t>、浙江国际招投标有限公司</w:t>
      </w:r>
      <w:r>
        <w:rPr>
          <w:rFonts w:hint="eastAsia" w:ascii="仿宋_GB2312" w:hAnsi="仿宋" w:eastAsia="仿宋_GB2312" w:cs="仿宋_GB2312"/>
          <w:color w:val="auto"/>
          <w:kern w:val="0"/>
          <w:sz w:val="24"/>
          <w:highlight w:val="none"/>
          <w:lang w:val="zh-CN"/>
        </w:rPr>
        <w:t>：</w:t>
      </w:r>
    </w:p>
    <w:p>
      <w:pPr>
        <w:shd w:val="clea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u w:val="single"/>
          <w:lang w:eastAsia="zh-CN"/>
        </w:rPr>
        <w:t>钱塘江干线航道通航安全与应急保障能力评估暨无人机巡航应用研究</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u w:val="single"/>
          <w:lang w:eastAsia="zh-CN"/>
        </w:rPr>
        <w:t>ZJ-2411068</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hd w:val="clea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2776"/>
        <w:gridCol w:w="1335"/>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服务内容</w:t>
            </w:r>
          </w:p>
        </w:tc>
        <w:tc>
          <w:tcPr>
            <w:tcW w:w="184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服务人员数量</w:t>
            </w:r>
          </w:p>
        </w:tc>
        <w:tc>
          <w:tcPr>
            <w:tcW w:w="27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工作量</w:t>
            </w:r>
          </w:p>
        </w:tc>
        <w:tc>
          <w:tcPr>
            <w:tcW w:w="133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服务时间</w:t>
            </w:r>
          </w:p>
        </w:tc>
        <w:tc>
          <w:tcPr>
            <w:tcW w:w="15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rPr>
              <w:t>单价</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元/天</w:t>
            </w:r>
            <w:r>
              <w:rPr>
                <w:rFonts w:hint="eastAsia" w:ascii="仿宋_GB2312" w:hAnsi="仿宋" w:eastAsia="仿宋_GB2312"/>
                <w:b/>
                <w:color w:val="auto"/>
                <w:sz w:val="24"/>
                <w:highlight w:val="none"/>
                <w:lang w:eastAsia="zh-CN"/>
              </w:rPr>
              <w:t>）</w:t>
            </w:r>
          </w:p>
        </w:tc>
        <w:tc>
          <w:tcPr>
            <w:tcW w:w="1984" w:type="dxa"/>
            <w:vAlign w:val="center"/>
          </w:tcPr>
          <w:p>
            <w:pPr>
              <w:keepNext w:val="0"/>
              <w:keepLines w:val="0"/>
              <w:suppressLineNumbers w:val="0"/>
              <w:shd w:val="clear"/>
              <w:snapToGrid w:val="0"/>
              <w:spacing w:before="0" w:beforeAutospacing="0" w:after="0" w:afterAutospacing="0" w:line="400" w:lineRule="exact"/>
              <w:ind w:left="0" w:right="0"/>
              <w:jc w:val="center"/>
              <w:rPr>
                <w:rFonts w:hint="eastAsia" w:ascii="仿宋_GB2312" w:hAnsi="仿宋" w:eastAsia="仿宋_GB2312" w:cs="仿宋_GB2312"/>
                <w:b/>
                <w:color w:val="auto"/>
                <w:sz w:val="24"/>
                <w:highlight w:val="none"/>
                <w:lang w:eastAsia="zh-CN"/>
              </w:rPr>
            </w:pPr>
            <w:r>
              <w:rPr>
                <w:rFonts w:hint="eastAsia" w:ascii="仿宋_GB2312" w:hAnsi="仿宋" w:eastAsia="仿宋_GB2312"/>
                <w:b/>
                <w:color w:val="auto"/>
                <w:sz w:val="24"/>
                <w:highlight w:val="none"/>
              </w:rPr>
              <w:t>合计</w:t>
            </w:r>
            <w:r>
              <w:rPr>
                <w:rFonts w:hint="eastAsia" w:ascii="仿宋_GB2312" w:hAnsi="仿宋" w:eastAsia="仿宋_GB2312"/>
                <w:b/>
                <w:color w:val="auto"/>
                <w:sz w:val="24"/>
                <w:highlight w:val="none"/>
                <w:lang w:eastAsia="zh-CN"/>
              </w:rPr>
              <w:t>（</w:t>
            </w:r>
            <w:r>
              <w:rPr>
                <w:rFonts w:hint="eastAsia" w:ascii="仿宋_GB2312" w:hAnsi="仿宋" w:eastAsia="仿宋_GB2312"/>
                <w:b/>
                <w:color w:val="auto"/>
                <w:sz w:val="24"/>
                <w:highlight w:val="none"/>
                <w:lang w:val="en-US" w:eastAsia="zh-CN"/>
              </w:rPr>
              <w:t>元</w:t>
            </w:r>
            <w:r>
              <w:rPr>
                <w:rFonts w:hint="eastAsia" w:ascii="仿宋_GB2312" w:hAnsi="仿宋" w:eastAsia="仿宋_GB2312"/>
                <w:b/>
                <w:color w:val="auto"/>
                <w:sz w:val="24"/>
                <w:highlight w:val="none"/>
                <w:lang w:eastAsia="zh-CN"/>
              </w:rPr>
              <w:t>）</w:t>
            </w:r>
          </w:p>
        </w:tc>
        <w:tc>
          <w:tcPr>
            <w:tcW w:w="311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b/>
                <w:color w:val="auto"/>
                <w:sz w:val="24"/>
                <w:highlight w:val="none"/>
              </w:rPr>
            </w:pPr>
            <w:r>
              <w:rPr>
                <w:rFonts w:hint="eastAsia" w:ascii="仿宋_GB2312" w:hAnsi="仿宋" w:eastAsia="仿宋_GB2312"/>
                <w:b/>
                <w:color w:val="auto"/>
                <w:sz w:val="24"/>
                <w:highlight w:val="none"/>
              </w:rPr>
              <w:t>备注（如果有）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1</w:t>
            </w:r>
          </w:p>
        </w:tc>
        <w:tc>
          <w:tcPr>
            <w:tcW w:w="1417"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27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33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r>
              <w:rPr>
                <w:rFonts w:hint="default" w:ascii="仿宋_GB2312" w:hAnsi="仿宋" w:eastAsia="仿宋_GB2312" w:cs="仿宋_GB2312"/>
                <w:color w:val="auto"/>
                <w:sz w:val="24"/>
                <w:highlight w:val="none"/>
              </w:rPr>
              <w:t>2</w:t>
            </w:r>
          </w:p>
        </w:tc>
        <w:tc>
          <w:tcPr>
            <w:tcW w:w="1417"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27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33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27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33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417"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27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33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417"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843"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2776"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335"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55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1984"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c>
          <w:tcPr>
            <w:tcW w:w="3119" w:type="dxa"/>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951" w:type="dxa"/>
            <w:gridSpan w:val="2"/>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12616" w:type="dxa"/>
            <w:gridSpan w:val="6"/>
            <w:vAlign w:val="center"/>
          </w:tcPr>
          <w:p>
            <w:pPr>
              <w:keepNext w:val="0"/>
              <w:keepLines w:val="0"/>
              <w:suppressLineNumbers w:val="0"/>
              <w:shd w:val="clear"/>
              <w:snapToGrid w:val="0"/>
              <w:spacing w:before="0" w:beforeAutospacing="0" w:after="0" w:afterAutospacing="0" w:line="400" w:lineRule="exact"/>
              <w:ind w:left="0" w:right="0"/>
              <w:jc w:val="left"/>
              <w:rPr>
                <w:rFonts w:hint="default" w:ascii="仿宋_GB2312" w:hAnsi="仿宋" w:eastAsia="仿宋_GB2312" w:cs="仿宋_GB2312"/>
                <w:color w:val="auto"/>
                <w:sz w:val="24"/>
                <w:highlight w:val="none"/>
                <w:u w:val="single"/>
              </w:rPr>
            </w:pPr>
            <w:r>
              <w:rPr>
                <w:rFonts w:hint="default" w:ascii="Arial" w:hAnsi="Arial" w:eastAsia="仿宋_GB2312" w:cs="Arial"/>
                <w:color w:val="auto"/>
                <w:sz w:val="24"/>
                <w:highlight w:val="none"/>
              </w:rPr>
              <w:t>¥</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951" w:type="dxa"/>
            <w:gridSpan w:val="2"/>
            <w:vAlign w:val="center"/>
          </w:tcPr>
          <w:p>
            <w:pPr>
              <w:keepNext w:val="0"/>
              <w:keepLines w:val="0"/>
              <w:suppressLineNumbers w:val="0"/>
              <w:shd w:val="clear"/>
              <w:snapToGrid w:val="0"/>
              <w:spacing w:before="0" w:beforeAutospacing="0" w:after="0" w:afterAutospacing="0" w:line="400" w:lineRule="exact"/>
              <w:ind w:left="0" w:right="0"/>
              <w:jc w:val="center"/>
              <w:rPr>
                <w:rFonts w:hint="default"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12616" w:type="dxa"/>
            <w:gridSpan w:val="6"/>
            <w:vAlign w:val="center"/>
          </w:tcPr>
          <w:p>
            <w:pPr>
              <w:keepNext w:val="0"/>
              <w:keepLines w:val="0"/>
              <w:suppressLineNumbers w:val="0"/>
              <w:shd w:val="clear"/>
              <w:snapToGrid w:val="0"/>
              <w:spacing w:before="0" w:beforeAutospacing="0" w:after="0" w:afterAutospacing="0" w:line="400" w:lineRule="exact"/>
              <w:ind w:left="0" w:right="0"/>
              <w:jc w:val="left"/>
              <w:rPr>
                <w:rFonts w:hint="eastAsia" w:ascii="仿宋_GB2312" w:hAnsi="仿宋" w:eastAsia="仿宋_GB2312" w:cs="仿宋_GB2312"/>
                <w:color w:val="auto"/>
                <w:sz w:val="24"/>
                <w:highlight w:val="none"/>
                <w:u w:val="single"/>
                <w:lang w:val="en-US" w:eastAsia="zh-CN"/>
              </w:rPr>
            </w:pPr>
            <w:r>
              <w:rPr>
                <w:rFonts w:hint="eastAsia" w:ascii="仿宋_GB2312" w:hAnsi="仿宋" w:eastAsia="仿宋_GB2312" w:cs="仿宋_GB2312"/>
                <w:color w:val="auto"/>
                <w:sz w:val="24"/>
                <w:highlight w:val="none"/>
              </w:rPr>
              <w:t>人民币</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none"/>
                <w:lang w:val="en-US" w:eastAsia="zh-CN"/>
              </w:rPr>
              <w:t>元</w:t>
            </w:r>
          </w:p>
        </w:tc>
      </w:tr>
    </w:tbl>
    <w:p>
      <w:pPr>
        <w:shd w:val="clea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hd w:val="clear"/>
        <w:snapToGrid w:val="0"/>
        <w:spacing w:line="360" w:lineRule="auto"/>
        <w:ind w:left="-2" w:leftChars="-1"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w:t>
      </w:r>
      <w:r>
        <w:rPr>
          <w:rFonts w:hint="eastAsia" w:ascii="仿宋_GB2312" w:hAnsi="仿宋" w:eastAsia="仿宋_GB2312" w:cs="仿宋_GB2312"/>
          <w:color w:val="auto"/>
          <w:kern w:val="0"/>
          <w:sz w:val="24"/>
          <w:highlight w:val="none"/>
          <w:lang w:val="zh-CN"/>
        </w:rPr>
        <w:t>投标人需按本表格式填写，</w:t>
      </w:r>
      <w:r>
        <w:rPr>
          <w:rFonts w:hint="eastAsia" w:ascii="仿宋_GB2312" w:hAnsi="仿宋" w:eastAsia="仿宋_GB2312" w:cs="仿宋_GB2312"/>
          <w:b/>
          <w:bCs/>
          <w:color w:val="auto"/>
          <w:kern w:val="0"/>
          <w:sz w:val="24"/>
          <w:highlight w:val="none"/>
          <w:lang w:val="zh-CN"/>
        </w:rPr>
        <w:t>否则视为投标文件含有采购人不能接受的附加条件，投标无效</w:t>
      </w:r>
      <w:r>
        <w:rPr>
          <w:rFonts w:ascii="仿宋_GB2312" w:hAnsi="仿宋" w:eastAsia="仿宋_GB2312" w:cs="仿宋_GB2312"/>
          <w:color w:val="auto"/>
          <w:kern w:val="0"/>
          <w:sz w:val="24"/>
          <w:highlight w:val="none"/>
          <w:lang w:val="zh-CN"/>
        </w:rPr>
        <w:t>。</w:t>
      </w:r>
    </w:p>
    <w:p>
      <w:pPr>
        <w:shd w:val="clear"/>
        <w:snapToGrid w:val="0"/>
        <w:spacing w:line="360" w:lineRule="auto"/>
        <w:ind w:firstLine="480" w:firstLineChars="200"/>
        <w:rPr>
          <w:rFonts w:ascii="仿宋_GB2312" w:hAnsi="仿宋" w:eastAsia="仿宋_GB2312" w:cs="仿宋_GB2312"/>
          <w:b/>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color w:val="auto"/>
          <w:kern w:val="0"/>
          <w:szCs w:val="21"/>
          <w:highlight w:val="none"/>
          <w:lang w:val="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总价不为零，报价明细表中部分产品、服务单价为零的，视作已包含在总价中。采购内容未包含在《报价一览表》名称栏中，供应商不能作出合理解释的，视为投标文件含有采购人不能接受的附加条件的，响应无效</w:t>
      </w:r>
    </w:p>
    <w:p>
      <w:pPr>
        <w:shd w:val="clear"/>
        <w:snapToGrid w:val="0"/>
        <w:spacing w:line="360" w:lineRule="auto"/>
        <w:ind w:firstLine="482" w:firstLineChars="200"/>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3、</w:t>
      </w:r>
      <w:r>
        <w:rPr>
          <w:rFonts w:hint="eastAsia" w:ascii="仿宋_GB2312" w:hAnsi="仿宋" w:eastAsia="仿宋_GB2312" w:cs="仿宋_GB2312"/>
          <w:b/>
          <w:bCs/>
          <w:color w:val="auto"/>
          <w:kern w:val="0"/>
          <w:sz w:val="24"/>
          <w:highlight w:val="none"/>
          <w:lang w:val="zh-CN"/>
        </w:rPr>
        <w:t>报价低于项目预算50%的，应当在报价文件中详细阐述不影响产品质量或者诚信履约的具体原因。</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en-US" w:eastAsia="zh-CN"/>
        </w:rPr>
        <w:t>4</w:t>
      </w:r>
      <w:r>
        <w:rPr>
          <w:rFonts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lang w:val="zh-CN"/>
        </w:rPr>
        <w:t>特别提示：采购代理机构将对项目名称和项目编号，中标供应商名称、地址和中标金额，主要中标标的名称、服务范围、服务要求、服务时间、服务标准等予以公示。</w:t>
      </w:r>
    </w:p>
    <w:p>
      <w:pPr>
        <w:shd w:val="clea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en-US" w:eastAsia="zh-CN"/>
        </w:rPr>
        <w:t>5</w:t>
      </w:r>
      <w:r>
        <w:rPr>
          <w:rFonts w:ascii="仿宋_GB2312" w:hAnsi="仿宋" w:eastAsia="仿宋_GB2312" w:cs="仿宋_GB2312"/>
          <w:color w:val="auto"/>
          <w:kern w:val="0"/>
          <w:sz w:val="24"/>
          <w:szCs w:val="22"/>
          <w:highlight w:val="none"/>
          <w:lang w:val="zh-CN"/>
        </w:rPr>
        <w:t>、</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rFonts w:ascii="仿宋_GB2312" w:hAnsi="仿宋" w:eastAsia="仿宋_GB2312" w:cs="仿宋_GB2312"/>
          <w:color w:val="auto"/>
          <w:kern w:val="0"/>
          <w:sz w:val="24"/>
          <w:highlight w:val="none"/>
          <w:lang w:val="zh-CN"/>
        </w:rPr>
        <w:t>。</w:t>
      </w:r>
    </w:p>
    <w:p>
      <w:pPr>
        <w:shd w:val="clear"/>
        <w:spacing w:line="360" w:lineRule="auto"/>
        <w:ind w:firstLine="482" w:firstLineChars="200"/>
        <w:rPr>
          <w:rFonts w:ascii="仿宋_GB2312" w:hAnsi="仿宋" w:eastAsia="仿宋_GB2312"/>
          <w:b/>
          <w:color w:val="auto"/>
          <w:kern w:val="0"/>
          <w:sz w:val="24"/>
          <w:highlight w:val="none"/>
        </w:rPr>
      </w:pPr>
    </w:p>
    <w:p>
      <w:pPr>
        <w:pStyle w:val="690"/>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p>
    <w:p>
      <w:pPr>
        <w:shd w:val="clear"/>
        <w:autoSpaceDE w:val="0"/>
        <w:autoSpaceDN w:val="0"/>
        <w:spacing w:line="360" w:lineRule="auto"/>
        <w:ind w:left="2" w:leftChars="1" w:right="1120" w:firstLine="8880" w:firstLineChars="37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hd w:val="clear"/>
        <w:spacing w:line="360" w:lineRule="auto"/>
        <w:ind w:left="4620" w:leftChars="2200" w:firstLine="4320" w:firstLineChars="18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u w:val="single"/>
          <w:lang w:val="zh-CN"/>
        </w:rPr>
        <w:t xml:space="preserve">   </w:t>
      </w:r>
      <w:r>
        <w:rPr>
          <w:rFonts w:ascii="仿宋_GB2312" w:hAnsi="仿宋" w:eastAsia="仿宋_GB2312" w:cs="仿宋_GB2312"/>
          <w:color w:val="auto"/>
          <w:kern w:val="0"/>
          <w:sz w:val="24"/>
          <w:highlight w:val="none"/>
          <w:lang w:val="zh-CN"/>
        </w:rPr>
        <w:t>日</w:t>
      </w:r>
    </w:p>
    <w:p>
      <w:pPr>
        <w:pStyle w:val="690"/>
        <w:keepNext w:val="0"/>
        <w:pageBreakBefore w:val="0"/>
        <w:shd w:val="clear"/>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shd w:val="clea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二、中小企业声明函（如果有）</w:t>
      </w:r>
    </w:p>
    <w:p>
      <w:pPr>
        <w:shd w:val="clear"/>
        <w:spacing w:line="360" w:lineRule="auto"/>
        <w:ind w:firstLine="482" w:firstLineChars="20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r>
        <w:rPr>
          <w:rFonts w:hint="eastAsia" w:ascii="仿宋_GB2312" w:hAnsi="仿宋" w:eastAsia="仿宋_GB2312" w:cs="仿宋_GB2312"/>
          <w:b/>
          <w:color w:val="auto"/>
          <w:sz w:val="32"/>
          <w:szCs w:val="32"/>
          <w:highlight w:val="none"/>
        </w:rPr>
        <w:br w:type="page"/>
      </w:r>
    </w:p>
    <w:p>
      <w:pPr>
        <w:shd w:val="clear"/>
        <w:rPr>
          <w:rFonts w:ascii="仿宋_GB2312" w:hAnsi="仿宋" w:eastAsia="仿宋_GB2312" w:cs="仿宋_GB2312"/>
          <w:b/>
          <w:color w:val="auto"/>
          <w:kern w:val="0"/>
          <w:sz w:val="32"/>
          <w:szCs w:val="32"/>
          <w:highlight w:val="none"/>
        </w:rPr>
      </w:pPr>
      <w:bookmarkStart w:id="558" w:name="_Toc465665161"/>
    </w:p>
    <w:p>
      <w:pPr>
        <w:shd w:val="clear"/>
        <w:snapToGrid w:val="0"/>
        <w:spacing w:line="360" w:lineRule="auto"/>
        <w:jc w:val="center"/>
        <w:outlineLvl w:val="1"/>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附件</w:t>
      </w:r>
      <w:bookmarkEnd w:id="558"/>
    </w:p>
    <w:p>
      <w:pPr>
        <w:shd w:val="clea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hd w:val="clear"/>
        <w:spacing w:line="360" w:lineRule="auto"/>
        <w:jc w:val="center"/>
        <w:rPr>
          <w:rFonts w:ascii="仿宋_GB2312" w:hAnsi="仿宋" w:eastAsia="仿宋_GB2312"/>
          <w:b/>
          <w:color w:val="auto"/>
          <w:spacing w:val="6"/>
          <w:sz w:val="32"/>
          <w:szCs w:val="32"/>
          <w:highlight w:val="none"/>
        </w:rPr>
      </w:pPr>
      <w:bookmarkStart w:id="559" w:name="OLE_LINK14"/>
      <w:bookmarkStart w:id="560" w:name="OLE_LINK13"/>
      <w:r>
        <w:rPr>
          <w:rFonts w:hint="eastAsia" w:ascii="仿宋_GB2312" w:hAnsi="仿宋" w:eastAsia="仿宋_GB2312"/>
          <w:b/>
          <w:color w:val="auto"/>
          <w:spacing w:val="6"/>
          <w:sz w:val="32"/>
          <w:szCs w:val="32"/>
          <w:highlight w:val="none"/>
        </w:rPr>
        <w:t>残疾人福利性单位声明函</w:t>
      </w:r>
    </w:p>
    <w:bookmarkEnd w:id="559"/>
    <w:bookmarkEnd w:id="560"/>
    <w:p>
      <w:pPr>
        <w:shd w:val="clear"/>
        <w:spacing w:line="360" w:lineRule="auto"/>
        <w:rPr>
          <w:rFonts w:ascii="仿宋_GB2312" w:hAnsi="仿宋" w:eastAsia="仿宋_GB2312"/>
          <w:b/>
          <w:color w:val="auto"/>
          <w:spacing w:val="6"/>
          <w:sz w:val="30"/>
          <w:szCs w:val="30"/>
          <w:highlight w:val="none"/>
        </w:rPr>
      </w:pP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eastAsia="zh-CN"/>
        </w:rPr>
        <w:t>浙江省港航管理中心</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rPr>
        <w:t>单位的</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eastAsia="zh-CN"/>
        </w:rPr>
        <w:t>钱塘江干线航道通航安全与应急保障能力评估暨无人机巡航应用研究</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hd w:val="clear"/>
        <w:spacing w:line="360" w:lineRule="auto"/>
        <w:ind w:firstLine="480" w:firstLineChars="200"/>
        <w:rPr>
          <w:rFonts w:ascii="仿宋_GB2312" w:hAnsi="仿宋" w:eastAsia="仿宋_GB2312" w:cs="仿宋_GB2312"/>
          <w:color w:val="auto"/>
          <w:sz w:val="24"/>
          <w:highlight w:val="none"/>
        </w:rPr>
      </w:pPr>
    </w:p>
    <w:p>
      <w:pPr>
        <w:shd w:val="clear"/>
        <w:spacing w:line="360" w:lineRule="auto"/>
        <w:ind w:firstLine="480" w:firstLineChars="200"/>
        <w:rPr>
          <w:rFonts w:ascii="仿宋_GB2312" w:hAnsi="仿宋" w:eastAsia="仿宋_GB2312" w:cs="仿宋_GB2312"/>
          <w:color w:val="auto"/>
          <w:sz w:val="24"/>
          <w:highlight w:val="none"/>
        </w:rPr>
      </w:pP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shd w:val="clea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hd w:val="clear"/>
        <w:spacing w:line="360" w:lineRule="auto"/>
        <w:ind w:firstLine="480" w:firstLineChars="200"/>
        <w:rPr>
          <w:rFonts w:ascii="仿宋_GB2312" w:hAnsi="仿宋" w:eastAsia="仿宋_GB2312" w:cs="仿宋_GB2312"/>
          <w:color w:val="auto"/>
          <w:sz w:val="24"/>
          <w:highlight w:val="none"/>
        </w:rPr>
      </w:pPr>
    </w:p>
    <w:p>
      <w:pPr>
        <w:shd w:val="clea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br w:type="page"/>
      </w: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hd w:val="clea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hd w:val="clea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hd w:val="clea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hd w:val="clea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jc w:val="center"/>
        <w:rPr>
          <w:rFonts w:ascii="仿宋_GB2312" w:hAnsi="仿宋" w:eastAsia="仿宋_GB2312" w:cs="仿宋"/>
          <w:b/>
          <w:bCs/>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hd w:val="clear"/>
        <w:spacing w:line="360" w:lineRule="auto"/>
        <w:ind w:firstLine="600" w:firstLineChars="200"/>
        <w:jc w:val="left"/>
        <w:rPr>
          <w:rFonts w:ascii="仿宋_GB2312" w:hAnsi="仿宋" w:eastAsia="仿宋_GB2312"/>
          <w:color w:val="auto"/>
          <w:sz w:val="30"/>
          <w:szCs w:val="30"/>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center"/>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p>
    <w:p>
      <w:pPr>
        <w:shd w:val="clea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hd w:val="clear"/>
        <w:spacing w:line="360" w:lineRule="auto"/>
        <w:jc w:val="center"/>
        <w:rPr>
          <w:rFonts w:ascii="仿宋_GB2312" w:hAnsi="仿宋" w:eastAsia="仿宋_GB2312"/>
          <w:b/>
          <w:color w:val="auto"/>
          <w:sz w:val="24"/>
          <w:highlight w:val="none"/>
        </w:rPr>
      </w:pPr>
    </w:p>
    <w:p>
      <w:pPr>
        <w:shd w:val="clea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hd w:val="clea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hd w:val="clea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hd w:val="clea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p>
    <w:p>
      <w:pPr>
        <w:shd w:val="clea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hd w:val="clear"/>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hd w:val="clear"/>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hd w:val="clear"/>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hd w:val="clear"/>
        <w:spacing w:line="360" w:lineRule="auto"/>
        <w:rPr>
          <w:rFonts w:ascii="仿宋_GB2312" w:hAnsi="仿宋" w:eastAsia="仿宋_GB2312" w:cs="仿宋_GB2312"/>
          <w:b/>
          <w:color w:val="auto"/>
          <w:sz w:val="24"/>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hd w:val="clear"/>
        <w:spacing w:line="360" w:lineRule="auto"/>
        <w:rPr>
          <w:rFonts w:ascii="仿宋" w:hAnsi="仿宋" w:eastAsia="仿宋" w:cs="仿宋_GB2312"/>
          <w:color w:val="auto"/>
          <w:sz w:val="24"/>
          <w:highlight w:val="none"/>
          <w:u w:val="single"/>
        </w:rPr>
      </w:pPr>
    </w:p>
    <w:p>
      <w:pPr>
        <w:shd w:val="clea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lang w:eastAsia="zh-CN"/>
        </w:rPr>
        <w:t>浙江省港航管理中心</w:t>
      </w:r>
      <w:r>
        <w:rPr>
          <w:rFonts w:hint="eastAsia" w:ascii="仿宋" w:hAnsi="仿宋" w:eastAsia="仿宋" w:cs="仿宋_GB2312"/>
          <w:color w:val="auto"/>
          <w:sz w:val="24"/>
          <w:highlight w:val="none"/>
          <w:u w:val="single"/>
        </w:rPr>
        <w:t>、浙江国际招投标有限公司</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lang w:eastAsia="zh-CN"/>
        </w:rPr>
        <w:t>钱塘江干线航道通航安全与应急保障能力评估暨无人机巡航应用研究</w:t>
      </w:r>
      <w:r>
        <w:rPr>
          <w:rFonts w:hint="eastAsia" w:ascii="仿宋_GB2312" w:hAnsi="仿宋" w:eastAsia="仿宋_GB2312" w:cs="仿宋_GB2312"/>
          <w:color w:val="auto"/>
          <w:sz w:val="24"/>
          <w:highlight w:val="none"/>
        </w:rPr>
        <w:t>项目</w:t>
      </w:r>
      <w:r>
        <w:rPr>
          <w:rFonts w:hint="eastAsia" w:ascii="仿宋" w:hAnsi="仿宋" w:eastAsia="仿宋" w:cs="仿宋_GB2312"/>
          <w:color w:val="auto"/>
          <w:sz w:val="24"/>
          <w:highlight w:val="none"/>
        </w:rPr>
        <w:t>【招标编号：</w:t>
      </w:r>
      <w:r>
        <w:rPr>
          <w:rFonts w:hint="eastAsia" w:ascii="仿宋" w:hAnsi="仿宋" w:eastAsia="仿宋" w:cs="仿宋_GB2312"/>
          <w:color w:val="auto"/>
          <w:sz w:val="24"/>
          <w:highlight w:val="none"/>
          <w:lang w:eastAsia="zh-CN"/>
        </w:rPr>
        <w:t>ZJ-2411068</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hd w:val="clea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firstLine="494"/>
        <w:rPr>
          <w:rFonts w:ascii="仿宋" w:hAnsi="仿宋" w:eastAsia="仿宋" w:cs="宋体"/>
          <w:color w:val="auto"/>
          <w:sz w:val="24"/>
          <w:highlight w:val="none"/>
        </w:rPr>
      </w:pPr>
    </w:p>
    <w:p>
      <w:pPr>
        <w:shd w:val="clea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shd w:val="clea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年</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月</w:t>
      </w:r>
      <w:r>
        <w:rPr>
          <w:rFonts w:ascii="仿宋" w:hAnsi="仿宋" w:eastAsia="仿宋" w:cs="宋体"/>
          <w:color w:val="auto"/>
          <w:sz w:val="24"/>
          <w:highlight w:val="none"/>
          <w:u w:val="single"/>
        </w:rPr>
        <w:t xml:space="preserve">     </w:t>
      </w:r>
      <w:r>
        <w:rPr>
          <w:rFonts w:ascii="仿宋" w:hAnsi="仿宋" w:eastAsia="仿宋" w:cs="宋体"/>
          <w:color w:val="auto"/>
          <w:sz w:val="24"/>
          <w:highlight w:val="none"/>
        </w:rPr>
        <w:t>日</w:t>
      </w:r>
    </w:p>
    <w:p>
      <w:pPr>
        <w:shd w:val="clea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hd w:val="clea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autoSpaceDE w:val="0"/>
        <w:autoSpaceDN w:val="0"/>
        <w:jc w:val="center"/>
        <w:rPr>
          <w:rFonts w:ascii="仿宋" w:hAnsi="仿宋" w:eastAsia="仿宋"/>
          <w:b/>
          <w:color w:val="auto"/>
          <w:spacing w:val="6"/>
          <w:sz w:val="32"/>
          <w:szCs w:val="32"/>
          <w:highlight w:val="none"/>
        </w:rPr>
      </w:pPr>
    </w:p>
    <w:p>
      <w:pPr>
        <w:shd w:val="clea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hd w:val="clear"/>
        <w:autoSpaceDE w:val="0"/>
        <w:autoSpaceDN w:val="0"/>
        <w:jc w:val="center"/>
        <w:rPr>
          <w:rFonts w:ascii="宋体" w:hAnsi="宋体" w:cs="宋体"/>
          <w:b/>
          <w:color w:val="auto"/>
          <w:kern w:val="0"/>
          <w:sz w:val="32"/>
          <w:szCs w:val="32"/>
          <w:highlight w:val="none"/>
          <w:lang w:val="zh-CN"/>
        </w:rPr>
      </w:pPr>
      <w:r>
        <w:rPr>
          <w:rFonts w:hint="eastAsia" w:ascii="仿宋" w:hAnsi="仿宋" w:eastAsia="仿宋"/>
          <w:b/>
          <w:bCs/>
          <w:color w:val="auto"/>
          <w:sz w:val="32"/>
          <w:szCs w:val="32"/>
          <w:highlight w:val="none"/>
        </w:rPr>
        <w:t>附件5：</w:t>
      </w:r>
      <w:r>
        <w:rPr>
          <w:rFonts w:hint="eastAsia" w:ascii="仿宋" w:hAnsi="仿宋" w:eastAsia="仿宋"/>
          <w:b/>
          <w:bCs/>
          <w:color w:val="auto"/>
          <w:sz w:val="32"/>
          <w:szCs w:val="32"/>
          <w:highlight w:val="none"/>
          <w:lang w:val="zh-CN"/>
        </w:rPr>
        <w:t>联合协议</w:t>
      </w:r>
    </w:p>
    <w:p>
      <w:pPr>
        <w:widowControl/>
        <w:shd w:val="clear"/>
        <w:spacing w:line="360" w:lineRule="auto"/>
        <w:ind w:firstLine="482" w:firstLineChars="200"/>
        <w:jc w:val="left"/>
        <w:rPr>
          <w:rFonts w:ascii="仿宋" w:hAnsi="仿宋" w:eastAsia="仿宋" w:cs="仿宋"/>
          <w:b/>
          <w:color w:val="auto"/>
          <w:sz w:val="24"/>
          <w:highlight w:val="none"/>
        </w:rPr>
      </w:pPr>
    </w:p>
    <w:p>
      <w:pPr>
        <w:widowControl/>
        <w:shd w:val="clear"/>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pStyle w:val="5"/>
        <w:shd w:val="clear"/>
        <w:rPr>
          <w:color w:val="auto"/>
          <w:highlight w:val="none"/>
        </w:rPr>
      </w:pP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钱塘江干线航道通航安全与应急保障能力评估暨无人机巡航应用研究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ZJ-2411068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pPr>
        <w:shd w:val="clea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561" w:name="_Hlk101131882"/>
      <w:r>
        <w:rPr>
          <w:rFonts w:hint="eastAsia" w:ascii="仿宋" w:hAnsi="仿宋" w:eastAsia="仿宋" w:cs="仿宋"/>
          <w:color w:val="auto"/>
          <w:kern w:val="0"/>
          <w:sz w:val="24"/>
          <w:highlight w:val="none"/>
          <w:u w:val="single"/>
        </w:rPr>
        <w:t>联合体成员X,……</w:t>
      </w:r>
      <w:bookmarkEnd w:id="561"/>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562" w:name="_Hlk101133598"/>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562"/>
      <w:r>
        <w:rPr>
          <w:rFonts w:hint="eastAsia" w:ascii="仿宋" w:hAnsi="仿宋" w:eastAsia="仿宋" w:cs="仿宋"/>
          <w:b/>
          <w:color w:val="auto"/>
          <w:kern w:val="0"/>
          <w:sz w:val="24"/>
          <w:highlight w:val="none"/>
          <w:lang w:val="zh-CN"/>
        </w:rPr>
        <w:t>）</w:t>
      </w:r>
    </w:p>
    <w:p>
      <w:pPr>
        <w:shd w:val="clea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563"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563"/>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pPr>
        <w:shd w:val="clea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hd w:val="clear"/>
        <w:snapToGrid w:val="0"/>
        <w:spacing w:line="360" w:lineRule="auto"/>
        <w:ind w:right="960"/>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hd w:val="clea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pPr>
        <w:shd w:val="clea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autoSpaceDE w:val="0"/>
        <w:autoSpaceDN w:val="0"/>
        <w:jc w:val="center"/>
        <w:rPr>
          <w:rFonts w:ascii="仿宋" w:hAnsi="仿宋" w:eastAsia="仿宋" w:cs="仿宋"/>
          <w:b/>
          <w:color w:val="auto"/>
          <w:spacing w:val="6"/>
          <w:sz w:val="32"/>
          <w:szCs w:val="32"/>
          <w:highlight w:val="none"/>
        </w:rPr>
      </w:pPr>
    </w:p>
    <w:p>
      <w:pPr>
        <w:shd w:val="clear"/>
        <w:autoSpaceDE w:val="0"/>
        <w:autoSpaceDN w:val="0"/>
        <w:jc w:val="center"/>
        <w:rPr>
          <w:rFonts w:ascii="仿宋" w:hAnsi="仿宋" w:eastAsia="仿宋" w:cs="仿宋"/>
          <w:b/>
          <w:color w:val="auto"/>
          <w:spacing w:val="6"/>
          <w:sz w:val="32"/>
          <w:szCs w:val="32"/>
          <w:highlight w:val="none"/>
        </w:rPr>
      </w:pPr>
    </w:p>
    <w:p>
      <w:pPr>
        <w:widowControl/>
        <w:shd w:val="clear"/>
        <w:adjustRightInd/>
        <w:jc w:val="left"/>
        <w:rPr>
          <w:rFonts w:ascii="仿宋" w:hAnsi="仿宋" w:eastAsia="仿宋" w:cs="仿宋"/>
          <w:b/>
          <w:color w:val="auto"/>
          <w:spacing w:val="6"/>
          <w:sz w:val="32"/>
          <w:szCs w:val="32"/>
          <w:highlight w:val="none"/>
        </w:rPr>
      </w:pPr>
    </w:p>
    <w:p>
      <w:pPr>
        <w:shd w:val="clea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hd w:val="clear"/>
        <w:snapToGrid w:val="0"/>
        <w:spacing w:line="360" w:lineRule="auto"/>
        <w:ind w:firstLine="3666" w:firstLineChars="1100"/>
        <w:rPr>
          <w:rFonts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附件6：</w:t>
      </w:r>
      <w:r>
        <w:rPr>
          <w:rFonts w:hint="eastAsia" w:ascii="仿宋" w:hAnsi="仿宋" w:eastAsia="仿宋" w:cs="仿宋"/>
          <w:b/>
          <w:color w:val="auto"/>
          <w:kern w:val="0"/>
          <w:sz w:val="32"/>
          <w:szCs w:val="32"/>
          <w:highlight w:val="none"/>
        </w:rPr>
        <w:t>分包意向协议</w:t>
      </w:r>
    </w:p>
    <w:p>
      <w:pPr>
        <w:widowControl/>
        <w:shd w:val="clear"/>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pStyle w:val="5"/>
        <w:shd w:val="clear"/>
        <w:rPr>
          <w:color w:val="auto"/>
          <w:highlight w:val="none"/>
        </w:rPr>
      </w:pP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钱塘江干线航道通航安全与应急保障能力评估暨无人机巡航应用研究</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lang w:eastAsia="zh-CN"/>
        </w:rPr>
        <w:t>ZJ-2411068</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5"/>
        <w:shd w:val="clear"/>
        <w:ind w:left="664" w:leftChars="316" w:firstLine="229" w:firstLineChars="95"/>
        <w:rPr>
          <w:rFonts w:ascii="仿宋" w:eastAsia="仿宋" w:cs="仿宋"/>
          <w:color w:val="auto"/>
          <w:kern w:val="0"/>
          <w:sz w:val="24"/>
          <w:szCs w:val="24"/>
          <w:highlight w:val="none"/>
        </w:rPr>
      </w:pPr>
      <w:r>
        <w:rPr>
          <w:rFonts w:hint="eastAsia" w:ascii="仿宋" w:eastAsia="仿宋" w:cs="仿宋"/>
          <w:color w:val="auto"/>
          <w:kern w:val="0"/>
          <w:sz w:val="24"/>
          <w:szCs w:val="24"/>
          <w:highlight w:val="none"/>
        </w:rPr>
        <w:t>……</w:t>
      </w:r>
    </w:p>
    <w:p>
      <w:pPr>
        <w:shd w:val="clear"/>
        <w:rPr>
          <w:rFonts w:ascii="仿宋" w:hAnsi="仿宋" w:eastAsia="仿宋" w:cs="仿宋"/>
          <w:color w:val="auto"/>
          <w:highlight w:val="none"/>
        </w:rPr>
      </w:pPr>
      <w:r>
        <w:rPr>
          <w:rFonts w:hint="eastAsia" w:ascii="仿宋" w:hAnsi="仿宋" w:eastAsia="仿宋" w:cs="仿宋"/>
          <w:color w:val="auto"/>
          <w:highlight w:val="none"/>
          <w:lang w:val="zh-CN"/>
        </w:rPr>
        <w:t xml:space="preserve">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pPr>
        <w:shd w:val="clea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pPr>
        <w:shd w:val="clear"/>
        <w:spacing w:line="360" w:lineRule="auto"/>
        <w:ind w:firstLine="480" w:firstLineChars="200"/>
        <w:rPr>
          <w:rFonts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pPr>
        <w:shd w:val="clear"/>
        <w:snapToGrid w:val="0"/>
        <w:spacing w:line="360" w:lineRule="auto"/>
        <w:ind w:firstLine="576"/>
        <w:rPr>
          <w:rFonts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pPr>
        <w:shd w:val="clea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hd w:val="clea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pPr>
        <w:shd w:val="clea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hd w:val="clear"/>
        <w:snapToGrid w:val="0"/>
        <w:spacing w:line="360" w:lineRule="auto"/>
        <w:jc w:val="righ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pPr>
        <w:shd w:val="clea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hd w:val="clear"/>
        <w:snapToGrid w:val="0"/>
        <w:spacing w:line="360" w:lineRule="auto"/>
        <w:ind w:left="5758" w:leftChars="342" w:hanging="5040" w:hanging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hd w:val="clear"/>
        <w:spacing w:line="360" w:lineRule="auto"/>
        <w:ind w:right="420"/>
        <w:rPr>
          <w:rFonts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hd w:val="clear"/>
        <w:rPr>
          <w:rFonts w:ascii="仿宋" w:hAnsi="仿宋" w:eastAsia="仿宋"/>
          <w:b/>
          <w:color w:val="auto"/>
          <w:spacing w:val="6"/>
          <w:sz w:val="32"/>
          <w:szCs w:val="32"/>
          <w:highlight w:val="none"/>
        </w:rPr>
      </w:pPr>
    </w:p>
    <w:p>
      <w:pPr>
        <w:shd w:val="clea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pPr>
        <w:shd w:val="clea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附件7：</w:t>
      </w:r>
      <w:r>
        <w:rPr>
          <w:rFonts w:hint="eastAsia" w:ascii="仿宋_GB2312" w:hAnsi="宋体" w:eastAsia="仿宋_GB2312"/>
          <w:b/>
          <w:color w:val="auto"/>
          <w:sz w:val="32"/>
          <w:szCs w:val="32"/>
          <w:highlight w:val="none"/>
        </w:rPr>
        <w:t>中小企业声明函</w:t>
      </w:r>
    </w:p>
    <w:p>
      <w:pPr>
        <w:shd w:val="clear"/>
        <w:spacing w:line="360" w:lineRule="auto"/>
        <w:jc w:val="center"/>
        <w:rPr>
          <w:rFonts w:ascii="仿宋" w:hAnsi="仿宋" w:eastAsia="仿宋" w:cs="仿宋_GB2312"/>
          <w:color w:val="auto"/>
          <w:sz w:val="24"/>
          <w:highlight w:val="none"/>
          <w:u w:val="single"/>
        </w:rPr>
      </w:pPr>
    </w:p>
    <w:p>
      <w:pPr>
        <w:shd w:val="clea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shd w:val="clear"/>
        <w:spacing w:line="360" w:lineRule="auto"/>
        <w:rPr>
          <w:rFonts w:ascii="仿宋_GB2312" w:hAnsi="仿宋" w:eastAsia="仿宋_GB2312"/>
          <w:color w:val="auto"/>
          <w:highlight w:val="none"/>
        </w:rPr>
      </w:pPr>
    </w:p>
    <w:p>
      <w:pPr>
        <w:shd w:val="clea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lang w:eastAsia="zh-CN"/>
        </w:rPr>
        <w:t>浙江省港航管理中心</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钱塘江干线航道通航安全与应急保障能力评估暨无人机巡航应用研究</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 w:hAnsi="仿宋" w:eastAsia="仿宋" w:cs="仿宋"/>
          <w:color w:val="auto"/>
          <w:kern w:val="0"/>
          <w:sz w:val="24"/>
          <w:highlight w:val="none"/>
          <w:u w:val="single"/>
        </w:rPr>
        <w:t xml:space="preserve">钱塘江干线航道通航安全与应急保障能力评估暨无人机巡航应用研究 </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 xml:space="preserve"> 其他未列明行业</w:t>
      </w:r>
      <w:r>
        <w:rPr>
          <w:rFonts w:ascii="仿宋_GB2312" w:hAnsi="宋体" w:eastAsia="仿宋_GB2312"/>
          <w:color w:val="auto"/>
          <w:sz w:val="24"/>
          <w:highlight w:val="none"/>
        </w:rPr>
        <w:t xml:space="preserve"> ；承接企业为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填写</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rPr>
        <w:t>填写</w:t>
      </w:r>
      <w:r>
        <w:rPr>
          <w:rFonts w:ascii="仿宋_GB2312" w:hAnsi="宋体" w:eastAsia="仿宋_GB2312"/>
          <w:color w:val="auto"/>
          <w:sz w:val="24"/>
          <w:highlight w:val="none"/>
          <w:u w:val="single"/>
        </w:rPr>
        <w:t>中型企业、小型企业、微型企业</w:t>
      </w:r>
      <w:r>
        <w:rPr>
          <w:rFonts w:hint="eastAsia" w:ascii="仿宋_GB2312" w:hAnsi="宋体" w:eastAsia="仿宋_GB2312"/>
          <w:color w:val="auto"/>
          <w:sz w:val="24"/>
          <w:highlight w:val="none"/>
          <w:u w:val="single"/>
        </w:rPr>
        <w:t>其中一项</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hd w:val="clea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hd w:val="clea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hd w:val="clea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hd w:val="clear"/>
        <w:spacing w:line="360" w:lineRule="auto"/>
        <w:ind w:firstLine="310" w:firstLineChars="147"/>
        <w:jc w:val="left"/>
        <w:rPr>
          <w:rFonts w:ascii="仿宋_GB2312" w:hAnsi="宋体" w:eastAsia="仿宋_GB2312"/>
          <w:b/>
          <w:color w:val="auto"/>
          <w:szCs w:val="21"/>
          <w:highlight w:val="none"/>
        </w:rPr>
      </w:pPr>
    </w:p>
    <w:p>
      <w:pPr>
        <w:shd w:val="clea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hd w:val="clea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hd w:val="clear"/>
        <w:rPr>
          <w:color w:val="auto"/>
          <w:highlight w:val="none"/>
        </w:rPr>
      </w:pPr>
    </w:p>
    <w:p>
      <w:pPr>
        <w:shd w:val="clear"/>
        <w:spacing w:line="360" w:lineRule="auto"/>
        <w:ind w:right="420"/>
        <w:rPr>
          <w:color w:val="auto"/>
          <w:highlight w:val="none"/>
        </w:rPr>
      </w:pPr>
    </w:p>
    <w:p>
      <w:pPr>
        <w:shd w:val="clear"/>
        <w:spacing w:line="360" w:lineRule="auto"/>
        <w:rPr>
          <w:rFonts w:ascii="仿宋" w:hAnsi="仿宋" w:eastAsia="仿宋"/>
          <w:bCs/>
          <w:color w:val="auto"/>
          <w:sz w:val="24"/>
          <w:highlight w:val="none"/>
        </w:rPr>
      </w:pPr>
      <w:r>
        <w:rPr>
          <w:color w:val="auto"/>
          <w:highlight w:val="none"/>
        </w:rPr>
        <w:drawing>
          <wp:inline distT="0" distB="0" distL="114300" distR="114300">
            <wp:extent cx="8671560" cy="5244465"/>
            <wp:effectExtent l="0" t="0" r="1333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rot="16200000">
                      <a:off x="0" y="0"/>
                      <a:ext cx="8671560" cy="5244465"/>
                    </a:xfrm>
                    <a:prstGeom prst="rect">
                      <a:avLst/>
                    </a:prstGeom>
                    <a:noFill/>
                    <a:ln>
                      <a:noFill/>
                    </a:ln>
                  </pic:spPr>
                </pic:pic>
              </a:graphicData>
            </a:graphic>
          </wp:inline>
        </w:drawing>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宋体"/>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Wingdings 2">
    <w:altName w:val="Wingdings"/>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91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91</w:t>
    </w:r>
    <w:r>
      <w:rPr>
        <w:rFonts w:hint="eastAsia" w:ascii="仿宋_GB2312" w:eastAsia="仿宋_GB2312"/>
        <w:kern w:val="0"/>
        <w:szCs w:val="21"/>
      </w:rPr>
      <w:fldChar w:fldCharType="end"/>
    </w:r>
    <w:bookmarkStart w:id="564" w:name="_Toc164085800"/>
    <w:bookmarkStart w:id="565" w:name="_Toc91899912"/>
    <w:bookmarkStart w:id="566" w:name="_Toc131845147"/>
    <w:bookmarkStart w:id="567" w:name="_Toc36110187"/>
    <w:r>
      <w:rPr>
        <w:rFonts w:hint="eastAsia" w:ascii="仿宋_GB2312" w:eastAsia="仿宋_GB2312"/>
        <w:kern w:val="0"/>
        <w:szCs w:val="21"/>
      </w:rPr>
      <w:t xml:space="preserve"> 页</w:t>
    </w:r>
    <w:bookmarkEnd w:id="564"/>
    <w:bookmarkEnd w:id="565"/>
    <w:bookmarkEnd w:id="566"/>
    <w:bookmarkEnd w:id="567"/>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rPr>
        <w:rFonts w:ascii="仿宋_GB2312" w:eastAsia="仿宋_GB2312"/>
        <w:b w:val="0"/>
        <w:i/>
        <w:sz w:val="18"/>
        <w:u w:val="single"/>
        <w:lang w:val="en-US"/>
      </w:rPr>
    </w:pPr>
    <w:r>
      <w:rPr>
        <w:rFonts w:hint="eastAsia"/>
        <w:lang w:eastAsia="zh-CN"/>
      </w:rPr>
      <w:t>钱塘江干线航道通航安全与应急保障能力评估暨无人机巡航应用研究</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钱塘江干线航道通航安全与应急保障能力评估暨无人机巡航应用研究</w:t>
    </w:r>
    <w:r>
      <w:t>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1824C56"/>
    <w:multiLevelType w:val="singleLevel"/>
    <w:tmpl w:val="01824C56"/>
    <w:lvl w:ilvl="0" w:tentative="0">
      <w:start w:val="1"/>
      <w:numFmt w:val="decimal"/>
      <w:suff w:val="nothing"/>
      <w:lvlText w:val="（%1）"/>
      <w:lvlJc w:val="left"/>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7"/>
  </w:num>
  <w:num w:numId="4">
    <w:abstractNumId w:val="0"/>
  </w:num>
  <w:num w:numId="5">
    <w:abstractNumId w:val="6"/>
  </w:num>
  <w:num w:numId="6">
    <w:abstractNumId w:val="9"/>
  </w:num>
  <w:num w:numId="7">
    <w:abstractNumId w:val="3"/>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ZGYxOTNmYzczMjMxY2U3MGM1ZDNhZDc3NDRlYmEifQ=="/>
    <w:docVar w:name="KSO_WPS_MARK_KEY" w:val="69a9f7c3-6628-4de4-b852-9c35e87017bb"/>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446"/>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3019"/>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7F"/>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40A"/>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468"/>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F75"/>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F3B"/>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1AD"/>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AF"/>
    <w:rsid w:val="004E3A2A"/>
    <w:rsid w:val="004E3AB1"/>
    <w:rsid w:val="004E4003"/>
    <w:rsid w:val="004E4626"/>
    <w:rsid w:val="004E4760"/>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6803"/>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0AC"/>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338"/>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A03"/>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4FEE"/>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7E2"/>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C8E"/>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4CD"/>
    <w:rsid w:val="00D02A80"/>
    <w:rsid w:val="00D02BBE"/>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1AE7"/>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766"/>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CD5"/>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43A"/>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8B21C1"/>
    <w:rsid w:val="019F7441"/>
    <w:rsid w:val="01B37585"/>
    <w:rsid w:val="01D55165"/>
    <w:rsid w:val="01DF6BF8"/>
    <w:rsid w:val="01EC2C57"/>
    <w:rsid w:val="026B2E25"/>
    <w:rsid w:val="02824D4D"/>
    <w:rsid w:val="02D73A57"/>
    <w:rsid w:val="02DC4B10"/>
    <w:rsid w:val="02DD76CE"/>
    <w:rsid w:val="02F36323"/>
    <w:rsid w:val="02F5619C"/>
    <w:rsid w:val="0326446A"/>
    <w:rsid w:val="032D5555"/>
    <w:rsid w:val="03450965"/>
    <w:rsid w:val="036634D2"/>
    <w:rsid w:val="03DD35E4"/>
    <w:rsid w:val="04076900"/>
    <w:rsid w:val="041A5A3B"/>
    <w:rsid w:val="042311BA"/>
    <w:rsid w:val="042B157A"/>
    <w:rsid w:val="04493A67"/>
    <w:rsid w:val="048F763B"/>
    <w:rsid w:val="049F330E"/>
    <w:rsid w:val="04AA775C"/>
    <w:rsid w:val="04AF1889"/>
    <w:rsid w:val="04C6224D"/>
    <w:rsid w:val="04F66F48"/>
    <w:rsid w:val="05251E14"/>
    <w:rsid w:val="05A16594"/>
    <w:rsid w:val="05A7762D"/>
    <w:rsid w:val="060E5941"/>
    <w:rsid w:val="06110FAF"/>
    <w:rsid w:val="06493CA7"/>
    <w:rsid w:val="065A6178"/>
    <w:rsid w:val="066F1CF3"/>
    <w:rsid w:val="067A7477"/>
    <w:rsid w:val="06930BB8"/>
    <w:rsid w:val="07245D42"/>
    <w:rsid w:val="07264C62"/>
    <w:rsid w:val="0779354C"/>
    <w:rsid w:val="079C1379"/>
    <w:rsid w:val="07D87C6E"/>
    <w:rsid w:val="08061376"/>
    <w:rsid w:val="08452D77"/>
    <w:rsid w:val="086401F8"/>
    <w:rsid w:val="08751CAA"/>
    <w:rsid w:val="087E4C40"/>
    <w:rsid w:val="08D132DE"/>
    <w:rsid w:val="08D66AD6"/>
    <w:rsid w:val="08DA33A3"/>
    <w:rsid w:val="08E80F13"/>
    <w:rsid w:val="08FA43AC"/>
    <w:rsid w:val="09335624"/>
    <w:rsid w:val="0944690F"/>
    <w:rsid w:val="09535675"/>
    <w:rsid w:val="095F057D"/>
    <w:rsid w:val="09642282"/>
    <w:rsid w:val="09733572"/>
    <w:rsid w:val="09772C16"/>
    <w:rsid w:val="098353B5"/>
    <w:rsid w:val="09A92330"/>
    <w:rsid w:val="09B06B87"/>
    <w:rsid w:val="09C13146"/>
    <w:rsid w:val="09E04166"/>
    <w:rsid w:val="0A1C0718"/>
    <w:rsid w:val="0A265A56"/>
    <w:rsid w:val="0A2957BF"/>
    <w:rsid w:val="0A3E7710"/>
    <w:rsid w:val="0A5B7E63"/>
    <w:rsid w:val="0AA374A5"/>
    <w:rsid w:val="0AAB7649"/>
    <w:rsid w:val="0ABC5606"/>
    <w:rsid w:val="0AFF3376"/>
    <w:rsid w:val="0B30404E"/>
    <w:rsid w:val="0B4C6C14"/>
    <w:rsid w:val="0B5F1DB6"/>
    <w:rsid w:val="0B631A88"/>
    <w:rsid w:val="0B683D45"/>
    <w:rsid w:val="0B794AD1"/>
    <w:rsid w:val="0B7F3F11"/>
    <w:rsid w:val="0B884417"/>
    <w:rsid w:val="0BC36FD1"/>
    <w:rsid w:val="0BF6188C"/>
    <w:rsid w:val="0BF73C91"/>
    <w:rsid w:val="0C170175"/>
    <w:rsid w:val="0C3E68BE"/>
    <w:rsid w:val="0C4C2CDB"/>
    <w:rsid w:val="0C571A41"/>
    <w:rsid w:val="0C5C1171"/>
    <w:rsid w:val="0C5E1CBC"/>
    <w:rsid w:val="0C615B50"/>
    <w:rsid w:val="0C7E427E"/>
    <w:rsid w:val="0C8445DA"/>
    <w:rsid w:val="0C87121B"/>
    <w:rsid w:val="0CC007F7"/>
    <w:rsid w:val="0CFE707A"/>
    <w:rsid w:val="0D063BDA"/>
    <w:rsid w:val="0D08375F"/>
    <w:rsid w:val="0D184CFB"/>
    <w:rsid w:val="0D4A7419"/>
    <w:rsid w:val="0D5C71C9"/>
    <w:rsid w:val="0D827401"/>
    <w:rsid w:val="0D84094E"/>
    <w:rsid w:val="0D8A00E9"/>
    <w:rsid w:val="0D8D589E"/>
    <w:rsid w:val="0DA01C73"/>
    <w:rsid w:val="0DBE4384"/>
    <w:rsid w:val="0DD63300"/>
    <w:rsid w:val="0DF50604"/>
    <w:rsid w:val="0DF702FE"/>
    <w:rsid w:val="0E060E51"/>
    <w:rsid w:val="0E5604B2"/>
    <w:rsid w:val="0E6D5D79"/>
    <w:rsid w:val="0E9D0089"/>
    <w:rsid w:val="0EB803EE"/>
    <w:rsid w:val="0EBE0962"/>
    <w:rsid w:val="0EF94D4B"/>
    <w:rsid w:val="0F0C1E32"/>
    <w:rsid w:val="0F4958DC"/>
    <w:rsid w:val="0F515DF7"/>
    <w:rsid w:val="0F596BA8"/>
    <w:rsid w:val="0F6248D2"/>
    <w:rsid w:val="0F693536"/>
    <w:rsid w:val="0F7B0511"/>
    <w:rsid w:val="0F7B76D9"/>
    <w:rsid w:val="0F816ACD"/>
    <w:rsid w:val="0F9832DB"/>
    <w:rsid w:val="0F99632F"/>
    <w:rsid w:val="0FBF3FD2"/>
    <w:rsid w:val="0FBF7FF3"/>
    <w:rsid w:val="10646583"/>
    <w:rsid w:val="107D4B15"/>
    <w:rsid w:val="108A3C80"/>
    <w:rsid w:val="10C26171"/>
    <w:rsid w:val="10F33360"/>
    <w:rsid w:val="10FC16EA"/>
    <w:rsid w:val="110F1D40"/>
    <w:rsid w:val="111118D4"/>
    <w:rsid w:val="11266F33"/>
    <w:rsid w:val="1153449E"/>
    <w:rsid w:val="116D4EB6"/>
    <w:rsid w:val="118963A1"/>
    <w:rsid w:val="11C6522A"/>
    <w:rsid w:val="11E104CC"/>
    <w:rsid w:val="11E20309"/>
    <w:rsid w:val="12255233"/>
    <w:rsid w:val="12530213"/>
    <w:rsid w:val="127723A9"/>
    <w:rsid w:val="12862074"/>
    <w:rsid w:val="12883966"/>
    <w:rsid w:val="129E45B4"/>
    <w:rsid w:val="12A26ED5"/>
    <w:rsid w:val="12D81596"/>
    <w:rsid w:val="13072A44"/>
    <w:rsid w:val="135F4BE2"/>
    <w:rsid w:val="139B1A0A"/>
    <w:rsid w:val="139D25C7"/>
    <w:rsid w:val="13BF3CE4"/>
    <w:rsid w:val="13E470BD"/>
    <w:rsid w:val="141008D8"/>
    <w:rsid w:val="14125FE6"/>
    <w:rsid w:val="146D271E"/>
    <w:rsid w:val="148C79A5"/>
    <w:rsid w:val="14982588"/>
    <w:rsid w:val="149A5AD9"/>
    <w:rsid w:val="14A7619D"/>
    <w:rsid w:val="150536C3"/>
    <w:rsid w:val="150C1963"/>
    <w:rsid w:val="151447A0"/>
    <w:rsid w:val="154A6454"/>
    <w:rsid w:val="15762120"/>
    <w:rsid w:val="15AF3ADC"/>
    <w:rsid w:val="161D0664"/>
    <w:rsid w:val="16A8729C"/>
    <w:rsid w:val="16B33777"/>
    <w:rsid w:val="16BC70A7"/>
    <w:rsid w:val="16C6339E"/>
    <w:rsid w:val="171B7683"/>
    <w:rsid w:val="172F2D79"/>
    <w:rsid w:val="174A659D"/>
    <w:rsid w:val="17557BEF"/>
    <w:rsid w:val="17D349C1"/>
    <w:rsid w:val="1830729E"/>
    <w:rsid w:val="1870062C"/>
    <w:rsid w:val="18817102"/>
    <w:rsid w:val="18830A15"/>
    <w:rsid w:val="18852B28"/>
    <w:rsid w:val="188B5321"/>
    <w:rsid w:val="18EA78A5"/>
    <w:rsid w:val="192B4AA2"/>
    <w:rsid w:val="19892F55"/>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757323"/>
    <w:rsid w:val="1BA209CF"/>
    <w:rsid w:val="1BB4777D"/>
    <w:rsid w:val="1BC2169D"/>
    <w:rsid w:val="1BD75AB8"/>
    <w:rsid w:val="1C0459C2"/>
    <w:rsid w:val="1C1B3B4A"/>
    <w:rsid w:val="1C3A1C46"/>
    <w:rsid w:val="1C88086E"/>
    <w:rsid w:val="1CE25AD0"/>
    <w:rsid w:val="1D235971"/>
    <w:rsid w:val="1D266CE1"/>
    <w:rsid w:val="1D3963AF"/>
    <w:rsid w:val="1D6A673C"/>
    <w:rsid w:val="1D9247AE"/>
    <w:rsid w:val="1DB567EC"/>
    <w:rsid w:val="1DF51A98"/>
    <w:rsid w:val="1E3D060F"/>
    <w:rsid w:val="1E3F7D2E"/>
    <w:rsid w:val="1E4134E4"/>
    <w:rsid w:val="1E5062B3"/>
    <w:rsid w:val="1E523514"/>
    <w:rsid w:val="1E714A66"/>
    <w:rsid w:val="1E784F21"/>
    <w:rsid w:val="1E802593"/>
    <w:rsid w:val="1EA703CC"/>
    <w:rsid w:val="1EB7330C"/>
    <w:rsid w:val="1ED0292B"/>
    <w:rsid w:val="1F0A0FF3"/>
    <w:rsid w:val="1F424E16"/>
    <w:rsid w:val="1F5771FF"/>
    <w:rsid w:val="1FE868A9"/>
    <w:rsid w:val="20034907"/>
    <w:rsid w:val="20173E4B"/>
    <w:rsid w:val="201E48A5"/>
    <w:rsid w:val="20471345"/>
    <w:rsid w:val="204E48BC"/>
    <w:rsid w:val="208921B3"/>
    <w:rsid w:val="20973DEB"/>
    <w:rsid w:val="20B26522"/>
    <w:rsid w:val="20B44310"/>
    <w:rsid w:val="211116EB"/>
    <w:rsid w:val="216133FC"/>
    <w:rsid w:val="21CB6338"/>
    <w:rsid w:val="21D56769"/>
    <w:rsid w:val="21E52EF3"/>
    <w:rsid w:val="21FB5D7B"/>
    <w:rsid w:val="220B1C3D"/>
    <w:rsid w:val="221D1D20"/>
    <w:rsid w:val="22334A87"/>
    <w:rsid w:val="22BE6801"/>
    <w:rsid w:val="22CA2A17"/>
    <w:rsid w:val="233500BF"/>
    <w:rsid w:val="23377FF7"/>
    <w:rsid w:val="236B425F"/>
    <w:rsid w:val="237A203E"/>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C31E3"/>
    <w:rsid w:val="258B00E2"/>
    <w:rsid w:val="25A917A6"/>
    <w:rsid w:val="25BE27CC"/>
    <w:rsid w:val="25F74A5C"/>
    <w:rsid w:val="2628662C"/>
    <w:rsid w:val="262D45DE"/>
    <w:rsid w:val="2653535F"/>
    <w:rsid w:val="266A4519"/>
    <w:rsid w:val="26A53EF9"/>
    <w:rsid w:val="26A94201"/>
    <w:rsid w:val="26AC274F"/>
    <w:rsid w:val="27044A29"/>
    <w:rsid w:val="271D34C8"/>
    <w:rsid w:val="276142BF"/>
    <w:rsid w:val="27783712"/>
    <w:rsid w:val="27907362"/>
    <w:rsid w:val="27FA6607"/>
    <w:rsid w:val="28333E1D"/>
    <w:rsid w:val="28416434"/>
    <w:rsid w:val="28454BD6"/>
    <w:rsid w:val="28455253"/>
    <w:rsid w:val="28551971"/>
    <w:rsid w:val="285B1C53"/>
    <w:rsid w:val="289F7086"/>
    <w:rsid w:val="28C32028"/>
    <w:rsid w:val="28CC490F"/>
    <w:rsid w:val="28DE40AA"/>
    <w:rsid w:val="28F3499A"/>
    <w:rsid w:val="2915627C"/>
    <w:rsid w:val="29345E77"/>
    <w:rsid w:val="294C65AD"/>
    <w:rsid w:val="29806583"/>
    <w:rsid w:val="298B3C4C"/>
    <w:rsid w:val="29CD0232"/>
    <w:rsid w:val="29F26D24"/>
    <w:rsid w:val="2A15033F"/>
    <w:rsid w:val="2A1662C1"/>
    <w:rsid w:val="2A1C7367"/>
    <w:rsid w:val="2A2815FA"/>
    <w:rsid w:val="2A4E45E1"/>
    <w:rsid w:val="2A6D6092"/>
    <w:rsid w:val="2A7D76B4"/>
    <w:rsid w:val="2ACC026D"/>
    <w:rsid w:val="2AF6599B"/>
    <w:rsid w:val="2B437463"/>
    <w:rsid w:val="2B6C0B88"/>
    <w:rsid w:val="2B7807EE"/>
    <w:rsid w:val="2BBF00EC"/>
    <w:rsid w:val="2BC37CFD"/>
    <w:rsid w:val="2BD5237F"/>
    <w:rsid w:val="2BE536CE"/>
    <w:rsid w:val="2BE758D9"/>
    <w:rsid w:val="2BE961B4"/>
    <w:rsid w:val="2C09049E"/>
    <w:rsid w:val="2C0A653C"/>
    <w:rsid w:val="2C191F85"/>
    <w:rsid w:val="2C631A05"/>
    <w:rsid w:val="2CA3146B"/>
    <w:rsid w:val="2CE82D6F"/>
    <w:rsid w:val="2D343236"/>
    <w:rsid w:val="2DD15014"/>
    <w:rsid w:val="2DE57862"/>
    <w:rsid w:val="2DF72DE4"/>
    <w:rsid w:val="2E0220AF"/>
    <w:rsid w:val="2E3D585B"/>
    <w:rsid w:val="2E483EDC"/>
    <w:rsid w:val="2E4B082A"/>
    <w:rsid w:val="2E5D4E86"/>
    <w:rsid w:val="2E5D790B"/>
    <w:rsid w:val="2E9A3C18"/>
    <w:rsid w:val="2EBB0FEE"/>
    <w:rsid w:val="2EC63002"/>
    <w:rsid w:val="2F0A6B38"/>
    <w:rsid w:val="2F4002D9"/>
    <w:rsid w:val="2F5A5701"/>
    <w:rsid w:val="2F833DA8"/>
    <w:rsid w:val="2F946CCB"/>
    <w:rsid w:val="2FB254A3"/>
    <w:rsid w:val="2FD25781"/>
    <w:rsid w:val="2FFD7934"/>
    <w:rsid w:val="304D30C7"/>
    <w:rsid w:val="305667F5"/>
    <w:rsid w:val="30733ACD"/>
    <w:rsid w:val="308C3862"/>
    <w:rsid w:val="309379D8"/>
    <w:rsid w:val="30A270F7"/>
    <w:rsid w:val="30DF1478"/>
    <w:rsid w:val="30EC586F"/>
    <w:rsid w:val="319C6071"/>
    <w:rsid w:val="31A82D30"/>
    <w:rsid w:val="31AC537E"/>
    <w:rsid w:val="31E3679B"/>
    <w:rsid w:val="31E732FD"/>
    <w:rsid w:val="32517576"/>
    <w:rsid w:val="32BE5C2C"/>
    <w:rsid w:val="32FB6478"/>
    <w:rsid w:val="33263B3F"/>
    <w:rsid w:val="332F7931"/>
    <w:rsid w:val="335B1DD4"/>
    <w:rsid w:val="336963EB"/>
    <w:rsid w:val="33816EEB"/>
    <w:rsid w:val="33EB55CD"/>
    <w:rsid w:val="33EC4C02"/>
    <w:rsid w:val="340D2360"/>
    <w:rsid w:val="3410665D"/>
    <w:rsid w:val="34211214"/>
    <w:rsid w:val="342E63AB"/>
    <w:rsid w:val="343520A9"/>
    <w:rsid w:val="34950E68"/>
    <w:rsid w:val="34986E94"/>
    <w:rsid w:val="34AF62C9"/>
    <w:rsid w:val="34CB4388"/>
    <w:rsid w:val="34CC5EAB"/>
    <w:rsid w:val="34D522FE"/>
    <w:rsid w:val="34FA6E12"/>
    <w:rsid w:val="358D5588"/>
    <w:rsid w:val="360B4FFE"/>
    <w:rsid w:val="363A3B40"/>
    <w:rsid w:val="365302AE"/>
    <w:rsid w:val="36607A0A"/>
    <w:rsid w:val="366E227C"/>
    <w:rsid w:val="366F2E0D"/>
    <w:rsid w:val="367B6A5C"/>
    <w:rsid w:val="36A325B4"/>
    <w:rsid w:val="36A74ADA"/>
    <w:rsid w:val="36AA7C28"/>
    <w:rsid w:val="36AD60D5"/>
    <w:rsid w:val="36B224F9"/>
    <w:rsid w:val="36EC0CC9"/>
    <w:rsid w:val="373F410B"/>
    <w:rsid w:val="37A161FF"/>
    <w:rsid w:val="37EE7094"/>
    <w:rsid w:val="37F66FAC"/>
    <w:rsid w:val="381E0825"/>
    <w:rsid w:val="38296C89"/>
    <w:rsid w:val="383002EB"/>
    <w:rsid w:val="38586797"/>
    <w:rsid w:val="38BC0149"/>
    <w:rsid w:val="38D87D1C"/>
    <w:rsid w:val="39636459"/>
    <w:rsid w:val="396843AB"/>
    <w:rsid w:val="396B7F6C"/>
    <w:rsid w:val="39B417A9"/>
    <w:rsid w:val="39D27042"/>
    <w:rsid w:val="39FC5695"/>
    <w:rsid w:val="3A006D8E"/>
    <w:rsid w:val="3A137505"/>
    <w:rsid w:val="3A3651E5"/>
    <w:rsid w:val="3A56234B"/>
    <w:rsid w:val="3A744481"/>
    <w:rsid w:val="3A8C7BEF"/>
    <w:rsid w:val="3A906246"/>
    <w:rsid w:val="3B2349B7"/>
    <w:rsid w:val="3B616CFF"/>
    <w:rsid w:val="3B6259F6"/>
    <w:rsid w:val="3B976654"/>
    <w:rsid w:val="3BC01EFC"/>
    <w:rsid w:val="3BC90386"/>
    <w:rsid w:val="3BCA786A"/>
    <w:rsid w:val="3BD31E2F"/>
    <w:rsid w:val="3BE30AB6"/>
    <w:rsid w:val="3BF15831"/>
    <w:rsid w:val="3C105946"/>
    <w:rsid w:val="3C471448"/>
    <w:rsid w:val="3C4C0A09"/>
    <w:rsid w:val="3C5E1AEE"/>
    <w:rsid w:val="3C5F759A"/>
    <w:rsid w:val="3C6C525A"/>
    <w:rsid w:val="3CCE23CB"/>
    <w:rsid w:val="3CD17D17"/>
    <w:rsid w:val="3D2E4A31"/>
    <w:rsid w:val="3D3C7F39"/>
    <w:rsid w:val="3D440F09"/>
    <w:rsid w:val="3D4504A0"/>
    <w:rsid w:val="3D8734BB"/>
    <w:rsid w:val="3D9A11D4"/>
    <w:rsid w:val="3DA16D89"/>
    <w:rsid w:val="3DA364BE"/>
    <w:rsid w:val="3DE041CB"/>
    <w:rsid w:val="3E0D48F6"/>
    <w:rsid w:val="3E1868B4"/>
    <w:rsid w:val="3E377251"/>
    <w:rsid w:val="3E42664B"/>
    <w:rsid w:val="3E450701"/>
    <w:rsid w:val="3E5A7334"/>
    <w:rsid w:val="3E5D6110"/>
    <w:rsid w:val="3E7B5D6B"/>
    <w:rsid w:val="3E843E66"/>
    <w:rsid w:val="3E8F51FE"/>
    <w:rsid w:val="3E926F87"/>
    <w:rsid w:val="3E9A59DE"/>
    <w:rsid w:val="3E9C09A3"/>
    <w:rsid w:val="3EAF4836"/>
    <w:rsid w:val="3EC33DFA"/>
    <w:rsid w:val="3F060E16"/>
    <w:rsid w:val="3F1D1096"/>
    <w:rsid w:val="3F2F0234"/>
    <w:rsid w:val="3F5A3A7F"/>
    <w:rsid w:val="3F6363FE"/>
    <w:rsid w:val="3F756B8F"/>
    <w:rsid w:val="3F905C5D"/>
    <w:rsid w:val="3F95482B"/>
    <w:rsid w:val="400C3FD4"/>
    <w:rsid w:val="4019356B"/>
    <w:rsid w:val="40592157"/>
    <w:rsid w:val="406E1CAE"/>
    <w:rsid w:val="40A0133A"/>
    <w:rsid w:val="40A634B2"/>
    <w:rsid w:val="40AC5D5D"/>
    <w:rsid w:val="40C31A53"/>
    <w:rsid w:val="40FF545D"/>
    <w:rsid w:val="410067C8"/>
    <w:rsid w:val="41015EE4"/>
    <w:rsid w:val="411C03A3"/>
    <w:rsid w:val="418F0D2A"/>
    <w:rsid w:val="41D01505"/>
    <w:rsid w:val="41F43A05"/>
    <w:rsid w:val="41F850FE"/>
    <w:rsid w:val="42474939"/>
    <w:rsid w:val="424C3C57"/>
    <w:rsid w:val="42613FF3"/>
    <w:rsid w:val="42660D96"/>
    <w:rsid w:val="4275298F"/>
    <w:rsid w:val="428667D2"/>
    <w:rsid w:val="42A27568"/>
    <w:rsid w:val="42CD1CE0"/>
    <w:rsid w:val="42E1381E"/>
    <w:rsid w:val="42ED6459"/>
    <w:rsid w:val="42FE58DD"/>
    <w:rsid w:val="43174B3D"/>
    <w:rsid w:val="434B790E"/>
    <w:rsid w:val="4360274F"/>
    <w:rsid w:val="43977AB6"/>
    <w:rsid w:val="43A3342B"/>
    <w:rsid w:val="43C77C27"/>
    <w:rsid w:val="43DE09EE"/>
    <w:rsid w:val="43F044A0"/>
    <w:rsid w:val="44002FAD"/>
    <w:rsid w:val="445F0B62"/>
    <w:rsid w:val="449101DD"/>
    <w:rsid w:val="44DE1391"/>
    <w:rsid w:val="451B225C"/>
    <w:rsid w:val="452410C9"/>
    <w:rsid w:val="45317DFB"/>
    <w:rsid w:val="45367649"/>
    <w:rsid w:val="456D3CE4"/>
    <w:rsid w:val="4579042C"/>
    <w:rsid w:val="457F0571"/>
    <w:rsid w:val="45851176"/>
    <w:rsid w:val="459704BE"/>
    <w:rsid w:val="45BE6EBE"/>
    <w:rsid w:val="45C63B94"/>
    <w:rsid w:val="460E7DA5"/>
    <w:rsid w:val="46422483"/>
    <w:rsid w:val="464B6EA4"/>
    <w:rsid w:val="4659254A"/>
    <w:rsid w:val="465B0637"/>
    <w:rsid w:val="465E3F0D"/>
    <w:rsid w:val="46630148"/>
    <w:rsid w:val="466A16E6"/>
    <w:rsid w:val="46893F2B"/>
    <w:rsid w:val="468F1026"/>
    <w:rsid w:val="46C4686E"/>
    <w:rsid w:val="477B778F"/>
    <w:rsid w:val="478203EC"/>
    <w:rsid w:val="47B025FA"/>
    <w:rsid w:val="47E11CAD"/>
    <w:rsid w:val="4809698F"/>
    <w:rsid w:val="4811697D"/>
    <w:rsid w:val="487A3E25"/>
    <w:rsid w:val="488B5503"/>
    <w:rsid w:val="48937E21"/>
    <w:rsid w:val="489A0361"/>
    <w:rsid w:val="48B94FF3"/>
    <w:rsid w:val="48E37AAB"/>
    <w:rsid w:val="48FD4B4C"/>
    <w:rsid w:val="490A68E0"/>
    <w:rsid w:val="491055FE"/>
    <w:rsid w:val="493F2815"/>
    <w:rsid w:val="495F5B3E"/>
    <w:rsid w:val="496F77D7"/>
    <w:rsid w:val="497654FD"/>
    <w:rsid w:val="49B64211"/>
    <w:rsid w:val="49C41430"/>
    <w:rsid w:val="49E22991"/>
    <w:rsid w:val="49F6167F"/>
    <w:rsid w:val="4A064FA0"/>
    <w:rsid w:val="4A16615C"/>
    <w:rsid w:val="4A4424D7"/>
    <w:rsid w:val="4AB82D0F"/>
    <w:rsid w:val="4AEB7664"/>
    <w:rsid w:val="4AFD7C19"/>
    <w:rsid w:val="4B0567D1"/>
    <w:rsid w:val="4B236AAE"/>
    <w:rsid w:val="4B704048"/>
    <w:rsid w:val="4B707271"/>
    <w:rsid w:val="4B9739F7"/>
    <w:rsid w:val="4BEE2503"/>
    <w:rsid w:val="4C245A30"/>
    <w:rsid w:val="4C617F8F"/>
    <w:rsid w:val="4CB6685F"/>
    <w:rsid w:val="4CC30ADF"/>
    <w:rsid w:val="4CC367FE"/>
    <w:rsid w:val="4D077F3C"/>
    <w:rsid w:val="4D0B7988"/>
    <w:rsid w:val="4D123355"/>
    <w:rsid w:val="4D2A3B31"/>
    <w:rsid w:val="4D312C52"/>
    <w:rsid w:val="4D3600CA"/>
    <w:rsid w:val="4D8973D9"/>
    <w:rsid w:val="4D905305"/>
    <w:rsid w:val="4D964A72"/>
    <w:rsid w:val="4D9C1254"/>
    <w:rsid w:val="4DE14B44"/>
    <w:rsid w:val="4E793892"/>
    <w:rsid w:val="4E800872"/>
    <w:rsid w:val="4EC569ED"/>
    <w:rsid w:val="4ED50EA1"/>
    <w:rsid w:val="4ED82BCE"/>
    <w:rsid w:val="4EEC050C"/>
    <w:rsid w:val="4F104EC3"/>
    <w:rsid w:val="4F240A83"/>
    <w:rsid w:val="4F47354A"/>
    <w:rsid w:val="4F4E3483"/>
    <w:rsid w:val="4F911C54"/>
    <w:rsid w:val="4FE625E0"/>
    <w:rsid w:val="50084580"/>
    <w:rsid w:val="50211ADF"/>
    <w:rsid w:val="5021480F"/>
    <w:rsid w:val="5035610E"/>
    <w:rsid w:val="50962ECB"/>
    <w:rsid w:val="50A42E38"/>
    <w:rsid w:val="50A4577F"/>
    <w:rsid w:val="50B73D1F"/>
    <w:rsid w:val="50BD5BC9"/>
    <w:rsid w:val="50C11EEE"/>
    <w:rsid w:val="50E97CFC"/>
    <w:rsid w:val="50FA4028"/>
    <w:rsid w:val="510D65B7"/>
    <w:rsid w:val="511157AB"/>
    <w:rsid w:val="5142540C"/>
    <w:rsid w:val="518832C8"/>
    <w:rsid w:val="518E5997"/>
    <w:rsid w:val="51A0432A"/>
    <w:rsid w:val="51A86090"/>
    <w:rsid w:val="51B7396D"/>
    <w:rsid w:val="521307CE"/>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88609D"/>
    <w:rsid w:val="54B3506A"/>
    <w:rsid w:val="54CA0D16"/>
    <w:rsid w:val="54DD4057"/>
    <w:rsid w:val="54E7490F"/>
    <w:rsid w:val="54F67A7F"/>
    <w:rsid w:val="550764A4"/>
    <w:rsid w:val="550B2BF6"/>
    <w:rsid w:val="55214EB5"/>
    <w:rsid w:val="55364EFD"/>
    <w:rsid w:val="555D4828"/>
    <w:rsid w:val="557A4C8B"/>
    <w:rsid w:val="558931E1"/>
    <w:rsid w:val="55923347"/>
    <w:rsid w:val="55925180"/>
    <w:rsid w:val="55940FF4"/>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C4708"/>
    <w:rsid w:val="58E363A9"/>
    <w:rsid w:val="595E1678"/>
    <w:rsid w:val="596D5BD4"/>
    <w:rsid w:val="597E3DD8"/>
    <w:rsid w:val="59F80043"/>
    <w:rsid w:val="5A09252F"/>
    <w:rsid w:val="5A0B2778"/>
    <w:rsid w:val="5A2A7C7B"/>
    <w:rsid w:val="5A366EFF"/>
    <w:rsid w:val="5A3E2560"/>
    <w:rsid w:val="5A5D3B6E"/>
    <w:rsid w:val="5A637A76"/>
    <w:rsid w:val="5A6D33BA"/>
    <w:rsid w:val="5A792B1F"/>
    <w:rsid w:val="5A874767"/>
    <w:rsid w:val="5AAD6F28"/>
    <w:rsid w:val="5AD63A24"/>
    <w:rsid w:val="5B147DB2"/>
    <w:rsid w:val="5B2E1A1D"/>
    <w:rsid w:val="5B843A1C"/>
    <w:rsid w:val="5B873E3F"/>
    <w:rsid w:val="5B9E122B"/>
    <w:rsid w:val="5C02690E"/>
    <w:rsid w:val="5C196DA7"/>
    <w:rsid w:val="5C2A048C"/>
    <w:rsid w:val="5C80234E"/>
    <w:rsid w:val="5C8A680C"/>
    <w:rsid w:val="5C9E3D89"/>
    <w:rsid w:val="5D0C4701"/>
    <w:rsid w:val="5D0F0395"/>
    <w:rsid w:val="5D126DFC"/>
    <w:rsid w:val="5D221076"/>
    <w:rsid w:val="5D397964"/>
    <w:rsid w:val="5D5A391C"/>
    <w:rsid w:val="5D5F10C0"/>
    <w:rsid w:val="5D70362F"/>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DF0EC5"/>
    <w:rsid w:val="5FE01AB3"/>
    <w:rsid w:val="5FE34A5B"/>
    <w:rsid w:val="5FFE1E36"/>
    <w:rsid w:val="60232584"/>
    <w:rsid w:val="607330CE"/>
    <w:rsid w:val="60825176"/>
    <w:rsid w:val="609F2AC4"/>
    <w:rsid w:val="60FA2EE8"/>
    <w:rsid w:val="61054A27"/>
    <w:rsid w:val="610A52BC"/>
    <w:rsid w:val="611D2366"/>
    <w:rsid w:val="61421856"/>
    <w:rsid w:val="615148D9"/>
    <w:rsid w:val="615227C4"/>
    <w:rsid w:val="61654E3F"/>
    <w:rsid w:val="6182292A"/>
    <w:rsid w:val="619F7F92"/>
    <w:rsid w:val="61C31708"/>
    <w:rsid w:val="61F94C26"/>
    <w:rsid w:val="62000E56"/>
    <w:rsid w:val="624F3E49"/>
    <w:rsid w:val="62632286"/>
    <w:rsid w:val="627B1AC0"/>
    <w:rsid w:val="62885958"/>
    <w:rsid w:val="62F40B65"/>
    <w:rsid w:val="62FC2CFE"/>
    <w:rsid w:val="63024505"/>
    <w:rsid w:val="635B1DB5"/>
    <w:rsid w:val="63711FED"/>
    <w:rsid w:val="63880DDC"/>
    <w:rsid w:val="638D750D"/>
    <w:rsid w:val="63AC6CC0"/>
    <w:rsid w:val="63B027E9"/>
    <w:rsid w:val="64055776"/>
    <w:rsid w:val="64240056"/>
    <w:rsid w:val="643E143A"/>
    <w:rsid w:val="648B6EEF"/>
    <w:rsid w:val="64C158BF"/>
    <w:rsid w:val="64CE2EAA"/>
    <w:rsid w:val="64F47551"/>
    <w:rsid w:val="65040556"/>
    <w:rsid w:val="65055B18"/>
    <w:rsid w:val="6524275B"/>
    <w:rsid w:val="653C3090"/>
    <w:rsid w:val="65854376"/>
    <w:rsid w:val="658767BE"/>
    <w:rsid w:val="65892531"/>
    <w:rsid w:val="660B132F"/>
    <w:rsid w:val="66195831"/>
    <w:rsid w:val="662E75B1"/>
    <w:rsid w:val="66342C2E"/>
    <w:rsid w:val="663E784C"/>
    <w:rsid w:val="664459EA"/>
    <w:rsid w:val="66682447"/>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9FD74BC"/>
    <w:rsid w:val="6A0B1C62"/>
    <w:rsid w:val="6A1530DE"/>
    <w:rsid w:val="6A2406C8"/>
    <w:rsid w:val="6ADE0BD1"/>
    <w:rsid w:val="6AE96859"/>
    <w:rsid w:val="6B147746"/>
    <w:rsid w:val="6B215101"/>
    <w:rsid w:val="6B24787C"/>
    <w:rsid w:val="6B573233"/>
    <w:rsid w:val="6B5B6274"/>
    <w:rsid w:val="6B935D53"/>
    <w:rsid w:val="6BDF35CE"/>
    <w:rsid w:val="6C196F71"/>
    <w:rsid w:val="6C226FCB"/>
    <w:rsid w:val="6C31226F"/>
    <w:rsid w:val="6C4E4908"/>
    <w:rsid w:val="6C552F0B"/>
    <w:rsid w:val="6C8C67B7"/>
    <w:rsid w:val="6C955C36"/>
    <w:rsid w:val="6C9D744C"/>
    <w:rsid w:val="6D167928"/>
    <w:rsid w:val="6D26299B"/>
    <w:rsid w:val="6D4772EC"/>
    <w:rsid w:val="6D4D2ACF"/>
    <w:rsid w:val="6D9078AF"/>
    <w:rsid w:val="6DAA3FEF"/>
    <w:rsid w:val="6DAB3DC3"/>
    <w:rsid w:val="6DC0172B"/>
    <w:rsid w:val="6DCB690C"/>
    <w:rsid w:val="6DD41A5B"/>
    <w:rsid w:val="6DF43C2E"/>
    <w:rsid w:val="6DF51CA3"/>
    <w:rsid w:val="6E436466"/>
    <w:rsid w:val="6E8335BD"/>
    <w:rsid w:val="6E8E12EF"/>
    <w:rsid w:val="6E972936"/>
    <w:rsid w:val="6ED446C5"/>
    <w:rsid w:val="6F2A7D94"/>
    <w:rsid w:val="6F8331F1"/>
    <w:rsid w:val="6F990C8F"/>
    <w:rsid w:val="6FAE1A09"/>
    <w:rsid w:val="6FD75BF8"/>
    <w:rsid w:val="703B30DF"/>
    <w:rsid w:val="707723D0"/>
    <w:rsid w:val="70CA1AB8"/>
    <w:rsid w:val="70D11C28"/>
    <w:rsid w:val="70F5661B"/>
    <w:rsid w:val="71360107"/>
    <w:rsid w:val="713B688E"/>
    <w:rsid w:val="71A359F0"/>
    <w:rsid w:val="71A715E3"/>
    <w:rsid w:val="71D43752"/>
    <w:rsid w:val="71F1796A"/>
    <w:rsid w:val="72154626"/>
    <w:rsid w:val="72262B5D"/>
    <w:rsid w:val="72283FF7"/>
    <w:rsid w:val="722E7212"/>
    <w:rsid w:val="723A0474"/>
    <w:rsid w:val="725923E4"/>
    <w:rsid w:val="727C2F4A"/>
    <w:rsid w:val="72864BF7"/>
    <w:rsid w:val="729023FC"/>
    <w:rsid w:val="73260244"/>
    <w:rsid w:val="73C0646E"/>
    <w:rsid w:val="742222F5"/>
    <w:rsid w:val="74476126"/>
    <w:rsid w:val="74706664"/>
    <w:rsid w:val="747F3682"/>
    <w:rsid w:val="749C4185"/>
    <w:rsid w:val="75067759"/>
    <w:rsid w:val="752E6DCD"/>
    <w:rsid w:val="7551380D"/>
    <w:rsid w:val="75600BE5"/>
    <w:rsid w:val="7564475C"/>
    <w:rsid w:val="7583797F"/>
    <w:rsid w:val="75AD5982"/>
    <w:rsid w:val="75D20F1D"/>
    <w:rsid w:val="75DA2C18"/>
    <w:rsid w:val="75F54412"/>
    <w:rsid w:val="761D08E0"/>
    <w:rsid w:val="765D347C"/>
    <w:rsid w:val="76826699"/>
    <w:rsid w:val="769573A5"/>
    <w:rsid w:val="76A51934"/>
    <w:rsid w:val="76C87133"/>
    <w:rsid w:val="76CD08D5"/>
    <w:rsid w:val="76DB4B92"/>
    <w:rsid w:val="77052AA4"/>
    <w:rsid w:val="77136511"/>
    <w:rsid w:val="77340A39"/>
    <w:rsid w:val="77351FD0"/>
    <w:rsid w:val="77472422"/>
    <w:rsid w:val="777A5947"/>
    <w:rsid w:val="777F31F2"/>
    <w:rsid w:val="77D1700D"/>
    <w:rsid w:val="77EC04CC"/>
    <w:rsid w:val="78244A52"/>
    <w:rsid w:val="78775729"/>
    <w:rsid w:val="789D0631"/>
    <w:rsid w:val="78A173D7"/>
    <w:rsid w:val="78A42DB0"/>
    <w:rsid w:val="78A656AB"/>
    <w:rsid w:val="78B2245C"/>
    <w:rsid w:val="78E172CC"/>
    <w:rsid w:val="78EA1D1F"/>
    <w:rsid w:val="7904172F"/>
    <w:rsid w:val="790F7E27"/>
    <w:rsid w:val="791A69E7"/>
    <w:rsid w:val="792A231A"/>
    <w:rsid w:val="79316829"/>
    <w:rsid w:val="797E66A9"/>
    <w:rsid w:val="79A97383"/>
    <w:rsid w:val="79D457D6"/>
    <w:rsid w:val="79E27E8B"/>
    <w:rsid w:val="79F850CE"/>
    <w:rsid w:val="79FD443C"/>
    <w:rsid w:val="7A1D1975"/>
    <w:rsid w:val="7A3E5150"/>
    <w:rsid w:val="7A4670D6"/>
    <w:rsid w:val="7A534B63"/>
    <w:rsid w:val="7A615382"/>
    <w:rsid w:val="7A67303B"/>
    <w:rsid w:val="7A9D6AC7"/>
    <w:rsid w:val="7AAB1D04"/>
    <w:rsid w:val="7ABA4368"/>
    <w:rsid w:val="7AD05746"/>
    <w:rsid w:val="7B257FFD"/>
    <w:rsid w:val="7B343476"/>
    <w:rsid w:val="7B5A2978"/>
    <w:rsid w:val="7B5A7E4C"/>
    <w:rsid w:val="7B667AF9"/>
    <w:rsid w:val="7B7468F8"/>
    <w:rsid w:val="7BEE0103"/>
    <w:rsid w:val="7C0A0FE4"/>
    <w:rsid w:val="7C254906"/>
    <w:rsid w:val="7C590818"/>
    <w:rsid w:val="7C75704E"/>
    <w:rsid w:val="7C7C10F6"/>
    <w:rsid w:val="7C853BEA"/>
    <w:rsid w:val="7C881368"/>
    <w:rsid w:val="7CC669D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0"/>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3"/>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semiHidden/>
    <w:unhideWhenUsed/>
    <w:qFormat/>
    <w:uiPriority w:val="1"/>
  </w:style>
  <w:style w:type="table" w:default="1" w:styleId="6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Normal Indent"/>
    <w:basedOn w:val="1"/>
    <w:link w:val="190"/>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199"/>
    <w:autoRedefine/>
    <w:qFormat/>
    <w:uiPriority w:val="0"/>
    <w:pPr>
      <w:shd w:val="clear" w:color="auto" w:fill="000080"/>
    </w:pPr>
  </w:style>
  <w:style w:type="paragraph" w:styleId="19">
    <w:name w:val="annotation text"/>
    <w:basedOn w:val="1"/>
    <w:link w:val="341"/>
    <w:autoRedefine/>
    <w:qFormat/>
    <w:uiPriority w:val="99"/>
    <w:pPr>
      <w:jc w:val="left"/>
    </w:pPr>
  </w:style>
  <w:style w:type="paragraph" w:styleId="20">
    <w:name w:val="Salutation"/>
    <w:basedOn w:val="1"/>
    <w:next w:val="1"/>
    <w:link w:val="295"/>
    <w:autoRedefine/>
    <w:qFormat/>
    <w:uiPriority w:val="0"/>
    <w:rPr>
      <w:rFonts w:ascii="仿宋_GB2312" w:eastAsia="仿宋_GB2312"/>
      <w:sz w:val="28"/>
      <w:szCs w:val="20"/>
    </w:rPr>
  </w:style>
  <w:style w:type="paragraph" w:styleId="21">
    <w:name w:val="Body Text 3"/>
    <w:basedOn w:val="1"/>
    <w:link w:val="327"/>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7"/>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2"/>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78"/>
    <w:autoRedefine/>
    <w:qFormat/>
    <w:uiPriority w:val="0"/>
    <w:pPr>
      <w:ind w:left="100" w:leftChars="2500"/>
    </w:pPr>
    <w:rPr>
      <w:rFonts w:ascii="宋体"/>
      <w:sz w:val="24"/>
      <w:szCs w:val="21"/>
      <w:lang w:val="zh-CN"/>
    </w:rPr>
  </w:style>
  <w:style w:type="paragraph" w:styleId="36">
    <w:name w:val="Body Text Indent 2"/>
    <w:basedOn w:val="1"/>
    <w:link w:val="305"/>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29"/>
    <w:autoRedefine/>
    <w:qFormat/>
    <w:uiPriority w:val="0"/>
    <w:rPr>
      <w:lang w:val="zh-CN"/>
    </w:rPr>
  </w:style>
  <w:style w:type="paragraph" w:styleId="38">
    <w:name w:val="Balloon Text"/>
    <w:basedOn w:val="1"/>
    <w:link w:val="185"/>
    <w:autoRedefine/>
    <w:qFormat/>
    <w:uiPriority w:val="0"/>
    <w:rPr>
      <w:sz w:val="18"/>
      <w:szCs w:val="18"/>
    </w:rPr>
  </w:style>
  <w:style w:type="paragraph" w:styleId="39">
    <w:name w:val="footer"/>
    <w:basedOn w:val="1"/>
    <w:link w:val="380"/>
    <w:autoRedefine/>
    <w:qFormat/>
    <w:uiPriority w:val="99"/>
    <w:pPr>
      <w:tabs>
        <w:tab w:val="center" w:pos="4153"/>
        <w:tab w:val="right" w:pos="8306"/>
      </w:tabs>
      <w:snapToGrid w:val="0"/>
      <w:jc w:val="left"/>
    </w:pPr>
    <w:rPr>
      <w:sz w:val="18"/>
      <w:szCs w:val="18"/>
    </w:rPr>
  </w:style>
  <w:style w:type="paragraph" w:styleId="40">
    <w:name w:val="header"/>
    <w:basedOn w:val="1"/>
    <w:link w:val="389"/>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0"/>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3"/>
    <w:link w:val="307"/>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2"/>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299"/>
    <w:autoRedefine/>
    <w:qFormat/>
    <w:uiPriority w:val="0"/>
    <w:pPr>
      <w:spacing w:after="120" w:line="480" w:lineRule="auto"/>
    </w:pPr>
  </w:style>
  <w:style w:type="paragraph" w:styleId="56">
    <w:name w:val="HTML Preformatted"/>
    <w:basedOn w:val="1"/>
    <w:link w:val="298"/>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autoRedefine/>
    <w:qFormat/>
    <w:uiPriority w:val="0"/>
    <w:rPr>
      <w:b/>
      <w:bCs/>
    </w:rPr>
  </w:style>
  <w:style w:type="paragraph" w:styleId="60">
    <w:name w:val="Body Text First Indent"/>
    <w:basedOn w:val="23"/>
    <w:next w:val="50"/>
    <w:link w:val="318"/>
    <w:autoRedefine/>
    <w:qFormat/>
    <w:uiPriority w:val="0"/>
    <w:pPr>
      <w:ind w:firstLine="420"/>
    </w:pPr>
    <w:rPr>
      <w:rFonts w:hAnsi="Calibri" w:cs="Times New Roman"/>
      <w:snapToGrid/>
      <w:szCs w:val="20"/>
    </w:rPr>
  </w:style>
  <w:style w:type="paragraph" w:styleId="61">
    <w:name w:val="Body Text First Indent 2"/>
    <w:basedOn w:val="24"/>
    <w:next w:val="1"/>
    <w:link w:val="118"/>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character" w:customStyle="1" w:styleId="79">
    <w:name w:val="表格非标题文字 Char"/>
    <w:link w:val="80"/>
    <w:autoRedefine/>
    <w:qFormat/>
    <w:uiPriority w:val="0"/>
    <w:rPr>
      <w:rFonts w:ascii="Futura Bk" w:hAnsi="Futura Bk"/>
      <w:kern w:val="2"/>
      <w:sz w:val="18"/>
      <w:szCs w:val="21"/>
      <w:lang w:val="en-US" w:eastAsia="zh-CN" w:bidi="ar-SA"/>
    </w:rPr>
  </w:style>
  <w:style w:type="paragraph" w:customStyle="1" w:styleId="80">
    <w:name w:val="表格非标题文字"/>
    <w:link w:val="79"/>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autoRedefine/>
    <w:qFormat/>
    <w:locked/>
    <w:uiPriority w:val="0"/>
    <w:rPr>
      <w:rFonts w:ascii="宋体" w:hAnsi="宋体"/>
      <w:sz w:val="24"/>
    </w:rPr>
  </w:style>
  <w:style w:type="paragraph" w:customStyle="1" w:styleId="82">
    <w:name w:val="*正文"/>
    <w:basedOn w:val="1"/>
    <w:link w:val="81"/>
    <w:autoRedefine/>
    <w:qFormat/>
    <w:uiPriority w:val="0"/>
    <w:pPr>
      <w:snapToGrid w:val="0"/>
      <w:spacing w:line="360" w:lineRule="auto"/>
      <w:ind w:firstLine="482"/>
      <w:jc w:val="left"/>
    </w:pPr>
    <w:rPr>
      <w:rFonts w:ascii="宋体" w:hAnsi="宋体"/>
      <w:kern w:val="0"/>
      <w:sz w:val="24"/>
      <w:szCs w:val="20"/>
    </w:rPr>
  </w:style>
  <w:style w:type="character" w:customStyle="1" w:styleId="83">
    <w:name w:val="Char Char71"/>
    <w:autoRedefine/>
    <w:semiHidden/>
    <w:qFormat/>
    <w:uiPriority w:val="0"/>
    <w:rPr>
      <w:rFonts w:eastAsia="宋体"/>
      <w:kern w:val="2"/>
      <w:sz w:val="21"/>
      <w:szCs w:val="24"/>
      <w:lang w:val="en-US" w:eastAsia="zh-CN" w:bidi="ar-SA"/>
    </w:rPr>
  </w:style>
  <w:style w:type="character" w:customStyle="1" w:styleId="84">
    <w:name w:val="Char Char6"/>
    <w:autoRedefine/>
    <w:qFormat/>
    <w:uiPriority w:val="0"/>
    <w:rPr>
      <w:rFonts w:eastAsia="宋体"/>
      <w:kern w:val="2"/>
      <w:sz w:val="21"/>
      <w:szCs w:val="24"/>
      <w:lang w:val="en-US" w:eastAsia="zh-CN" w:bidi="ar-SA"/>
    </w:rPr>
  </w:style>
  <w:style w:type="character" w:customStyle="1" w:styleId="85">
    <w:name w:val="正文缩进 Char"/>
    <w:autoRedefine/>
    <w:qFormat/>
    <w:uiPriority w:val="0"/>
    <w:rPr>
      <w:rFonts w:eastAsia="宋体"/>
      <w:kern w:val="2"/>
      <w:sz w:val="21"/>
      <w:lang w:val="en-US" w:eastAsia="zh-CN"/>
    </w:rPr>
  </w:style>
  <w:style w:type="character" w:customStyle="1" w:styleId="86">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7">
    <w:name w:val="Char Char28"/>
    <w:autoRedefine/>
    <w:qFormat/>
    <w:uiPriority w:val="6"/>
    <w:rPr>
      <w:rFonts w:ascii="仿宋_GB2312" w:hAnsi="仿宋_GB2312" w:eastAsia="仿宋_GB2312"/>
      <w:kern w:val="1"/>
      <w:sz w:val="28"/>
    </w:rPr>
  </w:style>
  <w:style w:type="character" w:customStyle="1" w:styleId="88">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autoRedefine/>
    <w:qFormat/>
    <w:uiPriority w:val="6"/>
    <w:rPr>
      <w:rFonts w:ascii="Times New Roman" w:hAnsi="Times New Roman" w:eastAsia="黑体" w:cs="Times New Roman"/>
      <w:b/>
      <w:kern w:val="0"/>
      <w:sz w:val="24"/>
      <w:szCs w:val="24"/>
    </w:rPr>
  </w:style>
  <w:style w:type="character" w:customStyle="1" w:styleId="90">
    <w:name w:val="U_正文 Char"/>
    <w:link w:val="91"/>
    <w:autoRedefine/>
    <w:qFormat/>
    <w:uiPriority w:val="0"/>
    <w:rPr>
      <w:sz w:val="24"/>
      <w:szCs w:val="24"/>
    </w:rPr>
  </w:style>
  <w:style w:type="paragraph" w:customStyle="1" w:styleId="91">
    <w:name w:val="U_正文"/>
    <w:basedOn w:val="1"/>
    <w:link w:val="90"/>
    <w:autoRedefine/>
    <w:qFormat/>
    <w:uiPriority w:val="0"/>
    <w:pPr>
      <w:adjustRightInd/>
      <w:spacing w:beforeLines="20" w:afterLines="20" w:line="300" w:lineRule="auto"/>
      <w:ind w:firstLine="200" w:firstLineChars="200"/>
    </w:pPr>
    <w:rPr>
      <w:kern w:val="0"/>
      <w:sz w:val="24"/>
    </w:rPr>
  </w:style>
  <w:style w:type="character" w:customStyle="1" w:styleId="92">
    <w:name w:val="HTML 地址 Char1"/>
    <w:autoRedefine/>
    <w:qFormat/>
    <w:uiPriority w:val="0"/>
    <w:rPr>
      <w:rFonts w:ascii="Times New Roman" w:hAnsi="Times New Roman" w:eastAsia="宋体" w:cs="Times New Roman"/>
      <w:i/>
      <w:iCs/>
      <w:szCs w:val="24"/>
    </w:rPr>
  </w:style>
  <w:style w:type="character" w:customStyle="1" w:styleId="93">
    <w:name w:val="批注主题 字符"/>
    <w:link w:val="59"/>
    <w:autoRedefine/>
    <w:qFormat/>
    <w:uiPriority w:val="0"/>
    <w:rPr>
      <w:b/>
      <w:bCs/>
      <w:kern w:val="2"/>
      <w:sz w:val="21"/>
      <w:szCs w:val="24"/>
    </w:rPr>
  </w:style>
  <w:style w:type="character" w:customStyle="1" w:styleId="94">
    <w:name w:val="Char Char51"/>
    <w:autoRedefine/>
    <w:qFormat/>
    <w:uiPriority w:val="0"/>
    <w:rPr>
      <w:rFonts w:ascii="宋体" w:hAnsi="Courier New" w:eastAsia="宋体"/>
      <w:kern w:val="2"/>
      <w:sz w:val="21"/>
      <w:lang w:val="en-US" w:eastAsia="zh-CN"/>
    </w:rPr>
  </w:style>
  <w:style w:type="character" w:customStyle="1" w:styleId="95">
    <w:name w:val="表正文 Char"/>
    <w:autoRedefine/>
    <w:qFormat/>
    <w:uiPriority w:val="0"/>
    <w:rPr>
      <w:rFonts w:ascii="宋体" w:eastAsia="宋体"/>
      <w:snapToGrid w:val="0"/>
      <w:color w:val="000000"/>
      <w:kern w:val="28"/>
      <w:sz w:val="28"/>
      <w:lang w:val="en-US" w:eastAsia="zh-CN" w:bidi="ar-SA"/>
    </w:rPr>
  </w:style>
  <w:style w:type="character" w:customStyle="1" w:styleId="96">
    <w:name w:val="Char Char34"/>
    <w:autoRedefine/>
    <w:qFormat/>
    <w:uiPriority w:val="6"/>
    <w:rPr>
      <w:b/>
      <w:kern w:val="1"/>
      <w:sz w:val="28"/>
      <w:szCs w:val="28"/>
    </w:rPr>
  </w:style>
  <w:style w:type="character" w:customStyle="1" w:styleId="97">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autoRedefine/>
    <w:qFormat/>
    <w:uiPriority w:val="0"/>
    <w:rPr>
      <w:rFonts w:ascii="宋体" w:hAnsi="宋体" w:eastAsia="宋体"/>
      <w:kern w:val="2"/>
      <w:sz w:val="24"/>
      <w:lang w:bidi="ar-SA"/>
    </w:rPr>
  </w:style>
  <w:style w:type="paragraph" w:customStyle="1" w:styleId="99">
    <w:name w:val="哈哈正文"/>
    <w:basedOn w:val="1"/>
    <w:link w:val="98"/>
    <w:autoRedefine/>
    <w:qFormat/>
    <w:uiPriority w:val="0"/>
    <w:pPr>
      <w:adjustRightInd/>
      <w:spacing w:line="360" w:lineRule="auto"/>
      <w:ind w:firstLine="200" w:firstLineChars="200"/>
    </w:pPr>
    <w:rPr>
      <w:rFonts w:ascii="宋体" w:hAnsi="宋体"/>
      <w:sz w:val="24"/>
      <w:szCs w:val="20"/>
    </w:rPr>
  </w:style>
  <w:style w:type="character" w:customStyle="1" w:styleId="100">
    <w:name w:val="未处理的提及1"/>
    <w:autoRedefine/>
    <w:qFormat/>
    <w:uiPriority w:val="0"/>
    <w:rPr>
      <w:color w:val="808080"/>
      <w:shd w:val="clear" w:color="auto" w:fill="E6E6E6"/>
    </w:rPr>
  </w:style>
  <w:style w:type="character" w:customStyle="1" w:styleId="101">
    <w:name w:val="txt"/>
    <w:autoRedefine/>
    <w:qFormat/>
    <w:uiPriority w:val="0"/>
    <w:rPr>
      <w:rFonts w:ascii="仿宋_GB2312" w:eastAsia="微软雅黑"/>
      <w:b/>
      <w:kern w:val="2"/>
      <w:sz w:val="32"/>
      <w:szCs w:val="32"/>
      <w:lang w:val="en-US" w:eastAsia="zh-CN" w:bidi="ar-SA"/>
    </w:rPr>
  </w:style>
  <w:style w:type="character" w:customStyle="1" w:styleId="102">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3">
    <w:name w:val="Char Char32"/>
    <w:autoRedefine/>
    <w:qFormat/>
    <w:uiPriority w:val="6"/>
    <w:rPr>
      <w:b/>
      <w:kern w:val="1"/>
      <w:sz w:val="24"/>
      <w:szCs w:val="24"/>
    </w:rPr>
  </w:style>
  <w:style w:type="character" w:customStyle="1" w:styleId="104">
    <w:name w:val="PI Char1"/>
    <w:autoRedefine/>
    <w:qFormat/>
    <w:uiPriority w:val="0"/>
    <w:rPr>
      <w:rFonts w:ascii="宋体" w:hAnsi="宋体"/>
      <w:kern w:val="2"/>
      <w:sz w:val="24"/>
      <w:szCs w:val="24"/>
    </w:rPr>
  </w:style>
  <w:style w:type="character" w:customStyle="1" w:styleId="105">
    <w:name w:val="tw4winTerm"/>
    <w:autoRedefine/>
    <w:qFormat/>
    <w:uiPriority w:val="0"/>
    <w:rPr>
      <w:color w:val="0000FF"/>
    </w:rPr>
  </w:style>
  <w:style w:type="character" w:customStyle="1" w:styleId="106">
    <w:name w:val="Footer Char"/>
    <w:autoRedefine/>
    <w:qFormat/>
    <w:locked/>
    <w:uiPriority w:val="0"/>
    <w:rPr>
      <w:rFonts w:eastAsia="宋体"/>
      <w:kern w:val="2"/>
      <w:sz w:val="18"/>
      <w:lang w:val="en-US" w:eastAsia="zh-CN" w:bidi="ar-SA"/>
    </w:rPr>
  </w:style>
  <w:style w:type="character" w:customStyle="1" w:styleId="107">
    <w:name w:val="普通文字 Char Char1"/>
    <w:autoRedefine/>
    <w:qFormat/>
    <w:uiPriority w:val="0"/>
    <w:rPr>
      <w:rFonts w:ascii="宋体" w:hAnsi="Courier New"/>
      <w:kern w:val="2"/>
      <w:sz w:val="21"/>
    </w:rPr>
  </w:style>
  <w:style w:type="character" w:customStyle="1" w:styleId="108">
    <w:name w:val="Char Char101"/>
    <w:autoRedefine/>
    <w:qFormat/>
    <w:uiPriority w:val="6"/>
    <w:rPr>
      <w:rFonts w:ascii="宋体" w:hAnsi="宋体"/>
      <w:kern w:val="2"/>
      <w:sz w:val="21"/>
      <w:szCs w:val="24"/>
      <w:lang w:val="en-US" w:eastAsia="zh-CN"/>
    </w:rPr>
  </w:style>
  <w:style w:type="character" w:customStyle="1" w:styleId="109">
    <w:name w:val="标题 4 Char"/>
    <w:autoRedefine/>
    <w:qFormat/>
    <w:uiPriority w:val="0"/>
    <w:rPr>
      <w:rFonts w:ascii="Arial" w:hAnsi="Arial" w:eastAsia="黑体"/>
      <w:b/>
      <w:kern w:val="2"/>
      <w:sz w:val="28"/>
    </w:rPr>
  </w:style>
  <w:style w:type="character" w:customStyle="1" w:styleId="110">
    <w:name w:val="链接"/>
    <w:autoRedefine/>
    <w:qFormat/>
    <w:uiPriority w:val="0"/>
    <w:rPr>
      <w:color w:val="0000FF"/>
      <w:sz w:val="21"/>
      <w:szCs w:val="21"/>
      <w:u w:val="single"/>
    </w:rPr>
  </w:style>
  <w:style w:type="character" w:customStyle="1" w:styleId="111">
    <w:name w:val="h4 Char"/>
    <w:autoRedefine/>
    <w:qFormat/>
    <w:uiPriority w:val="0"/>
    <w:rPr>
      <w:rFonts w:ascii="Arial" w:hAnsi="Arial" w:eastAsia="黑体"/>
      <w:b/>
      <w:bCs/>
      <w:kern w:val="2"/>
      <w:sz w:val="28"/>
      <w:szCs w:val="28"/>
      <w:lang w:val="zh-CN" w:eastAsia="zh-CN" w:bidi="ar-SA"/>
    </w:rPr>
  </w:style>
  <w:style w:type="character" w:customStyle="1" w:styleId="112">
    <w:name w:val="5正文 Char"/>
    <w:link w:val="113"/>
    <w:autoRedefine/>
    <w:qFormat/>
    <w:uiPriority w:val="0"/>
    <w:rPr>
      <w:rFonts w:ascii="仿宋_GB2312" w:hAnsi="微软雅黑" w:eastAsia="仿宋_GB2312"/>
      <w:sz w:val="28"/>
      <w:szCs w:val="21"/>
    </w:rPr>
  </w:style>
  <w:style w:type="paragraph" w:customStyle="1" w:styleId="113">
    <w:name w:val="5正文"/>
    <w:basedOn w:val="1"/>
    <w:link w:val="112"/>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autoRedefine/>
    <w:qFormat/>
    <w:uiPriority w:val="9"/>
    <w:rPr>
      <w:b/>
      <w:bCs/>
      <w:kern w:val="2"/>
      <w:sz w:val="32"/>
      <w:szCs w:val="32"/>
    </w:rPr>
  </w:style>
  <w:style w:type="character" w:customStyle="1" w:styleId="115">
    <w:name w:val="样式6 Char"/>
    <w:autoRedefine/>
    <w:qFormat/>
    <w:uiPriority w:val="0"/>
    <w:rPr>
      <w:rFonts w:ascii="仿宋_GB2312" w:hAnsi="宋体" w:eastAsia="仿宋_GB2312"/>
      <w:b/>
      <w:bCs/>
      <w:kern w:val="2"/>
      <w:sz w:val="24"/>
      <w:szCs w:val="24"/>
      <w:lang w:val="en-US" w:eastAsia="zh-CN" w:bidi="ar-SA"/>
    </w:rPr>
  </w:style>
  <w:style w:type="character" w:customStyle="1" w:styleId="116">
    <w:name w:val="Char Char14"/>
    <w:autoRedefine/>
    <w:qFormat/>
    <w:uiPriority w:val="6"/>
    <w:rPr>
      <w:rFonts w:ascii="黑体" w:hAnsi="黑体" w:eastAsia="黑体"/>
    </w:rPr>
  </w:style>
  <w:style w:type="character" w:customStyle="1" w:styleId="117">
    <w:name w:val="Heading 2 Hidden Char"/>
    <w:autoRedefine/>
    <w:qFormat/>
    <w:uiPriority w:val="0"/>
    <w:rPr>
      <w:rFonts w:ascii="仿宋_GB2312" w:eastAsia="仿宋_GB2312"/>
      <w:b/>
      <w:bCs/>
      <w:kern w:val="2"/>
      <w:sz w:val="24"/>
      <w:szCs w:val="24"/>
      <w:lang w:val="zh-CN" w:eastAsia="zh-CN" w:bidi="ar-SA"/>
    </w:rPr>
  </w:style>
  <w:style w:type="character" w:customStyle="1" w:styleId="118">
    <w:name w:val="正文首行缩进 2 字符"/>
    <w:link w:val="61"/>
    <w:autoRedefine/>
    <w:qFormat/>
    <w:uiPriority w:val="0"/>
    <w:rPr>
      <w:rFonts w:ascii="宋体" w:hAnsi="宋体"/>
      <w:kern w:val="2"/>
      <w:sz w:val="21"/>
      <w:szCs w:val="24"/>
    </w:rPr>
  </w:style>
  <w:style w:type="character" w:customStyle="1" w:styleId="119">
    <w:name w:val="font11"/>
    <w:autoRedefine/>
    <w:qFormat/>
    <w:uiPriority w:val="0"/>
    <w:rPr>
      <w:rFonts w:hint="default" w:ascii="Times New Roman" w:hAnsi="Times New Roman" w:cs="Times New Roman"/>
      <w:color w:val="000000"/>
      <w:sz w:val="22"/>
      <w:szCs w:val="22"/>
      <w:u w:val="none"/>
    </w:rPr>
  </w:style>
  <w:style w:type="character" w:customStyle="1" w:styleId="120">
    <w:name w:val="表正文 Char1"/>
    <w:autoRedefine/>
    <w:qFormat/>
    <w:uiPriority w:val="0"/>
    <w:rPr>
      <w:rFonts w:ascii="宋体" w:eastAsia="宋体"/>
      <w:snapToGrid w:val="0"/>
      <w:color w:val="000000"/>
      <w:kern w:val="28"/>
      <w:sz w:val="28"/>
    </w:rPr>
  </w:style>
  <w:style w:type="character" w:customStyle="1" w:styleId="121">
    <w:name w:val="blue1"/>
    <w:basedOn w:val="69"/>
    <w:autoRedefine/>
    <w:qFormat/>
    <w:uiPriority w:val="0"/>
    <w:rPr>
      <w:rFonts w:ascii="Arial" w:hAnsi="Arial" w:eastAsia="黑体" w:cs="Arial"/>
      <w:snapToGrid w:val="0"/>
      <w:kern w:val="0"/>
      <w:szCs w:val="21"/>
    </w:rPr>
  </w:style>
  <w:style w:type="character" w:customStyle="1" w:styleId="122">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3">
    <w:name w:val="标书1 Char"/>
    <w:autoRedefine/>
    <w:qFormat/>
    <w:uiPriority w:val="0"/>
    <w:rPr>
      <w:rFonts w:eastAsia="宋体"/>
      <w:b/>
      <w:bCs/>
      <w:kern w:val="44"/>
      <w:sz w:val="44"/>
      <w:szCs w:val="44"/>
      <w:lang w:val="en-US" w:eastAsia="zh-CN" w:bidi="ar-SA"/>
    </w:rPr>
  </w:style>
  <w:style w:type="character" w:customStyle="1" w:styleId="124">
    <w:name w:val="样式5 Char"/>
    <w:autoRedefine/>
    <w:qFormat/>
    <w:uiPriority w:val="0"/>
    <w:rPr>
      <w:rFonts w:ascii="仿宋_GB2312" w:hAnsi="仿宋" w:eastAsia="仿宋_GB2312"/>
      <w:kern w:val="2"/>
      <w:sz w:val="24"/>
      <w:szCs w:val="24"/>
    </w:rPr>
  </w:style>
  <w:style w:type="character" w:customStyle="1" w:styleId="125">
    <w:name w:val="样式4 Char"/>
    <w:autoRedefine/>
    <w:qFormat/>
    <w:uiPriority w:val="0"/>
    <w:rPr>
      <w:rFonts w:ascii="仿宋_GB2312" w:hAnsi="仿宋" w:eastAsia="仿宋_GB2312"/>
      <w:b/>
      <w:kern w:val="2"/>
      <w:sz w:val="32"/>
      <w:szCs w:val="32"/>
      <w:lang w:bidi="ar-SA"/>
    </w:rPr>
  </w:style>
  <w:style w:type="character" w:customStyle="1" w:styleId="126">
    <w:name w:val="插图说明 Char"/>
    <w:autoRedefine/>
    <w:qFormat/>
    <w:uiPriority w:val="0"/>
    <w:rPr>
      <w:rFonts w:eastAsia="黑体"/>
      <w:sz w:val="24"/>
      <w:lang w:val="en-US" w:eastAsia="zh-CN"/>
    </w:rPr>
  </w:style>
  <w:style w:type="character" w:customStyle="1" w:styleId="127">
    <w:name w:val="正文2 Char Char"/>
    <w:link w:val="128"/>
    <w:autoRedefine/>
    <w:qFormat/>
    <w:uiPriority w:val="0"/>
    <w:rPr>
      <w:rFonts w:eastAsia="宋体"/>
      <w:kern w:val="2"/>
      <w:sz w:val="24"/>
      <w:lang w:val="en-US" w:eastAsia="zh-CN" w:bidi="ar-SA"/>
    </w:rPr>
  </w:style>
  <w:style w:type="paragraph" w:customStyle="1" w:styleId="128">
    <w:name w:val="正文2"/>
    <w:basedOn w:val="1"/>
    <w:link w:val="127"/>
    <w:autoRedefine/>
    <w:qFormat/>
    <w:uiPriority w:val="0"/>
    <w:pPr>
      <w:spacing w:before="156" w:line="360" w:lineRule="auto"/>
      <w:ind w:firstLine="510" w:firstLineChars="200"/>
    </w:pPr>
    <w:rPr>
      <w:sz w:val="24"/>
      <w:szCs w:val="20"/>
    </w:rPr>
  </w:style>
  <w:style w:type="character" w:customStyle="1" w:styleId="129">
    <w:name w:val="Char Char24"/>
    <w:autoRedefine/>
    <w:qFormat/>
    <w:uiPriority w:val="6"/>
    <w:rPr>
      <w:kern w:val="1"/>
      <w:sz w:val="21"/>
    </w:rPr>
  </w:style>
  <w:style w:type="character" w:customStyle="1" w:styleId="130">
    <w:name w:val="副标题 字符"/>
    <w:link w:val="46"/>
    <w:autoRedefine/>
    <w:qFormat/>
    <w:uiPriority w:val="0"/>
    <w:rPr>
      <w:rFonts w:ascii="Arial" w:hAnsi="Arial" w:eastAsia="隶书"/>
      <w:b/>
      <w:bCs/>
      <w:kern w:val="28"/>
      <w:sz w:val="44"/>
      <w:szCs w:val="32"/>
      <w:lang w:val="en-US" w:eastAsia="zh-CN" w:bidi="ar-SA"/>
    </w:rPr>
  </w:style>
  <w:style w:type="character" w:customStyle="1" w:styleId="131">
    <w:name w:val="普通文字 Char1 Char"/>
    <w:autoRedefine/>
    <w:qFormat/>
    <w:uiPriority w:val="0"/>
    <w:rPr>
      <w:rFonts w:ascii="宋体" w:hAnsi="Courier New" w:eastAsia="宋体"/>
      <w:kern w:val="2"/>
      <w:sz w:val="21"/>
      <w:szCs w:val="24"/>
      <w:lang w:val="en-US" w:eastAsia="zh-CN" w:bidi="ar-SA"/>
    </w:rPr>
  </w:style>
  <w:style w:type="character" w:customStyle="1" w:styleId="132">
    <w:name w:val="h3 Char1"/>
    <w:autoRedefine/>
    <w:qFormat/>
    <w:uiPriority w:val="0"/>
    <w:rPr>
      <w:rFonts w:eastAsia="宋体"/>
      <w:b/>
      <w:bCs/>
      <w:kern w:val="2"/>
      <w:sz w:val="32"/>
      <w:szCs w:val="32"/>
      <w:lang w:bidi="ar-SA"/>
    </w:rPr>
  </w:style>
  <w:style w:type="character" w:customStyle="1" w:styleId="133">
    <w:name w:val="标题 Char1"/>
    <w:autoRedefine/>
    <w:qFormat/>
    <w:uiPriority w:val="0"/>
    <w:rPr>
      <w:rFonts w:ascii="Cambria" w:hAnsi="Cambria" w:eastAsia="宋体" w:cs="Times New Roman"/>
      <w:b/>
      <w:bCs/>
      <w:sz w:val="32"/>
      <w:szCs w:val="32"/>
      <w:lang w:bidi="ar-SA"/>
    </w:rPr>
  </w:style>
  <w:style w:type="character" w:customStyle="1" w:styleId="134">
    <w:name w:val="gf正文1 Char"/>
    <w:autoRedefine/>
    <w:qFormat/>
    <w:uiPriority w:val="0"/>
    <w:rPr>
      <w:rFonts w:ascii="宋体" w:hAnsi="宋体" w:eastAsia="宋体" w:cs="宋体"/>
      <w:kern w:val="2"/>
      <w:sz w:val="24"/>
      <w:szCs w:val="24"/>
      <w:lang w:val="en-US" w:eastAsia="zh-CN" w:bidi="ar-SA"/>
    </w:rPr>
  </w:style>
  <w:style w:type="character" w:customStyle="1" w:styleId="135">
    <w:name w:val="正文文本缩进 Char1"/>
    <w:autoRedefine/>
    <w:qFormat/>
    <w:uiPriority w:val="0"/>
    <w:rPr>
      <w:rFonts w:ascii="Calibri" w:hAnsi="Calibri"/>
      <w:sz w:val="28"/>
    </w:rPr>
  </w:style>
  <w:style w:type="character" w:customStyle="1" w:styleId="136">
    <w:name w:val="No Spacing Char"/>
    <w:link w:val="137"/>
    <w:autoRedefine/>
    <w:qFormat/>
    <w:uiPriority w:val="1"/>
    <w:rPr>
      <w:sz w:val="22"/>
      <w:szCs w:val="22"/>
      <w:lang w:val="en-US" w:eastAsia="zh-CN" w:bidi="ar-SA"/>
    </w:rPr>
  </w:style>
  <w:style w:type="paragraph" w:customStyle="1" w:styleId="137">
    <w:name w:val="无间隔1"/>
    <w:link w:val="136"/>
    <w:autoRedefine/>
    <w:qFormat/>
    <w:uiPriority w:val="1"/>
    <w:rPr>
      <w:rFonts w:ascii="Times New Roman" w:hAnsi="Times New Roman" w:eastAsia="宋体" w:cs="Times New Roman"/>
      <w:sz w:val="22"/>
      <w:szCs w:val="22"/>
      <w:lang w:val="en-US" w:eastAsia="zh-CN" w:bidi="ar-SA"/>
    </w:rPr>
  </w:style>
  <w:style w:type="character" w:customStyle="1" w:styleId="138">
    <w:name w:val="样式7 Char"/>
    <w:autoRedefine/>
    <w:qFormat/>
    <w:uiPriority w:val="0"/>
    <w:rPr>
      <w:rFonts w:ascii="仿宋_GB2312" w:hAnsi="仿宋" w:eastAsia="仿宋_GB2312"/>
      <w:b/>
      <w:kern w:val="2"/>
      <w:sz w:val="24"/>
      <w:szCs w:val="24"/>
    </w:rPr>
  </w:style>
  <w:style w:type="character" w:customStyle="1" w:styleId="139">
    <w:name w:val="font12gray1"/>
    <w:autoRedefine/>
    <w:qFormat/>
    <w:uiPriority w:val="0"/>
    <w:rPr>
      <w:rFonts w:ascii="仿宋_GB2312" w:eastAsia="微软雅黑"/>
      <w:b/>
      <w:spacing w:val="300"/>
      <w:kern w:val="2"/>
      <w:sz w:val="18"/>
      <w:szCs w:val="18"/>
      <w:lang w:val="en-US" w:eastAsia="zh-CN" w:bidi="ar-SA"/>
    </w:rPr>
  </w:style>
  <w:style w:type="character" w:customStyle="1" w:styleId="140">
    <w:name w:val="Char Char7"/>
    <w:autoRedefine/>
    <w:semiHidden/>
    <w:qFormat/>
    <w:uiPriority w:val="0"/>
    <w:rPr>
      <w:rFonts w:eastAsia="宋体"/>
      <w:kern w:val="2"/>
      <w:sz w:val="21"/>
      <w:szCs w:val="24"/>
      <w:lang w:val="en-US" w:eastAsia="zh-CN" w:bidi="ar-SA"/>
    </w:rPr>
  </w:style>
  <w:style w:type="character" w:customStyle="1" w:styleId="141">
    <w:name w:val="表名 Char"/>
    <w:autoRedefine/>
    <w:qFormat/>
    <w:uiPriority w:val="0"/>
    <w:rPr>
      <w:rFonts w:eastAsia="宋体"/>
      <w:b/>
      <w:bCs/>
      <w:kern w:val="2"/>
      <w:sz w:val="24"/>
      <w:szCs w:val="24"/>
      <w:lang w:val="en-US" w:eastAsia="zh-CN" w:bidi="ar-SA"/>
    </w:rPr>
  </w:style>
  <w:style w:type="character" w:customStyle="1" w:styleId="142">
    <w:name w:val="Document Map Char"/>
    <w:autoRedefine/>
    <w:qFormat/>
    <w:locked/>
    <w:uiPriority w:val="0"/>
    <w:rPr>
      <w:rFonts w:eastAsia="宋体"/>
      <w:kern w:val="2"/>
      <w:sz w:val="21"/>
      <w:szCs w:val="24"/>
      <w:lang w:val="en-US" w:eastAsia="zh-CN" w:bidi="ar-SA"/>
    </w:rPr>
  </w:style>
  <w:style w:type="character" w:customStyle="1" w:styleId="143">
    <w:name w:val="font41"/>
    <w:autoRedefine/>
    <w:qFormat/>
    <w:uiPriority w:val="0"/>
    <w:rPr>
      <w:rFonts w:hint="eastAsia" w:ascii="仿宋_GB2312" w:eastAsia="仿宋_GB2312" w:cs="仿宋_GB2312"/>
      <w:color w:val="000000"/>
      <w:sz w:val="22"/>
      <w:szCs w:val="22"/>
      <w:u w:val="none"/>
    </w:rPr>
  </w:style>
  <w:style w:type="character" w:customStyle="1" w:styleId="144">
    <w:name w:val="标题 6 字符"/>
    <w:link w:val="8"/>
    <w:autoRedefine/>
    <w:qFormat/>
    <w:uiPriority w:val="0"/>
    <w:rPr>
      <w:rFonts w:ascii="Arial" w:hAnsi="Arial" w:eastAsia="黑体"/>
      <w:b/>
      <w:bCs/>
      <w:kern w:val="2"/>
      <w:sz w:val="24"/>
      <w:szCs w:val="24"/>
    </w:rPr>
  </w:style>
  <w:style w:type="character" w:customStyle="1" w:styleId="145">
    <w:name w:val="纯文本 Char_0"/>
    <w:link w:val="146"/>
    <w:autoRedefine/>
    <w:qFormat/>
    <w:uiPriority w:val="0"/>
    <w:rPr>
      <w:rFonts w:ascii="宋体" w:hAnsi="Courier New"/>
      <w:kern w:val="2"/>
      <w:sz w:val="21"/>
      <w:szCs w:val="21"/>
      <w:lang w:val="en-US" w:eastAsia="zh-CN"/>
    </w:rPr>
  </w:style>
  <w:style w:type="paragraph" w:customStyle="1" w:styleId="146">
    <w:name w:val="纯文本_0_0"/>
    <w:basedOn w:val="147"/>
    <w:link w:val="145"/>
    <w:autoRedefine/>
    <w:qFormat/>
    <w:uiPriority w:val="0"/>
    <w:rPr>
      <w:rFonts w:ascii="宋体" w:hAnsi="Courier New"/>
      <w:szCs w:val="21"/>
    </w:rPr>
  </w:style>
  <w:style w:type="paragraph" w:customStyle="1" w:styleId="14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autoRedefine/>
    <w:qFormat/>
    <w:locked/>
    <w:uiPriority w:val="0"/>
    <w:rPr>
      <w:rFonts w:eastAsia="宋体"/>
      <w:kern w:val="2"/>
      <w:sz w:val="18"/>
      <w:szCs w:val="18"/>
      <w:lang w:val="en-US" w:eastAsia="zh-CN" w:bidi="ar-SA"/>
    </w:rPr>
  </w:style>
  <w:style w:type="character" w:customStyle="1" w:styleId="149">
    <w:name w:val="正文 项目2 Char"/>
    <w:basedOn w:val="150"/>
    <w:autoRedefine/>
    <w:qFormat/>
    <w:uiPriority w:val="0"/>
    <w:rPr>
      <w:rFonts w:ascii="仿宋_GB2312" w:hAnsi="仿宋_GB2312" w:eastAsia="仿宋_GB2312"/>
      <w:kern w:val="2"/>
      <w:sz w:val="24"/>
      <w:lang w:bidi="ar-SA"/>
    </w:rPr>
  </w:style>
  <w:style w:type="character" w:customStyle="1" w:styleId="150">
    <w:name w:val="正文 项目 Char"/>
    <w:autoRedefine/>
    <w:qFormat/>
    <w:uiPriority w:val="0"/>
    <w:rPr>
      <w:rFonts w:ascii="仿宋_GB2312" w:hAnsi="仿宋_GB2312" w:eastAsia="仿宋_GB2312"/>
      <w:kern w:val="2"/>
      <w:sz w:val="24"/>
      <w:lang w:bidi="ar-SA"/>
    </w:rPr>
  </w:style>
  <w:style w:type="character" w:customStyle="1" w:styleId="151">
    <w:name w:val="h Char Char1"/>
    <w:autoRedefine/>
    <w:qFormat/>
    <w:uiPriority w:val="0"/>
    <w:rPr>
      <w:rFonts w:eastAsia="宋体"/>
      <w:kern w:val="2"/>
      <w:sz w:val="18"/>
      <w:szCs w:val="18"/>
      <w:lang w:val="en-US" w:eastAsia="zh-CN" w:bidi="ar-SA"/>
    </w:rPr>
  </w:style>
  <w:style w:type="character" w:customStyle="1" w:styleId="152">
    <w:name w:val="Char Char27"/>
    <w:autoRedefine/>
    <w:qFormat/>
    <w:uiPriority w:val="6"/>
    <w:rPr>
      <w:rFonts w:ascii="宋体" w:hAnsi="宋体" w:eastAsia="宋体"/>
      <w:color w:val="000000"/>
      <w:kern w:val="1"/>
      <w:sz w:val="28"/>
      <w:lang w:val="en-US" w:eastAsia="zh-CN" w:bidi="ar-SA"/>
    </w:rPr>
  </w:style>
  <w:style w:type="character" w:customStyle="1" w:styleId="153">
    <w:name w:val="px14"/>
    <w:autoRedefine/>
    <w:qFormat/>
    <w:uiPriority w:val="0"/>
    <w:rPr>
      <w:rFonts w:ascii="仿宋_GB2312" w:eastAsia="微软雅黑" w:cs="Times New Roman"/>
      <w:b/>
      <w:kern w:val="2"/>
      <w:sz w:val="32"/>
      <w:szCs w:val="32"/>
      <w:lang w:val="en-US" w:eastAsia="zh-CN" w:bidi="ar-SA"/>
    </w:rPr>
  </w:style>
  <w:style w:type="character" w:customStyle="1" w:styleId="154">
    <w:name w:val="HTML 预设格式 Char1"/>
    <w:autoRedefine/>
    <w:qFormat/>
    <w:uiPriority w:val="0"/>
    <w:rPr>
      <w:rFonts w:ascii="Courier New" w:hAnsi="Courier New" w:eastAsia="宋体" w:cs="Courier New"/>
      <w:sz w:val="20"/>
      <w:szCs w:val="20"/>
    </w:rPr>
  </w:style>
  <w:style w:type="character" w:customStyle="1" w:styleId="155">
    <w:name w:val="普通文字 Char1"/>
    <w:autoRedefine/>
    <w:qFormat/>
    <w:uiPriority w:val="0"/>
    <w:rPr>
      <w:rFonts w:ascii="宋体" w:hAnsi="Courier New" w:eastAsia="宋体"/>
      <w:kern w:val="2"/>
      <w:sz w:val="21"/>
      <w:lang w:val="en-US" w:eastAsia="zh-CN"/>
    </w:rPr>
  </w:style>
  <w:style w:type="character" w:customStyle="1" w:styleId="156">
    <w:name w:val="hei16b1"/>
    <w:autoRedefine/>
    <w:qFormat/>
    <w:uiPriority w:val="0"/>
    <w:rPr>
      <w:rFonts w:hint="default" w:ascii="Arial" w:hAnsi="Arial" w:cs="Arial"/>
      <w:b/>
      <w:bCs/>
      <w:color w:val="000000"/>
      <w:sz w:val="24"/>
      <w:szCs w:val="24"/>
    </w:rPr>
  </w:style>
  <w:style w:type="character" w:customStyle="1" w:styleId="157">
    <w:name w:val="正文（绿盟科技） Char"/>
    <w:link w:val="158"/>
    <w:autoRedefine/>
    <w:qFormat/>
    <w:uiPriority w:val="0"/>
    <w:rPr>
      <w:rFonts w:ascii="Arial" w:hAnsi="Arial"/>
      <w:sz w:val="21"/>
      <w:szCs w:val="21"/>
    </w:rPr>
  </w:style>
  <w:style w:type="paragraph" w:customStyle="1" w:styleId="158">
    <w:name w:val="正文（绿盟科技）"/>
    <w:link w:val="157"/>
    <w:autoRedefine/>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autoRedefine/>
    <w:qFormat/>
    <w:uiPriority w:val="6"/>
    <w:rPr>
      <w:rFonts w:ascii="宋体" w:hAnsi="宋体"/>
      <w:i/>
      <w:sz w:val="24"/>
      <w:szCs w:val="24"/>
    </w:rPr>
  </w:style>
  <w:style w:type="character" w:customStyle="1" w:styleId="160">
    <w:name w:val="页脚 Char"/>
    <w:autoRedefine/>
    <w:qFormat/>
    <w:uiPriority w:val="0"/>
    <w:rPr>
      <w:rFonts w:eastAsia="仿宋_GB2312"/>
      <w:kern w:val="2"/>
      <w:sz w:val="18"/>
      <w:lang w:val="en-US" w:eastAsia="zh-CN"/>
    </w:rPr>
  </w:style>
  <w:style w:type="character" w:customStyle="1" w:styleId="161">
    <w:name w:val="批注主题 Char"/>
    <w:autoRedefine/>
    <w:qFormat/>
    <w:uiPriority w:val="0"/>
    <w:rPr>
      <w:rFonts w:eastAsia="宋体"/>
      <w:b/>
      <w:bCs/>
      <w:kern w:val="2"/>
      <w:sz w:val="21"/>
      <w:szCs w:val="24"/>
      <w:lang w:val="en-US" w:eastAsia="zh-CN" w:bidi="ar-SA"/>
    </w:rPr>
  </w:style>
  <w:style w:type="character" w:customStyle="1" w:styleId="162">
    <w:name w:val="Comment Text Char"/>
    <w:autoRedefine/>
    <w:qFormat/>
    <w:locked/>
    <w:uiPriority w:val="0"/>
    <w:rPr>
      <w:rFonts w:ascii="宋体" w:hAnsi="宋体" w:eastAsia="宋体"/>
      <w:kern w:val="2"/>
      <w:sz w:val="24"/>
      <w:lang w:val="en-US" w:eastAsia="zh-CN" w:bidi="ar-SA"/>
    </w:rPr>
  </w:style>
  <w:style w:type="character" w:customStyle="1" w:styleId="163">
    <w:name w:val="标题 2 字符"/>
    <w:autoRedefine/>
    <w:qFormat/>
    <w:uiPriority w:val="1"/>
    <w:rPr>
      <w:rFonts w:ascii="仿宋_GB2312" w:hAnsi="Times New Roman" w:eastAsia="仿宋_GB2312" w:cs="Times New Roman"/>
      <w:b/>
      <w:kern w:val="2"/>
      <w:sz w:val="24"/>
      <w:lang w:val="zh-CN"/>
    </w:rPr>
  </w:style>
  <w:style w:type="character" w:customStyle="1" w:styleId="164">
    <w:name w:val="Char Char72"/>
    <w:autoRedefine/>
    <w:qFormat/>
    <w:uiPriority w:val="0"/>
    <w:rPr>
      <w:rFonts w:eastAsia="宋体"/>
      <w:kern w:val="2"/>
      <w:sz w:val="21"/>
      <w:szCs w:val="24"/>
      <w:lang w:val="en-US" w:eastAsia="zh-CN" w:bidi="ar-SA"/>
    </w:rPr>
  </w:style>
  <w:style w:type="character" w:customStyle="1" w:styleId="165">
    <w:name w:val="正文文本缩进 Char2"/>
    <w:autoRedefine/>
    <w:qFormat/>
    <w:uiPriority w:val="0"/>
    <w:rPr>
      <w:rFonts w:ascii="Times New Roman" w:hAnsi="Times New Roman" w:eastAsia="宋体" w:cs="Times New Roman"/>
      <w:snapToGrid w:val="0"/>
      <w:kern w:val="0"/>
      <w:szCs w:val="24"/>
    </w:rPr>
  </w:style>
  <w:style w:type="character" w:customStyle="1" w:styleId="166">
    <w:name w:val="样式2 Char"/>
    <w:autoRedefine/>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autoRedefine/>
    <w:qFormat/>
    <w:uiPriority w:val="0"/>
    <w:rPr>
      <w:sz w:val="32"/>
    </w:rPr>
  </w:style>
  <w:style w:type="paragraph" w:customStyle="1" w:styleId="168">
    <w:name w:val="表格名称"/>
    <w:basedOn w:val="5"/>
    <w:link w:val="167"/>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autoRedefine/>
    <w:qFormat/>
    <w:uiPriority w:val="0"/>
    <w:rPr>
      <w:rFonts w:eastAsia="宋体"/>
      <w:b/>
      <w:sz w:val="24"/>
      <w:lang w:val="en-GB" w:eastAsia="zh-CN" w:bidi="ar-SA"/>
    </w:rPr>
  </w:style>
  <w:style w:type="character" w:customStyle="1" w:styleId="170">
    <w:name w:val="c7 style3"/>
    <w:autoRedefine/>
    <w:qFormat/>
    <w:uiPriority w:val="0"/>
  </w:style>
  <w:style w:type="character" w:customStyle="1" w:styleId="171">
    <w:name w:val="正文文本 3 Char1"/>
    <w:autoRedefine/>
    <w:semiHidden/>
    <w:qFormat/>
    <w:uiPriority w:val="99"/>
    <w:rPr>
      <w:rFonts w:ascii="Times New Roman" w:hAnsi="Times New Roman" w:eastAsia="宋体" w:cs="Times New Roman"/>
      <w:sz w:val="16"/>
      <w:szCs w:val="16"/>
    </w:rPr>
  </w:style>
  <w:style w:type="character" w:customStyle="1" w:styleId="172">
    <w:name w:val="tw4winInternal"/>
    <w:autoRedefine/>
    <w:qFormat/>
    <w:uiPriority w:val="0"/>
    <w:rPr>
      <w:rFonts w:ascii="Courier New" w:hAnsi="Courier New" w:cs="Courier New"/>
      <w:color w:val="FF0000"/>
      <w:lang w:val="en-US" w:eastAsia="zh-CN"/>
    </w:rPr>
  </w:style>
  <w:style w:type="character" w:customStyle="1" w:styleId="173">
    <w:name w:val="Char Char10"/>
    <w:autoRedefine/>
    <w:semiHidden/>
    <w:qFormat/>
    <w:uiPriority w:val="0"/>
    <w:rPr>
      <w:rFonts w:ascii="宋体" w:hAnsi="宋体"/>
      <w:kern w:val="2"/>
      <w:sz w:val="21"/>
      <w:szCs w:val="24"/>
      <w:lang w:val="en-US" w:eastAsia="zh-CN"/>
    </w:rPr>
  </w:style>
  <w:style w:type="character" w:customStyle="1" w:styleId="174">
    <w:name w:val="shadow11"/>
    <w:autoRedefine/>
    <w:qFormat/>
    <w:uiPriority w:val="0"/>
    <w:rPr>
      <w:color w:val="000000"/>
      <w:sz w:val="21"/>
    </w:rPr>
  </w:style>
  <w:style w:type="character" w:customStyle="1" w:styleId="175">
    <w:name w:val="正文非缩进 Char3"/>
    <w:autoRedefine/>
    <w:qFormat/>
    <w:uiPriority w:val="0"/>
    <w:rPr>
      <w:rFonts w:ascii="宋体" w:eastAsia="宋体"/>
      <w:snapToGrid w:val="0"/>
      <w:color w:val="000000"/>
      <w:kern w:val="28"/>
      <w:sz w:val="28"/>
      <w:lang w:val="en-US" w:eastAsia="zh-CN" w:bidi="ar-SA"/>
    </w:rPr>
  </w:style>
  <w:style w:type="character" w:customStyle="1" w:styleId="176">
    <w:name w:val="Char Char"/>
    <w:autoRedefine/>
    <w:qFormat/>
    <w:uiPriority w:val="0"/>
    <w:rPr>
      <w:rFonts w:ascii="宋体" w:hAnsi="Courier New" w:eastAsia="宋体"/>
      <w:kern w:val="2"/>
      <w:sz w:val="21"/>
      <w:lang w:val="en-US" w:eastAsia="zh-CN" w:bidi="ar-SA"/>
    </w:rPr>
  </w:style>
  <w:style w:type="character" w:customStyle="1" w:styleId="177">
    <w:name w:val="签名 Char1"/>
    <w:autoRedefine/>
    <w:qFormat/>
    <w:uiPriority w:val="0"/>
    <w:rPr>
      <w:rFonts w:ascii="Times New Roman" w:hAnsi="Times New Roman" w:eastAsia="宋体" w:cs="Times New Roman"/>
      <w:szCs w:val="24"/>
    </w:rPr>
  </w:style>
  <w:style w:type="character" w:customStyle="1" w:styleId="178">
    <w:name w:val="日期 字符"/>
    <w:link w:val="35"/>
    <w:autoRedefine/>
    <w:qFormat/>
    <w:uiPriority w:val="0"/>
    <w:rPr>
      <w:rFonts w:ascii="宋体"/>
      <w:kern w:val="2"/>
      <w:sz w:val="24"/>
      <w:szCs w:val="21"/>
      <w:lang w:val="zh-CN"/>
    </w:rPr>
  </w:style>
  <w:style w:type="character" w:customStyle="1" w:styleId="179">
    <w:name w:val="标题 9 字符"/>
    <w:link w:val="11"/>
    <w:autoRedefine/>
    <w:qFormat/>
    <w:uiPriority w:val="0"/>
    <w:rPr>
      <w:rFonts w:ascii="Arial" w:hAnsi="Arial" w:eastAsia="黑体"/>
      <w:kern w:val="2"/>
      <w:sz w:val="21"/>
      <w:szCs w:val="21"/>
    </w:rPr>
  </w:style>
  <w:style w:type="character" w:customStyle="1" w:styleId="180">
    <w:name w:val="Char Char18"/>
    <w:autoRedefine/>
    <w:qFormat/>
    <w:uiPriority w:val="6"/>
    <w:rPr>
      <w:rFonts w:ascii="宋体" w:hAnsi="宋体"/>
      <w:sz w:val="28"/>
    </w:rPr>
  </w:style>
  <w:style w:type="character" w:customStyle="1" w:styleId="181">
    <w:name w:val="批注文字 Char"/>
    <w:autoRedefine/>
    <w:qFormat/>
    <w:uiPriority w:val="99"/>
    <w:rPr>
      <w:kern w:val="2"/>
      <w:sz w:val="21"/>
      <w:szCs w:val="24"/>
    </w:rPr>
  </w:style>
  <w:style w:type="character" w:customStyle="1" w:styleId="182">
    <w:name w:val="Char Char22"/>
    <w:autoRedefine/>
    <w:qFormat/>
    <w:uiPriority w:val="6"/>
    <w:rPr>
      <w:rFonts w:ascii="宋体" w:hAnsi="宋体"/>
      <w:kern w:val="1"/>
      <w:sz w:val="24"/>
      <w:szCs w:val="24"/>
    </w:rPr>
  </w:style>
  <w:style w:type="character" w:customStyle="1" w:styleId="183">
    <w:name w:val="pt141"/>
    <w:autoRedefine/>
    <w:qFormat/>
    <w:uiPriority w:val="0"/>
    <w:rPr>
      <w:color w:val="330066"/>
      <w:sz w:val="22"/>
      <w:szCs w:val="22"/>
    </w:rPr>
  </w:style>
  <w:style w:type="character" w:customStyle="1" w:styleId="184">
    <w:name w:val="正文文本缩进 2 Char1"/>
    <w:autoRedefine/>
    <w:semiHidden/>
    <w:qFormat/>
    <w:uiPriority w:val="99"/>
    <w:rPr>
      <w:rFonts w:ascii="Times New Roman" w:hAnsi="Times New Roman" w:eastAsia="宋体" w:cs="Times New Roman"/>
      <w:szCs w:val="24"/>
    </w:rPr>
  </w:style>
  <w:style w:type="character" w:customStyle="1" w:styleId="185">
    <w:name w:val="批注框文本 字符1"/>
    <w:link w:val="38"/>
    <w:autoRedefine/>
    <w:qFormat/>
    <w:uiPriority w:val="0"/>
    <w:rPr>
      <w:kern w:val="2"/>
      <w:sz w:val="18"/>
      <w:szCs w:val="18"/>
    </w:rPr>
  </w:style>
  <w:style w:type="character" w:customStyle="1" w:styleId="186">
    <w:name w:val="Char Char611"/>
    <w:autoRedefine/>
    <w:qFormat/>
    <w:uiPriority w:val="0"/>
    <w:rPr>
      <w:rFonts w:eastAsia="宋体"/>
      <w:kern w:val="2"/>
      <w:sz w:val="21"/>
      <w:szCs w:val="24"/>
      <w:lang w:val="en-US" w:eastAsia="zh-CN" w:bidi="ar-SA"/>
    </w:rPr>
  </w:style>
  <w:style w:type="character" w:customStyle="1" w:styleId="187">
    <w:name w:val="highlight1"/>
    <w:autoRedefine/>
    <w:qFormat/>
    <w:uiPriority w:val="0"/>
    <w:rPr>
      <w:rFonts w:ascii="仿宋_GB2312" w:eastAsia="微软雅黑"/>
      <w:b/>
      <w:kern w:val="2"/>
      <w:sz w:val="23"/>
      <w:szCs w:val="23"/>
      <w:lang w:val="en-US" w:eastAsia="zh-CN" w:bidi="ar-SA"/>
    </w:rPr>
  </w:style>
  <w:style w:type="character" w:customStyle="1" w:styleId="188">
    <w:name w:val="my正文 Char"/>
    <w:link w:val="189"/>
    <w:autoRedefine/>
    <w:qFormat/>
    <w:locked/>
    <w:uiPriority w:val="0"/>
    <w:rPr>
      <w:rFonts w:ascii="Tahoma" w:hAnsi="Tahoma"/>
      <w:sz w:val="24"/>
      <w:szCs w:val="24"/>
    </w:rPr>
  </w:style>
  <w:style w:type="paragraph" w:customStyle="1" w:styleId="189">
    <w:name w:val="my正文"/>
    <w:basedOn w:val="1"/>
    <w:link w:val="188"/>
    <w:autoRedefine/>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3"/>
    <w:autoRedefine/>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autoRedefine/>
    <w:qFormat/>
    <w:uiPriority w:val="0"/>
    <w:rPr>
      <w:color w:val="0000FF"/>
      <w:sz w:val="21"/>
    </w:rPr>
  </w:style>
  <w:style w:type="character" w:customStyle="1" w:styleId="192">
    <w:name w:val="页眉 Char"/>
    <w:autoRedefine/>
    <w:qFormat/>
    <w:uiPriority w:val="0"/>
    <w:rPr>
      <w:rFonts w:eastAsia="仿宋_GB2312"/>
      <w:kern w:val="2"/>
      <w:sz w:val="18"/>
      <w:lang w:val="en-US" w:eastAsia="zh-CN"/>
    </w:rPr>
  </w:style>
  <w:style w:type="character" w:customStyle="1" w:styleId="193">
    <w:name w:val="FA正文 Char Char"/>
    <w:autoRedefine/>
    <w:qFormat/>
    <w:uiPriority w:val="0"/>
    <w:rPr>
      <w:rFonts w:hAnsi="宋体"/>
      <w:kern w:val="2"/>
      <w:sz w:val="24"/>
      <w:lang w:bidi="ar-SA"/>
    </w:rPr>
  </w:style>
  <w:style w:type="character" w:customStyle="1" w:styleId="194">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autoRedefine/>
    <w:qFormat/>
    <w:uiPriority w:val="0"/>
    <w:rPr>
      <w:rFonts w:ascii="宋体" w:hAnsi="宋体"/>
      <w:b/>
      <w:bCs/>
      <w:snapToGrid/>
      <w:sz w:val="28"/>
    </w:rPr>
  </w:style>
  <w:style w:type="paragraph" w:customStyle="1" w:styleId="196">
    <w:name w:val="3级"/>
    <w:basedOn w:val="197"/>
    <w:link w:val="195"/>
    <w:autoRedefine/>
    <w:qFormat/>
    <w:uiPriority w:val="0"/>
    <w:pPr>
      <w:ind w:left="0" w:right="466" w:firstLine="288"/>
    </w:pPr>
    <w:rPr>
      <w:rFonts w:hAnsi="宋体"/>
      <w:snapToGrid/>
    </w:rPr>
  </w:style>
  <w:style w:type="paragraph" w:customStyle="1" w:styleId="197">
    <w:name w:val="样式 标题 3h33rd level3BOD 0H3l3CTHeading 3 - oldLevel 3 He..."/>
    <w:basedOn w:val="2"/>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autoRedefine/>
    <w:qFormat/>
    <w:uiPriority w:val="0"/>
    <w:rPr>
      <w:rFonts w:ascii="仿宋_GB2312" w:eastAsia="微软雅黑"/>
      <w:b/>
      <w:kern w:val="2"/>
      <w:sz w:val="32"/>
      <w:szCs w:val="32"/>
      <w:lang w:val="en-US" w:eastAsia="zh-CN" w:bidi="ar-SA"/>
    </w:rPr>
  </w:style>
  <w:style w:type="character" w:customStyle="1" w:styleId="199">
    <w:name w:val="文档结构图 字符"/>
    <w:link w:val="18"/>
    <w:autoRedefine/>
    <w:qFormat/>
    <w:uiPriority w:val="0"/>
    <w:rPr>
      <w:kern w:val="2"/>
      <w:sz w:val="21"/>
      <w:szCs w:val="24"/>
      <w:shd w:val="clear" w:color="auto" w:fill="000080"/>
    </w:rPr>
  </w:style>
  <w:style w:type="character" w:customStyle="1" w:styleId="200">
    <w:name w:val="H6 Char"/>
    <w:autoRedefine/>
    <w:qFormat/>
    <w:uiPriority w:val="0"/>
    <w:rPr>
      <w:rFonts w:ascii="Arial" w:hAnsi="Arial" w:eastAsia="黑体"/>
      <w:b/>
      <w:bCs/>
      <w:kern w:val="2"/>
      <w:sz w:val="24"/>
      <w:szCs w:val="24"/>
    </w:rPr>
  </w:style>
  <w:style w:type="character" w:customStyle="1" w:styleId="201">
    <w:name w:val="Char Char91"/>
    <w:autoRedefine/>
    <w:qFormat/>
    <w:uiPriority w:val="0"/>
    <w:rPr>
      <w:rFonts w:eastAsia="宋体"/>
      <w:kern w:val="2"/>
      <w:sz w:val="18"/>
      <w:szCs w:val="18"/>
      <w:lang w:val="en-US" w:eastAsia="zh-CN" w:bidi="ar-SA"/>
    </w:rPr>
  </w:style>
  <w:style w:type="character" w:customStyle="1" w:styleId="202">
    <w:name w:val="副标题 Char1"/>
    <w:autoRedefine/>
    <w:qFormat/>
    <w:uiPriority w:val="0"/>
    <w:rPr>
      <w:rFonts w:ascii="Cambria" w:hAnsi="Cambria" w:eastAsia="宋体" w:cs="Times New Roman"/>
      <w:b/>
      <w:bCs/>
      <w:snapToGrid w:val="0"/>
      <w:kern w:val="28"/>
      <w:sz w:val="32"/>
      <w:szCs w:val="32"/>
    </w:rPr>
  </w:style>
  <w:style w:type="character" w:customStyle="1" w:styleId="203">
    <w:name w:val="font61"/>
    <w:autoRedefine/>
    <w:qFormat/>
    <w:uiPriority w:val="0"/>
    <w:rPr>
      <w:rFonts w:hint="eastAsia" w:ascii="仿宋" w:hAnsi="仿宋" w:eastAsia="仿宋" w:cs="仿宋"/>
      <w:color w:val="000000"/>
      <w:sz w:val="20"/>
      <w:szCs w:val="20"/>
      <w:u w:val="none"/>
    </w:rPr>
  </w:style>
  <w:style w:type="character" w:customStyle="1" w:styleId="204">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autoRedefine/>
    <w:qFormat/>
    <w:uiPriority w:val="0"/>
    <w:rPr>
      <w:rFonts w:eastAsia="宋体"/>
      <w:b/>
      <w:bCs/>
      <w:kern w:val="2"/>
      <w:sz w:val="21"/>
      <w:szCs w:val="24"/>
      <w:lang w:val="en-US" w:eastAsia="zh-CN" w:bidi="ar-SA"/>
    </w:rPr>
  </w:style>
  <w:style w:type="character" w:customStyle="1" w:styleId="206">
    <w:name w:val="标题 2 Char"/>
    <w:autoRedefine/>
    <w:qFormat/>
    <w:uiPriority w:val="0"/>
    <w:rPr>
      <w:rFonts w:ascii="Arial" w:hAnsi="Arial" w:eastAsia="黑体"/>
      <w:b/>
      <w:kern w:val="2"/>
      <w:sz w:val="32"/>
      <w:lang w:val="en-US" w:eastAsia="zh-CN"/>
    </w:rPr>
  </w:style>
  <w:style w:type="character" w:customStyle="1" w:styleId="207">
    <w:name w:val="maywed421"/>
    <w:autoRedefine/>
    <w:qFormat/>
    <w:uiPriority w:val="0"/>
    <w:rPr>
      <w:color w:val="366FB6"/>
      <w:u w:val="none"/>
    </w:rPr>
  </w:style>
  <w:style w:type="character" w:customStyle="1" w:styleId="208">
    <w:name w:val="正文文本缩进 Char"/>
    <w:autoRedefine/>
    <w:qFormat/>
    <w:uiPriority w:val="0"/>
    <w:rPr>
      <w:rFonts w:ascii="宋体" w:hAnsi="宋体"/>
      <w:kern w:val="2"/>
      <w:sz w:val="24"/>
      <w:szCs w:val="24"/>
    </w:rPr>
  </w:style>
  <w:style w:type="character" w:customStyle="1" w:styleId="209">
    <w:name w:val="Char Char102"/>
    <w:autoRedefine/>
    <w:semiHidden/>
    <w:qFormat/>
    <w:uiPriority w:val="0"/>
    <w:rPr>
      <w:rFonts w:ascii="宋体" w:hAnsi="宋体"/>
      <w:kern w:val="2"/>
      <w:sz w:val="21"/>
      <w:szCs w:val="24"/>
      <w:lang w:val="en-US" w:eastAsia="zh-CN"/>
    </w:rPr>
  </w:style>
  <w:style w:type="character" w:customStyle="1" w:styleId="210">
    <w:name w:val="页眉 Char1"/>
    <w:autoRedefine/>
    <w:qFormat/>
    <w:uiPriority w:val="0"/>
    <w:rPr>
      <w:rFonts w:eastAsia="宋体"/>
      <w:kern w:val="2"/>
      <w:sz w:val="18"/>
      <w:szCs w:val="18"/>
      <w:lang w:val="en-US" w:eastAsia="zh-CN" w:bidi="ar-SA"/>
    </w:rPr>
  </w:style>
  <w:style w:type="character" w:customStyle="1" w:styleId="211">
    <w:name w:val="md"/>
    <w:basedOn w:val="69"/>
    <w:autoRedefine/>
    <w:qFormat/>
    <w:uiPriority w:val="0"/>
    <w:rPr>
      <w:rFonts w:ascii="Arial" w:hAnsi="Arial" w:eastAsia="黑体" w:cs="Arial"/>
      <w:snapToGrid w:val="0"/>
      <w:kern w:val="0"/>
      <w:szCs w:val="21"/>
    </w:rPr>
  </w:style>
  <w:style w:type="character" w:customStyle="1" w:styleId="212">
    <w:name w:val="big1"/>
    <w:autoRedefine/>
    <w:qFormat/>
    <w:uiPriority w:val="0"/>
    <w:rPr>
      <w:rFonts w:hint="eastAsia" w:ascii="宋体" w:hAnsi="宋体" w:eastAsia="宋体"/>
      <w:color w:val="333333"/>
      <w:sz w:val="22"/>
      <w:szCs w:val="22"/>
    </w:rPr>
  </w:style>
  <w:style w:type="character" w:customStyle="1" w:styleId="213">
    <w:name w:val="Char Char311"/>
    <w:autoRedefine/>
    <w:qFormat/>
    <w:uiPriority w:val="0"/>
    <w:rPr>
      <w:rFonts w:eastAsia="宋体"/>
      <w:kern w:val="2"/>
      <w:sz w:val="21"/>
      <w:szCs w:val="24"/>
      <w:lang w:val="en-US" w:eastAsia="zh-CN" w:bidi="ar-SA"/>
    </w:rPr>
  </w:style>
  <w:style w:type="character" w:customStyle="1" w:styleId="214">
    <w:name w:val="Char Char81"/>
    <w:autoRedefine/>
    <w:qFormat/>
    <w:uiPriority w:val="6"/>
    <w:rPr>
      <w:rFonts w:eastAsia="宋体"/>
      <w:b/>
      <w:sz w:val="24"/>
      <w:lang w:val="en-GB" w:eastAsia="zh-CN"/>
    </w:rPr>
  </w:style>
  <w:style w:type="character" w:customStyle="1" w:styleId="215">
    <w:name w:val="样式3 Char"/>
    <w:basedOn w:val="166"/>
    <w:autoRedefine/>
    <w:qFormat/>
    <w:uiPriority w:val="0"/>
    <w:rPr>
      <w:rFonts w:ascii="仿宋_GB2312" w:hAnsi="仿宋" w:eastAsia="仿宋_GB2312" w:cs="仿宋_GB2312"/>
      <w:sz w:val="32"/>
      <w:szCs w:val="30"/>
      <w:lang w:val="zh-CN"/>
    </w:rPr>
  </w:style>
  <w:style w:type="character" w:customStyle="1" w:styleId="216">
    <w:name w:val="HTML 地址 字符"/>
    <w:link w:val="29"/>
    <w:autoRedefine/>
    <w:qFormat/>
    <w:uiPriority w:val="0"/>
    <w:rPr>
      <w:rFonts w:ascii="宋体" w:hAnsi="宋体"/>
      <w:i/>
      <w:iCs/>
      <w:sz w:val="24"/>
      <w:szCs w:val="24"/>
    </w:rPr>
  </w:style>
  <w:style w:type="character" w:customStyle="1" w:styleId="217">
    <w:name w:val="正文首行缩进 2 Char1"/>
    <w:autoRedefine/>
    <w:qFormat/>
    <w:uiPriority w:val="0"/>
    <w:rPr>
      <w:rFonts w:ascii="Times New Roman" w:hAnsi="Times New Roman" w:eastAsia="宋体" w:cs="Times New Roman"/>
      <w:kern w:val="2"/>
      <w:sz w:val="24"/>
      <w:szCs w:val="24"/>
    </w:rPr>
  </w:style>
  <w:style w:type="character" w:customStyle="1" w:styleId="218">
    <w:name w:val="副标题 Char2"/>
    <w:autoRedefine/>
    <w:qFormat/>
    <w:uiPriority w:val="0"/>
    <w:rPr>
      <w:rFonts w:ascii="Cambria" w:hAnsi="Cambria" w:eastAsia="宋体" w:cs="Times New Roman"/>
      <w:b/>
      <w:bCs/>
      <w:snapToGrid w:val="0"/>
      <w:kern w:val="28"/>
      <w:sz w:val="32"/>
      <w:szCs w:val="32"/>
    </w:rPr>
  </w:style>
  <w:style w:type="character" w:customStyle="1" w:styleId="219">
    <w:name w:val="标题4-dyf Char"/>
    <w:link w:val="220"/>
    <w:autoRedefine/>
    <w:qFormat/>
    <w:uiPriority w:val="0"/>
    <w:rPr>
      <w:rFonts w:ascii="Cambria" w:hAnsi="Cambria"/>
      <w:b/>
      <w:bCs/>
      <w:color w:val="000000"/>
      <w:kern w:val="2"/>
      <w:sz w:val="21"/>
      <w:szCs w:val="21"/>
    </w:rPr>
  </w:style>
  <w:style w:type="paragraph" w:customStyle="1" w:styleId="220">
    <w:name w:val="标题4-dyf"/>
    <w:basedOn w:val="6"/>
    <w:link w:val="219"/>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autoRedefine/>
    <w:qFormat/>
    <w:uiPriority w:val="0"/>
    <w:rPr>
      <w:rFonts w:ascii="宋体" w:hAnsi="宋体" w:eastAsia="宋体"/>
      <w:color w:val="333333"/>
      <w:sz w:val="21"/>
      <w:szCs w:val="21"/>
      <w:u w:val="none"/>
    </w:rPr>
  </w:style>
  <w:style w:type="character" w:customStyle="1" w:styleId="222">
    <w:name w:val="冯 Char"/>
    <w:link w:val="223"/>
    <w:autoRedefine/>
    <w:qFormat/>
    <w:uiPriority w:val="0"/>
    <w:rPr>
      <w:rFonts w:ascii="宋体" w:hAnsi="宋体"/>
      <w:color w:val="000000"/>
      <w:sz w:val="24"/>
      <w:szCs w:val="24"/>
    </w:rPr>
  </w:style>
  <w:style w:type="paragraph" w:customStyle="1" w:styleId="223">
    <w:name w:val="冯"/>
    <w:basedOn w:val="1"/>
    <w:link w:val="222"/>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autoRedefine/>
    <w:qFormat/>
    <w:locked/>
    <w:uiPriority w:val="0"/>
    <w:rPr>
      <w:rFonts w:eastAsia="宋体"/>
      <w:kern w:val="2"/>
      <w:sz w:val="18"/>
      <w:szCs w:val="18"/>
      <w:lang w:val="en-US" w:eastAsia="zh-CN" w:bidi="ar-SA"/>
    </w:rPr>
  </w:style>
  <w:style w:type="character" w:customStyle="1" w:styleId="225">
    <w:name w:val="Char Char12"/>
    <w:autoRedefine/>
    <w:qFormat/>
    <w:uiPriority w:val="0"/>
    <w:rPr>
      <w:rFonts w:ascii="仿宋_GB2312" w:eastAsia="仿宋_GB2312"/>
      <w:b/>
      <w:bCs/>
      <w:kern w:val="2"/>
      <w:sz w:val="24"/>
      <w:szCs w:val="24"/>
      <w:lang w:val="zh-CN" w:eastAsia="zh-CN" w:bidi="ar-SA"/>
    </w:rPr>
  </w:style>
  <w:style w:type="character" w:customStyle="1" w:styleId="226">
    <w:name w:val="题注 字符"/>
    <w:link w:val="16"/>
    <w:autoRedefine/>
    <w:qFormat/>
    <w:uiPriority w:val="0"/>
    <w:rPr>
      <w:b/>
      <w:kern w:val="2"/>
      <w:sz w:val="28"/>
    </w:rPr>
  </w:style>
  <w:style w:type="character" w:customStyle="1" w:styleId="227">
    <w:name w:val="普通文字 Char3"/>
    <w:autoRedefine/>
    <w:qFormat/>
    <w:uiPriority w:val="0"/>
    <w:rPr>
      <w:rFonts w:ascii="宋体" w:hAnsi="Courier New" w:eastAsia="宋体"/>
      <w:kern w:val="2"/>
      <w:sz w:val="21"/>
      <w:lang w:val="en-US" w:eastAsia="zh-CN" w:bidi="ar-SA"/>
    </w:rPr>
  </w:style>
  <w:style w:type="character" w:customStyle="1" w:styleId="228">
    <w:name w:val="公文正文 Char"/>
    <w:autoRedefine/>
    <w:qFormat/>
    <w:uiPriority w:val="0"/>
    <w:rPr>
      <w:rFonts w:ascii="仿宋_GB2312" w:eastAsia="仿宋_GB2312"/>
      <w:kern w:val="2"/>
      <w:sz w:val="24"/>
      <w:szCs w:val="24"/>
      <w:lang w:val="en-US" w:eastAsia="zh-CN" w:bidi="ar-SA"/>
    </w:rPr>
  </w:style>
  <w:style w:type="character" w:customStyle="1" w:styleId="229">
    <w:name w:val="正文首行缩进 Char Char Char Char Char"/>
    <w:autoRedefine/>
    <w:qFormat/>
    <w:uiPriority w:val="0"/>
    <w:rPr>
      <w:rFonts w:ascii="宋体"/>
      <w:kern w:val="2"/>
      <w:sz w:val="24"/>
      <w:lang w:val="zh-CN"/>
    </w:rPr>
  </w:style>
  <w:style w:type="character" w:customStyle="1" w:styleId="230">
    <w:name w:val="PI Char"/>
    <w:autoRedefine/>
    <w:qFormat/>
    <w:uiPriority w:val="0"/>
    <w:rPr>
      <w:rFonts w:ascii="宋体" w:hAnsi="宋体" w:eastAsia="宋体"/>
      <w:kern w:val="2"/>
      <w:sz w:val="24"/>
      <w:szCs w:val="24"/>
      <w:lang w:val="en-US" w:eastAsia="zh-CN" w:bidi="ar-SA"/>
    </w:rPr>
  </w:style>
  <w:style w:type="character" w:customStyle="1" w:styleId="231">
    <w:name w:val="Default Char"/>
    <w:link w:val="232"/>
    <w:autoRedefine/>
    <w:qFormat/>
    <w:uiPriority w:val="0"/>
    <w:rPr>
      <w:rFonts w:ascii="仿宋_GB2312" w:eastAsia="仿宋_GB2312" w:cs="仿宋_GB2312"/>
      <w:color w:val="000000"/>
      <w:sz w:val="24"/>
      <w:szCs w:val="24"/>
      <w:lang w:val="en-US" w:eastAsia="zh-CN" w:bidi="ar-SA"/>
    </w:rPr>
  </w:style>
  <w:style w:type="paragraph" w:customStyle="1" w:styleId="232">
    <w:name w:val="Default"/>
    <w:link w:val="2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autoRedefine/>
    <w:qFormat/>
    <w:uiPriority w:val="0"/>
    <w:rPr>
      <w:color w:val="333333"/>
    </w:rPr>
  </w:style>
  <w:style w:type="character" w:customStyle="1" w:styleId="234">
    <w:name w:val="列出段落 Char2"/>
    <w:autoRedefine/>
    <w:qFormat/>
    <w:uiPriority w:val="34"/>
    <w:rPr>
      <w:rFonts w:ascii="Calibri" w:hAnsi="Calibri"/>
      <w:kern w:val="2"/>
      <w:sz w:val="28"/>
    </w:rPr>
  </w:style>
  <w:style w:type="character" w:customStyle="1" w:styleId="235">
    <w:name w:val="mdeck"/>
    <w:autoRedefine/>
    <w:qFormat/>
    <w:uiPriority w:val="0"/>
    <w:rPr>
      <w:rFonts w:ascii="仿宋_GB2312" w:eastAsia="微软雅黑"/>
      <w:b/>
      <w:kern w:val="2"/>
      <w:sz w:val="32"/>
      <w:szCs w:val="32"/>
      <w:lang w:val="en-US" w:eastAsia="zh-CN" w:bidi="ar-SA"/>
    </w:rPr>
  </w:style>
  <w:style w:type="character" w:customStyle="1" w:styleId="236">
    <w:name w:val="unnamed11"/>
    <w:autoRedefine/>
    <w:qFormat/>
    <w:uiPriority w:val="0"/>
    <w:rPr>
      <w:sz w:val="20"/>
      <w:szCs w:val="20"/>
    </w:rPr>
  </w:style>
  <w:style w:type="character" w:customStyle="1" w:styleId="237">
    <w:name w:val="正文文本 Char2"/>
    <w:autoRedefine/>
    <w:semiHidden/>
    <w:qFormat/>
    <w:uiPriority w:val="99"/>
    <w:rPr>
      <w:rFonts w:ascii="Times New Roman" w:hAnsi="Times New Roman" w:eastAsia="宋体" w:cs="Times New Roman"/>
      <w:snapToGrid w:val="0"/>
      <w:kern w:val="0"/>
      <w:szCs w:val="24"/>
    </w:rPr>
  </w:style>
  <w:style w:type="character" w:customStyle="1" w:styleId="238">
    <w:name w:val="标书正文格式 Char"/>
    <w:autoRedefine/>
    <w:qFormat/>
    <w:uiPriority w:val="0"/>
    <w:rPr>
      <w:rFonts w:eastAsia="楷体_GB2312"/>
      <w:kern w:val="2"/>
      <w:sz w:val="24"/>
      <w:szCs w:val="24"/>
      <w:lang w:bidi="ar-SA"/>
    </w:rPr>
  </w:style>
  <w:style w:type="character" w:customStyle="1" w:styleId="239">
    <w:name w:val="Char Char11"/>
    <w:autoRedefine/>
    <w:qFormat/>
    <w:locked/>
    <w:uiPriority w:val="0"/>
    <w:rPr>
      <w:rFonts w:ascii="宋体" w:hAnsi="宋体" w:eastAsia="宋体"/>
      <w:b/>
      <w:kern w:val="2"/>
      <w:sz w:val="24"/>
      <w:szCs w:val="24"/>
      <w:lang w:val="en-US" w:eastAsia="zh-CN" w:bidi="ar-SA"/>
    </w:rPr>
  </w:style>
  <w:style w:type="character" w:customStyle="1" w:styleId="240">
    <w:name w:val="ca-131"/>
    <w:autoRedefine/>
    <w:qFormat/>
    <w:uiPriority w:val="0"/>
    <w:rPr>
      <w:rFonts w:hint="eastAsia" w:ascii="仿宋_GB2312" w:eastAsia="仿宋_GB2312"/>
      <w:b/>
      <w:bCs/>
      <w:color w:val="000000"/>
      <w:spacing w:val="-20"/>
      <w:sz w:val="24"/>
      <w:szCs w:val="24"/>
    </w:rPr>
  </w:style>
  <w:style w:type="character" w:customStyle="1" w:styleId="241">
    <w:name w:val="tw4winMark"/>
    <w:autoRedefine/>
    <w:qFormat/>
    <w:uiPriority w:val="0"/>
    <w:rPr>
      <w:rFonts w:ascii="Courier New" w:hAnsi="Courier New" w:cs="Courier New"/>
      <w:vanish/>
      <w:color w:val="800080"/>
      <w:sz w:val="24"/>
      <w:szCs w:val="24"/>
      <w:vertAlign w:val="subscript"/>
    </w:rPr>
  </w:style>
  <w:style w:type="character" w:customStyle="1" w:styleId="242">
    <w:name w:val="正文样式 Char"/>
    <w:link w:val="243"/>
    <w:autoRedefine/>
    <w:qFormat/>
    <w:uiPriority w:val="0"/>
    <w:rPr>
      <w:rFonts w:ascii="Calibri" w:hAnsi="Calibri"/>
      <w:sz w:val="24"/>
      <w:szCs w:val="24"/>
    </w:rPr>
  </w:style>
  <w:style w:type="paragraph" w:customStyle="1" w:styleId="243">
    <w:name w:val="正文样式"/>
    <w:basedOn w:val="1"/>
    <w:link w:val="242"/>
    <w:autoRedefine/>
    <w:qFormat/>
    <w:uiPriority w:val="0"/>
    <w:pPr>
      <w:adjustRightInd/>
      <w:spacing w:line="360" w:lineRule="auto"/>
      <w:ind w:firstLine="480" w:firstLineChars="200"/>
    </w:pPr>
    <w:rPr>
      <w:kern w:val="0"/>
      <w:sz w:val="24"/>
    </w:rPr>
  </w:style>
  <w:style w:type="character" w:customStyle="1" w:styleId="244">
    <w:name w:val="表正文 Char3"/>
    <w:autoRedefine/>
    <w:qFormat/>
    <w:uiPriority w:val="0"/>
    <w:rPr>
      <w:rFonts w:eastAsia="宋体"/>
    </w:rPr>
  </w:style>
  <w:style w:type="character" w:customStyle="1" w:styleId="245">
    <w:name w:val="H5 Char"/>
    <w:autoRedefine/>
    <w:qFormat/>
    <w:uiPriority w:val="0"/>
    <w:rPr>
      <w:b/>
      <w:bCs/>
      <w:kern w:val="2"/>
      <w:sz w:val="28"/>
      <w:szCs w:val="28"/>
    </w:rPr>
  </w:style>
  <w:style w:type="character" w:customStyle="1" w:styleId="246">
    <w:name w:val="Char Char3"/>
    <w:autoRedefine/>
    <w:qFormat/>
    <w:uiPriority w:val="0"/>
    <w:rPr>
      <w:rFonts w:eastAsia="宋体"/>
      <w:kern w:val="2"/>
      <w:sz w:val="21"/>
      <w:szCs w:val="24"/>
      <w:lang w:val="en-US" w:eastAsia="zh-CN" w:bidi="ar-SA"/>
    </w:rPr>
  </w:style>
  <w:style w:type="character" w:customStyle="1" w:styleId="247">
    <w:name w:val="正文 编号 Char"/>
    <w:autoRedefine/>
    <w:qFormat/>
    <w:uiPriority w:val="0"/>
    <w:rPr>
      <w:rFonts w:ascii="仿宋_GB2312" w:hAnsi="仿宋_GB2312" w:eastAsia="仿宋_GB2312"/>
      <w:kern w:val="2"/>
      <w:sz w:val="24"/>
      <w:lang w:bidi="ar-SA"/>
    </w:rPr>
  </w:style>
  <w:style w:type="character" w:customStyle="1" w:styleId="248">
    <w:name w:val="question-title2"/>
    <w:autoRedefine/>
    <w:qFormat/>
    <w:uiPriority w:val="6"/>
    <w:rPr>
      <w:rFonts w:ascii="Arial" w:hAnsi="Arial" w:eastAsia="黑体" w:cs="Arial"/>
      <w:snapToGrid w:val="0"/>
      <w:kern w:val="0"/>
      <w:szCs w:val="21"/>
    </w:rPr>
  </w:style>
  <w:style w:type="character" w:customStyle="1" w:styleId="249">
    <w:name w:val="gf正文1 Char Char"/>
    <w:link w:val="250"/>
    <w:autoRedefine/>
    <w:qFormat/>
    <w:uiPriority w:val="0"/>
    <w:rPr>
      <w:rFonts w:ascii="宋体" w:hAnsi="宋体" w:cs="宋体"/>
      <w:kern w:val="2"/>
      <w:sz w:val="24"/>
      <w:szCs w:val="24"/>
    </w:rPr>
  </w:style>
  <w:style w:type="paragraph" w:customStyle="1" w:styleId="250">
    <w:name w:val="gf正文1"/>
    <w:basedOn w:val="1"/>
    <w:link w:val="249"/>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autoRedefine/>
    <w:qFormat/>
    <w:uiPriority w:val="6"/>
    <w:rPr>
      <w:rFonts w:ascii="宋体" w:hAnsi="宋体"/>
      <w:kern w:val="1"/>
      <w:sz w:val="21"/>
    </w:rPr>
  </w:style>
  <w:style w:type="character" w:customStyle="1" w:styleId="252">
    <w:name w:val="正文缩进 Char3"/>
    <w:autoRedefine/>
    <w:qFormat/>
    <w:uiPriority w:val="0"/>
    <w:rPr>
      <w:rFonts w:ascii="宋体" w:eastAsia="宋体"/>
      <w:snapToGrid w:val="0"/>
      <w:color w:val="000000"/>
      <w:kern w:val="28"/>
      <w:sz w:val="28"/>
      <w:lang w:val="en-US" w:eastAsia="zh-CN" w:bidi="ar-SA"/>
    </w:rPr>
  </w:style>
  <w:style w:type="character" w:customStyle="1" w:styleId="253">
    <w:name w:val="列出段落 Char1"/>
    <w:link w:val="254"/>
    <w:autoRedefine/>
    <w:qFormat/>
    <w:uiPriority w:val="0"/>
    <w:rPr>
      <w:rFonts w:ascii="Calibri" w:hAnsi="Calibri"/>
      <w:sz w:val="24"/>
      <w:lang w:eastAsia="en-US"/>
    </w:rPr>
  </w:style>
  <w:style w:type="paragraph" w:customStyle="1" w:styleId="254">
    <w:name w:val="列表1"/>
    <w:basedOn w:val="1"/>
    <w:next w:val="255"/>
    <w:link w:val="253"/>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6">
    <w:name w:val="Char Char8"/>
    <w:autoRedefine/>
    <w:qFormat/>
    <w:uiPriority w:val="0"/>
    <w:rPr>
      <w:rFonts w:eastAsia="宋体"/>
      <w:b/>
      <w:sz w:val="24"/>
      <w:lang w:val="en-GB" w:eastAsia="zh-CN"/>
    </w:rPr>
  </w:style>
  <w:style w:type="character" w:customStyle="1" w:styleId="257">
    <w:name w:val="Normal Indent Char Char"/>
    <w:autoRedefine/>
    <w:qFormat/>
    <w:uiPriority w:val="0"/>
    <w:rPr>
      <w:rFonts w:eastAsia="宋体"/>
      <w:kern w:val="2"/>
      <w:sz w:val="21"/>
      <w:lang w:val="en-US" w:eastAsia="zh-CN" w:bidi="ar-SA"/>
    </w:rPr>
  </w:style>
  <w:style w:type="character" w:customStyle="1" w:styleId="258">
    <w:name w:val="列表段落 字符"/>
    <w:autoRedefine/>
    <w:qFormat/>
    <w:uiPriority w:val="99"/>
  </w:style>
  <w:style w:type="character" w:customStyle="1" w:styleId="259">
    <w:name w:val="Ò³Ã¼ Char Char1"/>
    <w:autoRedefine/>
    <w:qFormat/>
    <w:uiPriority w:val="0"/>
    <w:rPr>
      <w:rFonts w:eastAsia="宋体"/>
      <w:kern w:val="2"/>
      <w:sz w:val="18"/>
      <w:szCs w:val="18"/>
      <w:lang w:val="en-US" w:eastAsia="zh-CN" w:bidi="ar-SA"/>
    </w:rPr>
  </w:style>
  <w:style w:type="character" w:customStyle="1" w:styleId="260">
    <w:name w:val="方案正文 Char"/>
    <w:autoRedefine/>
    <w:qFormat/>
    <w:uiPriority w:val="0"/>
    <w:rPr>
      <w:rFonts w:ascii="仿宋_GB2312" w:eastAsia="仿宋_GB2312"/>
      <w:b/>
      <w:color w:val="000000"/>
      <w:kern w:val="2"/>
      <w:sz w:val="24"/>
      <w:lang w:val="en-US" w:eastAsia="zh-CN" w:bidi="ar-SA"/>
    </w:rPr>
  </w:style>
  <w:style w:type="character" w:customStyle="1" w:styleId="261">
    <w:name w:val="Char Char30"/>
    <w:autoRedefine/>
    <w:qFormat/>
    <w:uiPriority w:val="6"/>
    <w:rPr>
      <w:rFonts w:ascii="Arial" w:hAnsi="Arial" w:eastAsia="黑体"/>
      <w:kern w:val="1"/>
      <w:sz w:val="21"/>
      <w:szCs w:val="21"/>
    </w:rPr>
  </w:style>
  <w:style w:type="character" w:customStyle="1" w:styleId="262">
    <w:name w:val="正文文本缩进 字符1"/>
    <w:link w:val="24"/>
    <w:autoRedefine/>
    <w:qFormat/>
    <w:uiPriority w:val="0"/>
    <w:rPr>
      <w:rFonts w:ascii="宋体" w:hAnsi="宋体"/>
      <w:kern w:val="2"/>
      <w:sz w:val="24"/>
      <w:szCs w:val="24"/>
    </w:rPr>
  </w:style>
  <w:style w:type="character" w:customStyle="1" w:styleId="263">
    <w:name w:val="font01"/>
    <w:autoRedefine/>
    <w:qFormat/>
    <w:uiPriority w:val="0"/>
    <w:rPr>
      <w:rFonts w:hint="eastAsia" w:ascii="微软雅黑" w:hAnsi="微软雅黑" w:eastAsia="微软雅黑" w:cs="微软雅黑"/>
      <w:color w:val="000000"/>
      <w:sz w:val="20"/>
      <w:szCs w:val="20"/>
      <w:u w:val="none"/>
    </w:rPr>
  </w:style>
  <w:style w:type="character" w:customStyle="1" w:styleId="264">
    <w:name w:val="Char Char20"/>
    <w:autoRedefine/>
    <w:qFormat/>
    <w:uiPriority w:val="6"/>
    <w:rPr>
      <w:kern w:val="1"/>
      <w:sz w:val="24"/>
    </w:rPr>
  </w:style>
  <w:style w:type="character" w:customStyle="1" w:styleId="265">
    <w:name w:val="tw4winExternal"/>
    <w:autoRedefine/>
    <w:qFormat/>
    <w:uiPriority w:val="0"/>
    <w:rPr>
      <w:rFonts w:ascii="Courier New" w:hAnsi="Courier New" w:cs="Courier New"/>
      <w:color w:val="808080"/>
      <w:lang w:val="en-US" w:eastAsia="zh-CN"/>
    </w:rPr>
  </w:style>
  <w:style w:type="character" w:customStyle="1" w:styleId="266">
    <w:name w:val="标题 4 Char1"/>
    <w:autoRedefine/>
    <w:qFormat/>
    <w:uiPriority w:val="9"/>
    <w:rPr>
      <w:rFonts w:ascii="Cambria" w:hAnsi="Cambria" w:eastAsia="宋体" w:cs="Times New Roman"/>
      <w:b/>
      <w:bCs/>
      <w:kern w:val="2"/>
      <w:sz w:val="28"/>
      <w:szCs w:val="28"/>
    </w:rPr>
  </w:style>
  <w:style w:type="character" w:customStyle="1" w:styleId="267">
    <w:name w:val="批注文字 Char2"/>
    <w:autoRedefine/>
    <w:qFormat/>
    <w:uiPriority w:val="99"/>
    <w:rPr>
      <w:rFonts w:ascii="Times New Roman" w:hAnsi="Times New Roman" w:eastAsia="宋体" w:cs="Times New Roman"/>
      <w:snapToGrid w:val="0"/>
      <w:kern w:val="0"/>
      <w:szCs w:val="24"/>
    </w:rPr>
  </w:style>
  <w:style w:type="character" w:customStyle="1" w:styleId="268">
    <w:name w:val="正文文本 2 Char"/>
    <w:autoRedefine/>
    <w:qFormat/>
    <w:uiPriority w:val="0"/>
    <w:rPr>
      <w:rFonts w:eastAsia="宋体"/>
      <w:kern w:val="2"/>
      <w:sz w:val="21"/>
      <w:szCs w:val="24"/>
      <w:lang w:val="en-US" w:eastAsia="zh-CN" w:bidi="ar-SA"/>
    </w:rPr>
  </w:style>
  <w:style w:type="character" w:customStyle="1" w:styleId="269">
    <w:name w:val="Ò³Ã¼ Char Char"/>
    <w:autoRedefine/>
    <w:qFormat/>
    <w:uiPriority w:val="0"/>
    <w:rPr>
      <w:rFonts w:eastAsia="宋体"/>
      <w:kern w:val="2"/>
      <w:sz w:val="18"/>
      <w:lang w:val="en-US" w:eastAsia="zh-CN" w:bidi="ar-SA"/>
    </w:rPr>
  </w:style>
  <w:style w:type="character" w:customStyle="1" w:styleId="270">
    <w:name w:val="message1"/>
    <w:autoRedefine/>
    <w:qFormat/>
    <w:uiPriority w:val="0"/>
    <w:rPr>
      <w:rFonts w:hint="default" w:ascii="Tahoma" w:hAnsi="Tahoma" w:cs="Tahoma"/>
      <w:sz w:val="18"/>
      <w:szCs w:val="18"/>
    </w:rPr>
  </w:style>
  <w:style w:type="character" w:customStyle="1" w:styleId="271">
    <w:name w:val="Char Char23"/>
    <w:autoRedefine/>
    <w:qFormat/>
    <w:uiPriority w:val="6"/>
    <w:rPr>
      <w:color w:val="0000FF"/>
      <w:sz w:val="21"/>
    </w:rPr>
  </w:style>
  <w:style w:type="character" w:customStyle="1" w:styleId="272">
    <w:name w:val="批注框文本 字符"/>
    <w:autoRedefine/>
    <w:qFormat/>
    <w:uiPriority w:val="0"/>
    <w:rPr>
      <w:rFonts w:ascii="Arial" w:hAnsi="Arial" w:eastAsia="黑体" w:cs="Arial"/>
      <w:snapToGrid w:val="0"/>
      <w:kern w:val="0"/>
      <w:sz w:val="18"/>
      <w:szCs w:val="18"/>
    </w:rPr>
  </w:style>
  <w:style w:type="character" w:customStyle="1" w:styleId="273">
    <w:name w:val="纯文本 Char2"/>
    <w:autoRedefine/>
    <w:semiHidden/>
    <w:qFormat/>
    <w:uiPriority w:val="99"/>
    <w:rPr>
      <w:rFonts w:ascii="宋体" w:hAnsi="Courier New" w:eastAsia="宋体" w:cs="Courier New"/>
    </w:rPr>
  </w:style>
  <w:style w:type="character" w:customStyle="1" w:styleId="274">
    <w:name w:val="Char Char25"/>
    <w:autoRedefine/>
    <w:qFormat/>
    <w:uiPriority w:val="6"/>
    <w:rPr>
      <w:rFonts w:ascii="宋体" w:hAnsi="宋体"/>
      <w:kern w:val="1"/>
      <w:sz w:val="24"/>
      <w:lang w:val="zh-CN"/>
    </w:rPr>
  </w:style>
  <w:style w:type="character" w:customStyle="1" w:styleId="275">
    <w:name w:val="Char Char411"/>
    <w:autoRedefine/>
    <w:qFormat/>
    <w:uiPriority w:val="0"/>
    <w:rPr>
      <w:rFonts w:eastAsia="宋体"/>
      <w:b/>
      <w:sz w:val="24"/>
      <w:lang w:val="en-GB" w:eastAsia="zh-CN" w:bidi="ar-SA"/>
    </w:rPr>
  </w:style>
  <w:style w:type="character" w:customStyle="1" w:styleId="276">
    <w:name w:val="Heading 7 Char"/>
    <w:autoRedefine/>
    <w:qFormat/>
    <w:locked/>
    <w:uiPriority w:val="0"/>
    <w:rPr>
      <w:rFonts w:ascii="宋体" w:hAnsi="宋体" w:eastAsia="宋体"/>
      <w:b/>
      <w:bCs/>
      <w:kern w:val="2"/>
      <w:sz w:val="24"/>
      <w:szCs w:val="24"/>
      <w:lang w:val="en-US" w:eastAsia="zh-CN" w:bidi="ar-SA"/>
    </w:rPr>
  </w:style>
  <w:style w:type="character" w:customStyle="1" w:styleId="277">
    <w:name w:val="此正文 Char"/>
    <w:link w:val="278"/>
    <w:autoRedefine/>
    <w:qFormat/>
    <w:uiPriority w:val="0"/>
    <w:rPr>
      <w:kern w:val="2"/>
      <w:sz w:val="24"/>
      <w:szCs w:val="24"/>
    </w:rPr>
  </w:style>
  <w:style w:type="paragraph" w:customStyle="1" w:styleId="278">
    <w:name w:val="此正文"/>
    <w:basedOn w:val="1"/>
    <w:link w:val="277"/>
    <w:autoRedefine/>
    <w:qFormat/>
    <w:uiPriority w:val="0"/>
    <w:pPr>
      <w:adjustRightInd/>
      <w:spacing w:line="360" w:lineRule="auto"/>
      <w:ind w:firstLine="200" w:firstLineChars="200"/>
    </w:pPr>
    <w:rPr>
      <w:sz w:val="24"/>
    </w:rPr>
  </w:style>
  <w:style w:type="character" w:customStyle="1" w:styleId="279">
    <w:name w:val="Char Char2"/>
    <w:autoRedefine/>
    <w:qFormat/>
    <w:uiPriority w:val="0"/>
    <w:rPr>
      <w:rFonts w:eastAsia="宋体"/>
      <w:b/>
      <w:bCs/>
      <w:kern w:val="2"/>
      <w:sz w:val="21"/>
      <w:szCs w:val="24"/>
      <w:lang w:val="en-US" w:eastAsia="zh-CN" w:bidi="ar-SA"/>
    </w:rPr>
  </w:style>
  <w:style w:type="character" w:customStyle="1" w:styleId="280">
    <w:name w:val="标题 1 字符1"/>
    <w:link w:val="4"/>
    <w:autoRedefine/>
    <w:qFormat/>
    <w:uiPriority w:val="9"/>
    <w:rPr>
      <w:b/>
      <w:bCs/>
      <w:kern w:val="44"/>
      <w:sz w:val="44"/>
      <w:szCs w:val="44"/>
    </w:rPr>
  </w:style>
  <w:style w:type="character" w:customStyle="1" w:styleId="281">
    <w:name w:val="Footer-Even Char1"/>
    <w:autoRedefine/>
    <w:qFormat/>
    <w:uiPriority w:val="0"/>
    <w:rPr>
      <w:rFonts w:eastAsia="宋体"/>
      <w:kern w:val="2"/>
      <w:sz w:val="18"/>
      <w:szCs w:val="18"/>
      <w:lang w:val="en-US" w:eastAsia="zh-CN" w:bidi="ar-SA"/>
    </w:rPr>
  </w:style>
  <w:style w:type="character" w:customStyle="1" w:styleId="282">
    <w:name w:val="Char Char29"/>
    <w:autoRedefine/>
    <w:qFormat/>
    <w:uiPriority w:val="6"/>
    <w:rPr>
      <w:rFonts w:ascii="Arial" w:hAnsi="Arial" w:eastAsia="微软雅黑"/>
      <w:b/>
      <w:kern w:val="1"/>
      <w:sz w:val="44"/>
      <w:szCs w:val="32"/>
      <w:lang w:val="en-US" w:eastAsia="zh-CN" w:bidi="ar-SA"/>
    </w:rPr>
  </w:style>
  <w:style w:type="character" w:customStyle="1" w:styleId="283">
    <w:name w:val="标题 字符"/>
    <w:link w:val="58"/>
    <w:autoRedefine/>
    <w:qFormat/>
    <w:uiPriority w:val="10"/>
    <w:rPr>
      <w:b/>
      <w:sz w:val="24"/>
      <w:lang w:val="en-GB"/>
    </w:rPr>
  </w:style>
  <w:style w:type="character" w:customStyle="1" w:styleId="284">
    <w:name w:val="font81"/>
    <w:autoRedefine/>
    <w:qFormat/>
    <w:uiPriority w:val="0"/>
    <w:rPr>
      <w:rFonts w:ascii="微软雅黑" w:hAnsi="微软雅黑" w:eastAsia="微软雅黑" w:cs="微软雅黑"/>
      <w:color w:val="000000"/>
      <w:sz w:val="20"/>
      <w:szCs w:val="20"/>
      <w:u w:val="none"/>
    </w:rPr>
  </w:style>
  <w:style w:type="character" w:customStyle="1" w:styleId="285">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6">
    <w:name w:val="t21"/>
    <w:autoRedefine/>
    <w:qFormat/>
    <w:uiPriority w:val="0"/>
    <w:rPr>
      <w:rFonts w:ascii="仿宋_GB2312" w:eastAsia="微软雅黑"/>
      <w:b/>
      <w:kern w:val="2"/>
      <w:sz w:val="23"/>
      <w:szCs w:val="23"/>
      <w:lang w:val="en-US" w:eastAsia="zh-CN" w:bidi="ar-SA"/>
    </w:rPr>
  </w:style>
  <w:style w:type="character" w:customStyle="1" w:styleId="287">
    <w:name w:val="样式8 Char"/>
    <w:autoRedefine/>
    <w:qFormat/>
    <w:uiPriority w:val="0"/>
    <w:rPr>
      <w:rFonts w:ascii="仿宋_GB2312" w:hAnsi="宋体" w:eastAsia="仿宋_GB2312"/>
      <w:b/>
      <w:bCs/>
      <w:kern w:val="2"/>
      <w:sz w:val="24"/>
      <w:szCs w:val="24"/>
    </w:rPr>
  </w:style>
  <w:style w:type="character" w:customStyle="1" w:styleId="288">
    <w:name w:val="表格 Char Char"/>
    <w:autoRedefine/>
    <w:qFormat/>
    <w:uiPriority w:val="0"/>
    <w:rPr>
      <w:rFonts w:ascii="宋体" w:hAnsi="宋体" w:eastAsia="宋体"/>
      <w:lang w:bidi="ar-SA"/>
    </w:rPr>
  </w:style>
  <w:style w:type="character" w:customStyle="1" w:styleId="289">
    <w:name w:val="正文文本 字符1"/>
    <w:autoRedefine/>
    <w:qFormat/>
    <w:uiPriority w:val="0"/>
    <w:rPr>
      <w:rFonts w:ascii="Calibri" w:hAnsi="Calibri" w:eastAsia="黑体" w:cs="Arial"/>
      <w:snapToGrid w:val="0"/>
      <w:kern w:val="2"/>
      <w:sz w:val="28"/>
      <w:szCs w:val="21"/>
    </w:rPr>
  </w:style>
  <w:style w:type="character" w:customStyle="1" w:styleId="290">
    <w:name w:val="标题 5 字符"/>
    <w:link w:val="7"/>
    <w:autoRedefine/>
    <w:qFormat/>
    <w:uiPriority w:val="9"/>
    <w:rPr>
      <w:b/>
      <w:bCs/>
      <w:kern w:val="2"/>
      <w:sz w:val="28"/>
      <w:szCs w:val="28"/>
    </w:rPr>
  </w:style>
  <w:style w:type="character" w:customStyle="1" w:styleId="291">
    <w:name w:val="标题 6 Char1"/>
    <w:autoRedefine/>
    <w:qFormat/>
    <w:uiPriority w:val="0"/>
    <w:rPr>
      <w:rFonts w:ascii="Arial" w:hAnsi="Arial" w:eastAsia="黑体" w:cs="Times New Roman"/>
      <w:b/>
      <w:sz w:val="24"/>
      <w:szCs w:val="20"/>
      <w:lang w:bidi="ar-SA"/>
    </w:rPr>
  </w:style>
  <w:style w:type="character" w:customStyle="1" w:styleId="292">
    <w:name w:val="带编号样式 Char"/>
    <w:autoRedefine/>
    <w:qFormat/>
    <w:uiPriority w:val="0"/>
    <w:rPr>
      <w:rFonts w:ascii="仿宋_GB2312" w:eastAsia="仿宋_GB2312"/>
      <w:color w:val="000000"/>
      <w:sz w:val="24"/>
      <w:lang w:bidi="ar-SA"/>
    </w:rPr>
  </w:style>
  <w:style w:type="character" w:customStyle="1" w:styleId="293">
    <w:name w:val="unnamed31"/>
    <w:autoRedefine/>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autoRedefine/>
    <w:qFormat/>
    <w:uiPriority w:val="0"/>
    <w:rPr>
      <w:rFonts w:ascii="宋体" w:eastAsia="宋体"/>
      <w:kern w:val="2"/>
      <w:sz w:val="24"/>
      <w:szCs w:val="24"/>
      <w:lang w:val="zh-CN" w:bidi="ar-SA"/>
    </w:rPr>
  </w:style>
  <w:style w:type="character" w:customStyle="1" w:styleId="295">
    <w:name w:val="称呼 字符"/>
    <w:link w:val="20"/>
    <w:autoRedefine/>
    <w:qFormat/>
    <w:uiPriority w:val="0"/>
    <w:rPr>
      <w:rFonts w:ascii="仿宋_GB2312" w:eastAsia="仿宋_GB2312"/>
      <w:kern w:val="2"/>
      <w:sz w:val="28"/>
    </w:rPr>
  </w:style>
  <w:style w:type="character" w:customStyle="1" w:styleId="296">
    <w:name w:val="文本正文 Char Char"/>
    <w:autoRedefine/>
    <w:qFormat/>
    <w:locked/>
    <w:uiPriority w:val="0"/>
    <w:rPr>
      <w:sz w:val="24"/>
      <w:lang w:bidi="ar-SA"/>
    </w:rPr>
  </w:style>
  <w:style w:type="character" w:customStyle="1" w:styleId="297">
    <w:name w:val="正文缩进 字符"/>
    <w:autoRedefine/>
    <w:qFormat/>
    <w:uiPriority w:val="0"/>
    <w:rPr>
      <w:rFonts w:ascii="宋体" w:eastAsia="宋体"/>
      <w:snapToGrid w:val="0"/>
      <w:color w:val="000000"/>
      <w:kern w:val="28"/>
      <w:sz w:val="28"/>
      <w:lang w:val="en-US" w:eastAsia="zh-CN" w:bidi="ar-SA"/>
    </w:rPr>
  </w:style>
  <w:style w:type="character" w:customStyle="1" w:styleId="298">
    <w:name w:val="HTML 预设格式 字符"/>
    <w:link w:val="56"/>
    <w:autoRedefine/>
    <w:qFormat/>
    <w:uiPriority w:val="0"/>
    <w:rPr>
      <w:rFonts w:ascii="黑体" w:hAnsi="Courier New" w:eastAsia="黑体"/>
    </w:rPr>
  </w:style>
  <w:style w:type="character" w:customStyle="1" w:styleId="299">
    <w:name w:val="正文文本 2 字符1"/>
    <w:link w:val="55"/>
    <w:autoRedefine/>
    <w:qFormat/>
    <w:uiPriority w:val="0"/>
    <w:rPr>
      <w:kern w:val="2"/>
      <w:sz w:val="21"/>
      <w:szCs w:val="24"/>
    </w:rPr>
  </w:style>
  <w:style w:type="character" w:customStyle="1" w:styleId="300">
    <w:name w:val="样式 样式 标题 4h4H4Fab-4T5Ref Heading 1rh1Heading sqlsect 1.2.3.... +... Char"/>
    <w:link w:val="301"/>
    <w:autoRedefine/>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autoRedefine/>
    <w:qFormat/>
    <w:uiPriority w:val="0"/>
    <w:pPr>
      <w:tabs>
        <w:tab w:val="left" w:pos="2356"/>
      </w:tabs>
    </w:pPr>
  </w:style>
  <w:style w:type="paragraph" w:customStyle="1" w:styleId="302">
    <w:name w:val="样式 标题 4h4H4Fab-4T5Ref Heading 1rh1Heading sqlsect 1.2.3...."/>
    <w:basedOn w:val="6"/>
    <w:link w:val="410"/>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autoRedefine/>
    <w:qFormat/>
    <w:uiPriority w:val="0"/>
    <w:rPr>
      <w:rFonts w:ascii="宋体" w:eastAsia="宋体"/>
      <w:snapToGrid w:val="0"/>
      <w:color w:val="000000"/>
      <w:kern w:val="28"/>
      <w:sz w:val="28"/>
      <w:lang w:val="en-US" w:eastAsia="zh-CN" w:bidi="ar-SA"/>
    </w:rPr>
  </w:style>
  <w:style w:type="character" w:customStyle="1" w:styleId="304">
    <w:name w:val="标题 7 字符"/>
    <w:link w:val="9"/>
    <w:autoRedefine/>
    <w:qFormat/>
    <w:uiPriority w:val="0"/>
    <w:rPr>
      <w:b/>
      <w:bCs/>
      <w:kern w:val="2"/>
      <w:sz w:val="24"/>
      <w:szCs w:val="24"/>
    </w:rPr>
  </w:style>
  <w:style w:type="character" w:customStyle="1" w:styleId="305">
    <w:name w:val="正文文本缩进 2 字符"/>
    <w:link w:val="36"/>
    <w:autoRedefine/>
    <w:qFormat/>
    <w:uiPriority w:val="0"/>
    <w:rPr>
      <w:rFonts w:ascii="宋体"/>
      <w:sz w:val="28"/>
    </w:rPr>
  </w:style>
  <w:style w:type="character" w:customStyle="1" w:styleId="306">
    <w:name w:val="Char Char5"/>
    <w:autoRedefine/>
    <w:qFormat/>
    <w:uiPriority w:val="0"/>
    <w:rPr>
      <w:rFonts w:ascii="宋体" w:hAnsi="Courier New" w:eastAsia="宋体"/>
      <w:kern w:val="2"/>
      <w:sz w:val="21"/>
      <w:lang w:val="en-US" w:eastAsia="zh-CN"/>
    </w:rPr>
  </w:style>
  <w:style w:type="character" w:customStyle="1" w:styleId="307">
    <w:name w:val="脚注文本 字符"/>
    <w:link w:val="49"/>
    <w:autoRedefine/>
    <w:qFormat/>
    <w:uiPriority w:val="0"/>
    <w:rPr>
      <w:color w:val="0000FF"/>
      <w:sz w:val="21"/>
    </w:rPr>
  </w:style>
  <w:style w:type="character" w:customStyle="1" w:styleId="308">
    <w:name w:val="称呼 Char1"/>
    <w:autoRedefine/>
    <w:qFormat/>
    <w:uiPriority w:val="0"/>
    <w:rPr>
      <w:rFonts w:ascii="Times New Roman" w:hAnsi="Times New Roman" w:eastAsia="宋体" w:cs="Times New Roman"/>
      <w:szCs w:val="24"/>
    </w:rPr>
  </w:style>
  <w:style w:type="character" w:customStyle="1" w:styleId="309">
    <w:name w:val="正文1 Char"/>
    <w:autoRedefine/>
    <w:qFormat/>
    <w:uiPriority w:val="0"/>
    <w:rPr>
      <w:rFonts w:ascii="宋体" w:eastAsia="宋体"/>
      <w:snapToGrid w:val="0"/>
      <w:color w:val="000000"/>
      <w:kern w:val="28"/>
      <w:sz w:val="28"/>
      <w:lang w:val="en-US" w:eastAsia="zh-CN" w:bidi="ar-SA"/>
    </w:rPr>
  </w:style>
  <w:style w:type="character" w:customStyle="1" w:styleId="310">
    <w:name w:val="正文缩进 Char1"/>
    <w:autoRedefine/>
    <w:qFormat/>
    <w:uiPriority w:val="0"/>
    <w:rPr>
      <w:rFonts w:ascii="宋体" w:eastAsia="宋体"/>
      <w:snapToGrid w:val="0"/>
      <w:color w:val="000000"/>
      <w:kern w:val="28"/>
      <w:sz w:val="28"/>
      <w:lang w:val="en-US" w:eastAsia="zh-CN" w:bidi="ar-SA"/>
    </w:rPr>
  </w:style>
  <w:style w:type="character" w:customStyle="1" w:styleId="311">
    <w:name w:val="font21"/>
    <w:autoRedefine/>
    <w:qFormat/>
    <w:uiPriority w:val="0"/>
    <w:rPr>
      <w:rFonts w:hint="eastAsia" w:ascii="宋体" w:hAnsi="宋体" w:eastAsia="宋体"/>
      <w:kern w:val="2"/>
      <w:sz w:val="28"/>
      <w:szCs w:val="28"/>
      <w:lang w:val="en-US" w:eastAsia="zh-CN" w:bidi="ar-SA"/>
    </w:rPr>
  </w:style>
  <w:style w:type="character" w:customStyle="1" w:styleId="312">
    <w:name w:val="Char Char26"/>
    <w:autoRedefine/>
    <w:qFormat/>
    <w:uiPriority w:val="6"/>
    <w:rPr>
      <w:kern w:val="1"/>
      <w:sz w:val="21"/>
      <w:szCs w:val="24"/>
    </w:rPr>
  </w:style>
  <w:style w:type="character" w:customStyle="1" w:styleId="313">
    <w:name w:val="Item List Char"/>
    <w:link w:val="314"/>
    <w:autoRedefine/>
    <w:qFormat/>
    <w:uiPriority w:val="0"/>
    <w:rPr>
      <w:rFonts w:ascii="Arial"/>
      <w:bCs/>
      <w:sz w:val="21"/>
      <w:szCs w:val="21"/>
      <w:lang w:val="en-US" w:eastAsia="zh-CN" w:bidi="ar-SA"/>
    </w:rPr>
  </w:style>
  <w:style w:type="paragraph" w:customStyle="1" w:styleId="314">
    <w:name w:val="Item List"/>
    <w:link w:val="313"/>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autoRedefine/>
    <w:qFormat/>
    <w:uiPriority w:val="0"/>
    <w:rPr>
      <w:rFonts w:ascii="Times New Roman" w:hAnsi="Times New Roman" w:eastAsia="宋体" w:cs="Times New Roman"/>
      <w:sz w:val="18"/>
      <w:szCs w:val="18"/>
    </w:rPr>
  </w:style>
  <w:style w:type="character" w:customStyle="1" w:styleId="316">
    <w:name w:val="纯文本 Char1"/>
    <w:link w:val="317"/>
    <w:autoRedefine/>
    <w:qFormat/>
    <w:uiPriority w:val="0"/>
    <w:rPr>
      <w:rFonts w:ascii="宋体" w:hAnsi="Courier New"/>
    </w:rPr>
  </w:style>
  <w:style w:type="paragraph" w:customStyle="1" w:styleId="317">
    <w:name w:val="纯文本1"/>
    <w:basedOn w:val="1"/>
    <w:link w:val="316"/>
    <w:autoRedefine/>
    <w:qFormat/>
    <w:uiPriority w:val="0"/>
    <w:pPr>
      <w:adjustRightInd/>
    </w:pPr>
    <w:rPr>
      <w:rFonts w:ascii="宋体" w:hAnsi="Courier New"/>
      <w:kern w:val="0"/>
      <w:sz w:val="20"/>
      <w:szCs w:val="20"/>
    </w:rPr>
  </w:style>
  <w:style w:type="character" w:customStyle="1" w:styleId="318">
    <w:name w:val="正文首行缩进 字符"/>
    <w:link w:val="60"/>
    <w:autoRedefine/>
    <w:qFormat/>
    <w:uiPriority w:val="0"/>
    <w:rPr>
      <w:rFonts w:ascii="宋体"/>
      <w:kern w:val="2"/>
      <w:sz w:val="24"/>
      <w:lang w:val="zh-CN"/>
    </w:rPr>
  </w:style>
  <w:style w:type="character" w:customStyle="1" w:styleId="319">
    <w:name w:val="h3 Char"/>
    <w:autoRedefine/>
    <w:qFormat/>
    <w:uiPriority w:val="0"/>
    <w:rPr>
      <w:rFonts w:eastAsia="宋体"/>
      <w:b/>
      <w:kern w:val="2"/>
      <w:sz w:val="32"/>
      <w:lang w:val="en-US" w:eastAsia="zh-CN" w:bidi="ar-SA"/>
    </w:rPr>
  </w:style>
  <w:style w:type="character" w:customStyle="1" w:styleId="320">
    <w:name w:val="dandyren_title1"/>
    <w:autoRedefine/>
    <w:qFormat/>
    <w:uiPriority w:val="0"/>
    <w:rPr>
      <w:b/>
      <w:bCs/>
      <w:color w:val="FF6633"/>
      <w:sz w:val="18"/>
      <w:szCs w:val="18"/>
    </w:rPr>
  </w:style>
  <w:style w:type="character" w:customStyle="1" w:styleId="321">
    <w:name w:val="Char Char31"/>
    <w:autoRedefine/>
    <w:qFormat/>
    <w:uiPriority w:val="6"/>
    <w:rPr>
      <w:rFonts w:ascii="Arial" w:hAnsi="Arial" w:eastAsia="黑体"/>
      <w:kern w:val="1"/>
      <w:sz w:val="24"/>
      <w:szCs w:val="24"/>
    </w:rPr>
  </w:style>
  <w:style w:type="character" w:customStyle="1" w:styleId="322">
    <w:name w:val="h Char1"/>
    <w:autoRedefine/>
    <w:qFormat/>
    <w:uiPriority w:val="0"/>
    <w:rPr>
      <w:sz w:val="18"/>
      <w:szCs w:val="18"/>
    </w:rPr>
  </w:style>
  <w:style w:type="character" w:customStyle="1" w:styleId="323">
    <w:name w:val="solutionfonts"/>
    <w:autoRedefine/>
    <w:qFormat/>
    <w:uiPriority w:val="0"/>
  </w:style>
  <w:style w:type="character" w:customStyle="1" w:styleId="324">
    <w:name w:val="标题 4 字符1"/>
    <w:link w:val="6"/>
    <w:autoRedefine/>
    <w:qFormat/>
    <w:uiPriority w:val="9"/>
    <w:rPr>
      <w:rFonts w:ascii="Arial" w:hAnsi="Arial" w:eastAsia="黑体"/>
      <w:b/>
      <w:bCs/>
      <w:kern w:val="2"/>
      <w:sz w:val="28"/>
      <w:szCs w:val="28"/>
      <w:lang w:val="zh-CN"/>
    </w:rPr>
  </w:style>
  <w:style w:type="character" w:customStyle="1" w:styleId="325">
    <w:name w:val="首行缩进 Char"/>
    <w:autoRedefine/>
    <w:qFormat/>
    <w:uiPriority w:val="0"/>
    <w:rPr>
      <w:rFonts w:ascii="宋体" w:eastAsia="宋体"/>
      <w:kern w:val="2"/>
      <w:sz w:val="24"/>
      <w:lang w:val="en-US" w:eastAsia="zh-CN" w:bidi="ar-SA"/>
    </w:rPr>
  </w:style>
  <w:style w:type="character" w:customStyle="1" w:styleId="326">
    <w:name w:val="Char Char52"/>
    <w:autoRedefine/>
    <w:qFormat/>
    <w:uiPriority w:val="0"/>
    <w:rPr>
      <w:rFonts w:ascii="宋体" w:hAnsi="Courier New" w:eastAsia="宋体"/>
      <w:kern w:val="2"/>
      <w:sz w:val="21"/>
      <w:lang w:val="en-US" w:eastAsia="zh-CN"/>
    </w:rPr>
  </w:style>
  <w:style w:type="character" w:customStyle="1" w:styleId="327">
    <w:name w:val="正文文本 3 字符"/>
    <w:link w:val="21"/>
    <w:autoRedefine/>
    <w:qFormat/>
    <w:uiPriority w:val="0"/>
    <w:rPr>
      <w:kern w:val="2"/>
      <w:sz w:val="21"/>
    </w:rPr>
  </w:style>
  <w:style w:type="character" w:customStyle="1" w:styleId="328">
    <w:name w:val="font31"/>
    <w:autoRedefine/>
    <w:qFormat/>
    <w:uiPriority w:val="0"/>
    <w:rPr>
      <w:rFonts w:hint="eastAsia" w:ascii="仿宋" w:hAnsi="仿宋" w:eastAsia="仿宋" w:cs="仿宋"/>
      <w:color w:val="000000"/>
      <w:sz w:val="20"/>
      <w:szCs w:val="20"/>
      <w:u w:val="none"/>
    </w:rPr>
  </w:style>
  <w:style w:type="character" w:customStyle="1" w:styleId="329">
    <w:name w:val="正文说明 Char"/>
    <w:link w:val="330"/>
    <w:autoRedefine/>
    <w:qFormat/>
    <w:uiPriority w:val="0"/>
    <w:rPr>
      <w:sz w:val="24"/>
      <w:szCs w:val="24"/>
    </w:rPr>
  </w:style>
  <w:style w:type="paragraph" w:customStyle="1" w:styleId="330">
    <w:name w:val="正文说明"/>
    <w:basedOn w:val="1"/>
    <w:link w:val="329"/>
    <w:autoRedefine/>
    <w:qFormat/>
    <w:uiPriority w:val="0"/>
    <w:pPr>
      <w:adjustRightInd/>
      <w:spacing w:line="360" w:lineRule="auto"/>
    </w:pPr>
    <w:rPr>
      <w:kern w:val="0"/>
      <w:sz w:val="24"/>
    </w:rPr>
  </w:style>
  <w:style w:type="character" w:customStyle="1" w:styleId="331">
    <w:name w:val="脚注文本 Char1"/>
    <w:autoRedefine/>
    <w:qFormat/>
    <w:uiPriority w:val="0"/>
    <w:rPr>
      <w:rFonts w:ascii="Times New Roman" w:hAnsi="Times New Roman" w:eastAsia="宋体" w:cs="Times New Roman"/>
      <w:sz w:val="18"/>
      <w:szCs w:val="18"/>
    </w:rPr>
  </w:style>
  <w:style w:type="character" w:customStyle="1" w:styleId="332">
    <w:name w:val="Char Char1211"/>
    <w:autoRedefine/>
    <w:qFormat/>
    <w:uiPriority w:val="0"/>
    <w:rPr>
      <w:rFonts w:ascii="仿宋_GB2312" w:eastAsia="仿宋_GB2312"/>
      <w:b/>
      <w:bCs/>
      <w:kern w:val="2"/>
      <w:sz w:val="24"/>
      <w:szCs w:val="24"/>
      <w:lang w:val="zh-CN" w:eastAsia="zh-CN" w:bidi="ar-SA"/>
    </w:rPr>
  </w:style>
  <w:style w:type="character" w:customStyle="1" w:styleId="333">
    <w:name w:val="标题 Char"/>
    <w:autoRedefine/>
    <w:qFormat/>
    <w:uiPriority w:val="0"/>
    <w:rPr>
      <w:rFonts w:eastAsia="宋体"/>
      <w:b/>
      <w:sz w:val="24"/>
      <w:lang w:val="en-GB" w:eastAsia="zh-CN" w:bidi="ar-SA"/>
    </w:rPr>
  </w:style>
  <w:style w:type="character" w:customStyle="1" w:styleId="334">
    <w:name w:val="Char Char35"/>
    <w:autoRedefine/>
    <w:qFormat/>
    <w:uiPriority w:val="6"/>
    <w:rPr>
      <w:rFonts w:ascii="Arial" w:hAnsi="Arial" w:eastAsia="黑体"/>
      <w:b/>
      <w:kern w:val="1"/>
      <w:sz w:val="28"/>
      <w:szCs w:val="28"/>
      <w:lang w:val="zh-CN"/>
    </w:rPr>
  </w:style>
  <w:style w:type="character" w:customStyle="1" w:styleId="335">
    <w:name w:val="纯文本 Char Char Char"/>
    <w:autoRedefine/>
    <w:qFormat/>
    <w:uiPriority w:val="0"/>
    <w:rPr>
      <w:rFonts w:ascii="宋体" w:hAnsi="Courier New" w:eastAsia="宋体"/>
      <w:kern w:val="2"/>
      <w:sz w:val="21"/>
      <w:lang w:val="en-US" w:eastAsia="zh-CN" w:bidi="ar-SA"/>
    </w:rPr>
  </w:style>
  <w:style w:type="character" w:customStyle="1" w:styleId="336">
    <w:name w:val="Table Text Char"/>
    <w:link w:val="337"/>
    <w:autoRedefine/>
    <w:qFormat/>
    <w:uiPriority w:val="0"/>
    <w:rPr>
      <w:sz w:val="24"/>
      <w:szCs w:val="24"/>
    </w:rPr>
  </w:style>
  <w:style w:type="paragraph" w:customStyle="1" w:styleId="337">
    <w:name w:val="Table Text"/>
    <w:basedOn w:val="1"/>
    <w:link w:val="336"/>
    <w:autoRedefine/>
    <w:qFormat/>
    <w:uiPriority w:val="0"/>
    <w:pPr>
      <w:widowControl/>
      <w:spacing w:before="60" w:after="60"/>
      <w:jc w:val="left"/>
    </w:pPr>
    <w:rPr>
      <w:kern w:val="0"/>
      <w:sz w:val="24"/>
    </w:rPr>
  </w:style>
  <w:style w:type="character" w:customStyle="1" w:styleId="338">
    <w:name w:val="正文1 Char1"/>
    <w:autoRedefine/>
    <w:qFormat/>
    <w:uiPriority w:val="0"/>
    <w:rPr>
      <w:rFonts w:ascii="仿宋_GB2312" w:hAnsi="Courier New" w:eastAsia="仿宋_GB2312"/>
      <w:kern w:val="28"/>
      <w:sz w:val="24"/>
      <w:szCs w:val="24"/>
      <w:lang w:val="en-US" w:eastAsia="zh-CN"/>
    </w:rPr>
  </w:style>
  <w:style w:type="character" w:customStyle="1" w:styleId="339">
    <w:name w:val="页脚 Char1"/>
    <w:autoRedefine/>
    <w:qFormat/>
    <w:uiPriority w:val="0"/>
    <w:rPr>
      <w:rFonts w:eastAsia="宋体"/>
      <w:kern w:val="2"/>
      <w:sz w:val="18"/>
      <w:szCs w:val="18"/>
      <w:lang w:val="en-US" w:eastAsia="zh-CN" w:bidi="ar-SA"/>
    </w:rPr>
  </w:style>
  <w:style w:type="character" w:customStyle="1" w:styleId="340">
    <w:name w:val="Bold"/>
    <w:autoRedefine/>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autoRedefine/>
    <w:qFormat/>
    <w:uiPriority w:val="0"/>
    <w:rPr>
      <w:kern w:val="2"/>
      <w:sz w:val="21"/>
      <w:szCs w:val="24"/>
    </w:rPr>
  </w:style>
  <w:style w:type="character" w:customStyle="1" w:styleId="342">
    <w:name w:val="签名 字符"/>
    <w:link w:val="41"/>
    <w:autoRedefine/>
    <w:qFormat/>
    <w:uiPriority w:val="0"/>
    <w:rPr>
      <w:rFonts w:eastAsia="仿宋_GB2312"/>
      <w:sz w:val="24"/>
    </w:rPr>
  </w:style>
  <w:style w:type="character" w:customStyle="1" w:styleId="343">
    <w:name w:val="hui3"/>
    <w:autoRedefine/>
    <w:qFormat/>
    <w:uiPriority w:val="0"/>
    <w:rPr>
      <w:color w:val="333333"/>
    </w:rPr>
  </w:style>
  <w:style w:type="character" w:customStyle="1" w:styleId="344">
    <w:name w:val="Char Char17"/>
    <w:autoRedefine/>
    <w:qFormat/>
    <w:uiPriority w:val="6"/>
    <w:rPr>
      <w:rFonts w:eastAsia="仿宋_GB2312"/>
      <w:sz w:val="24"/>
    </w:rPr>
  </w:style>
  <w:style w:type="character" w:customStyle="1" w:styleId="345">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6">
    <w:name w:val="Char Char37"/>
    <w:autoRedefine/>
    <w:qFormat/>
    <w:uiPriority w:val="6"/>
    <w:rPr>
      <w:b/>
      <w:kern w:val="1"/>
      <w:sz w:val="44"/>
      <w:szCs w:val="44"/>
    </w:rPr>
  </w:style>
  <w:style w:type="character" w:customStyle="1" w:styleId="347">
    <w:name w:val="列出段落 Char"/>
    <w:autoRedefine/>
    <w:qFormat/>
    <w:uiPriority w:val="0"/>
    <w:rPr>
      <w:rFonts w:eastAsia="楷体_GB2312" w:cs="Lucida Sans"/>
      <w:kern w:val="2"/>
      <w:sz w:val="24"/>
      <w:szCs w:val="24"/>
      <w:lang w:val="en-US" w:eastAsia="zh-CN" w:bidi="ar-SA"/>
    </w:rPr>
  </w:style>
  <w:style w:type="character" w:customStyle="1" w:styleId="348">
    <w:name w:val="正文文本缩进 3 Char1"/>
    <w:autoRedefine/>
    <w:semiHidden/>
    <w:qFormat/>
    <w:uiPriority w:val="99"/>
    <w:rPr>
      <w:rFonts w:ascii="Times New Roman" w:hAnsi="Times New Roman" w:eastAsia="宋体" w:cs="Times New Roman"/>
      <w:sz w:val="16"/>
      <w:szCs w:val="16"/>
    </w:rPr>
  </w:style>
  <w:style w:type="character" w:customStyle="1" w:styleId="349">
    <w:name w:val="公文正文 Char Char"/>
    <w:link w:val="350"/>
    <w:autoRedefine/>
    <w:qFormat/>
    <w:uiPriority w:val="0"/>
    <w:rPr>
      <w:rFonts w:ascii="仿宋_GB2312" w:eastAsia="仿宋_GB2312"/>
      <w:kern w:val="2"/>
      <w:sz w:val="24"/>
      <w:szCs w:val="24"/>
    </w:rPr>
  </w:style>
  <w:style w:type="paragraph" w:customStyle="1" w:styleId="350">
    <w:name w:val="公文正文"/>
    <w:basedOn w:val="1"/>
    <w:link w:val="349"/>
    <w:autoRedefine/>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autoRedefine/>
    <w:qFormat/>
    <w:uiPriority w:val="0"/>
    <w:rPr>
      <w:rFonts w:eastAsia="宋体"/>
      <w:sz w:val="24"/>
      <w:szCs w:val="24"/>
      <w:lang w:val="en-US" w:eastAsia="zh-CN" w:bidi="ar-SA"/>
    </w:rPr>
  </w:style>
  <w:style w:type="character" w:customStyle="1" w:styleId="352">
    <w:name w:val="标题 1 Char Char"/>
    <w:autoRedefine/>
    <w:qFormat/>
    <w:uiPriority w:val="0"/>
    <w:rPr>
      <w:rFonts w:hint="eastAsia" w:ascii="宋体" w:hAnsi="宋体" w:eastAsia="宋体"/>
      <w:b/>
      <w:spacing w:val="-2"/>
      <w:sz w:val="24"/>
      <w:lang w:val="en-US" w:eastAsia="zh-CN" w:bidi="ar-SA"/>
    </w:rPr>
  </w:style>
  <w:style w:type="character" w:customStyle="1" w:styleId="353">
    <w:name w:val="正文（缩进2汉字） Char"/>
    <w:link w:val="354"/>
    <w:autoRedefine/>
    <w:qFormat/>
    <w:uiPriority w:val="0"/>
    <w:rPr>
      <w:rFonts w:ascii="宋体"/>
    </w:rPr>
  </w:style>
  <w:style w:type="paragraph" w:customStyle="1" w:styleId="354">
    <w:name w:val="正文（缩进2汉字）"/>
    <w:basedOn w:val="1"/>
    <w:link w:val="353"/>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autoRedefine/>
    <w:qFormat/>
    <w:uiPriority w:val="0"/>
    <w:rPr>
      <w:rFonts w:ascii="Arial" w:hAnsi="Arial" w:eastAsia="黑体"/>
      <w:kern w:val="2"/>
      <w:sz w:val="24"/>
      <w:szCs w:val="24"/>
    </w:rPr>
  </w:style>
  <w:style w:type="character" w:customStyle="1" w:styleId="356">
    <w:name w:val="标书表格字体格式 Char"/>
    <w:autoRedefine/>
    <w:qFormat/>
    <w:uiPriority w:val="0"/>
    <w:rPr>
      <w:kern w:val="2"/>
      <w:sz w:val="21"/>
      <w:szCs w:val="24"/>
      <w:lang w:bidi="ar-SA"/>
    </w:rPr>
  </w:style>
  <w:style w:type="character" w:customStyle="1" w:styleId="357">
    <w:name w:val="tw4winError"/>
    <w:autoRedefine/>
    <w:qFormat/>
    <w:uiPriority w:val="0"/>
    <w:rPr>
      <w:rFonts w:ascii="Courier New" w:hAnsi="Courier New" w:cs="Courier New"/>
      <w:color w:val="00FF00"/>
      <w:sz w:val="40"/>
      <w:szCs w:val="40"/>
    </w:rPr>
  </w:style>
  <w:style w:type="character" w:customStyle="1" w:styleId="358">
    <w:name w:val="Body Text(ch) Char Char"/>
    <w:autoRedefine/>
    <w:qFormat/>
    <w:uiPriority w:val="0"/>
    <w:rPr>
      <w:rFonts w:ascii="宋体"/>
      <w:kern w:val="2"/>
      <w:sz w:val="24"/>
      <w:szCs w:val="21"/>
      <w:lang w:val="zh-CN"/>
    </w:rPr>
  </w:style>
  <w:style w:type="character" w:customStyle="1" w:styleId="359">
    <w:name w:val="正文首行缩进两字 Char"/>
    <w:autoRedefine/>
    <w:qFormat/>
    <w:uiPriority w:val="0"/>
    <w:rPr>
      <w:sz w:val="24"/>
      <w:szCs w:val="24"/>
      <w:lang w:val="en-US" w:eastAsia="zh-CN" w:bidi="ar-SA"/>
    </w:rPr>
  </w:style>
  <w:style w:type="character" w:customStyle="1" w:styleId="360">
    <w:name w:val="正文文本 Char"/>
    <w:autoRedefine/>
    <w:qFormat/>
    <w:uiPriority w:val="0"/>
    <w:rPr>
      <w:rFonts w:eastAsia="宋体"/>
      <w:kern w:val="2"/>
      <w:sz w:val="24"/>
      <w:szCs w:val="24"/>
      <w:lang w:val="en-US" w:eastAsia="zh-CN" w:bidi="ar-SA"/>
    </w:rPr>
  </w:style>
  <w:style w:type="character" w:customStyle="1" w:styleId="361">
    <w:name w:val="文档结构图 字符1"/>
    <w:autoRedefine/>
    <w:qFormat/>
    <w:uiPriority w:val="0"/>
    <w:rPr>
      <w:rFonts w:ascii="宋体" w:hAnsi="Calibri" w:eastAsia="黑体" w:cs="Arial"/>
      <w:snapToGrid w:val="0"/>
      <w:kern w:val="2"/>
      <w:sz w:val="18"/>
      <w:szCs w:val="18"/>
    </w:rPr>
  </w:style>
  <w:style w:type="character" w:customStyle="1" w:styleId="362">
    <w:name w:val="content"/>
    <w:autoRedefine/>
    <w:qFormat/>
    <w:uiPriority w:val="0"/>
  </w:style>
  <w:style w:type="character" w:customStyle="1" w:styleId="363">
    <w:name w:val="tw4winPopup"/>
    <w:autoRedefine/>
    <w:qFormat/>
    <w:uiPriority w:val="0"/>
    <w:rPr>
      <w:rFonts w:ascii="Courier New" w:hAnsi="Courier New" w:cs="Courier New"/>
      <w:color w:val="008000"/>
      <w:lang w:val="en-US" w:eastAsia="zh-CN"/>
    </w:rPr>
  </w:style>
  <w:style w:type="character" w:customStyle="1" w:styleId="364">
    <w:name w:val="param-name"/>
    <w:autoRedefine/>
    <w:qFormat/>
    <w:uiPriority w:val="99"/>
    <w:rPr>
      <w:rFonts w:ascii="Arial" w:hAnsi="Arial" w:eastAsia="黑体" w:cs="Arial"/>
      <w:snapToGrid w:val="0"/>
      <w:kern w:val="0"/>
      <w:szCs w:val="21"/>
    </w:rPr>
  </w:style>
  <w:style w:type="character" w:customStyle="1" w:styleId="365">
    <w:name w:val="标准正文格式 Char"/>
    <w:autoRedefine/>
    <w:qFormat/>
    <w:uiPriority w:val="0"/>
    <w:rPr>
      <w:rFonts w:ascii="宋体" w:eastAsia="仿宋_GB2312" w:cs="宋体"/>
      <w:color w:val="000000"/>
      <w:sz w:val="24"/>
      <w:lang w:val="en-US" w:eastAsia="zh-CN" w:bidi="ar-SA"/>
    </w:rPr>
  </w:style>
  <w:style w:type="character" w:customStyle="1" w:styleId="366">
    <w:name w:val="Char Char212"/>
    <w:autoRedefine/>
    <w:qFormat/>
    <w:uiPriority w:val="0"/>
    <w:rPr>
      <w:rFonts w:eastAsia="宋体"/>
      <w:b/>
      <w:bCs/>
      <w:kern w:val="2"/>
      <w:sz w:val="21"/>
      <w:szCs w:val="24"/>
      <w:lang w:val="en-US" w:eastAsia="zh-CN" w:bidi="ar-SA"/>
    </w:rPr>
  </w:style>
  <w:style w:type="character" w:customStyle="1" w:styleId="367">
    <w:name w:val="文档结构图 Char"/>
    <w:autoRedefine/>
    <w:qFormat/>
    <w:uiPriority w:val="0"/>
    <w:rPr>
      <w:rFonts w:eastAsia="宋体"/>
      <w:kern w:val="2"/>
      <w:sz w:val="21"/>
      <w:szCs w:val="24"/>
      <w:lang w:val="en-US" w:eastAsia="zh-CN" w:bidi="ar-SA"/>
    </w:rPr>
  </w:style>
  <w:style w:type="character" w:customStyle="1" w:styleId="368">
    <w:name w:val="zbggmain style9"/>
    <w:autoRedefine/>
    <w:qFormat/>
    <w:uiPriority w:val="0"/>
  </w:style>
  <w:style w:type="character" w:customStyle="1" w:styleId="369">
    <w:name w:val="Char Char16"/>
    <w:autoRedefine/>
    <w:qFormat/>
    <w:uiPriority w:val="6"/>
    <w:rPr>
      <w:kern w:val="1"/>
      <w:sz w:val="18"/>
      <w:szCs w:val="18"/>
    </w:rPr>
  </w:style>
  <w:style w:type="character" w:customStyle="1" w:styleId="370">
    <w:name w:val="font51"/>
    <w:autoRedefine/>
    <w:qFormat/>
    <w:uiPriority w:val="0"/>
    <w:rPr>
      <w:rFonts w:hint="eastAsia" w:ascii="仿宋" w:hAnsi="仿宋" w:eastAsia="仿宋" w:cs="仿宋"/>
      <w:color w:val="000000"/>
      <w:sz w:val="20"/>
      <w:szCs w:val="20"/>
      <w:u w:val="none"/>
    </w:rPr>
  </w:style>
  <w:style w:type="character" w:customStyle="1" w:styleId="371">
    <w:name w:val="Char Char82"/>
    <w:autoRedefine/>
    <w:qFormat/>
    <w:uiPriority w:val="0"/>
    <w:rPr>
      <w:rFonts w:eastAsia="宋体"/>
      <w:b/>
      <w:sz w:val="24"/>
      <w:lang w:val="en-GB" w:eastAsia="zh-CN"/>
    </w:rPr>
  </w:style>
  <w:style w:type="character" w:customStyle="1" w:styleId="372">
    <w:name w:val="正文文本缩进 3 字符"/>
    <w:link w:val="52"/>
    <w:autoRedefine/>
    <w:qFormat/>
    <w:uiPriority w:val="0"/>
    <w:rPr>
      <w:kern w:val="2"/>
      <w:sz w:val="24"/>
    </w:rPr>
  </w:style>
  <w:style w:type="character" w:customStyle="1" w:styleId="373">
    <w:name w:val="日期 Char1"/>
    <w:autoRedefine/>
    <w:semiHidden/>
    <w:qFormat/>
    <w:uiPriority w:val="99"/>
    <w:rPr>
      <w:rFonts w:ascii="Times New Roman" w:hAnsi="Times New Roman" w:eastAsia="宋体" w:cs="Times New Roman"/>
      <w:szCs w:val="24"/>
    </w:rPr>
  </w:style>
  <w:style w:type="character" w:customStyle="1" w:styleId="374">
    <w:name w:val="页眉 字符"/>
    <w:autoRedefine/>
    <w:qFormat/>
    <w:uiPriority w:val="99"/>
    <w:rPr>
      <w:kern w:val="2"/>
      <w:sz w:val="18"/>
      <w:szCs w:val="18"/>
    </w:rPr>
  </w:style>
  <w:style w:type="character" w:customStyle="1" w:styleId="375">
    <w:name w:val="Char Char33"/>
    <w:autoRedefine/>
    <w:qFormat/>
    <w:uiPriority w:val="6"/>
    <w:rPr>
      <w:rFonts w:ascii="Arial" w:hAnsi="Arial" w:eastAsia="黑体"/>
      <w:b/>
      <w:kern w:val="1"/>
      <w:sz w:val="24"/>
      <w:szCs w:val="24"/>
    </w:rPr>
  </w:style>
  <w:style w:type="character" w:customStyle="1" w:styleId="376">
    <w:name w:val="b11_01b Char"/>
    <w:link w:val="377"/>
    <w:autoRedefine/>
    <w:qFormat/>
    <w:uiPriority w:val="0"/>
    <w:rPr>
      <w:rFonts w:ascii="Verdana" w:hAnsi="Verdana"/>
      <w:b/>
      <w:bCs/>
      <w:color w:val="4A82CA"/>
      <w:sz w:val="17"/>
      <w:szCs w:val="17"/>
    </w:rPr>
  </w:style>
  <w:style w:type="paragraph" w:customStyle="1" w:styleId="377">
    <w:name w:val="b11_01b"/>
    <w:basedOn w:val="1"/>
    <w:next w:val="1"/>
    <w:link w:val="37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autoRedefine/>
    <w:qFormat/>
    <w:uiPriority w:val="6"/>
    <w:rPr>
      <w:rFonts w:ascii="仿宋_GB2312" w:eastAsia="仿宋_GB2312"/>
      <w:b/>
      <w:bCs/>
      <w:kern w:val="2"/>
      <w:sz w:val="24"/>
      <w:szCs w:val="24"/>
      <w:lang w:val="zh-CN" w:eastAsia="zh-CN" w:bidi="ar-SA"/>
    </w:rPr>
  </w:style>
  <w:style w:type="character" w:customStyle="1" w:styleId="379">
    <w:name w:val="Footer-Even Char"/>
    <w:autoRedefine/>
    <w:qFormat/>
    <w:uiPriority w:val="0"/>
    <w:rPr>
      <w:rFonts w:eastAsia="宋体"/>
      <w:kern w:val="2"/>
      <w:sz w:val="18"/>
      <w:lang w:val="en-US" w:eastAsia="zh-CN" w:bidi="ar-SA"/>
    </w:rPr>
  </w:style>
  <w:style w:type="character" w:customStyle="1" w:styleId="380">
    <w:name w:val="页脚 字符2"/>
    <w:link w:val="39"/>
    <w:autoRedefine/>
    <w:qFormat/>
    <w:locked/>
    <w:uiPriority w:val="99"/>
    <w:rPr>
      <w:kern w:val="2"/>
      <w:sz w:val="18"/>
      <w:szCs w:val="18"/>
    </w:rPr>
  </w:style>
  <w:style w:type="character" w:customStyle="1" w:styleId="381">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2">
    <w:name w:val="Char Char61"/>
    <w:autoRedefine/>
    <w:qFormat/>
    <w:uiPriority w:val="6"/>
    <w:rPr>
      <w:rFonts w:eastAsia="宋体"/>
      <w:kern w:val="2"/>
      <w:sz w:val="21"/>
      <w:szCs w:val="24"/>
      <w:lang w:val="en-US" w:eastAsia="zh-CN" w:bidi="ar-SA"/>
    </w:rPr>
  </w:style>
  <w:style w:type="character" w:customStyle="1" w:styleId="383">
    <w:name w:val="正文文字缩进 2 Char Char"/>
    <w:autoRedefine/>
    <w:qFormat/>
    <w:uiPriority w:val="0"/>
    <w:rPr>
      <w:rFonts w:ascii="宋体"/>
      <w:sz w:val="28"/>
    </w:rPr>
  </w:style>
  <w:style w:type="character" w:customStyle="1" w:styleId="384">
    <w:name w:val="f141"/>
    <w:autoRedefine/>
    <w:qFormat/>
    <w:uiPriority w:val="0"/>
    <w:rPr>
      <w:rFonts w:ascii="Tahoma" w:hAnsi="Tahoma" w:eastAsia="宋体"/>
      <w:b/>
      <w:kern w:val="2"/>
      <w:sz w:val="21"/>
      <w:szCs w:val="21"/>
      <w:lang w:val="en-US" w:eastAsia="zh-CN" w:bidi="ar-SA"/>
    </w:rPr>
  </w:style>
  <w:style w:type="character" w:customStyle="1" w:styleId="385">
    <w:name w:val="段落 Char Char"/>
    <w:link w:val="386"/>
    <w:autoRedefine/>
    <w:qFormat/>
    <w:uiPriority w:val="0"/>
    <w:rPr>
      <w:rFonts w:ascii="宋体" w:hAnsi="宋体"/>
      <w:sz w:val="24"/>
    </w:rPr>
  </w:style>
  <w:style w:type="paragraph" w:customStyle="1" w:styleId="386">
    <w:name w:val="段落"/>
    <w:basedOn w:val="1"/>
    <w:link w:val="385"/>
    <w:autoRedefine/>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autoRedefine/>
    <w:qFormat/>
    <w:uiPriority w:val="0"/>
    <w:rPr>
      <w:rFonts w:eastAsia="宋体"/>
      <w:b/>
      <w:bCs/>
      <w:kern w:val="2"/>
      <w:sz w:val="32"/>
      <w:szCs w:val="32"/>
      <w:lang w:val="en-US" w:eastAsia="zh-CN" w:bidi="ar-SA"/>
    </w:rPr>
  </w:style>
  <w:style w:type="character" w:customStyle="1" w:styleId="388">
    <w:name w:val="apple-converted-space"/>
    <w:autoRedefine/>
    <w:qFormat/>
    <w:uiPriority w:val="0"/>
  </w:style>
  <w:style w:type="character" w:customStyle="1" w:styleId="389">
    <w:name w:val="页眉 字符2"/>
    <w:link w:val="40"/>
    <w:autoRedefine/>
    <w:qFormat/>
    <w:uiPriority w:val="99"/>
    <w:rPr>
      <w:kern w:val="2"/>
      <w:sz w:val="18"/>
      <w:szCs w:val="18"/>
    </w:rPr>
  </w:style>
  <w:style w:type="character" w:customStyle="1" w:styleId="390">
    <w:name w:val="Char Char9"/>
    <w:autoRedefine/>
    <w:qFormat/>
    <w:uiPriority w:val="0"/>
    <w:rPr>
      <w:rFonts w:eastAsia="宋体"/>
      <w:kern w:val="2"/>
      <w:sz w:val="18"/>
      <w:szCs w:val="18"/>
      <w:lang w:val="en-US" w:eastAsia="zh-CN" w:bidi="ar-SA"/>
    </w:rPr>
  </w:style>
  <w:style w:type="character" w:customStyle="1" w:styleId="391">
    <w:name w:val="Char Char41"/>
    <w:autoRedefine/>
    <w:qFormat/>
    <w:uiPriority w:val="0"/>
    <w:rPr>
      <w:rFonts w:eastAsia="宋体"/>
      <w:b/>
      <w:sz w:val="24"/>
      <w:lang w:val="en-GB" w:eastAsia="zh-CN" w:bidi="ar-SA"/>
    </w:rPr>
  </w:style>
  <w:style w:type="character" w:customStyle="1" w:styleId="392">
    <w:name w:val="large1"/>
    <w:autoRedefine/>
    <w:qFormat/>
    <w:uiPriority w:val="0"/>
    <w:rPr>
      <w:rFonts w:hint="eastAsia" w:ascii="宋体" w:hAnsi="宋体" w:eastAsia="宋体"/>
      <w:sz w:val="21"/>
      <w:szCs w:val="21"/>
    </w:rPr>
  </w:style>
  <w:style w:type="character" w:customStyle="1" w:styleId="393">
    <w:name w:val="正文段 Char"/>
    <w:link w:val="394"/>
    <w:autoRedefine/>
    <w:qFormat/>
    <w:uiPriority w:val="0"/>
    <w:rPr>
      <w:sz w:val="24"/>
    </w:rPr>
  </w:style>
  <w:style w:type="paragraph" w:customStyle="1" w:styleId="394">
    <w:name w:val="正文段"/>
    <w:basedOn w:val="1"/>
    <w:link w:val="393"/>
    <w:autoRedefine/>
    <w:qFormat/>
    <w:uiPriority w:val="0"/>
    <w:pPr>
      <w:widowControl/>
      <w:snapToGrid w:val="0"/>
      <w:spacing w:after="156" w:afterLines="50"/>
      <w:ind w:firstLine="200" w:firstLineChars="200"/>
    </w:pPr>
    <w:rPr>
      <w:kern w:val="0"/>
      <w:sz w:val="24"/>
      <w:szCs w:val="20"/>
    </w:rPr>
  </w:style>
  <w:style w:type="character" w:customStyle="1" w:styleId="395">
    <w:name w:val="Char Char13"/>
    <w:autoRedefine/>
    <w:qFormat/>
    <w:uiPriority w:val="6"/>
    <w:rPr>
      <w:rFonts w:ascii="宋体" w:hAnsi="宋体"/>
      <w:kern w:val="1"/>
      <w:sz w:val="21"/>
      <w:szCs w:val="24"/>
    </w:rPr>
  </w:style>
  <w:style w:type="character" w:customStyle="1" w:styleId="39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autoRedefine/>
    <w:qFormat/>
    <w:uiPriority w:val="0"/>
    <w:rPr>
      <w:rFonts w:ascii="宋体" w:hAnsi="宋体"/>
      <w:kern w:val="2"/>
      <w:sz w:val="24"/>
      <w:szCs w:val="22"/>
    </w:rPr>
  </w:style>
  <w:style w:type="paragraph" w:customStyle="1" w:styleId="398">
    <w:name w:val="冯广丽"/>
    <w:basedOn w:val="1"/>
    <w:link w:val="397"/>
    <w:autoRedefine/>
    <w:qFormat/>
    <w:uiPriority w:val="0"/>
    <w:pPr>
      <w:adjustRightInd/>
      <w:spacing w:line="360" w:lineRule="auto"/>
      <w:ind w:firstLine="480" w:firstLineChars="200"/>
    </w:pPr>
    <w:rPr>
      <w:rFonts w:ascii="宋体" w:hAnsi="宋体"/>
      <w:sz w:val="24"/>
      <w:szCs w:val="22"/>
    </w:rPr>
  </w:style>
  <w:style w:type="character" w:customStyle="1" w:styleId="399">
    <w:name w:val="批注文字 字符"/>
    <w:autoRedefine/>
    <w:qFormat/>
    <w:uiPriority w:val="0"/>
    <w:rPr>
      <w:rFonts w:ascii="Arial" w:hAnsi="Arial" w:eastAsia="黑体" w:cs="Arial"/>
      <w:snapToGrid w:val="0"/>
      <w:kern w:val="0"/>
      <w:szCs w:val="21"/>
    </w:rPr>
  </w:style>
  <w:style w:type="character" w:customStyle="1" w:styleId="400">
    <w:name w:val="Char Char161"/>
    <w:autoRedefine/>
    <w:qFormat/>
    <w:uiPriority w:val="0"/>
    <w:rPr>
      <w:rFonts w:eastAsia="宋体"/>
      <w:b/>
      <w:kern w:val="2"/>
      <w:sz w:val="32"/>
      <w:lang w:val="en-US" w:eastAsia="zh-CN"/>
    </w:rPr>
  </w:style>
  <w:style w:type="character" w:customStyle="1" w:styleId="401">
    <w:name w:val="javascript"/>
    <w:autoRedefine/>
    <w:qFormat/>
    <w:uiPriority w:val="0"/>
  </w:style>
  <w:style w:type="character" w:customStyle="1" w:styleId="402">
    <w:name w:val="图名 Char"/>
    <w:autoRedefine/>
    <w:qFormat/>
    <w:uiPriority w:val="0"/>
    <w:rPr>
      <w:rFonts w:ascii="Arial" w:hAnsi="Arial" w:eastAsia="黑体"/>
      <w:kern w:val="2"/>
      <w:sz w:val="24"/>
      <w:szCs w:val="24"/>
      <w:lang w:val="en-US" w:eastAsia="zh-CN" w:bidi="ar-SA"/>
    </w:rPr>
  </w:style>
  <w:style w:type="character" w:customStyle="1" w:styleId="403">
    <w:name w:val="Used by Word for text of Help footnotes Char Char"/>
    <w:autoRedefine/>
    <w:qFormat/>
    <w:uiPriority w:val="0"/>
    <w:rPr>
      <w:rFonts w:ascii="Times New Roman" w:hAnsi="Times New Roman" w:eastAsia="宋体" w:cs="Times New Roman"/>
      <w:sz w:val="20"/>
      <w:szCs w:val="20"/>
    </w:rPr>
  </w:style>
  <w:style w:type="character" w:customStyle="1" w:styleId="404">
    <w:name w:val="编号，小四 Char"/>
    <w:link w:val="405"/>
    <w:autoRedefine/>
    <w:qFormat/>
    <w:uiPriority w:val="0"/>
    <w:rPr>
      <w:rFonts w:ascii="Arial" w:hAnsi="Arial"/>
      <w:sz w:val="24"/>
    </w:rPr>
  </w:style>
  <w:style w:type="paragraph" w:customStyle="1" w:styleId="405">
    <w:name w:val="编号，小四"/>
    <w:basedOn w:val="1"/>
    <w:link w:val="404"/>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autoRedefine/>
    <w:qFormat/>
    <w:uiPriority w:val="99"/>
    <w:rPr>
      <w:rFonts w:ascii="宋体" w:eastAsia="宋体" w:cs="宋体"/>
      <w:color w:val="000000"/>
      <w:sz w:val="14"/>
      <w:szCs w:val="14"/>
    </w:rPr>
  </w:style>
  <w:style w:type="character" w:customStyle="1" w:styleId="407">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8">
    <w:name w:val="未用 Char"/>
    <w:autoRedefine/>
    <w:qFormat/>
    <w:uiPriority w:val="0"/>
    <w:rPr>
      <w:rFonts w:ascii="Arial" w:hAnsi="Arial" w:eastAsia="黑体"/>
      <w:kern w:val="2"/>
      <w:sz w:val="21"/>
      <w:szCs w:val="21"/>
      <w:lang w:val="en-US" w:eastAsia="zh-CN" w:bidi="ar-SA"/>
    </w:rPr>
  </w:style>
  <w:style w:type="character" w:customStyle="1" w:styleId="409">
    <w:name w:val="myp1111"/>
    <w:autoRedefine/>
    <w:qFormat/>
    <w:uiPriority w:val="0"/>
    <w:rPr>
      <w:rFonts w:hint="default" w:ascii="ˎ̥" w:hAnsi="ˎ̥"/>
      <w:color w:val="000000"/>
      <w:sz w:val="20"/>
      <w:szCs w:val="20"/>
      <w:u w:val="none"/>
    </w:rPr>
  </w:style>
  <w:style w:type="character" w:customStyle="1" w:styleId="410">
    <w:name w:val="样式 标题 4h4H4Fab-4T5Ref Heading 1rh1Heading sqlsect 1.2.3.... Char"/>
    <w:link w:val="302"/>
    <w:autoRedefine/>
    <w:qFormat/>
    <w:uiPriority w:val="0"/>
    <w:rPr>
      <w:rFonts w:ascii="微软雅黑" w:hAnsi="微软雅黑" w:eastAsia="微软雅黑"/>
      <w:b/>
      <w:bCs/>
      <w:kern w:val="2"/>
      <w:sz w:val="24"/>
      <w:szCs w:val="28"/>
    </w:rPr>
  </w:style>
  <w:style w:type="character" w:customStyle="1" w:styleId="411">
    <w:name w:val="h Char Char"/>
    <w:autoRedefine/>
    <w:qFormat/>
    <w:uiPriority w:val="0"/>
    <w:rPr>
      <w:rFonts w:eastAsia="宋体"/>
      <w:kern w:val="2"/>
      <w:sz w:val="18"/>
      <w:lang w:val="en-US" w:eastAsia="zh-CN" w:bidi="ar-SA"/>
    </w:rPr>
  </w:style>
  <w:style w:type="character" w:customStyle="1" w:styleId="412">
    <w:name w:val="仿宋正文 Char"/>
    <w:link w:val="413"/>
    <w:autoRedefine/>
    <w:qFormat/>
    <w:uiPriority w:val="0"/>
    <w:rPr>
      <w:rFonts w:ascii="仿宋_GB2312" w:eastAsia="仿宋_GB2312"/>
      <w:kern w:val="2"/>
      <w:sz w:val="24"/>
      <w:lang w:val="en-US" w:eastAsia="zh-CN" w:bidi="ar-SA"/>
    </w:rPr>
  </w:style>
  <w:style w:type="paragraph" w:customStyle="1" w:styleId="413">
    <w:name w:val="仿宋正文"/>
    <w:basedOn w:val="1"/>
    <w:link w:val="412"/>
    <w:autoRedefine/>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autoRedefine/>
    <w:qFormat/>
    <w:uiPriority w:val="0"/>
    <w:rPr>
      <w:rFonts w:ascii="宋体" w:eastAsia="宋体"/>
      <w:kern w:val="2"/>
      <w:sz w:val="24"/>
      <w:lang w:val="zh-CN" w:bidi="ar-SA"/>
    </w:rPr>
  </w:style>
  <w:style w:type="character" w:customStyle="1" w:styleId="415">
    <w:name w:val="样式 宋体"/>
    <w:autoRedefine/>
    <w:qFormat/>
    <w:uiPriority w:val="0"/>
    <w:rPr>
      <w:rFonts w:ascii="宋体" w:hAnsi="宋体"/>
      <w:sz w:val="24"/>
    </w:rPr>
  </w:style>
  <w:style w:type="character" w:customStyle="1" w:styleId="416">
    <w:name w:val="tw4winJump"/>
    <w:autoRedefine/>
    <w:qFormat/>
    <w:uiPriority w:val="0"/>
    <w:rPr>
      <w:rFonts w:ascii="Courier New" w:hAnsi="Courier New" w:cs="Courier New"/>
      <w:color w:val="008080"/>
      <w:lang w:val="en-US" w:eastAsia="zh-CN"/>
    </w:rPr>
  </w:style>
  <w:style w:type="character" w:customStyle="1" w:styleId="417">
    <w:name w:val="标题 1 字符"/>
    <w:autoRedefine/>
    <w:qFormat/>
    <w:uiPriority w:val="9"/>
    <w:rPr>
      <w:rFonts w:ascii="Arial" w:hAnsi="Arial" w:eastAsia="黑体" w:cs="Arial"/>
      <w:b/>
      <w:bCs/>
      <w:snapToGrid w:val="0"/>
      <w:kern w:val="44"/>
      <w:sz w:val="44"/>
      <w:szCs w:val="44"/>
    </w:rPr>
  </w:style>
  <w:style w:type="character" w:customStyle="1" w:styleId="418">
    <w:name w:val="style36"/>
    <w:basedOn w:val="69"/>
    <w:autoRedefine/>
    <w:qFormat/>
    <w:uiPriority w:val="0"/>
    <w:rPr>
      <w:rFonts w:ascii="Arial" w:hAnsi="Arial" w:eastAsia="黑体" w:cs="Arial"/>
      <w:snapToGrid w:val="0"/>
      <w:kern w:val="0"/>
      <w:szCs w:val="21"/>
    </w:rPr>
  </w:style>
  <w:style w:type="character" w:customStyle="1" w:styleId="419">
    <w:name w:val="pt9"/>
    <w:autoRedefine/>
    <w:qFormat/>
    <w:uiPriority w:val="0"/>
    <w:rPr>
      <w:rFonts w:ascii="仿宋_GB2312" w:eastAsia="微软雅黑"/>
      <w:b/>
      <w:kern w:val="2"/>
      <w:sz w:val="32"/>
      <w:szCs w:val="32"/>
      <w:lang w:val="en-US" w:eastAsia="zh-CN" w:bidi="ar-SA"/>
    </w:rPr>
  </w:style>
  <w:style w:type="character" w:customStyle="1" w:styleId="420">
    <w:name w:val="DO_NOT_TRANSLATE"/>
    <w:autoRedefine/>
    <w:qFormat/>
    <w:uiPriority w:val="0"/>
    <w:rPr>
      <w:rFonts w:ascii="Courier New" w:hAnsi="Courier New" w:cs="Courier New"/>
      <w:color w:val="800000"/>
      <w:lang w:val="en-US" w:eastAsia="zh-CN"/>
    </w:rPr>
  </w:style>
  <w:style w:type="character" w:customStyle="1" w:styleId="421">
    <w:name w:val="标书1 Char1"/>
    <w:autoRedefine/>
    <w:qFormat/>
    <w:uiPriority w:val="0"/>
    <w:rPr>
      <w:rFonts w:eastAsia="宋体"/>
      <w:b/>
      <w:bCs/>
      <w:kern w:val="44"/>
      <w:sz w:val="44"/>
      <w:szCs w:val="44"/>
      <w:lang w:val="en-US" w:eastAsia="zh-CN" w:bidi="ar-SA"/>
    </w:rPr>
  </w:style>
  <w:style w:type="character" w:customStyle="1" w:styleId="422">
    <w:name w:val="页脚 字符"/>
    <w:autoRedefine/>
    <w:qFormat/>
    <w:uiPriority w:val="99"/>
    <w:rPr>
      <w:kern w:val="2"/>
      <w:sz w:val="18"/>
      <w:szCs w:val="18"/>
    </w:rPr>
  </w:style>
  <w:style w:type="character" w:customStyle="1" w:styleId="423">
    <w:name w:val="正文2 Char"/>
    <w:autoRedefine/>
    <w:qFormat/>
    <w:uiPriority w:val="0"/>
    <w:rPr>
      <w:rFonts w:eastAsia="宋体"/>
      <w:kern w:val="2"/>
      <w:sz w:val="24"/>
      <w:lang w:val="en-US" w:eastAsia="zh-CN" w:bidi="ar-SA"/>
    </w:rPr>
  </w:style>
  <w:style w:type="character" w:customStyle="1" w:styleId="424">
    <w:name w:val="Char Char21"/>
    <w:autoRedefine/>
    <w:qFormat/>
    <w:uiPriority w:val="6"/>
    <w:rPr>
      <w:rFonts w:ascii="宋体" w:hAnsi="宋体"/>
      <w:kern w:val="1"/>
      <w:sz w:val="24"/>
      <w:szCs w:val="21"/>
      <w:lang w:val="zh-CN"/>
    </w:rPr>
  </w:style>
  <w:style w:type="character" w:customStyle="1" w:styleId="425">
    <w:name w:val="样式 正文缩进 + 首行缩进:  2 字符 Char Char"/>
    <w:link w:val="426"/>
    <w:autoRedefine/>
    <w:qFormat/>
    <w:uiPriority w:val="0"/>
    <w:rPr>
      <w:rFonts w:cs="宋体"/>
      <w:kern w:val="2"/>
      <w:sz w:val="24"/>
    </w:rPr>
  </w:style>
  <w:style w:type="paragraph" w:customStyle="1" w:styleId="426">
    <w:name w:val="样式 正文缩进 + 首行缩进:  2 字符"/>
    <w:basedOn w:val="3"/>
    <w:link w:val="425"/>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28">
    <w:name w:val="gray6"/>
    <w:basedOn w:val="69"/>
    <w:autoRedefine/>
    <w:qFormat/>
    <w:uiPriority w:val="0"/>
    <w:rPr>
      <w:rFonts w:ascii="Arial" w:hAnsi="Arial" w:eastAsia="黑体" w:cs="Arial"/>
      <w:snapToGrid w:val="0"/>
      <w:kern w:val="0"/>
      <w:szCs w:val="21"/>
    </w:rPr>
  </w:style>
  <w:style w:type="character" w:customStyle="1" w:styleId="429">
    <w:name w:val="hui"/>
    <w:basedOn w:val="69"/>
    <w:autoRedefine/>
    <w:qFormat/>
    <w:uiPriority w:val="0"/>
    <w:rPr>
      <w:rFonts w:ascii="Arial" w:hAnsi="Arial" w:eastAsia="黑体" w:cs="Arial"/>
      <w:snapToGrid w:val="0"/>
      <w:kern w:val="0"/>
      <w:szCs w:val="21"/>
    </w:rPr>
  </w:style>
  <w:style w:type="character" w:customStyle="1" w:styleId="430">
    <w:name w:val="哈哈正文 Char Char"/>
    <w:autoRedefine/>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autoRedefine/>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autoRedefine/>
    <w:qFormat/>
    <w:uiPriority w:val="0"/>
    <w:pPr>
      <w:spacing w:before="120" w:line="360" w:lineRule="auto"/>
      <w:ind w:firstLine="567"/>
    </w:pPr>
    <w:rPr>
      <w:rFonts w:ascii="Arial" w:hAnsi="Arial"/>
      <w:sz w:val="20"/>
      <w:szCs w:val="20"/>
    </w:rPr>
  </w:style>
  <w:style w:type="paragraph" w:customStyle="1" w:styleId="44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autoRedefine/>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autoRedefine/>
    <w:qFormat/>
    <w:uiPriority w:val="0"/>
    <w:pPr>
      <w:adjustRightInd/>
      <w:ind w:firstLine="200" w:firstLineChars="200"/>
    </w:pPr>
    <w:rPr>
      <w:rFonts w:ascii="Tahoma" w:hAnsi="Tahoma"/>
      <w:sz w:val="24"/>
      <w:szCs w:val="20"/>
    </w:rPr>
  </w:style>
  <w:style w:type="paragraph" w:customStyle="1" w:styleId="45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autoRedefine/>
    <w:qFormat/>
    <w:uiPriority w:val="0"/>
    <w:pPr>
      <w:tabs>
        <w:tab w:val="left" w:pos="360"/>
      </w:tabs>
    </w:pPr>
    <w:rPr>
      <w:sz w:val="24"/>
      <w:szCs w:val="20"/>
    </w:rPr>
  </w:style>
  <w:style w:type="paragraph" w:customStyle="1" w:styleId="453">
    <w:name w:val="Char Char11 Char Char Char"/>
    <w:basedOn w:val="1"/>
    <w:autoRedefine/>
    <w:qFormat/>
    <w:uiPriority w:val="0"/>
    <w:pPr>
      <w:spacing w:line="360" w:lineRule="auto"/>
    </w:pPr>
    <w:rPr>
      <w:szCs w:val="20"/>
    </w:rPr>
  </w:style>
  <w:style w:type="paragraph" w:customStyle="1" w:styleId="454">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autoRedefine/>
    <w:qFormat/>
    <w:uiPriority w:val="0"/>
    <w:pPr>
      <w:tabs>
        <w:tab w:val="left" w:pos="2790"/>
        <w:tab w:val="left" w:pos="4230"/>
      </w:tabs>
      <w:spacing w:before="312" w:beforeLines="100"/>
      <w:jc w:val="left"/>
    </w:pPr>
  </w:style>
  <w:style w:type="paragraph" w:customStyle="1" w:styleId="457">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autoRedefine/>
    <w:qFormat/>
    <w:uiPriority w:val="0"/>
    <w:pPr>
      <w:tabs>
        <w:tab w:val="left" w:pos="840"/>
      </w:tabs>
      <w:ind w:left="840" w:hanging="420"/>
    </w:pPr>
    <w:rPr>
      <w:rFonts w:ascii="Tahoma" w:hAnsi="Tahoma"/>
      <w:sz w:val="24"/>
    </w:rPr>
  </w:style>
  <w:style w:type="paragraph" w:customStyle="1" w:styleId="459">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5"/>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autoRedefine/>
    <w:qFormat/>
    <w:uiPriority w:val="0"/>
    <w:pPr>
      <w:adjustRightInd/>
      <w:spacing w:before="156" w:line="360" w:lineRule="auto"/>
      <w:ind w:firstLine="510" w:firstLineChars="200"/>
    </w:pPr>
    <w:rPr>
      <w:sz w:val="24"/>
      <w:szCs w:val="20"/>
    </w:rPr>
  </w:style>
  <w:style w:type="paragraph" w:customStyle="1" w:styleId="463">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autoRedefine/>
    <w:qFormat/>
    <w:uiPriority w:val="0"/>
    <w:rPr>
      <w:rFonts w:ascii="仿宋_GB2312" w:eastAsia="仿宋_GB2312"/>
      <w:b/>
      <w:sz w:val="32"/>
      <w:szCs w:val="32"/>
    </w:rPr>
  </w:style>
  <w:style w:type="paragraph" w:customStyle="1" w:styleId="4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8">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69">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autoRedefine/>
    <w:qFormat/>
    <w:uiPriority w:val="0"/>
    <w:pPr>
      <w:keepNext/>
      <w:tabs>
        <w:tab w:val="left" w:pos="360"/>
      </w:tabs>
      <w:spacing w:before="0" w:after="0"/>
      <w:outlineLvl w:val="5"/>
    </w:pPr>
  </w:style>
  <w:style w:type="paragraph" w:customStyle="1" w:styleId="471">
    <w:name w:val="5级标题"/>
    <w:basedOn w:val="472"/>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4">
    <w:name w:val="Char2 Char Char"/>
    <w:basedOn w:val="1"/>
    <w:autoRedefine/>
    <w:qFormat/>
    <w:uiPriority w:val="0"/>
    <w:pPr>
      <w:adjustRightInd/>
    </w:pPr>
    <w:rPr>
      <w:rFonts w:ascii="Tahoma" w:hAnsi="Tahoma"/>
      <w:sz w:val="24"/>
      <w:szCs w:val="20"/>
    </w:rPr>
  </w:style>
  <w:style w:type="paragraph" w:customStyle="1" w:styleId="475">
    <w:name w:val="_Style 11"/>
    <w:basedOn w:val="1"/>
    <w:autoRedefine/>
    <w:qFormat/>
    <w:uiPriority w:val="34"/>
    <w:pPr>
      <w:adjustRightInd/>
      <w:ind w:firstLine="420" w:firstLineChars="200"/>
    </w:pPr>
    <w:rPr>
      <w:rFonts w:eastAsia="仿宋_GB2312"/>
      <w:sz w:val="28"/>
    </w:rPr>
  </w:style>
  <w:style w:type="paragraph" w:customStyle="1" w:styleId="476">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autoRedefine/>
    <w:qFormat/>
    <w:uiPriority w:val="0"/>
    <w:rPr>
      <w:rFonts w:ascii="Tahoma" w:hAnsi="Tahoma"/>
      <w:sz w:val="24"/>
      <w:szCs w:val="20"/>
    </w:rPr>
  </w:style>
  <w:style w:type="paragraph" w:customStyle="1" w:styleId="478">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79">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autoRedefine/>
    <w:qFormat/>
    <w:uiPriority w:val="99"/>
    <w:rPr>
      <w:szCs w:val="22"/>
    </w:rPr>
  </w:style>
  <w:style w:type="paragraph" w:customStyle="1" w:styleId="4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autoRedefine/>
    <w:qFormat/>
    <w:uiPriority w:val="6"/>
    <w:rPr>
      <w:rFonts w:ascii="Tahoma" w:hAnsi="Tahoma" w:cs="仿宋_GB2312"/>
      <w:sz w:val="24"/>
      <w:szCs w:val="20"/>
    </w:rPr>
  </w:style>
  <w:style w:type="paragraph" w:customStyle="1" w:styleId="483">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5"/>
    <w:autoRedefine/>
    <w:qFormat/>
    <w:uiPriority w:val="0"/>
    <w:pPr>
      <w:tabs>
        <w:tab w:val="left" w:pos="1260"/>
      </w:tabs>
      <w:ind w:left="1260" w:hanging="420"/>
    </w:pPr>
    <w:rPr>
      <w:rFonts w:ascii="Arial" w:hAnsi="Arial" w:eastAsia="黑体"/>
      <w:lang w:val="en-US"/>
    </w:rPr>
  </w:style>
  <w:style w:type="paragraph" w:customStyle="1" w:styleId="487">
    <w:name w:val="五级无标题条"/>
    <w:basedOn w:val="1"/>
    <w:autoRedefine/>
    <w:qFormat/>
    <w:uiPriority w:val="0"/>
    <w:pPr>
      <w:adjustRightInd/>
    </w:pPr>
  </w:style>
  <w:style w:type="paragraph" w:customStyle="1" w:styleId="488">
    <w:name w:val="Char5"/>
    <w:basedOn w:val="1"/>
    <w:autoRedefine/>
    <w:qFormat/>
    <w:uiPriority w:val="0"/>
    <w:rPr>
      <w:rFonts w:ascii="仿宋_GB2312" w:eastAsia="仿宋_GB2312"/>
      <w:b/>
      <w:sz w:val="32"/>
      <w:szCs w:val="32"/>
    </w:rPr>
  </w:style>
  <w:style w:type="paragraph" w:customStyle="1" w:styleId="489">
    <w:name w:val="TOC 标题1"/>
    <w:basedOn w:val="4"/>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autoRedefine/>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autoRedefine/>
    <w:qFormat/>
    <w:uiPriority w:val="0"/>
    <w:rPr>
      <w:rFonts w:ascii="仿宋_GB2312" w:eastAsia="仿宋_GB2312"/>
      <w:b/>
      <w:sz w:val="32"/>
      <w:szCs w:val="32"/>
    </w:rPr>
  </w:style>
  <w:style w:type="paragraph" w:customStyle="1" w:styleId="493">
    <w:name w:val="数字标题3"/>
    <w:basedOn w:val="2"/>
    <w:next w:val="1"/>
    <w:autoRedefine/>
    <w:qFormat/>
    <w:uiPriority w:val="0"/>
    <w:pPr>
      <w:spacing w:line="240" w:lineRule="auto"/>
    </w:pPr>
    <w:rPr>
      <w:sz w:val="28"/>
      <w:szCs w:val="28"/>
    </w:rPr>
  </w:style>
  <w:style w:type="paragraph" w:customStyle="1" w:styleId="494">
    <w:name w:val="FA正文"/>
    <w:basedOn w:val="1"/>
    <w:autoRedefine/>
    <w:qFormat/>
    <w:uiPriority w:val="0"/>
    <w:pPr>
      <w:spacing w:line="360" w:lineRule="auto"/>
      <w:ind w:firstLine="480" w:firstLineChars="200"/>
    </w:pPr>
    <w:rPr>
      <w:rFonts w:hAnsi="宋体"/>
      <w:sz w:val="24"/>
      <w:szCs w:val="20"/>
    </w:rPr>
  </w:style>
  <w:style w:type="paragraph" w:customStyle="1" w:styleId="495">
    <w:name w:val="MM Topic 5"/>
    <w:basedOn w:val="7"/>
    <w:autoRedefine/>
    <w:qFormat/>
    <w:uiPriority w:val="0"/>
    <w:pPr>
      <w:tabs>
        <w:tab w:val="left" w:pos="2520"/>
      </w:tabs>
      <w:adjustRightInd/>
      <w:ind w:left="2520" w:hanging="420"/>
    </w:pPr>
  </w:style>
  <w:style w:type="paragraph" w:customStyle="1" w:styleId="496">
    <w:name w:val="Char Char Char Char Char Char Char Char Char Char1"/>
    <w:basedOn w:val="1"/>
    <w:autoRedefine/>
    <w:qFormat/>
    <w:uiPriority w:val="0"/>
    <w:rPr>
      <w:rFonts w:ascii="仿宋_GB2312" w:eastAsia="仿宋_GB2312"/>
      <w:b/>
      <w:sz w:val="32"/>
      <w:szCs w:val="32"/>
    </w:rPr>
  </w:style>
  <w:style w:type="paragraph" w:customStyle="1" w:styleId="497">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autoRedefine/>
    <w:qFormat/>
    <w:uiPriority w:val="0"/>
    <w:rPr>
      <w:rFonts w:ascii="仿宋_GB2312" w:eastAsia="仿宋_GB2312"/>
      <w:b/>
      <w:sz w:val="32"/>
      <w:szCs w:val="32"/>
    </w:rPr>
  </w:style>
  <w:style w:type="paragraph" w:customStyle="1" w:styleId="500">
    <w:name w:val="Char2 Char Char Char1"/>
    <w:basedOn w:val="1"/>
    <w:autoRedefine/>
    <w:qFormat/>
    <w:uiPriority w:val="6"/>
    <w:rPr>
      <w:rFonts w:ascii="仿宋_GB2312" w:eastAsia="仿宋_GB2312"/>
      <w:b/>
      <w:sz w:val="32"/>
      <w:szCs w:val="32"/>
    </w:rPr>
  </w:style>
  <w:style w:type="paragraph" w:customStyle="1" w:styleId="501">
    <w:name w:val="默认段落样式"/>
    <w:basedOn w:val="128"/>
    <w:autoRedefine/>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3">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autoRedefine/>
    <w:qFormat/>
    <w:uiPriority w:val="0"/>
    <w:pPr>
      <w:tabs>
        <w:tab w:val="left" w:pos="1680"/>
      </w:tabs>
      <w:adjustRightInd/>
      <w:ind w:left="1680" w:hanging="420"/>
    </w:pPr>
  </w:style>
  <w:style w:type="paragraph" w:customStyle="1" w:styleId="505">
    <w:name w:val="标准小四"/>
    <w:basedOn w:val="1"/>
    <w:autoRedefine/>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autoRedefine/>
    <w:qFormat/>
    <w:uiPriority w:val="0"/>
    <w:pPr>
      <w:adjustRightInd/>
      <w:snapToGrid w:val="0"/>
      <w:spacing w:line="300" w:lineRule="auto"/>
    </w:pPr>
    <w:rPr>
      <w:rFonts w:eastAsia="仿宋"/>
      <w:szCs w:val="21"/>
    </w:rPr>
  </w:style>
  <w:style w:type="paragraph" w:customStyle="1" w:styleId="50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autoRedefine/>
    <w:qFormat/>
    <w:uiPriority w:val="6"/>
    <w:pPr>
      <w:adjustRightInd/>
    </w:pPr>
    <w:rPr>
      <w:rFonts w:ascii="Tahoma" w:hAnsi="Tahoma"/>
      <w:sz w:val="24"/>
      <w:szCs w:val="20"/>
    </w:rPr>
  </w:style>
  <w:style w:type="paragraph" w:customStyle="1" w:styleId="510">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1">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32"/>
    <w:next w:val="23"/>
    <w:autoRedefine/>
    <w:qFormat/>
    <w:uiPriority w:val="0"/>
    <w:pPr>
      <w:adjustRightInd/>
      <w:ind w:firstLine="200" w:firstLineChars="200"/>
    </w:pPr>
    <w:rPr>
      <w:rFonts w:ascii="Arial" w:hAnsi="Arial"/>
      <w:spacing w:val="-5"/>
      <w:kern w:val="0"/>
      <w:sz w:val="24"/>
      <w:szCs w:val="20"/>
    </w:rPr>
  </w:style>
  <w:style w:type="paragraph" w:customStyle="1" w:styleId="513">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4"/>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autoRedefine/>
    <w:qFormat/>
    <w:uiPriority w:val="0"/>
    <w:pPr>
      <w:adjustRightInd/>
      <w:ind w:firstLine="420" w:firstLineChars="200"/>
    </w:pPr>
    <w:rPr>
      <w:rFonts w:eastAsia="仿宋_GB2312"/>
      <w:sz w:val="28"/>
    </w:rPr>
  </w:style>
  <w:style w:type="paragraph" w:customStyle="1" w:styleId="51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autoRedefine/>
    <w:qFormat/>
    <w:uiPriority w:val="0"/>
    <w:pPr>
      <w:adjustRightInd/>
      <w:ind w:firstLine="200" w:firstLineChars="200"/>
      <w:jc w:val="right"/>
    </w:pPr>
  </w:style>
  <w:style w:type="paragraph" w:customStyle="1" w:styleId="522">
    <w:name w:val="Char Char11 Char Char Char Char Char Char Char Char Char"/>
    <w:basedOn w:val="1"/>
    <w:autoRedefine/>
    <w:qFormat/>
    <w:uiPriority w:val="0"/>
    <w:pPr>
      <w:spacing w:line="360" w:lineRule="auto"/>
    </w:pPr>
    <w:rPr>
      <w:szCs w:val="20"/>
    </w:rPr>
  </w:style>
  <w:style w:type="paragraph" w:customStyle="1" w:styleId="523">
    <w:name w:val="正文1.25"/>
    <w:basedOn w:val="1"/>
    <w:autoRedefine/>
    <w:qFormat/>
    <w:uiPriority w:val="0"/>
    <w:pPr>
      <w:adjustRightInd/>
      <w:spacing w:line="300" w:lineRule="auto"/>
      <w:ind w:firstLine="480" w:firstLineChars="200"/>
    </w:pPr>
    <w:rPr>
      <w:sz w:val="24"/>
      <w:szCs w:val="20"/>
    </w:rPr>
  </w:style>
  <w:style w:type="paragraph" w:customStyle="1" w:styleId="524">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autoRedefine/>
    <w:qFormat/>
    <w:uiPriority w:val="6"/>
    <w:rPr>
      <w:rFonts w:ascii="仿宋_GB2312" w:eastAsia="仿宋_GB2312"/>
      <w:b/>
      <w:sz w:val="32"/>
      <w:szCs w:val="20"/>
    </w:rPr>
  </w:style>
  <w:style w:type="paragraph" w:customStyle="1" w:styleId="528">
    <w:name w:val="列出段落2"/>
    <w:basedOn w:val="1"/>
    <w:autoRedefine/>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autoRedefine/>
    <w:qFormat/>
    <w:uiPriority w:val="0"/>
    <w:rPr>
      <w:rFonts w:eastAsia="仿宋_GB2312"/>
      <w:sz w:val="28"/>
      <w:szCs w:val="20"/>
    </w:rPr>
  </w:style>
  <w:style w:type="paragraph" w:customStyle="1" w:styleId="530">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autoRedefine/>
    <w:qFormat/>
    <w:uiPriority w:val="0"/>
    <w:pPr>
      <w:widowControl/>
      <w:jc w:val="left"/>
    </w:pPr>
    <w:rPr>
      <w:rFonts w:cs="宋体"/>
      <w:sz w:val="24"/>
      <w:szCs w:val="20"/>
    </w:rPr>
  </w:style>
  <w:style w:type="paragraph" w:customStyle="1" w:styleId="532">
    <w:name w:val="彩色列表 - 强调文字颜色 11"/>
    <w:basedOn w:val="1"/>
    <w:autoRedefine/>
    <w:qFormat/>
    <w:uiPriority w:val="0"/>
    <w:pPr>
      <w:adjustRightInd/>
      <w:ind w:firstLine="420" w:firstLineChars="200"/>
    </w:pPr>
    <w:rPr>
      <w:rFonts w:ascii="Calibri" w:hAnsi="Calibri"/>
      <w:szCs w:val="22"/>
    </w:rPr>
  </w:style>
  <w:style w:type="paragraph" w:customStyle="1" w:styleId="533">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autoRedefine/>
    <w:qFormat/>
    <w:uiPriority w:val="6"/>
    <w:rPr>
      <w:szCs w:val="20"/>
    </w:rPr>
  </w:style>
  <w:style w:type="paragraph" w:customStyle="1" w:styleId="537">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5"/>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autoRedefine/>
    <w:qFormat/>
    <w:uiPriority w:val="0"/>
    <w:pPr>
      <w:spacing w:after="68"/>
    </w:pPr>
    <w:rPr>
      <w:rFonts w:ascii="FHLHE E+ Futura Bk" w:eastAsia="FHLHE E+ Futura Bk" w:cs="Times New Roman"/>
      <w:color w:val="auto"/>
    </w:rPr>
  </w:style>
  <w:style w:type="paragraph" w:customStyle="1" w:styleId="543">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autoRedefine/>
    <w:qFormat/>
    <w:uiPriority w:val="0"/>
    <w:rPr>
      <w:rFonts w:ascii="宋体" w:eastAsia="宋体" w:cs="Times New Roman"/>
      <w:color w:val="auto"/>
    </w:rPr>
  </w:style>
  <w:style w:type="paragraph" w:customStyle="1" w:styleId="547">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autoRedefine/>
    <w:qFormat/>
    <w:uiPriority w:val="0"/>
    <w:rPr>
      <w:rFonts w:ascii="仿宋_GB2312" w:eastAsia="仿宋_GB2312"/>
      <w:b/>
      <w:sz w:val="32"/>
      <w:szCs w:val="32"/>
    </w:rPr>
  </w:style>
  <w:style w:type="paragraph" w:customStyle="1" w:styleId="549">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autoRedefine/>
    <w:qFormat/>
    <w:uiPriority w:val="0"/>
    <w:pPr>
      <w:spacing w:line="360" w:lineRule="auto"/>
    </w:pPr>
    <w:rPr>
      <w:szCs w:val="20"/>
    </w:rPr>
  </w:style>
  <w:style w:type="paragraph" w:customStyle="1" w:styleId="552">
    <w:name w:val="Char"/>
    <w:basedOn w:val="1"/>
    <w:autoRedefine/>
    <w:qFormat/>
    <w:uiPriority w:val="0"/>
    <w:rPr>
      <w:rFonts w:ascii="仿宋_GB2312" w:eastAsia="仿宋_GB2312"/>
      <w:b/>
      <w:sz w:val="32"/>
      <w:szCs w:val="32"/>
    </w:rPr>
  </w:style>
  <w:style w:type="paragraph" w:customStyle="1" w:styleId="553">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autoRedefine/>
    <w:qFormat/>
    <w:uiPriority w:val="0"/>
    <w:rPr>
      <w:szCs w:val="20"/>
    </w:rPr>
  </w:style>
  <w:style w:type="paragraph" w:customStyle="1" w:styleId="556">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7">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59">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3"/>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autoRedefine/>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1">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2">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autoRedefine/>
    <w:qFormat/>
    <w:uiPriority w:val="0"/>
    <w:rPr>
      <w:szCs w:val="20"/>
    </w:rPr>
  </w:style>
  <w:style w:type="paragraph" w:customStyle="1" w:styleId="579">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autoRedefine/>
    <w:qFormat/>
    <w:uiPriority w:val="0"/>
    <w:rPr>
      <w:rFonts w:ascii="Tahoma" w:hAnsi="Tahoma"/>
      <w:sz w:val="24"/>
      <w:szCs w:val="20"/>
    </w:rPr>
  </w:style>
  <w:style w:type="paragraph" w:customStyle="1" w:styleId="581">
    <w:name w:val="标题五"/>
    <w:basedOn w:val="1"/>
    <w:autoRedefine/>
    <w:qFormat/>
    <w:uiPriority w:val="0"/>
    <w:pPr>
      <w:adjustRightInd/>
      <w:spacing w:before="156" w:beforeLines="50" w:line="360" w:lineRule="auto"/>
    </w:pPr>
    <w:rPr>
      <w:b/>
      <w:sz w:val="24"/>
    </w:rPr>
  </w:style>
  <w:style w:type="paragraph" w:customStyle="1" w:styleId="582">
    <w:name w:val="Char Char1101"/>
    <w:basedOn w:val="1"/>
    <w:autoRedefine/>
    <w:qFormat/>
    <w:uiPriority w:val="0"/>
    <w:pPr>
      <w:spacing w:line="360" w:lineRule="auto"/>
    </w:pPr>
    <w:rPr>
      <w:rFonts w:ascii="Tahoma" w:hAnsi="Tahoma"/>
      <w:sz w:val="24"/>
      <w:szCs w:val="20"/>
    </w:rPr>
  </w:style>
  <w:style w:type="paragraph" w:customStyle="1" w:styleId="583">
    <w:name w:val="Char Char Char Char Char Char Char Char1"/>
    <w:basedOn w:val="1"/>
    <w:autoRedefine/>
    <w:qFormat/>
    <w:uiPriority w:val="0"/>
    <w:pPr>
      <w:tabs>
        <w:tab w:val="left" w:pos="360"/>
      </w:tabs>
    </w:pPr>
    <w:rPr>
      <w:sz w:val="24"/>
      <w:szCs w:val="20"/>
    </w:rPr>
  </w:style>
  <w:style w:type="paragraph" w:customStyle="1" w:styleId="584">
    <w:name w:val="Char Char Char 字元 字元"/>
    <w:basedOn w:val="1"/>
    <w:autoRedefine/>
    <w:qFormat/>
    <w:uiPriority w:val="0"/>
    <w:pPr>
      <w:adjustRightInd/>
      <w:spacing w:line="360" w:lineRule="auto"/>
      <w:ind w:firstLine="200" w:firstLineChars="200"/>
    </w:pPr>
    <w:rPr>
      <w:szCs w:val="20"/>
    </w:rPr>
  </w:style>
  <w:style w:type="paragraph" w:customStyle="1" w:styleId="585">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autoRedefine/>
    <w:qFormat/>
    <w:uiPriority w:val="0"/>
    <w:rPr>
      <w:rFonts w:ascii="仿宋_GB2312" w:eastAsia="仿宋_GB2312"/>
      <w:b/>
      <w:sz w:val="32"/>
      <w:szCs w:val="32"/>
    </w:rPr>
  </w:style>
  <w:style w:type="paragraph" w:customStyle="1" w:styleId="587">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autoRedefine/>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autoRedefine/>
    <w:qFormat/>
    <w:uiPriority w:val="0"/>
    <w:pPr>
      <w:adjustRightInd/>
    </w:pPr>
    <w:rPr>
      <w:sz w:val="18"/>
      <w:szCs w:val="20"/>
    </w:rPr>
  </w:style>
  <w:style w:type="paragraph" w:customStyle="1" w:styleId="592">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7">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autoRedefine/>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autoRedefine/>
    <w:qFormat/>
    <w:uiPriority w:val="0"/>
    <w:pPr>
      <w:snapToGrid w:val="0"/>
      <w:spacing w:line="360" w:lineRule="auto"/>
    </w:pPr>
    <w:rPr>
      <w:rFonts w:ascii="宋体"/>
      <w:b/>
      <w:sz w:val="24"/>
      <w:szCs w:val="20"/>
    </w:rPr>
  </w:style>
  <w:style w:type="paragraph" w:customStyle="1" w:styleId="602">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2"/>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autoRedefine/>
    <w:qFormat/>
    <w:uiPriority w:val="7"/>
    <w:pPr>
      <w:adjustRightInd/>
    </w:pPr>
    <w:rPr>
      <w:rFonts w:ascii="宋体" w:hAnsi="Courier New"/>
    </w:rPr>
  </w:style>
  <w:style w:type="paragraph" w:customStyle="1" w:styleId="605">
    <w:name w:val="Char3"/>
    <w:basedOn w:val="1"/>
    <w:autoRedefine/>
    <w:qFormat/>
    <w:uiPriority w:val="0"/>
    <w:pPr>
      <w:adjustRightInd/>
    </w:pPr>
    <w:rPr>
      <w:rFonts w:ascii="仿宋_GB2312" w:eastAsia="仿宋_GB2312"/>
      <w:b/>
      <w:sz w:val="32"/>
      <w:szCs w:val="32"/>
    </w:rPr>
  </w:style>
  <w:style w:type="paragraph" w:customStyle="1" w:styleId="606">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autoRedefine/>
    <w:qFormat/>
    <w:uiPriority w:val="0"/>
    <w:pPr>
      <w:widowControl/>
      <w:adjustRightInd/>
      <w:spacing w:after="160" w:line="240" w:lineRule="exact"/>
      <w:jc w:val="left"/>
    </w:pPr>
    <w:rPr>
      <w:szCs w:val="20"/>
    </w:rPr>
  </w:style>
  <w:style w:type="paragraph" w:customStyle="1" w:styleId="614">
    <w:name w:val="表格标题2"/>
    <w:basedOn w:val="615"/>
    <w:autoRedefine/>
    <w:qFormat/>
    <w:uiPriority w:val="0"/>
    <w:rPr>
      <w:b/>
    </w:rPr>
  </w:style>
  <w:style w:type="paragraph" w:customStyle="1" w:styleId="615">
    <w:name w:val="表格内文"/>
    <w:basedOn w:val="1"/>
    <w:autoRedefine/>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autoRedefine/>
    <w:qFormat/>
    <w:uiPriority w:val="0"/>
    <w:rPr>
      <w:rFonts w:ascii="仿宋_GB2312" w:eastAsia="仿宋_GB2312"/>
      <w:b/>
      <w:sz w:val="32"/>
      <w:szCs w:val="32"/>
    </w:rPr>
  </w:style>
  <w:style w:type="paragraph" w:customStyle="1" w:styleId="617">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autoRedefine/>
    <w:qFormat/>
    <w:uiPriority w:val="0"/>
    <w:pPr>
      <w:spacing w:line="360" w:lineRule="auto"/>
    </w:pPr>
    <w:rPr>
      <w:szCs w:val="20"/>
    </w:rPr>
  </w:style>
  <w:style w:type="paragraph" w:customStyle="1" w:styleId="620">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2">
    <w:name w:val="MM Topic 1"/>
    <w:basedOn w:val="4"/>
    <w:autoRedefine/>
    <w:qFormat/>
    <w:uiPriority w:val="0"/>
    <w:pPr>
      <w:tabs>
        <w:tab w:val="left" w:pos="840"/>
      </w:tabs>
      <w:adjustRightInd/>
      <w:ind w:left="840" w:hanging="420"/>
    </w:pPr>
  </w:style>
  <w:style w:type="paragraph" w:customStyle="1" w:styleId="623">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autoRedefine/>
    <w:qFormat/>
    <w:uiPriority w:val="0"/>
    <w:pPr>
      <w:spacing w:line="360" w:lineRule="auto"/>
      <w:ind w:firstLine="200" w:firstLineChars="200"/>
    </w:pPr>
    <w:rPr>
      <w:kern w:val="0"/>
      <w:sz w:val="24"/>
      <w:szCs w:val="20"/>
    </w:rPr>
  </w:style>
  <w:style w:type="paragraph" w:customStyle="1" w:styleId="625">
    <w:name w:val="表格"/>
    <w:basedOn w:val="1"/>
    <w:autoRedefine/>
    <w:qFormat/>
    <w:uiPriority w:val="0"/>
    <w:pPr>
      <w:snapToGrid w:val="0"/>
      <w:ind w:firstLine="42" w:firstLineChars="21"/>
    </w:pPr>
    <w:rPr>
      <w:rFonts w:ascii="宋体" w:hAnsi="宋体"/>
      <w:kern w:val="0"/>
      <w:sz w:val="20"/>
      <w:szCs w:val="20"/>
    </w:rPr>
  </w:style>
  <w:style w:type="paragraph" w:customStyle="1" w:styleId="626">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autoRedefine/>
    <w:qFormat/>
    <w:uiPriority w:val="0"/>
    <w:pPr>
      <w:adjustRightInd/>
      <w:spacing w:line="300" w:lineRule="auto"/>
      <w:jc w:val="center"/>
    </w:pPr>
  </w:style>
  <w:style w:type="paragraph" w:customStyle="1" w:styleId="631">
    <w:name w:val="_Style 6"/>
    <w:basedOn w:val="1"/>
    <w:autoRedefine/>
    <w:qFormat/>
    <w:uiPriority w:val="34"/>
    <w:pPr>
      <w:adjustRightInd/>
      <w:ind w:firstLine="420" w:firstLineChars="200"/>
    </w:pPr>
    <w:rPr>
      <w:rFonts w:eastAsia="仿宋_GB2312"/>
      <w:sz w:val="28"/>
    </w:rPr>
  </w:style>
  <w:style w:type="paragraph" w:customStyle="1" w:styleId="632">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autoRedefine/>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autoRedefine/>
    <w:qFormat/>
    <w:uiPriority w:val="0"/>
    <w:rPr>
      <w:rFonts w:ascii="仿宋_GB2312" w:eastAsia="仿宋_GB2312"/>
      <w:b/>
      <w:sz w:val="32"/>
      <w:szCs w:val="20"/>
    </w:rPr>
  </w:style>
  <w:style w:type="paragraph" w:customStyle="1" w:styleId="642">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autoRedefine/>
    <w:qFormat/>
    <w:uiPriority w:val="0"/>
    <w:pPr>
      <w:adjustRightInd/>
      <w:ind w:firstLine="200" w:firstLineChars="200"/>
    </w:pPr>
    <w:rPr>
      <w:rFonts w:ascii="Tahoma" w:hAnsi="Tahoma"/>
      <w:sz w:val="24"/>
      <w:szCs w:val="20"/>
    </w:rPr>
  </w:style>
  <w:style w:type="paragraph" w:customStyle="1" w:styleId="644">
    <w:name w:val="a1"/>
    <w:basedOn w:val="1"/>
    <w:autoRedefine/>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autoRedefine/>
    <w:qFormat/>
    <w:uiPriority w:val="0"/>
    <w:pPr>
      <w:spacing w:after="156" w:afterLines="50"/>
      <w:jc w:val="left"/>
      <w:outlineLvl w:val="3"/>
    </w:pPr>
    <w:rPr>
      <w:sz w:val="24"/>
      <w:szCs w:val="24"/>
    </w:rPr>
  </w:style>
  <w:style w:type="paragraph" w:customStyle="1" w:styleId="646">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autoRedefine/>
    <w:qFormat/>
    <w:uiPriority w:val="0"/>
    <w:pPr>
      <w:adjustRightInd/>
    </w:pPr>
    <w:rPr>
      <w:rFonts w:ascii="Tahoma" w:hAnsi="Tahoma"/>
      <w:sz w:val="24"/>
      <w:szCs w:val="20"/>
    </w:rPr>
  </w:style>
  <w:style w:type="paragraph" w:customStyle="1" w:styleId="651">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autoRedefine/>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autoRedefine/>
    <w:qFormat/>
    <w:uiPriority w:val="0"/>
    <w:pPr>
      <w:tabs>
        <w:tab w:val="left" w:pos="1260"/>
        <w:tab w:val="left" w:pos="1680"/>
        <w:tab w:val="left" w:pos="2100"/>
      </w:tabs>
      <w:ind w:left="0"/>
      <w:outlineLvl w:val="3"/>
    </w:pPr>
  </w:style>
  <w:style w:type="paragraph" w:customStyle="1" w:styleId="654">
    <w:name w:val="一级条标题"/>
    <w:basedOn w:val="655"/>
    <w:next w:val="637"/>
    <w:autoRedefine/>
    <w:qFormat/>
    <w:uiPriority w:val="0"/>
    <w:pPr>
      <w:tabs>
        <w:tab w:val="left" w:pos="1260"/>
        <w:tab w:val="left" w:pos="1680"/>
      </w:tabs>
      <w:spacing w:before="0" w:beforeLines="0" w:after="0" w:afterLines="0"/>
      <w:ind w:left="1680"/>
      <w:outlineLvl w:val="2"/>
    </w:pPr>
  </w:style>
  <w:style w:type="paragraph" w:customStyle="1" w:styleId="655">
    <w:name w:val="章标题"/>
    <w:next w:val="637"/>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5"/>
    <w:next w:val="1"/>
    <w:autoRedefine/>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4"/>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4"/>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autoRedefine/>
    <w:qFormat/>
    <w:uiPriority w:val="0"/>
    <w:pPr>
      <w:tabs>
        <w:tab w:val="left" w:pos="840"/>
      </w:tabs>
      <w:spacing w:after="0"/>
      <w:ind w:left="900"/>
    </w:pPr>
  </w:style>
  <w:style w:type="paragraph" w:customStyle="1" w:styleId="663">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autoRedefine/>
    <w:qFormat/>
    <w:uiPriority w:val="6"/>
    <w:pPr>
      <w:widowControl/>
      <w:adjustRightInd/>
      <w:ind w:left="720" w:hanging="720"/>
    </w:pPr>
    <w:rPr>
      <w:color w:val="000000"/>
      <w:kern w:val="0"/>
      <w:sz w:val="24"/>
      <w:szCs w:val="20"/>
      <w:lang w:val="en-GB"/>
    </w:rPr>
  </w:style>
  <w:style w:type="paragraph" w:customStyle="1" w:styleId="665">
    <w:name w:val="表1"/>
    <w:basedOn w:val="1"/>
    <w:autoRedefine/>
    <w:qFormat/>
    <w:uiPriority w:val="0"/>
    <w:pPr>
      <w:tabs>
        <w:tab w:val="left" w:pos="703"/>
      </w:tabs>
      <w:adjustRightInd/>
      <w:spacing w:line="360" w:lineRule="auto"/>
      <w:ind w:left="703"/>
      <w:jc w:val="center"/>
    </w:pPr>
  </w:style>
  <w:style w:type="paragraph" w:customStyle="1" w:styleId="666">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autoRedefine/>
    <w:qFormat/>
    <w:uiPriority w:val="0"/>
    <w:pPr>
      <w:jc w:val="left"/>
      <w:outlineLvl w:val="1"/>
    </w:pPr>
    <w:rPr>
      <w:rFonts w:ascii="Times New Roman" w:hAnsi="Times New Roman" w:eastAsia="仿宋"/>
      <w:sz w:val="30"/>
    </w:rPr>
  </w:style>
  <w:style w:type="paragraph" w:customStyle="1" w:styleId="670">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autoRedefine/>
    <w:qFormat/>
    <w:uiPriority w:val="0"/>
    <w:pPr>
      <w:tabs>
        <w:tab w:val="left" w:pos="840"/>
      </w:tabs>
      <w:adjustRightInd/>
      <w:ind w:left="840" w:hanging="420"/>
    </w:pPr>
  </w:style>
  <w:style w:type="paragraph" w:customStyle="1" w:styleId="676">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autoRedefine/>
    <w:qFormat/>
    <w:uiPriority w:val="0"/>
    <w:pPr>
      <w:tabs>
        <w:tab w:val="left" w:pos="2100"/>
      </w:tabs>
      <w:adjustRightInd/>
      <w:ind w:left="2100" w:hanging="420"/>
    </w:pPr>
    <w:rPr>
      <w:lang w:val="en-US"/>
    </w:rPr>
  </w:style>
  <w:style w:type="paragraph" w:customStyle="1" w:styleId="684">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autoRedefine/>
    <w:qFormat/>
    <w:uiPriority w:val="6"/>
    <w:pPr>
      <w:spacing w:line="360" w:lineRule="auto"/>
    </w:pPr>
    <w:rPr>
      <w:szCs w:val="20"/>
    </w:rPr>
  </w:style>
  <w:style w:type="paragraph" w:customStyle="1" w:styleId="687">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3">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autoRedefine/>
    <w:qFormat/>
    <w:uiPriority w:val="0"/>
    <w:pPr>
      <w:adjustRightInd/>
      <w:spacing w:line="360" w:lineRule="auto"/>
      <w:jc w:val="center"/>
    </w:pPr>
    <w:rPr>
      <w:sz w:val="24"/>
    </w:rPr>
  </w:style>
  <w:style w:type="paragraph" w:customStyle="1" w:styleId="69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autoRedefine/>
    <w:qFormat/>
    <w:uiPriority w:val="6"/>
    <w:rPr>
      <w:rFonts w:ascii="仿宋_GB2312" w:eastAsia="仿宋_GB2312"/>
      <w:b/>
      <w:sz w:val="32"/>
      <w:szCs w:val="32"/>
    </w:rPr>
  </w:style>
  <w:style w:type="paragraph" w:customStyle="1" w:styleId="69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autoRedefine/>
    <w:qFormat/>
    <w:uiPriority w:val="0"/>
    <w:pPr>
      <w:widowControl/>
      <w:adjustRightInd/>
      <w:spacing w:after="160" w:line="240" w:lineRule="exact"/>
      <w:jc w:val="left"/>
    </w:pPr>
    <w:rPr>
      <w:szCs w:val="20"/>
    </w:rPr>
  </w:style>
  <w:style w:type="paragraph" w:customStyle="1" w:styleId="702">
    <w:name w:val="Char Char1121"/>
    <w:basedOn w:val="1"/>
    <w:autoRedefine/>
    <w:qFormat/>
    <w:uiPriority w:val="0"/>
    <w:pPr>
      <w:spacing w:line="360" w:lineRule="auto"/>
    </w:pPr>
    <w:rPr>
      <w:szCs w:val="20"/>
    </w:rPr>
  </w:style>
  <w:style w:type="paragraph" w:customStyle="1" w:styleId="703">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autoRedefine/>
    <w:qFormat/>
    <w:uiPriority w:val="0"/>
    <w:rPr>
      <w:rFonts w:ascii="Times New Roman" w:hAnsi="Times New Roman" w:eastAsia="宋体" w:cs="Times New Roman"/>
      <w:lang w:val="en-US" w:eastAsia="en-US" w:bidi="ar-SA"/>
    </w:rPr>
  </w:style>
  <w:style w:type="paragraph" w:customStyle="1" w:styleId="706">
    <w:name w:val="带编号样式"/>
    <w:basedOn w:val="624"/>
    <w:autoRedefine/>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0">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autoRedefine/>
    <w:qFormat/>
    <w:uiPriority w:val="0"/>
    <w:pPr>
      <w:spacing w:line="240" w:lineRule="atLeast"/>
      <w:ind w:left="420" w:firstLine="420"/>
    </w:pPr>
    <w:rPr>
      <w:sz w:val="24"/>
    </w:rPr>
  </w:style>
  <w:style w:type="paragraph" w:customStyle="1" w:styleId="713">
    <w:name w:val="WW-正文文字缩进 2"/>
    <w:basedOn w:val="1"/>
    <w:autoRedefine/>
    <w:qFormat/>
    <w:uiPriority w:val="0"/>
    <w:pPr>
      <w:suppressAutoHyphens/>
      <w:adjustRightInd/>
      <w:ind w:firstLine="420"/>
    </w:pPr>
    <w:rPr>
      <w:kern w:val="1"/>
      <w:szCs w:val="20"/>
    </w:rPr>
  </w:style>
  <w:style w:type="paragraph" w:customStyle="1" w:styleId="71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5"/>
    <w:autoRedefine/>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autoRedefine/>
    <w:qFormat/>
    <w:uiPriority w:val="0"/>
    <w:pPr>
      <w:adjustRightInd/>
      <w:spacing w:line="400" w:lineRule="exact"/>
      <w:ind w:firstLine="200" w:firstLineChars="200"/>
    </w:pPr>
    <w:rPr>
      <w:rFonts w:ascii="Arial" w:hAnsi="Arial"/>
    </w:rPr>
  </w:style>
  <w:style w:type="paragraph" w:customStyle="1" w:styleId="717">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autoRedefine/>
    <w:qFormat/>
    <w:uiPriority w:val="0"/>
    <w:pPr>
      <w:spacing w:after="120" w:line="480" w:lineRule="auto"/>
      <w:ind w:left="420" w:leftChars="200"/>
    </w:pPr>
    <w:rPr>
      <w:sz w:val="24"/>
      <w:szCs w:val="20"/>
    </w:rPr>
  </w:style>
  <w:style w:type="paragraph" w:customStyle="1" w:styleId="720">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autoRedefine/>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4">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autoRedefine/>
    <w:qFormat/>
    <w:uiPriority w:val="0"/>
    <w:rPr>
      <w:rFonts w:ascii="仿宋_GB2312" w:eastAsia="仿宋_GB2312"/>
      <w:b/>
      <w:sz w:val="32"/>
      <w:szCs w:val="20"/>
    </w:rPr>
  </w:style>
  <w:style w:type="paragraph" w:customStyle="1" w:styleId="729">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autoRedefine/>
    <w:qFormat/>
    <w:uiPriority w:val="0"/>
    <w:rPr>
      <w:rFonts w:ascii="仿宋_GB2312" w:eastAsia="仿宋_GB2312"/>
      <w:b/>
      <w:sz w:val="32"/>
      <w:szCs w:val="32"/>
    </w:rPr>
  </w:style>
  <w:style w:type="paragraph" w:customStyle="1" w:styleId="733">
    <w:name w:val="Char3 Char Char Char1"/>
    <w:basedOn w:val="1"/>
    <w:autoRedefine/>
    <w:qFormat/>
    <w:uiPriority w:val="6"/>
    <w:pPr>
      <w:widowControl/>
      <w:adjustRightInd/>
      <w:spacing w:after="160" w:line="240" w:lineRule="exact"/>
      <w:jc w:val="left"/>
    </w:pPr>
    <w:rPr>
      <w:szCs w:val="20"/>
    </w:rPr>
  </w:style>
  <w:style w:type="paragraph" w:customStyle="1" w:styleId="734">
    <w:name w:val="Char1 Char Char Char21"/>
    <w:basedOn w:val="1"/>
    <w:autoRedefine/>
    <w:qFormat/>
    <w:uiPriority w:val="0"/>
    <w:rPr>
      <w:rFonts w:ascii="Tahoma" w:hAnsi="Tahoma"/>
      <w:sz w:val="24"/>
      <w:szCs w:val="20"/>
    </w:rPr>
  </w:style>
  <w:style w:type="paragraph" w:customStyle="1" w:styleId="735">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autoRedefine/>
    <w:qFormat/>
    <w:uiPriority w:val="0"/>
    <w:pPr>
      <w:spacing w:line="360" w:lineRule="auto"/>
      <w:ind w:firstLine="200" w:firstLineChars="200"/>
    </w:pPr>
    <w:rPr>
      <w:sz w:val="24"/>
    </w:rPr>
  </w:style>
  <w:style w:type="paragraph" w:customStyle="1" w:styleId="737">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autoRedefine/>
    <w:qFormat/>
    <w:uiPriority w:val="0"/>
    <w:pPr>
      <w:adjustRightInd/>
      <w:ind w:firstLine="200" w:firstLineChars="200"/>
    </w:pPr>
    <w:rPr>
      <w:rFonts w:ascii="Tahoma" w:hAnsi="Tahoma"/>
      <w:sz w:val="24"/>
      <w:szCs w:val="20"/>
    </w:rPr>
  </w:style>
  <w:style w:type="paragraph" w:customStyle="1" w:styleId="743">
    <w:name w:val="_标题2"/>
    <w:basedOn w:val="710"/>
    <w:next w:val="710"/>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autoRedefine/>
    <w:qFormat/>
    <w:uiPriority w:val="0"/>
    <w:pPr>
      <w:adjustRightInd/>
      <w:spacing w:line="360" w:lineRule="auto"/>
    </w:pPr>
    <w:rPr>
      <w:rFonts w:ascii="宋体" w:hAnsi="宋体"/>
      <w:szCs w:val="20"/>
    </w:rPr>
  </w:style>
  <w:style w:type="paragraph" w:customStyle="1" w:styleId="74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autoRedefine/>
    <w:qFormat/>
    <w:uiPriority w:val="0"/>
    <w:pPr>
      <w:adjustRightInd/>
    </w:pPr>
    <w:rPr>
      <w:rFonts w:ascii="Tahoma" w:hAnsi="Tahoma"/>
      <w:sz w:val="24"/>
    </w:rPr>
  </w:style>
  <w:style w:type="paragraph" w:customStyle="1" w:styleId="751">
    <w:name w:val="Char Char Char Char11"/>
    <w:basedOn w:val="1"/>
    <w:autoRedefine/>
    <w:qFormat/>
    <w:uiPriority w:val="0"/>
    <w:rPr>
      <w:rFonts w:ascii="Tahoma" w:hAnsi="Tahoma"/>
      <w:sz w:val="24"/>
      <w:szCs w:val="20"/>
    </w:rPr>
  </w:style>
  <w:style w:type="paragraph" w:customStyle="1" w:styleId="752">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autoRedefine/>
    <w:qFormat/>
    <w:uiPriority w:val="0"/>
    <w:rPr>
      <w:rFonts w:ascii="Tahoma" w:hAnsi="Tahoma"/>
      <w:sz w:val="24"/>
      <w:szCs w:val="20"/>
    </w:rPr>
  </w:style>
  <w:style w:type="paragraph" w:customStyle="1" w:styleId="754">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autoRedefine/>
    <w:qFormat/>
    <w:uiPriority w:val="0"/>
    <w:pPr>
      <w:adjustRightInd/>
    </w:pPr>
    <w:rPr>
      <w:szCs w:val="20"/>
    </w:rPr>
  </w:style>
  <w:style w:type="paragraph" w:customStyle="1" w:styleId="756">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autoRedefine/>
    <w:qFormat/>
    <w:uiPriority w:val="34"/>
    <w:pPr>
      <w:adjustRightInd/>
      <w:ind w:firstLine="420" w:firstLineChars="200"/>
    </w:pPr>
    <w:rPr>
      <w:rFonts w:eastAsia="仿宋_GB2312"/>
      <w:sz w:val="28"/>
    </w:rPr>
  </w:style>
  <w:style w:type="paragraph" w:customStyle="1" w:styleId="759">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autoRedefine/>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autoRedefine/>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7">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autoRedefine/>
    <w:qFormat/>
    <w:uiPriority w:val="0"/>
    <w:rPr>
      <w:rFonts w:ascii="宋体" w:hAnsi="Times New Roman" w:eastAsia="宋体" w:cs="Times New Roman"/>
      <w:kern w:val="2"/>
      <w:lang w:val="en-US" w:eastAsia="zh-CN" w:bidi="ar-SA"/>
    </w:rPr>
  </w:style>
  <w:style w:type="paragraph" w:customStyle="1" w:styleId="769">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autoRedefine/>
    <w:qFormat/>
    <w:uiPriority w:val="0"/>
    <w:pPr>
      <w:tabs>
        <w:tab w:val="left" w:pos="360"/>
      </w:tabs>
    </w:pPr>
    <w:rPr>
      <w:sz w:val="24"/>
      <w:szCs w:val="20"/>
    </w:rPr>
  </w:style>
  <w:style w:type="paragraph" w:customStyle="1" w:styleId="773">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3"/>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autoRedefine/>
    <w:qFormat/>
    <w:uiPriority w:val="0"/>
    <w:pPr>
      <w:widowControl/>
      <w:adjustRightInd/>
    </w:pPr>
    <w:rPr>
      <w:kern w:val="0"/>
      <w:szCs w:val="21"/>
    </w:rPr>
  </w:style>
  <w:style w:type="paragraph" w:customStyle="1" w:styleId="782">
    <w:name w:val="Char6"/>
    <w:basedOn w:val="1"/>
    <w:autoRedefine/>
    <w:qFormat/>
    <w:uiPriority w:val="0"/>
    <w:rPr>
      <w:rFonts w:ascii="仿宋_GB2312" w:eastAsia="仿宋_GB2312"/>
      <w:b/>
      <w:sz w:val="32"/>
      <w:szCs w:val="32"/>
    </w:rPr>
  </w:style>
  <w:style w:type="paragraph" w:customStyle="1" w:styleId="783">
    <w:name w:val="Char111"/>
    <w:basedOn w:val="1"/>
    <w:autoRedefine/>
    <w:qFormat/>
    <w:uiPriority w:val="0"/>
    <w:rPr>
      <w:rFonts w:ascii="仿宋_GB2312" w:eastAsia="仿宋_GB2312"/>
      <w:b/>
      <w:sz w:val="32"/>
      <w:szCs w:val="32"/>
    </w:rPr>
  </w:style>
  <w:style w:type="paragraph" w:customStyle="1" w:styleId="784">
    <w:name w:val="标题3"/>
    <w:basedOn w:val="2"/>
    <w:next w:val="52"/>
    <w:autoRedefine/>
    <w:qFormat/>
    <w:uiPriority w:val="0"/>
    <w:pPr>
      <w:tabs>
        <w:tab w:val="clear" w:pos="900"/>
      </w:tabs>
      <w:spacing w:after="0" w:line="360" w:lineRule="auto"/>
    </w:pPr>
    <w:rPr>
      <w:rFonts w:ascii="仿宋" w:hAnsi="仿宋" w:eastAsia="仿宋" w:cs="仿宋"/>
    </w:rPr>
  </w:style>
  <w:style w:type="paragraph" w:customStyle="1" w:styleId="785">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autoRedefine/>
    <w:qFormat/>
    <w:uiPriority w:val="0"/>
    <w:pPr>
      <w:adjustRightInd/>
      <w:ind w:firstLine="200" w:firstLineChars="200"/>
    </w:pPr>
    <w:rPr>
      <w:rFonts w:ascii="Tahoma" w:hAnsi="Tahoma"/>
      <w:sz w:val="24"/>
      <w:szCs w:val="20"/>
    </w:rPr>
  </w:style>
  <w:style w:type="paragraph" w:customStyle="1" w:styleId="788">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autoRedefine/>
    <w:qFormat/>
    <w:uiPriority w:val="0"/>
    <w:rPr>
      <w:rFonts w:ascii="仿宋_GB2312" w:eastAsia="仿宋_GB2312"/>
      <w:b/>
      <w:sz w:val="32"/>
      <w:szCs w:val="32"/>
    </w:rPr>
  </w:style>
  <w:style w:type="paragraph" w:customStyle="1" w:styleId="791">
    <w:name w:val="五级条标题"/>
    <w:basedOn w:val="792"/>
    <w:next w:val="637"/>
    <w:autoRedefine/>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autoRedefine/>
    <w:qFormat/>
    <w:uiPriority w:val="0"/>
    <w:pPr>
      <w:tabs>
        <w:tab w:val="left" w:pos="2940"/>
        <w:tab w:val="clear" w:pos="2520"/>
      </w:tabs>
      <w:ind w:left="2940"/>
      <w:outlineLvl w:val="5"/>
    </w:pPr>
  </w:style>
  <w:style w:type="paragraph" w:customStyle="1" w:styleId="793">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autoRedefine/>
    <w:qFormat/>
    <w:uiPriority w:val="0"/>
    <w:rPr>
      <w:rFonts w:ascii="仿宋_GB2312" w:eastAsia="仿宋_GB2312"/>
      <w:b/>
      <w:sz w:val="32"/>
      <w:szCs w:val="32"/>
    </w:rPr>
  </w:style>
  <w:style w:type="paragraph" w:customStyle="1" w:styleId="795">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autoRedefine/>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799">
    <w:name w:val="单元格左对齐"/>
    <w:basedOn w:val="1"/>
    <w:autoRedefine/>
    <w:qFormat/>
    <w:uiPriority w:val="0"/>
    <w:pPr>
      <w:adjustRightInd/>
      <w:spacing w:line="360" w:lineRule="auto"/>
    </w:pPr>
    <w:rPr>
      <w:sz w:val="24"/>
    </w:rPr>
  </w:style>
  <w:style w:type="paragraph" w:customStyle="1" w:styleId="800">
    <w:name w:val="正文主体"/>
    <w:basedOn w:val="621"/>
    <w:autoRedefine/>
    <w:qFormat/>
    <w:uiPriority w:val="0"/>
  </w:style>
  <w:style w:type="paragraph" w:customStyle="1" w:styleId="801">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autoRedefine/>
    <w:qFormat/>
    <w:uiPriority w:val="0"/>
    <w:pPr>
      <w:adjustRightInd/>
      <w:spacing w:line="360" w:lineRule="auto"/>
      <w:ind w:firstLine="480" w:firstLineChars="200"/>
    </w:pPr>
    <w:rPr>
      <w:sz w:val="24"/>
      <w:szCs w:val="20"/>
    </w:rPr>
  </w:style>
  <w:style w:type="paragraph" w:customStyle="1" w:styleId="805">
    <w:name w:val="P1"/>
    <w:basedOn w:val="1"/>
    <w:autoRedefine/>
    <w:qFormat/>
    <w:uiPriority w:val="0"/>
    <w:pPr>
      <w:adjustRightInd/>
      <w:spacing w:line="288" w:lineRule="auto"/>
      <w:ind w:firstLine="425" w:firstLineChars="200"/>
    </w:pPr>
  </w:style>
  <w:style w:type="paragraph" w:customStyle="1" w:styleId="806">
    <w:name w:val="列表内容"/>
    <w:basedOn w:val="1"/>
    <w:next w:val="1"/>
    <w:autoRedefine/>
    <w:qFormat/>
    <w:uiPriority w:val="0"/>
    <w:pPr>
      <w:widowControl/>
      <w:tabs>
        <w:tab w:val="left" w:pos="840"/>
      </w:tabs>
      <w:ind w:left="840" w:hanging="420"/>
      <w:jc w:val="left"/>
    </w:pPr>
    <w:rPr>
      <w:kern w:val="0"/>
      <w:sz w:val="18"/>
    </w:rPr>
  </w:style>
  <w:style w:type="paragraph" w:customStyle="1" w:styleId="807">
    <w:name w:val="Char Char11 Char Char Char1"/>
    <w:basedOn w:val="1"/>
    <w:autoRedefine/>
    <w:qFormat/>
    <w:uiPriority w:val="6"/>
    <w:pPr>
      <w:spacing w:line="360" w:lineRule="auto"/>
    </w:pPr>
    <w:rPr>
      <w:szCs w:val="20"/>
    </w:rPr>
  </w:style>
  <w:style w:type="paragraph" w:customStyle="1" w:styleId="808">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09">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autoRedefine/>
    <w:qFormat/>
    <w:uiPriority w:val="0"/>
    <w:pPr>
      <w:spacing w:line="360" w:lineRule="auto"/>
    </w:pPr>
    <w:rPr>
      <w:szCs w:val="20"/>
    </w:rPr>
  </w:style>
  <w:style w:type="paragraph" w:customStyle="1" w:styleId="814">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autoRedefine/>
    <w:qFormat/>
    <w:uiPriority w:val="0"/>
    <w:rPr>
      <w:rFonts w:ascii="仿宋_GB2312" w:eastAsia="仿宋_GB2312"/>
      <w:b/>
      <w:sz w:val="32"/>
      <w:szCs w:val="32"/>
    </w:rPr>
  </w:style>
  <w:style w:type="paragraph" w:customStyle="1" w:styleId="817">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0">
    <w:name w:val="Char Char4 Char Char"/>
    <w:basedOn w:val="1"/>
    <w:autoRedefine/>
    <w:qFormat/>
    <w:uiPriority w:val="0"/>
    <w:pPr>
      <w:widowControl/>
      <w:adjustRightInd/>
      <w:spacing w:after="160" w:line="240" w:lineRule="exact"/>
      <w:jc w:val="left"/>
    </w:pPr>
  </w:style>
  <w:style w:type="paragraph" w:customStyle="1" w:styleId="82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autoRedefine/>
    <w:qFormat/>
    <w:uiPriority w:val="0"/>
    <w:pPr>
      <w:spacing w:line="360" w:lineRule="auto"/>
    </w:pPr>
    <w:rPr>
      <w:szCs w:val="20"/>
    </w:rPr>
  </w:style>
  <w:style w:type="paragraph" w:customStyle="1" w:styleId="823">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autoRedefine/>
    <w:qFormat/>
    <w:uiPriority w:val="0"/>
    <w:pPr>
      <w:adjustRightInd/>
      <w:ind w:firstLine="200" w:firstLineChars="200"/>
    </w:pPr>
    <w:rPr>
      <w:rFonts w:ascii="Tahoma" w:hAnsi="Tahoma"/>
      <w:sz w:val="24"/>
      <w:szCs w:val="20"/>
    </w:rPr>
  </w:style>
  <w:style w:type="paragraph" w:customStyle="1" w:styleId="830">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autoRedefine/>
    <w:qFormat/>
    <w:uiPriority w:val="0"/>
    <w:pPr>
      <w:tabs>
        <w:tab w:val="left" w:pos="0"/>
      </w:tabs>
      <w:ind w:left="900" w:firstLine="0" w:firstLineChars="0"/>
    </w:pPr>
  </w:style>
  <w:style w:type="paragraph" w:customStyle="1" w:styleId="833">
    <w:name w:val="Bulleted List"/>
    <w:basedOn w:val="1"/>
    <w:autoRedefine/>
    <w:qFormat/>
    <w:uiPriority w:val="0"/>
    <w:pPr>
      <w:tabs>
        <w:tab w:val="left" w:pos="1260"/>
      </w:tabs>
      <w:adjustRightInd/>
      <w:ind w:left="1260" w:hanging="420"/>
    </w:pPr>
  </w:style>
  <w:style w:type="paragraph" w:customStyle="1" w:styleId="834">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autoRedefine/>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autoRedefine/>
    <w:qFormat/>
    <w:uiPriority w:val="0"/>
    <w:rPr>
      <w:rFonts w:ascii="Tahoma" w:hAnsi="Tahoma" w:cs="仿宋_GB2312"/>
      <w:sz w:val="24"/>
      <w:szCs w:val="20"/>
    </w:rPr>
  </w:style>
  <w:style w:type="paragraph" w:customStyle="1" w:styleId="837">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autoRedefine/>
    <w:qFormat/>
    <w:uiPriority w:val="0"/>
    <w:rPr>
      <w:rFonts w:ascii="仿宋_GB2312" w:eastAsia="仿宋_GB2312"/>
      <w:b/>
      <w:sz w:val="32"/>
      <w:szCs w:val="20"/>
    </w:rPr>
  </w:style>
  <w:style w:type="paragraph" w:customStyle="1" w:styleId="842">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autoRedefine/>
    <w:qFormat/>
    <w:uiPriority w:val="0"/>
    <w:rPr>
      <w:rFonts w:ascii="仿宋_GB2312" w:eastAsia="仿宋_GB2312"/>
      <w:b/>
      <w:sz w:val="32"/>
      <w:szCs w:val="20"/>
    </w:rPr>
  </w:style>
  <w:style w:type="paragraph" w:customStyle="1" w:styleId="844">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6">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1">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autoRedefine/>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autoRedefine/>
    <w:qFormat/>
    <w:uiPriority w:val="0"/>
    <w:pPr>
      <w:snapToGrid w:val="0"/>
      <w:ind w:left="0" w:firstLine="0"/>
      <w:jc w:val="left"/>
    </w:pPr>
    <w:rPr>
      <w:rFonts w:eastAsia="黑体" w:cs="宋体"/>
      <w:sz w:val="28"/>
      <w:szCs w:val="20"/>
    </w:rPr>
  </w:style>
  <w:style w:type="paragraph" w:customStyle="1" w:styleId="855">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autoRedefine/>
    <w:qFormat/>
    <w:uiPriority w:val="0"/>
    <w:pPr>
      <w:widowControl/>
      <w:spacing w:after="160" w:line="240" w:lineRule="exact"/>
      <w:jc w:val="left"/>
    </w:pPr>
    <w:rPr>
      <w:rFonts w:eastAsia="仿宋_GB2312"/>
      <w:sz w:val="28"/>
    </w:rPr>
  </w:style>
  <w:style w:type="paragraph" w:customStyle="1" w:styleId="858">
    <w:name w:val="Char21"/>
    <w:basedOn w:val="1"/>
    <w:autoRedefine/>
    <w:qFormat/>
    <w:uiPriority w:val="0"/>
    <w:pPr>
      <w:adjustRightInd/>
      <w:ind w:firstLine="200" w:firstLineChars="200"/>
    </w:pPr>
    <w:rPr>
      <w:rFonts w:ascii="仿宋_GB2312" w:eastAsia="仿宋_GB2312"/>
      <w:b/>
      <w:sz w:val="32"/>
      <w:szCs w:val="32"/>
    </w:rPr>
  </w:style>
  <w:style w:type="paragraph" w:customStyle="1" w:styleId="859">
    <w:name w:val="列表段落1"/>
    <w:basedOn w:val="1"/>
    <w:autoRedefine/>
    <w:qFormat/>
    <w:uiPriority w:val="34"/>
    <w:pPr>
      <w:adjustRightInd/>
      <w:ind w:right="238" w:firstLine="420"/>
    </w:pPr>
    <w:rPr>
      <w:rFonts w:ascii="Calibri" w:hAnsi="Calibri"/>
      <w:sz w:val="24"/>
    </w:rPr>
  </w:style>
  <w:style w:type="paragraph" w:customStyle="1" w:styleId="860">
    <w:name w:val="Char Char110"/>
    <w:basedOn w:val="1"/>
    <w:autoRedefine/>
    <w:qFormat/>
    <w:uiPriority w:val="6"/>
    <w:pPr>
      <w:spacing w:line="360" w:lineRule="auto"/>
    </w:pPr>
    <w:rPr>
      <w:rFonts w:ascii="Tahoma" w:hAnsi="Tahoma"/>
      <w:sz w:val="24"/>
      <w:szCs w:val="20"/>
    </w:rPr>
  </w:style>
  <w:style w:type="paragraph" w:customStyle="1" w:styleId="861">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3">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autoRedefine/>
    <w:qFormat/>
    <w:uiPriority w:val="0"/>
    <w:rPr>
      <w:rFonts w:ascii="Tahoma" w:hAnsi="Tahoma" w:cs="仿宋_GB2312"/>
      <w:sz w:val="24"/>
      <w:szCs w:val="20"/>
    </w:rPr>
  </w:style>
  <w:style w:type="paragraph" w:customStyle="1" w:styleId="866">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0">
    <w:name w:val="_Style 12"/>
    <w:basedOn w:val="18"/>
    <w:autoRedefine/>
    <w:qFormat/>
    <w:uiPriority w:val="0"/>
    <w:pPr>
      <w:snapToGrid w:val="0"/>
      <w:spacing w:line="360" w:lineRule="auto"/>
    </w:pPr>
  </w:style>
  <w:style w:type="paragraph" w:customStyle="1" w:styleId="871">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autoRedefine/>
    <w:qFormat/>
    <w:uiPriority w:val="0"/>
    <w:pPr>
      <w:outlineLvl w:val="2"/>
    </w:pPr>
  </w:style>
  <w:style w:type="paragraph" w:customStyle="1" w:styleId="878">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autoRedefine/>
    <w:qFormat/>
    <w:uiPriority w:val="0"/>
    <w:pPr>
      <w:adjustRightInd/>
      <w:ind w:firstLine="200" w:firstLineChars="200"/>
    </w:pPr>
    <w:rPr>
      <w:rFonts w:ascii="Tahoma" w:hAnsi="Tahoma"/>
      <w:sz w:val="24"/>
      <w:szCs w:val="20"/>
    </w:rPr>
  </w:style>
  <w:style w:type="paragraph" w:customStyle="1" w:styleId="880">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1">
    <w:name w:val="MM Empty"/>
    <w:basedOn w:val="1"/>
    <w:autoRedefine/>
    <w:qFormat/>
    <w:uiPriority w:val="0"/>
    <w:pPr>
      <w:adjustRightInd/>
    </w:pPr>
  </w:style>
  <w:style w:type="paragraph" w:customStyle="1" w:styleId="882">
    <w:name w:val="Char24"/>
    <w:basedOn w:val="1"/>
    <w:autoRedefine/>
    <w:qFormat/>
    <w:uiPriority w:val="0"/>
    <w:rPr>
      <w:rFonts w:ascii="仿宋_GB2312" w:eastAsia="仿宋_GB2312"/>
      <w:b/>
      <w:sz w:val="32"/>
      <w:szCs w:val="32"/>
    </w:rPr>
  </w:style>
  <w:style w:type="paragraph" w:customStyle="1" w:styleId="883">
    <w:name w:val="正文箭头"/>
    <w:basedOn w:val="535"/>
    <w:autoRedefine/>
    <w:qFormat/>
    <w:uiPriority w:val="0"/>
  </w:style>
  <w:style w:type="paragraph" w:customStyle="1" w:styleId="884">
    <w:name w:val="U_编号2"/>
    <w:basedOn w:val="1"/>
    <w:autoRedefine/>
    <w:qFormat/>
    <w:uiPriority w:val="0"/>
    <w:pPr>
      <w:tabs>
        <w:tab w:val="left" w:pos="785"/>
      </w:tabs>
      <w:adjustRightInd/>
      <w:spacing w:beforeLines="10" w:afterLines="10" w:line="300" w:lineRule="auto"/>
    </w:pPr>
    <w:rPr>
      <w:sz w:val="24"/>
    </w:rPr>
  </w:style>
  <w:style w:type="paragraph" w:customStyle="1" w:styleId="885">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4"/>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autoRedefine/>
    <w:qFormat/>
    <w:uiPriority w:val="34"/>
    <w:pPr>
      <w:adjustRightInd/>
      <w:ind w:firstLine="420" w:firstLineChars="200"/>
    </w:pPr>
    <w:rPr>
      <w:rFonts w:eastAsia="仿宋_GB2312"/>
      <w:sz w:val="28"/>
    </w:rPr>
  </w:style>
  <w:style w:type="paragraph" w:customStyle="1" w:styleId="890">
    <w:name w:val="表格 内容"/>
    <w:basedOn w:val="726"/>
    <w:autoRedefine/>
    <w:qFormat/>
    <w:uiPriority w:val="0"/>
    <w:rPr>
      <w:b w:val="0"/>
      <w:sz w:val="20"/>
    </w:rPr>
  </w:style>
  <w:style w:type="paragraph" w:customStyle="1" w:styleId="891">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autoRedefine/>
    <w:qFormat/>
    <w:uiPriority w:val="0"/>
    <w:pPr>
      <w:tabs>
        <w:tab w:val="left" w:pos="1080"/>
      </w:tabs>
      <w:ind w:left="1080" w:hanging="1080"/>
    </w:pPr>
  </w:style>
  <w:style w:type="paragraph" w:customStyle="1" w:styleId="894">
    <w:name w:val="数字标题1"/>
    <w:basedOn w:val="4"/>
    <w:next w:val="1"/>
    <w:autoRedefine/>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autoRedefine/>
    <w:qFormat/>
    <w:uiPriority w:val="0"/>
    <w:pPr>
      <w:widowControl/>
    </w:pPr>
    <w:rPr>
      <w:kern w:val="0"/>
      <w:sz w:val="24"/>
      <w:szCs w:val="20"/>
    </w:rPr>
  </w:style>
  <w:style w:type="paragraph" w:customStyle="1" w:styleId="902">
    <w:name w:val="Char Char113"/>
    <w:basedOn w:val="1"/>
    <w:autoRedefine/>
    <w:qFormat/>
    <w:uiPriority w:val="0"/>
    <w:pPr>
      <w:widowControl/>
      <w:spacing w:after="160" w:line="240" w:lineRule="exact"/>
      <w:jc w:val="left"/>
    </w:pPr>
    <w:rPr>
      <w:rFonts w:eastAsia="仿宋_GB2312"/>
      <w:sz w:val="28"/>
    </w:rPr>
  </w:style>
  <w:style w:type="paragraph" w:customStyle="1" w:styleId="903">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autoRedefine/>
    <w:qFormat/>
    <w:uiPriority w:val="34"/>
    <w:pPr>
      <w:adjustRightInd/>
      <w:ind w:firstLine="420" w:firstLineChars="200"/>
    </w:pPr>
    <w:rPr>
      <w:rFonts w:eastAsia="仿宋_GB2312"/>
      <w:sz w:val="28"/>
    </w:rPr>
  </w:style>
  <w:style w:type="paragraph" w:customStyle="1" w:styleId="9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7">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autoRedefine/>
    <w:qFormat/>
    <w:uiPriority w:val="6"/>
    <w:pPr>
      <w:widowControl/>
      <w:spacing w:after="160" w:line="240" w:lineRule="exact"/>
      <w:jc w:val="left"/>
    </w:pPr>
    <w:rPr>
      <w:rFonts w:eastAsia="仿宋_GB2312"/>
      <w:sz w:val="28"/>
    </w:rPr>
  </w:style>
  <w:style w:type="paragraph" w:customStyle="1" w:styleId="911">
    <w:name w:val="正文 图"/>
    <w:basedOn w:val="440"/>
    <w:autoRedefine/>
    <w:qFormat/>
    <w:uiPriority w:val="0"/>
    <w:pPr>
      <w:adjustRightInd/>
      <w:spacing w:before="0"/>
      <w:ind w:firstLine="0"/>
      <w:jc w:val="center"/>
    </w:pPr>
    <w:rPr>
      <w:rFonts w:ascii="微软雅黑" w:hAnsi="微软雅黑"/>
    </w:rPr>
  </w:style>
  <w:style w:type="paragraph" w:customStyle="1" w:styleId="912">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autoRedefine/>
    <w:qFormat/>
    <w:uiPriority w:val="0"/>
    <w:pPr>
      <w:ind w:left="0"/>
    </w:pPr>
  </w:style>
  <w:style w:type="paragraph" w:customStyle="1" w:styleId="915">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autoRedefine/>
    <w:qFormat/>
    <w:uiPriority w:val="0"/>
    <w:pPr>
      <w:adjustRightInd/>
      <w:spacing w:line="360" w:lineRule="auto"/>
      <w:ind w:firstLine="480"/>
    </w:pPr>
    <w:rPr>
      <w:sz w:val="24"/>
    </w:rPr>
  </w:style>
  <w:style w:type="table" w:customStyle="1" w:styleId="918">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autoRedefine/>
    <w:qFormat/>
    <w:uiPriority w:val="34"/>
    <w:pPr>
      <w:ind w:firstLine="420" w:firstLineChars="200"/>
    </w:pPr>
  </w:style>
  <w:style w:type="character" w:customStyle="1" w:styleId="925">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autoRedefine/>
    <w:qFormat/>
    <w:uiPriority w:val="0"/>
    <w:rPr>
      <w:rFonts w:ascii="宋体" w:eastAsia="宋体"/>
      <w:snapToGrid w:val="0"/>
      <w:color w:val="000000"/>
      <w:kern w:val="28"/>
      <w:sz w:val="28"/>
      <w:lang w:val="en-US" w:eastAsia="zh-CN" w:bidi="ar-SA"/>
    </w:rPr>
  </w:style>
  <w:style w:type="character" w:customStyle="1" w:styleId="927">
    <w:name w:val="页脚 字符1"/>
    <w:autoRedefine/>
    <w:qFormat/>
    <w:locked/>
    <w:uiPriority w:val="99"/>
    <w:rPr>
      <w:kern w:val="2"/>
      <w:sz w:val="18"/>
      <w:szCs w:val="18"/>
    </w:rPr>
  </w:style>
  <w:style w:type="character" w:customStyle="1" w:styleId="928">
    <w:name w:val="页眉 字符1"/>
    <w:autoRedefine/>
    <w:qFormat/>
    <w:uiPriority w:val="99"/>
    <w:rPr>
      <w:kern w:val="2"/>
      <w:sz w:val="18"/>
      <w:szCs w:val="18"/>
    </w:rPr>
  </w:style>
  <w:style w:type="character" w:customStyle="1" w:styleId="929">
    <w:name w:val="尾注文本 字符"/>
    <w:link w:val="37"/>
    <w:autoRedefine/>
    <w:qFormat/>
    <w:uiPriority w:val="0"/>
    <w:rPr>
      <w:kern w:val="2"/>
      <w:sz w:val="21"/>
      <w:szCs w:val="24"/>
      <w:lang w:val="zh-CN"/>
    </w:rPr>
  </w:style>
  <w:style w:type="character" w:customStyle="1" w:styleId="930">
    <w:name w:val="无间隔 字符"/>
    <w:link w:val="480"/>
    <w:autoRedefine/>
    <w:qFormat/>
    <w:uiPriority w:val="99"/>
    <w:rPr>
      <w:kern w:val="2"/>
      <w:sz w:val="21"/>
      <w:szCs w:val="22"/>
    </w:rPr>
  </w:style>
  <w:style w:type="character" w:customStyle="1" w:styleId="931">
    <w:name w:val="标准文本 Char Char"/>
    <w:link w:val="932"/>
    <w:autoRedefine/>
    <w:qFormat/>
    <w:uiPriority w:val="0"/>
    <w:rPr>
      <w:rFonts w:cs="宋体"/>
      <w:kern w:val="2"/>
      <w:sz w:val="24"/>
    </w:rPr>
  </w:style>
  <w:style w:type="paragraph" w:customStyle="1" w:styleId="932">
    <w:name w:val="标准文本"/>
    <w:basedOn w:val="1"/>
    <w:link w:val="931"/>
    <w:autoRedefine/>
    <w:qFormat/>
    <w:uiPriority w:val="0"/>
    <w:pPr>
      <w:adjustRightInd/>
      <w:spacing w:line="360" w:lineRule="auto"/>
      <w:ind w:firstLine="480" w:firstLineChars="200"/>
    </w:pPr>
    <w:rPr>
      <w:rFonts w:cs="宋体"/>
      <w:sz w:val="24"/>
      <w:szCs w:val="20"/>
    </w:rPr>
  </w:style>
  <w:style w:type="character" w:customStyle="1" w:styleId="933">
    <w:name w:val="Char Char213"/>
    <w:autoRedefine/>
    <w:qFormat/>
    <w:uiPriority w:val="0"/>
    <w:rPr>
      <w:rFonts w:eastAsia="Century Gothic"/>
      <w:b/>
      <w:bCs/>
      <w:kern w:val="44"/>
      <w:sz w:val="32"/>
      <w:szCs w:val="44"/>
      <w:lang w:val="en-US" w:eastAsia="zh-CN" w:bidi="ar-SA"/>
    </w:rPr>
  </w:style>
  <w:style w:type="character" w:customStyle="1" w:styleId="934">
    <w:name w:val="apple-style-span"/>
    <w:autoRedefine/>
    <w:qFormat/>
    <w:uiPriority w:val="0"/>
    <w:rPr>
      <w:rFonts w:ascii="Arial" w:hAnsi="Arial" w:eastAsia="黑体" w:cs="Arial"/>
      <w:snapToGrid w:val="0"/>
      <w:kern w:val="0"/>
      <w:szCs w:val="21"/>
    </w:rPr>
  </w:style>
  <w:style w:type="character" w:customStyle="1" w:styleId="935">
    <w:name w:val="15"/>
    <w:autoRedefine/>
    <w:qFormat/>
    <w:uiPriority w:val="0"/>
    <w:rPr>
      <w:rFonts w:hint="default" w:ascii="Calibri" w:hAnsi="Calibri"/>
      <w:color w:val="0000FF"/>
      <w:u w:val="single"/>
    </w:rPr>
  </w:style>
  <w:style w:type="character" w:customStyle="1" w:styleId="936">
    <w:name w:val="16"/>
    <w:autoRedefine/>
    <w:qFormat/>
    <w:uiPriority w:val="0"/>
    <w:rPr>
      <w:rFonts w:hint="eastAsia" w:ascii="宋体" w:hAnsi="宋体" w:eastAsia="宋体"/>
      <w:color w:val="000000"/>
      <w:sz w:val="20"/>
      <w:szCs w:val="20"/>
    </w:rPr>
  </w:style>
  <w:style w:type="character" w:customStyle="1" w:styleId="937">
    <w:name w:val="edui-unclickable"/>
    <w:autoRedefine/>
    <w:qFormat/>
    <w:uiPriority w:val="0"/>
    <w:rPr>
      <w:color w:val="808080"/>
    </w:rPr>
  </w:style>
  <w:style w:type="character" w:customStyle="1" w:styleId="938">
    <w:name w:val="tpc_content1"/>
    <w:autoRedefine/>
    <w:qFormat/>
    <w:uiPriority w:val="0"/>
    <w:rPr>
      <w:sz w:val="20"/>
      <w:szCs w:val="20"/>
    </w:rPr>
  </w:style>
  <w:style w:type="character" w:customStyle="1" w:styleId="939">
    <w:name w:val="正文文本缩进 字符"/>
    <w:autoRedefine/>
    <w:qFormat/>
    <w:uiPriority w:val="0"/>
    <w:rPr>
      <w:rFonts w:ascii="Century Gothic" w:hAnsi="Century Gothic" w:eastAsia="Century Gothic"/>
      <w:kern w:val="2"/>
      <w:sz w:val="24"/>
      <w:lang w:val="en-US" w:eastAsia="zh-CN" w:bidi="ar-SA"/>
    </w:rPr>
  </w:style>
  <w:style w:type="character" w:customStyle="1" w:styleId="940">
    <w:name w:val="正文文本 2 字符"/>
    <w:autoRedefine/>
    <w:qFormat/>
    <w:uiPriority w:val="0"/>
    <w:rPr>
      <w:rFonts w:ascii="Arial" w:hAnsi="Arial" w:eastAsia="宋体"/>
      <w:kern w:val="2"/>
      <w:sz w:val="24"/>
      <w:szCs w:val="24"/>
      <w:lang w:val="en-US" w:eastAsia="zh-CN" w:bidi="ar-SA"/>
    </w:rPr>
  </w:style>
  <w:style w:type="character" w:customStyle="1" w:styleId="941">
    <w:name w:val="edui-clickable2"/>
    <w:autoRedefine/>
    <w:qFormat/>
    <w:uiPriority w:val="0"/>
    <w:rPr>
      <w:color w:val="0000FF"/>
      <w:u w:val="single"/>
    </w:rPr>
  </w:style>
  <w:style w:type="character" w:customStyle="1" w:styleId="942">
    <w:name w:val="style1"/>
    <w:autoRedefine/>
    <w:qFormat/>
    <w:uiPriority w:val="0"/>
    <w:rPr>
      <w:rFonts w:ascii="Arial" w:hAnsi="Arial" w:eastAsia="黑体" w:cs="Arial"/>
      <w:snapToGrid w:val="0"/>
      <w:kern w:val="0"/>
      <w:szCs w:val="21"/>
    </w:rPr>
  </w:style>
  <w:style w:type="character" w:customStyle="1" w:styleId="943">
    <w:name w:val="zbggtop11 style5"/>
    <w:autoRedefine/>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5">
    <w:name w:val="bulletintext1"/>
    <w:autoRedefine/>
    <w:qFormat/>
    <w:uiPriority w:val="0"/>
    <w:rPr>
      <w:color w:val="000000"/>
      <w:sz w:val="18"/>
    </w:rPr>
  </w:style>
  <w:style w:type="paragraph" w:customStyle="1" w:styleId="946">
    <w:name w:val="_Style 947"/>
    <w:basedOn w:val="1"/>
    <w:next w:val="255"/>
    <w:autoRedefine/>
    <w:qFormat/>
    <w:uiPriority w:val="34"/>
    <w:pPr>
      <w:adjustRightInd/>
      <w:ind w:firstLine="420" w:firstLineChars="200"/>
    </w:pPr>
  </w:style>
  <w:style w:type="paragraph" w:customStyle="1" w:styleId="947">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49">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5"/>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3">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autoRedefine/>
    <w:qFormat/>
    <w:uiPriority w:val="0"/>
    <w:pPr>
      <w:adjustRightInd/>
      <w:jc w:val="left"/>
    </w:pPr>
    <w:rPr>
      <w:rFonts w:ascii="Calibri" w:hAnsi="Calibri"/>
      <w:kern w:val="0"/>
      <w:sz w:val="22"/>
      <w:szCs w:val="22"/>
      <w:lang w:eastAsia="en-US"/>
    </w:rPr>
  </w:style>
  <w:style w:type="paragraph" w:customStyle="1" w:styleId="955">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autoRedefine/>
    <w:qFormat/>
    <w:uiPriority w:val="0"/>
    <w:rPr>
      <w:color w:val="000000"/>
      <w:shd w:val="clear" w:color="auto" w:fill="EFD200"/>
    </w:rPr>
  </w:style>
  <w:style w:type="character" w:customStyle="1" w:styleId="959">
    <w:name w:val="font71"/>
    <w:autoRedefine/>
    <w:qFormat/>
    <w:uiPriority w:val="0"/>
    <w:rPr>
      <w:rFonts w:hint="eastAsia" w:ascii="宋体" w:hAnsi="宋体" w:eastAsia="宋体" w:cs="宋体"/>
      <w:color w:val="000000"/>
      <w:sz w:val="22"/>
      <w:szCs w:val="22"/>
      <w:u w:val="none"/>
    </w:rPr>
  </w:style>
  <w:style w:type="character" w:customStyle="1" w:styleId="960">
    <w:name w:val="font91"/>
    <w:autoRedefine/>
    <w:qFormat/>
    <w:uiPriority w:val="0"/>
    <w:rPr>
      <w:rFonts w:hint="eastAsia" w:ascii="仿宋" w:hAnsi="仿宋" w:eastAsia="仿宋" w:cs="仿宋"/>
      <w:color w:val="000000"/>
      <w:sz w:val="22"/>
      <w:szCs w:val="22"/>
      <w:u w:val="none"/>
    </w:rPr>
  </w:style>
  <w:style w:type="paragraph" w:customStyle="1" w:styleId="961">
    <w:name w:val="正文缩进_0"/>
    <w:basedOn w:val="1"/>
    <w:autoRedefine/>
    <w:qFormat/>
    <w:uiPriority w:val="0"/>
    <w:pPr>
      <w:ind w:firstLine="420"/>
    </w:pPr>
    <w:rPr>
      <w:rFonts w:ascii="Calibri" w:hAnsi="Calibri" w:cs="Calibri"/>
      <w:kern w:val="0"/>
      <w:sz w:val="24"/>
      <w:szCs w:val="20"/>
    </w:rPr>
  </w:style>
  <w:style w:type="paragraph" w:customStyle="1" w:styleId="962">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3">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60E05-6CF8-4824-937D-D3B2B236FF8D}">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36496</Words>
  <Characters>38114</Characters>
  <Lines>378</Lines>
  <Paragraphs>106</Paragraphs>
  <TotalTime>8</TotalTime>
  <ScaleCrop>false</ScaleCrop>
  <LinksUpToDate>false</LinksUpToDate>
  <CharactersWithSpaces>43782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cp:lastModifiedBy>
  <cp:lastPrinted>2022-09-05T06:53:00Z</cp:lastPrinted>
  <dcterms:modified xsi:type="dcterms:W3CDTF">2024-04-30T04:02:56Z</dcterms:modified>
  <dc:title>杭州市市民卡扩大发卡工程</dc:title>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1D80A817C3754C99B74B05D812421911_13</vt:lpwstr>
  </property>
</Properties>
</file>