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w:t>
      </w:r>
    </w:p>
    <w:p>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eastAsia="zh-CN" w:bidi="th-TH"/>
        </w:rPr>
        <w:t>自然人税收服务辅助管理平台升级项目</w:t>
      </w: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 标 文 件</w:t>
      </w:r>
    </w:p>
    <w:p>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（电子招投标）</w:t>
      </w:r>
    </w:p>
    <w:p>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bidi="th-TH"/>
        </w:rPr>
        <w:t>编号:</w:t>
      </w:r>
      <w:r>
        <w:rPr>
          <w:rFonts w:hint="eastAsia" w:ascii="仿宋" w:hAnsi="仿宋" w:eastAsia="仿宋" w:cs="仿宋"/>
          <w:color w:val="auto"/>
          <w:w w:val="80"/>
          <w:sz w:val="30"/>
          <w:szCs w:val="30"/>
          <w:highlight w:val="none"/>
          <w:lang w:eastAsia="zh-CN" w:bidi="th-TH"/>
        </w:rPr>
        <w:t>ZJ-2211236</w:t>
      </w:r>
    </w:p>
    <w:p>
      <w:pPr>
        <w:adjustRightInd/>
        <w:spacing w:line="360" w:lineRule="auto"/>
        <w:rPr>
          <w:rFonts w:ascii="仿宋" w:hAnsi="仿宋" w:eastAsia="仿宋" w:cs="仿宋"/>
          <w:color w:val="auto"/>
          <w:sz w:val="28"/>
          <w:szCs w:val="20"/>
          <w:highlight w:val="none"/>
        </w:rPr>
      </w:pPr>
    </w:p>
    <w:p>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color w:val="auto"/>
          <w:sz w:val="24"/>
          <w:highlight w:val="none"/>
        </w:rPr>
      </w:pPr>
    </w:p>
    <w:tbl>
      <w:tblPr>
        <w:tblStyle w:val="51"/>
        <w:tblW w:w="6959" w:type="dxa"/>
        <w:jc w:val="center"/>
        <w:tblLayout w:type="fixed"/>
        <w:tblCellMar>
          <w:top w:w="0" w:type="dxa"/>
          <w:left w:w="108" w:type="dxa"/>
          <w:bottom w:w="0" w:type="dxa"/>
          <w:right w:w="108" w:type="dxa"/>
        </w:tblCellMar>
      </w:tblPr>
      <w:tblGrid>
        <w:gridCol w:w="2032"/>
        <w:gridCol w:w="516"/>
        <w:gridCol w:w="4411"/>
      </w:tblGrid>
      <w:tr>
        <w:trPr>
          <w:trHeight w:val="680" w:hRule="atLeast"/>
          <w:jc w:val="center"/>
        </w:trPr>
        <w:tc>
          <w:tcPr>
            <w:tcW w:w="2032"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pPr>
              <w:snapToGrid w:val="0"/>
              <w:jc w:val="distribute"/>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国家税务总局浙江省税务局</w:t>
            </w:r>
          </w:p>
        </w:tc>
      </w:tr>
      <w:tr>
        <w:tblPrEx>
          <w:tblCellMar>
            <w:top w:w="0" w:type="dxa"/>
            <w:left w:w="108" w:type="dxa"/>
            <w:bottom w:w="0" w:type="dxa"/>
            <w:right w:w="108" w:type="dxa"/>
          </w:tblCellMar>
        </w:tblPrEx>
        <w:trPr>
          <w:trHeight w:val="297" w:hRule="atLeast"/>
          <w:jc w:val="center"/>
        </w:trPr>
        <w:tc>
          <w:tcPr>
            <w:tcW w:w="2032" w:type="dxa"/>
            <w:vAlign w:val="center"/>
          </w:tcPr>
          <w:p>
            <w:pPr>
              <w:snapToGrid w:val="0"/>
              <w:jc w:val="distribute"/>
              <w:rPr>
                <w:rFonts w:ascii="仿宋" w:hAnsi="仿宋" w:eastAsia="仿宋" w:cs="仿宋"/>
                <w:color w:val="auto"/>
                <w:szCs w:val="21"/>
                <w:highlight w:val="none"/>
              </w:rPr>
            </w:pPr>
          </w:p>
        </w:tc>
        <w:tc>
          <w:tcPr>
            <w:tcW w:w="516" w:type="dxa"/>
            <w:vAlign w:val="center"/>
          </w:tcPr>
          <w:p>
            <w:pPr>
              <w:snapToGrid w:val="0"/>
              <w:jc w:val="distribute"/>
              <w:rPr>
                <w:rFonts w:ascii="仿宋" w:hAnsi="仿宋" w:eastAsia="仿宋" w:cs="仿宋"/>
                <w:color w:val="auto"/>
                <w:szCs w:val="21"/>
                <w:highlight w:val="none"/>
              </w:rPr>
            </w:pPr>
          </w:p>
        </w:tc>
        <w:tc>
          <w:tcPr>
            <w:tcW w:w="4411" w:type="dxa"/>
            <w:vAlign w:val="center"/>
          </w:tcPr>
          <w:p>
            <w:pPr>
              <w:snapToGrid w:val="0"/>
              <w:jc w:val="distribute"/>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snapToGrid w:val="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2022年</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月</w:t>
            </w:r>
          </w:p>
        </w:tc>
      </w:tr>
    </w:tbl>
    <w:p>
      <w:pPr>
        <w:spacing w:line="360" w:lineRule="auto"/>
        <w:jc w:val="center"/>
        <w:rPr>
          <w:rFonts w:ascii="仿宋" w:hAnsi="仿宋" w:eastAsia="仿宋" w:cs="仿宋_GB2312"/>
          <w:color w:val="auto"/>
          <w:sz w:val="24"/>
          <w:highlight w:val="none"/>
        </w:rPr>
        <w:sectPr>
          <w:headerReference r:id="rId4" w:type="first"/>
          <w:headerReference r:id="rId3" w:type="default"/>
          <w:pgSz w:w="11906" w:h="16838"/>
          <w:pgMar w:top="1276" w:right="1418" w:bottom="1247" w:left="1418" w:header="851" w:footer="992" w:gutter="0"/>
          <w:pgBorders>
            <w:top w:val="none" w:sz="0" w:space="0"/>
            <w:left w:val="none" w:sz="0" w:space="0"/>
            <w:bottom w:val="none" w:sz="0" w:space="0"/>
            <w:right w:val="none" w:sz="0" w:space="0"/>
          </w:pgBorders>
          <w:pgNumType w:start="1"/>
          <w:cols w:space="720" w:num="1"/>
          <w:titlePg/>
          <w:docGrid w:linePitch="312" w:charSpace="0"/>
        </w:sectPr>
      </w:pPr>
      <w:bookmarkStart w:id="0" w:name="_Hlt67893495"/>
      <w:bookmarkEnd w:id="0"/>
    </w:p>
    <w:p>
      <w:pPr>
        <w:pStyle w:val="822"/>
        <w:rPr>
          <w:color w:val="auto"/>
          <w:highlight w:val="none"/>
        </w:rPr>
      </w:pPr>
    </w:p>
    <w:p>
      <w:pPr>
        <w:rPr>
          <w:rFonts w:ascii="仿宋" w:hAnsi="仿宋" w:eastAsia="仿宋" w:cs="仿宋_GB2312"/>
          <w:b/>
          <w:color w:val="auto"/>
          <w:sz w:val="48"/>
          <w:szCs w:val="48"/>
          <w:highlight w:val="none"/>
        </w:rPr>
      </w:pPr>
    </w:p>
    <w:p>
      <w:pPr>
        <w:spacing w:line="360" w:lineRule="auto"/>
        <w:jc w:val="center"/>
        <w:rPr>
          <w:rFonts w:ascii="仿宋" w:hAnsi="仿宋" w:eastAsia="仿宋" w:cs="仿宋_GB2312"/>
          <w:b/>
          <w:color w:val="auto"/>
          <w:sz w:val="48"/>
          <w:szCs w:val="48"/>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自然人税收服务辅助管理平台升级</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64"/>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23</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 xml:space="preserve"> 9</w:t>
      </w:r>
      <w:r>
        <w:rPr>
          <w:rFonts w:hint="eastAsia" w:ascii="仿宋_GB2312" w:hAnsi="仿宋" w:eastAsia="仿宋_GB2312"/>
          <w:color w:val="auto"/>
          <w:sz w:val="24"/>
          <w:highlight w:val="none"/>
          <w:u w:val="single"/>
        </w:rPr>
        <w:t>:</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ZJ-2211236</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lang w:eastAsia="zh-CN"/>
        </w:rPr>
        <w:t>自然人税收服务辅助管理平台升级项目</w:t>
      </w:r>
    </w:p>
    <w:p>
      <w:pPr>
        <w:spacing w:line="360" w:lineRule="auto"/>
        <w:rPr>
          <w:rFonts w:hint="eastAsia" w:ascii="仿宋_GB2312" w:hAnsi="仿宋" w:eastAsia="仿宋_GB2312"/>
          <w:bCs/>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bCs/>
          <w:color w:val="auto"/>
          <w:sz w:val="24"/>
          <w:highlight w:val="none"/>
          <w:lang w:eastAsia="zh-CN"/>
        </w:rPr>
        <w:t>900000</w:t>
      </w:r>
    </w:p>
    <w:p>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b/>
          <w:color w:val="auto"/>
          <w:sz w:val="24"/>
          <w:highlight w:val="none"/>
        </w:rPr>
        <w:t>最高限价（元）：</w:t>
      </w:r>
      <w:r>
        <w:rPr>
          <w:rFonts w:hint="eastAsia" w:ascii="仿宋_GB2312" w:hAnsi="仿宋" w:eastAsia="仿宋_GB2312"/>
          <w:bCs/>
          <w:color w:val="auto"/>
          <w:sz w:val="24"/>
          <w:highlight w:val="none"/>
          <w:lang w:eastAsia="zh-CN"/>
        </w:rPr>
        <w:t>900000</w:t>
      </w:r>
    </w:p>
    <w:p>
      <w:pPr>
        <w:pStyle w:val="2"/>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采购需求：</w:t>
      </w:r>
    </w:p>
    <w:p>
      <w:pPr>
        <w:pStyle w:val="2"/>
        <w:spacing w:line="360" w:lineRule="auto"/>
        <w:ind w:firstLine="480"/>
        <w:rPr>
          <w:rFonts w:ascii="仿宋_GB2312" w:hAnsi="仿宋" w:eastAsia="仿宋_GB2312"/>
          <w:b/>
          <w:color w:val="auto"/>
          <w:sz w:val="24"/>
          <w:highlight w:val="none"/>
        </w:rPr>
      </w:pPr>
    </w:p>
    <w:p>
      <w:pPr>
        <w:pStyle w:val="2"/>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 xml:space="preserve"> </w:t>
      </w:r>
      <w:r>
        <w:rPr>
          <w:rFonts w:ascii="仿宋_GB2312" w:hAnsi="仿宋" w:eastAsia="仿宋_GB2312"/>
          <w:color w:val="auto"/>
          <w:sz w:val="24"/>
          <w:highlight w:val="none"/>
        </w:rPr>
        <w:t>标项名称:</w:t>
      </w:r>
      <w:r>
        <w:rPr>
          <w:rFonts w:hint="eastAsia" w:hAnsi="宋体" w:cs="宋体"/>
          <w:color w:val="auto"/>
          <w:sz w:val="24"/>
          <w:highlight w:val="none"/>
        </w:rPr>
        <w:t> </w:t>
      </w:r>
      <w:r>
        <w:rPr>
          <w:rFonts w:hint="eastAsia" w:ascii="仿宋_GB2312" w:hAnsi="仿宋" w:eastAsia="仿宋_GB2312"/>
          <w:color w:val="auto"/>
          <w:sz w:val="24"/>
          <w:highlight w:val="none"/>
          <w:lang w:eastAsia="zh-CN"/>
        </w:rPr>
        <w:t>自然人税收服务辅助管理平台升级项目</w:t>
      </w:r>
      <w:r>
        <w:rPr>
          <w:rFonts w:hint="eastAsia" w:hAnsi="宋体" w:cs="宋体"/>
          <w:color w:val="auto"/>
          <w:sz w:val="24"/>
          <w:highlight w:val="none"/>
        </w:rPr>
        <w:t> </w:t>
      </w:r>
      <w:r>
        <w:rPr>
          <w:rFonts w:ascii="仿宋_GB2312" w:hAnsi="仿宋" w:eastAsia="仿宋_GB2312"/>
          <w:color w:val="auto"/>
          <w:sz w:val="24"/>
          <w:highlight w:val="none"/>
        </w:rPr>
        <w:br w:type="textWrapping"/>
      </w:r>
      <w:r>
        <w:rPr>
          <w:rFonts w:hint="eastAsia" w:hAnsi="宋体" w:cs="宋体"/>
          <w:color w:val="auto"/>
          <w:sz w:val="24"/>
          <w:highlight w:val="none"/>
        </w:rPr>
        <w:t> </w:t>
      </w:r>
      <w:r>
        <w:rPr>
          <w:rFonts w:ascii="仿宋_GB2312" w:hAnsi="仿宋" w:eastAsia="仿宋_GB2312"/>
          <w:color w:val="auto"/>
          <w:sz w:val="24"/>
          <w:highlight w:val="none"/>
        </w:rPr>
        <w:t xml:space="preserve"> </w:t>
      </w:r>
      <w:r>
        <w:rPr>
          <w:rFonts w:hint="eastAsia" w:hAnsi="宋体" w:cs="宋体"/>
          <w:color w:val="auto"/>
          <w:sz w:val="24"/>
          <w:highlight w:val="none"/>
        </w:rPr>
        <w:t> </w:t>
      </w:r>
      <w:r>
        <w:rPr>
          <w:rFonts w:ascii="仿宋_GB2312" w:hAnsi="仿宋" w:eastAsia="仿宋_GB2312"/>
          <w:color w:val="auto"/>
          <w:sz w:val="24"/>
          <w:highlight w:val="none"/>
        </w:rPr>
        <w:t>数量:</w:t>
      </w:r>
      <w:r>
        <w:rPr>
          <w:rFonts w:hint="eastAsia" w:hAnsi="宋体" w:cs="宋体"/>
          <w:color w:val="auto"/>
          <w:sz w:val="24"/>
          <w:highlight w:val="none"/>
        </w:rPr>
        <w:t> </w:t>
      </w:r>
      <w:r>
        <w:rPr>
          <w:rFonts w:ascii="仿宋_GB2312" w:hAnsi="仿宋" w:eastAsia="仿宋_GB2312"/>
          <w:color w:val="auto"/>
          <w:sz w:val="24"/>
          <w:highlight w:val="none"/>
        </w:rPr>
        <w:t>1</w:t>
      </w:r>
      <w:r>
        <w:rPr>
          <w:rFonts w:hint="eastAsia" w:hAnsi="宋体" w:cs="宋体"/>
          <w:color w:val="auto"/>
          <w:sz w:val="24"/>
          <w:highlight w:val="none"/>
        </w:rPr>
        <w:t>  </w:t>
      </w:r>
      <w:r>
        <w:rPr>
          <w:rFonts w:ascii="仿宋_GB2312" w:hAnsi="仿宋" w:eastAsia="仿宋_GB2312"/>
          <w:color w:val="auto"/>
          <w:sz w:val="24"/>
          <w:highlight w:val="none"/>
        </w:rPr>
        <w:br w:type="textWrapping"/>
      </w:r>
      <w:r>
        <w:rPr>
          <w:rFonts w:hint="eastAsia" w:hAnsi="宋体" w:cs="宋体"/>
          <w:color w:val="auto"/>
          <w:sz w:val="24"/>
          <w:highlight w:val="none"/>
        </w:rPr>
        <w:t> </w:t>
      </w:r>
      <w:r>
        <w:rPr>
          <w:rFonts w:ascii="仿宋_GB2312" w:hAnsi="仿宋" w:eastAsia="仿宋_GB2312"/>
          <w:color w:val="auto"/>
          <w:sz w:val="24"/>
          <w:highlight w:val="none"/>
        </w:rPr>
        <w:t xml:space="preserve"> </w:t>
      </w:r>
      <w:r>
        <w:rPr>
          <w:rFonts w:hint="eastAsia" w:hAnsi="宋体" w:cs="宋体"/>
          <w:color w:val="auto"/>
          <w:sz w:val="24"/>
          <w:highlight w:val="none"/>
        </w:rPr>
        <w:t> </w:t>
      </w:r>
      <w:r>
        <w:rPr>
          <w:rFonts w:ascii="仿宋_GB2312" w:hAnsi="仿宋" w:eastAsia="仿宋_GB2312"/>
          <w:color w:val="auto"/>
          <w:sz w:val="24"/>
          <w:highlight w:val="none"/>
        </w:rPr>
        <w:t>预算金额（元）:</w:t>
      </w:r>
      <w:r>
        <w:rPr>
          <w:rFonts w:hint="eastAsia" w:hAnsi="宋体" w:cs="宋体"/>
          <w:color w:val="auto"/>
          <w:sz w:val="24"/>
          <w:highlight w:val="none"/>
        </w:rPr>
        <w:t> </w:t>
      </w:r>
      <w:r>
        <w:rPr>
          <w:rFonts w:hint="eastAsia" w:ascii="仿宋_GB2312" w:hAnsi="仿宋" w:eastAsia="仿宋_GB2312"/>
          <w:color w:val="auto"/>
          <w:sz w:val="24"/>
          <w:highlight w:val="none"/>
          <w:lang w:eastAsia="zh-CN"/>
        </w:rPr>
        <w:t>900000</w:t>
      </w:r>
      <w:r>
        <w:rPr>
          <w:rFonts w:hint="eastAsia" w:hAnsi="宋体" w:cs="宋体"/>
          <w:color w:val="auto"/>
          <w:sz w:val="24"/>
          <w:highlight w:val="none"/>
        </w:rPr>
        <w:t> </w:t>
      </w:r>
    </w:p>
    <w:p>
      <w:pPr>
        <w:pStyle w:val="2"/>
        <w:spacing w:line="360" w:lineRule="auto"/>
        <w:ind w:firstLine="480"/>
        <w:rPr>
          <w:rFonts w:ascii="仿宋_GB2312" w:hAnsi="仿宋" w:eastAsia="仿宋_GB2312"/>
          <w:bCs/>
          <w:snapToGrid/>
          <w:color w:val="auto"/>
          <w:kern w:val="2"/>
          <w:sz w:val="24"/>
          <w:szCs w:val="24"/>
          <w:highlight w:val="none"/>
        </w:rPr>
      </w:pPr>
      <w:r>
        <w:rPr>
          <w:rFonts w:ascii="仿宋_GB2312" w:hAnsi="仿宋" w:eastAsia="仿宋_GB2312"/>
          <w:bCs/>
          <w:snapToGrid/>
          <w:color w:val="auto"/>
          <w:kern w:val="2"/>
          <w:sz w:val="24"/>
          <w:szCs w:val="24"/>
          <w:highlight w:val="none"/>
        </w:rPr>
        <w:t>简要规格描述或项目基本概况介绍、用途</w:t>
      </w:r>
      <w:r>
        <w:rPr>
          <w:rFonts w:hint="eastAsia" w:ascii="仿宋_GB2312" w:hAnsi="仿宋" w:eastAsia="仿宋_GB2312"/>
          <w:bCs/>
          <w:snapToGrid/>
          <w:color w:val="auto"/>
          <w:kern w:val="2"/>
          <w:sz w:val="24"/>
          <w:szCs w:val="24"/>
          <w:highlight w:val="none"/>
        </w:rPr>
        <w:t>：升级自然人税收服务辅助管理平台</w:t>
      </w:r>
      <w:r>
        <w:rPr>
          <w:rFonts w:hint="eastAsia" w:ascii="仿宋_GB2312" w:hAnsi="仿宋" w:eastAsia="仿宋_GB2312"/>
          <w:bCs/>
          <w:snapToGrid/>
          <w:color w:val="auto"/>
          <w:kern w:val="2"/>
          <w:sz w:val="24"/>
          <w:szCs w:val="24"/>
          <w:highlight w:val="none"/>
          <w:lang w:eastAsia="zh-CN"/>
        </w:rPr>
        <w:t>（</w:t>
      </w:r>
      <w:r>
        <w:rPr>
          <w:rFonts w:hint="eastAsia" w:ascii="仿宋_GB2312" w:hAnsi="仿宋" w:eastAsia="仿宋_GB2312"/>
          <w:bCs/>
          <w:snapToGrid/>
          <w:color w:val="auto"/>
          <w:kern w:val="2"/>
          <w:sz w:val="24"/>
          <w:szCs w:val="24"/>
          <w:highlight w:val="none"/>
        </w:rPr>
        <w:t>经营所得辅助管理功能</w:t>
      </w:r>
      <w:r>
        <w:rPr>
          <w:rFonts w:hint="eastAsia" w:ascii="仿宋_GB2312" w:hAnsi="仿宋" w:eastAsia="仿宋_GB2312"/>
          <w:bCs/>
          <w:snapToGrid/>
          <w:color w:val="auto"/>
          <w:kern w:val="2"/>
          <w:sz w:val="24"/>
          <w:szCs w:val="24"/>
          <w:highlight w:val="none"/>
          <w:lang w:eastAsia="zh-CN"/>
        </w:rPr>
        <w:t>、</w:t>
      </w:r>
      <w:r>
        <w:rPr>
          <w:rFonts w:hint="eastAsia" w:ascii="仿宋_GB2312" w:hAnsi="仿宋" w:eastAsia="仿宋_GB2312"/>
          <w:bCs/>
          <w:snapToGrid/>
          <w:color w:val="auto"/>
          <w:kern w:val="2"/>
          <w:sz w:val="24"/>
          <w:szCs w:val="24"/>
          <w:highlight w:val="none"/>
        </w:rPr>
        <w:t>个人股权转让服务管理功能</w:t>
      </w:r>
      <w:r>
        <w:rPr>
          <w:rFonts w:hint="eastAsia" w:ascii="仿宋_GB2312" w:hAnsi="仿宋" w:eastAsia="仿宋_GB2312"/>
          <w:bCs/>
          <w:snapToGrid/>
          <w:color w:val="auto"/>
          <w:kern w:val="2"/>
          <w:sz w:val="24"/>
          <w:szCs w:val="24"/>
          <w:highlight w:val="none"/>
          <w:lang w:eastAsia="zh-CN"/>
        </w:rPr>
        <w:t>），</w:t>
      </w:r>
      <w:r>
        <w:rPr>
          <w:rFonts w:hint="eastAsia" w:ascii="仿宋_GB2312" w:hAnsi="仿宋" w:eastAsia="仿宋_GB2312"/>
          <w:bCs/>
          <w:snapToGrid/>
          <w:color w:val="auto"/>
          <w:kern w:val="2"/>
          <w:sz w:val="24"/>
          <w:szCs w:val="24"/>
          <w:highlight w:val="none"/>
        </w:rPr>
        <w:t>详见第三部分采购需求。</w:t>
      </w:r>
    </w:p>
    <w:p>
      <w:pPr>
        <w:pStyle w:val="2"/>
        <w:spacing w:line="360" w:lineRule="auto"/>
        <w:ind w:firstLine="480"/>
        <w:rPr>
          <w:rFonts w:ascii="仿宋_GB2312" w:hAnsi="仿宋" w:eastAsia="仿宋_GB2312"/>
          <w:bCs/>
          <w:snapToGrid/>
          <w:color w:val="auto"/>
          <w:kern w:val="2"/>
          <w:sz w:val="24"/>
          <w:szCs w:val="24"/>
          <w:highlight w:val="none"/>
        </w:rPr>
      </w:pPr>
      <w:r>
        <w:rPr>
          <w:rFonts w:ascii="仿宋_GB2312" w:hAnsi="仿宋" w:eastAsia="仿宋_GB2312"/>
          <w:bCs/>
          <w:snapToGrid/>
          <w:color w:val="auto"/>
          <w:kern w:val="2"/>
          <w:sz w:val="24"/>
          <w:szCs w:val="24"/>
          <w:highlight w:val="none"/>
        </w:rPr>
        <w:t>备注：</w:t>
      </w:r>
    </w:p>
    <w:p>
      <w:pPr>
        <w:pStyle w:val="360"/>
        <w:ind w:firstLine="480"/>
        <w:outlineLvl w:val="2"/>
        <w:rPr>
          <w:rFonts w:ascii="仿宋_GB2312" w:hAnsi="仿宋" w:eastAsia="仿宋_GB2312"/>
          <w:color w:val="auto"/>
          <w:highlight w:val="none"/>
        </w:rPr>
      </w:pPr>
      <w:r>
        <w:rPr>
          <w:rFonts w:hint="eastAsia" w:ascii="仿宋_GB2312" w:hAnsi="仿宋" w:eastAsia="仿宋_GB2312"/>
          <w:color w:val="auto"/>
          <w:highlight w:val="none"/>
        </w:rPr>
        <w:t>合同履约期限：</w:t>
      </w:r>
      <w:r>
        <w:rPr>
          <w:rFonts w:ascii="仿宋_GB2312" w:hAnsi="仿宋" w:eastAsia="仿宋_GB2312"/>
          <w:color w:val="auto"/>
          <w:highlight w:val="none"/>
        </w:rPr>
        <w:t>标项 1，</w:t>
      </w:r>
      <w:r>
        <w:rPr>
          <w:rFonts w:hint="eastAsia" w:ascii="仿宋_GB2312" w:hAnsi="仿宋" w:eastAsia="仿宋_GB2312"/>
          <w:color w:val="auto"/>
          <w:highlight w:val="none"/>
        </w:rPr>
        <w:t>详见采购需求。</w:t>
      </w:r>
    </w:p>
    <w:p>
      <w:pPr>
        <w:pStyle w:val="2"/>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本项目（否）接受联合体投标</w:t>
      </w:r>
      <w:r>
        <w:rPr>
          <w:rFonts w:hint="eastAsia" w:hAnsi="宋体" w:cs="Arial"/>
          <w:bCs/>
          <w:color w:val="auto"/>
          <w:kern w:val="0"/>
          <w:sz w:val="24"/>
          <w:highlight w:val="none"/>
        </w:rPr>
        <w:t>。</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_GB2312" w:hAnsi="仿宋" w:eastAsia="仿宋"/>
          <w:color w:val="auto"/>
          <w:sz w:val="24"/>
          <w:highlight w:val="none"/>
          <w:lang w:val="en-US" w:eastAsia="zh-CN"/>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落实政府采购政策需满足的资格要求：</w:t>
      </w:r>
      <w:r>
        <w:rPr>
          <w:rFonts w:hint="eastAsia" w:ascii="仿宋" w:hAnsi="仿宋" w:eastAsia="仿宋" w:cs="仿宋_GB2312"/>
          <w:snapToGrid w:val="0"/>
          <w:color w:val="auto"/>
          <w:kern w:val="28"/>
          <w:sz w:val="24"/>
          <w:szCs w:val="20"/>
          <w:highlight w:val="none"/>
          <w:lang w:val="en-US" w:eastAsia="zh-CN"/>
        </w:rPr>
        <w:t>无；</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w:t>
      </w:r>
      <w:r>
        <w:rPr>
          <w:rFonts w:hint="eastAsia" w:ascii="仿宋_GB2312" w:hAnsi="仿宋" w:eastAsia="仿宋_GB2312"/>
          <w:color w:val="auto"/>
          <w:sz w:val="24"/>
          <w:highlight w:val="none"/>
        </w:rPr>
        <w:t>无；</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6</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23</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23</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23</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pStyle w:val="22"/>
        <w:rPr>
          <w:rFonts w:ascii="仿宋_GB2312" w:hAnsi="仿宋" w:eastAsia="仿宋_GB2312"/>
          <w:b/>
          <w:color w:val="auto"/>
          <w:highlight w:val="none"/>
        </w:rPr>
      </w:pPr>
      <w:r>
        <w:rPr>
          <w:rFonts w:hint="eastAsia" w:ascii="仿宋_GB2312" w:hAnsi="仿宋" w:eastAsia="仿宋_GB2312"/>
          <w:b/>
          <w:bCs/>
          <w:color w:val="auto"/>
          <w:highlight w:val="none"/>
        </w:rPr>
        <w:t>五、</w:t>
      </w:r>
      <w:r>
        <w:rPr>
          <w:rFonts w:hint="eastAsia" w:ascii="仿宋_GB2312" w:hAnsi="仿宋" w:eastAsia="仿宋_GB2312"/>
          <w:b/>
          <w:color w:val="auto"/>
          <w:highlight w:val="none"/>
        </w:rPr>
        <w:t>公告期限</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 xml:space="preserve">    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olor w:val="auto"/>
          <w:sz w:val="24"/>
          <w:highlight w:val="none"/>
        </w:rPr>
        <w:t>4.其他事项：（1）需要落实的政府采购政策：包括节约资源、保护环境、支持创新、促进中小企业发展等。详见招标文件的第二部分总则。（2）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w:t>
      </w:r>
      <w:r>
        <w:rPr>
          <w:rFonts w:hint="eastAsia" w:ascii="仿宋_GB2312" w:hAnsi="仿宋" w:eastAsia="仿宋_GB2312"/>
          <w:color w:val="auto"/>
          <w:sz w:val="24"/>
          <w:highlight w:val="none"/>
        </w:rPr>
        <w:t>采购代理机构</w:t>
      </w:r>
      <w:r>
        <w:rPr>
          <w:rFonts w:ascii="仿宋_GB2312" w:hAnsi="仿宋" w:eastAsia="仿宋_GB2312"/>
          <w:color w:val="auto"/>
          <w:sz w:val="24"/>
          <w:highlight w:val="none"/>
        </w:rPr>
        <w:t>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r>
        <w:rPr>
          <w:rFonts w:hint="eastAsia" w:ascii="仿宋_GB2312" w:hAnsi="仿宋" w:eastAsia="仿宋_GB2312" w:cs="仿宋_GB2312"/>
          <w:color w:val="auto"/>
          <w:sz w:val="24"/>
          <w:highlight w:val="none"/>
        </w:rPr>
        <w:t>（3）本项目招标文件公告期限为本公告发布之日起5个工作日。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国家税务总局浙江省税务局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 杭州市西湖区体环二路1号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何</w:t>
      </w:r>
      <w:r>
        <w:rPr>
          <w:rFonts w:hint="eastAsia" w:ascii="仿宋_GB2312" w:hAnsi="仿宋" w:eastAsia="仿宋_GB2312"/>
          <w:color w:val="auto"/>
          <w:sz w:val="24"/>
          <w:highlight w:val="none"/>
        </w:rPr>
        <w:t xml:space="preserve">先生 </w:t>
      </w:r>
    </w:p>
    <w:p>
      <w:pPr>
        <w:spacing w:line="360" w:lineRule="auto"/>
        <w:ind w:firstLine="480"/>
        <w:rPr>
          <w:rFonts w:ascii="仿宋_GB2312" w:hAnsi="仿宋" w:eastAsia="仿宋_GB2312"/>
          <w:color w:val="auto"/>
          <w:sz w:val="24"/>
          <w:highlight w:val="none"/>
        </w:rPr>
      </w:pPr>
      <w:r>
        <w:rPr>
          <w:rFonts w:ascii="仿宋_GB2312" w:hAnsi="仿宋" w:eastAsia="仿宋_GB2312"/>
          <w:color w:val="auto"/>
          <w:sz w:val="24"/>
          <w:highlight w:val="none"/>
        </w:rPr>
        <w:t>项目联系方式（询问）：</w:t>
      </w:r>
      <w:r>
        <w:rPr>
          <w:rFonts w:hint="eastAsia"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0571-</w:t>
      </w:r>
      <w:r>
        <w:rPr>
          <w:rFonts w:hint="eastAsia" w:ascii="仿宋_GB2312" w:hAnsi="仿宋" w:eastAsia="仿宋_GB2312"/>
          <w:color w:val="auto"/>
          <w:sz w:val="24"/>
          <w:highlight w:val="none"/>
        </w:rPr>
        <w:t>85270956 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质疑联系人：   </w:t>
      </w:r>
      <w:r>
        <w:rPr>
          <w:rFonts w:hint="eastAsia" w:ascii="仿宋_GB2312" w:hAnsi="仿宋" w:eastAsia="仿宋_GB2312"/>
          <w:color w:val="auto"/>
          <w:sz w:val="24"/>
          <w:highlight w:val="none"/>
          <w:lang w:val="en-US" w:eastAsia="zh-CN"/>
        </w:rPr>
        <w:t>周女士</w:t>
      </w:r>
      <w:r>
        <w:rPr>
          <w:rFonts w:hint="eastAsia" w:ascii="仿宋_GB2312" w:hAnsi="仿宋" w:eastAsia="仿宋_GB2312"/>
          <w:color w:val="auto"/>
          <w:sz w:val="24"/>
          <w:highlight w:val="none"/>
        </w:rPr>
        <w:t>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质疑联系方式： 0571-85273751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称：浙江国际招投标有限公司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址：杭州市文三路90号东部软件园1号楼3楼</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0571-81061828</w:t>
      </w:r>
    </w:p>
    <w:p>
      <w:pPr>
        <w:spacing w:line="360" w:lineRule="auto"/>
        <w:rPr>
          <w:rFonts w:hint="eastAsia" w:ascii="仿宋_GB2312" w:hAnsi="仿宋" w:eastAsia="仿宋"/>
          <w:color w:val="auto"/>
          <w:sz w:val="24"/>
          <w:highlight w:val="none"/>
          <w:lang w:eastAsia="zh-CN"/>
        </w:rPr>
      </w:pPr>
      <w:r>
        <w:rPr>
          <w:rFonts w:ascii="仿宋_GB2312" w:hAnsi="仿宋" w:eastAsia="仿宋_GB2312"/>
          <w:color w:val="auto"/>
          <w:sz w:val="24"/>
          <w:highlight w:val="none"/>
        </w:rPr>
        <w:t xml:space="preserve">    项目联系人（询问）：</w:t>
      </w:r>
      <w:r>
        <w:rPr>
          <w:rFonts w:hint="eastAsia" w:ascii="仿宋" w:hAnsi="仿宋" w:eastAsia="仿宋"/>
          <w:color w:val="auto"/>
          <w:sz w:val="24"/>
          <w:highlight w:val="none"/>
        </w:rPr>
        <w:t>邵子野，</w:t>
      </w:r>
      <w:r>
        <w:rPr>
          <w:rFonts w:hint="eastAsia" w:ascii="仿宋" w:hAnsi="仿宋" w:eastAsia="仿宋"/>
          <w:color w:val="auto"/>
          <w:sz w:val="24"/>
          <w:highlight w:val="none"/>
          <w:lang w:val="en-US" w:eastAsia="zh-CN"/>
        </w:rPr>
        <w:t>陶云龙</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0571-81061830,8106183</w:t>
      </w:r>
      <w:r>
        <w:rPr>
          <w:rFonts w:hint="eastAsia" w:ascii="仿宋_GB2312" w:hAnsi="仿宋" w:eastAsia="仿宋_GB2312"/>
          <w:color w:val="auto"/>
          <w:sz w:val="24"/>
          <w:highlight w:val="none"/>
          <w:lang w:val="en-US" w:eastAsia="zh-CN"/>
        </w:rPr>
        <w:t>1</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康勤勤</w:t>
      </w:r>
    </w:p>
    <w:p>
      <w:pPr>
        <w:spacing w:line="360" w:lineRule="auto"/>
        <w:rPr>
          <w:rFonts w:hint="eastAsia" w:ascii="仿宋" w:hAnsi="仿宋" w:eastAsia="仿宋_GB2312"/>
          <w:color w:val="auto"/>
          <w:sz w:val="24"/>
          <w:highlight w:val="none"/>
          <w:lang w:val="en-US" w:eastAsia="zh-CN"/>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0571-8106183</w:t>
      </w:r>
      <w:r>
        <w:rPr>
          <w:rFonts w:hint="eastAsia" w:ascii="仿宋_GB2312" w:hAnsi="仿宋" w:eastAsia="仿宋_GB2312"/>
          <w:color w:val="auto"/>
          <w:sz w:val="24"/>
          <w:highlight w:val="none"/>
          <w:lang w:val="en-US" w:eastAsia="zh-CN"/>
        </w:rPr>
        <w:t>4</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名    称：   浙江省财政厅政府采购监管处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地    址：   杭州市环城西路37号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传    真：     /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联系人 ：  倪文良、吴聪瑜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监督投诉电话： 0571-87057615、87058489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政策咨询：何一平、冯华，0571-87058424、87055741</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29"/>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5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400" w:lineRule="exact"/>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numPr>
                <w:ilvl w:val="0"/>
                <w:numId w:val="1"/>
              </w:numPr>
              <w:snapToGrid w:val="0"/>
              <w:spacing w:line="400" w:lineRule="exact"/>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numPr>
                <w:ilvl w:val="0"/>
                <w:numId w:val="1"/>
              </w:numPr>
              <w:snapToGrid w:val="0"/>
              <w:spacing w:line="400" w:lineRule="exact"/>
              <w:jc w:val="left"/>
              <w:rPr>
                <w:rFonts w:ascii="仿宋_GB2312" w:hAnsi="仿宋" w:eastAsia="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numPr>
                <w:ilvl w:val="0"/>
                <w:numId w:val="1"/>
              </w:numPr>
              <w:snapToGrid w:val="0"/>
              <w:spacing w:line="400" w:lineRule="exact"/>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numPr>
                <w:ilvl w:val="0"/>
                <w:numId w:val="1"/>
              </w:numPr>
              <w:snapToGrid w:val="0"/>
              <w:spacing w:line="400" w:lineRule="exact"/>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_GB2312" w:hAnsi="仿宋" w:eastAsia="仿宋_GB2312"/>
                <w:color w:val="auto"/>
                <w:sz w:val="24"/>
                <w:highlight w:val="none"/>
              </w:rPr>
            </w:pPr>
            <w:r>
              <w:rPr>
                <w:rFonts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p>
          <w:p>
            <w:pPr>
              <w:snapToGrid w:val="0"/>
              <w:spacing w:line="400" w:lineRule="exact"/>
              <w:rPr>
                <w:rFonts w:ascii="仿宋_GB2312" w:hAnsi="仿宋" w:eastAsia="仿宋_GB2312" w:cs="仿宋_GB2312"/>
                <w:color w:val="auto"/>
                <w:sz w:val="24"/>
                <w:highlight w:val="none"/>
              </w:rPr>
            </w:pPr>
            <w:r>
              <w:rPr>
                <w:rFonts w:ascii="Wingdings" w:hAnsi="Wingdings" w:eastAsia="仿宋_GB2312" w:cs="Arial"/>
                <w:color w:val="auto"/>
                <w:kern w:val="0"/>
                <w:sz w:val="24"/>
                <w:highlight w:val="none"/>
              </w:rPr>
              <w:sym w:font="Wingdings" w:char="00FE"/>
            </w:r>
            <w:r>
              <w:rPr>
                <w:rFonts w:hint="eastAsia" w:ascii="MS Gothic" w:hAnsi="MS Gothic" w:cs="Arial"/>
                <w:color w:val="auto"/>
                <w:kern w:val="0"/>
                <w:sz w:val="24"/>
                <w:highlight w:val="none"/>
              </w:rPr>
              <w:t xml:space="preserve"> </w:t>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napToGrid w:val="0"/>
              <w:spacing w:line="400" w:lineRule="exact"/>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_GB2312" w:hAnsi="仿宋" w:eastAsia="仿宋_GB2312"/>
                <w:color w:val="auto"/>
                <w:sz w:val="24"/>
                <w:highlight w:val="none"/>
              </w:rPr>
            </w:pPr>
            <w:r>
              <w:rPr>
                <w:rFonts w:ascii="Wingdings" w:hAnsi="Wingdings" w:eastAsia="仿宋_GB2312" w:cs="Arial"/>
                <w:color w:val="auto"/>
                <w:kern w:val="0"/>
                <w:sz w:val="24"/>
                <w:highlight w:val="none"/>
              </w:rPr>
              <w:t></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napToGrid w:val="0"/>
              <w:spacing w:line="400" w:lineRule="exact"/>
              <w:rPr>
                <w:rFonts w:ascii="仿宋_GB2312" w:hAnsi="仿宋" w:eastAsia="仿宋_GB2312"/>
                <w:color w:val="auto"/>
                <w:sz w:val="24"/>
                <w:szCs w:val="20"/>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_GB2312" w:hAnsi="仿宋" w:eastAsia="仿宋_GB2312"/>
                <w:color w:val="auto"/>
                <w:sz w:val="24"/>
                <w:highlight w:val="none"/>
              </w:rPr>
            </w:pPr>
            <w:r>
              <w:rPr>
                <w:rFonts w:hint="eastAsia" w:ascii="MS Gothic" w:hAnsi="MS Gothic" w:eastAsia="MS Gothic" w:cs="Arial"/>
                <w:color w:val="auto"/>
                <w:kern w:val="0"/>
                <w:sz w:val="24"/>
                <w:highlight w:val="none"/>
              </w:rPr>
              <w:sym w:font="Wingdings 2" w:char="0052"/>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napToGrid w:val="0"/>
              <w:spacing w:line="400" w:lineRule="exact"/>
              <w:rPr>
                <w:rFonts w:ascii="仿宋_GB2312" w:hAnsi="仿宋" w:eastAsia="仿宋_GB2312"/>
                <w:color w:val="auto"/>
                <w:sz w:val="24"/>
                <w:highlight w:val="none"/>
              </w:rPr>
            </w:pPr>
            <w:r>
              <w:rPr>
                <w:rFonts w:ascii="Wingdings" w:hAnsi="Wingdings" w:eastAsia="MS Gothic" w:cs="Arial"/>
                <w:color w:val="auto"/>
                <w:kern w:val="0"/>
                <w:sz w:val="24"/>
                <w:highlight w:val="none"/>
              </w:rPr>
              <w:sym w:font="Wingdings" w:char="00A8"/>
            </w:r>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r>
              <w:rPr>
                <w:rFonts w:hint="eastAsia" w:ascii="仿宋_GB2312" w:hAnsi="仿宋" w:eastAsia="仿宋_GB2312"/>
                <w:color w:val="auto"/>
                <w:sz w:val="24"/>
                <w:highlight w:val="none"/>
              </w:rPr>
              <w:t>，</w:t>
            </w:r>
          </w:p>
          <w:p>
            <w:pPr>
              <w:numPr>
                <w:ilvl w:val="0"/>
                <w:numId w:val="2"/>
              </w:numPr>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numPr>
                <w:ilvl w:val="0"/>
                <w:numId w:val="2"/>
              </w:numPr>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numPr>
                <w:ilvl w:val="0"/>
                <w:numId w:val="2"/>
              </w:numPr>
              <w:snapToGrid w:val="0"/>
              <w:spacing w:line="400" w:lineRule="exact"/>
              <w:rPr>
                <w:rFonts w:ascii="仿宋_GB2312" w:hAnsi="仿宋" w:eastAsia="仿宋_GB2312"/>
                <w:color w:val="auto"/>
                <w:sz w:val="24"/>
                <w:highlight w:val="none"/>
              </w:rPr>
            </w:pPr>
            <w:r>
              <w:rPr>
                <w:rFonts w:ascii="仿宋_GB2312" w:hAnsi="仿宋" w:eastAsia="仿宋_GB2312"/>
                <w:color w:val="auto"/>
                <w:sz w:val="24"/>
                <w:highlight w:val="none"/>
              </w:rPr>
              <w:t>样品的评审方法以及评审标准</w:t>
            </w:r>
            <w:r>
              <w:rPr>
                <w:rFonts w:hint="eastAsia" w:ascii="仿宋_GB2312" w:hAnsi="仿宋" w:eastAsia="仿宋_GB2312"/>
                <w:color w:val="auto"/>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sz w:val="24"/>
                <w:highlight w:val="none"/>
              </w:rPr>
              <w:t>；</w:t>
            </w:r>
          </w:p>
          <w:p>
            <w:pPr>
              <w:numPr>
                <w:ilvl w:val="0"/>
                <w:numId w:val="2"/>
              </w:numPr>
              <w:snapToGrid w:val="0"/>
              <w:spacing w:line="400" w:lineRule="exact"/>
              <w:rPr>
                <w:rFonts w:ascii="仿宋_GB2312" w:hAnsi="仿宋" w:eastAsia="仿宋_GB2312"/>
                <w:color w:val="auto"/>
                <w:sz w:val="24"/>
                <w:highlight w:val="none"/>
              </w:rPr>
            </w:pPr>
            <w:r>
              <w:rPr>
                <w:rFonts w:ascii="仿宋_GB2312" w:hAnsi="仿宋" w:eastAsia="仿宋_GB2312"/>
                <w:color w:val="auto"/>
                <w:sz w:val="24"/>
                <w:highlight w:val="none"/>
              </w:rPr>
              <w:t>是否需要随样品提交检测报告</w:t>
            </w:r>
            <w:r>
              <w:rPr>
                <w:rFonts w:hint="eastAsia" w:ascii="仿宋_GB2312" w:hAnsi="仿宋" w:eastAsia="仿宋_GB2312"/>
                <w:color w:val="auto"/>
                <w:sz w:val="24"/>
                <w:highlight w:val="none"/>
              </w:rPr>
              <w:t>：</w:t>
            </w:r>
            <w:r>
              <w:rPr>
                <w:rFonts w:hint="eastAsia" w:ascii="MS Mincho" w:hAnsi="MS Mincho" w:eastAsia="MS Mincho" w:cs="MS Mincho"/>
                <w:color w:val="auto"/>
                <w:sz w:val="24"/>
                <w:highlight w:val="none"/>
              </w:rPr>
              <w:t>☐</w:t>
            </w:r>
            <w:r>
              <w:rPr>
                <w:rFonts w:ascii="仿宋_GB2312" w:hAnsi="仿宋" w:eastAsia="仿宋_GB2312"/>
                <w:color w:val="auto"/>
                <w:sz w:val="24"/>
                <w:highlight w:val="none"/>
              </w:rPr>
              <w:t>否；</w:t>
            </w:r>
            <w:r>
              <w:rPr>
                <w:rFonts w:hint="eastAsia" w:ascii="MS Mincho" w:hAnsi="MS Mincho" w:eastAsia="MS Mincho" w:cs="MS Mincho"/>
                <w:color w:val="auto"/>
                <w:sz w:val="24"/>
                <w:highlight w:val="none"/>
              </w:rPr>
              <w:t>☐</w:t>
            </w:r>
            <w:r>
              <w:rPr>
                <w:rFonts w:ascii="仿宋_GB2312" w:hAnsi="仿宋" w:eastAsia="仿宋_GB2312"/>
                <w:color w:val="auto"/>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；检测内容：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numPr>
                <w:ilvl w:val="0"/>
                <w:numId w:val="2"/>
              </w:numPr>
              <w:snapToGrid w:val="0"/>
              <w:spacing w:line="400" w:lineRule="exact"/>
              <w:rPr>
                <w:rFonts w:ascii="仿宋_GB2312" w:hAnsi="仿宋" w:eastAsia="仿宋_GB2312"/>
                <w:color w:val="auto"/>
                <w:sz w:val="24"/>
                <w:highlight w:val="none"/>
              </w:rPr>
            </w:pPr>
            <w:r>
              <w:rPr>
                <w:rFonts w:ascii="仿宋_GB2312" w:hAnsi="仿宋" w:eastAsia="仿宋_GB2312"/>
                <w:color w:val="auto"/>
                <w:sz w:val="24"/>
                <w:highlight w:val="none"/>
              </w:rPr>
              <w:t>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numPr>
                <w:ilvl w:val="0"/>
                <w:numId w:val="2"/>
              </w:numPr>
              <w:snapToGrid w:val="0"/>
              <w:spacing w:line="400" w:lineRule="exact"/>
              <w:rPr>
                <w:rFonts w:ascii="仿宋_GB2312" w:hAnsi="仿宋" w:eastAsia="仿宋_GB2312"/>
                <w:color w:val="auto"/>
                <w:sz w:val="24"/>
                <w:highlight w:val="none"/>
              </w:rPr>
            </w:pPr>
            <w:r>
              <w:rPr>
                <w:rFonts w:ascii="仿宋_GB2312" w:hAnsi="仿宋" w:eastAsia="仿宋_GB2312"/>
                <w:color w:val="auto"/>
                <w:sz w:val="24"/>
                <w:highlight w:val="none"/>
              </w:rPr>
              <w:t>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numPr>
                <w:ilvl w:val="0"/>
                <w:numId w:val="2"/>
              </w:numPr>
              <w:snapToGrid w:val="0"/>
              <w:spacing w:line="400" w:lineRule="exact"/>
              <w:rPr>
                <w:rFonts w:ascii="仿宋_GB2312" w:hAnsi="仿宋" w:eastAsia="仿宋_GB2312"/>
                <w:color w:val="auto"/>
                <w:sz w:val="24"/>
                <w:highlight w:val="none"/>
              </w:rPr>
            </w:pPr>
            <w:r>
              <w:rPr>
                <w:rFonts w:ascii="仿宋_GB2312" w:hAnsi="仿宋" w:eastAsia="仿宋_GB2312"/>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组织。</w:t>
            </w:r>
          </w:p>
          <w:p>
            <w:pPr>
              <w:snapToGrid w:val="0"/>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可进行现场方案讲解演示，演示方式是阐述系统解决方案，及真实系统或系统原型展示。投标人可以进行演示，也可放弃演示（不作无效标处理，但可能影响得分）。每个投标人述标、演示总时间不超过10分钟。除投影仪、幕布外，其他演示设备由投标人自行提供。</w:t>
            </w:r>
          </w:p>
          <w:p>
            <w:pPr>
              <w:snapToGrid w:val="0"/>
              <w:spacing w:line="400" w:lineRule="exact"/>
              <w:rPr>
                <w:rFonts w:ascii="仿宋_GB2312" w:hAnsi="仿宋" w:eastAsia="仿宋_GB2312" w:cs="仿宋_GB2312"/>
                <w:b/>
                <w:color w:val="auto"/>
                <w:kern w:val="0"/>
                <w:sz w:val="24"/>
                <w:highlight w:val="none"/>
                <w:lang w:val="zh-CN"/>
              </w:rPr>
            </w:pPr>
            <w:r>
              <w:rPr>
                <w:rFonts w:hint="eastAsia" w:ascii="仿宋_GB2312" w:hAnsi="仿宋_GB2312" w:eastAsia="仿宋_GB2312" w:cs="仿宋_GB2312"/>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_GB2312" w:hAnsi="仿宋" w:eastAsia="仿宋_GB2312" w:cs="Arial"/>
                <w:color w:val="auto"/>
                <w:kern w:val="0"/>
                <w:sz w:val="24"/>
                <w:highlight w:val="none"/>
              </w:rPr>
            </w:pPr>
            <w:r>
              <w:rPr>
                <w:rFonts w:hint="eastAsia" w:ascii="MS Gothic" w:hAnsi="MS Gothic" w:eastAsia="MS Gothic" w:cs="Arial"/>
                <w:color w:val="auto"/>
                <w:kern w:val="0"/>
                <w:sz w:val="24"/>
                <w:highlight w:val="none"/>
              </w:rPr>
              <w:sym w:font="Wingdings 2" w:char="0052"/>
            </w:r>
            <w:r>
              <w:rPr>
                <w:rFonts w:hint="eastAsia" w:ascii="仿宋_GB2312" w:hAnsi="仿宋" w:eastAsia="仿宋_GB2312" w:cs="Arial"/>
                <w:color w:val="auto"/>
                <w:kern w:val="0"/>
                <w:sz w:val="24"/>
                <w:highlight w:val="none"/>
              </w:rPr>
              <w:t>本项目不允许采购进口产品。</w:t>
            </w:r>
          </w:p>
          <w:p>
            <w:pPr>
              <w:snapToGrid w:val="0"/>
              <w:spacing w:line="400" w:lineRule="exact"/>
              <w:rPr>
                <w:color w:val="auto"/>
                <w:highlight w:val="none"/>
              </w:rPr>
            </w:pPr>
            <w:r>
              <w:rPr>
                <w:rFonts w:ascii="Wingdings" w:hAnsi="Wingdings" w:eastAsia="仿宋_GB2312" w:cs="Arial"/>
                <w:color w:val="auto"/>
                <w:kern w:val="0"/>
                <w:sz w:val="24"/>
                <w:highlight w:val="none"/>
              </w:rPr>
              <w:sym w:font="Wingdings" w:char="00A8"/>
            </w:r>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_GB2312" w:hAnsi="仿宋" w:eastAsia="仿宋_GB2312"/>
                <w:color w:val="auto"/>
                <w:sz w:val="24"/>
                <w:highlight w:val="none"/>
              </w:rPr>
            </w:pPr>
            <w:r>
              <w:rPr>
                <w:rFonts w:hint="eastAsia" w:ascii="仿宋_GB2312" w:hAnsi="仿宋" w:eastAsia="仿宋_GB2312" w:cs="Arial"/>
                <w:color w:val="auto"/>
                <w:kern w:val="0"/>
                <w:sz w:val="24"/>
                <w:highlight w:val="none"/>
              </w:rPr>
              <w:sym w:font="Wingdings 2" w:char="00A3"/>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b/>
                <w:color w:val="auto"/>
                <w:sz w:val="24"/>
                <w:highlight w:val="none"/>
                <w:u w:val="single"/>
              </w:rPr>
              <w:t xml:space="preserve">      </w:t>
            </w:r>
            <w:r>
              <w:rPr>
                <w:rFonts w:hint="eastAsia" w:ascii="仿宋_GB2312" w:hAnsi="仿宋" w:eastAsia="仿宋_GB2312"/>
                <w:color w:val="auto"/>
                <w:sz w:val="24"/>
                <w:highlight w:val="none"/>
              </w:rPr>
              <w:t>。</w:t>
            </w:r>
          </w:p>
          <w:p>
            <w:pPr>
              <w:snapToGrid w:val="0"/>
              <w:spacing w:line="400" w:lineRule="exact"/>
              <w:rPr>
                <w:rFonts w:ascii="仿宋_GB2312" w:hAnsi="仿宋" w:eastAsia="仿宋_GB2312"/>
                <w:color w:val="auto"/>
                <w:sz w:val="24"/>
                <w:highlight w:val="none"/>
              </w:rPr>
            </w:pPr>
            <w:r>
              <w:rPr>
                <w:rFonts w:ascii="Wingdings" w:hAnsi="Wingdings" w:eastAsia="仿宋_GB2312" w:cs="Arial"/>
                <w:color w:val="auto"/>
                <w:kern w:val="0"/>
                <w:sz w:val="24"/>
                <w:highlight w:val="none"/>
              </w:rPr>
              <w:sym w:font="Wingdings" w:char="00FE"/>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3"/>
              </w:numPr>
              <w:snapToGrid w:val="0"/>
              <w:spacing w:line="400" w:lineRule="exac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rPr>
              <w:t xml:space="preserve"> 软件开发服务 </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 xml:space="preserve"> 软件和信息技术服务业</w:t>
            </w:r>
            <w:r>
              <w:rPr>
                <w:rFonts w:hint="eastAsia" w:ascii="仿宋_GB2312" w:hAnsi="仿宋" w:eastAsia="仿宋_GB2312" w:cs="Arial"/>
                <w:color w:val="auto"/>
                <w:kern w:val="0"/>
                <w:sz w:val="24"/>
                <w:highlight w:val="none"/>
                <w:u w:val="single"/>
                <w:lang w:val="en-US" w:eastAsia="zh-CN"/>
              </w:rPr>
              <w:t xml:space="preserve"> </w:t>
            </w:r>
            <w:r>
              <w:rPr>
                <w:rFonts w:hint="eastAsia" w:ascii="仿宋_GB2312" w:hAnsi="仿宋" w:eastAsia="仿宋_GB2312" w:cs="Arial"/>
                <w:color w:val="auto"/>
                <w:kern w:val="0"/>
                <w:sz w:val="24"/>
                <w:highlight w:val="none"/>
              </w:rPr>
              <w:t>；</w:t>
            </w:r>
          </w:p>
          <w:p>
            <w:pPr>
              <w:pStyle w:val="4"/>
              <w:adjustRightInd w:val="0"/>
              <w:snapToGrid w:val="0"/>
              <w:spacing w:line="400" w:lineRule="exact"/>
              <w:rPr>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tcBorders>
              <w:top w:val="single" w:color="auto" w:sz="4" w:space="0"/>
              <w:left w:val="single" w:color="000000" w:sz="8" w:space="0"/>
              <w:right w:val="single" w:color="000000" w:sz="2" w:space="0"/>
            </w:tcBorders>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9"/>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olor w:val="auto"/>
                <w:sz w:val="24"/>
                <w:highlight w:val="none"/>
                <w:u w:val="single"/>
              </w:rPr>
              <w:t xml:space="preserve"> 杭州市文三路90号东部软件园1号楼3楼325室</w:t>
            </w:r>
            <w:r>
              <w:rPr>
                <w:rFonts w:ascii="仿宋_GB2312" w:hAnsi="仿宋" w:eastAsia="仿宋_GB2312"/>
                <w:color w:val="auto"/>
                <w:sz w:val="24"/>
                <w:highlight w:val="none"/>
                <w:u w:val="single"/>
              </w:rPr>
              <w:t xml:space="preserve"> </w:t>
            </w:r>
            <w:r>
              <w:rPr>
                <w:rFonts w:hint="eastAsia" w:ascii="仿宋_GB2312" w:hAnsi="仿宋" w:eastAsia="仿宋_GB2312" w:cs="Times New Roman"/>
                <w:color w:val="auto"/>
                <w:kern w:val="28"/>
                <w:sz w:val="24"/>
                <w:szCs w:val="24"/>
                <w:highlight w:val="none"/>
              </w:rPr>
              <w:t>；</w:t>
            </w:r>
          </w:p>
          <w:p>
            <w:pPr>
              <w:pStyle w:val="29"/>
              <w:snapToGrid w:val="0"/>
              <w:spacing w:line="400" w:lineRule="exact"/>
              <w:rPr>
                <w:rFonts w:ascii="仿宋_GB2312" w:hAnsi="仿宋" w:eastAsia="仿宋_GB2312" w:cs="仿宋_GB2312"/>
                <w:color w:val="auto"/>
                <w:sz w:val="24"/>
                <w:szCs w:val="24"/>
                <w:highlight w:val="none"/>
              </w:rPr>
            </w:pP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rPr>
              <w:t xml:space="preserve"> 邵子野0571-81061830，陶云龙0571-8106183</w:t>
            </w:r>
            <w:r>
              <w:rPr>
                <w:rFonts w:hint="eastAsia" w:ascii="仿宋_GB2312" w:hAnsi="仿宋" w:eastAsia="仿宋_GB2312"/>
                <w:color w:val="auto"/>
                <w:sz w:val="24"/>
                <w:highlight w:val="none"/>
                <w:u w:val="single"/>
                <w:lang w:val="en-US" w:eastAsia="zh-CN"/>
              </w:rPr>
              <w:t>1</w:t>
            </w:r>
            <w:r>
              <w:rPr>
                <w:rFonts w:hint="eastAsia" w:ascii="仿宋_GB2312" w:hAnsi="仿宋" w:eastAsia="仿宋_GB2312"/>
                <w:color w:val="auto"/>
                <w:sz w:val="24"/>
                <w:highlight w:val="none"/>
                <w:u w:val="single"/>
              </w:rPr>
              <w:t xml:space="preserve"> </w:t>
            </w:r>
            <w:r>
              <w:rPr>
                <w:rFonts w:hint="eastAsia" w:ascii="仿宋_GB2312" w:hAnsi="仿宋" w:eastAsia="仿宋_GB2312" w:cs="仿宋_GB2312"/>
                <w:color w:val="auto"/>
                <w:sz w:val="24"/>
                <w:szCs w:val="24"/>
                <w:highlight w:val="none"/>
              </w:rPr>
              <w:t>。</w:t>
            </w:r>
          </w:p>
          <w:p>
            <w:pPr>
              <w:pStyle w:val="29"/>
              <w:snapToGrid w:val="0"/>
              <w:spacing w:line="400" w:lineRule="exact"/>
              <w:rPr>
                <w:rFonts w:ascii="仿宋_GB2312" w:hAnsi="仿宋" w:eastAsia="仿宋_GB2312"/>
                <w:color w:val="auto"/>
                <w:kern w:val="28"/>
                <w:sz w:val="24"/>
                <w:highlight w:val="none"/>
              </w:rPr>
            </w:pPr>
            <w:r>
              <w:rPr>
                <w:rFonts w:hint="eastAsia" w:ascii="仿宋_GB2312" w:hAnsi="仿宋" w:eastAsia="仿宋_GB2312" w:cs="仿宋_GB2312"/>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本项目的采购代理费由中标人以人民币支付，即参照《杭价费[2003]148号文件》规定服务类收费标准收取，在领取中标通知书时，中标人向采购代理机构一次性支付全额代理服务费。</w:t>
            </w: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单    位： 浙江国际招投标有限公司 </w:t>
            </w: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 工商银行杭州武林支行</w:t>
            </w:r>
          </w:p>
          <w:p>
            <w:pPr>
              <w:snapToGrid w:val="0"/>
              <w:spacing w:line="400" w:lineRule="exact"/>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账    号：  1202021209906782015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仿宋"/>
                <w:color w:val="auto"/>
                <w:highlight w:val="none"/>
              </w:rPr>
            </w:pPr>
            <w:r>
              <w:rPr>
                <w:rFonts w:hint="eastAsia" w:ascii="仿宋_GB2312" w:hAnsi="仿宋" w:eastAsia="仿宋_GB2312"/>
                <w:snapToGrid w:val="0"/>
                <w:color w:val="auto"/>
                <w:kern w:val="28"/>
                <w:sz w:val="24"/>
                <w:highlight w:val="none"/>
              </w:rPr>
              <w:t>无</w:t>
            </w:r>
            <w:r>
              <w:rPr>
                <w:rFonts w:hint="eastAsia" w:ascii="仿宋_GB2312" w:hAnsi="仿宋" w:eastAsia="仿宋_GB2312" w:cs="宋体"/>
                <w:b/>
                <w:color w:val="auto"/>
                <w:kern w:val="0"/>
                <w:sz w:val="24"/>
                <w:highlight w:val="none"/>
              </w:rPr>
              <w:t>。</w:t>
            </w:r>
          </w:p>
        </w:tc>
      </w:tr>
      <w:bookmarkEnd w:id="10"/>
    </w:tbl>
    <w:p>
      <w:pPr>
        <w:rPr>
          <w:rFonts w:ascii="仿宋_GB2312" w:hAnsi="仿宋" w:eastAsia="仿宋_GB2312" w:cs="仿宋_GB2312"/>
          <w:b/>
          <w:color w:val="auto"/>
          <w:sz w:val="32"/>
          <w:szCs w:val="20"/>
          <w:highlight w:val="none"/>
        </w:rPr>
      </w:pPr>
      <w:bookmarkStart w:id="11" w:name="第三部分"/>
      <w:bookmarkStart w:id="12" w:name="_Toc164416483"/>
      <w:r>
        <w:rPr>
          <w:rFonts w:hint="eastAsia" w:ascii="仿宋_GB2312" w:hAnsi="仿宋" w:eastAsia="仿宋_GB2312" w:cs="仿宋_GB2312"/>
          <w:b/>
          <w:color w:val="auto"/>
          <w:sz w:val="32"/>
          <w:szCs w:val="20"/>
          <w:highlight w:val="none"/>
        </w:rPr>
        <w:br w:type="page"/>
      </w:r>
    </w:p>
    <w:p>
      <w:pPr>
        <w:adjustRightInd/>
        <w:spacing w:line="360" w:lineRule="auto"/>
        <w:jc w:val="center"/>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420"/>
        <w:outlineLvl w:val="0"/>
        <w:rPr>
          <w:rFonts w:ascii="仿宋_GB2312" w:hAnsi="仿宋" w:eastAsia="仿宋_GB2312" w:cs="仿宋_GB2312"/>
          <w:b/>
          <w:color w:val="auto"/>
          <w:sz w:val="24"/>
          <w:highlight w:val="none"/>
        </w:rPr>
      </w:pP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“采购代理机构”系指招标公告中载明的本项目的采购代理机构。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2" w:firstLineChars="200"/>
        <w:rPr>
          <w:rFonts w:ascii="仿宋_GB2312" w:hAnsi="仿宋" w:eastAsia="仿宋_GB2312"/>
          <w:b/>
          <w:bCs/>
          <w:color w:val="auto"/>
          <w:sz w:val="24"/>
          <w:highlight w:val="none"/>
        </w:rPr>
      </w:pPr>
      <w:r>
        <w:rPr>
          <w:rFonts w:ascii="仿宋_GB2312" w:hAnsi="仿宋" w:eastAsia="仿宋_GB2312"/>
          <w:b/>
          <w:bCs/>
          <w:color w:val="auto"/>
          <w:sz w:val="24"/>
          <w:highlight w:val="none"/>
        </w:rPr>
        <w:t xml:space="preserve">2.7 </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系指实质性要求条款，“★”系产品采购项目中单一产品或核心产品，“</w:t>
      </w:r>
      <w:r>
        <w:rPr>
          <w:rFonts w:ascii="Wingdings" w:hAnsi="Wingdings" w:eastAsia="仿宋_GB2312" w:cs="Arial"/>
          <w:b/>
          <w:bCs/>
          <w:color w:val="auto"/>
          <w:kern w:val="0"/>
          <w:sz w:val="24"/>
          <w:highlight w:val="none"/>
        </w:rPr>
        <w:t></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系指适用本项目的要求，“</w:t>
      </w:r>
      <w:r>
        <w:rPr>
          <w:rFonts w:ascii="MS Gothic" w:hAnsi="MS Gothic" w:eastAsia="MS Gothic" w:cs="Arial"/>
          <w:b/>
          <w:bCs/>
          <w:color w:val="auto"/>
          <w:kern w:val="0"/>
          <w:sz w:val="24"/>
          <w:highlight w:val="none"/>
        </w:rPr>
        <w:t>☐</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42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2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2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b/>
          <w:bCs/>
          <w:color w:val="auto"/>
          <w:sz w:val="24"/>
          <w:highlight w:val="none"/>
        </w:rPr>
        <w:t>10%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ascii="仿宋_GB2312" w:hAnsi="仿宋" w:eastAsia="仿宋_GB2312"/>
          <w:b/>
          <w:bCs/>
          <w:color w:val="auto"/>
          <w:sz w:val="24"/>
          <w:highlight w:val="none"/>
        </w:rPr>
        <w:t>3%</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42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ind w:firstLine="420"/>
        <w:rPr>
          <w:rFonts w:ascii="仿宋_GB2312" w:hAnsi="仿宋" w:eastAsia="仿宋_GB2312"/>
          <w:color w:val="auto"/>
          <w:sz w:val="24"/>
          <w:highlight w:val="none"/>
        </w:rPr>
      </w:pPr>
      <w:r>
        <w:rPr>
          <w:rFonts w:ascii="仿宋_GB2312" w:hAnsi="仿宋" w:eastAsia="仿宋_GB2312"/>
          <w:color w:val="auto"/>
          <w:sz w:val="24"/>
          <w:highlight w:val="none"/>
        </w:rPr>
        <w:t>3.5中小企业信用融资：</w:t>
      </w:r>
      <w:r>
        <w:rPr>
          <w:rFonts w:hint="eastAsia" w:ascii="仿宋_GB2312" w:hAnsi="仿宋" w:eastAsia="仿宋_GB2312"/>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ascii="仿宋_GB2312" w:hAnsi="仿宋" w:eastAsia="仿宋_GB2312"/>
          <w:color w:val="auto"/>
          <w:sz w:val="24"/>
          <w:highlight w:val="none"/>
        </w:rPr>
        <w:cr/>
      </w:r>
    </w:p>
    <w:p>
      <w:pPr>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42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29"/>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29"/>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_GB2312" w:hAnsi="仿宋" w:eastAsia="仿宋_GB2312"/>
          <w:color w:val="auto"/>
          <w:sz w:val="24"/>
          <w:highlight w:val="none"/>
        </w:rPr>
        <w:t>采购代理机构</w:t>
      </w:r>
      <w:r>
        <w:rPr>
          <w:rFonts w:ascii="仿宋_GB2312" w:hAnsi="仿宋" w:eastAsia="仿宋_GB2312"/>
          <w:color w:val="auto"/>
          <w:sz w:val="24"/>
          <w:highlight w:val="none"/>
        </w:rPr>
        <w:t>提出质疑，否则，采购人或者</w:t>
      </w:r>
      <w:r>
        <w:rPr>
          <w:rFonts w:hint="eastAsia" w:ascii="仿宋_GB2312" w:hAnsi="仿宋" w:eastAsia="仿宋_GB2312"/>
          <w:color w:val="auto"/>
          <w:sz w:val="24"/>
          <w:highlight w:val="none"/>
        </w:rPr>
        <w:t>采购代理机构</w:t>
      </w:r>
      <w:r>
        <w:rPr>
          <w:rFonts w:ascii="仿宋_GB2312" w:hAnsi="仿宋" w:eastAsia="仿宋_GB2312"/>
          <w:color w:val="auto"/>
          <w:sz w:val="24"/>
          <w:highlight w:val="none"/>
        </w:rPr>
        <w:t>不予受理：</w:t>
      </w:r>
    </w:p>
    <w:p>
      <w:pPr>
        <w:pStyle w:val="2"/>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29"/>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29"/>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29"/>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29"/>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29"/>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29"/>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29"/>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29"/>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29"/>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719"/>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719"/>
        <w:shd w:val="clear" w:color="auto" w:fill="FFFFFF"/>
        <w:snapToGrid w:val="0"/>
        <w:spacing w:after="240" w:afterAutospacing="0" w:line="360" w:lineRule="auto"/>
        <w:ind w:firstLine="42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719"/>
        <w:shd w:val="clear" w:color="auto" w:fill="FFFFFF"/>
        <w:snapToGrid w:val="0"/>
        <w:spacing w:after="240" w:afterAutospacing="0" w:line="360" w:lineRule="auto"/>
        <w:ind w:firstLine="42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719"/>
        <w:shd w:val="clear" w:color="auto" w:fill="FFFFFF"/>
        <w:snapToGrid w:val="0"/>
        <w:spacing w:after="240" w:afterAutospacing="0" w:line="360" w:lineRule="auto"/>
        <w:ind w:firstLine="42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719"/>
        <w:shd w:val="clear" w:color="auto" w:fill="FFFFFF"/>
        <w:snapToGrid w:val="0"/>
        <w:spacing w:after="240" w:afterAutospacing="0" w:line="360" w:lineRule="auto"/>
        <w:ind w:firstLine="42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719"/>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w:t>
      </w:r>
      <w:r>
        <w:rPr>
          <w:rFonts w:hint="eastAsia" w:ascii="仿宋_GB2312" w:hAnsi="仿宋" w:eastAsia="仿宋_GB2312"/>
          <w:color w:val="auto"/>
          <w:highlight w:val="none"/>
        </w:rPr>
        <w:t>采购代理机构</w:t>
      </w:r>
      <w:r>
        <w:rPr>
          <w:rFonts w:ascii="仿宋_GB2312" w:hAnsi="仿宋" w:eastAsia="仿宋_GB2312"/>
          <w:color w:val="auto"/>
          <w:highlight w:val="none"/>
        </w:rPr>
        <w:t>的答复不满意或者采购人、</w:t>
      </w:r>
      <w:r>
        <w:rPr>
          <w:rFonts w:hint="eastAsia" w:ascii="仿宋_GB2312" w:hAnsi="仿宋" w:eastAsia="仿宋_GB2312"/>
          <w:color w:val="auto"/>
          <w:highlight w:val="none"/>
        </w:rPr>
        <w:t>采购代理机构</w:t>
      </w:r>
      <w:r>
        <w:rPr>
          <w:rFonts w:ascii="仿宋_GB2312" w:hAnsi="仿宋" w:eastAsia="仿宋_GB2312"/>
          <w:color w:val="auto"/>
          <w:highlight w:val="none"/>
        </w:rPr>
        <w:t>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719"/>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719"/>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719"/>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719"/>
        <w:shd w:val="clear" w:color="auto" w:fill="FFFFFF"/>
        <w:snapToGrid w:val="0"/>
        <w:spacing w:after="240" w:afterAutospacing="0" w:line="360" w:lineRule="auto"/>
        <w:ind w:firstLine="42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360"/>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29"/>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29"/>
        <w:spacing w:line="360" w:lineRule="auto"/>
        <w:ind w:firstLine="42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29"/>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29"/>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29"/>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29"/>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29"/>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29"/>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2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29"/>
        <w:spacing w:line="360" w:lineRule="auto"/>
        <w:rPr>
          <w:rFonts w:ascii="仿宋_GB2312" w:hAnsi="仿宋" w:eastAsia="仿宋_GB2312" w:cs="仿宋_GB2312"/>
          <w:b/>
          <w:color w:val="auto"/>
          <w:sz w:val="24"/>
          <w:szCs w:val="24"/>
          <w:highlight w:val="none"/>
        </w:rPr>
      </w:pPr>
    </w:p>
    <w:p>
      <w:pPr>
        <w:pStyle w:val="29"/>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360"/>
        <w:snapToGrid w:val="0"/>
        <w:spacing w:before="0"/>
        <w:ind w:firstLine="42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w:t>
      </w:r>
      <w:r>
        <w:rPr>
          <w:rFonts w:hint="eastAsia" w:ascii="仿宋_GB2312" w:hAnsi="仿宋" w:eastAsia="仿宋_GB2312" w:cs="仿宋_GB2312"/>
          <w:color w:val="auto"/>
          <w:highlight w:val="none"/>
        </w:rPr>
        <w:t>采购代理机构</w:t>
      </w:r>
      <w:r>
        <w:rPr>
          <w:rFonts w:ascii="仿宋_GB2312" w:hAnsi="仿宋" w:eastAsia="仿宋_GB2312" w:cs="仿宋_GB2312"/>
          <w:color w:val="auto"/>
          <w:highlight w:val="none"/>
        </w:rPr>
        <w:t>提出。</w:t>
      </w:r>
    </w:p>
    <w:p>
      <w:pPr>
        <w:pStyle w:val="360"/>
        <w:snapToGrid w:val="0"/>
        <w:spacing w:before="0"/>
        <w:ind w:firstLine="420" w:firstLineChars="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2"/>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29"/>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2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29"/>
        <w:spacing w:line="360" w:lineRule="auto"/>
        <w:rPr>
          <w:rFonts w:ascii="仿宋_GB2312" w:hAnsi="仿宋" w:eastAsia="仿宋_GB2312" w:cs="仿宋_GB2312"/>
          <w:b/>
          <w:color w:val="auto"/>
          <w:sz w:val="24"/>
          <w:szCs w:val="24"/>
          <w:highlight w:val="none"/>
        </w:rPr>
      </w:pPr>
    </w:p>
    <w:p>
      <w:pPr>
        <w:pStyle w:val="29"/>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29"/>
        <w:spacing w:line="360" w:lineRule="auto"/>
        <w:ind w:firstLine="42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29"/>
        <w:spacing w:line="360" w:lineRule="auto"/>
        <w:rPr>
          <w:rFonts w:ascii="仿宋_GB2312" w:hAnsi="仿宋" w:eastAsia="仿宋_GB2312"/>
          <w:b/>
          <w:color w:val="auto"/>
          <w:kern w:val="28"/>
          <w:sz w:val="24"/>
          <w:szCs w:val="24"/>
          <w:highlight w:val="none"/>
        </w:rPr>
      </w:pPr>
    </w:p>
    <w:p>
      <w:pPr>
        <w:pStyle w:val="29"/>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2"/>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29"/>
        <w:spacing w:line="360" w:lineRule="auto"/>
        <w:rPr>
          <w:rFonts w:ascii="仿宋_GB2312" w:hAnsi="仿宋" w:eastAsia="仿宋_GB2312" w:cs="仿宋_GB2312"/>
          <w:b/>
          <w:color w:val="auto"/>
          <w:sz w:val="24"/>
          <w:szCs w:val="24"/>
          <w:highlight w:val="none"/>
        </w:rPr>
      </w:pPr>
    </w:p>
    <w:p>
      <w:pPr>
        <w:pStyle w:val="29"/>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29"/>
        <w:spacing w:line="360" w:lineRule="auto"/>
        <w:rPr>
          <w:rFonts w:ascii="仿宋_GB2312" w:hAnsi="仿宋" w:eastAsia="仿宋_GB2312" w:cs="仿宋_GB2312"/>
          <w:b/>
          <w:color w:val="auto"/>
          <w:sz w:val="24"/>
          <w:szCs w:val="24"/>
          <w:highlight w:val="none"/>
        </w:rPr>
      </w:pPr>
    </w:p>
    <w:p>
      <w:pPr>
        <w:pStyle w:val="29"/>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（本项目不适用）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（本项目不适用）</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r>
        <w:rPr>
          <w:rFonts w:hint="eastAsia" w:ascii="仿宋_GB2312" w:hAnsi="仿宋" w:eastAsia="仿宋_GB2312" w:cs="仿宋_GB2312"/>
          <w:color w:val="auto"/>
          <w:sz w:val="24"/>
          <w:highlight w:val="none"/>
        </w:rPr>
        <w:t>（本项目不适用）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本项目不适用）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pPr>
        <w:spacing w:line="360" w:lineRule="auto"/>
        <w:ind w:firstLine="42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42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360"/>
        <w:snapToGrid w:val="0"/>
        <w:spacing w:before="0"/>
        <w:ind w:firstLine="0" w:firstLineChars="0"/>
        <w:outlineLvl w:val="0"/>
        <w:rPr>
          <w:rFonts w:ascii="仿宋_GB2312" w:hAnsi="仿宋" w:eastAsia="仿宋_GB2312" w:cs="仿宋_GB2312"/>
          <w:b/>
          <w:color w:val="auto"/>
          <w:szCs w:val="24"/>
          <w:highlight w:val="none"/>
        </w:rPr>
      </w:pPr>
    </w:p>
    <w:p>
      <w:pPr>
        <w:pStyle w:val="360"/>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36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p>
    <w:p>
      <w:pPr>
        <w:pStyle w:val="360"/>
        <w:snapToGrid w:val="0"/>
        <w:spacing w:before="0"/>
        <w:ind w:firstLine="482"/>
        <w:rPr>
          <w:rFonts w:ascii="仿宋_GB2312" w:hAnsi="仿宋" w:eastAsia="仿宋_GB2312" w:cs="仿宋_GB2312"/>
          <w:b/>
          <w:color w:val="auto"/>
          <w:highlight w:val="none"/>
        </w:rPr>
      </w:pP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36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360"/>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360"/>
        <w:spacing w:before="0"/>
        <w:ind w:firstLine="0" w:firstLineChars="0"/>
        <w:rPr>
          <w:rFonts w:ascii="仿宋_GB2312" w:hAnsi="仿宋" w:eastAsia="仿宋_GB2312" w:cs="仿宋_GB2312"/>
          <w:b/>
          <w:color w:val="auto"/>
          <w:szCs w:val="24"/>
          <w:highlight w:val="none"/>
        </w:rPr>
      </w:pP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 xml:space="preserve">14. </w:t>
      </w:r>
      <w:r>
        <w:rPr>
          <w:rFonts w:hint="eastAsia" w:ascii="仿宋_GB2312" w:hAnsi="仿宋" w:eastAsia="仿宋_GB2312"/>
          <w:b/>
          <w:color w:val="auto"/>
          <w:sz w:val="24"/>
          <w:highlight w:val="none"/>
        </w:rPr>
        <w:t>投标文件的提交、补充、修改、撤回</w:t>
      </w:r>
    </w:p>
    <w:p>
      <w:pPr>
        <w:pStyle w:val="360"/>
        <w:spacing w:before="0"/>
        <w:ind w:firstLine="420" w:firstLineChars="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6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360"/>
        <w:spacing w:before="0"/>
        <w:ind w:firstLine="420" w:firstLineChars="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w:t>
      </w:r>
      <w:r>
        <w:rPr>
          <w:rFonts w:hint="eastAsia" w:ascii="仿宋_GB2312" w:hAnsi="仿宋" w:eastAsia="仿宋_GB2312" w:cs="仿宋_GB2312"/>
          <w:color w:val="auto"/>
          <w:szCs w:val="24"/>
          <w:highlight w:val="none"/>
        </w:rPr>
        <w:t>采购代理机构</w:t>
      </w:r>
      <w:r>
        <w:rPr>
          <w:rFonts w:ascii="仿宋_GB2312" w:hAnsi="仿宋" w:eastAsia="仿宋_GB2312" w:cs="仿宋_GB2312"/>
          <w:color w:val="auto"/>
          <w:szCs w:val="24"/>
          <w:highlight w:val="none"/>
        </w:rPr>
        <w:t>可以视情况延长投标文件提交的截止时间。在上述情况下，</w:t>
      </w:r>
      <w:r>
        <w:rPr>
          <w:rFonts w:hint="eastAsia" w:ascii="仿宋_GB2312" w:hAnsi="仿宋" w:eastAsia="仿宋_GB2312" w:cs="仿宋_GB2312"/>
          <w:color w:val="auto"/>
          <w:szCs w:val="24"/>
          <w:highlight w:val="none"/>
        </w:rPr>
        <w:t>采购代理机构</w:t>
      </w:r>
      <w:r>
        <w:rPr>
          <w:rFonts w:ascii="仿宋_GB2312" w:hAnsi="仿宋" w:eastAsia="仿宋_GB2312" w:cs="仿宋_GB2312"/>
          <w:color w:val="auto"/>
          <w:szCs w:val="24"/>
          <w:highlight w:val="none"/>
        </w:rPr>
        <w:t>与投标人以前在投标截止期方面的全部权利、责任和义务，将适用于延长至新的投标截止期。</w:t>
      </w:r>
    </w:p>
    <w:p>
      <w:pPr>
        <w:pStyle w:val="29"/>
        <w:spacing w:line="360" w:lineRule="auto"/>
        <w:rPr>
          <w:rFonts w:ascii="仿宋_GB2312" w:hAnsi="仿宋" w:eastAsia="仿宋_GB2312" w:cs="仿宋_GB2312"/>
          <w:b/>
          <w:color w:val="auto"/>
          <w:sz w:val="24"/>
          <w:szCs w:val="24"/>
          <w:highlight w:val="none"/>
        </w:rPr>
      </w:pPr>
    </w:p>
    <w:p>
      <w:pPr>
        <w:pStyle w:val="29"/>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29"/>
        <w:spacing w:line="360" w:lineRule="auto"/>
        <w:ind w:firstLine="42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但采购人、采购代理机构不强制或变相强制投标人提交备份投标文件。</w:t>
      </w:r>
    </w:p>
    <w:p>
      <w:pPr>
        <w:pStyle w:val="29"/>
        <w:spacing w:line="360" w:lineRule="auto"/>
        <w:ind w:firstLine="42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color w:val="auto"/>
          <w:highlight w:val="none"/>
        </w:rPr>
        <w:t>或U盘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29"/>
        <w:spacing w:line="360" w:lineRule="auto"/>
        <w:ind w:firstLine="42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w:t>
      </w:r>
      <w:r>
        <w:rPr>
          <w:rFonts w:hint="eastAsia" w:ascii="仿宋_GB2312" w:hAnsi="仿宋" w:eastAsia="仿宋_GB2312" w:cs="仿宋_GB2312"/>
          <w:color w:val="auto"/>
          <w:sz w:val="24"/>
          <w:szCs w:val="24"/>
          <w:highlight w:val="none"/>
        </w:rPr>
        <w:t>采购代理机构</w:t>
      </w:r>
      <w:r>
        <w:rPr>
          <w:rFonts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采购代理机构</w:t>
      </w:r>
      <w:r>
        <w:rPr>
          <w:rFonts w:ascii="仿宋_GB2312" w:hAnsi="仿宋" w:eastAsia="仿宋_GB2312" w:cs="仿宋_GB2312"/>
          <w:color w:val="auto"/>
          <w:sz w:val="24"/>
          <w:szCs w:val="24"/>
          <w:highlight w:val="none"/>
        </w:rPr>
        <w:t>将拒绝接受逾期送达的备份投标文件。</w:t>
      </w:r>
    </w:p>
    <w:p>
      <w:pPr>
        <w:pStyle w:val="29"/>
        <w:spacing w:line="360" w:lineRule="auto"/>
        <w:ind w:firstLine="42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29"/>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360"/>
        <w:spacing w:before="0"/>
        <w:ind w:firstLine="0" w:firstLineChars="0"/>
        <w:rPr>
          <w:rFonts w:ascii="仿宋_GB2312" w:hAnsi="仿宋" w:eastAsia="仿宋_GB2312" w:cs="仿宋_GB2312"/>
          <w:b/>
          <w:color w:val="auto"/>
          <w:szCs w:val="24"/>
          <w:highlight w:val="none"/>
        </w:rPr>
      </w:pPr>
    </w:p>
    <w:p>
      <w:pPr>
        <w:pStyle w:val="36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3"/>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第4.2</w:t>
      </w:r>
      <w:r>
        <w:rPr>
          <w:rFonts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pPr>
        <w:pStyle w:val="360"/>
        <w:spacing w:before="0"/>
        <w:ind w:firstLine="0" w:firstLineChars="0"/>
        <w:rPr>
          <w:rFonts w:ascii="仿宋_GB2312" w:hAnsi="仿宋" w:eastAsia="仿宋_GB2312" w:cs="仿宋_GB2312"/>
          <w:b/>
          <w:color w:val="auto"/>
          <w:szCs w:val="24"/>
          <w:highlight w:val="none"/>
        </w:rPr>
      </w:pPr>
    </w:p>
    <w:p>
      <w:pPr>
        <w:pStyle w:val="36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color w:val="auto"/>
          <w:sz w:val="24"/>
          <w:szCs w:val="20"/>
          <w:highlight w:val="none"/>
        </w:rPr>
      </w:pPr>
      <w:r>
        <w:rPr>
          <w:rFonts w:ascii="仿宋_GB2312" w:hAnsi="仿宋" w:eastAsia="仿宋_GB2312" w:cs="仿宋_GB2312"/>
          <w:color w:val="auto"/>
          <w:sz w:val="24"/>
          <w:szCs w:val="20"/>
          <w:highlight w:val="none"/>
        </w:rPr>
        <w:t>17.1投标有效期为从提交投标文件的截止之日起90天。</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36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36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w:t>
      </w:r>
      <w:r>
        <w:rPr>
          <w:rFonts w:hint="eastAsia" w:ascii="仿宋_GB2312" w:hAnsi="仿宋" w:eastAsia="仿宋_GB2312" w:cs="仿宋_GB2312"/>
          <w:color w:val="auto"/>
          <w:highlight w:val="none"/>
        </w:rPr>
        <w:t>采购代理机构</w:t>
      </w:r>
      <w:r>
        <w:rPr>
          <w:rFonts w:ascii="仿宋_GB2312" w:hAnsi="仿宋" w:eastAsia="仿宋_GB2312" w:cs="仿宋_GB2312"/>
          <w:color w:val="auto"/>
          <w:highlight w:val="none"/>
        </w:rPr>
        <w:t>可以以书面形式通知投标人延长投标有效期。投标人同意延长的，不得要求或被允许修改其投标文件，投标人拒绝延长的，其投标无效。</w:t>
      </w:r>
    </w:p>
    <w:p>
      <w:pPr>
        <w:pStyle w:val="360"/>
        <w:spacing w:before="0"/>
        <w:ind w:firstLine="643"/>
        <w:rPr>
          <w:rFonts w:ascii="仿宋_GB2312" w:hAnsi="仿宋" w:eastAsia="仿宋_GB2312" w:cs="仿宋_GB2312"/>
          <w:b/>
          <w:color w:val="auto"/>
          <w:sz w:val="32"/>
          <w:highlight w:val="none"/>
        </w:rPr>
      </w:pPr>
    </w:p>
    <w:p>
      <w:pPr>
        <w:pStyle w:val="360"/>
        <w:spacing w:before="0"/>
        <w:ind w:firstLine="0" w:firstLineChars="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890"/>
        <w:spacing w:before="0" w:line="360" w:lineRule="auto"/>
        <w:ind w:left="0" w:firstLine="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890"/>
        <w:spacing w:before="0" w:line="360" w:lineRule="auto"/>
        <w:ind w:left="0" w:firstLine="42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w:t>
      </w:r>
      <w:r>
        <w:rPr>
          <w:rFonts w:hint="eastAsia" w:ascii="仿宋_GB2312" w:hAnsi="仿宋" w:eastAsia="仿宋_GB2312" w:cs="仿宋_GB2312"/>
          <w:color w:val="auto"/>
          <w:sz w:val="24"/>
          <w:highlight w:val="none"/>
        </w:rPr>
        <w:t>采购代理机构</w:t>
      </w:r>
      <w:r>
        <w:rPr>
          <w:rFonts w:ascii="仿宋_GB2312" w:hAnsi="仿宋" w:eastAsia="仿宋_GB2312" w:cs="仿宋_GB2312"/>
          <w:color w:val="auto"/>
          <w:sz w:val="24"/>
          <w:highlight w:val="none"/>
        </w:rPr>
        <w:t>按照招标文件规定的时间通过电子交易平台组织开标，所有投标人均应当准时在线参加。投标人不足3家的，不得开标。</w:t>
      </w:r>
    </w:p>
    <w:p>
      <w:pPr>
        <w:pStyle w:val="890"/>
        <w:spacing w:before="0" w:line="360" w:lineRule="auto"/>
        <w:ind w:left="0" w:firstLine="42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18.2开标时，电子交易平台按开标时间自动提取所有投标文件。</w:t>
      </w:r>
      <w:r>
        <w:rPr>
          <w:rFonts w:hint="eastAsia" w:ascii="仿宋_GB2312" w:hAnsi="仿宋" w:eastAsia="仿宋_GB2312" w:cs="仿宋_GB2312"/>
          <w:color w:val="auto"/>
          <w:sz w:val="24"/>
          <w:highlight w:val="none"/>
        </w:rPr>
        <w:t>采购代理机构</w:t>
      </w:r>
      <w:r>
        <w:rPr>
          <w:rFonts w:ascii="仿宋_GB2312" w:hAnsi="仿宋" w:eastAsia="仿宋_GB2312" w:cs="仿宋_GB2312"/>
          <w:color w:val="auto"/>
          <w:sz w:val="24"/>
          <w:highlight w:val="none"/>
        </w:rPr>
        <w:t>依托电子交易平台发起开始解密指令，投标人按照平台提示和招标文件的规定在半小时内完成在线解密。</w:t>
      </w:r>
    </w:p>
    <w:p>
      <w:pPr>
        <w:pStyle w:val="890"/>
        <w:spacing w:before="0" w:line="360" w:lineRule="auto"/>
        <w:ind w:left="0" w:firstLine="420"/>
        <w:contextualSpacing/>
        <w:rPr>
          <w:rFonts w:ascii="仿宋_GB2312" w:hAnsi="仿宋" w:eastAsia="仿宋_GB2312" w:cs="仿宋_GB2312"/>
          <w:b/>
          <w:color w:val="auto"/>
          <w:sz w:val="24"/>
          <w:highlight w:val="none"/>
        </w:rPr>
      </w:pP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ascii="仿宋_GB2312" w:hAnsi="仿宋" w:eastAsia="仿宋_GB2312" w:cs="仿宋_GB2312"/>
          <w:b/>
          <w:color w:val="auto"/>
          <w:sz w:val="24"/>
          <w:szCs w:val="20"/>
          <w:highlight w:val="none"/>
        </w:rPr>
        <w:t>19</w:t>
      </w:r>
      <w:r>
        <w:rPr>
          <w:rFonts w:hint="eastAsia" w:ascii="仿宋_GB2312" w:hAnsi="仿宋" w:eastAsia="仿宋_GB2312" w:cs="仿宋_GB2312"/>
          <w:b/>
          <w:color w:val="auto"/>
          <w:sz w:val="24"/>
          <w:szCs w:val="20"/>
          <w:highlight w:val="none"/>
        </w:rPr>
        <w:t>.</w:t>
      </w:r>
      <w:r>
        <w:rPr>
          <w:rFonts w:ascii="仿宋_GB2312" w:hAnsi="仿宋" w:eastAsia="仿宋_GB2312" w:cs="仿宋_GB2312"/>
          <w:b/>
          <w:color w:val="auto"/>
          <w:sz w:val="24"/>
          <w:szCs w:val="20"/>
          <w:highlight w:val="none"/>
        </w:rPr>
        <w:t>资格审查</w:t>
      </w:r>
    </w:p>
    <w:p>
      <w:pPr>
        <w:pStyle w:val="360"/>
        <w:spacing w:before="0"/>
        <w:ind w:firstLine="420"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w:t>
      </w:r>
      <w:r>
        <w:rPr>
          <w:rFonts w:hint="eastAsia" w:ascii="仿宋_GB2312" w:hAnsi="仿宋" w:eastAsia="仿宋_GB2312" w:cs="Arial"/>
          <w:color w:val="auto"/>
          <w:kern w:val="0"/>
          <w:szCs w:val="24"/>
          <w:highlight w:val="none"/>
        </w:rPr>
        <w:t>采购代理机构</w:t>
      </w:r>
      <w:r>
        <w:rPr>
          <w:rFonts w:ascii="仿宋_GB2312" w:hAnsi="仿宋" w:eastAsia="仿宋_GB2312" w:cs="Arial"/>
          <w:color w:val="auto"/>
          <w:kern w:val="0"/>
          <w:szCs w:val="24"/>
          <w:highlight w:val="none"/>
        </w:rPr>
        <w:t>将依法对投标人的资格进行审查。</w:t>
      </w:r>
    </w:p>
    <w:p>
      <w:pPr>
        <w:snapToGrid w:val="0"/>
        <w:spacing w:line="360" w:lineRule="auto"/>
        <w:ind w:firstLine="42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采购人或采购代理机构依据法律法规和招标文件的规定，对投标人的基本资格条件、特定资格条件进行审查。</w:t>
      </w:r>
    </w:p>
    <w:p>
      <w:pPr>
        <w:pStyle w:val="360"/>
        <w:spacing w:before="0"/>
        <w:ind w:firstLine="420" w:firstLineChars="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360"/>
        <w:spacing w:before="0"/>
        <w:ind w:firstLine="420" w:firstLineChars="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w:t>
      </w:r>
      <w:r>
        <w:rPr>
          <w:rFonts w:hint="eastAsia" w:ascii="仿宋_GB2312" w:hAnsi="仿宋" w:eastAsia="仿宋_GB2312" w:cs="仿宋_GB2312"/>
          <w:color w:val="auto"/>
          <w:highlight w:val="none"/>
        </w:rPr>
        <w:t>采购代理机构</w:t>
      </w:r>
      <w:r>
        <w:rPr>
          <w:rFonts w:ascii="仿宋_GB2312" w:hAnsi="仿宋" w:eastAsia="仿宋_GB2312" w:cs="仿宋_GB2312"/>
          <w:color w:val="auto"/>
          <w:highlight w:val="none"/>
        </w:rPr>
        <w:t>告知其未通过的原因。</w:t>
      </w:r>
    </w:p>
    <w:p>
      <w:pPr>
        <w:pStyle w:val="360"/>
        <w:spacing w:before="0"/>
        <w:ind w:firstLine="420" w:firstLineChars="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360"/>
        <w:spacing w:before="0"/>
        <w:ind w:firstLine="0" w:firstLineChars="0"/>
        <w:rPr>
          <w:rFonts w:ascii="仿宋_GB2312" w:hAnsi="仿宋" w:eastAsia="仿宋_GB2312" w:cs="仿宋_GB2312"/>
          <w:b/>
          <w:color w:val="auto"/>
          <w:szCs w:val="24"/>
          <w:highlight w:val="none"/>
        </w:rPr>
      </w:pPr>
    </w:p>
    <w:p>
      <w:pPr>
        <w:pStyle w:val="36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w:t>
      </w:r>
      <w:r>
        <w:rPr>
          <w:rFonts w:hint="eastAsia" w:ascii="仿宋_GB2312" w:hAnsi="仿宋" w:eastAsia="仿宋_GB2312" w:cs="仿宋_GB2312"/>
          <w:b/>
          <w:color w:val="auto"/>
          <w:szCs w:val="24"/>
          <w:highlight w:val="none"/>
        </w:rPr>
        <w:t>.</w:t>
      </w:r>
      <w:r>
        <w:rPr>
          <w:rFonts w:ascii="仿宋_GB2312" w:hAnsi="仿宋" w:eastAsia="仿宋_GB2312" w:cs="仿宋_GB2312"/>
          <w:b/>
          <w:color w:val="auto"/>
          <w:szCs w:val="24"/>
          <w:highlight w:val="none"/>
        </w:rPr>
        <w:t>信用信息查询</w:t>
      </w:r>
    </w:p>
    <w:p>
      <w:pPr>
        <w:pStyle w:val="360"/>
        <w:spacing w:before="0"/>
        <w:ind w:firstLine="420"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w:t>
      </w:r>
      <w:r>
        <w:rPr>
          <w:rFonts w:hint="eastAsia" w:ascii="仿宋_GB2312" w:hAnsi="仿宋" w:eastAsia="仿宋_GB2312" w:cs="Arial"/>
          <w:color w:val="auto"/>
          <w:kern w:val="0"/>
          <w:szCs w:val="24"/>
          <w:highlight w:val="none"/>
        </w:rPr>
        <w:t>采购代理机构</w:t>
      </w:r>
      <w:r>
        <w:rPr>
          <w:rFonts w:ascii="仿宋_GB2312" w:hAnsi="仿宋" w:eastAsia="仿宋_GB2312" w:cs="Arial"/>
          <w:color w:val="auto"/>
          <w:kern w:val="0"/>
          <w:szCs w:val="24"/>
          <w:highlight w:val="none"/>
        </w:rPr>
        <w:t>将通过“信用中国”网站(www.creditchina.gov.cn)、中国政府采购网(www.ccgp.gov.cn)渠道查询投标人投标截止时间当天的信用记录。</w:t>
      </w:r>
    </w:p>
    <w:p>
      <w:pPr>
        <w:pStyle w:val="360"/>
        <w:spacing w:before="0"/>
        <w:ind w:firstLine="420"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360"/>
        <w:spacing w:before="0"/>
        <w:ind w:firstLine="420"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360"/>
        <w:spacing w:before="0"/>
        <w:ind w:firstLine="420"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Arial"/>
          <w:color w:val="auto"/>
          <w:kern w:val="0"/>
          <w:szCs w:val="24"/>
          <w:highlight w:val="none"/>
        </w:rPr>
        <w:t>。</w:t>
      </w:r>
    </w:p>
    <w:p>
      <w:pPr>
        <w:pStyle w:val="360"/>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3"/>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360"/>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360"/>
        <w:snapToGrid w:val="0"/>
        <w:spacing w:before="0"/>
        <w:ind w:firstLine="0" w:firstLineChars="0"/>
        <w:rPr>
          <w:rFonts w:ascii="仿宋_GB2312" w:hAnsi="仿宋" w:eastAsia="仿宋_GB2312" w:cs="仿宋_GB2312"/>
          <w:b/>
          <w:color w:val="auto"/>
          <w:szCs w:val="24"/>
          <w:highlight w:val="none"/>
        </w:rPr>
      </w:pPr>
    </w:p>
    <w:p>
      <w:pPr>
        <w:pStyle w:val="360"/>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pacing w:line="360" w:lineRule="auto"/>
        <w:ind w:firstLine="42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w:t>
      </w:r>
      <w:r>
        <w:rPr>
          <w:rFonts w:hint="eastAsia" w:ascii="仿宋_GB2312" w:hAnsi="仿宋" w:eastAsia="仿宋_GB2312" w:cs="仿宋_GB2312"/>
          <w:color w:val="auto"/>
          <w:sz w:val="24"/>
          <w:highlight w:val="none"/>
        </w:rPr>
        <w:t>采购代理机构</w:t>
      </w:r>
      <w:r>
        <w:rPr>
          <w:rFonts w:ascii="仿宋_GB2312" w:hAnsi="仿宋" w:eastAsia="仿宋_GB2312" w:cs="仿宋_GB2312"/>
          <w:color w:val="auto"/>
          <w:sz w:val="24"/>
          <w:highlight w:val="none"/>
        </w:rPr>
        <w:t>通过电子交易平台向中标人发出中标通知书，</w:t>
      </w:r>
      <w:r>
        <w:rPr>
          <w:rFonts w:hint="eastAsia" w:ascii="仿宋_GB2312" w:hAnsi="仿宋" w:eastAsia="仿宋_GB2312" w:cs="仿宋_GB2312"/>
          <w:color w:val="auto"/>
          <w:sz w:val="24"/>
          <w:highlight w:val="none"/>
        </w:rPr>
        <w:t>同时编制发布采购结果公告。采购代理机构也可以以纸质形式进行中标通知。</w:t>
      </w:r>
    </w:p>
    <w:p>
      <w:pPr>
        <w:widowControl/>
        <w:spacing w:line="360" w:lineRule="auto"/>
        <w:ind w:firstLine="42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w:t>
      </w:r>
      <w:r>
        <w:rPr>
          <w:rFonts w:hint="eastAsia" w:ascii="仿宋_GB2312" w:hAnsi="仿宋" w:eastAsia="仿宋_GB2312" w:cs="仿宋_GB2312"/>
          <w:color w:val="auto"/>
          <w:sz w:val="24"/>
          <w:highlight w:val="none"/>
        </w:rPr>
        <w:t>采购代理机构</w:t>
      </w:r>
      <w:r>
        <w:rPr>
          <w:rFonts w:ascii="仿宋_GB2312" w:hAnsi="仿宋" w:eastAsia="仿宋_GB2312" w:cs="仿宋_GB2312"/>
          <w:color w:val="auto"/>
          <w:sz w:val="24"/>
          <w:highlight w:val="none"/>
        </w:rPr>
        <w:t>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pacing w:line="360" w:lineRule="auto"/>
        <w:ind w:firstLine="42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3"/>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3"/>
        <w:spacing w:line="360" w:lineRule="auto"/>
        <w:ind w:left="479" w:hanging="479" w:hangingChars="199"/>
        <w:rPr>
          <w:rFonts w:ascii="仿宋_GB2312" w:hAnsi="仿宋" w:eastAsia="仿宋_GB2312" w:cs="仿宋_GB2312"/>
          <w:b/>
          <w:color w:val="auto"/>
          <w:highlight w:val="none"/>
        </w:rPr>
      </w:pPr>
    </w:p>
    <w:p>
      <w:pPr>
        <w:pStyle w:val="23"/>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pacing w:line="360" w:lineRule="auto"/>
        <w:ind w:firstLine="42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360"/>
        <w:snapToGrid w:val="0"/>
        <w:spacing w:before="0"/>
        <w:ind w:firstLine="420" w:firstLineChars="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360"/>
        <w:snapToGrid w:val="0"/>
        <w:spacing w:before="0"/>
        <w:ind w:firstLine="420" w:firstLineChars="0"/>
        <w:rPr>
          <w:rFonts w:ascii="仿宋_GB2312" w:hAnsi="仿宋" w:eastAsia="仿宋_GB2312" w:cs="仿宋_GB2312"/>
          <w:color w:val="auto"/>
          <w:kern w:val="0"/>
          <w:highlight w:val="none"/>
          <w:lang w:val="zh-CN"/>
        </w:rPr>
      </w:pPr>
      <w:r>
        <w:rPr>
          <w:rFonts w:ascii="仿宋_GB2312" w:hAnsi="仿宋" w:eastAsia="仿宋_GB2312" w:cs="仿宋_GB2312"/>
          <w:color w:val="auto"/>
          <w:kern w:val="0"/>
          <w:highlight w:val="none"/>
          <w:lang w:val="zh-CN"/>
        </w:rPr>
        <w:t>25.3如签订合同并生效后，供应商无故拒绝或延期，除按照合同条款处理外，列入不良行为记录一次，并给予通报。</w:t>
      </w:r>
    </w:p>
    <w:p>
      <w:pPr>
        <w:pStyle w:val="360"/>
        <w:snapToGrid w:val="0"/>
        <w:spacing w:before="0"/>
        <w:ind w:firstLine="420" w:firstLineChars="0"/>
        <w:rPr>
          <w:rFonts w:ascii="仿宋_GB2312" w:hAnsi="仿宋" w:eastAsia="仿宋_GB2312" w:cs="仿宋_GB2312"/>
          <w:color w:val="auto"/>
          <w:kern w:val="0"/>
          <w:highlight w:val="none"/>
          <w:lang w:val="zh-CN"/>
        </w:rPr>
      </w:pPr>
      <w:r>
        <w:rPr>
          <w:rFonts w:ascii="仿宋_GB2312" w:hAnsi="仿宋" w:eastAsia="仿宋_GB2312" w:cs="仿宋_GB2312"/>
          <w:color w:val="auto"/>
          <w:kern w:val="0"/>
          <w:highlight w:val="none"/>
          <w:lang w:val="zh-CN"/>
        </w:rPr>
        <w:t>25.4中标供应</w:t>
      </w:r>
      <w:r>
        <w:rPr>
          <w:rFonts w:hint="eastAsia" w:ascii="仿宋_GB2312" w:hAnsi="仿宋" w:eastAsia="仿宋_GB2312" w:cs="仿宋_GB2312"/>
          <w:color w:val="auto"/>
          <w:kern w:val="0"/>
          <w:highlight w:val="none"/>
          <w:lang w:val="zh-CN"/>
        </w:rPr>
        <w:t>商拒绝与采购人签订合同的，采购人可以按照评审报告推荐的中标或者成交候选人名单排序，确定下一候选人为中标供应商，也可以重新开展政府采购活动。</w:t>
      </w:r>
    </w:p>
    <w:p>
      <w:pPr>
        <w:pStyle w:val="360"/>
        <w:snapToGrid w:val="0"/>
        <w:spacing w:before="0"/>
        <w:ind w:firstLine="420" w:firstLineChars="0"/>
        <w:rPr>
          <w:rFonts w:ascii="仿宋_GB2312" w:hAnsi="仿宋" w:eastAsia="仿宋_GB2312" w:cs="仿宋_GB2312"/>
          <w:color w:val="auto"/>
          <w:kern w:val="0"/>
          <w:highlight w:val="none"/>
          <w:lang w:val="zh-CN"/>
        </w:rPr>
      </w:pPr>
      <w:r>
        <w:rPr>
          <w:rFonts w:ascii="仿宋_GB2312" w:hAnsi="仿宋" w:eastAsia="仿宋_GB2312" w:cs="仿宋_GB2312"/>
          <w:color w:val="auto"/>
          <w:kern w:val="0"/>
          <w:highlight w:val="none"/>
          <w:lang w:val="zh-CN"/>
        </w:rPr>
        <w:t>25.5采购合同由采购人与中标供应商根据</w:t>
      </w:r>
      <w:r>
        <w:rPr>
          <w:rFonts w:hint="eastAsia" w:ascii="仿宋_GB2312" w:hAnsi="仿宋" w:eastAsia="仿宋_GB2312" w:cs="仿宋_GB2312"/>
          <w:color w:val="auto"/>
          <w:kern w:val="0"/>
          <w:highlight w:val="none"/>
          <w:lang w:val="zh-CN"/>
        </w:rPr>
        <w:t>招标文件、投标文件等内容通过政府采购电子交易平台在线签订，自动备案。</w:t>
      </w:r>
    </w:p>
    <w:p>
      <w:pPr>
        <w:pStyle w:val="23"/>
        <w:spacing w:line="360" w:lineRule="auto"/>
        <w:ind w:left="479" w:hanging="479" w:hangingChars="199"/>
        <w:rPr>
          <w:rFonts w:ascii="仿宋_GB2312" w:hAnsi="仿宋" w:eastAsia="仿宋_GB2312" w:cs="仿宋_GB2312"/>
          <w:b/>
          <w:color w:val="auto"/>
          <w:highlight w:val="none"/>
        </w:rPr>
      </w:pPr>
    </w:p>
    <w:p>
      <w:pPr>
        <w:pStyle w:val="23"/>
        <w:spacing w:line="360" w:lineRule="auto"/>
        <w:ind w:left="479" w:hanging="479" w:hangingChars="199"/>
        <w:rPr>
          <w:rFonts w:hint="eastAsia" w:ascii="仿宋_GB2312" w:hAnsi="仿宋" w:eastAsia="仿宋_GB2312" w:cs="仿宋_GB2312"/>
          <w:b/>
          <w:color w:val="auto"/>
          <w:highlight w:val="none"/>
          <w:lang w:eastAsia="zh-CN"/>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r>
        <w:rPr>
          <w:rFonts w:hint="eastAsia" w:ascii="仿宋_GB2312" w:hAnsi="仿宋" w:eastAsia="仿宋_GB2312" w:cs="仿宋_GB2312"/>
          <w:b/>
          <w:color w:val="auto"/>
          <w:highlight w:val="none"/>
          <w:lang w:eastAsia="zh-CN"/>
        </w:rPr>
        <w:t>（</w:t>
      </w:r>
      <w:r>
        <w:rPr>
          <w:rFonts w:hint="eastAsia" w:ascii="仿宋_GB2312" w:hAnsi="仿宋" w:eastAsia="仿宋_GB2312" w:cs="仿宋_GB2312"/>
          <w:b/>
          <w:color w:val="auto"/>
          <w:highlight w:val="none"/>
          <w:lang w:val="en-US" w:eastAsia="zh-CN"/>
        </w:rPr>
        <w:t>如有</w:t>
      </w:r>
      <w:r>
        <w:rPr>
          <w:rFonts w:hint="eastAsia" w:ascii="仿宋_GB2312" w:hAnsi="仿宋" w:eastAsia="仿宋_GB2312" w:cs="仿宋_GB2312"/>
          <w:b/>
          <w:color w:val="auto"/>
          <w:highlight w:val="none"/>
          <w:lang w:eastAsia="zh-CN"/>
        </w:rPr>
        <w:t>）</w:t>
      </w:r>
    </w:p>
    <w:p>
      <w:pPr>
        <w:tabs>
          <w:tab w:val="left" w:pos="0"/>
        </w:tabs>
        <w:spacing w:line="360" w:lineRule="auto"/>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ab/>
      </w: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。履约保证金的数额不得超过政府采购合同金额的2.5</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ab/>
      </w:r>
      <w:r>
        <w:rPr>
          <w:rFonts w:hint="eastAsia" w:ascii="仿宋_GB2312" w:hAnsi="仿宋" w:eastAsia="仿宋_GB2312" w:cs="仿宋_GB2312"/>
          <w:color w:val="auto"/>
          <w:sz w:val="24"/>
          <w:szCs w:val="20"/>
          <w:highlight w:val="none"/>
        </w:rPr>
        <w:t>供应商可登录政采云平台-【金融服务】—【我的项目】—【已备案合同】以保函形式提供：</w:t>
      </w:r>
    </w:p>
    <w:p>
      <w:pPr>
        <w:numPr>
          <w:ilvl w:val="0"/>
          <w:numId w:val="4"/>
        </w:numPr>
        <w:tabs>
          <w:tab w:val="left" w:pos="0"/>
        </w:tabs>
        <w:spacing w:line="360" w:lineRule="auto"/>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供应商在合同列表选择需要投保的合同，点击[保函推荐]。</w:t>
      </w:r>
    </w:p>
    <w:p>
      <w:pPr>
        <w:numPr>
          <w:ilvl w:val="0"/>
          <w:numId w:val="4"/>
        </w:numPr>
        <w:tabs>
          <w:tab w:val="left" w:pos="0"/>
        </w:tabs>
        <w:spacing w:line="360" w:lineRule="auto"/>
        <w:ind w:left="0" w:firstLine="420" w:firstLineChars="175"/>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在弹框里查看推荐的保函产品，供应商自行选择保函产品，点击[立即申请]。</w:t>
      </w:r>
    </w:p>
    <w:p>
      <w:pPr>
        <w:numPr>
          <w:ilvl w:val="0"/>
          <w:numId w:val="4"/>
        </w:numPr>
        <w:tabs>
          <w:tab w:val="left" w:pos="0"/>
        </w:tabs>
        <w:spacing w:line="360" w:lineRule="auto"/>
        <w:ind w:left="0" w:firstLine="420" w:firstLineChars="175"/>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highlight w:val="none"/>
        </w:rPr>
      </w:pPr>
    </w:p>
    <w:p>
      <w:pPr>
        <w:snapToGrid w:val="0"/>
        <w:spacing w:line="360" w:lineRule="auto"/>
        <w:jc w:val="center"/>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360"/>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p>
    <w:p>
      <w:pPr>
        <w:pStyle w:val="360"/>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采购过程中出现以下情形，导致电子交易平台无法正常运行，或者无法保证电子交易的公平、公正和安全时，采购代理机构可中止电子交易活动：</w:t>
      </w:r>
    </w:p>
    <w:p>
      <w:pPr>
        <w:pStyle w:val="360"/>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27.1电子交易平台发生故障而无法登录访问的； </w:t>
      </w:r>
    </w:p>
    <w:p>
      <w:pPr>
        <w:pStyle w:val="360"/>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27.2电子交易平台应用或数据库出现错误，不能进行正常操作的；</w:t>
      </w:r>
    </w:p>
    <w:p>
      <w:pPr>
        <w:pStyle w:val="360"/>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27.3电子交易平台发现严重安全漏洞，有潜在泄密危险的；</w:t>
      </w:r>
    </w:p>
    <w:p>
      <w:pPr>
        <w:pStyle w:val="360"/>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27.4病毒发作导致不能进行正常操作的； </w:t>
      </w:r>
    </w:p>
    <w:p>
      <w:pPr>
        <w:pStyle w:val="360"/>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27.5其他无法保证电子交易的公平、公正和安全的情况。</w:t>
      </w:r>
    </w:p>
    <w:p>
      <w:pPr>
        <w:pStyle w:val="360"/>
        <w:snapToGrid w:val="0"/>
        <w:spacing w:before="0"/>
        <w:ind w:firstLine="0" w:firstLineChars="0"/>
        <w:rPr>
          <w:rFonts w:ascii="仿宋_GB2312" w:hAnsi="仿宋" w:eastAsia="仿宋_GB2312" w:cs="仿宋_GB2312"/>
          <w:b/>
          <w:bCs/>
          <w:color w:val="auto"/>
          <w:highlight w:val="none"/>
        </w:rPr>
      </w:pPr>
      <w:r>
        <w:rPr>
          <w:rFonts w:ascii="仿宋_GB2312" w:hAnsi="仿宋" w:eastAsia="仿宋_GB2312" w:cs="仿宋_GB2312"/>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3"/>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pStyle w:val="360"/>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360"/>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29.2采购人可以邀请参加本项目的其他投标人或者第三方机构参与验收。参与验收的投标人或者第三方机构的意见作为验收书的参考资料一并存档。</w:t>
      </w:r>
    </w:p>
    <w:p>
      <w:pPr>
        <w:pStyle w:val="360"/>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360"/>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rPr>
          <w:rFonts w:ascii="仿宋_GB2312" w:hAnsi="仿宋" w:eastAsia="仿宋_GB2312" w:cs="仿宋_GB2312"/>
          <w:color w:val="auto"/>
          <w:highlight w:val="none"/>
        </w:rPr>
      </w:pPr>
      <w:bookmarkStart w:id="14" w:name="_Hlt74729768"/>
      <w:bookmarkEnd w:id="14"/>
      <w:bookmarkStart w:id="15" w:name="_Hlt68057669"/>
      <w:bookmarkEnd w:id="15"/>
      <w:bookmarkStart w:id="16" w:name="_Hlt74707468"/>
      <w:bookmarkEnd w:id="16"/>
      <w:bookmarkStart w:id="17" w:name="_Hlt75236101"/>
      <w:bookmarkEnd w:id="17"/>
      <w:bookmarkStart w:id="18" w:name="_Hlt68072990"/>
      <w:bookmarkEnd w:id="18"/>
      <w:bookmarkStart w:id="19" w:name="_Hlt68073093"/>
      <w:bookmarkEnd w:id="19"/>
      <w:bookmarkStart w:id="20" w:name="_Hlt68072998"/>
      <w:bookmarkEnd w:id="20"/>
      <w:bookmarkStart w:id="21" w:name="_Hlt68403820"/>
      <w:bookmarkEnd w:id="21"/>
      <w:bookmarkStart w:id="22" w:name="_Hlt74714665"/>
      <w:bookmarkEnd w:id="22"/>
      <w:bookmarkStart w:id="23" w:name="_Hlt74730295"/>
      <w:bookmarkEnd w:id="23"/>
      <w:bookmarkStart w:id="24" w:name="_Hlt75236290"/>
      <w:bookmarkEnd w:id="24"/>
      <w:bookmarkStart w:id="25" w:name="_Hlt75236011"/>
      <w:bookmarkEnd w:id="25"/>
      <w:r>
        <w:rPr>
          <w:rFonts w:hint="eastAsia" w:ascii="仿宋_GB2312" w:hAnsi="仿宋" w:eastAsia="仿宋_GB2312" w:cs="仿宋_GB2312"/>
          <w:color w:val="auto"/>
          <w:highlight w:val="none"/>
        </w:rPr>
        <w:br w:type="page"/>
      </w:r>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spacing w:line="360" w:lineRule="auto"/>
        <w:ind w:firstLine="482" w:firstLineChars="200"/>
        <w:rPr>
          <w:rFonts w:ascii="仿宋_GB2312" w:hAnsi="仿宋_GB2312" w:eastAsia="仿宋_GB2312" w:cs="仿宋_GB2312"/>
          <w:b/>
          <w:color w:val="auto"/>
          <w:sz w:val="24"/>
          <w:highlight w:val="none"/>
        </w:rPr>
      </w:pPr>
    </w:p>
    <w:p>
      <w:pPr>
        <w:keepLines w:val="0"/>
        <w:pageBreakBefore w:val="0"/>
        <w:widowControl w:val="0"/>
        <w:kinsoku/>
        <w:wordWrap/>
        <w:overflowPunct/>
        <w:topLinePunct w:val="0"/>
        <w:autoSpaceDE/>
        <w:autoSpaceDN/>
        <w:bidi w:val="0"/>
        <w:adjustRightInd/>
        <w:spacing w:line="360" w:lineRule="auto"/>
        <w:ind w:left="0" w:firstLine="482" w:firstLineChars="200"/>
        <w:textAlignment w:val="auto"/>
        <w:outlineLvl w:val="1"/>
        <w:rPr>
          <w:rFonts w:ascii="仿宋" w:hAnsi="仿宋" w:eastAsia="仿宋" w:cs="仿宋_GB2312"/>
          <w:b/>
          <w:bCs/>
          <w:color w:val="auto"/>
          <w:sz w:val="24"/>
          <w:szCs w:val="24"/>
          <w:highlight w:val="none"/>
        </w:rPr>
      </w:pPr>
      <w:r>
        <w:rPr>
          <w:rFonts w:hint="eastAsia" w:ascii="仿宋" w:hAnsi="仿宋" w:eastAsia="仿宋" w:cs="楷体_GB2312"/>
          <w:b/>
          <w:bCs/>
          <w:color w:val="auto"/>
          <w:sz w:val="24"/>
          <w:szCs w:val="24"/>
          <w:highlight w:val="none"/>
        </w:rPr>
        <w:t>（一）项目背景</w:t>
      </w:r>
    </w:p>
    <w:p>
      <w:pPr>
        <w:pStyle w:val="963"/>
        <w:keepLines w:val="0"/>
        <w:pageBreakBefore w:val="0"/>
        <w:widowControl w:val="0"/>
        <w:kinsoku/>
        <w:wordWrap/>
        <w:overflowPunct/>
        <w:topLinePunct w:val="0"/>
        <w:autoSpaceDE/>
        <w:autoSpaceDN/>
        <w:bidi w:val="0"/>
        <w:spacing w:before="0" w:after="0" w:line="360" w:lineRule="auto"/>
        <w:ind w:left="0"/>
        <w:textAlignment w:val="auto"/>
        <w:rPr>
          <w:rFonts w:hint="eastAsia"/>
          <w:color w:val="auto"/>
          <w:sz w:val="24"/>
          <w:szCs w:val="24"/>
          <w:highlight w:val="none"/>
          <w:lang w:val="en-US" w:eastAsia="zh-CN"/>
        </w:rPr>
      </w:pPr>
      <w:r>
        <w:rPr>
          <w:rFonts w:hint="eastAsia"/>
          <w:color w:val="auto"/>
          <w:sz w:val="24"/>
          <w:szCs w:val="24"/>
          <w:highlight w:val="none"/>
          <w:lang w:eastAsia="zh-CN"/>
        </w:rPr>
        <w:t>中办、国办印发的</w:t>
      </w:r>
      <w:r>
        <w:rPr>
          <w:rFonts w:hint="eastAsia"/>
          <w:color w:val="auto"/>
          <w:sz w:val="24"/>
          <w:szCs w:val="24"/>
          <w:highlight w:val="none"/>
        </w:rPr>
        <w:t>《关于进一步深化税收征管改革的意见》</w:t>
      </w:r>
      <w:r>
        <w:rPr>
          <w:rFonts w:hint="eastAsia"/>
          <w:color w:val="auto"/>
          <w:sz w:val="24"/>
          <w:szCs w:val="24"/>
          <w:highlight w:val="none"/>
          <w:lang w:val="en-US" w:eastAsia="zh-CN"/>
        </w:rPr>
        <w:t>中</w:t>
      </w:r>
      <w:r>
        <w:rPr>
          <w:rFonts w:hint="eastAsia"/>
          <w:color w:val="auto"/>
          <w:sz w:val="24"/>
          <w:szCs w:val="24"/>
          <w:highlight w:val="none"/>
        </w:rPr>
        <w:t>提出“</w:t>
      </w:r>
      <w:r>
        <w:rPr>
          <w:rFonts w:hint="eastAsia"/>
          <w:color w:val="auto"/>
          <w:sz w:val="24"/>
          <w:szCs w:val="24"/>
          <w:highlight w:val="none"/>
          <w:lang w:eastAsia="zh-CN"/>
        </w:rPr>
        <w:t>着力建设以服务纳税人缴费人为中心、以发票电子化改革为突破口、</w:t>
      </w:r>
      <w:r>
        <w:rPr>
          <w:rFonts w:hint="eastAsia"/>
          <w:color w:val="auto"/>
          <w:sz w:val="24"/>
          <w:szCs w:val="24"/>
          <w:highlight w:val="none"/>
        </w:rPr>
        <w:t>以税收大数据为驱动力</w:t>
      </w:r>
      <w:r>
        <w:rPr>
          <w:rFonts w:hint="eastAsia"/>
          <w:color w:val="auto"/>
          <w:sz w:val="24"/>
          <w:szCs w:val="24"/>
          <w:highlight w:val="none"/>
          <w:lang w:eastAsia="zh-CN"/>
        </w:rPr>
        <w:t>的具有高集成功能、高安全性能、高应用效能的智慧税务，</w:t>
      </w:r>
      <w:r>
        <w:rPr>
          <w:rFonts w:hint="eastAsia"/>
          <w:color w:val="auto"/>
          <w:sz w:val="24"/>
          <w:szCs w:val="24"/>
          <w:highlight w:val="none"/>
        </w:rPr>
        <w:t>深入推进精确执法、精细服务、精准监管、精诚共治”</w:t>
      </w:r>
      <w:r>
        <w:rPr>
          <w:rFonts w:hint="eastAsia"/>
          <w:color w:val="auto"/>
          <w:sz w:val="24"/>
          <w:szCs w:val="24"/>
          <w:highlight w:val="none"/>
          <w:lang w:eastAsia="zh-CN"/>
        </w:rPr>
        <w:t>，这是十四五时期税收征管改革的重要制度安排。为全面落实《意见》，</w:t>
      </w:r>
      <w:r>
        <w:rPr>
          <w:color w:val="auto"/>
          <w:sz w:val="24"/>
          <w:szCs w:val="24"/>
          <w:highlight w:val="none"/>
        </w:rPr>
        <w:t>依法加强对高收入高净值人员的税费服务与监管</w:t>
      </w:r>
      <w:r>
        <w:rPr>
          <w:rFonts w:hint="eastAsia"/>
          <w:color w:val="auto"/>
          <w:sz w:val="24"/>
          <w:szCs w:val="24"/>
          <w:highlight w:val="none"/>
          <w:lang w:eastAsia="zh-CN"/>
        </w:rPr>
        <w:t>，破解个人股权转让和经营所得征管风险两项难题，</w:t>
      </w:r>
      <w:r>
        <w:rPr>
          <w:rFonts w:hint="eastAsia"/>
          <w:color w:val="auto"/>
          <w:sz w:val="24"/>
          <w:szCs w:val="24"/>
          <w:highlight w:val="none"/>
        </w:rPr>
        <w:t>健全以</w:t>
      </w:r>
      <w:r>
        <w:rPr>
          <w:color w:val="auto"/>
          <w:sz w:val="24"/>
          <w:szCs w:val="24"/>
          <w:highlight w:val="none"/>
        </w:rPr>
        <w:t xml:space="preserve"> </w:t>
      </w:r>
      <w:r>
        <w:rPr>
          <w:rFonts w:hint="eastAsia"/>
          <w:color w:val="auto"/>
          <w:sz w:val="24"/>
          <w:szCs w:val="24"/>
          <w:highlight w:val="none"/>
          <w:lang w:eastAsia="zh-CN"/>
        </w:rPr>
        <w:t>“</w:t>
      </w:r>
      <w:r>
        <w:rPr>
          <w:color w:val="auto"/>
          <w:sz w:val="24"/>
          <w:szCs w:val="24"/>
          <w:highlight w:val="none"/>
        </w:rPr>
        <w:t>数据集成+优质服务+提醒纠错+依法查处</w:t>
      </w:r>
      <w:r>
        <w:rPr>
          <w:rFonts w:hint="eastAsia"/>
          <w:color w:val="auto"/>
          <w:sz w:val="24"/>
          <w:szCs w:val="24"/>
          <w:highlight w:val="none"/>
          <w:lang w:eastAsia="zh-CN"/>
        </w:rPr>
        <w:t>”</w:t>
      </w:r>
      <w:r>
        <w:rPr>
          <w:color w:val="auto"/>
          <w:sz w:val="24"/>
          <w:szCs w:val="24"/>
          <w:highlight w:val="none"/>
        </w:rPr>
        <w:t>为主要内容的自然人税费服务与监管体系</w:t>
      </w:r>
      <w:r>
        <w:rPr>
          <w:rFonts w:hint="eastAsia"/>
          <w:color w:val="auto"/>
          <w:sz w:val="24"/>
          <w:szCs w:val="24"/>
          <w:highlight w:val="none"/>
          <w:lang w:eastAsia="zh-CN"/>
        </w:rPr>
        <w:t>，通过升级自然人税收服务辅助管理平台，</w:t>
      </w:r>
      <w:r>
        <w:rPr>
          <w:color w:val="auto"/>
          <w:sz w:val="24"/>
          <w:szCs w:val="24"/>
          <w:highlight w:val="none"/>
        </w:rPr>
        <w:t>全面强化个人所得税经营所得管理，</w:t>
      </w:r>
      <w:r>
        <w:rPr>
          <w:rFonts w:hint="eastAsia"/>
          <w:color w:val="auto"/>
          <w:sz w:val="24"/>
          <w:szCs w:val="24"/>
          <w:highlight w:val="none"/>
          <w:lang w:eastAsia="zh-CN"/>
        </w:rPr>
        <w:t>优化</w:t>
      </w:r>
      <w:r>
        <w:rPr>
          <w:color w:val="auto"/>
          <w:sz w:val="24"/>
          <w:szCs w:val="24"/>
          <w:highlight w:val="none"/>
        </w:rPr>
        <w:t>个人所得税</w:t>
      </w:r>
      <w:r>
        <w:rPr>
          <w:rFonts w:hint="eastAsia"/>
          <w:color w:val="auto"/>
          <w:sz w:val="24"/>
          <w:szCs w:val="24"/>
          <w:highlight w:val="none"/>
          <w:lang w:eastAsia="zh-CN"/>
        </w:rPr>
        <w:t>股权转让</w:t>
      </w:r>
      <w:r>
        <w:rPr>
          <w:rFonts w:hint="eastAsia"/>
          <w:color w:val="auto"/>
          <w:sz w:val="24"/>
          <w:szCs w:val="24"/>
          <w:highlight w:val="none"/>
        </w:rPr>
        <w:t>服务管理水平</w:t>
      </w:r>
      <w:r>
        <w:rPr>
          <w:rFonts w:hint="eastAsia"/>
          <w:color w:val="auto"/>
          <w:sz w:val="24"/>
          <w:szCs w:val="24"/>
          <w:highlight w:val="none"/>
          <w:lang w:eastAsia="zh-CN"/>
        </w:rPr>
        <w:t>，进一步提升我省个人所得税综合治理水平。</w:t>
      </w:r>
    </w:p>
    <w:p>
      <w:pPr>
        <w:keepLines w:val="0"/>
        <w:pageBreakBefore w:val="0"/>
        <w:widowControl w:val="0"/>
        <w:kinsoku/>
        <w:wordWrap/>
        <w:overflowPunct/>
        <w:topLinePunct w:val="0"/>
        <w:autoSpaceDE/>
        <w:autoSpaceDN/>
        <w:bidi w:val="0"/>
        <w:adjustRightInd/>
        <w:spacing w:line="360" w:lineRule="auto"/>
        <w:ind w:left="0" w:firstLine="482" w:firstLineChars="200"/>
        <w:textAlignment w:val="auto"/>
        <w:outlineLvl w:val="1"/>
        <w:rPr>
          <w:rFonts w:ascii="仿宋" w:hAnsi="仿宋" w:eastAsia="仿宋"/>
          <w:b/>
          <w:color w:val="auto"/>
          <w:sz w:val="24"/>
          <w:szCs w:val="24"/>
          <w:highlight w:val="none"/>
        </w:rPr>
      </w:pPr>
      <w:r>
        <w:rPr>
          <w:rFonts w:hint="eastAsia" w:ascii="仿宋" w:hAnsi="仿宋" w:eastAsia="仿宋"/>
          <w:b/>
          <w:color w:val="auto"/>
          <w:sz w:val="24"/>
          <w:szCs w:val="24"/>
          <w:highlight w:val="none"/>
        </w:rPr>
        <w:t>（二）项目介绍</w:t>
      </w:r>
    </w:p>
    <w:p>
      <w:pPr>
        <w:keepLines w:val="0"/>
        <w:pageBreakBefore w:val="0"/>
        <w:widowControl w:val="0"/>
        <w:kinsoku/>
        <w:wordWrap/>
        <w:overflowPunct/>
        <w:topLinePunct w:val="0"/>
        <w:autoSpaceDE/>
        <w:autoSpaceDN/>
        <w:bidi w:val="0"/>
        <w:adjustRightInd/>
        <w:spacing w:line="360" w:lineRule="auto"/>
        <w:ind w:left="0" w:firstLine="482" w:firstLineChars="200"/>
        <w:textAlignment w:val="auto"/>
        <w:outlineLvl w:val="2"/>
        <w:rPr>
          <w:rFonts w:hint="eastAsia" w:ascii="仿宋_GB2312" w:hAnsi="宋体" w:eastAsia="仿宋_GB2312"/>
          <w:b/>
          <w:color w:val="auto"/>
          <w:sz w:val="24"/>
          <w:szCs w:val="24"/>
          <w:highlight w:val="none"/>
        </w:rPr>
      </w:pPr>
      <w:r>
        <w:rPr>
          <w:rFonts w:hint="eastAsia" w:ascii="仿宋" w:hAnsi="仿宋" w:eastAsia="仿宋" w:cs="仿宋_GB2312"/>
          <w:b/>
          <w:bCs/>
          <w:color w:val="auto"/>
          <w:sz w:val="24"/>
          <w:szCs w:val="24"/>
          <w:highlight w:val="none"/>
        </w:rPr>
        <w:t>1.经营所得</w:t>
      </w:r>
      <w:r>
        <w:rPr>
          <w:rFonts w:hint="eastAsia" w:ascii="仿宋_GB2312" w:hAnsi="宋体" w:eastAsia="仿宋_GB2312"/>
          <w:b/>
          <w:color w:val="auto"/>
          <w:sz w:val="24"/>
          <w:szCs w:val="24"/>
          <w:highlight w:val="none"/>
        </w:rPr>
        <w:t>辅助管理功能</w:t>
      </w:r>
    </w:p>
    <w:p>
      <w:pPr>
        <w:pStyle w:val="963"/>
        <w:keepLines w:val="0"/>
        <w:pageBreakBefore w:val="0"/>
        <w:widowControl w:val="0"/>
        <w:kinsoku/>
        <w:wordWrap/>
        <w:overflowPunct/>
        <w:topLinePunct w:val="0"/>
        <w:autoSpaceDE/>
        <w:autoSpaceDN/>
        <w:bidi w:val="0"/>
        <w:spacing w:before="0" w:after="0" w:line="360" w:lineRule="auto"/>
        <w:ind w:left="0"/>
        <w:textAlignment w:val="auto"/>
        <w:rPr>
          <w:rFonts w:hint="eastAsia"/>
          <w:color w:val="auto"/>
          <w:sz w:val="24"/>
          <w:szCs w:val="24"/>
          <w:highlight w:val="none"/>
          <w:lang w:eastAsia="zh-CN"/>
        </w:rPr>
      </w:pPr>
      <w:r>
        <w:rPr>
          <w:rFonts w:hint="eastAsia"/>
          <w:color w:val="auto"/>
          <w:sz w:val="24"/>
          <w:szCs w:val="24"/>
          <w:highlight w:val="none"/>
          <w:lang w:eastAsia="zh-CN"/>
        </w:rPr>
        <w:t>建设</w:t>
      </w:r>
      <w:r>
        <w:rPr>
          <w:rFonts w:hint="eastAsia"/>
          <w:color w:val="auto"/>
          <w:sz w:val="24"/>
          <w:szCs w:val="24"/>
          <w:highlight w:val="none"/>
        </w:rPr>
        <w:t>经营所得辅助管理功能</w:t>
      </w:r>
      <w:r>
        <w:rPr>
          <w:rFonts w:hint="eastAsia"/>
          <w:color w:val="auto"/>
          <w:sz w:val="24"/>
          <w:szCs w:val="24"/>
          <w:highlight w:val="none"/>
          <w:lang w:eastAsia="zh-CN"/>
        </w:rPr>
        <w:t>，实现经营所得税收数据“一人式”智能归集，全面归集经营所得自然人月季度报表、年度报表和汇总申报申报、未申报、欠缴等数据，提高日常税收征收管理效率。建立应税所得率、成本监控等指标，对经营所得征收方式、申报准确性等方面开展全面监管，对隐瞒收入、虚列成本、利用“税收洼地”和关联交易等逃避税行为加强风险防范和监管，全面提升经营所得风险事项管理水平。</w:t>
      </w:r>
    </w:p>
    <w:p>
      <w:pPr>
        <w:keepLines w:val="0"/>
        <w:pageBreakBefore w:val="0"/>
        <w:widowControl w:val="0"/>
        <w:kinsoku/>
        <w:wordWrap/>
        <w:overflowPunct/>
        <w:topLinePunct w:val="0"/>
        <w:autoSpaceDE/>
        <w:autoSpaceDN/>
        <w:bidi w:val="0"/>
        <w:adjustRightInd/>
        <w:spacing w:line="360" w:lineRule="auto"/>
        <w:ind w:left="0" w:firstLine="482" w:firstLineChars="200"/>
        <w:textAlignment w:val="auto"/>
        <w:outlineLvl w:val="2"/>
        <w:rPr>
          <w:rFonts w:ascii="仿宋" w:hAnsi="仿宋" w:eastAsia="仿宋" w:cs="仿宋_GB2312"/>
          <w:b/>
          <w:bCs/>
          <w:color w:val="auto"/>
          <w:sz w:val="24"/>
          <w:szCs w:val="24"/>
          <w:highlight w:val="none"/>
        </w:rPr>
      </w:pPr>
      <w:r>
        <w:rPr>
          <w:rFonts w:hint="eastAsia" w:ascii="仿宋" w:hAnsi="仿宋" w:eastAsia="仿宋" w:cs="仿宋_GB2312"/>
          <w:b/>
          <w:bCs/>
          <w:color w:val="auto"/>
          <w:sz w:val="24"/>
          <w:szCs w:val="24"/>
          <w:highlight w:val="none"/>
        </w:rPr>
        <w:t>2.个人股权转让服务</w:t>
      </w:r>
      <w:r>
        <w:rPr>
          <w:rFonts w:hint="eastAsia" w:ascii="仿宋" w:hAnsi="仿宋" w:eastAsia="仿宋" w:cs="仿宋_GB2312"/>
          <w:b/>
          <w:bCs/>
          <w:color w:val="auto"/>
          <w:sz w:val="24"/>
          <w:szCs w:val="24"/>
          <w:highlight w:val="none"/>
          <w:lang w:eastAsia="zh-CN"/>
        </w:rPr>
        <w:t>管理功能</w:t>
      </w:r>
    </w:p>
    <w:p>
      <w:pPr>
        <w:pStyle w:val="963"/>
        <w:keepLines w:val="0"/>
        <w:pageBreakBefore w:val="0"/>
        <w:widowControl w:val="0"/>
        <w:kinsoku/>
        <w:wordWrap/>
        <w:overflowPunct/>
        <w:topLinePunct w:val="0"/>
        <w:autoSpaceDE/>
        <w:autoSpaceDN/>
        <w:bidi w:val="0"/>
        <w:spacing w:before="0" w:after="0" w:line="360" w:lineRule="auto"/>
        <w:ind w:left="0"/>
        <w:textAlignment w:val="auto"/>
        <w:rPr>
          <w:rFonts w:hint="eastAsia"/>
          <w:color w:val="auto"/>
          <w:sz w:val="24"/>
          <w:szCs w:val="24"/>
          <w:highlight w:val="none"/>
          <w:lang w:eastAsia="zh-CN"/>
        </w:rPr>
      </w:pPr>
      <w:r>
        <w:rPr>
          <w:rFonts w:hint="eastAsia"/>
          <w:color w:val="auto"/>
          <w:sz w:val="24"/>
          <w:szCs w:val="24"/>
          <w:highlight w:val="none"/>
          <w:lang w:eastAsia="zh-CN"/>
        </w:rPr>
        <w:t>为全面落实《国家税务总局关于开展2022年“我为纳税人缴费人办实事便民办税春风行动”的意见》，进一步优化股权转让办税流程，拟联合市场监管部门，实现纳税人办税资料线上集成受理，线上传递完税信息，实现两部门实时信息共享。针对股权转让审核流程，通过设立风险指标模型，开展机审和人工审核相结合的分类分级智能化监管体系，强化税务执法内部控制和监督，全面防范股权转让环节的税收风险，实现股权转让链条式动态管理。</w:t>
      </w:r>
    </w:p>
    <w:p>
      <w:pPr>
        <w:keepLines w:val="0"/>
        <w:pageBreakBefore w:val="0"/>
        <w:widowControl w:val="0"/>
        <w:kinsoku/>
        <w:wordWrap/>
        <w:overflowPunct/>
        <w:topLinePunct w:val="0"/>
        <w:autoSpaceDE/>
        <w:autoSpaceDN/>
        <w:bidi w:val="0"/>
        <w:adjustRightInd/>
        <w:spacing w:line="360" w:lineRule="auto"/>
        <w:ind w:left="0" w:firstLine="482" w:firstLineChars="200"/>
        <w:textAlignment w:val="auto"/>
        <w:outlineLvl w:val="1"/>
        <w:rPr>
          <w:rFonts w:ascii="仿宋" w:hAnsi="仿宋" w:eastAsia="仿宋"/>
          <w:b/>
          <w:color w:val="auto"/>
          <w:sz w:val="24"/>
          <w:szCs w:val="24"/>
          <w:highlight w:val="none"/>
        </w:rPr>
      </w:pPr>
      <w:r>
        <w:rPr>
          <w:rFonts w:hint="eastAsia" w:ascii="仿宋" w:hAnsi="仿宋" w:eastAsia="仿宋"/>
          <w:b/>
          <w:color w:val="auto"/>
          <w:sz w:val="24"/>
          <w:szCs w:val="24"/>
          <w:highlight w:val="none"/>
        </w:rPr>
        <w:t>（三）主要功能要求</w:t>
      </w:r>
    </w:p>
    <w:p>
      <w:pPr>
        <w:keepLines w:val="0"/>
        <w:pageBreakBefore w:val="0"/>
        <w:widowControl w:val="0"/>
        <w:kinsoku/>
        <w:wordWrap/>
        <w:overflowPunct/>
        <w:topLinePunct w:val="0"/>
        <w:autoSpaceDE/>
        <w:autoSpaceDN/>
        <w:bidi w:val="0"/>
        <w:adjustRightInd/>
        <w:spacing w:line="360" w:lineRule="auto"/>
        <w:ind w:left="0" w:firstLine="482" w:firstLineChars="200"/>
        <w:jc w:val="both"/>
        <w:textAlignment w:val="auto"/>
        <w:outlineLvl w:val="2"/>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1.经营所得辅助管理功能需求</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（1）经营所得个人所得税数据归集</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抽取自然人电子税务局、金三核心征管系统、金三个税系统经营所得个人所得税登记、申报、缴税数据，实现一人式智能归集。</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（2）经营所得汇算清缴数据试算</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按业务规则实现经营所得汇算清缴数据试算，可支持生成《个人所得税经营所得纳税申报（B表）》预填申报数据。</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（3）经营所得汇总申报数据试算</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按业务规则实现经营所得汇总申报数据试算，可支持生成《个人所得税经营所得纳税申报（C表）》预填申报数据。</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（4）经营所得汇总申报税务机关预判</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按总局自然人电子</w:t>
      </w:r>
      <w:r>
        <w:rPr>
          <w:rFonts w:hint="eastAsia" w:ascii="仿宋_GB2312" w:hAnsi="宋体" w:eastAsia="仿宋_GB2312"/>
          <w:color w:val="auto"/>
          <w:sz w:val="24"/>
          <w:szCs w:val="24"/>
          <w:highlight w:val="none"/>
          <w:lang w:eastAsia="zh-CN"/>
        </w:rPr>
        <w:t>税务</w:t>
      </w:r>
      <w:r>
        <w:rPr>
          <w:rFonts w:hint="eastAsia" w:ascii="仿宋_GB2312" w:hAnsi="宋体" w:eastAsia="仿宋_GB2312"/>
          <w:color w:val="auto"/>
          <w:sz w:val="24"/>
          <w:szCs w:val="24"/>
          <w:highlight w:val="none"/>
        </w:rPr>
        <w:t>局《多处经营所得汇总申报表》汇缴期后汇总地预判规则。</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（5）经营所得一人式档案查询</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提供经营所得个人所得税一人式查询。包括“A表申报”、“B表试算、申报”、“C表试算、申报”。系统提供经营所得一人式权限控制功能，充分保证经营所得一人式数据访问的安全性和合规性</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rPr>
        <w:t>包含特定税务机关直接访问，线上审批访问等。</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（6）经营所得被投资单位一户式档案查询</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提供被投资单位一户式相关数据查询。包括投资单位基础信息、投资方（合伙人）信息、被投资单位</w:t>
      </w:r>
      <w:r>
        <w:rPr>
          <w:rFonts w:hint="eastAsia" w:ascii="仿宋_GB2312" w:hAnsi="宋体" w:eastAsia="仿宋_GB2312"/>
          <w:color w:val="auto"/>
          <w:sz w:val="24"/>
          <w:szCs w:val="24"/>
          <w:highlight w:val="none"/>
          <w:lang w:eastAsia="zh-CN"/>
        </w:rPr>
        <w:t>税款</w:t>
      </w:r>
      <w:r>
        <w:rPr>
          <w:rFonts w:hint="eastAsia" w:ascii="仿宋_GB2312" w:hAnsi="宋体" w:eastAsia="仿宋_GB2312"/>
          <w:color w:val="auto"/>
          <w:sz w:val="24"/>
          <w:szCs w:val="24"/>
          <w:highlight w:val="none"/>
        </w:rPr>
        <w:t>入</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rPr>
        <w:t>退</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rPr>
        <w:t>库记录、投资人个人所得税申报记录等。</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（7）经营所得不得核定征收预警监控</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根据政策规定，对不得实行核定征收的企业进行预警监控。</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（8）经营所得核定应税所得率预警监控</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针对“核定征收”的经营所得个人所得税，对应税所得率不合理的进行预警监控。</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 xml:space="preserve"> （9） </w:t>
      </w:r>
      <w:r>
        <w:rPr>
          <w:rFonts w:hint="eastAsia" w:ascii="仿宋_GB2312" w:hAnsi="宋体" w:eastAsia="仿宋_GB2312"/>
          <w:color w:val="auto"/>
          <w:sz w:val="24"/>
          <w:szCs w:val="24"/>
          <w:highlight w:val="none"/>
          <w:lang w:eastAsia="zh-CN"/>
        </w:rPr>
        <w:t>查账征收</w:t>
      </w:r>
      <w:r>
        <w:rPr>
          <w:rFonts w:hint="eastAsia" w:ascii="仿宋_GB2312" w:hAnsi="宋体" w:eastAsia="仿宋_GB2312"/>
          <w:color w:val="auto"/>
          <w:sz w:val="24"/>
          <w:szCs w:val="24"/>
          <w:highlight w:val="none"/>
        </w:rPr>
        <w:t>预警监控</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针对“查账征收”的经营所得个人所得税，对利润总额/收入总额的不合理值</w:t>
      </w:r>
      <w:r>
        <w:rPr>
          <w:rFonts w:hint="eastAsia" w:ascii="仿宋_GB2312" w:hAnsi="宋体" w:eastAsia="仿宋_GB2312"/>
          <w:color w:val="auto"/>
          <w:sz w:val="24"/>
          <w:szCs w:val="24"/>
          <w:highlight w:val="none"/>
          <w:lang w:eastAsia="zh-CN"/>
        </w:rPr>
        <w:t>等疑点</w:t>
      </w:r>
      <w:r>
        <w:rPr>
          <w:rFonts w:hint="eastAsia" w:ascii="仿宋_GB2312" w:hAnsi="宋体" w:eastAsia="仿宋_GB2312"/>
          <w:color w:val="auto"/>
          <w:sz w:val="24"/>
          <w:szCs w:val="24"/>
          <w:highlight w:val="none"/>
        </w:rPr>
        <w:t>进行预警监控。</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（10）征收方式变更的预警监控</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针对征收方式调整</w:t>
      </w:r>
      <w:r>
        <w:rPr>
          <w:rFonts w:hint="eastAsia" w:ascii="仿宋_GB2312" w:hAnsi="宋体" w:eastAsia="仿宋_GB2312"/>
          <w:color w:val="auto"/>
          <w:sz w:val="24"/>
          <w:szCs w:val="24"/>
          <w:highlight w:val="none"/>
          <w:lang w:eastAsia="zh-CN"/>
        </w:rPr>
        <w:t>异常</w:t>
      </w:r>
      <w:r>
        <w:rPr>
          <w:rFonts w:hint="eastAsia" w:ascii="仿宋_GB2312" w:hAnsi="宋体" w:eastAsia="仿宋_GB2312"/>
          <w:color w:val="auto"/>
          <w:sz w:val="24"/>
          <w:szCs w:val="24"/>
          <w:highlight w:val="none"/>
        </w:rPr>
        <w:t>变动的情况进行监控。</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（11）</w:t>
      </w:r>
      <w:r>
        <w:rPr>
          <w:rFonts w:hint="eastAsia" w:ascii="仿宋_GB2312" w:hAnsi="宋体" w:eastAsia="仿宋_GB2312"/>
          <w:color w:val="auto"/>
          <w:sz w:val="24"/>
          <w:szCs w:val="24"/>
          <w:highlight w:val="none"/>
          <w:lang w:eastAsia="zh-CN"/>
        </w:rPr>
        <w:t>其他</w:t>
      </w:r>
      <w:r>
        <w:rPr>
          <w:rFonts w:hint="eastAsia" w:ascii="仿宋_GB2312" w:hAnsi="宋体" w:eastAsia="仿宋_GB2312"/>
          <w:color w:val="auto"/>
          <w:sz w:val="24"/>
          <w:szCs w:val="24"/>
          <w:highlight w:val="none"/>
        </w:rPr>
        <w:t>日常</w:t>
      </w:r>
      <w:r>
        <w:rPr>
          <w:rFonts w:hint="eastAsia" w:ascii="仿宋_GB2312" w:hAnsi="宋体" w:eastAsia="仿宋_GB2312"/>
          <w:color w:val="auto"/>
          <w:sz w:val="24"/>
          <w:szCs w:val="24"/>
          <w:highlight w:val="none"/>
          <w:lang w:eastAsia="zh-CN"/>
        </w:rPr>
        <w:t>管理查询统计表</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eastAsia="zh-CN"/>
        </w:rPr>
        <w:t>建立</w:t>
      </w:r>
      <w:r>
        <w:rPr>
          <w:rFonts w:hint="eastAsia" w:ascii="仿宋_GB2312" w:hAnsi="宋体" w:eastAsia="仿宋_GB2312"/>
          <w:color w:val="auto"/>
          <w:sz w:val="24"/>
          <w:szCs w:val="24"/>
          <w:highlight w:val="none"/>
        </w:rPr>
        <w:t>“上年核定企业清册”、“当年核定企业清册”、“经营所得按月申报疑点企业清册”、“未申报企业清册”、“欠缴企业清册”、“收入异常”等</w:t>
      </w:r>
      <w:r>
        <w:rPr>
          <w:rFonts w:hint="eastAsia" w:ascii="仿宋_GB2312" w:hAnsi="宋体" w:eastAsia="仿宋_GB2312"/>
          <w:color w:val="auto"/>
          <w:sz w:val="24"/>
          <w:szCs w:val="24"/>
          <w:highlight w:val="none"/>
          <w:lang w:eastAsia="zh-CN"/>
        </w:rPr>
        <w:t>查询表</w:t>
      </w:r>
      <w:r>
        <w:rPr>
          <w:rFonts w:hint="eastAsia" w:ascii="仿宋_GB2312" w:hAnsi="宋体" w:eastAsia="仿宋_GB2312"/>
          <w:color w:val="auto"/>
          <w:sz w:val="24"/>
          <w:szCs w:val="24"/>
          <w:highlight w:val="none"/>
        </w:rPr>
        <w:t>。</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（12）嵌套层合伙企业风险监控</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eastAsia="zh-CN"/>
        </w:rPr>
        <w:t>根据</w:t>
      </w:r>
      <w:r>
        <w:rPr>
          <w:rFonts w:hint="eastAsia" w:ascii="仿宋_GB2312" w:hAnsi="宋体" w:eastAsia="仿宋_GB2312"/>
          <w:color w:val="auto"/>
          <w:sz w:val="24"/>
          <w:szCs w:val="24"/>
          <w:highlight w:val="none"/>
        </w:rPr>
        <w:t>上下层合伙企业经营所得个人所得税</w:t>
      </w:r>
      <w:r>
        <w:rPr>
          <w:rFonts w:hint="eastAsia" w:ascii="仿宋_GB2312" w:hAnsi="宋体" w:eastAsia="仿宋_GB2312"/>
          <w:color w:val="auto"/>
          <w:sz w:val="24"/>
          <w:szCs w:val="24"/>
          <w:highlight w:val="none"/>
          <w:lang w:eastAsia="zh-CN"/>
        </w:rPr>
        <w:t>申报情况</w:t>
      </w:r>
      <w:r>
        <w:rPr>
          <w:rFonts w:hint="eastAsia" w:ascii="仿宋_GB2312" w:hAnsi="宋体" w:eastAsia="仿宋_GB2312"/>
          <w:color w:val="auto"/>
          <w:sz w:val="24"/>
          <w:szCs w:val="24"/>
          <w:highlight w:val="none"/>
        </w:rPr>
        <w:t>，对上层企业未申报、少申报等问题进行风险监控。</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3）被投资单位标签应用</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可以使用定制的“被投资单位特定标签”，在经营所得管理功能中进行标签筛选。</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4）被投资单位网格化管理员配置</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系统支持配置及动态调整被投资单位网格化管理，网格化管理员可默认配置为被投资单位税收管理员，也可以调整为其他指定人员。</w:t>
      </w:r>
    </w:p>
    <w:p>
      <w:pPr>
        <w:keepLines w:val="0"/>
        <w:pageBreakBefore w:val="0"/>
        <w:widowControl w:val="0"/>
        <w:kinsoku/>
        <w:wordWrap/>
        <w:overflowPunct/>
        <w:topLinePunct w:val="0"/>
        <w:autoSpaceDE/>
        <w:autoSpaceDN/>
        <w:bidi w:val="0"/>
        <w:adjustRightInd/>
        <w:spacing w:line="360" w:lineRule="auto"/>
        <w:ind w:left="0" w:firstLine="482" w:firstLineChars="200"/>
        <w:jc w:val="both"/>
        <w:textAlignment w:val="auto"/>
        <w:outlineLvl w:val="2"/>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2.股权转让服务管理功能需求</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（1）税务人端信息采集</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税务人端建设自然人股权转让个人所得税涉税事项申报功能。包括填报被投资企业信息、确认变动前股东信息、填报股东股权转让信息、填报特殊交易类型信息、确认变动后股东信息、录入信息报告承诺等。</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w:t>
      </w:r>
      <w:r>
        <w:rPr>
          <w:rFonts w:hint="eastAsia" w:ascii="仿宋_GB2312" w:hAnsi="宋体" w:eastAsia="仿宋_GB2312"/>
          <w:color w:val="auto"/>
          <w:sz w:val="24"/>
          <w:szCs w:val="24"/>
          <w:highlight w:val="none"/>
        </w:rPr>
        <w:t>2）市场监管信息交换</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建立税务市场监管新交换通道。税务端部署“传递股权变更申请信息”、“传递股权变更申请状态变化”、“股权变更申请税务状态查询”等接口。</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w:t>
      </w:r>
      <w:r>
        <w:rPr>
          <w:rFonts w:hint="eastAsia" w:ascii="仿宋_GB2312" w:hAnsi="宋体" w:eastAsia="仿宋_GB2312"/>
          <w:color w:val="auto"/>
          <w:sz w:val="24"/>
          <w:szCs w:val="24"/>
          <w:highlight w:val="none"/>
        </w:rPr>
        <w:t>3）股权转让风险扫描</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建立股权转让风险扫描指标模型库。包括股权转让金额校验、股权转让价格与资产份额比较、股权转让价格与股权原值比较、转让方信息校验、受让方信息校验、分期纳税未到期校验等指标。</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w:t>
      </w:r>
      <w:r>
        <w:rPr>
          <w:rFonts w:hint="eastAsia" w:ascii="仿宋_GB2312" w:hAnsi="宋体" w:eastAsia="仿宋_GB2312"/>
          <w:color w:val="auto"/>
          <w:sz w:val="24"/>
          <w:szCs w:val="24"/>
          <w:highlight w:val="none"/>
        </w:rPr>
        <w:t>4）股权转让规则配置</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包括风险指标阈值启用状态配置、风险分级规则配置、审核待办任务配置等。</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w:t>
      </w:r>
      <w:r>
        <w:rPr>
          <w:rFonts w:hint="eastAsia" w:ascii="仿宋_GB2312" w:hAnsi="宋体" w:eastAsia="仿宋_GB2312"/>
          <w:color w:val="auto"/>
          <w:sz w:val="24"/>
          <w:szCs w:val="24"/>
          <w:highlight w:val="none"/>
        </w:rPr>
        <w:t>5）股权转让分级审核</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股权转让分级审核包括：股权转让信息分级审核机审、初审、复审、终审等。</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w:t>
      </w:r>
      <w:r>
        <w:rPr>
          <w:rFonts w:hint="eastAsia" w:ascii="仿宋_GB2312" w:hAnsi="宋体" w:eastAsia="仿宋_GB2312"/>
          <w:color w:val="auto"/>
          <w:sz w:val="24"/>
          <w:szCs w:val="24"/>
          <w:highlight w:val="none"/>
        </w:rPr>
        <w:t>6）股权转让申请审核查询</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提供股权转让申请信息及税务审核清册查询功能。</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w:t>
      </w:r>
      <w:r>
        <w:rPr>
          <w:rFonts w:hint="eastAsia" w:ascii="仿宋_GB2312" w:hAnsi="宋体" w:eastAsia="仿宋_GB2312"/>
          <w:color w:val="auto"/>
          <w:sz w:val="24"/>
          <w:szCs w:val="24"/>
          <w:highlight w:val="none"/>
        </w:rPr>
        <w:t>7）股权转让申请预填及关联申报</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系统根据纳税人股权转让申请信息与税务审核结论，自动生成股权转让个人所得税预填申报数据查询。税务大厅人员使用自然人电子税务局办理申报时，可查询预填申报数据，确保大厅申报与审核结论的一致性。此外税务大厅人员，可以在完成股权转让个人所得税申报后，进行申请信息与申报记录的关联，以便后续能够自动监测完税入库情况。</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w:t>
      </w:r>
      <w:r>
        <w:rPr>
          <w:rFonts w:hint="eastAsia" w:ascii="仿宋_GB2312" w:hAnsi="宋体" w:eastAsia="仿宋_GB2312"/>
          <w:color w:val="auto"/>
          <w:sz w:val="24"/>
          <w:szCs w:val="24"/>
          <w:highlight w:val="none"/>
        </w:rPr>
        <w:t>8）股权转让申报完税监控</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提供个人股权转让申报完税监控。</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w:t>
      </w:r>
      <w:r>
        <w:rPr>
          <w:rFonts w:hint="eastAsia" w:ascii="仿宋_GB2312" w:hAnsi="宋体" w:eastAsia="仿宋_GB2312"/>
          <w:color w:val="auto"/>
          <w:sz w:val="24"/>
          <w:szCs w:val="24"/>
          <w:highlight w:val="none"/>
        </w:rPr>
        <w:t>9）股权转让台账及链条式动态管理</w:t>
      </w:r>
    </w:p>
    <w:p>
      <w:pPr>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建立股权转让个人所得税电子台账，提供一人式、一户式股权电子台账等查询功能，实现股权转让链条式动态管理。</w:t>
      </w:r>
    </w:p>
    <w:p>
      <w:pPr>
        <w:keepLines w:val="0"/>
        <w:pageBreakBefore w:val="0"/>
        <w:widowControl w:val="0"/>
        <w:numPr>
          <w:ilvl w:val="0"/>
          <w:numId w:val="5"/>
        </w:numPr>
        <w:kinsoku/>
        <w:wordWrap/>
        <w:overflowPunct/>
        <w:topLinePunct w:val="0"/>
        <w:autoSpaceDE/>
        <w:autoSpaceDN/>
        <w:bidi w:val="0"/>
        <w:adjustRightInd/>
        <w:spacing w:line="360" w:lineRule="auto"/>
        <w:ind w:left="0" w:firstLine="480" w:firstLineChars="200"/>
        <w:jc w:val="both"/>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股权转让风险事项监控</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对股权交易频繁、增资减资等事项建立监控指标，形成风险疑点。</w:t>
      </w:r>
    </w:p>
    <w:p>
      <w:pPr>
        <w:keepLines w:val="0"/>
        <w:pageBreakBefore w:val="0"/>
        <w:widowControl w:val="0"/>
        <w:kinsoku/>
        <w:wordWrap/>
        <w:overflowPunct/>
        <w:topLinePunct w:val="0"/>
        <w:autoSpaceDE/>
        <w:autoSpaceDN/>
        <w:bidi w:val="0"/>
        <w:adjustRightInd/>
        <w:spacing w:line="360" w:lineRule="auto"/>
        <w:ind w:left="0" w:firstLine="482" w:firstLineChars="200"/>
        <w:textAlignment w:val="auto"/>
        <w:outlineLvl w:val="1"/>
        <w:rPr>
          <w:rFonts w:ascii="仿宋" w:hAnsi="仿宋" w:eastAsia="仿宋"/>
          <w:b/>
          <w:color w:val="auto"/>
          <w:sz w:val="24"/>
          <w:szCs w:val="24"/>
          <w:highlight w:val="none"/>
        </w:rPr>
      </w:pPr>
      <w:r>
        <w:rPr>
          <w:rFonts w:hint="eastAsia" w:ascii="仿宋" w:hAnsi="仿宋" w:eastAsia="仿宋"/>
          <w:b/>
          <w:color w:val="auto"/>
          <w:sz w:val="24"/>
          <w:szCs w:val="24"/>
          <w:highlight w:val="none"/>
        </w:rPr>
        <w:t>（四）项目执行标准</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根据系统建设规范化原则，税务信息资源目录体系应符合</w:t>
      </w:r>
      <w:r>
        <w:rPr>
          <w:rFonts w:ascii="仿宋_GB2312" w:hAnsi="宋体" w:eastAsia="仿宋_GB2312"/>
          <w:color w:val="auto"/>
          <w:sz w:val="24"/>
          <w:szCs w:val="24"/>
          <w:highlight w:val="none"/>
        </w:rPr>
        <w:t>《政务信息资源目录编制指南》（发改高技[2017]1272号）、政务信息资源目录体系GB/T21063等国家标准</w:t>
      </w:r>
      <w:r>
        <w:rPr>
          <w:rFonts w:hint="eastAsia" w:ascii="仿宋_GB2312" w:hAnsi="宋体" w:eastAsia="仿宋_GB2312"/>
          <w:color w:val="auto"/>
          <w:sz w:val="24"/>
          <w:szCs w:val="24"/>
          <w:highlight w:val="none"/>
        </w:rPr>
        <w:t>。</w:t>
      </w:r>
    </w:p>
    <w:p>
      <w:pPr>
        <w:keepLines w:val="0"/>
        <w:pageBreakBefore w:val="0"/>
        <w:widowControl w:val="0"/>
        <w:kinsoku/>
        <w:wordWrap/>
        <w:overflowPunct/>
        <w:topLinePunct w:val="0"/>
        <w:autoSpaceDE/>
        <w:autoSpaceDN/>
        <w:bidi w:val="0"/>
        <w:adjustRightInd/>
        <w:spacing w:line="360" w:lineRule="auto"/>
        <w:ind w:left="0" w:firstLine="482" w:firstLineChars="200"/>
        <w:textAlignment w:val="auto"/>
        <w:outlineLvl w:val="1"/>
        <w:rPr>
          <w:rFonts w:ascii="仿宋" w:hAnsi="仿宋" w:eastAsia="仿宋"/>
          <w:b/>
          <w:color w:val="auto"/>
          <w:sz w:val="24"/>
          <w:szCs w:val="24"/>
          <w:highlight w:val="none"/>
        </w:rPr>
      </w:pPr>
      <w:r>
        <w:rPr>
          <w:rFonts w:hint="eastAsia" w:ascii="仿宋" w:hAnsi="仿宋" w:eastAsia="仿宋"/>
          <w:b/>
          <w:color w:val="auto"/>
          <w:sz w:val="24"/>
          <w:szCs w:val="24"/>
          <w:highlight w:val="none"/>
        </w:rPr>
        <w:t>（五）项目技术要求</w:t>
      </w:r>
    </w:p>
    <w:p>
      <w:pPr>
        <w:keepLines w:val="0"/>
        <w:pageBreakBefore w:val="0"/>
        <w:widowControl w:val="0"/>
        <w:kinsoku/>
        <w:wordWrap/>
        <w:overflowPunct/>
        <w:topLinePunct w:val="0"/>
        <w:autoSpaceDE/>
        <w:autoSpaceDN/>
        <w:bidi w:val="0"/>
        <w:adjustRightInd/>
        <w:spacing w:line="360" w:lineRule="auto"/>
        <w:ind w:left="0" w:firstLine="361" w:firstLineChars="150"/>
        <w:textAlignment w:val="auto"/>
        <w:outlineLvl w:val="2"/>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1.总体技术要求</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（1）总体架构</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系统根据不同的职责，可以将系统划分为数据源层、数据层、服务层、应用层和治理层5个层次。</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数据源层为系统提供原始的业务数据，目前原始的数据来源主要包括来自于核心征管</w:t>
      </w:r>
      <w:r>
        <w:rPr>
          <w:rFonts w:hint="eastAsia" w:ascii="仿宋_GB2312" w:hAnsi="宋体" w:eastAsia="仿宋_GB2312"/>
          <w:color w:val="auto"/>
          <w:sz w:val="24"/>
          <w:szCs w:val="24"/>
          <w:highlight w:val="none"/>
          <w:lang w:eastAsia="zh-CN"/>
        </w:rPr>
        <w:t>、自然人电子税务局系统、</w:t>
      </w:r>
      <w:r>
        <w:rPr>
          <w:rFonts w:hint="eastAsia" w:ascii="仿宋_GB2312" w:hAnsi="宋体" w:eastAsia="仿宋_GB2312"/>
          <w:color w:val="auto"/>
          <w:sz w:val="24"/>
          <w:szCs w:val="24"/>
          <w:highlight w:val="none"/>
        </w:rPr>
        <w:t>决策二包等相关的内部业务数据。</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数据层主要完成数据从源数据采集</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rPr>
        <w:t>处理</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rPr>
        <w:t>融合计算并向外提供业务服务的过程。</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服务层在数据完成加工后，为其他的业务系统提供数据服务。对于生产服务来说，通常</w:t>
      </w:r>
      <w:r>
        <w:rPr>
          <w:rFonts w:hint="eastAsia" w:ascii="仿宋_GB2312" w:hAnsi="宋体" w:eastAsia="仿宋_GB2312"/>
          <w:color w:val="auto"/>
          <w:sz w:val="24"/>
          <w:szCs w:val="24"/>
          <w:highlight w:val="none"/>
          <w:lang w:eastAsia="zh-CN"/>
        </w:rPr>
        <w:t>有</w:t>
      </w:r>
      <w:r>
        <w:rPr>
          <w:rFonts w:hint="eastAsia" w:ascii="仿宋_GB2312" w:hAnsi="宋体" w:eastAsia="仿宋_GB2312"/>
          <w:color w:val="auto"/>
          <w:sz w:val="24"/>
          <w:szCs w:val="24"/>
          <w:highlight w:val="none"/>
        </w:rPr>
        <w:t>多种应用服务。从业务可以分为面向自然人纳税人应用提供的数据服务和面向税务人员提供的分析查询服务。从技术上来说，对于单笔数据服务或者其他数据量不大，但是调用频次较高的应用应提供WebService，JMS等多种方式的应用服务。对于数据分析层面来说，应提供稳定而安全的数据接口。</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应用层主要面向自然人纳税人提供查询功能</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rPr>
        <w:t>面向业务咨询人员提供业务数据查询等功能，面向税务管理人员提供明细查询、进度监控等</w:t>
      </w:r>
      <w:r>
        <w:rPr>
          <w:rFonts w:hint="eastAsia" w:ascii="仿宋_GB2312" w:hAnsi="宋体" w:eastAsia="仿宋_GB2312"/>
          <w:color w:val="auto"/>
          <w:sz w:val="24"/>
          <w:szCs w:val="24"/>
          <w:highlight w:val="none"/>
          <w:lang w:eastAsia="zh-CN"/>
        </w:rPr>
        <w:t>功能</w:t>
      </w:r>
      <w:r>
        <w:rPr>
          <w:rFonts w:hint="eastAsia" w:ascii="仿宋_GB2312" w:hAnsi="宋体" w:eastAsia="仿宋_GB2312"/>
          <w:color w:val="auto"/>
          <w:sz w:val="24"/>
          <w:szCs w:val="24"/>
          <w:highlight w:val="none"/>
        </w:rPr>
        <w:t>。</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治理层主要包括系统应用的多个方面，主要包括数据治理、服务管理、系统运维等方面</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rPr>
        <w:t>为系统的数据质量、服务保障等提供支撑。</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（2）应用架构</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浙江省税务局自然人税收服务辅助管理平台整体的应用可分为以下几个部分，面向自然人纳税人的数据查询类应用，面向税务人员的内部应用。从面向对象的不同可以划分为业务处理应用、业务服务应用、数据处理应用和后台管理应用四类。</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业务处理应用主要面向自然人纳税人、运维咨询人员和税务管理干部。根据用户的不同可以分为自然人端应用，咨询服务端应用和税务人端应用。其中自然人端应用主要面向自然人纳税人提供相关查询、比对功能。咨询服务端主要面向运维咨询人员在取得自然人纳税人授权的条件下，提供对自然人纳税人相关数据的查询，帮助运维咨询人员协助纳税人解决办税过程中的问题。税务人端应用</w:t>
      </w:r>
      <w:r>
        <w:rPr>
          <w:rFonts w:hint="eastAsia" w:ascii="仿宋_GB2312" w:hAnsi="宋体" w:eastAsia="仿宋_GB2312"/>
          <w:color w:val="auto"/>
          <w:sz w:val="24"/>
          <w:szCs w:val="24"/>
          <w:highlight w:val="none"/>
          <w:lang w:eastAsia="zh-CN"/>
        </w:rPr>
        <w:t>主</w:t>
      </w:r>
      <w:r>
        <w:rPr>
          <w:rFonts w:hint="eastAsia" w:ascii="仿宋_GB2312" w:hAnsi="宋体" w:eastAsia="仿宋_GB2312"/>
          <w:color w:val="auto"/>
          <w:sz w:val="24"/>
          <w:szCs w:val="24"/>
          <w:highlight w:val="none"/>
        </w:rPr>
        <w:t>要面向税务管理干部提供相关的测算的统计、网格化任务分布、监控等功能。</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业务服务应用主要对接业务处理应用提供相关的服务。根据对接应用服务的对象不同总体上分为互联网服务接入和内部服务接入两个入口。通过服务接入应用将自然人的服务进行组合和封装</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rPr>
        <w:t>为业务处理应用提供支撑。</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数据处理应用主要有两个功能，一是数据集成，将数据源</w:t>
      </w:r>
      <w:r>
        <w:rPr>
          <w:rFonts w:hint="eastAsia" w:ascii="仿宋_GB2312" w:hAnsi="宋体" w:eastAsia="仿宋_GB2312"/>
          <w:color w:val="auto"/>
          <w:sz w:val="24"/>
          <w:szCs w:val="24"/>
          <w:highlight w:val="none"/>
          <w:lang w:eastAsia="zh-CN"/>
        </w:rPr>
        <w:t>从</w:t>
      </w:r>
      <w:r>
        <w:rPr>
          <w:rFonts w:hint="eastAsia" w:ascii="仿宋_GB2312" w:hAnsi="宋体" w:eastAsia="仿宋_GB2312"/>
          <w:color w:val="auto"/>
          <w:sz w:val="24"/>
          <w:szCs w:val="24"/>
          <w:highlight w:val="none"/>
        </w:rPr>
        <w:t>数据采集到缓冲层，并经过初步的整</w:t>
      </w:r>
      <w:bookmarkStart w:id="27" w:name="l"/>
      <w:bookmarkEnd w:id="27"/>
      <w:r>
        <w:rPr>
          <w:rFonts w:hint="eastAsia" w:ascii="仿宋_GB2312" w:hAnsi="宋体" w:eastAsia="仿宋_GB2312"/>
          <w:color w:val="auto"/>
          <w:sz w:val="24"/>
          <w:szCs w:val="24"/>
          <w:highlight w:val="none"/>
        </w:rPr>
        <w:t>理后进入业务数据层形成数据池。数据采集应用需要具有两种不同的采集方式，ETL工具将非实时数据数据定时增量从数据源抽取数据，并执行初步的数据清洗和转换加载至业务数据层。实时数据通过数据库数据同步工具或者消息中间件加载到缓冲层，并通过转换应用加载至业务数据层。二是数据融合计算，将从初步计算的业务数据中将数据进一步融合，系统数据仓库采集的数据是从数据源采集的海量业务数据和经过初步处理之后的简单业务数据，需要将这些数据按照数据模型指定的业务模型进行规范和整理，形成适合业务需要的结果数据。数据融合计算应用主要的功能就是完成这样的转换，由于转换的数据量巨大，通常需要通过并行计算由多台主机形成批量计算集群来完成这项工作。</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后台管理应用主要包括三个方面的功能，系统参数维护主要负责系统的主要参数设置和部分代码数据维护。系统监控部分主要分为ETL工具抽取监控</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rPr>
        <w:t>数据质量检查</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rPr>
        <w:t>数据正确性检查等，从数据抽取质量</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rPr>
        <w:t>数据计算质量等</w:t>
      </w:r>
      <w:r>
        <w:rPr>
          <w:rFonts w:hint="eastAsia" w:ascii="仿宋_GB2312" w:hAnsi="宋体" w:eastAsia="仿宋_GB2312"/>
          <w:color w:val="auto"/>
          <w:sz w:val="24"/>
          <w:szCs w:val="24"/>
          <w:highlight w:val="none"/>
          <w:lang w:eastAsia="zh-CN"/>
        </w:rPr>
        <w:t>方面</w:t>
      </w:r>
      <w:r>
        <w:rPr>
          <w:rFonts w:hint="eastAsia" w:ascii="仿宋_GB2312" w:hAnsi="宋体" w:eastAsia="仿宋_GB2312"/>
          <w:color w:val="auto"/>
          <w:sz w:val="24"/>
          <w:szCs w:val="24"/>
          <w:highlight w:val="none"/>
        </w:rPr>
        <w:t>保障数据的完整性和准确性。系统升级工具提供ETL以及应用的一键式升级功能。</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（3）数据架构</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本方案设计框架参考自然人系统架构设计，在完全理解自电局业务和架构的基础上，依据省局的特性进行优化改造，下面分别介绍数据架构的分层模式：</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自然人库的数据源主要包括个税系统、核心征管系统、第三方数据、其他数据等。</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数据交换区分为两部分，一部分是镜像层，主要由ITS清分数据的镜像备份。另一部分是基础层，主要是将金三个税，金三征管，镜像层的数据抽取进数据仓库，并会进行数据去重，特别要说明的是再做一份去重后数据</w:t>
      </w:r>
      <w:r>
        <w:rPr>
          <w:rFonts w:hint="eastAsia" w:ascii="仿宋_GB2312" w:hAnsi="宋体" w:eastAsia="仿宋_GB2312"/>
          <w:color w:val="auto"/>
          <w:sz w:val="24"/>
          <w:szCs w:val="24"/>
          <w:highlight w:val="none"/>
          <w:lang w:eastAsia="zh-CN"/>
        </w:rPr>
        <w:t>是</w:t>
      </w:r>
      <w:r>
        <w:rPr>
          <w:rFonts w:hint="eastAsia" w:ascii="仿宋_GB2312" w:hAnsi="宋体" w:eastAsia="仿宋_GB2312"/>
          <w:color w:val="auto"/>
          <w:sz w:val="24"/>
          <w:szCs w:val="24"/>
          <w:highlight w:val="none"/>
        </w:rPr>
        <w:t>在基础层还会进行表加宽，可以避免后续层次加工过程中高频的大表关联，此层次数据粒度仍为明细数据。</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数据整合区是对所有明细数据进行统一定义，包含名称</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rPr>
        <w:t>类型，并且该层次和自电局的规范层定义完全一致，可以避免各个业务域如果使用源表会导致口径不一致造成的数据差异，此层次数据粒度仍为明细数据，且为保证数据高可用性，每次全量重算的数据会记录在暂存表，然后交换进主表。</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业务主题区是按照各个主题域对数据仓库的中的轻度汇总数据，明细数据按照需求进行加工，并进行统计分析，得出符合用户高效查询的事实表。</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数据服务区主要提供数据查询访问和数据推送服务工作，数据服务区是数据集市区的一个子集，目的一是为了保证系统数据的安全稳定，二是把数据加工与数据服务分开，以免加工与服务相互干扰，因此增加一个服务区，把数据整合区，集市区的数据同步到服务区，这样整合区，集市区负责抽取和加工数据，数据服务区负责数据查询访问和推送服务，各司其职，可大大提高加工和服务效率。</w:t>
      </w:r>
    </w:p>
    <w:p>
      <w:pPr>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业务应用区主要是存储的是用于应用系统操作的数据，例如用户在页面录入的配置数据，标签数据等。</w:t>
      </w:r>
    </w:p>
    <w:p>
      <w:pPr>
        <w:keepLines w:val="0"/>
        <w:pageBreakBefore w:val="0"/>
        <w:widowControl w:val="0"/>
        <w:kinsoku/>
        <w:wordWrap/>
        <w:overflowPunct/>
        <w:topLinePunct w:val="0"/>
        <w:autoSpaceDE/>
        <w:autoSpaceDN/>
        <w:bidi w:val="0"/>
        <w:adjustRightInd/>
        <w:spacing w:line="360" w:lineRule="auto"/>
        <w:ind w:left="0" w:firstLine="361" w:firstLineChars="150"/>
        <w:textAlignment w:val="auto"/>
        <w:outlineLvl w:val="2"/>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2.非</w:t>
      </w:r>
      <w:r>
        <w:rPr>
          <w:rFonts w:ascii="仿宋_GB2312" w:hAnsi="宋体" w:eastAsia="仿宋_GB2312"/>
          <w:b/>
          <w:color w:val="auto"/>
          <w:sz w:val="24"/>
          <w:szCs w:val="24"/>
          <w:highlight w:val="none"/>
        </w:rPr>
        <w:t>功能性要求</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（1）易用性、可维护性</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系统功能尽可能自动化，减少人工操作环节，用户操作界面应简明、实用、易于学习和掌握，操作方式应符合用户使用习惯。</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系统在运行过程中所发生的任何错误都应该有明确的错误编号，并能在系统的维护手册中查到相应错误的处理方法与步骤。</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整体系统设计应充分借鉴金三技术</w:t>
      </w:r>
      <w:r>
        <w:rPr>
          <w:rFonts w:ascii="仿宋_GB2312" w:hAnsi="宋体" w:eastAsia="仿宋_GB2312"/>
          <w:color w:val="auto"/>
          <w:sz w:val="24"/>
          <w:szCs w:val="24"/>
          <w:highlight w:val="none"/>
        </w:rPr>
        <w:t>架构</w:t>
      </w:r>
      <w:r>
        <w:rPr>
          <w:rFonts w:hint="eastAsia" w:ascii="仿宋_GB2312" w:hAnsi="宋体" w:eastAsia="仿宋_GB2312"/>
          <w:color w:val="auto"/>
          <w:sz w:val="24"/>
          <w:szCs w:val="24"/>
          <w:highlight w:val="none"/>
        </w:rPr>
        <w:t>模式，应用系统应采用组件化设计思想，系统框架与业务逻辑分离；要求具备开放的体系结构。</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（2）稳定性</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在稳定性方面，系统要求能够满足7×24小时无人值守的稳定工作，具备较强的系统安全性和灾难恢复能力，系统具备强有力的安全保障措施。</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（3）兼容性</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系统应支持多种硬件服务器，平台可兼容Linux，AIX，Windows Server等主流操作系统。</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系统应能有效支持</w:t>
      </w:r>
      <w:r>
        <w:rPr>
          <w:rFonts w:hint="eastAsia" w:ascii="仿宋_GB2312" w:hAnsi="宋体" w:eastAsia="仿宋_GB2312"/>
          <w:color w:val="auto"/>
          <w:sz w:val="24"/>
          <w:szCs w:val="24"/>
          <w:highlight w:val="none"/>
          <w:lang w:val="en-US" w:eastAsia="zh-CN"/>
        </w:rPr>
        <w:t>360安全浏览器及</w:t>
      </w:r>
      <w:r>
        <w:rPr>
          <w:rFonts w:hint="eastAsia" w:ascii="仿宋_GB2312" w:hAnsi="宋体" w:eastAsia="仿宋_GB2312"/>
          <w:color w:val="auto"/>
          <w:sz w:val="24"/>
          <w:szCs w:val="24"/>
          <w:highlight w:val="none"/>
        </w:rPr>
        <w:t>各种主流的浏览器（IE8及以上、chrome、firefox、safari）。</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系统应具备可伸缩性，提供横纵向扩展能力，增加硬件资源后，能有效提高系统的业务处理能力。</w:t>
      </w:r>
    </w:p>
    <w:p>
      <w:pPr>
        <w:keepLines w:val="0"/>
        <w:pageBreakBefore w:val="0"/>
        <w:widowControl w:val="0"/>
        <w:kinsoku/>
        <w:wordWrap/>
        <w:overflowPunct/>
        <w:topLinePunct w:val="0"/>
        <w:autoSpaceDE/>
        <w:autoSpaceDN/>
        <w:bidi w:val="0"/>
        <w:adjustRightInd/>
        <w:spacing w:line="360" w:lineRule="auto"/>
        <w:ind w:left="0" w:firstLine="482" w:firstLineChars="200"/>
        <w:textAlignment w:val="auto"/>
        <w:outlineLvl w:val="1"/>
        <w:rPr>
          <w:rFonts w:ascii="仿宋" w:hAnsi="仿宋" w:eastAsia="仿宋"/>
          <w:b/>
          <w:color w:val="auto"/>
          <w:sz w:val="24"/>
          <w:szCs w:val="24"/>
          <w:highlight w:val="none"/>
        </w:rPr>
      </w:pPr>
      <w:r>
        <w:rPr>
          <w:rFonts w:hint="eastAsia" w:ascii="仿宋" w:hAnsi="仿宋" w:eastAsia="仿宋"/>
          <w:b/>
          <w:color w:val="auto"/>
          <w:sz w:val="24"/>
          <w:szCs w:val="24"/>
          <w:highlight w:val="none"/>
        </w:rPr>
        <w:t>（六）项目交付要求</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outlineLvl w:val="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1.项目建设过程需按投标方建设上线要求提供项目成果，含需求分析、软件开发、测试、验收等部分。合同</w:t>
      </w:r>
      <w:r>
        <w:rPr>
          <w:rFonts w:ascii="仿宋_GB2312" w:hAnsi="宋体" w:eastAsia="仿宋_GB2312"/>
          <w:color w:val="auto"/>
          <w:sz w:val="24"/>
          <w:szCs w:val="24"/>
          <w:highlight w:val="none"/>
        </w:rPr>
        <w:t>签订后，</w:t>
      </w:r>
      <w:r>
        <w:rPr>
          <w:rFonts w:hint="eastAsia" w:ascii="仿宋_GB2312" w:hAnsi="宋体" w:eastAsia="仿宋_GB2312"/>
          <w:color w:val="auto"/>
          <w:sz w:val="24"/>
          <w:szCs w:val="24"/>
          <w:highlight w:val="none"/>
        </w:rPr>
        <w:t>2个自然</w:t>
      </w:r>
      <w:r>
        <w:rPr>
          <w:rFonts w:ascii="仿宋_GB2312" w:hAnsi="宋体" w:eastAsia="仿宋_GB2312"/>
          <w:color w:val="auto"/>
          <w:sz w:val="24"/>
          <w:szCs w:val="24"/>
          <w:highlight w:val="none"/>
        </w:rPr>
        <w:t>月</w:t>
      </w:r>
      <w:r>
        <w:rPr>
          <w:rFonts w:hint="eastAsia" w:ascii="仿宋_GB2312" w:hAnsi="宋体" w:eastAsia="仿宋_GB2312"/>
          <w:color w:val="auto"/>
          <w:sz w:val="24"/>
          <w:szCs w:val="24"/>
          <w:highlight w:val="none"/>
        </w:rPr>
        <w:t>内</w:t>
      </w:r>
      <w:r>
        <w:rPr>
          <w:rFonts w:ascii="仿宋_GB2312" w:hAnsi="宋体" w:eastAsia="仿宋_GB2312"/>
          <w:color w:val="auto"/>
          <w:sz w:val="24"/>
          <w:szCs w:val="24"/>
          <w:highlight w:val="none"/>
        </w:rPr>
        <w:t>完成</w:t>
      </w:r>
      <w:r>
        <w:rPr>
          <w:rFonts w:hint="eastAsia" w:ascii="仿宋_GB2312" w:hAnsi="宋体" w:eastAsia="仿宋_GB2312"/>
          <w:color w:val="auto"/>
          <w:sz w:val="24"/>
          <w:szCs w:val="24"/>
          <w:highlight w:val="none"/>
        </w:rPr>
        <w:t>项目</w:t>
      </w:r>
      <w:r>
        <w:rPr>
          <w:rFonts w:ascii="仿宋_GB2312" w:hAnsi="宋体" w:eastAsia="仿宋_GB2312"/>
          <w:color w:val="auto"/>
          <w:sz w:val="24"/>
          <w:szCs w:val="24"/>
          <w:highlight w:val="none"/>
        </w:rPr>
        <w:t>功能的开发</w:t>
      </w:r>
      <w:r>
        <w:rPr>
          <w:rFonts w:hint="eastAsia" w:ascii="仿宋_GB2312" w:hAnsi="宋体" w:eastAsia="仿宋_GB2312"/>
          <w:color w:val="auto"/>
          <w:sz w:val="24"/>
          <w:szCs w:val="24"/>
          <w:highlight w:val="none"/>
        </w:rPr>
        <w:t>。</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outlineLvl w:val="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2.中标方必须在项目建设中，选派工作责任心强、技术水平高、业务熟练、管理经验丰富的人员专职参加该项目的建设。中标方</w:t>
      </w:r>
      <w:r>
        <w:rPr>
          <w:rFonts w:ascii="仿宋_GB2312" w:hAnsi="宋体" w:eastAsia="仿宋_GB2312"/>
          <w:color w:val="auto"/>
          <w:sz w:val="24"/>
          <w:szCs w:val="24"/>
          <w:highlight w:val="none"/>
        </w:rPr>
        <w:t>根据浙江省税务局要求提供参加开发工作的技术人员不得少于5名，其中：项目负责人1名，要求</w:t>
      </w:r>
      <w:r>
        <w:rPr>
          <w:rFonts w:hint="eastAsia" w:ascii="仿宋_GB2312" w:hAnsi="宋体" w:eastAsia="仿宋_GB2312"/>
          <w:color w:val="auto"/>
          <w:sz w:val="24"/>
          <w:szCs w:val="24"/>
          <w:highlight w:val="none"/>
        </w:rPr>
        <w:t>拥有本科及以上学历，具备5年以上工作经验</w:t>
      </w:r>
      <w:r>
        <w:rPr>
          <w:rFonts w:ascii="仿宋_GB2312" w:hAnsi="宋体" w:eastAsia="仿宋_GB2312"/>
          <w:color w:val="auto"/>
          <w:sz w:val="24"/>
          <w:szCs w:val="24"/>
          <w:highlight w:val="none"/>
        </w:rPr>
        <w:t>，擅长与用户进行沟通；项目技术专家1名，从事软件开发工作年限不少于5年；具有ORACLE OC</w:t>
      </w:r>
      <w:r>
        <w:rPr>
          <w:rFonts w:hint="eastAsia" w:ascii="仿宋_GB2312" w:hAnsi="宋体" w:eastAsia="仿宋_GB2312"/>
          <w:color w:val="auto"/>
          <w:sz w:val="24"/>
          <w:szCs w:val="24"/>
          <w:highlight w:val="none"/>
        </w:rPr>
        <w:t>P</w:t>
      </w:r>
      <w:r>
        <w:rPr>
          <w:rFonts w:ascii="仿宋_GB2312" w:hAnsi="宋体" w:eastAsia="仿宋_GB2312"/>
          <w:color w:val="auto"/>
          <w:sz w:val="24"/>
          <w:szCs w:val="24"/>
          <w:highlight w:val="none"/>
        </w:rPr>
        <w:t>资质的专业技术人员1</w:t>
      </w:r>
      <w:r>
        <w:rPr>
          <w:rFonts w:hint="eastAsia" w:ascii="仿宋_GB2312" w:hAnsi="宋体" w:eastAsia="仿宋_GB2312"/>
          <w:color w:val="auto"/>
          <w:sz w:val="24"/>
          <w:szCs w:val="24"/>
          <w:highlight w:val="none"/>
        </w:rPr>
        <w:t>名</w:t>
      </w:r>
      <w:r>
        <w:rPr>
          <w:rFonts w:ascii="仿宋_GB2312" w:hAnsi="宋体" w:eastAsia="仿宋_GB2312"/>
          <w:color w:val="auto"/>
          <w:sz w:val="24"/>
          <w:szCs w:val="24"/>
          <w:highlight w:val="none"/>
        </w:rPr>
        <w:t>；其余人员从事软件开发工作年限不少于1年；系统运维期间，中标人需提供到浙江省税务局的7×24本地化上门维护，随叫随到，运维团队人员不得少于</w:t>
      </w:r>
      <w:r>
        <w:rPr>
          <w:rFonts w:hint="eastAsia" w:ascii="仿宋_GB2312" w:hAnsi="宋体" w:eastAsia="仿宋_GB2312"/>
          <w:color w:val="auto"/>
          <w:sz w:val="24"/>
          <w:szCs w:val="24"/>
          <w:highlight w:val="none"/>
        </w:rPr>
        <w:t>2</w:t>
      </w:r>
      <w:r>
        <w:rPr>
          <w:rFonts w:ascii="仿宋_GB2312" w:hAnsi="宋体" w:eastAsia="仿宋_GB2312"/>
          <w:color w:val="auto"/>
          <w:sz w:val="24"/>
          <w:szCs w:val="24"/>
          <w:highlight w:val="none"/>
        </w:rPr>
        <w:t>人（食宿等费用由中标方自行解决）。在投标方案中需列明所有技术人员名单、毕业学校、专业、学历、毕业时间、薪水情况、从事软件开发工作年限、专业资质证书、专业经历等。</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3.合同</w:t>
      </w:r>
      <w:r>
        <w:rPr>
          <w:rFonts w:ascii="仿宋_GB2312" w:hAnsi="宋体" w:eastAsia="仿宋_GB2312"/>
          <w:color w:val="auto"/>
          <w:sz w:val="24"/>
          <w:szCs w:val="24"/>
          <w:highlight w:val="none"/>
        </w:rPr>
        <w:t>签订后次日，</w:t>
      </w:r>
      <w:r>
        <w:rPr>
          <w:rFonts w:hint="eastAsia" w:ascii="仿宋_GB2312" w:hAnsi="宋体" w:eastAsia="仿宋_GB2312"/>
          <w:color w:val="auto"/>
          <w:sz w:val="24"/>
          <w:szCs w:val="24"/>
          <w:highlight w:val="none"/>
        </w:rPr>
        <w:t>从事开发和运维工作的技术人员须在浙江省税务局指定地点工作，食宿自理。</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中标方开发和运维技术人员在项目开发期间应严格遵守有关浙江省税务局内部规章制度，服从浙江省税务局的管理，对开发过程中涉及浙江省税务局的任何资料严格保密，不得擅自查看、复制、传播所接触的任何源代码、用户资料、数据。中标方开发技术人员中止技术服务时，不得带走任何源代码和相关数据、资料。中标方在上岗前须与技术人员签订保密协议书，并交一份给浙江省税务局存留。</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5.中标方</w:t>
      </w:r>
      <w:r>
        <w:rPr>
          <w:rFonts w:ascii="仿宋_GB2312" w:hAnsi="宋体" w:eastAsia="仿宋_GB2312"/>
          <w:color w:val="auto"/>
          <w:sz w:val="24"/>
          <w:szCs w:val="24"/>
          <w:highlight w:val="none"/>
        </w:rPr>
        <w:t>需提供</w:t>
      </w:r>
      <w:r>
        <w:rPr>
          <w:rFonts w:hint="eastAsia" w:ascii="仿宋_GB2312" w:hAnsi="宋体" w:eastAsia="仿宋_GB2312"/>
          <w:color w:val="auto"/>
          <w:sz w:val="24"/>
          <w:szCs w:val="24"/>
          <w:highlight w:val="none"/>
        </w:rPr>
        <w:t>包括故障排除、性能调优、技术咨询等服务，并能自行处理、协调与各系统软件、硬件等供应商。</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6.中标方技术人员开发的软件中不得有安全后门、安全漏洞、逻辑炸弹等危害软件安全、影响软件正常运行的代码和设置，否则由此产生的一切责任和后果由中标方承担。</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7.中标方在项目建设期及运维期间按要求完成的软件版权归浙江省税务局所有，软件中不得以任何形式出现中标方信息。</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val="en-US" w:eastAsia="zh-CN"/>
        </w:rPr>
        <w:t>8.</w:t>
      </w:r>
      <w:r>
        <w:rPr>
          <w:rFonts w:hint="eastAsia" w:ascii="仿宋_GB2312" w:hAnsi="宋体" w:eastAsia="仿宋_GB2312"/>
          <w:color w:val="auto"/>
          <w:sz w:val="24"/>
          <w:szCs w:val="24"/>
          <w:highlight w:val="none"/>
        </w:rPr>
        <w:t>项目实施要求</w:t>
      </w:r>
      <w:r>
        <w:rPr>
          <w:rFonts w:hint="eastAsia" w:ascii="仿宋_GB2312" w:hAnsi="宋体" w:eastAsia="仿宋_GB2312"/>
          <w:color w:val="auto"/>
          <w:sz w:val="24"/>
          <w:szCs w:val="24"/>
          <w:highlight w:val="none"/>
          <w:lang w:eastAsia="zh-CN"/>
        </w:rPr>
        <w:t>：</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（1）供应商应成立项目管理组织，严格遵守国家税务总局业务管控、架构管控、项目管控的要求。</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（2）供应商应基于成熟的项目管理方法论，制订完善的项目管理制度、流程，合理划分项目管理的阶段，借助工程管理工具，在项目实施过程中对项目进行规范化管理，确保项目实施进度和实施质量。</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（3）供应商应提供项目管理方案，至少覆盖进度管理、范围管理、风险管理、需求管理、质量管理、资源管理、时间管理、沟通管理等。</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（4）供应商各阶段产出物采用特殊格式的，供应商需提供相应的打开、编译、运行、修改、打印等工具，并确保采购人无限制的使用；不受版权和知识产权限制，采购人不对工具额外付费。</w:t>
      </w:r>
    </w:p>
    <w:p>
      <w:pPr>
        <w:keepLines w:val="0"/>
        <w:pageBreakBefore w:val="0"/>
        <w:widowControl w:val="0"/>
        <w:kinsoku/>
        <w:wordWrap/>
        <w:overflowPunct/>
        <w:topLinePunct w:val="0"/>
        <w:autoSpaceDE/>
        <w:autoSpaceDN/>
        <w:bidi w:val="0"/>
        <w:adjustRightInd/>
        <w:spacing w:line="360" w:lineRule="auto"/>
        <w:ind w:left="0" w:firstLine="482" w:firstLineChars="200"/>
        <w:textAlignment w:val="auto"/>
        <w:outlineLvl w:val="1"/>
        <w:rPr>
          <w:rFonts w:ascii="仿宋" w:hAnsi="仿宋" w:eastAsia="仿宋"/>
          <w:b/>
          <w:color w:val="auto"/>
          <w:sz w:val="24"/>
          <w:szCs w:val="24"/>
          <w:highlight w:val="none"/>
        </w:rPr>
      </w:pPr>
      <w:r>
        <w:rPr>
          <w:rFonts w:hint="eastAsia" w:ascii="仿宋" w:hAnsi="仿宋" w:eastAsia="仿宋"/>
          <w:b/>
          <w:color w:val="auto"/>
          <w:sz w:val="24"/>
          <w:szCs w:val="24"/>
          <w:highlight w:val="none"/>
        </w:rPr>
        <w:t>（七）项目服务要求</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在合同执行期间，若发生浙江省税务局要求中标方解决的问题未解决、要求开发/运维的内容未按时完成开发/运维、未按要求提供程序源代码、中标方技术人员在浙江省税务局工作期间不遵从浙江省税务局管理制度（规定）、不能在约定的时间内保证浙江省税务局所要求的人员到位的服务不达标现象视为一次服务不合格。对上述发生的行为，若中标方在7日内未按浙江省税务局要求解决的，按再次发生处理。</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w:t>
      </w:r>
      <w:r>
        <w:rPr>
          <w:rFonts w:hint="eastAsia" w:ascii="仿宋_GB2312" w:hAnsi="宋体" w:eastAsia="仿宋_GB2312"/>
          <w:color w:val="auto"/>
          <w:sz w:val="24"/>
          <w:szCs w:val="24"/>
          <w:highlight w:val="none"/>
        </w:rPr>
        <w:t>.因中标方技术人员误操作造成重大事故、蓄意破坏信息系统设施、发布非法信息或造成泄密或者其它造成重大安全问题的事情，一经查证，则视作中标方严重违约，浙江省税务局有权终止合同，拒绝支付余下合同款，并追究其法律责任。</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3</w:t>
      </w:r>
      <w:r>
        <w:rPr>
          <w:rFonts w:hint="eastAsia" w:ascii="仿宋_GB2312" w:hAnsi="宋体" w:eastAsia="仿宋_GB2312"/>
          <w:color w:val="auto"/>
          <w:sz w:val="24"/>
          <w:szCs w:val="24"/>
          <w:highlight w:val="none"/>
        </w:rPr>
        <w:t>.项目的运维期为项目终验后</w:t>
      </w: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年。</w:t>
      </w:r>
      <w:r>
        <w:rPr>
          <w:rFonts w:ascii="仿宋_GB2312" w:hAnsi="宋体" w:eastAsia="仿宋_GB2312"/>
          <w:color w:val="auto"/>
          <w:sz w:val="24"/>
          <w:szCs w:val="24"/>
          <w:highlight w:val="none"/>
        </w:rPr>
        <w:t xml:space="preserve"> </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4</w:t>
      </w:r>
      <w:r>
        <w:rPr>
          <w:rFonts w:hint="eastAsia" w:ascii="仿宋_GB2312" w:hAnsi="宋体" w:eastAsia="仿宋_GB2312"/>
          <w:color w:val="auto"/>
          <w:sz w:val="24"/>
          <w:szCs w:val="24"/>
          <w:highlight w:val="none"/>
        </w:rPr>
        <w:t>.运维服务年度，专职工程师团队人员须经过浙江省税务局同意方可进行变动；一个运维服务年度超过总运维人员四分之一的，视为一次服务不合格;如超过总运维人员二分之一的，浙江省税务局有权终止合同，拒绝支付余下合同款，并追究其法律责任（浙江省税务局主动要求更换的人员不计算在内）。</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5</w:t>
      </w:r>
      <w:r>
        <w:rPr>
          <w:rFonts w:hint="eastAsia" w:ascii="仿宋_GB2312" w:hAnsi="宋体" w:eastAsia="仿宋_GB2312"/>
          <w:color w:val="auto"/>
          <w:sz w:val="24"/>
          <w:szCs w:val="24"/>
          <w:highlight w:val="none"/>
        </w:rPr>
        <w:t>.若因中标方怠于履行运维责任、对系统运维不到位、开发软件存在固有缺陷等原因，导致在故障申告后8小时内未使系统恢复正常，视为一次服务不合格，并继续作为新提出的故障申告处理，重新计算服务质量考核。</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6</w:t>
      </w:r>
      <w:r>
        <w:rPr>
          <w:rFonts w:hint="eastAsia" w:ascii="仿宋_GB2312" w:hAnsi="宋体" w:eastAsia="仿宋_GB2312"/>
          <w:color w:val="auto"/>
          <w:sz w:val="24"/>
          <w:szCs w:val="24"/>
          <w:highlight w:val="none"/>
        </w:rPr>
        <w:t>.若因中标方怠于履行运维责任、对系统运维不到位等原因导致浙江省税务局造成损失的，由中标方进行相应赔偿，同时视为该年度</w:t>
      </w:r>
      <w:r>
        <w:rPr>
          <w:rFonts w:ascii="仿宋_GB2312" w:hAnsi="宋体" w:eastAsia="仿宋_GB2312"/>
          <w:color w:val="auto"/>
          <w:sz w:val="24"/>
          <w:szCs w:val="24"/>
          <w:highlight w:val="none"/>
        </w:rPr>
        <w:t>3</w:t>
      </w:r>
      <w:r>
        <w:rPr>
          <w:rFonts w:hint="eastAsia" w:ascii="仿宋_GB2312" w:hAnsi="宋体" w:eastAsia="仿宋_GB2312"/>
          <w:color w:val="auto"/>
          <w:sz w:val="24"/>
          <w:szCs w:val="24"/>
          <w:highlight w:val="none"/>
        </w:rPr>
        <w:t>次服务不合格。</w:t>
      </w:r>
    </w:p>
    <w:p>
      <w:pPr>
        <w:keepLines w:val="0"/>
        <w:pageBreakBefore w:val="0"/>
        <w:widowControl w:val="0"/>
        <w:kinsoku/>
        <w:wordWrap/>
        <w:overflowPunct/>
        <w:topLinePunct w:val="0"/>
        <w:autoSpaceDE/>
        <w:autoSpaceDN/>
        <w:bidi w:val="0"/>
        <w:adjustRightInd/>
        <w:snapToGrid w:val="0"/>
        <w:spacing w:line="360" w:lineRule="auto"/>
        <w:ind w:left="0" w:firstLine="640"/>
        <w:jc w:val="both"/>
        <w:textAlignment w:val="auto"/>
        <w:rPr>
          <w:rFonts w:ascii="仿宋_GB2312" w:eastAsia="仿宋_GB2312"/>
          <w:color w:val="auto"/>
          <w:sz w:val="24"/>
          <w:szCs w:val="24"/>
          <w:highlight w:val="none"/>
        </w:rPr>
      </w:pPr>
      <w:r>
        <w:rPr>
          <w:rFonts w:ascii="仿宋_GB2312" w:eastAsia="仿宋_GB2312"/>
          <w:color w:val="auto"/>
          <w:sz w:val="24"/>
          <w:szCs w:val="24"/>
          <w:highlight w:val="none"/>
        </w:rPr>
        <w:t>7</w:t>
      </w:r>
      <w:r>
        <w:rPr>
          <w:rFonts w:hint="eastAsia" w:ascii="仿宋_GB2312" w:eastAsia="仿宋_GB2312"/>
          <w:color w:val="auto"/>
          <w:sz w:val="24"/>
          <w:szCs w:val="24"/>
          <w:highlight w:val="none"/>
        </w:rPr>
        <w:t>.一次服务不合格，扣0.5万元人民币，所有扣款在每次货款支付时由浙江省税务局在当次支付金额中按次扣除，扣完为止。</w:t>
      </w:r>
    </w:p>
    <w:p>
      <w:pPr>
        <w:keepLines w:val="0"/>
        <w:pageBreakBefore w:val="0"/>
        <w:widowControl w:val="0"/>
        <w:kinsoku/>
        <w:wordWrap/>
        <w:overflowPunct/>
        <w:topLinePunct w:val="0"/>
        <w:autoSpaceDE/>
        <w:autoSpaceDN/>
        <w:bidi w:val="0"/>
        <w:adjustRightInd/>
        <w:snapToGrid w:val="0"/>
        <w:spacing w:line="360" w:lineRule="auto"/>
        <w:ind w:left="0" w:firstLine="645"/>
        <w:jc w:val="both"/>
        <w:textAlignment w:val="auto"/>
        <w:rPr>
          <w:rFonts w:hint="eastAsia" w:ascii="仿宋_GB2312" w:eastAsia="仿宋_GB2312"/>
          <w:color w:val="auto"/>
          <w:sz w:val="24"/>
          <w:szCs w:val="24"/>
          <w:highlight w:val="none"/>
        </w:rPr>
      </w:pPr>
      <w:r>
        <w:rPr>
          <w:rFonts w:ascii="仿宋_GB2312" w:eastAsia="仿宋_GB2312"/>
          <w:color w:val="auto"/>
          <w:sz w:val="24"/>
          <w:szCs w:val="24"/>
          <w:highlight w:val="none"/>
        </w:rPr>
        <w:t>8.</w:t>
      </w:r>
      <w:r>
        <w:rPr>
          <w:rFonts w:hint="eastAsia" w:ascii="仿宋_GB2312" w:eastAsia="仿宋_GB2312"/>
          <w:color w:val="auto"/>
          <w:sz w:val="24"/>
          <w:szCs w:val="24"/>
          <w:highlight w:val="none"/>
        </w:rPr>
        <w:t>一个服务年度累计达到3次服务不合格，浙江省税务局有权终止合同，拒绝支付余下合同款，并追究其法律责任。</w:t>
      </w:r>
    </w:p>
    <w:p>
      <w:pPr>
        <w:keepLines w:val="0"/>
        <w:pageBreakBefore w:val="0"/>
        <w:widowControl w:val="0"/>
        <w:kinsoku/>
        <w:wordWrap/>
        <w:overflowPunct/>
        <w:topLinePunct w:val="0"/>
        <w:autoSpaceDE/>
        <w:autoSpaceDN/>
        <w:bidi w:val="0"/>
        <w:adjustRightInd/>
        <w:snapToGrid w:val="0"/>
        <w:spacing w:line="360" w:lineRule="auto"/>
        <w:ind w:left="0" w:firstLine="645"/>
        <w:jc w:val="both"/>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9.本项目中的设计方案、系统源代码、技术文档以及与本项目建设有关的科技成果等的知识产权归采购人所有。</w:t>
      </w:r>
    </w:p>
    <w:p>
      <w:pPr>
        <w:keepLines w:val="0"/>
        <w:pageBreakBefore w:val="0"/>
        <w:widowControl w:val="0"/>
        <w:kinsoku/>
        <w:wordWrap/>
        <w:overflowPunct/>
        <w:topLinePunct w:val="0"/>
        <w:autoSpaceDE/>
        <w:autoSpaceDN/>
        <w:bidi w:val="0"/>
        <w:adjustRightInd/>
        <w:spacing w:line="360" w:lineRule="auto"/>
        <w:ind w:left="0" w:firstLine="482" w:firstLineChars="200"/>
        <w:textAlignment w:val="auto"/>
        <w:outlineLvl w:val="1"/>
        <w:rPr>
          <w:rFonts w:ascii="仿宋" w:hAnsi="仿宋" w:eastAsia="仿宋"/>
          <w:b/>
          <w:color w:val="auto"/>
          <w:sz w:val="24"/>
          <w:szCs w:val="24"/>
          <w:highlight w:val="none"/>
        </w:rPr>
      </w:pPr>
      <w:r>
        <w:rPr>
          <w:rFonts w:hint="eastAsia" w:ascii="仿宋" w:hAnsi="仿宋" w:eastAsia="仿宋"/>
          <w:b/>
          <w:color w:val="auto"/>
          <w:sz w:val="24"/>
          <w:szCs w:val="24"/>
          <w:highlight w:val="none"/>
        </w:rPr>
        <w:t>（八）项目验收标准</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en-US" w:eastAsia="zh-CN"/>
        </w:rPr>
        <w:t>1.</w:t>
      </w:r>
      <w:r>
        <w:rPr>
          <w:rFonts w:hint="eastAsia" w:ascii="仿宋_GB2312" w:hAnsi="宋体" w:eastAsia="仿宋_GB2312"/>
          <w:color w:val="auto"/>
          <w:sz w:val="24"/>
          <w:szCs w:val="24"/>
          <w:highlight w:val="none"/>
        </w:rPr>
        <w:t>中标人在合同规定工作完成后向用户提出验收申请，用户审核是否满足项目验收准入条件。满足验收准入条件后，启动项目验收程序。项目执行中，用户将根据单项需求实现情况进行考核，并将单项需求考核结果汇总作为项目验收的重要依据。</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en-US" w:eastAsia="zh-CN"/>
        </w:rPr>
        <w:t>2.</w:t>
      </w:r>
      <w:r>
        <w:rPr>
          <w:rFonts w:hint="eastAsia" w:ascii="仿宋_GB2312" w:hAnsi="宋体" w:eastAsia="仿宋_GB2312"/>
          <w:color w:val="auto"/>
          <w:sz w:val="24"/>
          <w:szCs w:val="24"/>
          <w:highlight w:val="none"/>
        </w:rPr>
        <w:t>用户以上述“</w:t>
      </w:r>
      <w:r>
        <w:rPr>
          <w:rFonts w:hint="eastAsia" w:ascii="仿宋_GB2312" w:hAnsi="宋体" w:eastAsia="仿宋_GB2312"/>
          <w:color w:val="auto"/>
          <w:sz w:val="24"/>
          <w:szCs w:val="24"/>
          <w:highlight w:val="none"/>
          <w:lang w:eastAsia="zh-CN"/>
        </w:rPr>
        <w:t>主要功能要求</w:t>
      </w:r>
      <w:r>
        <w:rPr>
          <w:rFonts w:hint="eastAsia" w:ascii="仿宋_GB2312" w:hAnsi="宋体" w:eastAsia="仿宋_GB2312"/>
          <w:color w:val="auto"/>
          <w:sz w:val="24"/>
          <w:szCs w:val="24"/>
          <w:highlight w:val="none"/>
        </w:rPr>
        <w:t>”所要求的全部功能需求内容为依据，作为项目功能验收标准。</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en-US" w:eastAsia="zh-CN"/>
        </w:rPr>
        <w:t>3.</w:t>
      </w:r>
      <w:r>
        <w:rPr>
          <w:rFonts w:hint="eastAsia" w:ascii="仿宋_GB2312" w:hAnsi="宋体" w:eastAsia="仿宋_GB2312"/>
          <w:color w:val="auto"/>
          <w:sz w:val="24"/>
          <w:szCs w:val="24"/>
          <w:highlight w:val="none"/>
        </w:rPr>
        <w:t>符合验收条件后，中标人可提出项目验收申请，验收内容应包含“</w:t>
      </w:r>
      <w:r>
        <w:rPr>
          <w:rFonts w:hint="eastAsia" w:ascii="仿宋_GB2312" w:hAnsi="宋体" w:eastAsia="仿宋_GB2312"/>
          <w:color w:val="auto"/>
          <w:sz w:val="24"/>
          <w:szCs w:val="24"/>
          <w:highlight w:val="none"/>
          <w:lang w:eastAsia="zh-CN"/>
        </w:rPr>
        <w:t>自然人税收服务辅助管理平台升级</w:t>
      </w:r>
      <w:r>
        <w:rPr>
          <w:rFonts w:hint="eastAsia" w:ascii="仿宋_GB2312" w:hAnsi="宋体" w:eastAsia="仿宋_GB2312"/>
          <w:color w:val="auto"/>
          <w:sz w:val="24"/>
          <w:szCs w:val="24"/>
          <w:highlight w:val="none"/>
        </w:rPr>
        <w:t>”的全部功能、相关技术资料、输出数据报表准确性等，以及是否能够满足本项目用户实际工作需求等。投标人在方案中也需明确，并作为评分依据。</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en-US" w:eastAsia="zh-CN"/>
        </w:rPr>
        <w:t>4.</w:t>
      </w:r>
      <w:r>
        <w:rPr>
          <w:rFonts w:hint="eastAsia" w:ascii="仿宋_GB2312" w:hAnsi="宋体" w:eastAsia="仿宋_GB2312"/>
          <w:color w:val="auto"/>
          <w:sz w:val="24"/>
          <w:szCs w:val="24"/>
          <w:highlight w:val="none"/>
        </w:rPr>
        <w:t>中标人应配合完成项目的验收工作，提交项目验收相关产出物，经项目单位确认后进行项目验收。</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en-US" w:eastAsia="zh-CN"/>
        </w:rPr>
        <w:t>5.</w:t>
      </w:r>
      <w:r>
        <w:rPr>
          <w:rFonts w:hint="eastAsia" w:ascii="仿宋_GB2312" w:hAnsi="宋体" w:eastAsia="仿宋_GB2312"/>
          <w:color w:val="auto"/>
          <w:sz w:val="24"/>
          <w:szCs w:val="24"/>
          <w:highlight w:val="none"/>
        </w:rPr>
        <w:t>中标人提供的各类文档应内容完整、描述清晰、版本最新，各类方案要求实现目标明确、工作措施得力、可操作性强、具有前瞻性。产出物应提供电子和纸质两种介质，并保持版本一致。</w:t>
      </w:r>
    </w:p>
    <w:p>
      <w:pPr>
        <w:keepLines w:val="0"/>
        <w:pageBreakBefore w:val="0"/>
        <w:widowControl w:val="0"/>
        <w:kinsoku/>
        <w:wordWrap/>
        <w:overflowPunct/>
        <w:topLinePunct w:val="0"/>
        <w:autoSpaceDE/>
        <w:autoSpaceDN/>
        <w:bidi w:val="0"/>
        <w:adjustRightInd/>
        <w:spacing w:line="360" w:lineRule="auto"/>
        <w:ind w:left="0" w:firstLine="360" w:firstLineChars="150"/>
        <w:textAlignment w:val="auto"/>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en-US" w:eastAsia="zh-CN"/>
        </w:rPr>
        <w:t>6.</w:t>
      </w:r>
      <w:r>
        <w:rPr>
          <w:rFonts w:hint="eastAsia" w:ascii="仿宋_GB2312" w:hAnsi="宋体" w:eastAsia="仿宋_GB2312"/>
          <w:color w:val="auto"/>
          <w:sz w:val="24"/>
          <w:szCs w:val="24"/>
          <w:highlight w:val="none"/>
        </w:rPr>
        <w:t>对验收中发现的问题，中标人应提出有效解决办法和措施，经招标人确认后实施。</w:t>
      </w:r>
    </w:p>
    <w:p>
      <w:pPr>
        <w:pStyle w:val="4"/>
        <w:keepLines w:val="0"/>
        <w:pageBreakBefore w:val="0"/>
        <w:widowControl w:val="0"/>
        <w:kinsoku/>
        <w:wordWrap/>
        <w:overflowPunct/>
        <w:topLinePunct w:val="0"/>
        <w:autoSpaceDE/>
        <w:autoSpaceDN/>
        <w:bidi w:val="0"/>
        <w:adjustRightInd/>
        <w:spacing w:line="360" w:lineRule="auto"/>
        <w:ind w:left="0" w:firstLine="482" w:firstLineChars="200"/>
        <w:textAlignment w:val="auto"/>
        <w:rPr>
          <w:rFonts w:ascii="宋体" w:hAnsi="宋体"/>
          <w:i w:val="0"/>
          <w:color w:val="auto"/>
          <w:sz w:val="24"/>
          <w:szCs w:val="24"/>
          <w:highlight w:val="none"/>
        </w:rPr>
      </w:pPr>
      <w:r>
        <w:rPr>
          <w:rFonts w:hint="eastAsia" w:ascii="宋体" w:hAnsi="宋体"/>
          <w:i w:val="0"/>
          <w:color w:val="auto"/>
          <w:sz w:val="24"/>
          <w:szCs w:val="24"/>
          <w:highlight w:val="none"/>
        </w:rPr>
        <w:t>（九）其他要求</w:t>
      </w:r>
    </w:p>
    <w:p>
      <w:pPr>
        <w:keepLines w:val="0"/>
        <w:pageBreakBefore w:val="0"/>
        <w:widowControl w:val="0"/>
        <w:kinsoku/>
        <w:wordWrap/>
        <w:overflowPunct/>
        <w:topLinePunct w:val="0"/>
        <w:autoSpaceDE/>
        <w:autoSpaceDN/>
        <w:bidi w:val="0"/>
        <w:adjustRightInd/>
        <w:snapToGrid w:val="0"/>
        <w:spacing w:line="360" w:lineRule="auto"/>
        <w:ind w:left="0" w:firstLine="645"/>
        <w:jc w:val="both"/>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1.根据业务需要定义和设计所需要的安全功能和安全能力，充分考虑防护措施，开展应用安全评估工作，全方位检查和检验应用的安全性，确保系统开发的规范性、安全性。从系统的建设内容、技术架构、开发设计、运维保障、技术服务管理等方面进行安全保障。</w:t>
      </w:r>
    </w:p>
    <w:p>
      <w:pPr>
        <w:keepLines w:val="0"/>
        <w:pageBreakBefore w:val="0"/>
        <w:widowControl w:val="0"/>
        <w:kinsoku/>
        <w:wordWrap/>
        <w:overflowPunct/>
        <w:topLinePunct w:val="0"/>
        <w:autoSpaceDE/>
        <w:autoSpaceDN/>
        <w:bidi w:val="0"/>
        <w:adjustRightInd/>
        <w:snapToGrid w:val="0"/>
        <w:spacing w:line="360" w:lineRule="auto"/>
        <w:ind w:left="0" w:firstLine="645"/>
        <w:jc w:val="both"/>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2.系统在需求设计、开发、测试、上线等阶段，要按照《税务应用系统网络安全审核指南（试行）》要求同步落实安全技术措施各项工作，主要从物理安全、访问控制和权限管理、边界安全、服务期安全、数据安全、域名安全、攻击防范、安全监控与应急响应等方面进行系统综合性的安全控制。</w:t>
      </w:r>
    </w:p>
    <w:p>
      <w:pPr>
        <w:keepLines w:val="0"/>
        <w:pageBreakBefore w:val="0"/>
        <w:widowControl w:val="0"/>
        <w:kinsoku/>
        <w:wordWrap/>
        <w:overflowPunct/>
        <w:topLinePunct w:val="0"/>
        <w:autoSpaceDE/>
        <w:autoSpaceDN/>
        <w:bidi w:val="0"/>
        <w:adjustRightInd/>
        <w:snapToGrid w:val="0"/>
        <w:spacing w:line="360" w:lineRule="auto"/>
        <w:ind w:left="0" w:firstLine="645"/>
        <w:jc w:val="both"/>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3.项目应符合国家信息系统安全等级三级相关要求，系统全生命周期满足《网络安全法》和《税务应用系统网络安全审核指南》等税务系统相关网络安全管理要求。投标文件中需提供详细的安全解决方案。</w:t>
      </w:r>
    </w:p>
    <w:p>
      <w:pPr>
        <w:keepLines w:val="0"/>
        <w:pageBreakBefore w:val="0"/>
        <w:widowControl w:val="0"/>
        <w:kinsoku/>
        <w:wordWrap/>
        <w:overflowPunct/>
        <w:topLinePunct w:val="0"/>
        <w:autoSpaceDE/>
        <w:autoSpaceDN/>
        <w:bidi w:val="0"/>
        <w:adjustRightInd/>
        <w:snapToGrid w:val="0"/>
        <w:spacing w:line="360" w:lineRule="auto"/>
        <w:ind w:left="0" w:firstLine="645"/>
        <w:jc w:val="both"/>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(1)开发人员使用的具有大数据访问权限的用户账户做好安全管理，做到专人使用，只能用于开发、测试，不得擅自外借或泄露密码。</w:t>
      </w:r>
    </w:p>
    <w:p>
      <w:pPr>
        <w:keepLines w:val="0"/>
        <w:pageBreakBefore w:val="0"/>
        <w:widowControl w:val="0"/>
        <w:kinsoku/>
        <w:wordWrap/>
        <w:overflowPunct/>
        <w:topLinePunct w:val="0"/>
        <w:autoSpaceDE/>
        <w:autoSpaceDN/>
        <w:bidi w:val="0"/>
        <w:adjustRightInd/>
        <w:snapToGrid w:val="0"/>
        <w:spacing w:line="360" w:lineRule="auto"/>
        <w:ind w:left="0" w:firstLine="645"/>
        <w:jc w:val="both"/>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(2)开发过程中，应使用大数据支撑平台提供的操作系统、数据库和应用软件，非必须不加装。如确需加装的其他软件、组件、插件的，应购买安全的产品并通过局方信管部门的安全评估，按照最少化原则进行安装，不得安装多余服务。</w:t>
      </w:r>
    </w:p>
    <w:p>
      <w:pPr>
        <w:keepLines w:val="0"/>
        <w:pageBreakBefore w:val="0"/>
        <w:widowControl w:val="0"/>
        <w:kinsoku/>
        <w:wordWrap/>
        <w:overflowPunct/>
        <w:topLinePunct w:val="0"/>
        <w:autoSpaceDE/>
        <w:autoSpaceDN/>
        <w:bidi w:val="0"/>
        <w:adjustRightInd/>
        <w:snapToGrid w:val="0"/>
        <w:spacing w:line="360" w:lineRule="auto"/>
        <w:ind w:left="0" w:firstLine="645"/>
        <w:jc w:val="both"/>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(3)日志记录的类型、内容和时限符合网络安全法和总局日志指引要求。</w:t>
      </w:r>
    </w:p>
    <w:p>
      <w:pPr>
        <w:keepLines w:val="0"/>
        <w:pageBreakBefore w:val="0"/>
        <w:widowControl w:val="0"/>
        <w:kinsoku/>
        <w:wordWrap/>
        <w:overflowPunct/>
        <w:topLinePunct w:val="0"/>
        <w:autoSpaceDE/>
        <w:autoSpaceDN/>
        <w:bidi w:val="0"/>
        <w:adjustRightInd/>
        <w:snapToGrid w:val="0"/>
        <w:spacing w:line="360" w:lineRule="auto"/>
        <w:ind w:left="0" w:firstLine="645"/>
        <w:jc w:val="both"/>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(4)开发测试环境与生产环境应安全隔离，测试数据应进行脱敏处理，使用完毕后销毁。</w:t>
      </w:r>
    </w:p>
    <w:p>
      <w:pPr>
        <w:keepLines w:val="0"/>
        <w:pageBreakBefore w:val="0"/>
        <w:widowControl w:val="0"/>
        <w:kinsoku/>
        <w:wordWrap/>
        <w:overflowPunct/>
        <w:topLinePunct w:val="0"/>
        <w:autoSpaceDE/>
        <w:autoSpaceDN/>
        <w:bidi w:val="0"/>
        <w:adjustRightInd/>
        <w:snapToGrid w:val="0"/>
        <w:spacing w:line="360" w:lineRule="auto"/>
        <w:ind w:left="0" w:firstLine="645"/>
        <w:jc w:val="both"/>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(5)软件开发使用的开源组件应经过安全评估。应用系统开发完成后，应开展软件代码自查。</w:t>
      </w:r>
    </w:p>
    <w:p>
      <w:pPr>
        <w:keepLines w:val="0"/>
        <w:pageBreakBefore w:val="0"/>
        <w:widowControl w:val="0"/>
        <w:kinsoku/>
        <w:wordWrap/>
        <w:overflowPunct/>
        <w:topLinePunct w:val="0"/>
        <w:autoSpaceDE/>
        <w:autoSpaceDN/>
        <w:bidi w:val="0"/>
        <w:adjustRightInd/>
        <w:snapToGrid w:val="0"/>
        <w:spacing w:line="360" w:lineRule="auto"/>
        <w:ind w:left="0" w:firstLine="645"/>
        <w:jc w:val="both"/>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(6)提供软件源代码（软件源代码版权归采购人所有），协助采购方开展软件源代码审计、安全功能检查、等级保护测评、风险评估、安全基线检查、漏洞扫描和渗透测试等安全评测，对发现的安全问题开展彻底整改，没有可以利用的安全隐患后方可上线使用和验收。</w:t>
      </w:r>
    </w:p>
    <w:p>
      <w:pPr>
        <w:keepLines w:val="0"/>
        <w:pageBreakBefore w:val="0"/>
        <w:widowControl w:val="0"/>
        <w:kinsoku/>
        <w:wordWrap/>
        <w:overflowPunct/>
        <w:topLinePunct w:val="0"/>
        <w:autoSpaceDE/>
        <w:autoSpaceDN/>
        <w:bidi w:val="0"/>
        <w:adjustRightInd/>
        <w:snapToGrid w:val="0"/>
        <w:spacing w:line="360" w:lineRule="auto"/>
        <w:ind w:left="0" w:firstLine="645"/>
        <w:jc w:val="both"/>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(7)中标方和全部开发人员需签订网络安全协议和网络安全承诺书。</w:t>
      </w:r>
    </w:p>
    <w:p>
      <w:pPr>
        <w:pStyle w:val="3"/>
        <w:keepLines w:val="0"/>
        <w:pageBreakBefore w:val="0"/>
        <w:kinsoku/>
        <w:wordWrap/>
        <w:overflowPunct/>
        <w:topLinePunct w:val="0"/>
        <w:autoSpaceDE/>
        <w:autoSpaceDN/>
        <w:bidi w:val="0"/>
        <w:adjustRightInd/>
        <w:spacing w:line="560" w:lineRule="exact"/>
        <w:textAlignment w:val="auto"/>
        <w:rPr>
          <w:rFonts w:hint="eastAsia" w:ascii="宋体" w:hAnsi="宋体" w:eastAsia="仿宋_GB2312" w:cs="Times New Roman"/>
          <w:b/>
          <w:bCs/>
          <w:i w:val="0"/>
          <w:color w:val="auto"/>
          <w:kern w:val="2"/>
          <w:sz w:val="24"/>
          <w:szCs w:val="24"/>
          <w:highlight w:val="none"/>
          <w:lang w:val="zh-CN" w:eastAsia="zh-CN" w:bidi="ar-SA"/>
        </w:rPr>
      </w:pPr>
      <w:r>
        <w:rPr>
          <w:rFonts w:hint="eastAsia" w:ascii="宋体" w:hAnsi="宋体" w:eastAsia="仿宋_GB2312" w:cs="Times New Roman"/>
          <w:b/>
          <w:bCs/>
          <w:i w:val="0"/>
          <w:color w:val="auto"/>
          <w:kern w:val="2"/>
          <w:sz w:val="24"/>
          <w:szCs w:val="24"/>
          <w:highlight w:val="none"/>
          <w:lang w:val="zh-CN" w:eastAsia="zh-CN" w:bidi="ar-SA"/>
        </w:rPr>
        <w:t>（</w:t>
      </w:r>
      <w:r>
        <w:rPr>
          <w:rFonts w:hint="eastAsia" w:ascii="宋体" w:hAnsi="宋体" w:eastAsia="仿宋_GB2312" w:cs="Times New Roman"/>
          <w:b/>
          <w:bCs/>
          <w:i w:val="0"/>
          <w:color w:val="auto"/>
          <w:kern w:val="2"/>
          <w:sz w:val="24"/>
          <w:szCs w:val="24"/>
          <w:highlight w:val="none"/>
          <w:lang w:val="en-US" w:eastAsia="zh-CN" w:bidi="ar-SA"/>
        </w:rPr>
        <w:t>十</w:t>
      </w:r>
      <w:r>
        <w:rPr>
          <w:rFonts w:hint="eastAsia" w:ascii="宋体" w:hAnsi="宋体" w:eastAsia="仿宋_GB2312" w:cs="Times New Roman"/>
          <w:b/>
          <w:bCs/>
          <w:i w:val="0"/>
          <w:color w:val="auto"/>
          <w:kern w:val="2"/>
          <w:sz w:val="24"/>
          <w:szCs w:val="24"/>
          <w:highlight w:val="none"/>
          <w:lang w:val="zh-CN" w:eastAsia="zh-CN" w:bidi="ar-SA"/>
        </w:rPr>
        <w:t>）商务要求表</w:t>
      </w:r>
    </w:p>
    <w:tbl>
      <w:tblPr>
        <w:tblStyle w:val="51"/>
        <w:tblW w:w="9360" w:type="dxa"/>
        <w:jc w:val="center"/>
        <w:tblLayout w:type="fixed"/>
        <w:tblCellMar>
          <w:top w:w="0" w:type="dxa"/>
          <w:left w:w="0" w:type="dxa"/>
          <w:bottom w:w="0" w:type="dxa"/>
          <w:right w:w="0" w:type="dxa"/>
        </w:tblCellMar>
      </w:tblPr>
      <w:tblGrid>
        <w:gridCol w:w="927"/>
        <w:gridCol w:w="1564"/>
        <w:gridCol w:w="6869"/>
      </w:tblGrid>
      <w:tr>
        <w:tblPrEx>
          <w:tblCellMar>
            <w:top w:w="0" w:type="dxa"/>
            <w:left w:w="0" w:type="dxa"/>
            <w:bottom w:w="0" w:type="dxa"/>
            <w:right w:w="0" w:type="dxa"/>
          </w:tblCellMar>
        </w:tblPrEx>
        <w:trPr>
          <w:trHeight w:val="902" w:hRule="atLeast"/>
          <w:jc w:val="center"/>
        </w:trPr>
        <w:tc>
          <w:tcPr>
            <w:tcW w:w="249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b/>
                <w:color w:val="auto"/>
                <w:sz w:val="24"/>
                <w:szCs w:val="24"/>
                <w:highlight w:val="none"/>
              </w:rPr>
            </w:pPr>
            <w:r>
              <w:rPr>
                <w:rFonts w:hint="eastAsia" w:ascii="东文宋体" w:hAnsi="东文宋体" w:eastAsia="东文宋体" w:cs="东文宋体"/>
                <w:b/>
                <w:color w:val="auto"/>
                <w:sz w:val="24"/>
                <w:szCs w:val="24"/>
                <w:highlight w:val="none"/>
              </w:rPr>
              <w:t>▲</w:t>
            </w:r>
            <w:r>
              <w:rPr>
                <w:rFonts w:ascii="仿宋_GB2312" w:hAnsi="仿宋" w:eastAsia="仿宋_GB2312"/>
                <w:b/>
                <w:color w:val="auto"/>
                <w:sz w:val="24"/>
                <w:szCs w:val="24"/>
                <w:highlight w:val="none"/>
              </w:rPr>
              <w:t>服务时间（项目工期）及地点</w:t>
            </w:r>
          </w:p>
        </w:tc>
        <w:tc>
          <w:tcPr>
            <w:tcW w:w="6869" w:type="dxa"/>
            <w:tcBorders>
              <w:top w:val="single" w:color="000000" w:sz="4" w:space="0"/>
              <w:bottom w:val="single" w:color="000000" w:sz="4" w:space="0"/>
              <w:right w:val="single" w:color="000000" w:sz="4" w:space="0"/>
            </w:tcBorders>
            <w:tcMar>
              <w:top w:w="0" w:type="dxa"/>
              <w:left w:w="108" w:type="dxa"/>
              <w:bottom w:w="0" w:type="dxa"/>
              <w:right w:w="108" w:type="dxa"/>
            </w:tcMar>
          </w:tcPr>
          <w:p>
            <w:pPr>
              <w:pStyle w:val="18"/>
              <w:keepLines w:val="0"/>
              <w:pageBreakBefore w:val="0"/>
              <w:kinsoku/>
              <w:wordWrap/>
              <w:overflowPunct/>
              <w:topLinePunct w:val="0"/>
              <w:autoSpaceDE/>
              <w:autoSpaceDN/>
              <w:bidi w:val="0"/>
              <w:adjustRightInd/>
              <w:spacing w:line="560" w:lineRule="exact"/>
              <w:jc w:val="both"/>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（一）服务时间：项目服务期分建设期和运维期，项目建设期为自合同签订之日起</w:t>
            </w:r>
            <w:r>
              <w:rPr>
                <w:rFonts w:hint="eastAsia" w:ascii="仿宋_GB2312" w:hAnsi="仿宋_GB2312" w:eastAsia="仿宋_GB2312" w:cs="仿宋_GB2312"/>
                <w:color w:val="auto"/>
                <w:sz w:val="24"/>
                <w:szCs w:val="24"/>
                <w:highlight w:val="none"/>
              </w:rPr>
              <w:t>6</w:t>
            </w:r>
            <w:r>
              <w:rPr>
                <w:rFonts w:ascii="仿宋_GB2312" w:hAnsi="仿宋_GB2312" w:eastAsia="仿宋_GB2312" w:cs="仿宋_GB2312"/>
                <w:color w:val="auto"/>
                <w:sz w:val="24"/>
                <w:szCs w:val="24"/>
                <w:highlight w:val="none"/>
              </w:rPr>
              <w:t>0日内，</w:t>
            </w:r>
            <w:r>
              <w:rPr>
                <w:rFonts w:hint="eastAsia" w:ascii="仿宋_GB2312" w:hAnsi="仿宋_GB2312" w:eastAsia="仿宋_GB2312" w:cs="仿宋_GB2312"/>
                <w:color w:val="auto"/>
                <w:sz w:val="24"/>
                <w:szCs w:val="24"/>
                <w:highlight w:val="none"/>
              </w:rPr>
              <w:t>项目的运维期为项目终验后1年。</w:t>
            </w:r>
            <w:r>
              <w:rPr>
                <w:rFonts w:ascii="仿宋_GB2312" w:hAnsi="仿宋_GB2312" w:eastAsia="仿宋_GB2312" w:cs="仿宋_GB2312"/>
                <w:color w:val="auto"/>
                <w:sz w:val="24"/>
                <w:szCs w:val="24"/>
                <w:highlight w:val="none"/>
              </w:rPr>
              <w:t xml:space="preserve"> </w:t>
            </w:r>
          </w:p>
          <w:p>
            <w:pPr>
              <w:pStyle w:val="18"/>
              <w:keepLines w:val="0"/>
              <w:pageBreakBefore w:val="0"/>
              <w:kinsoku/>
              <w:wordWrap/>
              <w:overflowPunct/>
              <w:topLinePunct w:val="0"/>
              <w:autoSpaceDE/>
              <w:autoSpaceDN/>
              <w:bidi w:val="0"/>
              <w:adjustRightInd/>
              <w:spacing w:line="560" w:lineRule="exact"/>
              <w:jc w:val="both"/>
              <w:textAlignment w:val="auto"/>
              <w:rPr>
                <w:rFonts w:ascii="仿宋_GB2312" w:hAnsi="仿宋" w:eastAsia="仿宋_GB2312"/>
                <w:color w:val="auto"/>
                <w:sz w:val="24"/>
                <w:szCs w:val="24"/>
                <w:highlight w:val="none"/>
              </w:rPr>
            </w:pPr>
            <w:r>
              <w:rPr>
                <w:rFonts w:ascii="仿宋_GB2312" w:hAnsi="仿宋_GB2312" w:eastAsia="仿宋_GB2312" w:cs="仿宋_GB2312"/>
                <w:color w:val="auto"/>
                <w:sz w:val="24"/>
                <w:szCs w:val="24"/>
                <w:highlight w:val="none"/>
              </w:rPr>
              <w:t xml:space="preserve">（二）地点：项目实施及服务运维地点由省税务局指定。 </w:t>
            </w:r>
          </w:p>
        </w:tc>
      </w:tr>
      <w:tr>
        <w:tblPrEx>
          <w:tblCellMar>
            <w:top w:w="0" w:type="dxa"/>
            <w:left w:w="0" w:type="dxa"/>
            <w:bottom w:w="0" w:type="dxa"/>
            <w:right w:w="0" w:type="dxa"/>
          </w:tblCellMar>
        </w:tblPrEx>
        <w:trPr>
          <w:trHeight w:val="902" w:hRule="atLeast"/>
          <w:jc w:val="center"/>
        </w:trPr>
        <w:tc>
          <w:tcPr>
            <w:tcW w:w="249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b/>
                <w:color w:val="auto"/>
                <w:sz w:val="24"/>
                <w:szCs w:val="24"/>
                <w:highlight w:val="none"/>
              </w:rPr>
            </w:pPr>
            <w:r>
              <w:rPr>
                <w:rFonts w:hint="eastAsia" w:ascii="东文宋体" w:hAnsi="东文宋体" w:eastAsia="东文宋体" w:cs="东文宋体"/>
                <w:b/>
                <w:color w:val="auto"/>
                <w:sz w:val="24"/>
                <w:szCs w:val="24"/>
                <w:highlight w:val="none"/>
              </w:rPr>
              <w:t>▲</w:t>
            </w:r>
            <w:r>
              <w:rPr>
                <w:rFonts w:ascii="仿宋_GB2312" w:hAnsi="仿宋" w:eastAsia="仿宋_GB2312"/>
                <w:b/>
                <w:color w:val="auto"/>
                <w:sz w:val="24"/>
                <w:szCs w:val="24"/>
                <w:highlight w:val="none"/>
              </w:rPr>
              <w:t>付款条件（明确是否需要履约保证金）</w:t>
            </w:r>
          </w:p>
        </w:tc>
        <w:tc>
          <w:tcPr>
            <w:tcW w:w="6869" w:type="dxa"/>
            <w:tcBorders>
              <w:top w:val="single" w:color="000000" w:sz="4" w:space="0"/>
              <w:bottom w:val="single" w:color="000000" w:sz="4" w:space="0"/>
              <w:right w:val="single" w:color="000000" w:sz="4" w:space="0"/>
            </w:tcBorders>
            <w:tcMar>
              <w:top w:w="0" w:type="dxa"/>
              <w:left w:w="108" w:type="dxa"/>
              <w:bottom w:w="0" w:type="dxa"/>
              <w:right w:w="108" w:type="dxa"/>
            </w:tcMar>
          </w:tcPr>
          <w:p>
            <w:pPr>
              <w:pStyle w:val="18"/>
              <w:keepLines w:val="0"/>
              <w:pageBreakBefore w:val="0"/>
              <w:kinsoku/>
              <w:wordWrap/>
              <w:overflowPunct/>
              <w:topLinePunct w:val="0"/>
              <w:autoSpaceDE/>
              <w:autoSpaceDN/>
              <w:bidi w:val="0"/>
              <w:adjustRightInd/>
              <w:spacing w:line="560" w:lineRule="exact"/>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本采购项目无履约保证金； </w:t>
            </w:r>
          </w:p>
          <w:p>
            <w:pPr>
              <w:pStyle w:val="18"/>
              <w:keepLines w:val="0"/>
              <w:pageBreakBefore w:val="0"/>
              <w:kinsoku/>
              <w:wordWrap/>
              <w:overflowPunct/>
              <w:topLinePunct w:val="0"/>
              <w:autoSpaceDE/>
              <w:autoSpaceDN/>
              <w:bidi w:val="0"/>
              <w:adjustRightInd/>
              <w:spacing w:line="560" w:lineRule="exact"/>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付款方式采取按服务年度支付的办法，分两次付款：</w:t>
            </w:r>
          </w:p>
          <w:p>
            <w:pPr>
              <w:pStyle w:val="18"/>
              <w:keepLines w:val="0"/>
              <w:pageBreakBefore w:val="0"/>
              <w:kinsoku/>
              <w:wordWrap/>
              <w:overflowPunct/>
              <w:topLinePunct w:val="0"/>
              <w:autoSpaceDE/>
              <w:autoSpaceDN/>
              <w:bidi w:val="0"/>
              <w:adjustRightInd/>
              <w:spacing w:line="560" w:lineRule="exact"/>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1.第一次付款：合同签订后15个工作日内，凭中标人书面付款申请支付合同金额的60%；</w:t>
            </w:r>
          </w:p>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color w:val="auto"/>
                <w:sz w:val="24"/>
                <w:szCs w:val="24"/>
                <w:highlight w:val="none"/>
              </w:rPr>
            </w:pPr>
            <w:r>
              <w:rPr>
                <w:rFonts w:hint="eastAsia" w:ascii="仿宋_GB2312" w:hAnsi="仿宋_GB2312" w:eastAsia="仿宋_GB2312" w:cs="仿宋_GB2312"/>
                <w:color w:val="auto"/>
                <w:sz w:val="24"/>
                <w:szCs w:val="24"/>
                <w:highlight w:val="none"/>
              </w:rPr>
              <w:t>2.第二次付款：项目验收通过后，招标人凭中标人书面付款申请和验收报告15个工作日内支付剩余40%。</w:t>
            </w:r>
          </w:p>
        </w:tc>
      </w:tr>
      <w:tr>
        <w:tblPrEx>
          <w:tblCellMar>
            <w:top w:w="0" w:type="dxa"/>
            <w:left w:w="0" w:type="dxa"/>
            <w:bottom w:w="0" w:type="dxa"/>
            <w:right w:w="0" w:type="dxa"/>
          </w:tblCellMar>
        </w:tblPrEx>
        <w:trPr>
          <w:trHeight w:val="902" w:hRule="atLeast"/>
          <w:jc w:val="center"/>
        </w:trPr>
        <w:tc>
          <w:tcPr>
            <w:tcW w:w="249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b/>
                <w:color w:val="auto"/>
                <w:sz w:val="24"/>
                <w:szCs w:val="24"/>
                <w:highlight w:val="none"/>
              </w:rPr>
            </w:pPr>
            <w:r>
              <w:rPr>
                <w:rFonts w:ascii="仿宋_GB2312" w:hAnsi="仿宋" w:eastAsia="仿宋_GB2312"/>
                <w:b/>
                <w:color w:val="auto"/>
                <w:sz w:val="24"/>
                <w:szCs w:val="24"/>
                <w:highlight w:val="none"/>
              </w:rPr>
              <w:t>违约责任及争议解决方式</w:t>
            </w:r>
          </w:p>
        </w:tc>
        <w:tc>
          <w:tcPr>
            <w:tcW w:w="68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rPr>
              <w:t>按合同主要条款指引相关违约责任及争议解决方式内容。</w:t>
            </w:r>
          </w:p>
        </w:tc>
      </w:tr>
      <w:tr>
        <w:tblPrEx>
          <w:tblCellMar>
            <w:top w:w="0" w:type="dxa"/>
            <w:left w:w="0" w:type="dxa"/>
            <w:bottom w:w="0" w:type="dxa"/>
            <w:right w:w="0" w:type="dxa"/>
          </w:tblCellMar>
        </w:tblPrEx>
        <w:trPr>
          <w:trHeight w:val="983" w:hRule="atLeast"/>
          <w:jc w:val="center"/>
        </w:trPr>
        <w:tc>
          <w:tcPr>
            <w:tcW w:w="927" w:type="dxa"/>
            <w:vMerge w:val="restart"/>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b/>
                <w:color w:val="auto"/>
                <w:sz w:val="24"/>
                <w:szCs w:val="24"/>
                <w:highlight w:val="none"/>
              </w:rPr>
            </w:pPr>
          </w:p>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b/>
                <w:color w:val="auto"/>
                <w:sz w:val="24"/>
                <w:szCs w:val="24"/>
                <w:highlight w:val="none"/>
              </w:rPr>
            </w:pPr>
            <w:r>
              <w:rPr>
                <w:rFonts w:ascii="仿宋_GB2312" w:hAnsi="仿宋" w:eastAsia="仿宋_GB2312"/>
                <w:b/>
                <w:color w:val="auto"/>
                <w:sz w:val="24"/>
                <w:szCs w:val="24"/>
                <w:highlight w:val="none"/>
              </w:rPr>
              <w:t>售后</w:t>
            </w:r>
          </w:p>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b/>
                <w:color w:val="auto"/>
                <w:sz w:val="24"/>
                <w:szCs w:val="24"/>
                <w:highlight w:val="none"/>
              </w:rPr>
            </w:pPr>
            <w:r>
              <w:rPr>
                <w:rFonts w:ascii="仿宋_GB2312" w:hAnsi="仿宋" w:eastAsia="仿宋_GB2312"/>
                <w:b/>
                <w:color w:val="auto"/>
                <w:sz w:val="24"/>
                <w:szCs w:val="24"/>
                <w:highlight w:val="none"/>
              </w:rPr>
              <w:t>服务</w:t>
            </w:r>
          </w:p>
          <w:p>
            <w:pPr>
              <w:keepLines w:val="0"/>
              <w:pageBreakBefore w:val="0"/>
              <w:kinsoku/>
              <w:wordWrap/>
              <w:overflowPunct/>
              <w:topLinePunct w:val="0"/>
              <w:autoSpaceDE/>
              <w:autoSpaceDN/>
              <w:bidi w:val="0"/>
              <w:adjustRightInd/>
              <w:snapToGrid w:val="0"/>
              <w:spacing w:line="560" w:lineRule="exact"/>
              <w:jc w:val="both"/>
              <w:textAlignment w:val="auto"/>
              <w:rPr>
                <w:rFonts w:ascii="宋体" w:hAnsi="Times New Roman"/>
                <w:color w:val="auto"/>
                <w:sz w:val="24"/>
                <w:szCs w:val="24"/>
                <w:highlight w:val="none"/>
              </w:rPr>
            </w:pPr>
          </w:p>
        </w:tc>
        <w:tc>
          <w:tcPr>
            <w:tcW w:w="156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b/>
                <w:color w:val="auto"/>
                <w:sz w:val="24"/>
                <w:szCs w:val="24"/>
                <w:highlight w:val="none"/>
              </w:rPr>
            </w:pPr>
            <w:r>
              <w:rPr>
                <w:rFonts w:ascii="仿宋_GB2312" w:hAnsi="仿宋" w:eastAsia="仿宋_GB2312"/>
                <w:b/>
                <w:color w:val="auto"/>
                <w:sz w:val="24"/>
                <w:szCs w:val="24"/>
                <w:highlight w:val="none"/>
              </w:rPr>
              <w:t>项目维护计划</w:t>
            </w:r>
          </w:p>
          <w:p>
            <w:pPr>
              <w:keepLines w:val="0"/>
              <w:pageBreakBefore w:val="0"/>
              <w:kinsoku/>
              <w:wordWrap/>
              <w:overflowPunct/>
              <w:topLinePunct w:val="0"/>
              <w:autoSpaceDE/>
              <w:autoSpaceDN/>
              <w:bidi w:val="0"/>
              <w:adjustRightInd/>
              <w:snapToGrid w:val="0"/>
              <w:spacing w:line="560" w:lineRule="exact"/>
              <w:jc w:val="both"/>
              <w:textAlignment w:val="auto"/>
              <w:rPr>
                <w:rFonts w:ascii="宋体" w:hAnsi="Times New Roman"/>
                <w:color w:val="auto"/>
                <w:sz w:val="24"/>
                <w:szCs w:val="24"/>
                <w:highlight w:val="none"/>
              </w:rPr>
            </w:pPr>
          </w:p>
        </w:tc>
        <w:tc>
          <w:tcPr>
            <w:tcW w:w="6869" w:type="dxa"/>
            <w:tcBorders>
              <w:top w:val="single" w:color="000000" w:sz="4" w:space="0"/>
              <w:bottom w:val="single" w:color="000000" w:sz="4" w:space="0"/>
              <w:right w:val="single" w:color="000000" w:sz="4" w:space="0"/>
            </w:tcBorders>
            <w:tcMar>
              <w:top w:w="0" w:type="dxa"/>
              <w:left w:w="108" w:type="dxa"/>
              <w:bottom w:w="0" w:type="dxa"/>
              <w:right w:w="108" w:type="dxa"/>
            </w:tcMa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rPr>
              <w:t>1.系统运维期间，中标人需派员到浙江省税务局进行上门维护，随叫随到，运维人员不得少于</w:t>
            </w:r>
            <w:r>
              <w:rPr>
                <w:rFonts w:hint="eastAsia" w:ascii="仿宋_GB2312" w:hAnsi="仿宋" w:eastAsia="仿宋_GB2312"/>
                <w:color w:val="auto"/>
                <w:sz w:val="24"/>
                <w:szCs w:val="24"/>
                <w:highlight w:val="none"/>
                <w:lang w:val="en-US" w:eastAsia="zh-CN"/>
              </w:rPr>
              <w:t>2</w:t>
            </w:r>
            <w:r>
              <w:rPr>
                <w:rFonts w:ascii="仿宋_GB2312" w:hAnsi="仿宋" w:eastAsia="仿宋_GB2312"/>
                <w:color w:val="auto"/>
                <w:sz w:val="24"/>
                <w:szCs w:val="24"/>
                <w:highlight w:val="none"/>
              </w:rPr>
              <w:t>人，其中须包括具有ORACLE OCP资质的专业技术人员1名。</w:t>
            </w:r>
          </w:p>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rPr>
              <w:t>2.项目通过验收即进入项目运维期，运维期为1年，服务等级为7×24，需提供上门运维服务、电话支持服务、远程服务等多种服务形式。</w:t>
            </w:r>
          </w:p>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rPr>
              <w:t>3.项目运维期为1年，自项目验收之日起计，每12个月为一个服务年度。</w:t>
            </w:r>
          </w:p>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rPr>
              <w:t>4.每个运维服务年度起始，中标方须将项目工程师团队情况告知浙江省税务局。如果浙江省税务局认为团队不符合要求的，中标方须在7日内调整到位。若未及时调整团队的，视为一次服务不合格，并继续作为新提出的服务团队要求，重新计算服务质量考核。</w:t>
            </w:r>
          </w:p>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rPr>
              <w:t>4.每个运维服务年度内，专职工程师团队人员变动超过2人的，视为一次服务不合格。</w:t>
            </w:r>
          </w:p>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rPr>
              <w:t>5.若因中标方怠于履行运维责任、对系统运维不到位、开发软件存在固有缺陷等原因，导致在故障申告后8小时内未使系统恢复正常，视为一次服务不合格，并继续作为新提出的故障申告处理，重新计算服务质量考核。</w:t>
            </w:r>
          </w:p>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rPr>
              <w:t>6.若因中标方怠于履行运维责任、对系统运维不到位等原因导致浙江省税务局造成损失的，由中标方进行相应赔偿，同时视为该年度3次服务不合格。</w:t>
            </w:r>
          </w:p>
        </w:tc>
      </w:tr>
      <w:tr>
        <w:tblPrEx>
          <w:tblCellMar>
            <w:top w:w="0" w:type="dxa"/>
            <w:left w:w="0" w:type="dxa"/>
            <w:bottom w:w="0" w:type="dxa"/>
            <w:right w:w="0" w:type="dxa"/>
          </w:tblCellMar>
        </w:tblPrEx>
        <w:trPr>
          <w:trHeight w:val="983" w:hRule="atLeast"/>
          <w:jc w:val="center"/>
        </w:trPr>
        <w:tc>
          <w:tcPr>
            <w:tcW w:w="927"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Lines w:val="0"/>
              <w:pageBreakBefore w:val="0"/>
              <w:kinsoku/>
              <w:wordWrap/>
              <w:overflowPunct/>
              <w:topLinePunct w:val="0"/>
              <w:autoSpaceDE/>
              <w:autoSpaceDN/>
              <w:bidi w:val="0"/>
              <w:adjustRightInd/>
              <w:snapToGrid w:val="0"/>
              <w:spacing w:line="560" w:lineRule="exact"/>
              <w:jc w:val="both"/>
              <w:textAlignment w:val="auto"/>
              <w:rPr>
                <w:rFonts w:ascii="宋体" w:hAnsi="Times New Roman"/>
                <w:color w:val="auto"/>
                <w:sz w:val="24"/>
                <w:szCs w:val="24"/>
                <w:highlight w:val="none"/>
              </w:rPr>
            </w:pPr>
          </w:p>
        </w:tc>
        <w:tc>
          <w:tcPr>
            <w:tcW w:w="156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b/>
                <w:color w:val="auto"/>
                <w:sz w:val="24"/>
                <w:szCs w:val="24"/>
                <w:highlight w:val="none"/>
              </w:rPr>
            </w:pPr>
            <w:r>
              <w:rPr>
                <w:rFonts w:ascii="仿宋_GB2312" w:hAnsi="仿宋" w:eastAsia="仿宋_GB2312"/>
                <w:b/>
                <w:color w:val="auto"/>
                <w:sz w:val="24"/>
                <w:szCs w:val="24"/>
                <w:highlight w:val="none"/>
              </w:rPr>
              <w:t>履约能力</w:t>
            </w:r>
          </w:p>
        </w:tc>
        <w:tc>
          <w:tcPr>
            <w:tcW w:w="6869" w:type="dxa"/>
            <w:tcBorders>
              <w:top w:val="single" w:color="000000" w:sz="4" w:space="0"/>
              <w:bottom w:val="single" w:color="000000" w:sz="4" w:space="0"/>
              <w:right w:val="single" w:color="000000" w:sz="4" w:space="0"/>
            </w:tcBorders>
            <w:tcMar>
              <w:top w:w="0" w:type="dxa"/>
              <w:left w:w="108" w:type="dxa"/>
              <w:bottom w:w="0" w:type="dxa"/>
              <w:right w:w="108" w:type="dxa"/>
            </w:tcMa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color w:val="auto"/>
                <w:sz w:val="24"/>
                <w:szCs w:val="24"/>
                <w:highlight w:val="none"/>
              </w:rPr>
            </w:pPr>
            <w:r>
              <w:rPr>
                <w:rFonts w:hint="eastAsia" w:ascii="仿宋_GB2312" w:hAnsi="仿宋_GB2312" w:eastAsia="仿宋_GB2312" w:cs="仿宋_GB2312"/>
                <w:color w:val="auto"/>
                <w:sz w:val="24"/>
                <w:szCs w:val="24"/>
                <w:highlight w:val="none"/>
              </w:rPr>
              <w:t>投标人具有有效ISO9001质量管理体系认证证书（证书颁发机构为中国国家认证认可监督管理委员会认证机构名录内的机构）、ISO20000 信息技术服务管理体系认证证书（证书颁发机构为中国国家认证认可监督管理委员会认证机构名录内的机构）、ISO27001信息安全管理体系证书（证书颁发机构为中国国家认证认可监督管理委员会认证机构名录内的机构）。</w:t>
            </w:r>
          </w:p>
        </w:tc>
      </w:tr>
      <w:tr>
        <w:tblPrEx>
          <w:tblCellMar>
            <w:top w:w="0" w:type="dxa"/>
            <w:left w:w="0" w:type="dxa"/>
            <w:bottom w:w="0" w:type="dxa"/>
            <w:right w:w="0" w:type="dxa"/>
          </w:tblCellMar>
        </w:tblPrEx>
        <w:trPr>
          <w:trHeight w:val="416" w:hRule="atLeast"/>
          <w:jc w:val="center"/>
        </w:trPr>
        <w:tc>
          <w:tcPr>
            <w:tcW w:w="927"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Lines w:val="0"/>
              <w:pageBreakBefore w:val="0"/>
              <w:kinsoku/>
              <w:wordWrap/>
              <w:overflowPunct/>
              <w:topLinePunct w:val="0"/>
              <w:autoSpaceDE/>
              <w:autoSpaceDN/>
              <w:bidi w:val="0"/>
              <w:adjustRightInd/>
              <w:snapToGrid w:val="0"/>
              <w:spacing w:line="560" w:lineRule="exact"/>
              <w:jc w:val="both"/>
              <w:textAlignment w:val="auto"/>
              <w:rPr>
                <w:rFonts w:ascii="宋体" w:hAnsi="Times New Roman"/>
                <w:color w:val="auto"/>
                <w:sz w:val="24"/>
                <w:szCs w:val="24"/>
                <w:highlight w:val="none"/>
              </w:rPr>
            </w:pPr>
          </w:p>
        </w:tc>
        <w:tc>
          <w:tcPr>
            <w:tcW w:w="156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b/>
                <w:color w:val="auto"/>
                <w:sz w:val="24"/>
                <w:szCs w:val="24"/>
                <w:highlight w:val="none"/>
              </w:rPr>
            </w:pPr>
            <w:r>
              <w:rPr>
                <w:rFonts w:ascii="仿宋_GB2312" w:hAnsi="仿宋" w:eastAsia="仿宋_GB2312"/>
                <w:b/>
                <w:color w:val="auto"/>
                <w:sz w:val="24"/>
                <w:szCs w:val="24"/>
                <w:highlight w:val="none"/>
              </w:rPr>
              <w:t>培训方案</w:t>
            </w:r>
          </w:p>
        </w:tc>
        <w:tc>
          <w:tcPr>
            <w:tcW w:w="6869" w:type="dxa"/>
            <w:tcBorders>
              <w:top w:val="single" w:color="000000" w:sz="4" w:space="0"/>
              <w:bottom w:val="single" w:color="000000" w:sz="4" w:space="0"/>
              <w:right w:val="single" w:color="000000" w:sz="4" w:space="0"/>
            </w:tcBorders>
            <w:tcMar>
              <w:top w:w="0" w:type="dxa"/>
              <w:left w:w="108" w:type="dxa"/>
              <w:bottom w:w="0" w:type="dxa"/>
              <w:right w:w="108" w:type="dxa"/>
            </w:tcMa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rPr>
              <w:t>中标方须对浙江省税务局不少于</w:t>
            </w:r>
            <w:r>
              <w:rPr>
                <w:rFonts w:hint="eastAsia" w:ascii="仿宋_GB2312" w:hAnsi="仿宋" w:eastAsia="仿宋_GB2312"/>
                <w:color w:val="auto"/>
                <w:sz w:val="24"/>
                <w:szCs w:val="24"/>
                <w:highlight w:val="none"/>
                <w:lang w:val="en-US" w:eastAsia="zh-CN"/>
              </w:rPr>
              <w:t>2</w:t>
            </w:r>
            <w:r>
              <w:rPr>
                <w:rFonts w:ascii="仿宋_GB2312" w:hAnsi="仿宋" w:eastAsia="仿宋_GB2312"/>
                <w:color w:val="auto"/>
                <w:sz w:val="24"/>
                <w:szCs w:val="24"/>
                <w:highlight w:val="none"/>
              </w:rPr>
              <w:t>名工作人员进行软件相关功能、操作、原理的讲解与培训，培训要求如下：讲解需细致到位，能使被培训者独自顺利操作软件的各个功能模块，培训课时不少于4小时/人。</w:t>
            </w:r>
          </w:p>
        </w:tc>
      </w:tr>
      <w:tr>
        <w:tblPrEx>
          <w:tblCellMar>
            <w:top w:w="0" w:type="dxa"/>
            <w:left w:w="0" w:type="dxa"/>
            <w:bottom w:w="0" w:type="dxa"/>
            <w:right w:w="0" w:type="dxa"/>
          </w:tblCellMar>
        </w:tblPrEx>
        <w:trPr>
          <w:trHeight w:val="831" w:hRule="atLeast"/>
          <w:jc w:val="center"/>
        </w:trPr>
        <w:tc>
          <w:tcPr>
            <w:tcW w:w="927"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Lines w:val="0"/>
              <w:pageBreakBefore w:val="0"/>
              <w:kinsoku/>
              <w:wordWrap/>
              <w:overflowPunct/>
              <w:topLinePunct w:val="0"/>
              <w:autoSpaceDE/>
              <w:autoSpaceDN/>
              <w:bidi w:val="0"/>
              <w:adjustRightInd/>
              <w:snapToGrid w:val="0"/>
              <w:spacing w:line="560" w:lineRule="exact"/>
              <w:jc w:val="both"/>
              <w:textAlignment w:val="auto"/>
              <w:rPr>
                <w:rFonts w:ascii="宋体" w:hAnsi="Times New Roman"/>
                <w:color w:val="auto"/>
                <w:sz w:val="24"/>
                <w:szCs w:val="24"/>
                <w:highlight w:val="none"/>
              </w:rPr>
            </w:pPr>
          </w:p>
        </w:tc>
        <w:tc>
          <w:tcPr>
            <w:tcW w:w="1564" w:type="dxa"/>
            <w:tcBorders>
              <w:top w:val="single" w:color="000000" w:sz="4" w:space="0"/>
              <w:right w:val="single" w:color="000000" w:sz="4" w:space="0"/>
            </w:tcBorders>
            <w:tcMar>
              <w:top w:w="0" w:type="dxa"/>
              <w:left w:w="108" w:type="dxa"/>
              <w:bottom w:w="0" w:type="dxa"/>
              <w:right w:w="108" w:type="dxa"/>
            </w:tcMar>
            <w:vAlign w:val="cente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b/>
                <w:color w:val="auto"/>
                <w:sz w:val="24"/>
                <w:szCs w:val="24"/>
                <w:highlight w:val="none"/>
              </w:rPr>
            </w:pPr>
            <w:r>
              <w:rPr>
                <w:rFonts w:ascii="仿宋_GB2312" w:hAnsi="仿宋" w:eastAsia="仿宋_GB2312"/>
                <w:b/>
                <w:color w:val="auto"/>
                <w:sz w:val="24"/>
                <w:szCs w:val="24"/>
                <w:highlight w:val="none"/>
              </w:rPr>
              <w:t>响应情况</w:t>
            </w:r>
          </w:p>
        </w:tc>
        <w:tc>
          <w:tcPr>
            <w:tcW w:w="6869" w:type="dxa"/>
            <w:tcBorders>
              <w:top w:val="single" w:color="000000" w:sz="4" w:space="0"/>
              <w:right w:val="single" w:color="000000" w:sz="4" w:space="0"/>
            </w:tcBorders>
            <w:tcMar>
              <w:top w:w="0" w:type="dxa"/>
              <w:left w:w="108" w:type="dxa"/>
              <w:bottom w:w="0" w:type="dxa"/>
              <w:right w:w="108" w:type="dxa"/>
            </w:tcMa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rPr>
              <w:t>运维期服务等级为7×24，需提供上门运维服务、电话支持服务、远程服务等多种服务形式。</w:t>
            </w:r>
          </w:p>
        </w:tc>
      </w:tr>
      <w:tr>
        <w:tblPrEx>
          <w:tblCellMar>
            <w:top w:w="0" w:type="dxa"/>
            <w:left w:w="0" w:type="dxa"/>
            <w:bottom w:w="0" w:type="dxa"/>
            <w:right w:w="0" w:type="dxa"/>
          </w:tblCellMar>
        </w:tblPrEx>
        <w:trPr>
          <w:trHeight w:val="553" w:hRule="atLeast"/>
          <w:jc w:val="center"/>
        </w:trPr>
        <w:tc>
          <w:tcPr>
            <w:tcW w:w="927"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b/>
                <w:color w:val="auto"/>
                <w:sz w:val="24"/>
                <w:szCs w:val="24"/>
                <w:highlight w:val="none"/>
              </w:rPr>
            </w:pPr>
            <w:r>
              <w:rPr>
                <w:rFonts w:ascii="仿宋_GB2312" w:hAnsi="仿宋" w:eastAsia="仿宋_GB2312"/>
                <w:b/>
                <w:color w:val="auto"/>
                <w:sz w:val="24"/>
                <w:szCs w:val="24"/>
                <w:highlight w:val="none"/>
              </w:rPr>
              <w:t>履约能力</w:t>
            </w:r>
          </w:p>
        </w:tc>
        <w:tc>
          <w:tcPr>
            <w:tcW w:w="156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b/>
                <w:color w:val="auto"/>
                <w:sz w:val="24"/>
                <w:szCs w:val="24"/>
                <w:highlight w:val="none"/>
              </w:rPr>
            </w:pPr>
            <w:r>
              <w:rPr>
                <w:rFonts w:ascii="仿宋_GB2312" w:hAnsi="仿宋" w:eastAsia="仿宋_GB2312"/>
                <w:b/>
                <w:color w:val="auto"/>
                <w:sz w:val="24"/>
                <w:szCs w:val="24"/>
                <w:highlight w:val="none"/>
              </w:rPr>
              <w:t>经验或业绩要求</w:t>
            </w:r>
          </w:p>
        </w:tc>
        <w:tc>
          <w:tcPr>
            <w:tcW w:w="68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keepLines w:val="0"/>
              <w:pageBreakBefore w:val="0"/>
              <w:kinsoku/>
              <w:wordWrap/>
              <w:overflowPunct/>
              <w:topLinePunct w:val="0"/>
              <w:autoSpaceDE/>
              <w:autoSpaceDN/>
              <w:bidi w:val="0"/>
              <w:adjustRightInd/>
              <w:snapToGrid w:val="0"/>
              <w:spacing w:line="560" w:lineRule="exact"/>
              <w:jc w:val="both"/>
              <w:textAlignment w:val="auto"/>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投标人具有类似软件开发及运维项目的开发经验。投标人提供2019年1月1日以来（以合同签订日期或中标通知书发布日期为准）实施同类项目的成功案例</w:t>
            </w:r>
          </w:p>
        </w:tc>
      </w:tr>
    </w:tbl>
    <w:p>
      <w:pPr>
        <w:keepLines w:val="0"/>
        <w:pageBreakBefore w:val="0"/>
        <w:kinsoku/>
        <w:wordWrap/>
        <w:overflowPunct/>
        <w:topLinePunct w:val="0"/>
        <w:autoSpaceDE/>
        <w:autoSpaceDN/>
        <w:bidi w:val="0"/>
        <w:adjustRightInd/>
        <w:snapToGrid w:val="0"/>
        <w:spacing w:line="560" w:lineRule="exact"/>
        <w:jc w:val="both"/>
        <w:textAlignment w:val="auto"/>
        <w:rPr>
          <w:rFonts w:ascii="宋体" w:hAnsi="宋体"/>
          <w:color w:val="auto"/>
          <w:sz w:val="32"/>
          <w:szCs w:val="32"/>
          <w:highlight w:val="none"/>
        </w:rPr>
      </w:pPr>
    </w:p>
    <w:p>
      <w:pPr>
        <w:pStyle w:val="23"/>
        <w:ind w:firstLine="0" w:firstLineChars="0"/>
        <w:rPr>
          <w:rFonts w:ascii="仿宋" w:hAnsi="仿宋" w:eastAsia="仿宋" w:cs="仿宋_GB2312"/>
          <w:b/>
          <w:color w:val="auto"/>
          <w:highlight w:val="none"/>
        </w:rPr>
      </w:pPr>
      <w:r>
        <w:rPr>
          <w:rFonts w:ascii="仿宋" w:hAnsi="仿宋" w:eastAsia="仿宋" w:cs="仿宋_GB2312"/>
          <w:b/>
          <w:color w:val="auto"/>
          <w:highlight w:val="none"/>
        </w:rPr>
        <w:br w:type="page"/>
      </w: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8" w:name="_Toc184308063"/>
      <w:bookmarkEnd w:id="28"/>
      <w:bookmarkStart w:id="29" w:name="_Toc184313286"/>
      <w:bookmarkEnd w:id="29"/>
      <w:bookmarkStart w:id="30" w:name="_Toc184310280"/>
      <w:bookmarkEnd w:id="30"/>
      <w:bookmarkStart w:id="31" w:name="_Toc184313292"/>
      <w:bookmarkEnd w:id="31"/>
      <w:bookmarkStart w:id="32" w:name="_Toc184312104"/>
      <w:bookmarkEnd w:id="32"/>
      <w:bookmarkStart w:id="33" w:name="_Toc184314445"/>
      <w:bookmarkEnd w:id="33"/>
      <w:bookmarkStart w:id="34" w:name="_Toc184308042"/>
      <w:bookmarkEnd w:id="34"/>
      <w:bookmarkStart w:id="35" w:name="_Toc184314441"/>
      <w:bookmarkEnd w:id="35"/>
      <w:bookmarkStart w:id="36" w:name="_Toc184314466"/>
      <w:bookmarkEnd w:id="36"/>
      <w:bookmarkStart w:id="37" w:name="_Toc184310295"/>
      <w:bookmarkEnd w:id="37"/>
      <w:bookmarkStart w:id="38" w:name="_Toc184308039"/>
      <w:bookmarkEnd w:id="38"/>
      <w:bookmarkStart w:id="39" w:name="_Toc184310298"/>
      <w:bookmarkEnd w:id="39"/>
      <w:bookmarkStart w:id="40" w:name="_Toc184314480"/>
      <w:bookmarkEnd w:id="40"/>
      <w:bookmarkStart w:id="41" w:name="_Toc184314426"/>
      <w:bookmarkEnd w:id="41"/>
      <w:bookmarkStart w:id="42" w:name="_Toc184310278"/>
      <w:bookmarkEnd w:id="42"/>
      <w:bookmarkStart w:id="43" w:name="_Toc184314434"/>
      <w:bookmarkEnd w:id="43"/>
      <w:bookmarkStart w:id="44" w:name="_Toc184308085"/>
      <w:bookmarkEnd w:id="44"/>
      <w:bookmarkStart w:id="45" w:name="_Toc184312073"/>
      <w:bookmarkEnd w:id="45"/>
      <w:bookmarkStart w:id="46" w:name="_Toc184310321"/>
      <w:bookmarkEnd w:id="46"/>
      <w:bookmarkStart w:id="47" w:name="_Toc184313241"/>
      <w:bookmarkEnd w:id="47"/>
      <w:bookmarkStart w:id="48" w:name="_Toc184313297"/>
      <w:bookmarkEnd w:id="48"/>
      <w:bookmarkStart w:id="49" w:name="_Toc184312128"/>
      <w:bookmarkEnd w:id="49"/>
      <w:bookmarkStart w:id="50" w:name="_Toc184314459"/>
      <w:bookmarkEnd w:id="50"/>
      <w:bookmarkStart w:id="51" w:name="_Toc184314414"/>
      <w:bookmarkEnd w:id="51"/>
      <w:bookmarkStart w:id="52" w:name="_Toc184312069"/>
      <w:bookmarkEnd w:id="52"/>
      <w:bookmarkStart w:id="53" w:name="_Toc184313272"/>
      <w:bookmarkEnd w:id="53"/>
      <w:bookmarkStart w:id="54" w:name="_Toc184308060"/>
      <w:bookmarkEnd w:id="54"/>
      <w:bookmarkStart w:id="55" w:name="_Toc184312095"/>
      <w:bookmarkEnd w:id="55"/>
      <w:bookmarkStart w:id="56" w:name="_Toc184314473"/>
      <w:bookmarkEnd w:id="56"/>
      <w:bookmarkStart w:id="57" w:name="_Toc184313299"/>
      <w:bookmarkEnd w:id="57"/>
      <w:bookmarkStart w:id="58" w:name="_Toc184308078"/>
      <w:bookmarkEnd w:id="58"/>
      <w:bookmarkStart w:id="59" w:name="_Toc184313251"/>
      <w:bookmarkEnd w:id="59"/>
      <w:bookmarkStart w:id="60" w:name="_Toc184310334"/>
      <w:bookmarkEnd w:id="60"/>
      <w:bookmarkStart w:id="61" w:name="_Toc184308061"/>
      <w:bookmarkEnd w:id="61"/>
      <w:bookmarkStart w:id="62" w:name="_Toc184313302"/>
      <w:bookmarkEnd w:id="62"/>
      <w:bookmarkStart w:id="63" w:name="_Toc184314467"/>
      <w:bookmarkEnd w:id="63"/>
      <w:bookmarkStart w:id="64" w:name="_Toc184312079"/>
      <w:bookmarkEnd w:id="64"/>
      <w:bookmarkStart w:id="65" w:name="_Toc184314416"/>
      <w:bookmarkEnd w:id="65"/>
      <w:bookmarkStart w:id="66" w:name="_Toc184310338"/>
      <w:bookmarkEnd w:id="66"/>
      <w:bookmarkStart w:id="67" w:name="_Toc184312094"/>
      <w:bookmarkEnd w:id="67"/>
      <w:bookmarkStart w:id="68" w:name="_Toc184313278"/>
      <w:bookmarkEnd w:id="68"/>
      <w:bookmarkStart w:id="69" w:name="_Toc184312083"/>
      <w:bookmarkEnd w:id="69"/>
      <w:bookmarkStart w:id="70" w:name="_Toc184310323"/>
      <w:bookmarkEnd w:id="70"/>
      <w:bookmarkStart w:id="71" w:name="_Toc184314438"/>
      <w:bookmarkEnd w:id="71"/>
      <w:bookmarkStart w:id="72" w:name="_Toc184308096"/>
      <w:bookmarkEnd w:id="72"/>
      <w:bookmarkStart w:id="73" w:name="_Toc184308048"/>
      <w:bookmarkEnd w:id="73"/>
      <w:bookmarkStart w:id="74" w:name="_Toc184310303"/>
      <w:bookmarkEnd w:id="74"/>
      <w:bookmarkStart w:id="75" w:name="_Toc184312117"/>
      <w:bookmarkEnd w:id="75"/>
      <w:bookmarkStart w:id="76" w:name="_Toc184314424"/>
      <w:bookmarkEnd w:id="76"/>
      <w:bookmarkStart w:id="77" w:name="_Toc184308091"/>
      <w:bookmarkEnd w:id="77"/>
      <w:bookmarkStart w:id="78" w:name="_Toc184313265"/>
      <w:bookmarkEnd w:id="78"/>
      <w:bookmarkStart w:id="79" w:name="_Toc184313268"/>
      <w:bookmarkEnd w:id="79"/>
      <w:bookmarkStart w:id="80" w:name="_Toc184313271"/>
      <w:bookmarkEnd w:id="80"/>
      <w:bookmarkStart w:id="81" w:name="_Toc184312074"/>
      <w:bookmarkEnd w:id="81"/>
      <w:bookmarkStart w:id="82" w:name="_Toc184312076"/>
      <w:bookmarkEnd w:id="82"/>
      <w:bookmarkStart w:id="83" w:name="_Toc184313266"/>
      <w:bookmarkEnd w:id="83"/>
      <w:bookmarkStart w:id="84" w:name="_Toc184312108"/>
      <w:bookmarkEnd w:id="84"/>
      <w:bookmarkStart w:id="85" w:name="_Toc184312075"/>
      <w:bookmarkEnd w:id="85"/>
      <w:bookmarkStart w:id="86" w:name="_Toc184313258"/>
      <w:bookmarkEnd w:id="86"/>
      <w:bookmarkStart w:id="87" w:name="_Toc184310327"/>
      <w:bookmarkEnd w:id="87"/>
      <w:bookmarkStart w:id="88" w:name="_Toc184312115"/>
      <w:bookmarkEnd w:id="88"/>
      <w:bookmarkStart w:id="89" w:name="_Toc184314430"/>
      <w:bookmarkEnd w:id="89"/>
      <w:bookmarkStart w:id="90" w:name="_Toc184314474"/>
      <w:bookmarkEnd w:id="90"/>
      <w:bookmarkStart w:id="91" w:name="_Toc184314481"/>
      <w:bookmarkEnd w:id="91"/>
      <w:bookmarkStart w:id="92" w:name="_Toc184310320"/>
      <w:bookmarkEnd w:id="92"/>
      <w:bookmarkStart w:id="93" w:name="_Toc184313308"/>
      <w:bookmarkEnd w:id="93"/>
      <w:bookmarkStart w:id="94" w:name="_Toc184312092"/>
      <w:bookmarkEnd w:id="94"/>
      <w:bookmarkStart w:id="95" w:name="_Toc184312120"/>
      <w:bookmarkEnd w:id="95"/>
      <w:bookmarkStart w:id="96" w:name="_Toc184313253"/>
      <w:bookmarkEnd w:id="96"/>
      <w:bookmarkStart w:id="97" w:name="_Toc184310296"/>
      <w:bookmarkEnd w:id="97"/>
      <w:bookmarkStart w:id="98" w:name="_Toc184310342"/>
      <w:bookmarkEnd w:id="98"/>
      <w:bookmarkStart w:id="99" w:name="_Toc184313252"/>
      <w:bookmarkEnd w:id="99"/>
      <w:bookmarkStart w:id="100" w:name="_Toc184314439"/>
      <w:bookmarkEnd w:id="100"/>
      <w:bookmarkStart w:id="101" w:name="_Toc184310277"/>
      <w:bookmarkEnd w:id="101"/>
      <w:bookmarkStart w:id="102" w:name="_Toc184314472"/>
      <w:bookmarkEnd w:id="102"/>
      <w:bookmarkStart w:id="103" w:name="_Toc184312071"/>
      <w:bookmarkEnd w:id="103"/>
      <w:bookmarkStart w:id="104" w:name="_Toc184310291"/>
      <w:bookmarkEnd w:id="104"/>
      <w:bookmarkStart w:id="105" w:name="_Toc184308090"/>
      <w:bookmarkEnd w:id="105"/>
      <w:bookmarkStart w:id="106" w:name="_Toc184308097"/>
      <w:bookmarkEnd w:id="106"/>
      <w:bookmarkStart w:id="107" w:name="_Toc184314477"/>
      <w:bookmarkEnd w:id="107"/>
      <w:bookmarkStart w:id="108" w:name="_Toc184308071"/>
      <w:bookmarkEnd w:id="108"/>
      <w:bookmarkStart w:id="109" w:name="_Toc184310300"/>
      <w:bookmarkEnd w:id="109"/>
      <w:bookmarkStart w:id="110" w:name="_Toc184314423"/>
      <w:bookmarkEnd w:id="110"/>
      <w:bookmarkStart w:id="111" w:name="_Toc184310297"/>
      <w:bookmarkEnd w:id="111"/>
      <w:bookmarkStart w:id="112" w:name="_Toc184310289"/>
      <w:bookmarkEnd w:id="112"/>
      <w:bookmarkStart w:id="113" w:name="_Toc184308049"/>
      <w:bookmarkEnd w:id="113"/>
      <w:bookmarkStart w:id="114" w:name="_Toc184308107"/>
      <w:bookmarkEnd w:id="114"/>
      <w:bookmarkStart w:id="115" w:name="_Toc184312124"/>
      <w:bookmarkEnd w:id="115"/>
      <w:bookmarkStart w:id="116" w:name="_Toc184308057"/>
      <w:bookmarkEnd w:id="116"/>
      <w:bookmarkStart w:id="117" w:name="_Toc184310272"/>
      <w:bookmarkEnd w:id="117"/>
      <w:bookmarkStart w:id="118" w:name="_Toc184314455"/>
      <w:bookmarkEnd w:id="118"/>
      <w:bookmarkStart w:id="119" w:name="_Toc184310282"/>
      <w:bookmarkEnd w:id="119"/>
      <w:bookmarkStart w:id="120" w:name="_Toc184310274"/>
      <w:bookmarkEnd w:id="120"/>
      <w:bookmarkStart w:id="121" w:name="_Toc184312109"/>
      <w:bookmarkEnd w:id="121"/>
      <w:bookmarkStart w:id="122" w:name="_Toc184308067"/>
      <w:bookmarkEnd w:id="122"/>
      <w:bookmarkStart w:id="123" w:name="_Toc184308084"/>
      <w:bookmarkEnd w:id="123"/>
      <w:bookmarkStart w:id="124" w:name="_Toc184308108"/>
      <w:bookmarkEnd w:id="124"/>
      <w:bookmarkStart w:id="125" w:name="_Toc184308059"/>
      <w:bookmarkEnd w:id="125"/>
      <w:bookmarkStart w:id="126" w:name="_Toc184312078"/>
      <w:bookmarkEnd w:id="126"/>
      <w:bookmarkStart w:id="127" w:name="_Toc184308068"/>
      <w:bookmarkEnd w:id="127"/>
      <w:bookmarkStart w:id="128" w:name="_Toc184310305"/>
      <w:bookmarkEnd w:id="128"/>
      <w:bookmarkStart w:id="129" w:name="_Toc184313264"/>
      <w:bookmarkEnd w:id="129"/>
      <w:bookmarkStart w:id="130" w:name="_Toc184310307"/>
      <w:bookmarkEnd w:id="130"/>
      <w:bookmarkStart w:id="131" w:name="_Toc184313281"/>
      <w:bookmarkEnd w:id="131"/>
      <w:bookmarkStart w:id="132" w:name="_Toc184314436"/>
      <w:bookmarkEnd w:id="132"/>
      <w:bookmarkStart w:id="133" w:name="_Toc184314476"/>
      <w:bookmarkEnd w:id="133"/>
      <w:bookmarkStart w:id="134" w:name="_Toc184314418"/>
      <w:bookmarkEnd w:id="134"/>
      <w:bookmarkStart w:id="135" w:name="_Toc184313246"/>
      <w:bookmarkEnd w:id="135"/>
      <w:bookmarkStart w:id="136" w:name="_Toc184310315"/>
      <w:bookmarkEnd w:id="136"/>
      <w:bookmarkStart w:id="137" w:name="_Toc184312138"/>
      <w:bookmarkEnd w:id="137"/>
      <w:bookmarkStart w:id="138" w:name="_Toc184313274"/>
      <w:bookmarkEnd w:id="138"/>
      <w:bookmarkStart w:id="139" w:name="_Toc184314447"/>
      <w:bookmarkEnd w:id="139"/>
      <w:bookmarkStart w:id="140" w:name="_Toc184314475"/>
      <w:bookmarkEnd w:id="140"/>
      <w:bookmarkStart w:id="141" w:name="_Toc184313245"/>
      <w:bookmarkEnd w:id="141"/>
      <w:bookmarkStart w:id="142" w:name="_Toc184313243"/>
      <w:bookmarkEnd w:id="142"/>
      <w:bookmarkStart w:id="143" w:name="_Toc184314420"/>
      <w:bookmarkEnd w:id="143"/>
      <w:bookmarkStart w:id="144" w:name="_Toc184308098"/>
      <w:bookmarkEnd w:id="144"/>
      <w:bookmarkStart w:id="145" w:name="_Toc184313288"/>
      <w:bookmarkEnd w:id="145"/>
      <w:bookmarkStart w:id="146" w:name="_Toc184313298"/>
      <w:bookmarkEnd w:id="146"/>
      <w:bookmarkStart w:id="147" w:name="_Toc184310299"/>
      <w:bookmarkEnd w:id="147"/>
      <w:bookmarkStart w:id="148" w:name="_Toc184313284"/>
      <w:bookmarkEnd w:id="148"/>
      <w:bookmarkStart w:id="149" w:name="_Toc184308054"/>
      <w:bookmarkEnd w:id="149"/>
      <w:bookmarkStart w:id="150" w:name="_Toc184313238"/>
      <w:bookmarkEnd w:id="150"/>
      <w:bookmarkStart w:id="151" w:name="_Toc184310301"/>
      <w:bookmarkEnd w:id="151"/>
      <w:bookmarkStart w:id="152" w:name="_Toc184310317"/>
      <w:bookmarkEnd w:id="152"/>
      <w:bookmarkStart w:id="153" w:name="_Toc184314454"/>
      <w:bookmarkEnd w:id="153"/>
      <w:bookmarkStart w:id="154" w:name="_Toc184313248"/>
      <w:bookmarkEnd w:id="154"/>
      <w:bookmarkStart w:id="155" w:name="_Toc184313306"/>
      <w:bookmarkEnd w:id="155"/>
      <w:bookmarkStart w:id="156" w:name="_Toc184308070"/>
      <w:bookmarkEnd w:id="156"/>
      <w:bookmarkStart w:id="157" w:name="_Toc184313273"/>
      <w:bookmarkEnd w:id="157"/>
      <w:bookmarkStart w:id="158" w:name="_Toc184308065"/>
      <w:bookmarkEnd w:id="158"/>
      <w:bookmarkStart w:id="159" w:name="_Toc184312105"/>
      <w:bookmarkEnd w:id="159"/>
      <w:bookmarkStart w:id="160" w:name="_Toc184308058"/>
      <w:bookmarkEnd w:id="160"/>
      <w:bookmarkStart w:id="161" w:name="_Toc184310304"/>
      <w:bookmarkEnd w:id="161"/>
      <w:bookmarkStart w:id="162" w:name="_Toc184308045"/>
      <w:bookmarkEnd w:id="162"/>
      <w:bookmarkStart w:id="163" w:name="_Toc184310279"/>
      <w:bookmarkEnd w:id="163"/>
      <w:bookmarkStart w:id="164" w:name="_Toc184314461"/>
      <w:bookmarkEnd w:id="164"/>
      <w:bookmarkStart w:id="165" w:name="_Toc184314432"/>
      <w:bookmarkEnd w:id="165"/>
      <w:bookmarkStart w:id="166" w:name="_Toc184312134"/>
      <w:bookmarkEnd w:id="166"/>
      <w:bookmarkStart w:id="167" w:name="_Toc184313261"/>
      <w:bookmarkEnd w:id="167"/>
      <w:bookmarkStart w:id="168" w:name="_Toc184313283"/>
      <w:bookmarkEnd w:id="168"/>
      <w:bookmarkStart w:id="169" w:name="_Toc184314458"/>
      <w:bookmarkEnd w:id="169"/>
      <w:bookmarkStart w:id="170" w:name="_Toc184312126"/>
      <w:bookmarkEnd w:id="170"/>
      <w:bookmarkStart w:id="171" w:name="_Toc184308077"/>
      <w:bookmarkEnd w:id="171"/>
      <w:bookmarkStart w:id="172" w:name="_Toc184314465"/>
      <w:bookmarkEnd w:id="172"/>
      <w:bookmarkStart w:id="173" w:name="_Toc184313287"/>
      <w:bookmarkEnd w:id="173"/>
      <w:bookmarkStart w:id="174" w:name="_Toc184310281"/>
      <w:bookmarkEnd w:id="174"/>
      <w:bookmarkStart w:id="175" w:name="_Toc184312084"/>
      <w:bookmarkEnd w:id="175"/>
      <w:bookmarkStart w:id="176" w:name="_Toc184310344"/>
      <w:bookmarkEnd w:id="176"/>
      <w:bookmarkStart w:id="177" w:name="_Toc184313295"/>
      <w:bookmarkEnd w:id="177"/>
      <w:bookmarkStart w:id="178" w:name="_Toc184308089"/>
      <w:bookmarkEnd w:id="178"/>
      <w:bookmarkStart w:id="179" w:name="_Toc184313247"/>
      <w:bookmarkEnd w:id="179"/>
      <w:bookmarkStart w:id="180" w:name="_Toc184314440"/>
      <w:bookmarkEnd w:id="180"/>
      <w:bookmarkStart w:id="181" w:name="_Toc184308050"/>
      <w:bookmarkEnd w:id="181"/>
      <w:bookmarkStart w:id="182" w:name="_Toc184312087"/>
      <w:bookmarkEnd w:id="182"/>
      <w:bookmarkStart w:id="183" w:name="_Toc184314482"/>
      <w:bookmarkEnd w:id="183"/>
      <w:bookmarkStart w:id="184" w:name="_Toc184308092"/>
      <w:bookmarkEnd w:id="184"/>
      <w:bookmarkStart w:id="185" w:name="_Toc184310287"/>
      <w:bookmarkEnd w:id="185"/>
      <w:bookmarkStart w:id="186" w:name="_Toc184310306"/>
      <w:bookmarkEnd w:id="186"/>
      <w:bookmarkStart w:id="187" w:name="_Toc184313259"/>
      <w:bookmarkEnd w:id="187"/>
      <w:bookmarkStart w:id="188" w:name="_Toc184310273"/>
      <w:bookmarkEnd w:id="188"/>
      <w:bookmarkStart w:id="189" w:name="_Toc184308044"/>
      <w:bookmarkEnd w:id="189"/>
      <w:bookmarkStart w:id="190" w:name="_Toc184310283"/>
      <w:bookmarkEnd w:id="190"/>
      <w:bookmarkStart w:id="191" w:name="_Toc184312125"/>
      <w:bookmarkEnd w:id="191"/>
      <w:bookmarkStart w:id="192" w:name="_Toc184308053"/>
      <w:bookmarkEnd w:id="192"/>
      <w:bookmarkStart w:id="193" w:name="_Toc184313310"/>
      <w:bookmarkEnd w:id="193"/>
      <w:bookmarkStart w:id="194" w:name="_Toc184308076"/>
      <w:bookmarkEnd w:id="194"/>
      <w:bookmarkStart w:id="195" w:name="_Toc184312112"/>
      <w:bookmarkEnd w:id="195"/>
      <w:bookmarkStart w:id="196" w:name="_Toc184312121"/>
      <w:bookmarkEnd w:id="196"/>
      <w:bookmarkStart w:id="197" w:name="_Toc184308069"/>
      <w:bookmarkEnd w:id="197"/>
      <w:bookmarkStart w:id="198" w:name="_Toc184312114"/>
      <w:bookmarkEnd w:id="198"/>
      <w:bookmarkStart w:id="199" w:name="_Toc184312090"/>
      <w:bookmarkEnd w:id="199"/>
      <w:bookmarkStart w:id="200" w:name="_Toc184308043"/>
      <w:bookmarkEnd w:id="200"/>
      <w:bookmarkStart w:id="201" w:name="_Toc184310314"/>
      <w:bookmarkEnd w:id="201"/>
      <w:bookmarkStart w:id="202" w:name="_Toc184313255"/>
      <w:bookmarkEnd w:id="202"/>
      <w:bookmarkStart w:id="203" w:name="_Toc184313309"/>
      <w:bookmarkEnd w:id="203"/>
      <w:bookmarkStart w:id="204" w:name="_Toc184313256"/>
      <w:bookmarkEnd w:id="204"/>
      <w:bookmarkStart w:id="205" w:name="_Toc184313257"/>
      <w:bookmarkEnd w:id="205"/>
      <w:bookmarkStart w:id="206" w:name="_Toc184310309"/>
      <w:bookmarkEnd w:id="206"/>
      <w:bookmarkStart w:id="207" w:name="_Toc184314446"/>
      <w:bookmarkEnd w:id="207"/>
      <w:bookmarkStart w:id="208" w:name="_Toc184310325"/>
      <w:bookmarkEnd w:id="208"/>
      <w:bookmarkStart w:id="209" w:name="_Toc184312135"/>
      <w:bookmarkEnd w:id="209"/>
      <w:bookmarkStart w:id="210" w:name="_Toc184310302"/>
      <w:bookmarkEnd w:id="210"/>
      <w:bookmarkStart w:id="211" w:name="_Toc184312106"/>
      <w:bookmarkEnd w:id="211"/>
      <w:bookmarkStart w:id="212" w:name="_Toc184308046"/>
      <w:bookmarkEnd w:id="212"/>
      <w:bookmarkStart w:id="213" w:name="_Toc184314443"/>
      <w:bookmarkEnd w:id="213"/>
      <w:bookmarkStart w:id="214" w:name="_Toc184314462"/>
      <w:bookmarkEnd w:id="214"/>
      <w:bookmarkStart w:id="215" w:name="_Toc184308047"/>
      <w:bookmarkEnd w:id="215"/>
      <w:bookmarkStart w:id="216" w:name="_Toc184310329"/>
      <w:bookmarkEnd w:id="216"/>
      <w:bookmarkStart w:id="217" w:name="_Toc184313290"/>
      <w:bookmarkEnd w:id="217"/>
      <w:bookmarkStart w:id="218" w:name="_Toc184312091"/>
      <w:bookmarkEnd w:id="218"/>
      <w:bookmarkStart w:id="219" w:name="_Toc184308087"/>
      <w:bookmarkEnd w:id="219"/>
      <w:bookmarkStart w:id="220" w:name="_Toc184310343"/>
      <w:bookmarkEnd w:id="220"/>
      <w:bookmarkStart w:id="221" w:name="_Toc184313307"/>
      <w:bookmarkEnd w:id="221"/>
      <w:bookmarkStart w:id="222" w:name="_Toc184314469"/>
      <w:bookmarkEnd w:id="222"/>
      <w:bookmarkStart w:id="223" w:name="_Toc184314449"/>
      <w:bookmarkEnd w:id="223"/>
      <w:bookmarkStart w:id="224" w:name="_Toc184313300"/>
      <w:bookmarkEnd w:id="224"/>
      <w:bookmarkStart w:id="225" w:name="_Toc184312100"/>
      <w:bookmarkEnd w:id="225"/>
      <w:bookmarkStart w:id="226" w:name="_Toc184312077"/>
      <w:bookmarkEnd w:id="226"/>
      <w:bookmarkStart w:id="227" w:name="_Toc184310319"/>
      <w:bookmarkEnd w:id="227"/>
      <w:bookmarkStart w:id="228" w:name="_Toc184313262"/>
      <w:bookmarkEnd w:id="228"/>
      <w:bookmarkStart w:id="229" w:name="_Toc184312118"/>
      <w:bookmarkEnd w:id="229"/>
      <w:bookmarkStart w:id="230" w:name="_Toc184310322"/>
      <w:bookmarkEnd w:id="230"/>
      <w:bookmarkStart w:id="231" w:name="_Toc184313276"/>
      <w:bookmarkEnd w:id="231"/>
      <w:bookmarkStart w:id="232" w:name="_Toc184313293"/>
      <w:bookmarkEnd w:id="232"/>
      <w:bookmarkStart w:id="233" w:name="_Toc184308103"/>
      <w:bookmarkEnd w:id="233"/>
      <w:bookmarkStart w:id="234" w:name="_Toc184312093"/>
      <w:bookmarkEnd w:id="234"/>
      <w:bookmarkStart w:id="235" w:name="_Toc184313239"/>
      <w:bookmarkEnd w:id="235"/>
      <w:bookmarkStart w:id="236" w:name="_Toc184312068"/>
      <w:bookmarkEnd w:id="236"/>
      <w:bookmarkStart w:id="237" w:name="_Toc184314464"/>
      <w:bookmarkEnd w:id="237"/>
      <w:bookmarkStart w:id="238" w:name="_Toc184312139"/>
      <w:bookmarkEnd w:id="238"/>
      <w:bookmarkStart w:id="239" w:name="_Toc184310341"/>
      <w:bookmarkEnd w:id="239"/>
      <w:bookmarkStart w:id="240" w:name="_Toc184312070"/>
      <w:bookmarkEnd w:id="240"/>
      <w:bookmarkStart w:id="241" w:name="_Toc184308072"/>
      <w:bookmarkEnd w:id="241"/>
      <w:bookmarkStart w:id="242" w:name="_Toc184314425"/>
      <w:bookmarkEnd w:id="242"/>
      <w:bookmarkStart w:id="243" w:name="_Toc184314463"/>
      <w:bookmarkEnd w:id="243"/>
      <w:bookmarkStart w:id="244" w:name="_Toc184308099"/>
      <w:bookmarkEnd w:id="244"/>
      <w:bookmarkStart w:id="245" w:name="_Toc184312132"/>
      <w:bookmarkEnd w:id="245"/>
      <w:bookmarkStart w:id="246" w:name="_Toc184308075"/>
      <w:bookmarkEnd w:id="246"/>
      <w:bookmarkStart w:id="247" w:name="_Toc184310284"/>
      <w:bookmarkEnd w:id="247"/>
      <w:bookmarkStart w:id="248" w:name="_Toc184312103"/>
      <w:bookmarkEnd w:id="248"/>
      <w:bookmarkStart w:id="249" w:name="_Toc184312130"/>
      <w:bookmarkEnd w:id="249"/>
      <w:bookmarkStart w:id="250" w:name="_Toc184310313"/>
      <w:bookmarkEnd w:id="250"/>
      <w:bookmarkStart w:id="251" w:name="_Toc184308094"/>
      <w:bookmarkEnd w:id="251"/>
      <w:bookmarkStart w:id="252" w:name="_Toc184313301"/>
      <w:bookmarkEnd w:id="252"/>
      <w:bookmarkStart w:id="253" w:name="_Toc184312098"/>
      <w:bookmarkEnd w:id="253"/>
      <w:bookmarkStart w:id="254" w:name="_Toc184313285"/>
      <w:bookmarkEnd w:id="254"/>
      <w:bookmarkStart w:id="255" w:name="_Toc184312136"/>
      <w:bookmarkEnd w:id="255"/>
      <w:bookmarkStart w:id="256" w:name="_Toc184310335"/>
      <w:bookmarkEnd w:id="256"/>
      <w:bookmarkStart w:id="257" w:name="_Toc184314450"/>
      <w:bookmarkEnd w:id="257"/>
      <w:bookmarkStart w:id="258" w:name="_Toc184312113"/>
      <w:bookmarkEnd w:id="258"/>
      <w:bookmarkStart w:id="259" w:name="_Toc184314410"/>
      <w:bookmarkEnd w:id="259"/>
      <w:bookmarkStart w:id="260" w:name="_Toc184313291"/>
      <w:bookmarkEnd w:id="260"/>
      <w:bookmarkStart w:id="261" w:name="_Toc184313305"/>
      <w:bookmarkEnd w:id="261"/>
      <w:bookmarkStart w:id="262" w:name="_Toc184308040"/>
      <w:bookmarkEnd w:id="262"/>
      <w:bookmarkStart w:id="263" w:name="_Toc184308106"/>
      <w:bookmarkEnd w:id="263"/>
      <w:bookmarkStart w:id="264" w:name="_Toc184314413"/>
      <w:bookmarkEnd w:id="264"/>
      <w:bookmarkStart w:id="265" w:name="_Toc184308079"/>
      <w:bookmarkEnd w:id="265"/>
      <w:bookmarkStart w:id="266" w:name="_Toc184313303"/>
      <w:bookmarkEnd w:id="266"/>
      <w:bookmarkStart w:id="267" w:name="_Toc184312119"/>
      <w:bookmarkEnd w:id="267"/>
      <w:bookmarkStart w:id="268" w:name="_Toc184310328"/>
      <w:bookmarkEnd w:id="268"/>
      <w:bookmarkStart w:id="269" w:name="_Toc184308066"/>
      <w:bookmarkEnd w:id="269"/>
      <w:bookmarkStart w:id="270" w:name="_Toc184313279"/>
      <w:bookmarkEnd w:id="270"/>
      <w:bookmarkStart w:id="271" w:name="_Toc184313244"/>
      <w:bookmarkEnd w:id="271"/>
      <w:bookmarkStart w:id="272" w:name="_Toc184310276"/>
      <w:bookmarkEnd w:id="272"/>
      <w:bookmarkStart w:id="273" w:name="_Toc184313269"/>
      <w:bookmarkEnd w:id="273"/>
      <w:bookmarkStart w:id="274" w:name="_Toc184312107"/>
      <w:bookmarkEnd w:id="274"/>
      <w:bookmarkStart w:id="275" w:name="_Toc184314460"/>
      <w:bookmarkEnd w:id="275"/>
      <w:bookmarkStart w:id="276" w:name="_Toc184308056"/>
      <w:bookmarkEnd w:id="276"/>
      <w:bookmarkStart w:id="277" w:name="_Toc184314442"/>
      <w:bookmarkEnd w:id="277"/>
      <w:bookmarkStart w:id="278" w:name="_Toc184314435"/>
      <w:bookmarkEnd w:id="278"/>
      <w:bookmarkStart w:id="279" w:name="_Toc184308064"/>
      <w:bookmarkEnd w:id="279"/>
      <w:bookmarkStart w:id="280" w:name="_Toc184313240"/>
      <w:bookmarkEnd w:id="280"/>
      <w:bookmarkStart w:id="281" w:name="_Toc184310308"/>
      <w:bookmarkEnd w:id="281"/>
      <w:bookmarkStart w:id="282" w:name="_Toc184310337"/>
      <w:bookmarkEnd w:id="282"/>
      <w:bookmarkStart w:id="283" w:name="_Toc184313294"/>
      <w:bookmarkEnd w:id="283"/>
      <w:bookmarkStart w:id="284" w:name="_Toc184312067"/>
      <w:bookmarkEnd w:id="284"/>
      <w:bookmarkStart w:id="285" w:name="_Toc184310286"/>
      <w:bookmarkEnd w:id="285"/>
      <w:bookmarkStart w:id="286" w:name="_Toc184312133"/>
      <w:bookmarkEnd w:id="286"/>
      <w:bookmarkStart w:id="287" w:name="_Toc184308083"/>
      <w:bookmarkEnd w:id="287"/>
      <w:bookmarkStart w:id="288" w:name="_Toc184308093"/>
      <w:bookmarkEnd w:id="288"/>
      <w:bookmarkStart w:id="289" w:name="_Toc184313289"/>
      <w:bookmarkEnd w:id="289"/>
      <w:bookmarkStart w:id="290" w:name="_Toc184314437"/>
      <w:bookmarkEnd w:id="290"/>
      <w:bookmarkStart w:id="291" w:name="_Toc184312082"/>
      <w:bookmarkEnd w:id="291"/>
      <w:bookmarkStart w:id="292" w:name="_Toc184308062"/>
      <w:bookmarkEnd w:id="292"/>
      <w:bookmarkStart w:id="293" w:name="_Toc184310332"/>
      <w:bookmarkEnd w:id="293"/>
      <w:bookmarkStart w:id="294" w:name="_Toc184314471"/>
      <w:bookmarkEnd w:id="294"/>
      <w:bookmarkStart w:id="295" w:name="_Toc184314470"/>
      <w:bookmarkEnd w:id="295"/>
      <w:bookmarkStart w:id="296" w:name="_Toc184314415"/>
      <w:bookmarkEnd w:id="296"/>
      <w:bookmarkStart w:id="297" w:name="_Toc184308037"/>
      <w:bookmarkEnd w:id="297"/>
      <w:bookmarkStart w:id="298" w:name="_Toc184313280"/>
      <w:bookmarkEnd w:id="298"/>
      <w:bookmarkStart w:id="299" w:name="_Toc184312123"/>
      <w:bookmarkEnd w:id="299"/>
      <w:bookmarkStart w:id="300" w:name="_Toc184313254"/>
      <w:bookmarkEnd w:id="300"/>
      <w:bookmarkStart w:id="301" w:name="_Toc184308073"/>
      <w:bookmarkEnd w:id="301"/>
      <w:bookmarkStart w:id="302" w:name="_Toc184312111"/>
      <w:bookmarkEnd w:id="302"/>
      <w:bookmarkStart w:id="303" w:name="_Toc184310330"/>
      <w:bookmarkEnd w:id="303"/>
      <w:bookmarkStart w:id="304" w:name="_Toc184312099"/>
      <w:bookmarkEnd w:id="304"/>
      <w:bookmarkStart w:id="305" w:name="_Toc184308102"/>
      <w:bookmarkEnd w:id="305"/>
      <w:bookmarkStart w:id="306" w:name="_Toc184314453"/>
      <w:bookmarkEnd w:id="306"/>
      <w:bookmarkStart w:id="307" w:name="_Toc184313260"/>
      <w:bookmarkEnd w:id="307"/>
      <w:bookmarkStart w:id="308" w:name="_Toc184308088"/>
      <w:bookmarkEnd w:id="308"/>
      <w:bookmarkStart w:id="309" w:name="_Toc184312116"/>
      <w:bookmarkEnd w:id="309"/>
      <w:bookmarkStart w:id="310" w:name="_Toc184308052"/>
      <w:bookmarkEnd w:id="310"/>
      <w:bookmarkStart w:id="311" w:name="_Toc184312081"/>
      <w:bookmarkEnd w:id="311"/>
      <w:bookmarkStart w:id="312" w:name="_Toc184310311"/>
      <w:bookmarkEnd w:id="312"/>
      <w:bookmarkStart w:id="313" w:name="_Toc184313263"/>
      <w:bookmarkEnd w:id="313"/>
      <w:bookmarkStart w:id="314" w:name="_Toc184308038"/>
      <w:bookmarkEnd w:id="314"/>
      <w:bookmarkStart w:id="315" w:name="_Toc184308082"/>
      <w:bookmarkEnd w:id="315"/>
      <w:bookmarkStart w:id="316" w:name="_Toc184310293"/>
      <w:bookmarkEnd w:id="316"/>
      <w:bookmarkStart w:id="317" w:name="_Toc184312086"/>
      <w:bookmarkEnd w:id="317"/>
      <w:bookmarkStart w:id="318" w:name="_Toc184313275"/>
      <w:bookmarkEnd w:id="318"/>
      <w:bookmarkStart w:id="319" w:name="_Toc184308051"/>
      <w:bookmarkEnd w:id="319"/>
      <w:bookmarkStart w:id="320" w:name="_Toc184308074"/>
      <w:bookmarkEnd w:id="320"/>
      <w:bookmarkStart w:id="321" w:name="_Toc184314456"/>
      <w:bookmarkEnd w:id="321"/>
      <w:bookmarkStart w:id="322" w:name="_Toc184310324"/>
      <w:bookmarkEnd w:id="322"/>
      <w:bookmarkStart w:id="323" w:name="_Toc184313270"/>
      <w:bookmarkEnd w:id="323"/>
      <w:bookmarkStart w:id="324" w:name="_Toc184310292"/>
      <w:bookmarkEnd w:id="324"/>
      <w:bookmarkStart w:id="325" w:name="_Toc184313304"/>
      <w:bookmarkEnd w:id="325"/>
      <w:bookmarkStart w:id="326" w:name="_Toc184314411"/>
      <w:bookmarkEnd w:id="326"/>
      <w:bookmarkStart w:id="327" w:name="_Toc184314444"/>
      <w:bookmarkEnd w:id="327"/>
      <w:bookmarkStart w:id="328" w:name="_Toc184308055"/>
      <w:bookmarkEnd w:id="328"/>
      <w:bookmarkStart w:id="329" w:name="_Toc184314417"/>
      <w:bookmarkEnd w:id="329"/>
      <w:bookmarkStart w:id="330" w:name="_Toc184308041"/>
      <w:bookmarkEnd w:id="330"/>
      <w:bookmarkStart w:id="331" w:name="_Toc184312101"/>
      <w:bookmarkEnd w:id="331"/>
      <w:bookmarkStart w:id="332" w:name="_Toc184310290"/>
      <w:bookmarkEnd w:id="332"/>
      <w:bookmarkStart w:id="333" w:name="_Toc184312122"/>
      <w:bookmarkEnd w:id="333"/>
      <w:bookmarkStart w:id="334" w:name="_Toc184312129"/>
      <w:bookmarkEnd w:id="334"/>
      <w:bookmarkStart w:id="335" w:name="_Toc184314451"/>
      <w:bookmarkEnd w:id="335"/>
      <w:bookmarkStart w:id="336" w:name="_Toc184308095"/>
      <w:bookmarkEnd w:id="336"/>
      <w:bookmarkStart w:id="337" w:name="_Toc184313242"/>
      <w:bookmarkEnd w:id="337"/>
      <w:bookmarkStart w:id="338" w:name="_Toc184312102"/>
      <w:bookmarkEnd w:id="338"/>
      <w:bookmarkStart w:id="339" w:name="_Toc184310336"/>
      <w:bookmarkEnd w:id="339"/>
      <w:bookmarkStart w:id="340" w:name="_Toc184310294"/>
      <w:bookmarkEnd w:id="340"/>
      <w:bookmarkStart w:id="341" w:name="_Toc184310285"/>
      <w:bookmarkEnd w:id="341"/>
      <w:bookmarkStart w:id="342" w:name="_Toc184313296"/>
      <w:bookmarkEnd w:id="342"/>
      <w:bookmarkStart w:id="343" w:name="_Toc184312097"/>
      <w:bookmarkEnd w:id="343"/>
      <w:bookmarkStart w:id="344" w:name="_Toc184314478"/>
      <w:bookmarkEnd w:id="344"/>
      <w:bookmarkStart w:id="345" w:name="_Toc184314422"/>
      <w:bookmarkEnd w:id="345"/>
      <w:bookmarkStart w:id="346" w:name="_Toc184314433"/>
      <w:bookmarkEnd w:id="346"/>
      <w:bookmarkStart w:id="347" w:name="_Toc184313282"/>
      <w:bookmarkEnd w:id="347"/>
      <w:bookmarkStart w:id="348" w:name="_Toc184314468"/>
      <w:bookmarkEnd w:id="348"/>
      <w:bookmarkStart w:id="349" w:name="_Toc184313267"/>
      <w:bookmarkEnd w:id="349"/>
      <w:bookmarkStart w:id="350" w:name="_Toc184312096"/>
      <w:bookmarkEnd w:id="350"/>
      <w:bookmarkStart w:id="351" w:name="_Toc184314427"/>
      <w:bookmarkEnd w:id="351"/>
      <w:bookmarkStart w:id="352" w:name="_Toc184312085"/>
      <w:bookmarkEnd w:id="352"/>
      <w:bookmarkStart w:id="353" w:name="_Toc184312137"/>
      <w:bookmarkEnd w:id="353"/>
      <w:bookmarkStart w:id="354" w:name="_Toc184312110"/>
      <w:bookmarkEnd w:id="354"/>
      <w:bookmarkStart w:id="355" w:name="_Toc184310288"/>
      <w:bookmarkEnd w:id="355"/>
      <w:bookmarkStart w:id="356" w:name="_Toc184310316"/>
      <w:bookmarkEnd w:id="356"/>
      <w:bookmarkStart w:id="357" w:name="_Toc184312072"/>
      <w:bookmarkEnd w:id="357"/>
      <w:bookmarkStart w:id="358" w:name="_Toc184310333"/>
      <w:bookmarkEnd w:id="358"/>
      <w:bookmarkStart w:id="359" w:name="_Toc184310326"/>
      <w:bookmarkEnd w:id="359"/>
      <w:bookmarkStart w:id="360" w:name="_Toc184310339"/>
      <w:bookmarkEnd w:id="360"/>
      <w:bookmarkStart w:id="361" w:name="_Toc184308086"/>
      <w:bookmarkEnd w:id="361"/>
      <w:bookmarkStart w:id="362" w:name="_Toc184310275"/>
      <w:bookmarkEnd w:id="362"/>
      <w:bookmarkStart w:id="363" w:name="_Toc184314452"/>
      <w:bookmarkEnd w:id="363"/>
      <w:bookmarkStart w:id="364" w:name="_Toc184308080"/>
      <w:bookmarkEnd w:id="364"/>
      <w:bookmarkStart w:id="365" w:name="_Toc184312127"/>
      <w:bookmarkEnd w:id="365"/>
      <w:bookmarkStart w:id="366" w:name="_Toc184314431"/>
      <w:bookmarkEnd w:id="366"/>
      <w:bookmarkStart w:id="367" w:name="_Toc184314457"/>
      <w:bookmarkEnd w:id="367"/>
      <w:bookmarkStart w:id="368" w:name="_Toc184313277"/>
      <w:bookmarkEnd w:id="368"/>
      <w:bookmarkStart w:id="369" w:name="_Toc184312080"/>
      <w:bookmarkEnd w:id="369"/>
      <w:bookmarkStart w:id="370" w:name="_Toc184308104"/>
      <w:bookmarkEnd w:id="370"/>
      <w:bookmarkStart w:id="371" w:name="_Toc184314419"/>
      <w:bookmarkEnd w:id="371"/>
      <w:bookmarkStart w:id="372" w:name="_Toc184313250"/>
      <w:bookmarkEnd w:id="372"/>
      <w:bookmarkStart w:id="373" w:name="_Toc184308100"/>
      <w:bookmarkEnd w:id="373"/>
      <w:bookmarkStart w:id="374" w:name="_Toc184308105"/>
      <w:bookmarkEnd w:id="374"/>
      <w:bookmarkStart w:id="375" w:name="_Toc184314428"/>
      <w:bookmarkEnd w:id="375"/>
      <w:bookmarkStart w:id="376" w:name="_Toc184314421"/>
      <w:bookmarkEnd w:id="376"/>
      <w:bookmarkStart w:id="377" w:name="_Toc184314448"/>
      <w:bookmarkEnd w:id="377"/>
      <w:bookmarkStart w:id="378" w:name="_Toc184314479"/>
      <w:bookmarkEnd w:id="378"/>
      <w:bookmarkStart w:id="379" w:name="_Toc184308081"/>
      <w:bookmarkEnd w:id="379"/>
      <w:bookmarkStart w:id="380" w:name="_Toc184312089"/>
      <w:bookmarkEnd w:id="380"/>
      <w:bookmarkStart w:id="381" w:name="_Toc184312088"/>
      <w:bookmarkEnd w:id="381"/>
      <w:bookmarkStart w:id="382" w:name="_Toc184314429"/>
      <w:bookmarkEnd w:id="382"/>
      <w:bookmarkStart w:id="383" w:name="_Toc184310331"/>
      <w:bookmarkEnd w:id="383"/>
      <w:bookmarkStart w:id="384" w:name="_Toc184308101"/>
      <w:bookmarkEnd w:id="384"/>
      <w:bookmarkStart w:id="385" w:name="_Toc184312131"/>
      <w:bookmarkEnd w:id="385"/>
      <w:bookmarkStart w:id="386" w:name="_Toc184310340"/>
      <w:bookmarkEnd w:id="386"/>
      <w:bookmarkStart w:id="387" w:name="_Toc184313249"/>
      <w:bookmarkEnd w:id="387"/>
      <w:bookmarkStart w:id="388" w:name="_Toc184308036"/>
      <w:bookmarkEnd w:id="388"/>
      <w:bookmarkStart w:id="389" w:name="_Toc184314412"/>
      <w:bookmarkEnd w:id="389"/>
      <w:bookmarkStart w:id="390" w:name="_Toc184310312"/>
      <w:bookmarkEnd w:id="390"/>
      <w:bookmarkStart w:id="391" w:name="_Toc184310318"/>
      <w:bookmarkEnd w:id="391"/>
      <w:bookmarkStart w:id="392" w:name="_Toc184310310"/>
      <w:bookmarkEnd w:id="392"/>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pPr>
        <w:pStyle w:val="822"/>
        <w:ind w:firstLine="964"/>
        <w:rPr>
          <w:rFonts w:ascii="仿宋" w:hAnsi="仿宋" w:eastAsia="仿宋" w:cs="仿宋_GB2312"/>
          <w:color w:val="auto"/>
          <w:sz w:val="32"/>
          <w:szCs w:val="20"/>
          <w:highlight w:val="none"/>
        </w:rPr>
      </w:pPr>
    </w:p>
    <w:tbl>
      <w:tblPr>
        <w:tblStyle w:val="51"/>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223"/>
        <w:gridCol w:w="676"/>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6223" w:type="dxa"/>
            <w:vAlign w:val="center"/>
          </w:tcPr>
          <w:p>
            <w:pPr>
              <w:spacing w:line="24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676" w:type="dxa"/>
            <w:vAlign w:val="center"/>
          </w:tcPr>
          <w:p>
            <w:pPr>
              <w:spacing w:line="24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1643" w:type="dxa"/>
            <w:vAlign w:val="center"/>
          </w:tcPr>
          <w:p>
            <w:pPr>
              <w:spacing w:line="24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bCs/>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p>
        </w:tc>
        <w:tc>
          <w:tcPr>
            <w:tcW w:w="6223" w:type="dxa"/>
            <w:vAlign w:val="center"/>
          </w:tcPr>
          <w:p>
            <w:pPr>
              <w:spacing w:line="240" w:lineRule="auto"/>
              <w:jc w:val="both"/>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功能需求：根据对以下每个功能需求的理解程度、功能分析描述详细程度进行打分。</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1.1</w:t>
            </w:r>
          </w:p>
        </w:tc>
        <w:tc>
          <w:tcPr>
            <w:tcW w:w="6223" w:type="dxa"/>
            <w:vAlign w:val="center"/>
          </w:tcPr>
          <w:p>
            <w:pPr>
              <w:spacing w:line="240" w:lineRule="auto"/>
              <w:jc w:val="left"/>
              <w:outlineLvl w:val="0"/>
              <w:rPr>
                <w:rFonts w:hint="eastAsia" w:ascii="仿宋" w:hAnsi="仿宋" w:eastAsia="仿宋" w:cs="仿宋"/>
                <w:bCs/>
                <w:color w:val="auto"/>
                <w:sz w:val="24"/>
                <w:highlight w:val="none"/>
                <w:lang w:eastAsia="zh-CN"/>
              </w:rPr>
            </w:pPr>
            <w:r>
              <w:rPr>
                <w:rFonts w:hint="eastAsia" w:ascii="仿宋" w:hAnsi="仿宋" w:eastAsia="仿宋"/>
                <w:color w:val="auto"/>
                <w:sz w:val="24"/>
                <w:szCs w:val="24"/>
                <w:highlight w:val="none"/>
              </w:rPr>
              <w:t>经营所得个人所得税数据归集</w:t>
            </w:r>
            <w:r>
              <w:rPr>
                <w:rFonts w:hint="eastAsia" w:ascii="仿宋" w:hAnsi="仿宋" w:eastAsia="仿宋"/>
                <w:color w:val="auto"/>
                <w:sz w:val="24"/>
                <w:szCs w:val="24"/>
                <w:highlight w:val="none"/>
                <w:lang w:eastAsia="zh-CN"/>
              </w:rPr>
              <w:t>：对需求理解充分、功能分析描述详细的，得2分；需求理解充分，但功能分析描述不够详细的，得1分；未理解需求</w:t>
            </w:r>
            <w:r>
              <w:rPr>
                <w:rFonts w:hint="eastAsia" w:ascii="仿宋" w:hAnsi="仿宋" w:eastAsia="仿宋"/>
                <w:color w:val="auto"/>
                <w:sz w:val="24"/>
                <w:szCs w:val="24"/>
                <w:highlight w:val="none"/>
                <w:lang w:val="en-US" w:eastAsia="zh-CN"/>
              </w:rPr>
              <w:t>或未体现相关内容</w:t>
            </w:r>
            <w:r>
              <w:rPr>
                <w:rFonts w:hint="eastAsia" w:ascii="仿宋" w:hAnsi="仿宋" w:eastAsia="仿宋"/>
                <w:color w:val="auto"/>
                <w:sz w:val="24"/>
                <w:szCs w:val="24"/>
                <w:highlight w:val="none"/>
                <w:lang w:eastAsia="zh-CN"/>
              </w:rPr>
              <w:t>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1.2</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olor w:val="auto"/>
                <w:sz w:val="24"/>
                <w:szCs w:val="24"/>
                <w:highlight w:val="none"/>
              </w:rPr>
              <w:t>经营所得汇算清缴数据试算/经营所得汇总申报数据试算</w:t>
            </w:r>
            <w:r>
              <w:rPr>
                <w:rFonts w:hint="eastAsia" w:ascii="仿宋" w:hAnsi="仿宋" w:eastAsia="仿宋"/>
                <w:color w:val="auto"/>
                <w:sz w:val="24"/>
                <w:szCs w:val="24"/>
                <w:highlight w:val="none"/>
                <w:lang w:val="en-US" w:eastAsia="zh-CN"/>
              </w:rPr>
              <w:t>/经营所得汇总申报税务机关预判</w:t>
            </w:r>
            <w:r>
              <w:rPr>
                <w:rFonts w:hint="eastAsia" w:ascii="仿宋" w:hAnsi="仿宋" w:eastAsia="仿宋"/>
                <w:color w:val="auto"/>
                <w:sz w:val="24"/>
                <w:szCs w:val="24"/>
                <w:highlight w:val="none"/>
                <w:lang w:eastAsia="zh-CN"/>
              </w:rPr>
              <w:t>：对需求理解充分、功能分析描述详细的，得2分；需求理解充分，但功能分析描述不够详细的，得1分；未理解需求</w:t>
            </w:r>
            <w:r>
              <w:rPr>
                <w:rFonts w:hint="eastAsia" w:ascii="仿宋" w:hAnsi="仿宋" w:eastAsia="仿宋"/>
                <w:color w:val="auto"/>
                <w:sz w:val="24"/>
                <w:szCs w:val="24"/>
                <w:highlight w:val="none"/>
                <w:lang w:val="en-US" w:eastAsia="zh-CN"/>
              </w:rPr>
              <w:t>或未体现相关内容</w:t>
            </w:r>
            <w:r>
              <w:rPr>
                <w:rFonts w:hint="eastAsia" w:ascii="仿宋" w:hAnsi="仿宋" w:eastAsia="仿宋"/>
                <w:color w:val="auto"/>
                <w:sz w:val="24"/>
                <w:szCs w:val="24"/>
                <w:highlight w:val="none"/>
                <w:lang w:eastAsia="zh-CN"/>
              </w:rPr>
              <w:t>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1.3</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olor w:val="auto"/>
                <w:sz w:val="24"/>
                <w:szCs w:val="24"/>
                <w:highlight w:val="none"/>
              </w:rPr>
              <w:t>经营所得一人式档案查询/经营所得被投资单位一户式档案查询</w:t>
            </w:r>
            <w:r>
              <w:rPr>
                <w:rFonts w:hint="eastAsia" w:ascii="仿宋" w:hAnsi="仿宋" w:eastAsia="仿宋"/>
                <w:color w:val="auto"/>
                <w:sz w:val="24"/>
                <w:szCs w:val="24"/>
                <w:highlight w:val="none"/>
                <w:lang w:eastAsia="zh-CN"/>
              </w:rPr>
              <w:t>：对需求理解充分、功能分析描述详细的，得2分；需求理解充分，但功能分析描述不够详细的，得1分；未理解需求</w:t>
            </w:r>
            <w:r>
              <w:rPr>
                <w:rFonts w:hint="eastAsia" w:ascii="仿宋" w:hAnsi="仿宋" w:eastAsia="仿宋"/>
                <w:color w:val="auto"/>
                <w:sz w:val="24"/>
                <w:szCs w:val="24"/>
                <w:highlight w:val="none"/>
                <w:lang w:val="en-US" w:eastAsia="zh-CN"/>
              </w:rPr>
              <w:t>或未体现相关内容</w:t>
            </w:r>
            <w:r>
              <w:rPr>
                <w:rFonts w:hint="eastAsia" w:ascii="仿宋" w:hAnsi="仿宋" w:eastAsia="仿宋"/>
                <w:color w:val="auto"/>
                <w:sz w:val="24"/>
                <w:szCs w:val="24"/>
                <w:highlight w:val="none"/>
                <w:lang w:eastAsia="zh-CN"/>
              </w:rPr>
              <w:t>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1.4</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olor w:val="auto"/>
                <w:sz w:val="24"/>
                <w:szCs w:val="24"/>
                <w:highlight w:val="none"/>
              </w:rPr>
              <w:t>经营所得不得核定征收预警监控/经营所得核定应税所得率预警监控</w:t>
            </w:r>
            <w:r>
              <w:rPr>
                <w:rFonts w:hint="eastAsia" w:ascii="仿宋" w:hAnsi="仿宋" w:eastAsia="仿宋"/>
                <w:color w:val="auto"/>
                <w:sz w:val="24"/>
                <w:szCs w:val="24"/>
                <w:highlight w:val="none"/>
                <w:lang w:eastAsia="zh-CN"/>
              </w:rPr>
              <w:t>：对需求理解充分、功能分析描述详细的，得2分；需求理解充分，但功能分析描述不够详细的，得1分；未理解需求</w:t>
            </w:r>
            <w:r>
              <w:rPr>
                <w:rFonts w:hint="eastAsia" w:ascii="仿宋" w:hAnsi="仿宋" w:eastAsia="仿宋"/>
                <w:color w:val="auto"/>
                <w:sz w:val="24"/>
                <w:szCs w:val="24"/>
                <w:highlight w:val="none"/>
                <w:lang w:val="en-US" w:eastAsia="zh-CN"/>
              </w:rPr>
              <w:t>或未体现相关内容</w:t>
            </w:r>
            <w:r>
              <w:rPr>
                <w:rFonts w:hint="eastAsia" w:ascii="仿宋" w:hAnsi="仿宋" w:eastAsia="仿宋"/>
                <w:color w:val="auto"/>
                <w:sz w:val="24"/>
                <w:szCs w:val="24"/>
                <w:highlight w:val="none"/>
                <w:lang w:eastAsia="zh-CN"/>
              </w:rPr>
              <w:t>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olor w:val="auto"/>
                <w:sz w:val="24"/>
                <w:szCs w:val="24"/>
                <w:highlight w:val="none"/>
                <w:lang w:eastAsia="zh-CN"/>
              </w:rPr>
              <w:t>查账征收</w:t>
            </w:r>
            <w:r>
              <w:rPr>
                <w:rFonts w:hint="eastAsia" w:ascii="仿宋" w:hAnsi="仿宋" w:eastAsia="仿宋"/>
                <w:color w:val="auto"/>
                <w:sz w:val="24"/>
                <w:szCs w:val="24"/>
                <w:highlight w:val="none"/>
              </w:rPr>
              <w:t>疑点预警监控/征收方式变更的预警监控</w:t>
            </w:r>
            <w:r>
              <w:rPr>
                <w:rFonts w:hint="eastAsia" w:ascii="仿宋" w:hAnsi="仿宋" w:eastAsia="仿宋"/>
                <w:color w:val="auto"/>
                <w:sz w:val="24"/>
                <w:szCs w:val="24"/>
                <w:highlight w:val="none"/>
                <w:lang w:eastAsia="zh-CN"/>
              </w:rPr>
              <w:t>：对需求理解充分、功能分析描述详细的，得2分；需求理解充分，但功能分析描述不够详细的，得1分；未理解需求</w:t>
            </w:r>
            <w:r>
              <w:rPr>
                <w:rFonts w:hint="eastAsia" w:ascii="仿宋" w:hAnsi="仿宋" w:eastAsia="仿宋"/>
                <w:color w:val="auto"/>
                <w:sz w:val="24"/>
                <w:szCs w:val="24"/>
                <w:highlight w:val="none"/>
                <w:lang w:val="en-US" w:eastAsia="zh-CN"/>
              </w:rPr>
              <w:t>或未体现相关内容</w:t>
            </w:r>
            <w:r>
              <w:rPr>
                <w:rFonts w:hint="eastAsia" w:ascii="仿宋" w:hAnsi="仿宋" w:eastAsia="仿宋"/>
                <w:color w:val="auto"/>
                <w:sz w:val="24"/>
                <w:szCs w:val="24"/>
                <w:highlight w:val="none"/>
                <w:lang w:eastAsia="zh-CN"/>
              </w:rPr>
              <w:t>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olor w:val="auto"/>
                <w:sz w:val="24"/>
                <w:szCs w:val="24"/>
                <w:highlight w:val="none"/>
              </w:rPr>
              <w:t>嵌套层合伙企业风险监控</w:t>
            </w:r>
            <w:r>
              <w:rPr>
                <w:rFonts w:hint="eastAsia" w:ascii="仿宋" w:hAnsi="仿宋" w:eastAsia="仿宋"/>
                <w:color w:val="auto"/>
                <w:sz w:val="24"/>
                <w:szCs w:val="24"/>
                <w:highlight w:val="none"/>
                <w:lang w:eastAsia="zh-CN"/>
              </w:rPr>
              <w:t>：对需求理解充分、功能分析描述详细的，得2分；需求理解充分，但功能分析描述不够详细的，得1分；未理解需求</w:t>
            </w:r>
            <w:r>
              <w:rPr>
                <w:rFonts w:hint="eastAsia" w:ascii="仿宋" w:hAnsi="仿宋" w:eastAsia="仿宋"/>
                <w:color w:val="auto"/>
                <w:sz w:val="24"/>
                <w:szCs w:val="24"/>
                <w:highlight w:val="none"/>
                <w:lang w:val="en-US" w:eastAsia="zh-CN"/>
              </w:rPr>
              <w:t>或未体现相关内容</w:t>
            </w:r>
            <w:r>
              <w:rPr>
                <w:rFonts w:hint="eastAsia" w:ascii="仿宋" w:hAnsi="仿宋" w:eastAsia="仿宋"/>
                <w:color w:val="auto"/>
                <w:sz w:val="24"/>
                <w:szCs w:val="24"/>
                <w:highlight w:val="none"/>
                <w:lang w:eastAsia="zh-CN"/>
              </w:rPr>
              <w:t>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olor w:val="auto"/>
                <w:sz w:val="24"/>
                <w:szCs w:val="24"/>
                <w:highlight w:val="none"/>
                <w:lang w:eastAsia="zh-CN"/>
              </w:rPr>
              <w:t>其他</w:t>
            </w:r>
            <w:r>
              <w:rPr>
                <w:rFonts w:hint="eastAsia" w:ascii="仿宋" w:hAnsi="仿宋" w:eastAsia="仿宋"/>
                <w:color w:val="auto"/>
                <w:sz w:val="24"/>
                <w:szCs w:val="24"/>
                <w:highlight w:val="none"/>
              </w:rPr>
              <w:t>日常</w:t>
            </w:r>
            <w:r>
              <w:rPr>
                <w:rFonts w:hint="eastAsia" w:ascii="仿宋" w:hAnsi="仿宋" w:eastAsia="仿宋"/>
                <w:color w:val="auto"/>
                <w:sz w:val="24"/>
                <w:szCs w:val="24"/>
                <w:highlight w:val="none"/>
                <w:lang w:eastAsia="zh-CN"/>
              </w:rPr>
              <w:t>管理查询统计表：对需求理解充分、功能分析描述详细的，得2分；需求理解充分，但功能分析描述不够详细的，得1分；未理解需求</w:t>
            </w:r>
            <w:r>
              <w:rPr>
                <w:rFonts w:hint="eastAsia" w:ascii="仿宋" w:hAnsi="仿宋" w:eastAsia="仿宋"/>
                <w:color w:val="auto"/>
                <w:sz w:val="24"/>
                <w:szCs w:val="24"/>
                <w:highlight w:val="none"/>
                <w:lang w:val="en-US" w:eastAsia="zh-CN"/>
              </w:rPr>
              <w:t>或未体现相关内容</w:t>
            </w:r>
            <w:r>
              <w:rPr>
                <w:rFonts w:hint="eastAsia" w:ascii="仿宋" w:hAnsi="仿宋" w:eastAsia="仿宋"/>
                <w:color w:val="auto"/>
                <w:sz w:val="24"/>
                <w:szCs w:val="24"/>
                <w:highlight w:val="none"/>
                <w:lang w:eastAsia="zh-CN"/>
              </w:rPr>
              <w:t>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olor w:val="auto"/>
                <w:sz w:val="24"/>
                <w:szCs w:val="24"/>
                <w:highlight w:val="none"/>
              </w:rPr>
              <w:t>被投资单位标签应用</w:t>
            </w:r>
            <w:r>
              <w:rPr>
                <w:rFonts w:hint="eastAsia" w:ascii="仿宋" w:hAnsi="仿宋" w:eastAsia="仿宋"/>
                <w:color w:val="auto"/>
                <w:sz w:val="24"/>
                <w:szCs w:val="24"/>
                <w:highlight w:val="none"/>
                <w:lang w:val="en-US" w:eastAsia="zh-CN"/>
              </w:rPr>
              <w:t>/被投资单位网格化管理员配置</w:t>
            </w:r>
            <w:r>
              <w:rPr>
                <w:rFonts w:hint="eastAsia" w:ascii="仿宋" w:hAnsi="仿宋" w:eastAsia="仿宋"/>
                <w:color w:val="auto"/>
                <w:sz w:val="24"/>
                <w:szCs w:val="24"/>
                <w:highlight w:val="none"/>
                <w:lang w:eastAsia="zh-CN"/>
              </w:rPr>
              <w:t>：对需求理解充分、功能分析描述详细的，得2分；需求理解充分，但功能分析描述不够详细的，得1分；未理解需求</w:t>
            </w:r>
            <w:r>
              <w:rPr>
                <w:rFonts w:hint="eastAsia" w:ascii="仿宋" w:hAnsi="仿宋" w:eastAsia="仿宋"/>
                <w:color w:val="auto"/>
                <w:sz w:val="24"/>
                <w:szCs w:val="24"/>
                <w:highlight w:val="none"/>
                <w:lang w:val="en-US" w:eastAsia="zh-CN"/>
              </w:rPr>
              <w:t>或未体现相关内容</w:t>
            </w:r>
            <w:r>
              <w:rPr>
                <w:rFonts w:hint="eastAsia" w:ascii="仿宋" w:hAnsi="仿宋" w:eastAsia="仿宋"/>
                <w:color w:val="auto"/>
                <w:sz w:val="24"/>
                <w:szCs w:val="24"/>
                <w:highlight w:val="none"/>
                <w:lang w:eastAsia="zh-CN"/>
              </w:rPr>
              <w:t>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olor w:val="auto"/>
                <w:sz w:val="24"/>
                <w:szCs w:val="24"/>
                <w:highlight w:val="none"/>
              </w:rPr>
              <w:t>税务人端信息采集/市场监管信息交换</w:t>
            </w:r>
            <w:r>
              <w:rPr>
                <w:rFonts w:hint="eastAsia" w:ascii="仿宋" w:hAnsi="仿宋" w:eastAsia="仿宋"/>
                <w:color w:val="auto"/>
                <w:sz w:val="24"/>
                <w:szCs w:val="24"/>
                <w:highlight w:val="none"/>
                <w:lang w:eastAsia="zh-CN"/>
              </w:rPr>
              <w:t>：对需求理解充分、功能分析描述详细的，得2分；需求理解充分，但功能分析描述不够详细的，得1分；未理解需求</w:t>
            </w:r>
            <w:r>
              <w:rPr>
                <w:rFonts w:hint="eastAsia" w:ascii="仿宋" w:hAnsi="仿宋" w:eastAsia="仿宋"/>
                <w:color w:val="auto"/>
                <w:sz w:val="24"/>
                <w:szCs w:val="24"/>
                <w:highlight w:val="none"/>
                <w:lang w:val="en-US" w:eastAsia="zh-CN"/>
              </w:rPr>
              <w:t>或未体现相关内容</w:t>
            </w:r>
            <w:r>
              <w:rPr>
                <w:rFonts w:hint="eastAsia" w:ascii="仿宋" w:hAnsi="仿宋" w:eastAsia="仿宋"/>
                <w:color w:val="auto"/>
                <w:sz w:val="24"/>
                <w:szCs w:val="24"/>
                <w:highlight w:val="none"/>
                <w:lang w:eastAsia="zh-CN"/>
              </w:rPr>
              <w:t>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1.10</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olor w:val="auto"/>
                <w:sz w:val="24"/>
                <w:szCs w:val="24"/>
                <w:highlight w:val="none"/>
              </w:rPr>
              <w:t>股权转让风险扫描/股权转让规则配置</w:t>
            </w:r>
            <w:r>
              <w:rPr>
                <w:rFonts w:hint="eastAsia" w:ascii="仿宋" w:hAnsi="仿宋" w:eastAsia="仿宋"/>
                <w:color w:val="auto"/>
                <w:sz w:val="24"/>
                <w:szCs w:val="24"/>
                <w:highlight w:val="none"/>
                <w:lang w:eastAsia="zh-CN"/>
              </w:rPr>
              <w:t>：对需求理解充分、功能分析描述详细的，得2分；需求理解充分，但功能分析描述不够详细的，得1分；未理解需求</w:t>
            </w:r>
            <w:r>
              <w:rPr>
                <w:rFonts w:hint="eastAsia" w:ascii="仿宋" w:hAnsi="仿宋" w:eastAsia="仿宋"/>
                <w:color w:val="auto"/>
                <w:sz w:val="24"/>
                <w:szCs w:val="24"/>
                <w:highlight w:val="none"/>
                <w:lang w:val="en-US" w:eastAsia="zh-CN"/>
              </w:rPr>
              <w:t>或未体现相关内容</w:t>
            </w:r>
            <w:r>
              <w:rPr>
                <w:rFonts w:hint="eastAsia" w:ascii="仿宋" w:hAnsi="仿宋" w:eastAsia="仿宋"/>
                <w:color w:val="auto"/>
                <w:sz w:val="24"/>
                <w:szCs w:val="24"/>
                <w:highlight w:val="none"/>
                <w:lang w:eastAsia="zh-CN"/>
              </w:rPr>
              <w:t>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1.11</w:t>
            </w:r>
          </w:p>
        </w:tc>
        <w:tc>
          <w:tcPr>
            <w:tcW w:w="6223" w:type="dxa"/>
            <w:vAlign w:val="center"/>
          </w:tcPr>
          <w:p>
            <w:pPr>
              <w:keepLines w:val="0"/>
              <w:pageBreakBefore w:val="0"/>
              <w:tabs>
                <w:tab w:val="left" w:pos="312"/>
              </w:tabs>
              <w:kinsoku/>
              <w:wordWrap/>
              <w:overflowPunct/>
              <w:topLinePunct w:val="0"/>
              <w:autoSpaceDE/>
              <w:autoSpaceDN/>
              <w:bidi w:val="0"/>
              <w:adjustRightInd/>
              <w:snapToGrid w:val="0"/>
              <w:spacing w:line="240" w:lineRule="auto"/>
              <w:jc w:val="both"/>
              <w:textAlignment w:val="auto"/>
              <w:rPr>
                <w:rFonts w:hint="eastAsia" w:ascii="仿宋" w:hAnsi="仿宋" w:eastAsia="仿宋" w:cs="仿宋"/>
                <w:bCs/>
                <w:color w:val="auto"/>
                <w:sz w:val="24"/>
                <w:highlight w:val="none"/>
              </w:rPr>
            </w:pPr>
            <w:r>
              <w:rPr>
                <w:rFonts w:hint="eastAsia" w:ascii="仿宋" w:hAnsi="仿宋" w:eastAsia="仿宋"/>
                <w:color w:val="auto"/>
                <w:sz w:val="24"/>
                <w:szCs w:val="24"/>
                <w:highlight w:val="none"/>
              </w:rPr>
              <w:t>股权转让分级审核/股权转让申请审核查询</w:t>
            </w:r>
            <w:r>
              <w:rPr>
                <w:rFonts w:hint="eastAsia" w:ascii="仿宋" w:hAnsi="仿宋" w:eastAsia="仿宋"/>
                <w:color w:val="auto"/>
                <w:sz w:val="24"/>
                <w:szCs w:val="24"/>
                <w:highlight w:val="none"/>
                <w:lang w:eastAsia="zh-CN"/>
              </w:rPr>
              <w:t>：对需求理解充分、功能分析描述详细的，得2分；需求理解充分，但功能分析描述不够详细的，得1分；未理解需求</w:t>
            </w:r>
            <w:r>
              <w:rPr>
                <w:rFonts w:hint="eastAsia" w:ascii="仿宋" w:hAnsi="仿宋" w:eastAsia="仿宋"/>
                <w:color w:val="auto"/>
                <w:sz w:val="24"/>
                <w:szCs w:val="24"/>
                <w:highlight w:val="none"/>
                <w:lang w:val="en-US" w:eastAsia="zh-CN"/>
              </w:rPr>
              <w:t>或未体现相关内容</w:t>
            </w:r>
            <w:r>
              <w:rPr>
                <w:rFonts w:hint="eastAsia" w:ascii="仿宋" w:hAnsi="仿宋" w:eastAsia="仿宋"/>
                <w:color w:val="auto"/>
                <w:sz w:val="24"/>
                <w:szCs w:val="24"/>
                <w:highlight w:val="none"/>
                <w:lang w:eastAsia="zh-CN"/>
              </w:rPr>
              <w:t>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1.12</w:t>
            </w:r>
          </w:p>
        </w:tc>
        <w:tc>
          <w:tcPr>
            <w:tcW w:w="6223" w:type="dxa"/>
            <w:vAlign w:val="center"/>
          </w:tcPr>
          <w:p>
            <w:pPr>
              <w:keepLines w:val="0"/>
              <w:pageBreakBefore w:val="0"/>
              <w:tabs>
                <w:tab w:val="left" w:pos="312"/>
              </w:tabs>
              <w:kinsoku/>
              <w:wordWrap/>
              <w:overflowPunct/>
              <w:topLinePunct w:val="0"/>
              <w:autoSpaceDE/>
              <w:autoSpaceDN/>
              <w:bidi w:val="0"/>
              <w:adjustRightInd/>
              <w:snapToGrid w:val="0"/>
              <w:spacing w:line="240" w:lineRule="auto"/>
              <w:jc w:val="both"/>
              <w:textAlignment w:val="auto"/>
              <w:rPr>
                <w:rFonts w:hint="eastAsia" w:ascii="仿宋" w:hAnsi="仿宋" w:eastAsia="仿宋" w:cs="仿宋"/>
                <w:bCs/>
                <w:color w:val="auto"/>
                <w:sz w:val="24"/>
                <w:highlight w:val="none"/>
              </w:rPr>
            </w:pPr>
            <w:r>
              <w:rPr>
                <w:rFonts w:hint="eastAsia" w:ascii="仿宋" w:hAnsi="仿宋" w:eastAsia="仿宋"/>
                <w:color w:val="auto"/>
                <w:sz w:val="24"/>
                <w:szCs w:val="24"/>
                <w:highlight w:val="none"/>
              </w:rPr>
              <w:t>股权转让申请预填及关联申报/股权转让申报完税监控</w:t>
            </w:r>
            <w:r>
              <w:rPr>
                <w:rFonts w:hint="eastAsia" w:ascii="仿宋" w:hAnsi="仿宋" w:eastAsia="仿宋"/>
                <w:color w:val="auto"/>
                <w:sz w:val="24"/>
                <w:szCs w:val="24"/>
                <w:highlight w:val="none"/>
                <w:lang w:eastAsia="zh-CN"/>
              </w:rPr>
              <w:t>：对需求理解充分、功能分析描述详细的，得2分；需求理解充分，但功能分析描述不够详细的，得1分；未理解需求</w:t>
            </w:r>
            <w:r>
              <w:rPr>
                <w:rFonts w:hint="eastAsia" w:ascii="仿宋" w:hAnsi="仿宋" w:eastAsia="仿宋"/>
                <w:color w:val="auto"/>
                <w:sz w:val="24"/>
                <w:szCs w:val="24"/>
                <w:highlight w:val="none"/>
                <w:lang w:val="en-US" w:eastAsia="zh-CN"/>
              </w:rPr>
              <w:t>或未体现相关内容</w:t>
            </w:r>
            <w:r>
              <w:rPr>
                <w:rFonts w:hint="eastAsia" w:ascii="仿宋" w:hAnsi="仿宋" w:eastAsia="仿宋"/>
                <w:color w:val="auto"/>
                <w:sz w:val="24"/>
                <w:szCs w:val="24"/>
                <w:highlight w:val="none"/>
                <w:lang w:eastAsia="zh-CN"/>
              </w:rPr>
              <w:t>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1.13</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olor w:val="auto"/>
                <w:sz w:val="24"/>
                <w:szCs w:val="24"/>
                <w:highlight w:val="none"/>
              </w:rPr>
              <w:t>股权转让台账及链条式动态管理</w:t>
            </w:r>
            <w:r>
              <w:rPr>
                <w:rFonts w:hint="eastAsia" w:ascii="仿宋" w:hAnsi="仿宋" w:eastAsia="仿宋"/>
                <w:color w:val="auto"/>
                <w:sz w:val="24"/>
                <w:szCs w:val="24"/>
                <w:highlight w:val="none"/>
                <w:lang w:eastAsia="zh-CN"/>
              </w:rPr>
              <w:t>：对需求理解充分、功能分析描述详细的，得2分；需求理解充分，但功能分析描述不够详细的，得1分；未理解需求</w:t>
            </w:r>
            <w:r>
              <w:rPr>
                <w:rFonts w:hint="eastAsia" w:ascii="仿宋" w:hAnsi="仿宋" w:eastAsia="仿宋"/>
                <w:color w:val="auto"/>
                <w:sz w:val="24"/>
                <w:szCs w:val="24"/>
                <w:highlight w:val="none"/>
                <w:lang w:val="en-US" w:eastAsia="zh-CN"/>
              </w:rPr>
              <w:t>或未体现相关内容</w:t>
            </w:r>
            <w:r>
              <w:rPr>
                <w:rFonts w:hint="eastAsia" w:ascii="仿宋" w:hAnsi="仿宋" w:eastAsia="仿宋"/>
                <w:color w:val="auto"/>
                <w:sz w:val="24"/>
                <w:szCs w:val="24"/>
                <w:highlight w:val="none"/>
                <w:lang w:eastAsia="zh-CN"/>
              </w:rPr>
              <w:t>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1.14</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olor w:val="auto"/>
                <w:sz w:val="24"/>
                <w:szCs w:val="24"/>
                <w:highlight w:val="none"/>
              </w:rPr>
              <w:t>股权转让风险事项监控</w:t>
            </w:r>
            <w:r>
              <w:rPr>
                <w:rFonts w:hint="eastAsia" w:ascii="仿宋" w:hAnsi="仿宋" w:eastAsia="仿宋"/>
                <w:color w:val="auto"/>
                <w:sz w:val="24"/>
                <w:szCs w:val="24"/>
                <w:highlight w:val="none"/>
                <w:lang w:eastAsia="zh-CN"/>
              </w:rPr>
              <w:t>：对需求理解充分、功能分析描述详细的，得2分；需求理解充分，但功能分析描述不够详细的，得1分；未理解需求</w:t>
            </w:r>
            <w:r>
              <w:rPr>
                <w:rFonts w:hint="eastAsia" w:ascii="仿宋" w:hAnsi="仿宋" w:eastAsia="仿宋"/>
                <w:color w:val="auto"/>
                <w:sz w:val="24"/>
                <w:szCs w:val="24"/>
                <w:highlight w:val="none"/>
                <w:lang w:val="en-US" w:eastAsia="zh-CN"/>
              </w:rPr>
              <w:t>或未体现相关内容</w:t>
            </w:r>
            <w:r>
              <w:rPr>
                <w:rFonts w:hint="eastAsia" w:ascii="仿宋" w:hAnsi="仿宋" w:eastAsia="仿宋"/>
                <w:color w:val="auto"/>
                <w:sz w:val="24"/>
                <w:szCs w:val="24"/>
                <w:highlight w:val="none"/>
                <w:lang w:eastAsia="zh-CN"/>
              </w:rPr>
              <w:t>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架构：根据投标人对浙江省税务局自然人税收服务辅助管理平台项目的总体架构设计、应用架构设计、数据架构设计的理解与阐述进行打分。</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2.1</w:t>
            </w:r>
          </w:p>
        </w:tc>
        <w:tc>
          <w:tcPr>
            <w:tcW w:w="6223" w:type="dxa"/>
            <w:vAlign w:val="center"/>
          </w:tcPr>
          <w:p>
            <w:pPr>
              <w:spacing w:line="240" w:lineRule="auto"/>
              <w:jc w:val="left"/>
              <w:outlineLvl w:val="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总体架构</w:t>
            </w:r>
            <w:r>
              <w:rPr>
                <w:rFonts w:hint="eastAsia" w:ascii="仿宋" w:hAnsi="仿宋" w:eastAsia="仿宋" w:cs="仿宋"/>
                <w:bCs/>
                <w:color w:val="auto"/>
                <w:sz w:val="24"/>
                <w:highlight w:val="none"/>
                <w:lang w:eastAsia="zh-CN"/>
              </w:rPr>
              <w:t>：根据技术方案的合理性、实用性、完整性及优劣进行评分。对以上</w:t>
            </w:r>
            <w:r>
              <w:rPr>
                <w:rFonts w:hint="eastAsia" w:ascii="仿宋" w:hAnsi="仿宋" w:eastAsia="仿宋" w:cs="仿宋"/>
                <w:bCs/>
                <w:color w:val="auto"/>
                <w:sz w:val="24"/>
                <w:highlight w:val="none"/>
                <w:lang w:val="en-US" w:eastAsia="zh-CN"/>
              </w:rPr>
              <w:t>内容</w:t>
            </w:r>
            <w:r>
              <w:rPr>
                <w:rFonts w:hint="eastAsia" w:ascii="仿宋" w:hAnsi="仿宋" w:eastAsia="仿宋" w:cs="仿宋"/>
                <w:bCs/>
                <w:color w:val="auto"/>
                <w:sz w:val="24"/>
                <w:highlight w:val="none"/>
                <w:lang w:eastAsia="zh-CN"/>
              </w:rPr>
              <w:t>描述详细、合理、可行的，得2分；对以上</w:t>
            </w:r>
            <w:r>
              <w:rPr>
                <w:rFonts w:hint="eastAsia" w:ascii="仿宋" w:hAnsi="仿宋" w:eastAsia="仿宋" w:cs="仿宋"/>
                <w:bCs/>
                <w:color w:val="auto"/>
                <w:sz w:val="24"/>
                <w:highlight w:val="none"/>
                <w:lang w:val="en-US" w:eastAsia="zh-CN"/>
              </w:rPr>
              <w:t>内容</w:t>
            </w:r>
            <w:r>
              <w:rPr>
                <w:rFonts w:hint="eastAsia" w:ascii="仿宋" w:hAnsi="仿宋" w:eastAsia="仿宋" w:cs="仿宋"/>
                <w:bCs/>
                <w:color w:val="auto"/>
                <w:sz w:val="24"/>
                <w:highlight w:val="none"/>
                <w:lang w:eastAsia="zh-CN"/>
              </w:rPr>
              <w:t>理解和描述比较充分，可行性一般的，得1分；未描述的，或有重大缺漏、缺乏可行性的，或对项目实施带来较大风险的，得0分</w:t>
            </w:r>
          </w:p>
        </w:tc>
        <w:tc>
          <w:tcPr>
            <w:tcW w:w="676" w:type="dxa"/>
            <w:vAlign w:val="center"/>
          </w:tcPr>
          <w:p>
            <w:pPr>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2.2</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olor w:val="auto"/>
                <w:sz w:val="24"/>
                <w:szCs w:val="24"/>
                <w:highlight w:val="none"/>
              </w:rPr>
              <w:t>应用架构</w:t>
            </w:r>
            <w:r>
              <w:rPr>
                <w:rFonts w:hint="eastAsia" w:ascii="仿宋" w:hAnsi="仿宋" w:eastAsia="仿宋" w:cs="仿宋"/>
                <w:bCs/>
                <w:color w:val="auto"/>
                <w:sz w:val="24"/>
                <w:highlight w:val="none"/>
                <w:lang w:eastAsia="zh-CN"/>
              </w:rPr>
              <w:t>：根据技术方案的合理性、实用性、完整性及优劣进行评分。对以上</w:t>
            </w:r>
            <w:r>
              <w:rPr>
                <w:rFonts w:hint="eastAsia" w:ascii="仿宋" w:hAnsi="仿宋" w:eastAsia="仿宋" w:cs="仿宋"/>
                <w:bCs/>
                <w:color w:val="auto"/>
                <w:sz w:val="24"/>
                <w:highlight w:val="none"/>
                <w:lang w:val="en-US" w:eastAsia="zh-CN"/>
              </w:rPr>
              <w:t>内容</w:t>
            </w:r>
            <w:r>
              <w:rPr>
                <w:rFonts w:hint="eastAsia" w:ascii="仿宋" w:hAnsi="仿宋" w:eastAsia="仿宋" w:cs="仿宋"/>
                <w:bCs/>
                <w:color w:val="auto"/>
                <w:sz w:val="24"/>
                <w:highlight w:val="none"/>
                <w:lang w:eastAsia="zh-CN"/>
              </w:rPr>
              <w:t>描述详细、合理、可行的，得2分；对以上</w:t>
            </w:r>
            <w:r>
              <w:rPr>
                <w:rFonts w:hint="eastAsia" w:ascii="仿宋" w:hAnsi="仿宋" w:eastAsia="仿宋" w:cs="仿宋"/>
                <w:bCs/>
                <w:color w:val="auto"/>
                <w:sz w:val="24"/>
                <w:highlight w:val="none"/>
                <w:lang w:val="en-US" w:eastAsia="zh-CN"/>
              </w:rPr>
              <w:t>内容</w:t>
            </w:r>
            <w:r>
              <w:rPr>
                <w:rFonts w:hint="eastAsia" w:ascii="仿宋" w:hAnsi="仿宋" w:eastAsia="仿宋" w:cs="仿宋"/>
                <w:bCs/>
                <w:color w:val="auto"/>
                <w:sz w:val="24"/>
                <w:highlight w:val="none"/>
                <w:lang w:eastAsia="zh-CN"/>
              </w:rPr>
              <w:t>理解和描述比较充分，可行性一般的，得1分；未描述的，或有重大缺漏、缺乏可行性的，或对项目实施带来较大风险的，得0分</w:t>
            </w:r>
          </w:p>
        </w:tc>
        <w:tc>
          <w:tcPr>
            <w:tcW w:w="676" w:type="dxa"/>
            <w:vAlign w:val="center"/>
          </w:tcPr>
          <w:p>
            <w:pPr>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olor w:val="auto"/>
                <w:sz w:val="24"/>
                <w:szCs w:val="24"/>
                <w:highlight w:val="none"/>
              </w:rPr>
              <w:t>数据架构</w:t>
            </w:r>
            <w:r>
              <w:rPr>
                <w:rFonts w:hint="eastAsia" w:ascii="仿宋" w:hAnsi="仿宋" w:eastAsia="仿宋" w:cs="仿宋"/>
                <w:bCs/>
                <w:color w:val="auto"/>
                <w:sz w:val="24"/>
                <w:highlight w:val="none"/>
                <w:lang w:eastAsia="zh-CN"/>
              </w:rPr>
              <w:t>：根据技术方案的合理性、实用性、完整性及优劣进行评分。对以上</w:t>
            </w:r>
            <w:r>
              <w:rPr>
                <w:rFonts w:hint="eastAsia" w:ascii="仿宋" w:hAnsi="仿宋" w:eastAsia="仿宋" w:cs="仿宋"/>
                <w:bCs/>
                <w:color w:val="auto"/>
                <w:sz w:val="24"/>
                <w:highlight w:val="none"/>
                <w:lang w:val="en-US" w:eastAsia="zh-CN"/>
              </w:rPr>
              <w:t>内容</w:t>
            </w:r>
            <w:r>
              <w:rPr>
                <w:rFonts w:hint="eastAsia" w:ascii="仿宋" w:hAnsi="仿宋" w:eastAsia="仿宋" w:cs="仿宋"/>
                <w:bCs/>
                <w:color w:val="auto"/>
                <w:sz w:val="24"/>
                <w:highlight w:val="none"/>
                <w:lang w:eastAsia="zh-CN"/>
              </w:rPr>
              <w:t>描述详细、合理、可行的，得2分；对以上</w:t>
            </w:r>
            <w:r>
              <w:rPr>
                <w:rFonts w:hint="eastAsia" w:ascii="仿宋" w:hAnsi="仿宋" w:eastAsia="仿宋" w:cs="仿宋"/>
                <w:bCs/>
                <w:color w:val="auto"/>
                <w:sz w:val="24"/>
                <w:highlight w:val="none"/>
                <w:lang w:val="en-US" w:eastAsia="zh-CN"/>
              </w:rPr>
              <w:t>内容</w:t>
            </w:r>
            <w:r>
              <w:rPr>
                <w:rFonts w:hint="eastAsia" w:ascii="仿宋" w:hAnsi="仿宋" w:eastAsia="仿宋" w:cs="仿宋"/>
                <w:bCs/>
                <w:color w:val="auto"/>
                <w:sz w:val="24"/>
                <w:highlight w:val="none"/>
                <w:lang w:eastAsia="zh-CN"/>
              </w:rPr>
              <w:t>理解和描述比较充分，可行性一般的，得1分；未描述的，或有重大缺漏、缺乏可行性的，或对项目实施带来较大风险的，得0分</w:t>
            </w:r>
          </w:p>
        </w:tc>
        <w:tc>
          <w:tcPr>
            <w:tcW w:w="676" w:type="dxa"/>
            <w:vAlign w:val="center"/>
          </w:tcPr>
          <w:p>
            <w:pPr>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6223" w:type="dxa"/>
            <w:vAlign w:val="center"/>
          </w:tcPr>
          <w:p>
            <w:pPr>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rPr>
              <w:t>功能响应（满足）程度：</w:t>
            </w:r>
            <w:r>
              <w:rPr>
                <w:rFonts w:ascii="仿宋" w:hAnsi="仿宋" w:eastAsia="仿宋"/>
                <w:color w:val="auto"/>
                <w:sz w:val="24"/>
                <w:szCs w:val="24"/>
                <w:highlight w:val="none"/>
              </w:rPr>
              <w:t>完全满足招标文件主要功能要求的，得</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2</w:t>
            </w:r>
            <w:r>
              <w:rPr>
                <w:rFonts w:ascii="仿宋" w:hAnsi="仿宋" w:eastAsia="仿宋"/>
                <w:color w:val="auto"/>
                <w:sz w:val="24"/>
                <w:szCs w:val="24"/>
                <w:highlight w:val="none"/>
              </w:rPr>
              <w:t>分。如有负偏离，从</w:t>
            </w:r>
            <w:r>
              <w:rPr>
                <w:rFonts w:hint="eastAsia" w:ascii="仿宋" w:hAnsi="仿宋" w:eastAsia="仿宋"/>
                <w:color w:val="auto"/>
                <w:sz w:val="24"/>
                <w:szCs w:val="24"/>
                <w:highlight w:val="none"/>
              </w:rPr>
              <w:t>1</w:t>
            </w:r>
            <w:r>
              <w:rPr>
                <w:rFonts w:ascii="仿宋" w:hAnsi="仿宋" w:eastAsia="仿宋"/>
                <w:color w:val="auto"/>
                <w:sz w:val="24"/>
                <w:szCs w:val="24"/>
                <w:highlight w:val="none"/>
              </w:rPr>
              <w:t>2分起扣，有偏离的，每项扣</w:t>
            </w:r>
            <w:r>
              <w:rPr>
                <w:rFonts w:hint="eastAsia" w:ascii="仿宋" w:hAnsi="仿宋" w:eastAsia="仿宋"/>
                <w:color w:val="auto"/>
                <w:sz w:val="24"/>
                <w:szCs w:val="24"/>
                <w:highlight w:val="none"/>
              </w:rPr>
              <w:t>1</w:t>
            </w:r>
            <w:r>
              <w:rPr>
                <w:rFonts w:ascii="仿宋" w:hAnsi="仿宋" w:eastAsia="仿宋"/>
                <w:color w:val="auto"/>
                <w:sz w:val="24"/>
                <w:szCs w:val="24"/>
                <w:highlight w:val="none"/>
              </w:rPr>
              <w:t>分</w:t>
            </w:r>
            <w:r>
              <w:rPr>
                <w:rFonts w:hint="eastAsia" w:ascii="仿宋" w:hAnsi="仿宋" w:eastAsia="仿宋"/>
                <w:color w:val="auto"/>
                <w:sz w:val="24"/>
                <w:szCs w:val="24"/>
                <w:highlight w:val="none"/>
                <w:lang w:eastAsia="zh-CN"/>
              </w:rPr>
              <w:t>，</w:t>
            </w:r>
            <w:bookmarkStart w:id="426" w:name="_GoBack"/>
            <w:bookmarkEnd w:id="426"/>
            <w:r>
              <w:rPr>
                <w:rFonts w:hint="eastAsia" w:ascii="仿宋" w:hAnsi="仿宋" w:eastAsia="仿宋"/>
                <w:color w:val="auto"/>
                <w:sz w:val="24"/>
                <w:szCs w:val="24"/>
                <w:highlight w:val="none"/>
                <w:lang w:eastAsia="zh-CN"/>
              </w:rPr>
              <w:t>扣完为止</w:t>
            </w:r>
            <w:r>
              <w:rPr>
                <w:rFonts w:ascii="仿宋" w:hAnsi="仿宋" w:eastAsia="仿宋"/>
                <w:b w:val="0"/>
                <w:bCs w:val="0"/>
                <w:color w:val="auto"/>
                <w:sz w:val="24"/>
                <w:szCs w:val="24"/>
                <w:highlight w:val="none"/>
              </w:rPr>
              <w:t>。</w:t>
            </w:r>
          </w:p>
        </w:tc>
        <w:tc>
          <w:tcPr>
            <w:tcW w:w="676" w:type="dxa"/>
            <w:vAlign w:val="center"/>
          </w:tcPr>
          <w:p>
            <w:pPr>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项目实施方案，考察投标人提供方案中项目组织架构和人员配置的合理性，项目实施计划的科学完整性，项目周期内各个过程计划的描述详细情况，是否具有完整的质量保障活动及较好的质量控制实施。</w:t>
            </w:r>
          </w:p>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实施方案完整详细，科学可行，有利于项目顺利实施的，得5分；实施方案较为完整，基本可以完成项目测试的，得3分；</w:t>
            </w:r>
            <w:r>
              <w:rPr>
                <w:rFonts w:hint="eastAsia" w:ascii="仿宋" w:hAnsi="仿宋" w:eastAsia="仿宋" w:cs="仿宋"/>
                <w:bCs/>
                <w:color w:val="auto"/>
                <w:sz w:val="24"/>
                <w:highlight w:val="none"/>
                <w:lang w:val="en-US" w:eastAsia="zh-CN"/>
              </w:rPr>
              <w:t>实施方案较差的，得1分；</w:t>
            </w:r>
            <w:r>
              <w:rPr>
                <w:rFonts w:hint="eastAsia" w:ascii="仿宋" w:hAnsi="仿宋" w:eastAsia="仿宋" w:cs="仿宋"/>
                <w:bCs/>
                <w:color w:val="auto"/>
                <w:sz w:val="24"/>
                <w:highlight w:val="none"/>
              </w:rPr>
              <w:t>方案不适用本项目</w:t>
            </w:r>
            <w:r>
              <w:rPr>
                <w:rFonts w:hint="eastAsia" w:ascii="仿宋" w:hAnsi="仿宋" w:eastAsia="仿宋" w:cs="仿宋"/>
                <w:bCs/>
                <w:color w:val="auto"/>
                <w:sz w:val="24"/>
                <w:highlight w:val="none"/>
                <w:lang w:val="en-US" w:eastAsia="zh-CN"/>
              </w:rPr>
              <w:t>或者未体现相关内容</w:t>
            </w:r>
            <w:r>
              <w:rPr>
                <w:rFonts w:hint="eastAsia" w:ascii="仿宋" w:hAnsi="仿宋" w:eastAsia="仿宋" w:cs="仿宋"/>
                <w:bCs/>
                <w:color w:val="auto"/>
                <w:sz w:val="24"/>
                <w:highlight w:val="none"/>
              </w:rPr>
              <w:t>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根据投标人的项目测试方案的完整性、详细性、可操作性等进行评价：测试方案完整详细，科学可行，有利于项目测试的，最得5分；测试方案较为完整，基本可以完成项目测试的，得3分；</w:t>
            </w:r>
            <w:r>
              <w:rPr>
                <w:rFonts w:hint="eastAsia" w:ascii="仿宋" w:hAnsi="仿宋" w:eastAsia="仿宋" w:cs="仿宋"/>
                <w:bCs/>
                <w:color w:val="auto"/>
                <w:sz w:val="24"/>
                <w:highlight w:val="none"/>
                <w:lang w:val="en-US" w:eastAsia="zh-CN"/>
              </w:rPr>
              <w:t>方案较差的，得1分；</w:t>
            </w:r>
            <w:r>
              <w:rPr>
                <w:rFonts w:hint="eastAsia" w:ascii="仿宋" w:hAnsi="仿宋" w:eastAsia="仿宋" w:cs="仿宋"/>
                <w:bCs/>
                <w:color w:val="auto"/>
                <w:sz w:val="24"/>
                <w:highlight w:val="none"/>
              </w:rPr>
              <w:t>方案不适用本项目或未提供资料的，得0分。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软件开发工程量计算（技术文件中提供不含价格的工程量计算清单，要求到人*天，格式自定）</w:t>
            </w:r>
          </w:p>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能提供完整的软件开发工作量清单的，工作量合理，并能指导软件开发的得4分；有软件工作量清单，但工作量计算不够合理得2分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没有工作量清单的得0分。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7</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项目组人员个人、团队开发能力情况（资历及业绩）</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7.1</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本项目的项目经理拥有本科及以上学历，具备5年以上工作经验，满足要求得1分；具备计算机软件高级职称的三类证书（ PMP 证书、高级软件工程师、高级系统分析师）之一的，满足要求得1分；最高2分。</w:t>
            </w:r>
          </w:p>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以上人员要求为投标人在册员工（提供</w:t>
            </w:r>
            <w:r>
              <w:rPr>
                <w:rFonts w:hint="eastAsia" w:ascii="仿宋" w:hAnsi="仿宋" w:eastAsia="仿宋" w:cs="仿宋"/>
                <w:bCs/>
                <w:color w:val="auto"/>
                <w:sz w:val="24"/>
                <w:highlight w:val="none"/>
                <w:lang w:val="en-US" w:eastAsia="zh-CN"/>
              </w:rPr>
              <w:t>投标截止时间前近三个月以来任意一个月的</w:t>
            </w:r>
            <w:r>
              <w:rPr>
                <w:rFonts w:hint="eastAsia" w:ascii="仿宋" w:hAnsi="仿宋" w:eastAsia="仿宋" w:cs="仿宋"/>
                <w:bCs/>
                <w:color w:val="auto"/>
                <w:sz w:val="24"/>
                <w:highlight w:val="none"/>
              </w:rPr>
              <w:t>社保证明</w:t>
            </w:r>
            <w:r>
              <w:rPr>
                <w:rFonts w:hint="eastAsia" w:ascii="仿宋" w:hAnsi="仿宋" w:eastAsia="仿宋" w:cs="仿宋"/>
                <w:bCs/>
                <w:color w:val="auto"/>
                <w:sz w:val="24"/>
                <w:highlight w:val="none"/>
                <w:lang w:val="en-US" w:eastAsia="zh-CN"/>
              </w:rPr>
              <w:t>材料</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同时</w:t>
            </w:r>
            <w:r>
              <w:rPr>
                <w:rFonts w:hint="eastAsia" w:ascii="仿宋" w:hAnsi="仿宋" w:eastAsia="仿宋" w:cs="仿宋"/>
                <w:bCs/>
                <w:color w:val="auto"/>
                <w:sz w:val="24"/>
                <w:highlight w:val="none"/>
              </w:rPr>
              <w:t>提供相关证书复印件。以上证明材料需投标方盖章确认</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7.2</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开发团队成员具备计算机软件中级及以上职称的（高级数据库管理工程师、OCP、高级软件工程师、高级测试工程师、系统管理工程师、系统集成项目管理工程师、信息系统项目管理师、系统架构设计师等），每项得1分，每人限得1分。最高3分。</w:t>
            </w:r>
          </w:p>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以上人员要求为投标人在册员工（提供</w:t>
            </w:r>
            <w:r>
              <w:rPr>
                <w:rFonts w:hint="eastAsia" w:ascii="仿宋" w:hAnsi="仿宋" w:eastAsia="仿宋" w:cs="仿宋"/>
                <w:bCs/>
                <w:color w:val="auto"/>
                <w:sz w:val="24"/>
                <w:highlight w:val="none"/>
                <w:lang w:val="en-US" w:eastAsia="zh-CN"/>
              </w:rPr>
              <w:t>投标截止时间前近三个月以来任意一个月的</w:t>
            </w:r>
            <w:r>
              <w:rPr>
                <w:rFonts w:hint="eastAsia" w:ascii="仿宋" w:hAnsi="仿宋" w:eastAsia="仿宋" w:cs="仿宋"/>
                <w:bCs/>
                <w:color w:val="auto"/>
                <w:sz w:val="24"/>
                <w:highlight w:val="none"/>
              </w:rPr>
              <w:t>社保证明</w:t>
            </w:r>
            <w:r>
              <w:rPr>
                <w:rFonts w:hint="eastAsia" w:ascii="仿宋" w:hAnsi="仿宋" w:eastAsia="仿宋" w:cs="仿宋"/>
                <w:bCs/>
                <w:color w:val="auto"/>
                <w:sz w:val="24"/>
                <w:highlight w:val="none"/>
                <w:lang w:val="en-US" w:eastAsia="zh-CN"/>
              </w:rPr>
              <w:t>材料</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同时</w:t>
            </w:r>
            <w:r>
              <w:rPr>
                <w:rFonts w:hint="eastAsia" w:ascii="仿宋" w:hAnsi="仿宋" w:eastAsia="仿宋" w:cs="仿宋"/>
                <w:bCs/>
                <w:color w:val="auto"/>
                <w:sz w:val="24"/>
                <w:highlight w:val="none"/>
              </w:rPr>
              <w:t>提供相关证书复印件。以上证明材料需投标方盖章确认</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74" w:type="dxa"/>
            <w:vAlign w:val="center"/>
          </w:tcPr>
          <w:p>
            <w:pPr>
              <w:snapToGrid w:val="0"/>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系统原型演示：演示内容（采用屏幕录像或系统原型现场操作），根据招标文件要求完成以下每单项内容演示的得相对应的分数；如果未完成以下某一单项全部内容演示的，单项得分为0</w:t>
            </w:r>
          </w:p>
        </w:tc>
        <w:tc>
          <w:tcPr>
            <w:tcW w:w="676" w:type="dxa"/>
            <w:vAlign w:val="center"/>
          </w:tcPr>
          <w:p>
            <w:pPr>
              <w:spacing w:line="240" w:lineRule="auto"/>
              <w:jc w:val="center"/>
              <w:outlineLvl w:val="0"/>
              <w:rPr>
                <w:rFonts w:hint="eastAsia" w:ascii="仿宋" w:hAnsi="仿宋" w:eastAsia="仿宋" w:cs="仿宋"/>
                <w:bCs/>
                <w:color w:val="auto"/>
                <w:sz w:val="24"/>
                <w:highlight w:val="none"/>
              </w:rPr>
            </w:pP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8.1</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经营所得辅助管理功能需求相关功能演示</w:t>
            </w:r>
          </w:p>
        </w:tc>
        <w:tc>
          <w:tcPr>
            <w:tcW w:w="676" w:type="dxa"/>
            <w:vAlign w:val="center"/>
          </w:tcPr>
          <w:p>
            <w:pPr>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8.2</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股权转让服务管理功能需求相关功能演示</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9</w:t>
            </w:r>
          </w:p>
        </w:tc>
        <w:tc>
          <w:tcPr>
            <w:tcW w:w="6223" w:type="dxa"/>
            <w:vAlign w:val="center"/>
          </w:tcPr>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项目维护计划：根据供应商项目维护计划（上门运维人员安排，定期巡检等情况）进行评分。</w:t>
            </w:r>
          </w:p>
          <w:p>
            <w:pPr>
              <w:spacing w:line="24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评分标准：项目维护计划详实、具体，操作性强且非常有效的，得4分；项目维护计划较为详实，操作性一般的，得2分；未提供的，得0分。</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w:t>
            </w:r>
          </w:p>
        </w:tc>
        <w:tc>
          <w:tcPr>
            <w:tcW w:w="6223" w:type="dxa"/>
            <w:vAlign w:val="center"/>
          </w:tcPr>
          <w:p>
            <w:pPr>
              <w:spacing w:line="240" w:lineRule="auto"/>
              <w:jc w:val="left"/>
              <w:outlineLvl w:val="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公司项目履约能力</w:t>
            </w:r>
            <w:r>
              <w:rPr>
                <w:rFonts w:hint="eastAsia" w:ascii="仿宋" w:hAnsi="仿宋" w:eastAsia="仿宋" w:cs="仿宋"/>
                <w:bCs/>
                <w:color w:val="auto"/>
                <w:sz w:val="24"/>
                <w:highlight w:val="none"/>
                <w:lang w:eastAsia="zh-CN"/>
              </w:rPr>
              <w:t>：投标人具有有效ISO9001质量管理体系认证证书（证书颁发机构为中国国家认证认可监督管理委员会认证机构名录内的机构）、ISO20000 信息技术服务管理体系认证证书（证书颁发机构为中国国家认证认可监督管理委员会认证机构名录内的机构）、ISO27001信息安全管理体系证书（证书颁发机构为中国国家认证认可监督管理委员会认证机构名录内的机构）。每提供一个得1分。最高得3分。（提供证书复印件</w:t>
            </w:r>
            <w:r>
              <w:rPr>
                <w:rFonts w:hint="eastAsia" w:ascii="仿宋" w:hAnsi="仿宋" w:eastAsia="仿宋" w:cs="仿宋"/>
                <w:bCs/>
                <w:color w:val="auto"/>
                <w:sz w:val="24"/>
                <w:highlight w:val="none"/>
                <w:lang w:val="en-US" w:eastAsia="zh-CN"/>
              </w:rPr>
              <w:t>作为</w:t>
            </w:r>
            <w:r>
              <w:rPr>
                <w:rFonts w:hint="eastAsia" w:ascii="仿宋" w:hAnsi="仿宋" w:eastAsia="仿宋" w:cs="仿宋"/>
                <w:bCs/>
                <w:color w:val="auto"/>
                <w:sz w:val="24"/>
                <w:highlight w:val="none"/>
                <w:lang w:eastAsia="zh-CN"/>
              </w:rPr>
              <w:t>证明材料）。</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11</w:t>
            </w:r>
          </w:p>
        </w:tc>
        <w:tc>
          <w:tcPr>
            <w:tcW w:w="6223" w:type="dxa"/>
            <w:vAlign w:val="center"/>
          </w:tcPr>
          <w:p>
            <w:pPr>
              <w:keepLines w:val="0"/>
              <w:pageBreakBefore w:val="0"/>
              <w:kinsoku/>
              <w:wordWrap/>
              <w:overflowPunct/>
              <w:topLinePunct w:val="0"/>
              <w:autoSpaceDE/>
              <w:autoSpaceDN/>
              <w:bidi w:val="0"/>
              <w:adjustRightInd/>
              <w:snapToGrid w:val="0"/>
              <w:spacing w:line="240" w:lineRule="auto"/>
              <w:textAlignment w:val="auto"/>
              <w:rPr>
                <w:rFonts w:ascii="仿宋" w:hAnsi="仿宋" w:eastAsia="仿宋"/>
                <w:color w:val="auto"/>
                <w:sz w:val="24"/>
                <w:szCs w:val="24"/>
                <w:highlight w:val="none"/>
              </w:rPr>
            </w:pPr>
            <w:r>
              <w:rPr>
                <w:rFonts w:ascii="仿宋" w:hAnsi="仿宋" w:eastAsia="仿宋"/>
                <w:color w:val="auto"/>
                <w:sz w:val="24"/>
                <w:szCs w:val="24"/>
                <w:highlight w:val="none"/>
              </w:rPr>
              <w:t>售后服务</w:t>
            </w:r>
            <w:r>
              <w:rPr>
                <w:rFonts w:hint="eastAsia" w:ascii="仿宋" w:hAnsi="仿宋" w:eastAsia="仿宋"/>
                <w:color w:val="auto"/>
                <w:sz w:val="24"/>
                <w:szCs w:val="24"/>
                <w:highlight w:val="none"/>
              </w:rPr>
              <w:t>响应情况：根据售后服务的响应情况（对用户故障响应、处理等）进行打分（详见商务要求表）。</w:t>
            </w:r>
          </w:p>
          <w:p>
            <w:pPr>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rPr>
              <w:t>评分标准:实质内容</w:t>
            </w:r>
            <w:r>
              <w:rPr>
                <w:rFonts w:hint="eastAsia" w:ascii="仿宋" w:hAnsi="仿宋" w:eastAsia="仿宋"/>
                <w:color w:val="auto"/>
                <w:sz w:val="24"/>
                <w:szCs w:val="24"/>
                <w:highlight w:val="none"/>
                <w:lang w:val="en-US" w:eastAsia="zh-CN"/>
              </w:rPr>
              <w:t>具有</w:t>
            </w:r>
            <w:r>
              <w:rPr>
                <w:rFonts w:hint="eastAsia" w:ascii="仿宋" w:hAnsi="仿宋" w:eastAsia="仿宋"/>
                <w:color w:val="auto"/>
                <w:sz w:val="24"/>
                <w:szCs w:val="24"/>
                <w:highlight w:val="none"/>
              </w:rPr>
              <w:t>合理性、实用性、完整性及针对性</w:t>
            </w:r>
            <w:r>
              <w:rPr>
                <w:rFonts w:hint="eastAsia" w:ascii="仿宋" w:hAnsi="仿宋" w:eastAsia="仿宋"/>
                <w:color w:val="auto"/>
                <w:sz w:val="24"/>
                <w:szCs w:val="24"/>
                <w:highlight w:val="none"/>
                <w:lang w:eastAsia="zh-CN"/>
              </w:rPr>
              <w:t>的，</w:t>
            </w:r>
            <w:r>
              <w:rPr>
                <w:rFonts w:hint="eastAsia" w:ascii="仿宋" w:hAnsi="仿宋" w:eastAsia="仿宋"/>
                <w:color w:val="auto"/>
                <w:sz w:val="24"/>
                <w:szCs w:val="24"/>
                <w:highlight w:val="none"/>
                <w:lang w:val="en-US" w:eastAsia="zh-CN"/>
              </w:rPr>
              <w:t>得3分；</w:t>
            </w:r>
            <w:r>
              <w:rPr>
                <w:rFonts w:hint="eastAsia" w:ascii="仿宋" w:hAnsi="仿宋" w:eastAsia="仿宋"/>
                <w:color w:val="auto"/>
                <w:sz w:val="24"/>
                <w:szCs w:val="24"/>
                <w:highlight w:val="none"/>
              </w:rPr>
              <w:t>实质内容合理性、实用性、完整性及针对性</w:t>
            </w:r>
            <w:r>
              <w:rPr>
                <w:rFonts w:hint="eastAsia" w:ascii="仿宋" w:hAnsi="仿宋" w:eastAsia="仿宋"/>
                <w:color w:val="auto"/>
                <w:sz w:val="24"/>
                <w:szCs w:val="24"/>
                <w:highlight w:val="none"/>
                <w:lang w:val="en-US" w:eastAsia="zh-CN"/>
              </w:rPr>
              <w:t>一般</w:t>
            </w:r>
            <w:r>
              <w:rPr>
                <w:rFonts w:hint="eastAsia" w:ascii="仿宋" w:hAnsi="仿宋" w:eastAsia="仿宋"/>
                <w:color w:val="auto"/>
                <w:sz w:val="24"/>
                <w:szCs w:val="24"/>
                <w:highlight w:val="none"/>
                <w:lang w:eastAsia="zh-CN"/>
              </w:rPr>
              <w:t>的，</w:t>
            </w:r>
            <w:r>
              <w:rPr>
                <w:rFonts w:hint="eastAsia" w:ascii="仿宋" w:hAnsi="仿宋" w:eastAsia="仿宋"/>
                <w:color w:val="auto"/>
                <w:sz w:val="24"/>
                <w:szCs w:val="24"/>
                <w:highlight w:val="none"/>
                <w:lang w:val="en-US" w:eastAsia="zh-CN"/>
              </w:rPr>
              <w:t>得2分；</w:t>
            </w:r>
            <w:r>
              <w:rPr>
                <w:rFonts w:hint="eastAsia" w:ascii="仿宋" w:hAnsi="仿宋" w:eastAsia="仿宋"/>
                <w:color w:val="auto"/>
                <w:sz w:val="24"/>
                <w:szCs w:val="24"/>
                <w:highlight w:val="none"/>
              </w:rPr>
              <w:t>实质内容合理性、实用性、完整性及针对性</w:t>
            </w:r>
            <w:r>
              <w:rPr>
                <w:rFonts w:hint="eastAsia" w:ascii="仿宋" w:hAnsi="仿宋" w:eastAsia="仿宋"/>
                <w:color w:val="auto"/>
                <w:sz w:val="24"/>
                <w:szCs w:val="24"/>
                <w:highlight w:val="none"/>
                <w:lang w:val="en-US" w:eastAsia="zh-CN"/>
              </w:rPr>
              <w:t>较差</w:t>
            </w:r>
            <w:r>
              <w:rPr>
                <w:rFonts w:hint="eastAsia" w:ascii="仿宋" w:hAnsi="仿宋" w:eastAsia="仿宋"/>
                <w:color w:val="auto"/>
                <w:sz w:val="24"/>
                <w:szCs w:val="24"/>
                <w:highlight w:val="none"/>
                <w:lang w:eastAsia="zh-CN"/>
              </w:rPr>
              <w:t>的，</w:t>
            </w:r>
            <w:r>
              <w:rPr>
                <w:rFonts w:hint="eastAsia" w:ascii="仿宋" w:hAnsi="仿宋" w:eastAsia="仿宋"/>
                <w:color w:val="auto"/>
                <w:sz w:val="24"/>
                <w:szCs w:val="24"/>
                <w:highlight w:val="none"/>
                <w:lang w:val="en-US" w:eastAsia="zh-CN"/>
              </w:rPr>
              <w:t>得1分；</w:t>
            </w:r>
            <w:r>
              <w:rPr>
                <w:rFonts w:hint="eastAsia" w:ascii="仿宋" w:hAnsi="仿宋" w:eastAsia="仿宋"/>
                <w:color w:val="auto"/>
                <w:sz w:val="24"/>
                <w:szCs w:val="24"/>
                <w:highlight w:val="none"/>
              </w:rPr>
              <w:t>无售后服务响应方案的不得分。</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12</w:t>
            </w:r>
          </w:p>
        </w:tc>
        <w:tc>
          <w:tcPr>
            <w:tcW w:w="6223" w:type="dxa"/>
            <w:vAlign w:val="center"/>
          </w:tcPr>
          <w:p>
            <w:pPr>
              <w:keepLines w:val="0"/>
              <w:pageBreakBefore w:val="0"/>
              <w:kinsoku/>
              <w:wordWrap/>
              <w:overflowPunct/>
              <w:topLinePunct w:val="0"/>
              <w:autoSpaceDE/>
              <w:autoSpaceDN/>
              <w:bidi w:val="0"/>
              <w:adjustRightInd/>
              <w:snapToGrid w:val="0"/>
              <w:spacing w:line="240" w:lineRule="auto"/>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培训方案：根据培训方案、计划进行打分（详见商务要求表）。</w:t>
            </w:r>
          </w:p>
          <w:p>
            <w:pPr>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rPr>
              <w:t>评分标准:实质内容</w:t>
            </w:r>
            <w:r>
              <w:rPr>
                <w:rFonts w:hint="eastAsia" w:ascii="仿宋" w:hAnsi="仿宋" w:eastAsia="仿宋"/>
                <w:color w:val="auto"/>
                <w:sz w:val="24"/>
                <w:szCs w:val="24"/>
                <w:highlight w:val="none"/>
                <w:lang w:val="en-US" w:eastAsia="zh-CN"/>
              </w:rPr>
              <w:t>具有</w:t>
            </w:r>
            <w:r>
              <w:rPr>
                <w:rFonts w:hint="eastAsia" w:ascii="仿宋" w:hAnsi="仿宋" w:eastAsia="仿宋"/>
                <w:color w:val="auto"/>
                <w:sz w:val="24"/>
                <w:szCs w:val="24"/>
                <w:highlight w:val="none"/>
              </w:rPr>
              <w:t>合理性、实用性、完整性及针对性</w:t>
            </w:r>
            <w:r>
              <w:rPr>
                <w:rFonts w:hint="eastAsia" w:ascii="仿宋" w:hAnsi="仿宋" w:eastAsia="仿宋"/>
                <w:color w:val="auto"/>
                <w:sz w:val="24"/>
                <w:szCs w:val="24"/>
                <w:highlight w:val="none"/>
                <w:lang w:eastAsia="zh-CN"/>
              </w:rPr>
              <w:t>的，</w:t>
            </w:r>
            <w:r>
              <w:rPr>
                <w:rFonts w:hint="eastAsia" w:ascii="仿宋" w:hAnsi="仿宋" w:eastAsia="仿宋"/>
                <w:color w:val="auto"/>
                <w:sz w:val="24"/>
                <w:szCs w:val="24"/>
                <w:highlight w:val="none"/>
                <w:lang w:val="en-US" w:eastAsia="zh-CN"/>
              </w:rPr>
              <w:t>得2分；</w:t>
            </w:r>
            <w:r>
              <w:rPr>
                <w:rFonts w:hint="eastAsia" w:ascii="仿宋" w:hAnsi="仿宋" w:eastAsia="仿宋"/>
                <w:color w:val="auto"/>
                <w:sz w:val="24"/>
                <w:szCs w:val="24"/>
                <w:highlight w:val="none"/>
              </w:rPr>
              <w:t>实质内容合理性、实用性、完整性及针对性</w:t>
            </w:r>
            <w:r>
              <w:rPr>
                <w:rFonts w:hint="eastAsia" w:ascii="仿宋" w:hAnsi="仿宋" w:eastAsia="仿宋"/>
                <w:color w:val="auto"/>
                <w:sz w:val="24"/>
                <w:szCs w:val="24"/>
                <w:highlight w:val="none"/>
                <w:lang w:val="en-US" w:eastAsia="zh-CN"/>
              </w:rPr>
              <w:t>一般</w:t>
            </w:r>
            <w:r>
              <w:rPr>
                <w:rFonts w:hint="eastAsia" w:ascii="仿宋" w:hAnsi="仿宋" w:eastAsia="仿宋"/>
                <w:color w:val="auto"/>
                <w:sz w:val="24"/>
                <w:szCs w:val="24"/>
                <w:highlight w:val="none"/>
                <w:lang w:eastAsia="zh-CN"/>
              </w:rPr>
              <w:t>的，</w:t>
            </w:r>
            <w:r>
              <w:rPr>
                <w:rFonts w:hint="eastAsia" w:ascii="仿宋" w:hAnsi="仿宋" w:eastAsia="仿宋"/>
                <w:color w:val="auto"/>
                <w:sz w:val="24"/>
                <w:szCs w:val="24"/>
                <w:highlight w:val="none"/>
                <w:lang w:val="en-US" w:eastAsia="zh-CN"/>
              </w:rPr>
              <w:t>得1分；</w:t>
            </w:r>
            <w:r>
              <w:rPr>
                <w:rFonts w:hint="eastAsia" w:ascii="仿宋" w:hAnsi="仿宋" w:eastAsia="仿宋"/>
                <w:color w:val="auto"/>
                <w:sz w:val="24"/>
                <w:szCs w:val="24"/>
                <w:highlight w:val="none"/>
              </w:rPr>
              <w:t>实质内容合理性、实用性、完整性及针对性</w:t>
            </w:r>
            <w:r>
              <w:rPr>
                <w:rFonts w:hint="eastAsia" w:ascii="仿宋" w:hAnsi="仿宋" w:eastAsia="仿宋"/>
                <w:color w:val="auto"/>
                <w:sz w:val="24"/>
                <w:szCs w:val="24"/>
                <w:highlight w:val="none"/>
                <w:lang w:val="en-US" w:eastAsia="zh-CN"/>
              </w:rPr>
              <w:t>较差</w:t>
            </w:r>
            <w:r>
              <w:rPr>
                <w:rFonts w:hint="eastAsia" w:ascii="仿宋" w:hAnsi="仿宋" w:eastAsia="仿宋"/>
                <w:color w:val="auto"/>
                <w:sz w:val="24"/>
                <w:szCs w:val="24"/>
                <w:highlight w:val="none"/>
                <w:lang w:eastAsia="zh-CN"/>
              </w:rPr>
              <w:t>的，</w:t>
            </w:r>
            <w:r>
              <w:rPr>
                <w:rFonts w:hint="eastAsia" w:ascii="仿宋" w:hAnsi="仿宋" w:eastAsia="仿宋"/>
                <w:color w:val="auto"/>
                <w:sz w:val="24"/>
                <w:szCs w:val="24"/>
                <w:highlight w:val="none"/>
                <w:lang w:val="en-US" w:eastAsia="zh-CN"/>
              </w:rPr>
              <w:t>得0.5分；</w:t>
            </w:r>
            <w:r>
              <w:rPr>
                <w:rFonts w:hint="eastAsia" w:ascii="仿宋" w:hAnsi="仿宋" w:eastAsia="仿宋"/>
                <w:color w:val="auto"/>
                <w:sz w:val="24"/>
                <w:szCs w:val="24"/>
                <w:highlight w:val="none"/>
              </w:rPr>
              <w:t>无培训方案的不得分。</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4" w:type="dxa"/>
            <w:vAlign w:val="center"/>
          </w:tcPr>
          <w:p>
            <w:pPr>
              <w:snapToGrid w:val="0"/>
              <w:spacing w:line="24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13</w:t>
            </w:r>
          </w:p>
        </w:tc>
        <w:tc>
          <w:tcPr>
            <w:tcW w:w="6223" w:type="dxa"/>
            <w:vAlign w:val="center"/>
          </w:tcPr>
          <w:p>
            <w:pPr>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Times New Roman"/>
                <w:color w:val="auto"/>
                <w:kern w:val="2"/>
                <w:sz w:val="24"/>
                <w:szCs w:val="24"/>
                <w:highlight w:val="none"/>
                <w:lang w:val="en-US" w:eastAsia="zh-CN" w:bidi="ar-SA"/>
              </w:rPr>
            </w:pPr>
            <w:r>
              <w:rPr>
                <w:rFonts w:ascii="仿宋" w:hAnsi="仿宋" w:eastAsia="仿宋"/>
                <w:color w:val="auto"/>
                <w:sz w:val="24"/>
                <w:szCs w:val="24"/>
                <w:highlight w:val="none"/>
              </w:rPr>
              <w:t>经验及业绩</w:t>
            </w:r>
            <w:r>
              <w:rPr>
                <w:rFonts w:hint="eastAsia" w:ascii="仿宋" w:hAnsi="仿宋" w:eastAsia="仿宋"/>
                <w:color w:val="auto"/>
                <w:sz w:val="24"/>
                <w:szCs w:val="24"/>
                <w:highlight w:val="none"/>
                <w:lang w:eastAsia="zh-CN"/>
              </w:rPr>
              <w:t>：投标人应具有类似软件开发及运维项目的开发经验。投标人提供2019年1月1日以来（以合同签订日期或中标通知书发布日期为准）实施同类项目的成功案例，并提供合同复印件或中标通知书复印件，每项得1分，最高3分。</w:t>
            </w:r>
          </w:p>
        </w:tc>
        <w:tc>
          <w:tcPr>
            <w:tcW w:w="676" w:type="dxa"/>
            <w:vAlign w:val="center"/>
          </w:tcPr>
          <w:p>
            <w:pPr>
              <w:spacing w:line="24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1643" w:type="dxa"/>
            <w:vAlign w:val="center"/>
          </w:tcPr>
          <w:p>
            <w:pPr>
              <w:spacing w:line="24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74" w:type="dxa"/>
            <w:vAlign w:val="center"/>
          </w:tcPr>
          <w:p>
            <w:pPr>
              <w:pStyle w:val="822"/>
              <w:spacing w:line="240" w:lineRule="auto"/>
              <w:ind w:left="0" w:leftChars="0" w:right="0" w:rightChars="0" w:firstLine="0" w:firstLineChars="0"/>
              <w:jc w:val="center"/>
              <w:rPr>
                <w:rFonts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color w:val="auto"/>
                <w:sz w:val="24"/>
                <w:szCs w:val="24"/>
                <w:highlight w:val="none"/>
              </w:rPr>
              <w:t>14</w:t>
            </w:r>
          </w:p>
        </w:tc>
        <w:tc>
          <w:tcPr>
            <w:tcW w:w="6223" w:type="dxa"/>
            <w:vAlign w:val="center"/>
          </w:tcPr>
          <w:p>
            <w:pPr>
              <w:spacing w:line="240" w:lineRule="auto"/>
              <w:jc w:val="left"/>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有效投标报价的最低价作为评标基准价，其最低报价为满分；按［投标报价得分=（评标基准价/投标报价）*权重］的计算公式计算。</w:t>
            </w:r>
          </w:p>
          <w:p>
            <w:pPr>
              <w:snapToGrid w:val="0"/>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评标过程中，不得去掉报价中的最高报价和最低报价。</w:t>
            </w:r>
          </w:p>
          <w:p>
            <w:pPr>
              <w:snapToGrid w:val="0"/>
              <w:spacing w:line="240" w:lineRule="auto"/>
              <w:rPr>
                <w:rFonts w:ascii="仿宋" w:hAnsi="仿宋" w:eastAsia="仿宋" w:cs="仿宋"/>
                <w:bCs/>
                <w:color w:val="auto"/>
                <w:sz w:val="24"/>
                <w:highlight w:val="none"/>
              </w:rPr>
            </w:pPr>
            <w:r>
              <w:rPr>
                <w:rFonts w:ascii="仿宋" w:hAnsi="仿宋" w:eastAsia="仿宋" w:cs="仿宋_GB2312"/>
                <w:color w:val="auto"/>
                <w:sz w:val="24"/>
                <w:highlight w:val="none"/>
              </w:rPr>
              <w:t>因落实政府采购政策</w:t>
            </w:r>
            <w:r>
              <w:rPr>
                <w:rFonts w:hint="eastAsia" w:ascii="仿宋" w:hAnsi="仿宋" w:eastAsia="仿宋" w:cs="仿宋_GB2312"/>
                <w:color w:val="auto"/>
                <w:sz w:val="24"/>
                <w:highlight w:val="none"/>
              </w:rPr>
              <w:t>需要</w:t>
            </w:r>
            <w:r>
              <w:rPr>
                <w:rFonts w:ascii="仿宋" w:hAnsi="仿宋" w:eastAsia="仿宋" w:cs="仿宋_GB2312"/>
                <w:color w:val="auto"/>
                <w:sz w:val="24"/>
                <w:highlight w:val="none"/>
              </w:rPr>
              <w:t>进行价格调整的，以调整后的价格计算评标基准价和投标报价。</w:t>
            </w:r>
          </w:p>
        </w:tc>
        <w:tc>
          <w:tcPr>
            <w:tcW w:w="676" w:type="dxa"/>
            <w:vAlign w:val="center"/>
          </w:tcPr>
          <w:p>
            <w:pPr>
              <w:spacing w:line="240" w:lineRule="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w:t>
            </w:r>
          </w:p>
        </w:tc>
        <w:tc>
          <w:tcPr>
            <w:tcW w:w="1643" w:type="dxa"/>
            <w:vAlign w:val="center"/>
          </w:tcPr>
          <w:p>
            <w:pPr>
              <w:spacing w:line="24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w:t>
            </w:r>
          </w:p>
        </w:tc>
      </w:tr>
    </w:tbl>
    <w:p>
      <w:pPr>
        <w:snapToGrid w:val="0"/>
        <w:spacing w:line="360" w:lineRule="auto"/>
        <w:rPr>
          <w:rFonts w:ascii="仿宋_GB2312" w:hAnsi="仿宋" w:eastAsia="仿宋_GB2312" w:cs="仿宋_GB2312"/>
          <w:b/>
          <w:color w:val="auto"/>
          <w:sz w:val="32"/>
          <w:highlight w:val="none"/>
        </w:rPr>
      </w:pPr>
      <w:r>
        <w:rPr>
          <w:rFonts w:ascii="Arial" w:hAnsi="Arial" w:cs="Arial"/>
          <w:color w:val="auto"/>
          <w:szCs w:val="21"/>
          <w:highlight w:val="none"/>
          <w:shd w:val="clear" w:color="auto" w:fill="FFFFFF"/>
        </w:rPr>
        <w:t>*</w:t>
      </w:r>
      <w:r>
        <w:rPr>
          <w:rFonts w:hint="eastAsia" w:ascii="仿宋" w:hAnsi="仿宋" w:eastAsia="仿宋" w:cs="仿宋_GB2312"/>
          <w:b/>
          <w:color w:val="auto"/>
          <w:szCs w:val="21"/>
          <w:highlight w:val="none"/>
        </w:rPr>
        <w:t>备注：</w:t>
      </w:r>
      <w:r>
        <w:rPr>
          <w:rFonts w:hint="eastAsia" w:ascii="仿宋" w:hAnsi="仿宋" w:eastAsia="仿宋" w:cs="仿宋_GB2312"/>
          <w:color w:val="auto"/>
          <w:szCs w:val="21"/>
          <w:highlight w:val="none"/>
        </w:rPr>
        <w:t>投标人编制投标文件（商务技术文件部分）时，建议按此目录（序号和内容）提供评标标准相应的商务技术资料。</w:t>
      </w:r>
      <w:r>
        <w:rPr>
          <w:rFonts w:ascii="仿宋" w:hAnsi="仿宋" w:eastAsia="仿宋" w:cs="仿宋_GB2312"/>
          <w:color w:val="auto"/>
          <w:szCs w:val="21"/>
          <w:highlight w:val="none"/>
        </w:rPr>
        <w:t> </w:t>
      </w:r>
    </w:p>
    <w:p>
      <w:pPr>
        <w:snapToGrid w:val="0"/>
        <w:spacing w:line="360" w:lineRule="auto"/>
        <w:rPr>
          <w:rFonts w:ascii="仿宋_GB2312" w:hAnsi="仿宋" w:eastAsia="仿宋_GB2312" w:cs="仿宋_GB2312"/>
          <w:b/>
          <w:color w:val="auto"/>
          <w:sz w:val="32"/>
          <w:highlight w:val="none"/>
        </w:rPr>
        <w:sectPr>
          <w:headerReference r:id="rId5" w:type="first"/>
          <w:footerReference r:id="rId7" w:type="first"/>
          <w:footerReference r:id="rId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360"/>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36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36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36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36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36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36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评标委员会认为投标人的报价明显低于其他通过符合性审查投标人的报价，有可能影响服务质量或者不能诚信履约的，应当要求其在合理的时间内提供书面说明，必要时提交相关证明材料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36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10%的扣除，用扣除后的价格参与评审。接受大中型企业与小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ind w:firstLine="420"/>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360"/>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3"/>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4.2.2投标文件未按照招标文件要求签署、盖章的；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b/>
          <w:bCs/>
          <w:color w:val="auto"/>
          <w:kern w:val="0"/>
          <w:sz w:val="24"/>
          <w:highlight w:val="none"/>
        </w:rPr>
        <w:t>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4.2.4投标文件含有采购人不能接受的附加条件的；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 xml:space="preserve">  </w:t>
      </w:r>
      <w:r>
        <w:rPr>
          <w:rFonts w:hint="eastAsia" w:ascii="仿宋_GB2312" w:hAnsi="仿宋" w:eastAsia="仿宋_GB2312" w:cs="Arial"/>
          <w:b/>
          <w:bCs/>
          <w:color w:val="auto"/>
          <w:kern w:val="0"/>
          <w:sz w:val="24"/>
          <w:highlight w:val="none"/>
        </w:rPr>
        <w:t xml:space="preserve"> </w:t>
      </w:r>
      <w:r>
        <w:rPr>
          <w:rFonts w:ascii="仿宋_GB2312" w:hAnsi="仿宋" w:eastAsia="仿宋_GB2312" w:cs="Arial"/>
          <w:b/>
          <w:bCs/>
          <w:color w:val="auto"/>
          <w:kern w:val="0"/>
          <w:sz w:val="24"/>
          <w:highlight w:val="none"/>
        </w:rPr>
        <w:t>4.2.6投标文件出现不是唯一的、有选择性投标报价的;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4.2.7投标报价超过招标文件中规定的预算金额或者最高限价的;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4.2.9投标人对根据修正原则修正后的报价不确认的；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4.2.10投标人提供虚假材料投标的；</w:t>
      </w:r>
    </w:p>
    <w:p>
      <w:pPr>
        <w:spacing w:line="360" w:lineRule="auto"/>
        <w:ind w:firstLine="241" w:firstLineChars="1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 xml:space="preserve">  4.2.11投标人有恶意串通、妨碍其他投标人的竞争行为、损害采购人或者其他投标人的合法权益情形的；</w:t>
      </w:r>
    </w:p>
    <w:p>
      <w:pPr>
        <w:spacing w:line="360" w:lineRule="auto"/>
        <w:ind w:firstLine="482" w:firstLineChars="200"/>
        <w:rPr>
          <w:rFonts w:ascii="仿宋_GB2312" w:hAnsi="仿宋" w:eastAsia="仿宋_GB2312" w:cs="Arial"/>
          <w:b/>
          <w:bCs/>
          <w:color w:val="auto"/>
          <w:kern w:val="0"/>
          <w:sz w:val="24"/>
          <w:highlight w:val="none"/>
        </w:rPr>
      </w:pPr>
      <w:r>
        <w:rPr>
          <w:rFonts w:ascii="仿宋_GB2312" w:hAnsi="仿宋" w:eastAsia="仿宋_GB2312" w:cs="Arial"/>
          <w:b/>
          <w:bCs/>
          <w:color w:val="auto"/>
          <w:kern w:val="0"/>
          <w:sz w:val="24"/>
          <w:highlight w:val="none"/>
        </w:rPr>
        <w:t>4.2.12投标人仅提交备份投标文件，没有在电子交易平台传输递交投标文件的，投标无效；</w:t>
      </w:r>
    </w:p>
    <w:p>
      <w:pPr>
        <w:pStyle w:val="4"/>
        <w:ind w:left="862" w:leftChars="205"/>
        <w:rPr>
          <w:rFonts w:cs="Arial"/>
          <w:color w:val="auto"/>
          <w:kern w:val="0"/>
          <w:sz w:val="24"/>
          <w:szCs w:val="24"/>
          <w:highlight w:val="none"/>
          <w:lang w:val="en-US"/>
        </w:rPr>
      </w:pPr>
      <w:r>
        <w:rPr>
          <w:rFonts w:cs="Arial"/>
          <w:color w:val="auto"/>
          <w:kern w:val="0"/>
          <w:sz w:val="24"/>
          <w:szCs w:val="24"/>
          <w:highlight w:val="none"/>
          <w:lang w:val="en-US"/>
        </w:rPr>
        <w:t xml:space="preserve">4.2.13 </w:t>
      </w:r>
      <w:r>
        <w:rPr>
          <w:rFonts w:hint="eastAsia" w:cs="Arial"/>
          <w:color w:val="auto"/>
          <w:kern w:val="0"/>
          <w:sz w:val="24"/>
          <w:szCs w:val="24"/>
          <w:highlight w:val="none"/>
          <w:lang w:val="en-US"/>
        </w:rPr>
        <w:t>投标文件不满足招标文件的其它实质性要求的；</w:t>
      </w:r>
    </w:p>
    <w:p>
      <w:pPr>
        <w:spacing w:line="360" w:lineRule="auto"/>
        <w:ind w:firstLine="482" w:firstLineChars="200"/>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4.2.14</w:t>
      </w:r>
      <w:r>
        <w:rPr>
          <w:rFonts w:ascii="仿宋_GB2312" w:hAnsi="仿宋" w:eastAsia="仿宋_GB2312" w:cs="Arial"/>
          <w:b/>
          <w:bCs/>
          <w:color w:val="auto"/>
          <w:kern w:val="0"/>
          <w:sz w:val="24"/>
          <w:highlight w:val="none"/>
        </w:rPr>
        <w:t>法律、法规、规章及省级以上规范性文件规定的其他无效情形。</w:t>
      </w:r>
    </w:p>
    <w:p>
      <w:pPr>
        <w:spacing w:line="440" w:lineRule="exact"/>
        <w:rPr>
          <w:rFonts w:hint="default" w:eastAsia="仿宋_GB2312"/>
          <w:color w:val="auto"/>
          <w:highlight w:val="none"/>
          <w:lang w:val="en-US" w:eastAsia="zh-CN"/>
        </w:rPr>
      </w:pPr>
      <w:r>
        <w:rPr>
          <w:rFonts w:hint="eastAsia" w:ascii="仿宋_GB2312" w:hAnsi="仿宋" w:eastAsia="仿宋_GB2312" w:cs="Arial"/>
          <w:b/>
          <w:bCs/>
          <w:color w:val="auto"/>
          <w:kern w:val="0"/>
          <w:sz w:val="24"/>
          <w:highlight w:val="none"/>
          <w:lang w:val="en-US" w:eastAsia="zh-CN"/>
        </w:rPr>
        <w:t>4.2.15未提供“</w:t>
      </w:r>
      <w:r>
        <w:rPr>
          <w:rFonts w:hint="eastAsia" w:ascii="仿宋_GB2312" w:hAnsi="仿宋" w:eastAsia="仿宋_GB2312" w:cs="Arial"/>
          <w:b/>
          <w:bCs/>
          <w:color w:val="auto"/>
          <w:kern w:val="0"/>
          <w:sz w:val="24"/>
          <w:szCs w:val="24"/>
          <w:highlight w:val="none"/>
          <w:lang w:val="en-US" w:eastAsia="zh-CN" w:bidi="ar-SA"/>
        </w:rPr>
        <w:t>同一设备维修完成后30个日历天内出现相同故障，投标人应对该故障设备进行全新件的更换。</w:t>
      </w:r>
      <w:r>
        <w:rPr>
          <w:rFonts w:hint="eastAsia" w:ascii="仿宋_GB2312" w:hAnsi="仿宋" w:eastAsia="仿宋_GB2312" w:cs="Arial"/>
          <w:b/>
          <w:bCs/>
          <w:color w:val="auto"/>
          <w:kern w:val="0"/>
          <w:sz w:val="24"/>
          <w:highlight w:val="none"/>
          <w:lang w:val="en-US" w:eastAsia="zh-CN"/>
        </w:rPr>
        <w:t>”相关承诺函的。</w:t>
      </w:r>
    </w:p>
    <w:p>
      <w:pPr>
        <w:pStyle w:val="23"/>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3"/>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3"/>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3"/>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3"/>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3"/>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废标后，采购代理机构应当将废标理由通知所有投标人。</w:t>
      </w:r>
    </w:p>
    <w:p>
      <w:pPr>
        <w:pStyle w:val="23"/>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3"/>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3"/>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3"/>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3"/>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3"/>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3"/>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rPr>
          <w:rFonts w:ascii="仿宋_GB2312" w:hAnsi="仿宋" w:eastAsia="仿宋_GB2312" w:cs="仿宋_GB2312"/>
          <w:color w:val="auto"/>
          <w:highlight w:val="none"/>
        </w:rPr>
      </w:pPr>
      <w:r>
        <w:rPr>
          <w:rFonts w:ascii="仿宋_GB2312" w:hAnsi="仿宋" w:eastAsia="仿宋_GB2312" w:cs="仿宋_GB2312"/>
          <w:color w:val="auto"/>
          <w:highlight w:val="none"/>
        </w:rPr>
        <w:br w:type="page"/>
      </w:r>
    </w:p>
    <w:bookmarkEnd w:id="26"/>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93" w:name="第五部分"/>
      <w:bookmarkStart w:id="394" w:name="_Toc86217003"/>
    </w:p>
    <w:p>
      <w:pPr>
        <w:spacing w:line="360" w:lineRule="auto"/>
        <w:jc w:val="center"/>
        <w:outlineLvl w:val="0"/>
        <w:rPr>
          <w:rFonts w:ascii="仿宋" w:hAnsi="仿宋" w:eastAsia="仿宋"/>
          <w:b/>
          <w:color w:val="auto"/>
          <w:sz w:val="24"/>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spacing w:line="360" w:lineRule="auto"/>
        <w:ind w:left="-420" w:leftChars="-200" w:right="-420" w:rightChars="-200" w:firstLine="723" w:firstLineChars="200"/>
        <w:jc w:val="center"/>
        <w:outlineLvl w:val="0"/>
        <w:rPr>
          <w:rFonts w:ascii="仿宋" w:hAnsi="仿宋" w:eastAsia="仿宋"/>
          <w:b/>
          <w:color w:val="auto"/>
          <w:sz w:val="36"/>
          <w:szCs w:val="36"/>
          <w:highlight w:val="none"/>
        </w:rPr>
      </w:pPr>
    </w:p>
    <w:p>
      <w:pPr>
        <w:pStyle w:val="29"/>
        <w:snapToGrid w:val="0"/>
        <w:spacing w:before="120" w:after="120" w:line="360" w:lineRule="auto"/>
        <w:ind w:firstLine="513" w:firstLineChars="213"/>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zh-CN"/>
        </w:rPr>
        <w:t>特别提示：本合同条款仅供参考，中标人与招标人在签订合同时，应在不违背本项目招标文件原则性条款的基础上，视具体情况进行补充与增减。</w:t>
      </w:r>
    </w:p>
    <w:p>
      <w:pPr>
        <w:spacing w:line="360" w:lineRule="auto"/>
        <w:ind w:firstLine="480" w:firstLineChars="200"/>
        <w:rPr>
          <w:rFonts w:ascii="仿宋_GB2312" w:hAnsi="仿宋_GB2312" w:eastAsia="仿宋_GB2312" w:cs="仿宋_GB2312"/>
          <w:color w:val="auto"/>
          <w:sz w:val="24"/>
          <w:highlight w:val="none"/>
        </w:rPr>
      </w:pPr>
    </w:p>
    <w:p>
      <w:pPr>
        <w:spacing w:line="360" w:lineRule="auto"/>
        <w:jc w:val="center"/>
        <w:outlineLvl w:val="0"/>
        <w:rPr>
          <w:rFonts w:ascii="仿宋_GB2312" w:hAnsi="仿宋_GB2312" w:eastAsia="仿宋_GB2312" w:cs="仿宋_GB2312"/>
          <w:b/>
          <w:color w:val="auto"/>
          <w:sz w:val="36"/>
          <w:szCs w:val="36"/>
          <w:highlight w:val="none"/>
        </w:rPr>
      </w:pPr>
      <w:bookmarkStart w:id="395" w:name="_Toc1595"/>
      <w:r>
        <w:rPr>
          <w:rFonts w:hint="eastAsia" w:ascii="仿宋_GB2312" w:hAnsi="仿宋_GB2312" w:eastAsia="仿宋_GB2312" w:cs="仿宋_GB2312"/>
          <w:b/>
          <w:color w:val="auto"/>
          <w:sz w:val="36"/>
          <w:szCs w:val="36"/>
          <w:highlight w:val="none"/>
        </w:rPr>
        <w:t>自然人税收服务辅助管理平台升级项目合同</w:t>
      </w:r>
      <w:bookmarkEnd w:id="395"/>
    </w:p>
    <w:p>
      <w:pPr>
        <w:rPr>
          <w:rFonts w:ascii="仿宋_GB2312" w:hAnsi="仿宋_GB2312" w:eastAsia="仿宋_GB2312" w:cs="仿宋_GB2312"/>
          <w:color w:val="auto"/>
          <w:highlight w:val="none"/>
        </w:rPr>
      </w:pP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甲方（采购人）：</w:t>
      </w:r>
      <w:r>
        <w:rPr>
          <w:rFonts w:hint="eastAsia" w:ascii="仿宋_GB2312" w:hAnsi="仿宋_GB2312" w:eastAsia="仿宋_GB2312" w:cs="仿宋_GB2312"/>
          <w:color w:val="auto"/>
          <w:sz w:val="24"/>
          <w:highlight w:val="none"/>
          <w:u w:val="single"/>
        </w:rPr>
        <w:t xml:space="preserve">国家税务总局浙江省税务局 </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乙方（投标人）：</w:t>
      </w:r>
    </w:p>
    <w:p>
      <w:pPr>
        <w:spacing w:line="360" w:lineRule="auto"/>
        <w:ind w:firstLine="482" w:firstLineChars="200"/>
        <w:rPr>
          <w:rFonts w:ascii="仿宋_GB2312" w:hAnsi="仿宋_GB2312" w:eastAsia="仿宋_GB2312" w:cs="仿宋_GB2312"/>
          <w:b/>
          <w:color w:val="auto"/>
          <w:sz w:val="24"/>
          <w:highlight w:val="none"/>
        </w:rPr>
      </w:pP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甲、乙双方根据关于项目编号为</w:t>
      </w:r>
      <w:r>
        <w:rPr>
          <w:rFonts w:hint="eastAsia" w:ascii="仿宋_GB2312" w:hAnsi="仿宋_GB2312" w:eastAsia="仿宋_GB2312" w:cs="仿宋_GB2312"/>
          <w:b/>
          <w:bCs/>
          <w:color w:val="auto"/>
          <w:sz w:val="24"/>
          <w:highlight w:val="none"/>
          <w:u w:val="single"/>
        </w:rPr>
        <w:t xml:space="preserve">        </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single"/>
        </w:rPr>
        <w:t>自然人税收服务辅助管理平台升级项目</w:t>
      </w:r>
      <w:r>
        <w:rPr>
          <w:rFonts w:hint="eastAsia" w:ascii="仿宋_GB2312" w:hAnsi="仿宋_GB2312" w:eastAsia="仿宋_GB2312" w:cs="仿宋_GB2312"/>
          <w:color w:val="auto"/>
          <w:sz w:val="24"/>
          <w:highlight w:val="none"/>
        </w:rPr>
        <w:t>公开招标的结果，签署本合同。</w:t>
      </w:r>
    </w:p>
    <w:p>
      <w:pPr>
        <w:pStyle w:val="29"/>
        <w:snapToGrid w:val="0"/>
        <w:spacing w:line="360" w:lineRule="auto"/>
        <w:ind w:firstLine="513" w:firstLineChars="213"/>
        <w:rPr>
          <w:rFonts w:ascii="仿宋_GB2312" w:hAnsi="仿宋_GB2312" w:eastAsia="仿宋_GB2312" w:cs="仿宋_GB2312"/>
          <w:b/>
          <w:color w:val="auto"/>
          <w:sz w:val="24"/>
          <w:szCs w:val="24"/>
          <w:highlight w:val="none"/>
        </w:rPr>
      </w:pPr>
      <w:bookmarkStart w:id="396" w:name="_Toc12960"/>
      <w:r>
        <w:rPr>
          <w:rFonts w:hint="eastAsia" w:ascii="仿宋_GB2312" w:hAnsi="仿宋_GB2312" w:eastAsia="仿宋_GB2312" w:cs="仿宋_GB2312"/>
          <w:b/>
          <w:color w:val="auto"/>
          <w:sz w:val="24"/>
          <w:szCs w:val="24"/>
          <w:highlight w:val="none"/>
        </w:rPr>
        <w:t>一、项目内容及合同价格</w:t>
      </w:r>
      <w:bookmarkEnd w:id="396"/>
    </w:p>
    <w:p>
      <w:pPr>
        <w:pStyle w:val="29"/>
        <w:snapToGrid w:val="0"/>
        <w:spacing w:line="360" w:lineRule="auto"/>
        <w:ind w:right="120" w:firstLine="511" w:firstLineChars="213"/>
        <w:jc w:val="righ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金额单位：元</w:t>
      </w:r>
    </w:p>
    <w:tbl>
      <w:tblPr>
        <w:tblStyle w:val="5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7"/>
        <w:gridCol w:w="1930"/>
        <w:gridCol w:w="1069"/>
        <w:gridCol w:w="74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347" w:type="dxa"/>
            <w:tcBorders>
              <w:top w:val="single" w:color="auto" w:sz="4" w:space="0"/>
              <w:left w:val="single" w:color="auto" w:sz="4" w:space="0"/>
              <w:bottom w:val="single" w:color="auto" w:sz="4" w:space="0"/>
              <w:right w:val="single" w:color="auto" w:sz="4" w:space="0"/>
            </w:tcBorders>
            <w:vAlign w:val="center"/>
          </w:tcPr>
          <w:p>
            <w:pPr>
              <w:pStyle w:val="29"/>
              <w:snapToGrid w:val="0"/>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项目名称</w:t>
            </w:r>
          </w:p>
        </w:tc>
        <w:tc>
          <w:tcPr>
            <w:tcW w:w="1930" w:type="dxa"/>
            <w:tcBorders>
              <w:top w:val="single" w:color="auto" w:sz="4" w:space="0"/>
              <w:left w:val="single" w:color="auto" w:sz="4" w:space="0"/>
              <w:bottom w:val="single" w:color="auto" w:sz="4" w:space="0"/>
              <w:right w:val="single" w:color="auto" w:sz="4" w:space="0"/>
            </w:tcBorders>
            <w:vAlign w:val="center"/>
          </w:tcPr>
          <w:p>
            <w:pPr>
              <w:pStyle w:val="29"/>
              <w:snapToGrid w:val="0"/>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技术需求</w:t>
            </w:r>
          </w:p>
        </w:tc>
        <w:tc>
          <w:tcPr>
            <w:tcW w:w="1069" w:type="dxa"/>
            <w:tcBorders>
              <w:top w:val="single" w:color="auto" w:sz="4" w:space="0"/>
              <w:left w:val="single" w:color="auto" w:sz="4" w:space="0"/>
              <w:bottom w:val="single" w:color="auto" w:sz="4" w:space="0"/>
              <w:right w:val="single" w:color="auto" w:sz="4" w:space="0"/>
            </w:tcBorders>
            <w:vAlign w:val="center"/>
          </w:tcPr>
          <w:p>
            <w:pPr>
              <w:pStyle w:val="29"/>
              <w:snapToGrid w:val="0"/>
              <w:ind w:left="-108"/>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数量</w:t>
            </w:r>
          </w:p>
        </w:tc>
        <w:tc>
          <w:tcPr>
            <w:tcW w:w="740" w:type="dxa"/>
            <w:tcBorders>
              <w:top w:val="single" w:color="auto" w:sz="4" w:space="0"/>
              <w:left w:val="single" w:color="auto" w:sz="4" w:space="0"/>
              <w:bottom w:val="single" w:color="auto" w:sz="4" w:space="0"/>
              <w:right w:val="single" w:color="auto" w:sz="4" w:space="0"/>
            </w:tcBorders>
            <w:vAlign w:val="center"/>
          </w:tcPr>
          <w:p>
            <w:pPr>
              <w:pStyle w:val="29"/>
              <w:snapToGrid w:val="0"/>
              <w:ind w:left="-108"/>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单价</w:t>
            </w:r>
          </w:p>
        </w:tc>
        <w:tc>
          <w:tcPr>
            <w:tcW w:w="1200" w:type="dxa"/>
            <w:tcBorders>
              <w:top w:val="single" w:color="auto" w:sz="4" w:space="0"/>
              <w:left w:val="single" w:color="auto" w:sz="4" w:space="0"/>
              <w:bottom w:val="single" w:color="auto" w:sz="4" w:space="0"/>
              <w:right w:val="single" w:color="auto" w:sz="4" w:space="0"/>
            </w:tcBorders>
            <w:vAlign w:val="center"/>
          </w:tcPr>
          <w:p>
            <w:pPr>
              <w:pStyle w:val="29"/>
              <w:snapToGrid w:val="0"/>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347"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自然人税收服务辅助管理平台升级项目</w:t>
            </w:r>
          </w:p>
        </w:tc>
        <w:tc>
          <w:tcPr>
            <w:tcW w:w="19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详见附件清单</w:t>
            </w:r>
          </w:p>
        </w:tc>
        <w:tc>
          <w:tcPr>
            <w:tcW w:w="106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color w:val="auto"/>
                <w:kern w:val="0"/>
                <w:sz w:val="24"/>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color w:val="auto"/>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6277" w:type="dxa"/>
            <w:gridSpan w:val="2"/>
            <w:tcBorders>
              <w:top w:val="single" w:color="auto" w:sz="4" w:space="0"/>
              <w:left w:val="single" w:color="auto" w:sz="4" w:space="0"/>
              <w:bottom w:val="single" w:color="auto" w:sz="4" w:space="0"/>
              <w:right w:val="single" w:color="auto" w:sz="4" w:space="0"/>
            </w:tcBorders>
            <w:vAlign w:val="center"/>
          </w:tcPr>
          <w:p>
            <w:pPr>
              <w:pStyle w:val="29"/>
              <w:snapToGrid w:val="0"/>
              <w:ind w:firstLine="511" w:firstLineChars="213"/>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            计</w:t>
            </w:r>
          </w:p>
        </w:tc>
        <w:tc>
          <w:tcPr>
            <w:tcW w:w="106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color w:val="auto"/>
                <w:kern w:val="0"/>
                <w:sz w:val="24"/>
                <w:highlight w:val="none"/>
              </w:rPr>
            </w:pPr>
          </w:p>
        </w:tc>
        <w:tc>
          <w:tcPr>
            <w:tcW w:w="1940" w:type="dxa"/>
            <w:gridSpan w:val="2"/>
            <w:tcBorders>
              <w:top w:val="single" w:color="auto" w:sz="4" w:space="0"/>
              <w:left w:val="single" w:color="auto" w:sz="4" w:space="0"/>
              <w:bottom w:val="single" w:color="auto" w:sz="4" w:space="0"/>
              <w:right w:val="single" w:color="auto" w:sz="4" w:space="0"/>
            </w:tcBorders>
            <w:vAlign w:val="center"/>
          </w:tcPr>
          <w:p>
            <w:pPr>
              <w:pStyle w:val="718"/>
              <w:spacing w:line="240" w:lineRule="auto"/>
              <w:ind w:firstLine="511" w:firstLineChars="213"/>
              <w:jc w:val="center"/>
              <w:rPr>
                <w:rFonts w:hAnsi="仿宋_GB2312" w:cs="仿宋_GB2312"/>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286" w:type="dxa"/>
            <w:gridSpan w:val="5"/>
            <w:tcBorders>
              <w:top w:val="single" w:color="auto" w:sz="4" w:space="0"/>
              <w:left w:val="single" w:color="auto" w:sz="4" w:space="0"/>
              <w:bottom w:val="single" w:color="auto" w:sz="4" w:space="0"/>
              <w:right w:val="single" w:color="auto" w:sz="4" w:space="0"/>
            </w:tcBorders>
          </w:tcPr>
          <w:p>
            <w:pPr>
              <w:pStyle w:val="29"/>
              <w:snapToGri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合同总价：大写：                                   小写：￥</w:t>
            </w:r>
            <w:r>
              <w:rPr>
                <w:rFonts w:hint="eastAsia" w:ascii="仿宋_GB2312" w:hAnsi="仿宋_GB2312" w:eastAsia="仿宋_GB2312" w:cs="仿宋_GB2312"/>
                <w:color w:val="auto"/>
                <w:sz w:val="24"/>
                <w:szCs w:val="24"/>
                <w:highlight w:val="none"/>
                <w:u w:val="single"/>
              </w:rPr>
              <w:t xml:space="preserve">             元   </w:t>
            </w:r>
          </w:p>
        </w:tc>
      </w:tr>
    </w:tbl>
    <w:p>
      <w:pPr>
        <w:pStyle w:val="29"/>
        <w:snapToGrid w:val="0"/>
        <w:spacing w:line="360" w:lineRule="auto"/>
        <w:ind w:firstLine="480" w:firstLineChars="20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注：1.项目具体技术需求及采购人地址等详见招标文件、投标文件以及询标记录。</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2.以上合同总价包含项目达到预期使用效果所需的一切费用。</w:t>
      </w:r>
    </w:p>
    <w:p>
      <w:pPr>
        <w:pStyle w:val="29"/>
        <w:snapToGrid w:val="0"/>
        <w:spacing w:line="360" w:lineRule="auto"/>
        <w:ind w:firstLine="482" w:firstLineChars="200"/>
        <w:rPr>
          <w:rFonts w:ascii="仿宋_GB2312" w:hAnsi="仿宋_GB2312" w:eastAsia="仿宋_GB2312" w:cs="仿宋_GB2312"/>
          <w:b/>
          <w:color w:val="auto"/>
          <w:sz w:val="24"/>
          <w:szCs w:val="24"/>
          <w:highlight w:val="none"/>
        </w:rPr>
      </w:pPr>
      <w:bookmarkStart w:id="397" w:name="_Toc25736"/>
      <w:r>
        <w:rPr>
          <w:rFonts w:hint="eastAsia" w:ascii="仿宋_GB2312" w:hAnsi="仿宋_GB2312" w:eastAsia="仿宋_GB2312" w:cs="仿宋_GB2312"/>
          <w:b/>
          <w:color w:val="auto"/>
          <w:sz w:val="24"/>
          <w:szCs w:val="24"/>
          <w:highlight w:val="none"/>
        </w:rPr>
        <w:t>二、技术资料</w:t>
      </w:r>
      <w:bookmarkEnd w:id="397"/>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1.乙方应按招标文件规定的时间向甲方提供使用项目的有关技术资料。</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line="360" w:lineRule="auto"/>
        <w:ind w:firstLine="482" w:firstLineChars="200"/>
        <w:rPr>
          <w:rFonts w:ascii="仿宋_GB2312" w:hAnsi="仿宋_GB2312" w:eastAsia="仿宋_GB2312" w:cs="仿宋_GB2312"/>
          <w:b/>
          <w:color w:val="auto"/>
          <w:sz w:val="24"/>
          <w:szCs w:val="24"/>
          <w:highlight w:val="none"/>
        </w:rPr>
      </w:pPr>
      <w:bookmarkStart w:id="398" w:name="_Toc7799"/>
      <w:r>
        <w:rPr>
          <w:rFonts w:hint="eastAsia" w:ascii="仿宋_GB2312" w:hAnsi="仿宋_GB2312" w:eastAsia="仿宋_GB2312" w:cs="仿宋_GB2312"/>
          <w:b/>
          <w:color w:val="auto"/>
          <w:sz w:val="24"/>
          <w:szCs w:val="24"/>
          <w:highlight w:val="none"/>
        </w:rPr>
        <w:t>三、知识产权</w:t>
      </w:r>
      <w:bookmarkEnd w:id="398"/>
    </w:p>
    <w:p>
      <w:pPr>
        <w:pStyle w:val="29"/>
        <w:snapToGrid w:val="0"/>
        <w:spacing w:line="360" w:lineRule="auto"/>
        <w:ind w:firstLine="480" w:firstLineChars="200"/>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乙方应保证所提供的货物或其任何一部分均不会侵犯任何第三方的知识产权</w:t>
      </w:r>
      <w:r>
        <w:rPr>
          <w:rFonts w:hint="eastAsia" w:ascii="仿宋_GB2312" w:hAnsi="仿宋_GB2312" w:eastAsia="仿宋_GB2312" w:cs="仿宋_GB2312"/>
          <w:bCs/>
          <w:color w:val="auto"/>
          <w:sz w:val="24"/>
          <w:szCs w:val="24"/>
          <w:highlight w:val="none"/>
        </w:rPr>
        <w:t>。</w:t>
      </w:r>
    </w:p>
    <w:p>
      <w:pPr>
        <w:widowControl/>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snapToGrid w:val="0"/>
          <w:color w:val="auto"/>
          <w:sz w:val="24"/>
          <w:highlight w:val="none"/>
        </w:rPr>
        <w:t>乙方</w:t>
      </w:r>
      <w:r>
        <w:rPr>
          <w:rFonts w:hint="eastAsia" w:ascii="仿宋_GB2312" w:hAnsi="仿宋_GB2312" w:eastAsia="仿宋_GB2312" w:cs="仿宋_GB2312"/>
          <w:color w:val="auto"/>
          <w:sz w:val="24"/>
          <w:highlight w:val="none"/>
        </w:rPr>
        <w:t>在项目建设及运营服务期内所构建的各类技术组件、产品、资料文档等应全量交付甲方长期使用，在</w:t>
      </w:r>
      <w:r>
        <w:rPr>
          <w:rFonts w:hint="eastAsia" w:ascii="仿宋_GB2312" w:hAnsi="仿宋_GB2312" w:eastAsia="仿宋_GB2312" w:cs="仿宋_GB2312"/>
          <w:snapToGrid w:val="0"/>
          <w:color w:val="auto"/>
          <w:sz w:val="24"/>
          <w:highlight w:val="none"/>
        </w:rPr>
        <w:t>乙方</w:t>
      </w:r>
      <w:r>
        <w:rPr>
          <w:rFonts w:hint="eastAsia" w:ascii="仿宋_GB2312" w:hAnsi="仿宋_GB2312" w:eastAsia="仿宋_GB2312" w:cs="仿宋_GB2312"/>
          <w:color w:val="auto"/>
          <w:sz w:val="24"/>
          <w:highlight w:val="none"/>
        </w:rPr>
        <w:t>所交付的系统中，不得包含任何可以自动终止或妨碍系统运作的程序，不得设置任何限制性条件，不得二次收费。乙方利用甲方提供的技术资料所完成的新的专用于甲方的技术成果，归甲方所有。甲方在系统使用过程中所产生的一切数据信息属于甲方所有，乙方负有保密义务，不得用于本合同之外的用途。甲方利用</w:t>
      </w:r>
      <w:r>
        <w:rPr>
          <w:rFonts w:hint="eastAsia" w:ascii="仿宋_GB2312" w:hAnsi="仿宋_GB2312" w:eastAsia="仿宋_GB2312" w:cs="仿宋_GB2312"/>
          <w:snapToGrid w:val="0"/>
          <w:color w:val="auto"/>
          <w:sz w:val="24"/>
          <w:highlight w:val="none"/>
        </w:rPr>
        <w:t>乙方</w:t>
      </w:r>
      <w:r>
        <w:rPr>
          <w:rFonts w:hint="eastAsia" w:ascii="仿宋_GB2312" w:hAnsi="仿宋_GB2312" w:eastAsia="仿宋_GB2312" w:cs="仿宋_GB2312"/>
          <w:color w:val="auto"/>
          <w:sz w:val="24"/>
          <w:highlight w:val="none"/>
        </w:rPr>
        <w:t>的服务成果所完成的新的技术成果的所有权利，包括但不限于知识产权、专利申请权和所有权，归甲方所有。未经同意，不得将涉及知识产权的技术秘密透露给第三方。</w:t>
      </w:r>
    </w:p>
    <w:p>
      <w:pPr>
        <w:widowControl/>
        <w:snapToGrid w:val="0"/>
        <w:spacing w:line="360" w:lineRule="auto"/>
        <w:ind w:firstLine="480" w:firstLineChars="200"/>
        <w:rPr>
          <w:rFonts w:ascii="仿宋_GB2312" w:hAnsi="仿宋_GB2312" w:eastAsia="仿宋_GB2312" w:cs="仿宋_GB2312"/>
          <w:snapToGrid w:val="0"/>
          <w:color w:val="auto"/>
          <w:sz w:val="24"/>
          <w:highlight w:val="none"/>
        </w:rPr>
      </w:pPr>
      <w:r>
        <w:rPr>
          <w:rFonts w:hint="eastAsia" w:ascii="仿宋_GB2312" w:hAnsi="仿宋_GB2312" w:eastAsia="仿宋_GB2312" w:cs="仿宋_GB2312"/>
          <w:color w:val="auto"/>
          <w:sz w:val="24"/>
          <w:highlight w:val="none"/>
        </w:rPr>
        <w:t>未经甲方书面同意，乙方及其关联公司不得将所共享的项目定制化服务过程中所形成的专用于甲方的技术资产和成果用于甲方以外用户，基于本合同项目成果基础之上形成的后续研发成果，在同等采购条件下须优先应用于甲方的项目。</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乙方有不可争议的义务确保甲方依据本次采购所获得的知识产权不存在任何瑕疵并且可以不受限制地行使相关权利，包括各项延伸权利。</w:t>
      </w:r>
    </w:p>
    <w:p>
      <w:pPr>
        <w:pStyle w:val="29"/>
        <w:snapToGrid w:val="0"/>
        <w:spacing w:line="360" w:lineRule="auto"/>
        <w:ind w:firstLine="482" w:firstLineChars="200"/>
        <w:rPr>
          <w:rFonts w:ascii="仿宋_GB2312" w:hAnsi="仿宋_GB2312" w:eastAsia="仿宋_GB2312" w:cs="仿宋_GB2312"/>
          <w:color w:val="auto"/>
          <w:sz w:val="24"/>
          <w:szCs w:val="24"/>
          <w:highlight w:val="none"/>
          <w:u w:val="single"/>
        </w:rPr>
      </w:pPr>
      <w:bookmarkStart w:id="399" w:name="_Toc25318"/>
      <w:r>
        <w:rPr>
          <w:rFonts w:hint="eastAsia" w:ascii="仿宋_GB2312" w:hAnsi="仿宋_GB2312" w:eastAsia="仿宋_GB2312" w:cs="仿宋_GB2312"/>
          <w:b/>
          <w:color w:val="auto"/>
          <w:sz w:val="24"/>
          <w:szCs w:val="24"/>
          <w:highlight w:val="none"/>
        </w:rPr>
        <w:t>四、产权担保</w:t>
      </w:r>
      <w:bookmarkEnd w:id="399"/>
    </w:p>
    <w:p>
      <w:pPr>
        <w:widowControl/>
        <w:snapToGrid w:val="0"/>
        <w:spacing w:line="360" w:lineRule="auto"/>
        <w:ind w:firstLine="480" w:firstLineChars="200"/>
        <w:rPr>
          <w:rFonts w:ascii="仿宋_GB2312" w:hAnsi="仿宋_GB2312" w:eastAsia="仿宋_GB2312" w:cs="仿宋_GB2312"/>
          <w:snapToGrid w:val="0"/>
          <w:color w:val="auto"/>
          <w:sz w:val="24"/>
          <w:highlight w:val="none"/>
          <w:u w:val="single"/>
        </w:rPr>
      </w:pPr>
      <w:r>
        <w:rPr>
          <w:rFonts w:hint="eastAsia" w:ascii="仿宋_GB2312" w:hAnsi="仿宋_GB2312" w:eastAsia="仿宋_GB2312" w:cs="仿宋_GB2312"/>
          <w:color w:val="auto"/>
          <w:sz w:val="24"/>
          <w:highlight w:val="none"/>
        </w:rPr>
        <w:t>乙方保证所交付的货物的所有权完全属于乙方且无任何抵押、查封等产</w:t>
      </w:r>
      <w:r>
        <w:rPr>
          <w:rFonts w:hint="eastAsia" w:ascii="仿宋_GB2312" w:hAnsi="仿宋_GB2312" w:eastAsia="仿宋_GB2312" w:cs="仿宋_GB2312"/>
          <w:snapToGrid w:val="0"/>
          <w:color w:val="auto"/>
          <w:sz w:val="24"/>
          <w:highlight w:val="none"/>
        </w:rPr>
        <w:t>权瑕疵。</w:t>
      </w:r>
      <w:r>
        <w:rPr>
          <w:rFonts w:hint="eastAsia" w:ascii="仿宋_GB2312" w:hAnsi="仿宋_GB2312" w:eastAsia="仿宋_GB2312" w:cs="仿宋_GB2312"/>
          <w:color w:val="auto"/>
          <w:sz w:val="24"/>
          <w:highlight w:val="none"/>
        </w:rPr>
        <w:t>乙方保证甲方不受第三方关于侵犯知识产权、版权和专利权的指控，任何第三方如果提出指控，乙方与第三方交涉，承担可能发生的一切法律责任、费用和后果。</w:t>
      </w:r>
    </w:p>
    <w:p>
      <w:pPr>
        <w:pStyle w:val="29"/>
        <w:snapToGrid w:val="0"/>
        <w:spacing w:line="360" w:lineRule="auto"/>
        <w:ind w:firstLine="482" w:firstLineChars="200"/>
        <w:rPr>
          <w:rFonts w:ascii="仿宋_GB2312" w:hAnsi="仿宋_GB2312" w:eastAsia="仿宋_GB2312" w:cs="仿宋_GB2312"/>
          <w:b/>
          <w:color w:val="auto"/>
          <w:sz w:val="24"/>
          <w:szCs w:val="24"/>
          <w:highlight w:val="none"/>
        </w:rPr>
      </w:pPr>
      <w:bookmarkStart w:id="400" w:name="_Toc23381"/>
      <w:r>
        <w:rPr>
          <w:rFonts w:hint="eastAsia" w:ascii="仿宋_GB2312" w:hAnsi="仿宋_GB2312" w:eastAsia="仿宋_GB2312" w:cs="仿宋_GB2312"/>
          <w:b/>
          <w:color w:val="auto"/>
          <w:sz w:val="24"/>
          <w:szCs w:val="24"/>
          <w:highlight w:val="none"/>
        </w:rPr>
        <w:t>五、转包或分包</w:t>
      </w:r>
      <w:bookmarkEnd w:id="400"/>
    </w:p>
    <w:p>
      <w:pPr>
        <w:snapToGrid w:val="0"/>
        <w:spacing w:line="360" w:lineRule="auto"/>
        <w:ind w:firstLine="480" w:firstLineChars="200"/>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不允许转包。</w:t>
      </w:r>
    </w:p>
    <w:p>
      <w:pPr>
        <w:snapToGrid w:val="0"/>
        <w:spacing w:line="360" w:lineRule="auto"/>
        <w:ind w:firstLine="480" w:firstLineChars="200"/>
        <w:rPr>
          <w:rFonts w:ascii="仿宋_GB2312" w:hAnsi="仿宋_GB2312" w:eastAsia="仿宋_GB2312" w:cs="仿宋_GB2312"/>
          <w:snapToGrid w:val="0"/>
          <w:color w:val="auto"/>
          <w:kern w:val="0"/>
          <w:sz w:val="24"/>
          <w:highlight w:val="none"/>
          <w:u w:val="single"/>
        </w:rPr>
      </w:pPr>
      <w:r>
        <w:rPr>
          <w:rFonts w:hint="eastAsia" w:ascii="仿宋_GB2312" w:hAnsi="仿宋_GB2312" w:eastAsia="仿宋_GB2312" w:cs="仿宋_GB2312"/>
          <w:snapToGrid w:val="0"/>
          <w:color w:val="auto"/>
          <w:kern w:val="0"/>
          <w:sz w:val="24"/>
          <w:highlight w:val="none"/>
        </w:rPr>
        <w:t>允许分包部分</w:t>
      </w:r>
      <w:r>
        <w:rPr>
          <w:rFonts w:hint="eastAsia" w:ascii="仿宋_GB2312" w:hAnsi="仿宋_GB2312" w:eastAsia="仿宋_GB2312" w:cs="仿宋_GB2312"/>
          <w:snapToGrid w:val="0"/>
          <w:color w:val="auto"/>
          <w:kern w:val="0"/>
          <w:sz w:val="24"/>
          <w:highlight w:val="none"/>
          <w:u w:val="single"/>
        </w:rPr>
        <w:t xml:space="preserve">      /      。</w:t>
      </w:r>
    </w:p>
    <w:p>
      <w:pPr>
        <w:snapToGrid w:val="0"/>
        <w:spacing w:line="360" w:lineRule="auto"/>
        <w:ind w:firstLine="480" w:firstLineChars="200"/>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如乙方将项目转包或将不允许分包部分进行了分包，甲方有权解除合同，没收履约保证金并追究乙方的违约责任。</w:t>
      </w:r>
    </w:p>
    <w:p>
      <w:pPr>
        <w:pStyle w:val="29"/>
        <w:snapToGrid w:val="0"/>
        <w:spacing w:line="360" w:lineRule="auto"/>
        <w:ind w:firstLine="482" w:firstLineChars="200"/>
        <w:rPr>
          <w:rFonts w:ascii="仿宋_GB2312" w:hAnsi="仿宋_GB2312" w:eastAsia="仿宋_GB2312" w:cs="仿宋_GB2312"/>
          <w:color w:val="auto"/>
          <w:kern w:val="0"/>
          <w:sz w:val="24"/>
          <w:szCs w:val="24"/>
          <w:highlight w:val="none"/>
        </w:rPr>
      </w:pPr>
      <w:bookmarkStart w:id="401" w:name="_Toc2950"/>
      <w:r>
        <w:rPr>
          <w:rFonts w:hint="eastAsia" w:ascii="仿宋_GB2312" w:hAnsi="仿宋_GB2312" w:eastAsia="仿宋_GB2312" w:cs="仿宋_GB2312"/>
          <w:b/>
          <w:color w:val="auto"/>
          <w:sz w:val="24"/>
          <w:szCs w:val="24"/>
          <w:highlight w:val="none"/>
        </w:rPr>
        <w:t>六、运营服务期和履约保证金</w:t>
      </w:r>
      <w:bookmarkEnd w:id="401"/>
    </w:p>
    <w:p>
      <w:pPr>
        <w:widowControl/>
        <w:snapToGrid w:val="0"/>
        <w:spacing w:line="360" w:lineRule="auto"/>
        <w:ind w:firstLine="480" w:firstLineChars="200"/>
        <w:rPr>
          <w:rFonts w:ascii="仿宋_GB2312" w:hAnsi="仿宋_GB2312" w:eastAsia="仿宋_GB2312" w:cs="仿宋_GB2312"/>
          <w:snapToGrid w:val="0"/>
          <w:color w:val="auto"/>
          <w:sz w:val="24"/>
          <w:highlight w:val="none"/>
        </w:rPr>
      </w:pPr>
      <w:r>
        <w:rPr>
          <w:rFonts w:hint="eastAsia" w:ascii="仿宋_GB2312" w:hAnsi="仿宋_GB2312" w:eastAsia="仿宋_GB2312" w:cs="仿宋_GB2312"/>
          <w:snapToGrid w:val="0"/>
          <w:color w:val="auto"/>
          <w:sz w:val="24"/>
          <w:highlight w:val="none"/>
        </w:rPr>
        <w:t>1.运营服务期</w:t>
      </w:r>
      <w:r>
        <w:rPr>
          <w:rFonts w:hint="eastAsia" w:ascii="仿宋_GB2312" w:hAnsi="仿宋_GB2312" w:eastAsia="仿宋_GB2312" w:cs="仿宋_GB2312"/>
          <w:snapToGrid w:val="0"/>
          <w:color w:val="auto"/>
          <w:sz w:val="24"/>
          <w:highlight w:val="none"/>
          <w:u w:val="single"/>
        </w:rPr>
        <w:t xml:space="preserve">   </w:t>
      </w:r>
      <w:r>
        <w:rPr>
          <w:rFonts w:hint="eastAsia" w:ascii="仿宋_GB2312" w:hAnsi="仿宋_GB2312" w:eastAsia="仿宋_GB2312" w:cs="仿宋_GB2312"/>
          <w:snapToGrid w:val="0"/>
          <w:color w:val="auto"/>
          <w:sz w:val="24"/>
          <w:highlight w:val="none"/>
          <w:u w:val="single"/>
          <w:lang w:val="en-US" w:eastAsia="zh-CN"/>
        </w:rPr>
        <w:t xml:space="preserve">  </w:t>
      </w:r>
      <w:r>
        <w:rPr>
          <w:rFonts w:hint="eastAsia" w:ascii="仿宋_GB2312" w:hAnsi="仿宋_GB2312" w:eastAsia="仿宋_GB2312" w:cs="仿宋_GB2312"/>
          <w:snapToGrid w:val="0"/>
          <w:color w:val="auto"/>
          <w:sz w:val="24"/>
          <w:highlight w:val="none"/>
          <w:u w:val="single"/>
        </w:rPr>
        <w:t xml:space="preserve">   </w:t>
      </w:r>
      <w:r>
        <w:rPr>
          <w:rFonts w:hint="eastAsia" w:ascii="仿宋_GB2312" w:hAnsi="仿宋_GB2312" w:eastAsia="仿宋_GB2312" w:cs="仿宋_GB2312"/>
          <w:snapToGrid w:val="0"/>
          <w:color w:val="auto"/>
          <w:sz w:val="24"/>
          <w:highlight w:val="none"/>
        </w:rPr>
        <w:t>年。（自本标项</w:t>
      </w:r>
      <w:r>
        <w:rPr>
          <w:rFonts w:hint="eastAsia" w:ascii="仿宋_GB2312" w:hAnsi="仿宋_GB2312" w:eastAsia="仿宋_GB2312" w:cs="仿宋_GB2312"/>
          <w:color w:val="auto"/>
          <w:sz w:val="24"/>
          <w:highlight w:val="none"/>
        </w:rPr>
        <w:t>竣工</w:t>
      </w:r>
      <w:r>
        <w:rPr>
          <w:rFonts w:hint="eastAsia" w:ascii="仿宋_GB2312" w:hAnsi="仿宋_GB2312" w:eastAsia="仿宋_GB2312" w:cs="仿宋_GB2312"/>
          <w:snapToGrid w:val="0"/>
          <w:color w:val="auto"/>
          <w:sz w:val="24"/>
          <w:highlight w:val="none"/>
        </w:rPr>
        <w:t>验收合格交付使用之日起计）</w:t>
      </w:r>
    </w:p>
    <w:p>
      <w:pPr>
        <w:pStyle w:val="29"/>
        <w:snapToGrid w:val="0"/>
        <w:spacing w:line="360" w:lineRule="auto"/>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2.履约保证金</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single"/>
          <w:lang w:val="en-US" w:eastAsia="zh-CN"/>
        </w:rPr>
        <w:t>无</w:t>
      </w:r>
    </w:p>
    <w:p>
      <w:pPr>
        <w:pStyle w:val="29"/>
        <w:snapToGrid w:val="0"/>
        <w:spacing w:line="360" w:lineRule="auto"/>
        <w:ind w:firstLine="482" w:firstLineChars="200"/>
        <w:rPr>
          <w:rFonts w:ascii="仿宋_GB2312" w:hAnsi="仿宋_GB2312" w:eastAsia="仿宋_GB2312" w:cs="仿宋_GB2312"/>
          <w:b/>
          <w:color w:val="auto"/>
          <w:sz w:val="24"/>
          <w:szCs w:val="24"/>
          <w:highlight w:val="none"/>
        </w:rPr>
      </w:pPr>
      <w:bookmarkStart w:id="402" w:name="_Toc11878"/>
      <w:r>
        <w:rPr>
          <w:rFonts w:hint="eastAsia" w:ascii="仿宋_GB2312" w:hAnsi="仿宋_GB2312" w:eastAsia="仿宋_GB2312" w:cs="仿宋_GB2312"/>
          <w:b/>
          <w:color w:val="auto"/>
          <w:sz w:val="24"/>
          <w:szCs w:val="24"/>
          <w:highlight w:val="none"/>
        </w:rPr>
        <w:t>七、项目</w:t>
      </w:r>
      <w:r>
        <w:rPr>
          <w:rFonts w:hint="eastAsia" w:ascii="仿宋_GB2312" w:hAnsi="仿宋_GB2312" w:eastAsia="仿宋_GB2312" w:cs="仿宋_GB2312"/>
          <w:b/>
          <w:color w:val="auto"/>
          <w:sz w:val="24"/>
          <w:szCs w:val="24"/>
          <w:highlight w:val="none"/>
          <w:lang w:val="en-US" w:eastAsia="zh-CN"/>
        </w:rPr>
        <w:t>服务期</w:t>
      </w:r>
      <w:r>
        <w:rPr>
          <w:rFonts w:hint="eastAsia" w:ascii="仿宋_GB2312" w:hAnsi="仿宋_GB2312" w:eastAsia="仿宋_GB2312" w:cs="仿宋_GB2312"/>
          <w:b/>
          <w:color w:val="auto"/>
          <w:sz w:val="24"/>
          <w:szCs w:val="24"/>
          <w:highlight w:val="none"/>
        </w:rPr>
        <w:t>及实施地点</w:t>
      </w:r>
      <w:bookmarkEnd w:id="402"/>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服务期</w:t>
      </w:r>
      <w:r>
        <w:rPr>
          <w:rFonts w:hint="eastAsia" w:ascii="仿宋_GB2312" w:hAnsi="仿宋_GB2312" w:eastAsia="仿宋_GB2312" w:cs="仿宋_GB2312"/>
          <w:color w:val="auto"/>
          <w:sz w:val="24"/>
          <w:szCs w:val="24"/>
          <w:highlight w:val="none"/>
        </w:rPr>
        <w:t>：项目服务期分建设期和运维期，项目建设期为自合同签订之日起60日内，项目的运维期为项目终验后1年。</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2.实施地点：项目实施及服务运维地点由</w:t>
      </w:r>
      <w:r>
        <w:rPr>
          <w:rFonts w:hint="eastAsia" w:ascii="仿宋_GB2312" w:hAnsi="仿宋_GB2312" w:eastAsia="仿宋_GB2312" w:cs="仿宋_GB2312"/>
          <w:color w:val="auto"/>
          <w:sz w:val="24"/>
          <w:szCs w:val="24"/>
          <w:highlight w:val="none"/>
          <w:lang w:val="en-US" w:eastAsia="zh-CN"/>
        </w:rPr>
        <w:t>甲方</w:t>
      </w:r>
      <w:r>
        <w:rPr>
          <w:rFonts w:hint="eastAsia" w:ascii="仿宋_GB2312" w:hAnsi="仿宋_GB2312" w:eastAsia="仿宋_GB2312" w:cs="仿宋_GB2312"/>
          <w:color w:val="auto"/>
          <w:sz w:val="24"/>
          <w:szCs w:val="24"/>
          <w:highlight w:val="none"/>
        </w:rPr>
        <w:t>指定。</w:t>
      </w:r>
    </w:p>
    <w:p>
      <w:pPr>
        <w:pStyle w:val="29"/>
        <w:snapToGrid w:val="0"/>
        <w:spacing w:line="360" w:lineRule="auto"/>
        <w:ind w:firstLine="482" w:firstLineChars="200"/>
        <w:rPr>
          <w:rFonts w:ascii="仿宋_GB2312" w:hAnsi="仿宋_GB2312" w:eastAsia="仿宋_GB2312" w:cs="仿宋_GB2312"/>
          <w:b/>
          <w:color w:val="auto"/>
          <w:sz w:val="24"/>
          <w:szCs w:val="24"/>
          <w:highlight w:val="none"/>
        </w:rPr>
      </w:pPr>
      <w:bookmarkStart w:id="403" w:name="_Toc27551"/>
      <w:r>
        <w:rPr>
          <w:rFonts w:hint="eastAsia" w:ascii="仿宋_GB2312" w:hAnsi="仿宋_GB2312" w:eastAsia="仿宋_GB2312" w:cs="仿宋_GB2312"/>
          <w:b/>
          <w:color w:val="auto"/>
          <w:sz w:val="24"/>
          <w:szCs w:val="24"/>
          <w:highlight w:val="none"/>
        </w:rPr>
        <w:t>八、货款支付</w:t>
      </w:r>
      <w:bookmarkEnd w:id="403"/>
    </w:p>
    <w:p>
      <w:pPr>
        <w:adjustRightInd/>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付款方式采取按服务年度支付的办法，分两次付款：</w:t>
      </w:r>
    </w:p>
    <w:p>
      <w:pPr>
        <w:adjustRightInd/>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1.第一次付款：合同签订后15个工作日内，凭</w:t>
      </w:r>
      <w:r>
        <w:rPr>
          <w:rFonts w:hint="eastAsia" w:ascii="仿宋_GB2312" w:hAnsi="仿宋_GB2312" w:eastAsia="仿宋_GB2312" w:cs="仿宋_GB2312"/>
          <w:color w:val="auto"/>
          <w:sz w:val="24"/>
          <w:highlight w:val="none"/>
          <w:lang w:val="en-US" w:eastAsia="zh-CN"/>
        </w:rPr>
        <w:t>乙方</w:t>
      </w:r>
      <w:r>
        <w:rPr>
          <w:rFonts w:hint="eastAsia" w:ascii="仿宋_GB2312" w:hAnsi="仿宋_GB2312" w:eastAsia="仿宋_GB2312" w:cs="仿宋_GB2312"/>
          <w:color w:val="auto"/>
          <w:sz w:val="24"/>
          <w:highlight w:val="none"/>
        </w:rPr>
        <w:t>书面付款申请支付合同金额的60%</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 xml:space="preserve">    元</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w:t>
      </w:r>
    </w:p>
    <w:p>
      <w:pPr>
        <w:adjustRightInd/>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2.第二次付款：项目验收通过后，</w:t>
      </w:r>
      <w:r>
        <w:rPr>
          <w:rFonts w:hint="eastAsia" w:ascii="仿宋_GB2312" w:hAnsi="仿宋_GB2312" w:eastAsia="仿宋_GB2312" w:cs="仿宋_GB2312"/>
          <w:color w:val="auto"/>
          <w:sz w:val="24"/>
          <w:highlight w:val="none"/>
          <w:lang w:val="en-US" w:eastAsia="zh-CN"/>
        </w:rPr>
        <w:t>甲方</w:t>
      </w:r>
      <w:r>
        <w:rPr>
          <w:rFonts w:hint="eastAsia" w:ascii="仿宋_GB2312" w:hAnsi="仿宋_GB2312" w:eastAsia="仿宋_GB2312" w:cs="仿宋_GB2312"/>
          <w:color w:val="auto"/>
          <w:sz w:val="24"/>
          <w:highlight w:val="none"/>
        </w:rPr>
        <w:t>凭</w:t>
      </w:r>
      <w:r>
        <w:rPr>
          <w:rFonts w:hint="eastAsia" w:ascii="仿宋_GB2312" w:hAnsi="仿宋_GB2312" w:eastAsia="仿宋_GB2312" w:cs="仿宋_GB2312"/>
          <w:color w:val="auto"/>
          <w:sz w:val="24"/>
          <w:highlight w:val="none"/>
          <w:lang w:val="en-US" w:eastAsia="zh-CN"/>
        </w:rPr>
        <w:t>乙方</w:t>
      </w:r>
      <w:r>
        <w:rPr>
          <w:rFonts w:hint="eastAsia" w:ascii="仿宋_GB2312" w:hAnsi="仿宋_GB2312" w:eastAsia="仿宋_GB2312" w:cs="仿宋_GB2312"/>
          <w:color w:val="auto"/>
          <w:sz w:val="24"/>
          <w:highlight w:val="none"/>
        </w:rPr>
        <w:t>书面付款申请和验收报告15个工作日内支付剩余40%</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 xml:space="preserve">    元</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zh-TW"/>
        </w:rPr>
        <w:t>。</w:t>
      </w:r>
    </w:p>
    <w:p>
      <w:pPr>
        <w:snapToGrid w:val="0"/>
        <w:spacing w:line="360" w:lineRule="auto"/>
        <w:ind w:firstLine="482" w:firstLineChars="200"/>
        <w:rPr>
          <w:rFonts w:ascii="仿宋_GB2312" w:hAnsi="仿宋_GB2312" w:eastAsia="仿宋_GB2312" w:cs="仿宋_GB2312"/>
          <w:b/>
          <w:snapToGrid w:val="0"/>
          <w:color w:val="auto"/>
          <w:kern w:val="0"/>
          <w:sz w:val="24"/>
          <w:highlight w:val="none"/>
        </w:rPr>
      </w:pPr>
      <w:bookmarkStart w:id="404" w:name="_Toc16857"/>
      <w:r>
        <w:rPr>
          <w:rFonts w:hint="eastAsia" w:ascii="仿宋_GB2312" w:hAnsi="仿宋_GB2312" w:eastAsia="仿宋_GB2312" w:cs="仿宋_GB2312"/>
          <w:b/>
          <w:snapToGrid w:val="0"/>
          <w:color w:val="auto"/>
          <w:kern w:val="0"/>
          <w:sz w:val="24"/>
          <w:highlight w:val="none"/>
        </w:rPr>
        <w:t>九、税费</w:t>
      </w:r>
      <w:bookmarkEnd w:id="404"/>
    </w:p>
    <w:p>
      <w:pPr>
        <w:snapToGrid w:val="0"/>
        <w:spacing w:line="360" w:lineRule="auto"/>
        <w:ind w:firstLine="480" w:firstLineChars="200"/>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本合同执行中相关的一切税费均由乙方负担。</w:t>
      </w:r>
    </w:p>
    <w:p>
      <w:pPr>
        <w:pStyle w:val="29"/>
        <w:snapToGrid w:val="0"/>
        <w:spacing w:line="360" w:lineRule="auto"/>
        <w:ind w:firstLine="482" w:firstLineChars="200"/>
        <w:rPr>
          <w:rFonts w:ascii="仿宋_GB2312" w:hAnsi="仿宋_GB2312" w:eastAsia="仿宋_GB2312" w:cs="仿宋_GB2312"/>
          <w:color w:val="auto"/>
          <w:kern w:val="0"/>
          <w:sz w:val="24"/>
          <w:szCs w:val="24"/>
          <w:highlight w:val="none"/>
        </w:rPr>
      </w:pPr>
      <w:bookmarkStart w:id="405" w:name="_Toc22317"/>
      <w:r>
        <w:rPr>
          <w:rFonts w:hint="eastAsia" w:ascii="仿宋_GB2312" w:hAnsi="仿宋_GB2312" w:eastAsia="仿宋_GB2312" w:cs="仿宋_GB2312"/>
          <w:b/>
          <w:color w:val="auto"/>
          <w:sz w:val="24"/>
          <w:szCs w:val="24"/>
          <w:highlight w:val="none"/>
        </w:rPr>
        <w:t>十、质量保证及售后服务</w:t>
      </w:r>
      <w:bookmarkEnd w:id="405"/>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2.乙方提供的货物在运营服务期内因货物本身的质量问题发生故障，乙方应负责免费更换。对达不到技术要求者，根据实际情况，经双方协商，可按以下办法处理：</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⑴更换：由乙方承担所发生的全部费用。</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⑵贬值处理：由甲乙双方合议定价。</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⑶退货处理：乙方应退还甲方支付的合同款，同时应承担该货物的直接费用（运输、保险、检验、货款利息及银行手续费等）。</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如在使用过程中发生质量问题，乙方在接到甲方通知后在1小时内到达甲方现场对故障进行处理，最迟在4小时内并提出解决方案，24小时内修复；若短期无法修复的，应及时提供相应备用设备并负责安装调试以保证甲方的正常工作。出现故障后，乙方如未按上述要求进行响应，甲方可以采取必要的补救措施，由此产生的风险和费用将由乙方承担。若因乙方不及时维修，甲方有权请第三方进行维修，</w:t>
      </w:r>
      <w:r>
        <w:rPr>
          <w:rFonts w:hint="eastAsia" w:ascii="仿宋_GB2312" w:hAnsi="仿宋_GB2312" w:eastAsia="仿宋_GB2312" w:cs="仿宋_GB2312"/>
          <w:color w:val="auto"/>
          <w:sz w:val="24"/>
          <w:szCs w:val="24"/>
          <w:highlight w:val="none"/>
          <w:lang w:val="en-US" w:eastAsia="zh-CN"/>
        </w:rPr>
        <w:t>乙方缴纳违约金</w:t>
      </w:r>
      <w:r>
        <w:rPr>
          <w:rFonts w:hint="eastAsia" w:ascii="仿宋_GB2312" w:hAnsi="仿宋_GB2312" w:eastAsia="仿宋_GB2312" w:cs="仿宋_GB2312"/>
          <w:color w:val="auto"/>
          <w:sz w:val="24"/>
          <w:szCs w:val="24"/>
          <w:highlight w:val="none"/>
        </w:rPr>
        <w:t>1000元/次。超过运营服务期后，乙方也应提供终身维修服务，产生的费用由甲方按市场价支付。</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4.在运营服务期内，乙方应对货物出现的质量及安全问题负责处理解决并承担一切费用。</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5.上述的货物在运营服务期内免费保修，因人为因素出现的故障不在免费保修范围内。超过运营服务期的机器设备，终生维修，维修时只收部件成本费。</w:t>
      </w:r>
    </w:p>
    <w:p>
      <w:pPr>
        <w:widowControl/>
        <w:snapToGrid w:val="0"/>
        <w:spacing w:line="360" w:lineRule="auto"/>
        <w:ind w:firstLine="480" w:firstLineChars="200"/>
        <w:rPr>
          <w:rFonts w:ascii="仿宋_GB2312" w:hAnsi="仿宋_GB2312" w:eastAsia="仿宋_GB2312" w:cs="仿宋_GB2312"/>
          <w:snapToGrid w:val="0"/>
          <w:color w:val="auto"/>
          <w:sz w:val="24"/>
          <w:highlight w:val="none"/>
        </w:rPr>
      </w:pPr>
      <w:r>
        <w:rPr>
          <w:rFonts w:hint="eastAsia" w:ascii="仿宋_GB2312" w:hAnsi="仿宋_GB2312" w:eastAsia="仿宋_GB2312" w:cs="仿宋_GB2312"/>
          <w:color w:val="auto"/>
          <w:sz w:val="24"/>
          <w:highlight w:val="none"/>
        </w:rPr>
        <w:t>6.乙方应当根据甲方要求，对重大或紧急问题提供现场技术支持；问题解决后24小时内，提交问题处理报告，说明问题种类、问题原因、问题解决中使用的方法。乙方应定期进行系统的检查与维护，及时发现故障隐患，及时予以故障排除。</w:t>
      </w:r>
    </w:p>
    <w:p>
      <w:pPr>
        <w:pStyle w:val="29"/>
        <w:snapToGrid w:val="0"/>
        <w:spacing w:line="360" w:lineRule="auto"/>
        <w:ind w:firstLine="482" w:firstLineChars="200"/>
        <w:rPr>
          <w:rFonts w:ascii="仿宋_GB2312" w:hAnsi="仿宋_GB2312" w:eastAsia="仿宋_GB2312" w:cs="仿宋_GB2312"/>
          <w:b/>
          <w:color w:val="auto"/>
          <w:sz w:val="24"/>
          <w:szCs w:val="24"/>
          <w:highlight w:val="none"/>
        </w:rPr>
      </w:pPr>
      <w:bookmarkStart w:id="406" w:name="_Toc18969"/>
      <w:r>
        <w:rPr>
          <w:rFonts w:hint="eastAsia" w:ascii="仿宋_GB2312" w:hAnsi="仿宋_GB2312" w:eastAsia="仿宋_GB2312" w:cs="仿宋_GB2312"/>
          <w:b/>
          <w:color w:val="auto"/>
          <w:sz w:val="24"/>
          <w:szCs w:val="24"/>
          <w:highlight w:val="none"/>
        </w:rPr>
        <w:t>十一、验收</w:t>
      </w:r>
      <w:bookmarkEnd w:id="406"/>
    </w:p>
    <w:p>
      <w:pPr>
        <w:pStyle w:val="29"/>
        <w:snapToGri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在合同规定工作完成后向用户提出验收申请，用户审核是否满足项目验收准入条件。满足验收准入条件后，启动项目验收程序。项目执行中，用户将根据单项需求实现情况进行考核，并将单项需求考核结果汇总作为项目验收的重要依据。</w:t>
      </w:r>
    </w:p>
    <w:p>
      <w:pPr>
        <w:pStyle w:val="29"/>
        <w:snapToGri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2.用户以上述“主要功能要求”所要求的全部功能需求内容为依据，作为项目功能验收标准。</w:t>
      </w:r>
    </w:p>
    <w:p>
      <w:pPr>
        <w:pStyle w:val="29"/>
        <w:snapToGri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3.符合验收条件后，</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可提出项目验收申请，验收内容应包含“自然人税收服务辅助管理平台升级”的全部功能、相关技术资料、输出数据报表准确性等，以及是否能够满足本项目用户实际工作需求等。投标人在方案中也需明确，并作为评分依据。</w:t>
      </w:r>
    </w:p>
    <w:p>
      <w:pPr>
        <w:pStyle w:val="29"/>
        <w:snapToGri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应配合完成项目的验收工作，提交项目验收相关产出物，经项目单位确认后进行项目验收。</w:t>
      </w:r>
    </w:p>
    <w:p>
      <w:pPr>
        <w:pStyle w:val="29"/>
        <w:snapToGri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提供的各类文档应内容完整、描述清晰、版本最新，各类方案要求实现目标明确、工作措施得力、可操作性强、具有前瞻性。产出物应提供电子和纸质两种介质，并保持版本一致。</w:t>
      </w:r>
    </w:p>
    <w:p>
      <w:pPr>
        <w:pStyle w:val="29"/>
        <w:snapToGrid w:val="0"/>
        <w:spacing w:line="360" w:lineRule="auto"/>
        <w:ind w:firstLine="480"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6.对验收中发现的问题，</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应提出有效解决办法和措施，经招标人确认后实施。</w:t>
      </w:r>
    </w:p>
    <w:p>
      <w:pPr>
        <w:pStyle w:val="29"/>
        <w:snapToGrid w:val="0"/>
        <w:spacing w:line="360" w:lineRule="auto"/>
        <w:ind w:firstLine="482" w:firstLineChars="200"/>
        <w:rPr>
          <w:rFonts w:ascii="仿宋_GB2312" w:hAnsi="仿宋_GB2312" w:eastAsia="仿宋_GB2312" w:cs="仿宋_GB2312"/>
          <w:b/>
          <w:color w:val="auto"/>
          <w:sz w:val="24"/>
          <w:szCs w:val="24"/>
          <w:highlight w:val="none"/>
        </w:rPr>
      </w:pPr>
      <w:bookmarkStart w:id="407" w:name="_Toc10184"/>
      <w:r>
        <w:rPr>
          <w:rFonts w:hint="eastAsia" w:ascii="仿宋_GB2312" w:hAnsi="仿宋_GB2312" w:eastAsia="仿宋_GB2312" w:cs="仿宋_GB2312"/>
          <w:b/>
          <w:color w:val="auto"/>
          <w:sz w:val="24"/>
          <w:szCs w:val="24"/>
          <w:highlight w:val="none"/>
        </w:rPr>
        <w:t>十二、</w:t>
      </w:r>
      <w:bookmarkEnd w:id="407"/>
      <w:bookmarkStart w:id="408" w:name="_Toc15831"/>
      <w:r>
        <w:rPr>
          <w:rFonts w:hint="eastAsia" w:ascii="仿宋_GB2312" w:hAnsi="仿宋_GB2312" w:eastAsia="仿宋_GB2312" w:cs="仿宋_GB2312"/>
          <w:b/>
          <w:color w:val="auto"/>
          <w:sz w:val="24"/>
          <w:szCs w:val="24"/>
          <w:highlight w:val="none"/>
        </w:rPr>
        <w:t>违约责任</w:t>
      </w:r>
      <w:bookmarkEnd w:id="408"/>
    </w:p>
    <w:p>
      <w:pPr>
        <w:pStyle w:val="29"/>
        <w:snapToGrid w:val="0"/>
        <w:spacing w:line="360" w:lineRule="auto"/>
        <w:ind w:left="1"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1.甲方无正当理由拒收验收项目的，甲方向乙方偿付拒收合同总价的百分之五违约金。</w:t>
      </w:r>
    </w:p>
    <w:p>
      <w:pPr>
        <w:pStyle w:val="29"/>
        <w:snapToGrid w:val="0"/>
        <w:spacing w:line="360" w:lineRule="auto"/>
        <w:ind w:left="1"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2.甲方无故逾期验收和办理合同款项支付手续的,甲方应按逾期付款总额每日万分之五向乙方支付违约金，总计不超过合同总价的百分之五。</w:t>
      </w:r>
    </w:p>
    <w:p>
      <w:pPr>
        <w:pStyle w:val="29"/>
        <w:snapToGrid w:val="0"/>
        <w:spacing w:line="360" w:lineRule="auto"/>
        <w:ind w:left="1"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乙方逾期交付项目的，乙方应按逾期交付项目总额每日万分之五向甲方支付违约金，违约金总额不超过合同总价的百分之五，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pPr>
        <w:pStyle w:val="29"/>
        <w:snapToGrid w:val="0"/>
        <w:spacing w:line="360" w:lineRule="auto"/>
        <w:ind w:left="1"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4.乙方所</w:t>
      </w:r>
      <w:r>
        <w:rPr>
          <w:rFonts w:hint="eastAsia" w:ascii="仿宋_GB2312" w:hAnsi="仿宋_GB2312" w:eastAsia="仿宋_GB2312" w:cs="仿宋_GB2312"/>
          <w:color w:val="auto"/>
          <w:sz w:val="24"/>
          <w:szCs w:val="24"/>
          <w:highlight w:val="none"/>
          <w:lang w:val="en-US" w:eastAsia="zh-CN"/>
        </w:rPr>
        <w:t>交付标的物</w:t>
      </w:r>
      <w:r>
        <w:rPr>
          <w:rFonts w:hint="eastAsia" w:ascii="仿宋_GB2312" w:hAnsi="仿宋_GB2312" w:eastAsia="仿宋_GB2312" w:cs="仿宋_GB2312"/>
          <w:color w:val="auto"/>
          <w:sz w:val="24"/>
          <w:szCs w:val="24"/>
          <w:highlight w:val="none"/>
        </w:rPr>
        <w:t>品种、型号、规格、技术参数、质量不符合合同规定及招标文件规定标准的，甲方有权拒收该</w:t>
      </w:r>
      <w:r>
        <w:rPr>
          <w:rFonts w:hint="eastAsia" w:ascii="仿宋_GB2312" w:hAnsi="仿宋_GB2312" w:eastAsia="仿宋_GB2312" w:cs="仿宋_GB2312"/>
          <w:color w:val="auto"/>
          <w:sz w:val="24"/>
          <w:szCs w:val="24"/>
          <w:highlight w:val="none"/>
          <w:lang w:val="en-US" w:eastAsia="zh-CN"/>
        </w:rPr>
        <w:t>标的物</w:t>
      </w:r>
      <w:r>
        <w:rPr>
          <w:rFonts w:hint="eastAsia" w:ascii="仿宋_GB2312" w:hAnsi="仿宋_GB2312" w:eastAsia="仿宋_GB2312" w:cs="仿宋_GB2312"/>
          <w:color w:val="auto"/>
          <w:sz w:val="24"/>
          <w:szCs w:val="24"/>
          <w:highlight w:val="none"/>
        </w:rPr>
        <w:t>，乙方愿意更换</w:t>
      </w:r>
      <w:r>
        <w:rPr>
          <w:rFonts w:hint="eastAsia" w:ascii="仿宋_GB2312" w:hAnsi="仿宋_GB2312" w:eastAsia="仿宋_GB2312" w:cs="仿宋_GB2312"/>
          <w:color w:val="auto"/>
          <w:sz w:val="24"/>
          <w:szCs w:val="24"/>
          <w:highlight w:val="none"/>
          <w:lang w:val="en-US" w:eastAsia="zh-CN"/>
        </w:rPr>
        <w:t>标的物</w:t>
      </w:r>
      <w:r>
        <w:rPr>
          <w:rFonts w:hint="eastAsia" w:ascii="仿宋_GB2312" w:hAnsi="仿宋_GB2312" w:eastAsia="仿宋_GB2312" w:cs="仿宋_GB2312"/>
          <w:color w:val="auto"/>
          <w:sz w:val="24"/>
          <w:szCs w:val="24"/>
          <w:highlight w:val="none"/>
        </w:rPr>
        <w:t>但逾期交货的，按乙方逾期交货处理。乙方拒绝更换</w:t>
      </w:r>
      <w:r>
        <w:rPr>
          <w:rFonts w:hint="eastAsia" w:ascii="仿宋_GB2312" w:hAnsi="仿宋_GB2312" w:eastAsia="仿宋_GB2312" w:cs="仿宋_GB2312"/>
          <w:color w:val="auto"/>
          <w:sz w:val="24"/>
          <w:szCs w:val="24"/>
          <w:highlight w:val="none"/>
          <w:lang w:val="en-US" w:eastAsia="zh-CN"/>
        </w:rPr>
        <w:t>标的物</w:t>
      </w:r>
      <w:r>
        <w:rPr>
          <w:rFonts w:hint="eastAsia" w:ascii="仿宋_GB2312" w:hAnsi="仿宋_GB2312" w:eastAsia="仿宋_GB2312" w:cs="仿宋_GB2312"/>
          <w:color w:val="auto"/>
          <w:sz w:val="24"/>
          <w:szCs w:val="24"/>
          <w:highlight w:val="none"/>
        </w:rPr>
        <w:t>的，甲方可单方面解除合同。</w:t>
      </w:r>
    </w:p>
    <w:p>
      <w:pPr>
        <w:pStyle w:val="29"/>
        <w:snapToGrid w:val="0"/>
        <w:spacing w:line="360" w:lineRule="auto"/>
        <w:ind w:left="1"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5.项目过程中，若发生安全事故，一切责任由乙方承担。若发生安全生产重大责任事故，扣罚10%的履约保证金，并承担由此给甲方造成的损失。</w:t>
      </w:r>
    </w:p>
    <w:p>
      <w:pPr>
        <w:pStyle w:val="29"/>
        <w:snapToGrid w:val="0"/>
        <w:spacing w:line="360" w:lineRule="auto"/>
        <w:ind w:left="1"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6.乙方不得以任何形式向与本项目相关管理单位人员赠送各种礼品、礼券或现金，一经查实扣罚20%的履约保证金，情节严重者将移交相关执法部门处理，甲方并有权终止合同。</w:t>
      </w:r>
    </w:p>
    <w:p>
      <w:pPr>
        <w:pStyle w:val="29"/>
        <w:snapToGrid w:val="0"/>
        <w:spacing w:line="360" w:lineRule="auto"/>
        <w:ind w:firstLine="482" w:firstLineChars="200"/>
        <w:rPr>
          <w:rFonts w:hint="default" w:ascii="仿宋_GB2312" w:hAnsi="仿宋_GB2312" w:eastAsia="仿宋_GB2312" w:cs="仿宋_GB2312"/>
          <w:b/>
          <w:color w:val="auto"/>
          <w:sz w:val="24"/>
          <w:szCs w:val="24"/>
          <w:highlight w:val="none"/>
          <w:lang w:val="en-US" w:eastAsia="zh-CN"/>
        </w:rPr>
      </w:pPr>
      <w:bookmarkStart w:id="409" w:name="_Toc14089"/>
      <w:r>
        <w:rPr>
          <w:rFonts w:hint="eastAsia" w:ascii="仿宋_GB2312" w:hAnsi="仿宋_GB2312" w:eastAsia="仿宋_GB2312" w:cs="仿宋_GB2312"/>
          <w:b/>
          <w:color w:val="auto"/>
          <w:sz w:val="24"/>
          <w:szCs w:val="24"/>
          <w:highlight w:val="none"/>
          <w:lang w:val="en-US" w:eastAsia="zh-CN"/>
        </w:rPr>
        <w:t>7.乙方在本项目实施过程中发生违反网络安全规定行为造成数据失窃或丢失、敏感信息泄露、主要业务系统瘫痪等不良后果的，自甲方或甲方主管机关做出认定之日起三年内，税务系统各单位可以拒绝乙方参与税务系统政府采购活动。</w:t>
      </w:r>
    </w:p>
    <w:p>
      <w:pPr>
        <w:pStyle w:val="29"/>
        <w:snapToGrid w:val="0"/>
        <w:spacing w:line="360" w:lineRule="auto"/>
        <w:ind w:firstLine="482" w:firstLineChars="200"/>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十</w:t>
      </w:r>
      <w:r>
        <w:rPr>
          <w:rFonts w:hint="eastAsia" w:ascii="仿宋_GB2312" w:hAnsi="仿宋_GB2312" w:eastAsia="仿宋_GB2312" w:cs="仿宋_GB2312"/>
          <w:b/>
          <w:color w:val="auto"/>
          <w:sz w:val="24"/>
          <w:szCs w:val="24"/>
          <w:highlight w:val="none"/>
          <w:lang w:val="en-US" w:eastAsia="zh-CN"/>
        </w:rPr>
        <w:t>三</w:t>
      </w:r>
      <w:r>
        <w:rPr>
          <w:rFonts w:hint="eastAsia" w:ascii="仿宋_GB2312" w:hAnsi="仿宋_GB2312" w:eastAsia="仿宋_GB2312" w:cs="仿宋_GB2312"/>
          <w:b/>
          <w:color w:val="auto"/>
          <w:sz w:val="24"/>
          <w:szCs w:val="24"/>
          <w:highlight w:val="none"/>
        </w:rPr>
        <w:t>、不可抗力事件处理</w:t>
      </w:r>
      <w:bookmarkEnd w:id="409"/>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1.在合同有效期内，任何一方因不可抗力事件导致不能履行合同，则合同履行期可延长，其延长期与不可抗力影响期相同。</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2.不可抗力事件发生后，应立即通知对方，并寄送有关权威机构出具的证明。</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3.不可抗力事件延续120天以上，双方应通过友好协商，确定是否继续履行合同。</w:t>
      </w:r>
    </w:p>
    <w:p>
      <w:pPr>
        <w:pStyle w:val="29"/>
        <w:snapToGrid w:val="0"/>
        <w:spacing w:line="360" w:lineRule="auto"/>
        <w:ind w:firstLine="482" w:firstLineChars="200"/>
        <w:rPr>
          <w:rFonts w:ascii="仿宋_GB2312" w:hAnsi="仿宋_GB2312" w:eastAsia="仿宋_GB2312" w:cs="仿宋_GB2312"/>
          <w:b/>
          <w:color w:val="auto"/>
          <w:sz w:val="24"/>
          <w:szCs w:val="24"/>
          <w:highlight w:val="none"/>
        </w:rPr>
      </w:pPr>
      <w:bookmarkStart w:id="410" w:name="_Toc32577"/>
      <w:r>
        <w:rPr>
          <w:rFonts w:hint="eastAsia" w:ascii="仿宋_GB2312" w:hAnsi="仿宋_GB2312" w:eastAsia="仿宋_GB2312" w:cs="仿宋_GB2312"/>
          <w:b/>
          <w:color w:val="auto"/>
          <w:sz w:val="24"/>
          <w:szCs w:val="24"/>
          <w:highlight w:val="none"/>
        </w:rPr>
        <w:t>十</w:t>
      </w:r>
      <w:r>
        <w:rPr>
          <w:rFonts w:hint="eastAsia" w:ascii="仿宋_GB2312" w:hAnsi="仿宋_GB2312" w:eastAsia="仿宋_GB2312" w:cs="仿宋_GB2312"/>
          <w:b/>
          <w:color w:val="auto"/>
          <w:sz w:val="24"/>
          <w:szCs w:val="24"/>
          <w:highlight w:val="none"/>
          <w:lang w:val="en-US" w:eastAsia="zh-CN"/>
        </w:rPr>
        <w:t>四</w:t>
      </w:r>
      <w:r>
        <w:rPr>
          <w:rFonts w:hint="eastAsia" w:ascii="仿宋_GB2312" w:hAnsi="仿宋_GB2312" w:eastAsia="仿宋_GB2312" w:cs="仿宋_GB2312"/>
          <w:b/>
          <w:color w:val="auto"/>
          <w:sz w:val="24"/>
          <w:szCs w:val="24"/>
          <w:highlight w:val="none"/>
        </w:rPr>
        <w:t>、诉讼</w:t>
      </w:r>
      <w:bookmarkEnd w:id="410"/>
    </w:p>
    <w:p>
      <w:pPr>
        <w:pStyle w:val="29"/>
        <w:snapToGrid w:val="0"/>
        <w:spacing w:line="360" w:lineRule="auto"/>
        <w:ind w:left="2"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双方在执行合同中所发生的一切争议，应通过协商解决。如协商不成，可向甲方所在地法院起诉。</w:t>
      </w:r>
    </w:p>
    <w:p>
      <w:pPr>
        <w:pStyle w:val="29"/>
        <w:snapToGrid w:val="0"/>
        <w:spacing w:line="360" w:lineRule="auto"/>
        <w:ind w:firstLine="482" w:firstLineChars="200"/>
        <w:rPr>
          <w:rFonts w:ascii="仿宋_GB2312" w:hAnsi="仿宋_GB2312" w:eastAsia="仿宋_GB2312" w:cs="仿宋_GB2312"/>
          <w:b/>
          <w:color w:val="auto"/>
          <w:sz w:val="24"/>
          <w:szCs w:val="24"/>
          <w:highlight w:val="none"/>
        </w:rPr>
      </w:pPr>
      <w:bookmarkStart w:id="411" w:name="_Toc6497"/>
      <w:r>
        <w:rPr>
          <w:rFonts w:hint="eastAsia" w:ascii="仿宋_GB2312" w:hAnsi="仿宋_GB2312" w:eastAsia="仿宋_GB2312" w:cs="仿宋_GB2312"/>
          <w:b/>
          <w:color w:val="auto"/>
          <w:sz w:val="24"/>
          <w:szCs w:val="24"/>
          <w:highlight w:val="none"/>
        </w:rPr>
        <w:t>十</w:t>
      </w:r>
      <w:r>
        <w:rPr>
          <w:rFonts w:hint="eastAsia" w:ascii="仿宋_GB2312" w:hAnsi="仿宋_GB2312" w:eastAsia="仿宋_GB2312" w:cs="仿宋_GB2312"/>
          <w:b/>
          <w:color w:val="auto"/>
          <w:sz w:val="24"/>
          <w:szCs w:val="24"/>
          <w:highlight w:val="none"/>
          <w:lang w:val="en-US" w:eastAsia="zh-CN"/>
        </w:rPr>
        <w:t>五</w:t>
      </w:r>
      <w:r>
        <w:rPr>
          <w:rFonts w:hint="eastAsia" w:ascii="仿宋_GB2312" w:hAnsi="仿宋_GB2312" w:eastAsia="仿宋_GB2312" w:cs="仿宋_GB2312"/>
          <w:b/>
          <w:color w:val="auto"/>
          <w:sz w:val="24"/>
          <w:szCs w:val="24"/>
          <w:highlight w:val="none"/>
        </w:rPr>
        <w:t>、合同生效及其它</w:t>
      </w:r>
      <w:bookmarkEnd w:id="411"/>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1.合同经甲、乙双方双方法定代表人或授权代表签名并加盖单位公章后生效。</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2.合同执行中涉及采购资金和采购内容修改或补充的，须按照采购人内部及上级单位有关项目变更管理办法实施项目变更，须签书面变更联系单或补充协议，可作为主合同不可分割的一部分。</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3.招标文件、投标文件与本合同具有同等法律效力。</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4.本合同未尽事宜，遵照《民法典》有关条文执行。</w:t>
      </w:r>
    </w:p>
    <w:p>
      <w:pPr>
        <w:pStyle w:val="29"/>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5.本合同一式陆份，具有同等法律效力，甲、乙、鉴证三方各执贰份。</w:t>
      </w:r>
    </w:p>
    <w:p>
      <w:pPr>
        <w:pStyle w:val="29"/>
        <w:snapToGrid w:val="0"/>
        <w:spacing w:line="360" w:lineRule="auto"/>
        <w:rPr>
          <w:rFonts w:ascii="仿宋_GB2312" w:hAnsi="仿宋_GB2312" w:eastAsia="仿宋_GB2312" w:cs="仿宋_GB2312"/>
          <w:color w:val="auto"/>
          <w:sz w:val="24"/>
          <w:szCs w:val="24"/>
          <w:highlight w:val="none"/>
        </w:rPr>
      </w:pPr>
    </w:p>
    <w:p>
      <w:pPr>
        <w:pStyle w:val="29"/>
        <w:snapToGrid w:val="0"/>
        <w:spacing w:line="36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甲方（盖章）：</w:t>
      </w:r>
    </w:p>
    <w:p>
      <w:pPr>
        <w:pStyle w:val="29"/>
        <w:snapToGrid w:val="0"/>
        <w:spacing w:line="36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w:t>
      </w:r>
    </w:p>
    <w:p>
      <w:pPr>
        <w:pStyle w:val="29"/>
        <w:snapToGrid w:val="0"/>
        <w:spacing w:line="36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开户行：</w:t>
      </w:r>
    </w:p>
    <w:p>
      <w:pPr>
        <w:pStyle w:val="29"/>
        <w:snapToGrid w:val="0"/>
        <w:spacing w:line="36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开户帐号：</w:t>
      </w:r>
    </w:p>
    <w:p>
      <w:pPr>
        <w:pStyle w:val="29"/>
        <w:snapToGrid w:val="0"/>
        <w:spacing w:line="36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w:t>
      </w:r>
    </w:p>
    <w:p>
      <w:pPr>
        <w:pStyle w:val="29"/>
        <w:snapToGrid w:val="0"/>
        <w:spacing w:line="36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委托代理人：</w:t>
      </w:r>
    </w:p>
    <w:p>
      <w:pPr>
        <w:pStyle w:val="29"/>
        <w:snapToGrid w:val="0"/>
        <w:spacing w:line="36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签名日期：2022年   月   日</w:t>
      </w:r>
    </w:p>
    <w:p>
      <w:pPr>
        <w:pStyle w:val="29"/>
        <w:snapToGrid w:val="0"/>
        <w:spacing w:line="360" w:lineRule="auto"/>
        <w:rPr>
          <w:rFonts w:ascii="仿宋_GB2312" w:hAnsi="仿宋_GB2312" w:eastAsia="仿宋_GB2312" w:cs="仿宋_GB2312"/>
          <w:color w:val="auto"/>
          <w:sz w:val="24"/>
          <w:szCs w:val="24"/>
          <w:highlight w:val="none"/>
        </w:rPr>
      </w:pPr>
    </w:p>
    <w:p>
      <w:pPr>
        <w:pStyle w:val="29"/>
        <w:snapToGrid w:val="0"/>
        <w:spacing w:line="36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乙方（盖章）：</w:t>
      </w:r>
    </w:p>
    <w:p>
      <w:pPr>
        <w:pStyle w:val="29"/>
        <w:snapToGrid w:val="0"/>
        <w:spacing w:line="36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w:t>
      </w:r>
    </w:p>
    <w:p>
      <w:pPr>
        <w:pStyle w:val="29"/>
        <w:snapToGrid w:val="0"/>
        <w:spacing w:line="36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开户行：</w:t>
      </w:r>
    </w:p>
    <w:p>
      <w:pPr>
        <w:pStyle w:val="29"/>
        <w:snapToGrid w:val="0"/>
        <w:spacing w:line="36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开户帐号：</w:t>
      </w:r>
    </w:p>
    <w:p>
      <w:pPr>
        <w:pStyle w:val="29"/>
        <w:snapToGrid w:val="0"/>
        <w:spacing w:line="36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w:t>
      </w:r>
    </w:p>
    <w:p>
      <w:pPr>
        <w:pStyle w:val="29"/>
        <w:snapToGrid w:val="0"/>
        <w:spacing w:line="36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委托代理人：</w:t>
      </w:r>
    </w:p>
    <w:p>
      <w:pPr>
        <w:pStyle w:val="29"/>
        <w:snapToGrid w:val="0"/>
        <w:spacing w:line="360" w:lineRule="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签名日期：2022年   月   日</w:t>
      </w:r>
    </w:p>
    <w:p>
      <w:pPr>
        <w:pStyle w:val="29"/>
        <w:snapToGrid w:val="0"/>
        <w:spacing w:line="360" w:lineRule="auto"/>
        <w:rPr>
          <w:rFonts w:ascii="仿宋_GB2312" w:hAnsi="仿宋_GB2312" w:eastAsia="仿宋_GB2312" w:cs="仿宋_GB2312"/>
          <w:color w:val="auto"/>
          <w:sz w:val="24"/>
          <w:szCs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pPr>
        <w:pStyle w:val="29"/>
        <w:snapToGrid w:val="0"/>
        <w:spacing w:before="120" w:after="120" w:line="360" w:lineRule="auto"/>
        <w:rPr>
          <w:rFonts w:ascii="仿宋_GB2312" w:hAnsi="仿宋_GB2312" w:eastAsia="仿宋_GB2312" w:cs="仿宋_GB2312"/>
          <w:color w:val="auto"/>
          <w:highlight w:val="none"/>
        </w:rPr>
      </w:pPr>
      <w:bookmarkStart w:id="412" w:name="_Toc2076"/>
      <w:r>
        <w:rPr>
          <w:rFonts w:hint="eastAsia" w:ascii="仿宋_GB2312" w:hAnsi="仿宋_GB2312" w:eastAsia="仿宋_GB2312" w:cs="仿宋_GB2312"/>
          <w:color w:val="auto"/>
          <w:highlight w:val="none"/>
        </w:rPr>
        <w:t>附：保密协议</w:t>
      </w:r>
      <w:bookmarkEnd w:id="412"/>
    </w:p>
    <w:p>
      <w:pPr>
        <w:spacing w:line="360" w:lineRule="auto"/>
        <w:jc w:val="center"/>
        <w:outlineLvl w:val="0"/>
        <w:rPr>
          <w:rFonts w:ascii="仿宋_GB2312" w:hAnsi="仿宋_GB2312" w:eastAsia="仿宋_GB2312" w:cs="仿宋_GB2312"/>
          <w:b/>
          <w:color w:val="auto"/>
          <w:sz w:val="36"/>
          <w:szCs w:val="36"/>
          <w:highlight w:val="none"/>
        </w:rPr>
      </w:pPr>
      <w:bookmarkStart w:id="413" w:name="_Toc1094"/>
      <w:r>
        <w:rPr>
          <w:rFonts w:hint="eastAsia" w:ascii="仿宋_GB2312" w:hAnsi="仿宋_GB2312" w:eastAsia="仿宋_GB2312" w:cs="仿宋_GB2312"/>
          <w:b/>
          <w:color w:val="auto"/>
          <w:sz w:val="36"/>
          <w:szCs w:val="36"/>
          <w:highlight w:val="none"/>
        </w:rPr>
        <w:t>信息安全保密协议</w:t>
      </w:r>
      <w:bookmarkEnd w:id="413"/>
    </w:p>
    <w:p>
      <w:pPr>
        <w:spacing w:line="360" w:lineRule="auto"/>
        <w:rPr>
          <w:rFonts w:ascii="仿宋_GB2312" w:hAnsi="仿宋_GB2312" w:eastAsia="仿宋_GB2312" w:cs="仿宋_GB2312"/>
          <w:color w:val="auto"/>
          <w:sz w:val="24"/>
          <w:highlight w:val="none"/>
        </w:rPr>
      </w:pPr>
    </w:p>
    <w:p>
      <w:pPr>
        <w:adjustRightInd/>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甲方：</w:t>
      </w:r>
      <w:r>
        <w:rPr>
          <w:rFonts w:hint="eastAsia" w:ascii="仿宋_GB2312" w:hAnsi="仿宋_GB2312" w:eastAsia="仿宋_GB2312" w:cs="仿宋_GB2312"/>
          <w:color w:val="auto"/>
          <w:sz w:val="24"/>
          <w:highlight w:val="none"/>
          <w:u w:val="single"/>
        </w:rPr>
        <w:t>国家税务总局浙江省税务局</w:t>
      </w:r>
    </w:p>
    <w:p>
      <w:pPr>
        <w:adjustRightInd/>
        <w:spacing w:line="360"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乙方：</w:t>
      </w:r>
      <w:r>
        <w:rPr>
          <w:rFonts w:hint="eastAsia" w:ascii="仿宋_GB2312" w:hAnsi="仿宋_GB2312" w:eastAsia="仿宋_GB2312" w:cs="仿宋_GB2312"/>
          <w:color w:val="auto"/>
          <w:sz w:val="24"/>
          <w:highlight w:val="none"/>
          <w:u w:val="single"/>
        </w:rPr>
        <w:t xml:space="preserve">                          </w:t>
      </w:r>
    </w:p>
    <w:p>
      <w:pPr>
        <w:adjustRightInd/>
        <w:spacing w:line="360" w:lineRule="auto"/>
        <w:ind w:firstLine="480" w:firstLineChars="200"/>
        <w:rPr>
          <w:rFonts w:ascii="仿宋_GB2312" w:hAnsi="仿宋_GB2312" w:eastAsia="仿宋_GB2312" w:cs="仿宋_GB2312"/>
          <w:color w:val="auto"/>
          <w:sz w:val="24"/>
          <w:highlight w:val="none"/>
        </w:rPr>
      </w:pPr>
    </w:p>
    <w:p>
      <w:pPr>
        <w:adjustRightInd/>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为切实保障</w:t>
      </w:r>
      <w:r>
        <w:rPr>
          <w:rFonts w:hint="eastAsia" w:ascii="仿宋_GB2312" w:hAnsi="仿宋_GB2312" w:eastAsia="仿宋_GB2312" w:cs="仿宋_GB2312"/>
          <w:color w:val="auto"/>
          <w:sz w:val="24"/>
          <w:highlight w:val="none"/>
          <w:u w:val="single"/>
        </w:rPr>
        <w:t>自然人税收服务辅助管理平台升级项目</w:t>
      </w:r>
      <w:r>
        <w:rPr>
          <w:rFonts w:hint="eastAsia" w:ascii="仿宋_GB2312" w:hAnsi="仿宋_GB2312" w:eastAsia="仿宋_GB2312" w:cs="仿宋_GB2312"/>
          <w:color w:val="auto"/>
          <w:sz w:val="24"/>
          <w:highlight w:val="none"/>
        </w:rPr>
        <w:t>中涉及的国家秘密、工作秘密安全，根据有关法律、法规之规定，经双方同意，签订如下保密协议：</w:t>
      </w:r>
    </w:p>
    <w:p>
      <w:pPr>
        <w:adjustRightInd/>
        <w:spacing w:line="360" w:lineRule="auto"/>
        <w:ind w:firstLine="482" w:firstLineChars="200"/>
        <w:rPr>
          <w:rFonts w:ascii="仿宋_GB2312" w:hAnsi="仿宋_GB2312" w:eastAsia="仿宋_GB2312" w:cs="仿宋_GB2312"/>
          <w:b/>
          <w:color w:val="auto"/>
          <w:sz w:val="24"/>
          <w:highlight w:val="none"/>
        </w:rPr>
      </w:pPr>
      <w:bookmarkStart w:id="414" w:name="_Toc30629"/>
      <w:r>
        <w:rPr>
          <w:rFonts w:hint="eastAsia" w:ascii="仿宋_GB2312" w:hAnsi="仿宋_GB2312" w:eastAsia="仿宋_GB2312" w:cs="仿宋_GB2312"/>
          <w:b/>
          <w:color w:val="auto"/>
          <w:sz w:val="24"/>
          <w:highlight w:val="none"/>
        </w:rPr>
        <w:t>一、保密范围</w:t>
      </w:r>
      <w:bookmarkEnd w:id="414"/>
    </w:p>
    <w:p>
      <w:pPr>
        <w:adjustRightInd/>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乙方为建设（维护）甲方的“</w:t>
      </w:r>
      <w:r>
        <w:rPr>
          <w:rFonts w:hint="eastAsia" w:ascii="仿宋_GB2312" w:hAnsi="仿宋_GB2312" w:eastAsia="仿宋_GB2312" w:cs="仿宋_GB2312"/>
          <w:color w:val="auto"/>
          <w:sz w:val="24"/>
          <w:highlight w:val="none"/>
          <w:u w:val="single"/>
        </w:rPr>
        <w:t>自然人税收服务辅助管理平台升级项目</w:t>
      </w:r>
      <w:r>
        <w:rPr>
          <w:rFonts w:hint="eastAsia" w:ascii="仿宋_GB2312" w:hAnsi="仿宋_GB2312" w:eastAsia="仿宋_GB2312" w:cs="仿宋_GB2312"/>
          <w:color w:val="auto"/>
          <w:sz w:val="24"/>
          <w:highlight w:val="none"/>
        </w:rPr>
        <w:t>”项目而从甲方了解、掌握的国家秘密和工作秘密，包括项目的内容、实际用途、安全保密措施、各类设备技术参数，以及甲方建设的场地环境、硬件、软件、电子信息和其他所有需要保密的资料内容（以上简称专有信息）。</w:t>
      </w:r>
    </w:p>
    <w:p>
      <w:pPr>
        <w:adjustRightInd/>
        <w:spacing w:line="360" w:lineRule="auto"/>
        <w:ind w:firstLine="482" w:firstLineChars="200"/>
        <w:rPr>
          <w:rFonts w:ascii="仿宋_GB2312" w:hAnsi="仿宋_GB2312" w:eastAsia="仿宋_GB2312" w:cs="仿宋_GB2312"/>
          <w:b/>
          <w:color w:val="auto"/>
          <w:sz w:val="24"/>
          <w:highlight w:val="none"/>
        </w:rPr>
      </w:pPr>
      <w:bookmarkStart w:id="415" w:name="_Toc25377"/>
      <w:r>
        <w:rPr>
          <w:rFonts w:hint="eastAsia" w:ascii="仿宋_GB2312" w:hAnsi="仿宋_GB2312" w:eastAsia="仿宋_GB2312" w:cs="仿宋_GB2312"/>
          <w:b/>
          <w:color w:val="auto"/>
          <w:sz w:val="24"/>
          <w:highlight w:val="none"/>
        </w:rPr>
        <w:t>二、保密责任</w:t>
      </w:r>
      <w:bookmarkEnd w:id="415"/>
    </w:p>
    <w:p>
      <w:pPr>
        <w:adjustRightInd/>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1.甲方应加强对乙方及参与本项目工作人员的安全保密监管，及时发现安全保密隐患和问题。乙方应配合甲方对乙方有关人员进行审查、教育培训，及时调整不合适的人员。</w:t>
      </w:r>
    </w:p>
    <w:p>
      <w:pPr>
        <w:adjustRightInd/>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2.乙方必须在签订本保密协议后，才可使用甲方提供的有关专有信息，建设（维护）“</w:t>
      </w:r>
      <w:r>
        <w:rPr>
          <w:rFonts w:hint="eastAsia" w:ascii="仿宋_GB2312" w:hAnsi="仿宋_GB2312" w:eastAsia="仿宋_GB2312" w:cs="仿宋_GB2312"/>
          <w:color w:val="auto"/>
          <w:sz w:val="24"/>
          <w:highlight w:val="none"/>
          <w:u w:val="single"/>
        </w:rPr>
        <w:t>自然人税收服务辅助管理平台升级项目</w:t>
      </w:r>
      <w:r>
        <w:rPr>
          <w:rFonts w:hint="eastAsia" w:ascii="仿宋_GB2312" w:hAnsi="仿宋_GB2312" w:eastAsia="仿宋_GB2312" w:cs="仿宋_GB2312"/>
          <w:color w:val="auto"/>
          <w:sz w:val="24"/>
          <w:highlight w:val="none"/>
        </w:rPr>
        <w:t>”。</w:t>
      </w:r>
    </w:p>
    <w:p>
      <w:pPr>
        <w:adjustRightInd/>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3.乙方同意严格控制甲方的专有信息，保证不向第三方泄露甲方提供的任何专有信息，并对该专有信息的保管提供良好的安全保密环境及措施。</w:t>
      </w:r>
    </w:p>
    <w:p>
      <w:pPr>
        <w:adjustRightInd/>
        <w:spacing w:line="360" w:lineRule="auto"/>
        <w:ind w:firstLine="508" w:firstLineChars="212"/>
        <w:rPr>
          <w:rStyle w:val="964"/>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4.乙方不得将甲方的专有信息用于其它任何目的。除乙方直接参与本项工程的人员之外，不将专有信息透露给其它任何人。乙方及其参与本项工作的人员不得在系统建设中私设“后门”、</w:t>
      </w:r>
      <w:r>
        <w:rPr>
          <w:rStyle w:val="964"/>
          <w:rFonts w:hint="eastAsia" w:ascii="仿宋_GB2312" w:hAnsi="仿宋_GB2312" w:eastAsia="仿宋_GB2312" w:cs="仿宋_GB2312"/>
          <w:color w:val="auto"/>
          <w:highlight w:val="none"/>
        </w:rPr>
        <w:t>通过互联网进行远程维护等</w:t>
      </w:r>
      <w:r>
        <w:rPr>
          <w:rFonts w:hint="eastAsia" w:ascii="仿宋_GB2312" w:hAnsi="仿宋_GB2312" w:eastAsia="仿宋_GB2312" w:cs="仿宋_GB2312"/>
          <w:color w:val="auto"/>
          <w:sz w:val="24"/>
          <w:highlight w:val="none"/>
        </w:rPr>
        <w:t>非法操作</w:t>
      </w:r>
      <w:r>
        <w:rPr>
          <w:rStyle w:val="964"/>
          <w:rFonts w:hint="eastAsia" w:ascii="仿宋_GB2312" w:hAnsi="仿宋_GB2312" w:eastAsia="仿宋_GB2312" w:cs="仿宋_GB2312"/>
          <w:color w:val="auto"/>
          <w:highlight w:val="none"/>
        </w:rPr>
        <w:t>。不得私自使用、查询、复制甲方的资料信息。</w:t>
      </w:r>
    </w:p>
    <w:p>
      <w:pPr>
        <w:adjustRightInd/>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乙方应当告知并采取有效措施要求参与本项工作的人员遵守本协议规定。</w:t>
      </w:r>
    </w:p>
    <w:p>
      <w:pPr>
        <w:adjustRightInd/>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5.乙方发现保密范围内的有关事项已经泄露或可能泄露时应当及时报告甲方，并立即采取补救措施。</w:t>
      </w:r>
    </w:p>
    <w:p>
      <w:pPr>
        <w:adjustRightInd/>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6.当甲方以书面形式要求乙方交回专有信息时，乙方应当立即交回所有书面或其他形式的专有信息以及所有描述和概括该专有信息的文件资料，不能以任何形式保留或擅自处理。</w:t>
      </w:r>
    </w:p>
    <w:p>
      <w:pPr>
        <w:adjustRightInd/>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乙方承诺严格按照GB/T22239-2019《信息安全技术网络安全等级保护基本要求》的标准研发、部署、检测、维护业务信息系统。上线运行的业务系统将向甲方提供代码审计、渗透测试、安全测评等符合性报告，主动做好风险隐患和技术漏洞的修复整改工作，符合网络安全信息系统三级等保要求。</w:t>
      </w:r>
    </w:p>
    <w:p>
      <w:pPr>
        <w:adjustRightInd/>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8.乙方承诺不利用提供产品或服务的便利条件非法获取用户数据、非法控制和操作用户设备，无正当理由不中断产品供应或者必要的技术支持服务。</w:t>
      </w:r>
    </w:p>
    <w:p>
      <w:pPr>
        <w:adjustRightInd/>
        <w:spacing w:line="360" w:lineRule="auto"/>
        <w:ind w:firstLine="482" w:firstLineChars="200"/>
        <w:rPr>
          <w:rFonts w:ascii="仿宋_GB2312" w:hAnsi="仿宋_GB2312" w:eastAsia="仿宋_GB2312" w:cs="仿宋_GB2312"/>
          <w:b/>
          <w:color w:val="auto"/>
          <w:sz w:val="24"/>
          <w:highlight w:val="none"/>
        </w:rPr>
      </w:pPr>
      <w:bookmarkStart w:id="416" w:name="_Toc6230"/>
      <w:r>
        <w:rPr>
          <w:rFonts w:hint="eastAsia" w:ascii="仿宋_GB2312" w:hAnsi="仿宋_GB2312" w:eastAsia="仿宋_GB2312" w:cs="仿宋_GB2312"/>
          <w:b/>
          <w:color w:val="auto"/>
          <w:sz w:val="24"/>
          <w:highlight w:val="none"/>
        </w:rPr>
        <w:t>三、违约责任</w:t>
      </w:r>
      <w:bookmarkEnd w:id="416"/>
    </w:p>
    <w:p>
      <w:pPr>
        <w:adjustRightInd/>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乙方或参与本项目的工作人员违反本协议规定，造成泄密事件或经济损失的，乙方应承担有关法律责任，并赔偿相应经济损失。</w:t>
      </w:r>
    </w:p>
    <w:p>
      <w:pPr>
        <w:adjustRightInd/>
        <w:spacing w:line="360" w:lineRule="auto"/>
        <w:ind w:firstLine="482" w:firstLineChars="200"/>
        <w:rPr>
          <w:rFonts w:ascii="仿宋_GB2312" w:hAnsi="仿宋_GB2312" w:eastAsia="仿宋_GB2312" w:cs="仿宋_GB2312"/>
          <w:b/>
          <w:color w:val="auto"/>
          <w:sz w:val="24"/>
          <w:highlight w:val="none"/>
        </w:rPr>
      </w:pPr>
      <w:bookmarkStart w:id="417" w:name="_Toc30824"/>
      <w:r>
        <w:rPr>
          <w:rFonts w:hint="eastAsia" w:ascii="仿宋_GB2312" w:hAnsi="仿宋_GB2312" w:eastAsia="仿宋_GB2312" w:cs="仿宋_GB2312"/>
          <w:b/>
          <w:color w:val="auto"/>
          <w:sz w:val="24"/>
          <w:highlight w:val="none"/>
        </w:rPr>
        <w:t>四、保密期限</w:t>
      </w:r>
      <w:bookmarkEnd w:id="417"/>
    </w:p>
    <w:p>
      <w:pPr>
        <w:adjustRightInd/>
        <w:spacing w:line="360" w:lineRule="auto"/>
        <w:ind w:firstLine="480" w:firstLineChars="200"/>
        <w:rPr>
          <w:rFonts w:hint="default"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color w:val="auto"/>
          <w:sz w:val="24"/>
          <w:highlight w:val="none"/>
        </w:rPr>
        <w:t>自协议生效之日起，双方的合作交流都要符合协议的条款和甲方保密主管部门的相关要求。乙方必须履行保密义务，对在项目建设中获知的专有信息进行保密，除非甲方通过书面通知明确说明对本协议所涉及的某项专有信息予以解密或同意共享。保密期限不受项目建设合同有效期限的限制。</w:t>
      </w:r>
      <w:bookmarkStart w:id="418" w:name="_Toc25868"/>
    </w:p>
    <w:p>
      <w:pPr>
        <w:adjustRightInd/>
        <w:spacing w:line="360" w:lineRule="auto"/>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五、附则</w:t>
      </w:r>
      <w:bookmarkEnd w:id="418"/>
    </w:p>
    <w:p>
      <w:pPr>
        <w:adjustRightInd/>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1.本协议一式三份，甲乙双方各执一份，甲方保密部门一份。</w:t>
      </w:r>
    </w:p>
    <w:p>
      <w:pPr>
        <w:adjustRightInd/>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2.本协议双方签字盖章后生效。</w:t>
      </w:r>
    </w:p>
    <w:p>
      <w:pPr>
        <w:adjustRightInd/>
        <w:spacing w:line="360" w:lineRule="auto"/>
        <w:ind w:firstLine="480" w:firstLineChars="200"/>
        <w:rPr>
          <w:rFonts w:ascii="仿宋_GB2312" w:hAnsi="仿宋_GB2312" w:eastAsia="仿宋_GB2312" w:cs="仿宋_GB2312"/>
          <w:color w:val="auto"/>
          <w:sz w:val="24"/>
          <w:highlight w:val="none"/>
        </w:rPr>
      </w:pPr>
    </w:p>
    <w:p>
      <w:pPr>
        <w:adjustRightInd/>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甲方代表签字：              　乙方代表签字：</w:t>
      </w:r>
    </w:p>
    <w:p>
      <w:pPr>
        <w:adjustRightInd/>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　　　　　　　　　　联系电话：</w:t>
      </w:r>
    </w:p>
    <w:p>
      <w:pPr>
        <w:adjustRightInd/>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单位盖章：                    单位盖章:</w:t>
      </w:r>
    </w:p>
    <w:p>
      <w:pPr>
        <w:adjustRightInd/>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　　　　　　　　　　日    期：</w:t>
      </w:r>
    </w:p>
    <w:p>
      <w:pPr>
        <w:pStyle w:val="3"/>
        <w:rPr>
          <w:b w:val="0"/>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rPr>
          <w:rFonts w:ascii="仿宋" w:hAnsi="仿宋" w:eastAsia="仿宋" w:cs="仿宋_GB2312"/>
          <w:b/>
          <w:color w:val="auto"/>
          <w:sz w:val="36"/>
          <w:szCs w:val="20"/>
          <w:highlight w:val="none"/>
        </w:rPr>
      </w:pPr>
    </w:p>
    <w:p>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3"/>
      <w:r>
        <w:rPr>
          <w:rFonts w:ascii="仿宋" w:hAnsi="仿宋" w:eastAsia="仿宋" w:cs="仿宋_GB2312"/>
          <w:b/>
          <w:color w:val="auto"/>
          <w:sz w:val="36"/>
          <w:szCs w:val="20"/>
          <w:highlight w:val="none"/>
        </w:rPr>
        <w:t xml:space="preserve"> </w:t>
      </w:r>
      <w:bookmarkEnd w:id="394"/>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sz w:val="24"/>
          <w:highlight w:val="none"/>
        </w:rPr>
        <w:t>：</w:t>
      </w:r>
    </w:p>
    <w:p>
      <w:pPr>
        <w:snapToGrid w:val="0"/>
        <w:spacing w:line="360" w:lineRule="auto"/>
        <w:ind w:firstLine="42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lang w:eastAsia="zh-CN"/>
        </w:rPr>
        <w:t>自然人税收服务辅助管理平台升级项目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ZJ-2211236</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pStyle w:val="23"/>
        <w:rPr>
          <w:rFonts w:ascii="仿宋_GB2312" w:hAnsi="仿宋" w:eastAsia="仿宋_GB2312" w:cs="仿宋_GB2312"/>
          <w:color w:val="auto"/>
          <w:highlight w:val="none"/>
        </w:rPr>
      </w:pPr>
    </w:p>
    <w:p>
      <w:pPr>
        <w:rPr>
          <w:color w:val="auto"/>
          <w:highlight w:val="none"/>
        </w:rPr>
      </w:pP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A.</w:t>
      </w:r>
      <w:r>
        <w:rPr>
          <w:rFonts w:hint="eastAsia" w:ascii="仿宋_GB2312" w:hAnsi="仿宋" w:eastAsia="仿宋_GB2312" w:cs="仿宋_GB2312"/>
          <w:b/>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r>
        <w:rPr>
          <w:rFonts w:ascii="仿宋_GB2312" w:hAnsi="仿宋" w:eastAsia="仿宋_GB2312" w:cs="仿宋_GB2312"/>
          <w:b/>
          <w:color w:val="auto"/>
          <w:sz w:val="24"/>
          <w:highlight w:val="none"/>
        </w:rPr>
        <w:t xml:space="preserve"> </w:t>
      </w:r>
    </w:p>
    <w:p>
      <w:pPr>
        <w:rPr>
          <w:rFonts w:ascii="仿宋_GB2312" w:hAnsi="仿宋" w:eastAsia="仿宋_GB2312" w:cs="仿宋_GB2312"/>
          <w:b/>
          <w:color w:val="auto"/>
          <w:sz w:val="24"/>
          <w:highlight w:val="none"/>
        </w:rPr>
      </w:pPr>
    </w:p>
    <w:p>
      <w:pPr>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br w:type="page"/>
      </w:r>
    </w:p>
    <w:p>
      <w:pPr>
        <w:widowControl/>
        <w:ind w:firstLine="472" w:firstLineChars="196"/>
        <w:jc w:val="left"/>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自然人税收服务辅助管理平台升级项目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ZJ-2211236</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w:t>
      </w:r>
      <w:r>
        <w:rPr>
          <w:rFonts w:hint="eastAsia" w:ascii="仿宋_GB2312" w:hAnsi="仿宋" w:eastAsia="仿宋_GB2312" w:cs="仿宋_GB2312"/>
          <w:color w:val="auto"/>
          <w:kern w:val="0"/>
          <w:sz w:val="24"/>
          <w:highlight w:val="none"/>
          <w:lang w:val="zh-CN"/>
        </w:rPr>
        <w:t>采购代理机构</w:t>
      </w:r>
      <w:r>
        <w:rPr>
          <w:rFonts w:ascii="仿宋_GB2312" w:hAnsi="仿宋" w:eastAsia="仿宋_GB2312" w:cs="仿宋_GB2312"/>
          <w:color w:val="auto"/>
          <w:kern w:val="0"/>
          <w:sz w:val="24"/>
          <w:highlight w:val="none"/>
          <w:lang w:val="zh-CN"/>
        </w:rPr>
        <w:t>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br w:type="page"/>
      </w:r>
    </w:p>
    <w:p>
      <w:pPr>
        <w:snapToGrid w:val="0"/>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napToGrid w:val="0"/>
        <w:spacing w:line="360" w:lineRule="auto"/>
        <w:ind w:firstLine="42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自然人税收服务辅助管理平台升级项目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ZJ-2211236</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adjustRightInd w:val="0"/>
        <w:snapToGrid w:val="0"/>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440" w:lineRule="exact"/>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440" w:lineRule="exact"/>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440" w:lineRule="exact"/>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440" w:lineRule="exact"/>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440" w:lineRule="exact"/>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440" w:lineRule="exact"/>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440" w:lineRule="exact"/>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440" w:lineRule="exact"/>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440" w:lineRule="exact"/>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440" w:lineRule="exact"/>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440" w:lineRule="exact"/>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440" w:lineRule="exact"/>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napToGrid w:val="0"/>
        <w:spacing w:line="360" w:lineRule="auto"/>
        <w:ind w:right="480"/>
        <w:jc w:val="right"/>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24"/>
          <w:highlight w:val="none"/>
        </w:rPr>
        <w:t>（根据招标公告本项目的特定资格要求提供相应的材料；未要求的，无需提供）</w:t>
      </w:r>
    </w:p>
    <w:p>
      <w:pPr>
        <w:spacing w:line="360" w:lineRule="auto"/>
        <w:jc w:val="center"/>
        <w:outlineLvl w:val="0"/>
        <w:rPr>
          <w:rFonts w:ascii="仿宋_GB2312" w:hAnsi="仿宋" w:eastAsia="仿宋_GB2312" w:cs="仿宋_GB2312"/>
          <w:b/>
          <w:color w:val="auto"/>
          <w:kern w:val="0"/>
          <w:sz w:val="36"/>
          <w:szCs w:val="36"/>
          <w:highlight w:val="none"/>
        </w:rPr>
      </w:pPr>
    </w:p>
    <w:p>
      <w:pP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pPr>
        <w:spacing w:line="360" w:lineRule="auto"/>
        <w:ind w:right="420"/>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40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sz w:val="24"/>
          <w:highlight w:val="none"/>
        </w:rPr>
        <w:t>：</w:t>
      </w:r>
    </w:p>
    <w:p>
      <w:pPr>
        <w:snapToGrid w:val="0"/>
        <w:spacing w:line="40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自然人税收服务辅助管理平台升级项目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ZJ-2211236</w:t>
      </w:r>
      <w:r>
        <w:rPr>
          <w:rFonts w:hint="eastAsia" w:ascii="仿宋_GB2312" w:hAnsi="仿宋" w:eastAsia="仿宋_GB2312" w:cs="仿宋_GB2312"/>
          <w:color w:val="auto"/>
          <w:sz w:val="24"/>
          <w:highlight w:val="none"/>
        </w:rPr>
        <w:t>】招标的有关活动，并对此项目进行投标。为此：</w:t>
      </w:r>
    </w:p>
    <w:p>
      <w:pPr>
        <w:snapToGrid w:val="0"/>
        <w:spacing w:line="40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40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40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；（本项目不适用）</w:t>
      </w:r>
    </w:p>
    <w:p>
      <w:pPr>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（本项目不适用）</w:t>
      </w:r>
    </w:p>
    <w:p>
      <w:pPr>
        <w:snapToGrid w:val="0"/>
        <w:spacing w:line="400" w:lineRule="exact"/>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；（本项目不适用）</w:t>
      </w:r>
    </w:p>
    <w:p>
      <w:pPr>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；（本项目不适用）</w:t>
      </w:r>
    </w:p>
    <w:p>
      <w:pPr>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400" w:lineRule="exact"/>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40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4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w:t>
      </w:r>
    </w:p>
    <w:p>
      <w:pPr>
        <w:snapToGrid w:val="0"/>
        <w:spacing w:line="400" w:lineRule="exact"/>
        <w:ind w:firstLine="720" w:firstLineChars="3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400" w:lineRule="exact"/>
        <w:ind w:firstLine="720" w:firstLineChars="3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400" w:lineRule="exact"/>
        <w:ind w:left="210" w:leftChars="100" w:firstLine="720" w:firstLineChars="3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400" w:lineRule="exact"/>
        <w:ind w:left="210" w:leftChars="100" w:firstLine="720" w:firstLineChars="3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400" w:lineRule="exact"/>
        <w:ind w:left="210" w:leftChars="100" w:firstLine="720" w:firstLineChars="3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400" w:lineRule="exact"/>
        <w:ind w:left="210" w:leftChars="100" w:firstLine="720" w:firstLineChars="3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pacing w:line="440" w:lineRule="exact"/>
        <w:rPr>
          <w:rFonts w:ascii="仿宋_GB2312" w:hAnsi="仿宋_GB2312" w:eastAsia="仿宋_GB2312" w:cs="仿宋_GB2312"/>
          <w:b/>
          <w:bCs/>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lang w:eastAsia="zh-CN"/>
        </w:rPr>
        <w:t>我方承诺：</w:t>
      </w:r>
      <w:r>
        <w:rPr>
          <w:rFonts w:hint="eastAsia" w:ascii="仿宋_GB2312" w:hAnsi="仿宋_GB2312" w:eastAsia="仿宋_GB2312" w:cs="仿宋_GB2312"/>
          <w:color w:val="auto"/>
          <w:sz w:val="24"/>
          <w:highlight w:val="none"/>
          <w:u w:val="single"/>
        </w:rPr>
        <w:t>同一设备维修完成后30个日历天内出现相同故障，投标人应对该故障设备进行全新件的更换。</w:t>
      </w:r>
    </w:p>
    <w:p>
      <w:pPr>
        <w:snapToGrid w:val="0"/>
        <w:spacing w:line="400" w:lineRule="exact"/>
        <w:ind w:firstLine="3600" w:firstLineChars="1500"/>
        <w:rPr>
          <w:rFonts w:ascii="仿宋_GB2312" w:hAnsi="仿宋" w:eastAsia="仿宋_GB2312" w:cs="仿宋_GB2312"/>
          <w:color w:val="auto"/>
          <w:sz w:val="24"/>
          <w:highlight w:val="none"/>
        </w:rPr>
      </w:pPr>
    </w:p>
    <w:p>
      <w:pPr>
        <w:snapToGrid w:val="0"/>
        <w:spacing w:line="400" w:lineRule="exact"/>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napToGrid w:val="0"/>
        <w:spacing w:line="400" w:lineRule="exact"/>
        <w:jc w:val="center"/>
        <w:rPr>
          <w:rFonts w:ascii="仿宋_GB2312" w:hAnsi="仿宋" w:eastAsia="仿宋_GB2312" w:cs="仿宋_GB2312"/>
          <w:color w:val="auto"/>
          <w:kern w:val="0"/>
          <w:sz w:val="24"/>
          <w:highlight w:val="none"/>
          <w:u w:val="single"/>
          <w:lang w:val="zh-CN"/>
        </w:rPr>
      </w:pPr>
      <w:r>
        <w:rPr>
          <w:rFonts w:ascii="仿宋_GB2312" w:hAnsi="仿宋" w:eastAsia="仿宋_GB2312" w:cs="仿宋_GB2312"/>
          <w:color w:val="auto"/>
          <w:sz w:val="24"/>
          <w:highlight w:val="none"/>
        </w:rPr>
        <w:t xml:space="preserve">     日期：  年   月   日</w:t>
      </w:r>
    </w:p>
    <w:p>
      <w:pP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自然人税收服务辅助管理平台升级项目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ZJ-2211236</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自然人税收服务辅助管理平台升级项目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ZJ-2211236</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b/>
          <w:color w:val="auto"/>
          <w:kern w:val="0"/>
          <w:sz w:val="32"/>
          <w:szCs w:val="32"/>
          <w:highlight w:val="none"/>
          <w:lang w:val="zh-CN"/>
        </w:rPr>
      </w:pPr>
      <w:r>
        <w:rPr>
          <w:rFonts w:ascii="仿宋_GB2312" w:hAnsi="仿宋" w:eastAsia="仿宋_GB2312" w:cs="仿宋_GB2312"/>
          <w:color w:val="auto"/>
          <w:kern w:val="0"/>
          <w:sz w:val="24"/>
          <w:highlight w:val="none"/>
          <w:lang w:val="zh-CN"/>
        </w:rPr>
        <w:t xml:space="preserve">                                               日期：  年  月   日</w:t>
      </w:r>
      <w:r>
        <w:rPr>
          <w:rFonts w:hint="eastAsia" w:ascii="仿宋_GB2312" w:hAnsi="仿宋" w:eastAsia="仿宋_GB2312" w:cs="仿宋_GB2312"/>
          <w:b/>
          <w:color w:val="auto"/>
          <w:kern w:val="0"/>
          <w:sz w:val="32"/>
          <w:szCs w:val="32"/>
          <w:highlight w:val="none"/>
          <w:lang w:val="zh-CN"/>
        </w:rPr>
        <w:br w:type="page"/>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41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41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41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br w:type="page"/>
      </w: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自然人税收服务辅助管理平台升级项目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ZJ-2211236</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w:t>
      </w:r>
      <w:r>
        <w:rPr>
          <w:rFonts w:hint="eastAsia" w:ascii="仿宋_GB2312" w:hAnsi="仿宋" w:eastAsia="仿宋_GB2312" w:cs="仿宋_GB2312"/>
          <w:color w:val="auto"/>
          <w:kern w:val="0"/>
          <w:sz w:val="24"/>
          <w:highlight w:val="none"/>
          <w:lang w:val="zh-CN"/>
        </w:rPr>
        <w:t>采购代理机构</w:t>
      </w:r>
      <w:r>
        <w:rPr>
          <w:rFonts w:ascii="仿宋_GB2312" w:hAnsi="仿宋" w:eastAsia="仿宋_GB2312" w:cs="仿宋_GB2312"/>
          <w:color w:val="auto"/>
          <w:kern w:val="0"/>
          <w:sz w:val="24"/>
          <w:highlight w:val="none"/>
          <w:lang w:val="zh-CN"/>
        </w:rPr>
        <w:t>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lang w:val="zh-CN"/>
        </w:rPr>
        <w:t xml:space="preserve">                                               日期：  年  月   日</w:t>
      </w: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自然人税收服务辅助管理平台升级项目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ZJ-2211236</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51"/>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245" w:type="dxa"/>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672" w:type="dxa"/>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1</w:t>
            </w:r>
          </w:p>
        </w:tc>
        <w:tc>
          <w:tcPr>
            <w:tcW w:w="4245" w:type="dxa"/>
            <w:vAlign w:val="center"/>
          </w:tcPr>
          <w:p>
            <w:pPr>
              <w:snapToGrid w:val="0"/>
              <w:spacing w:line="40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672" w:type="dxa"/>
            <w:vAlign w:val="center"/>
          </w:tcPr>
          <w:p>
            <w:pPr>
              <w:snapToGrid w:val="0"/>
              <w:spacing w:line="400" w:lineRule="exact"/>
              <w:rPr>
                <w:rFonts w:ascii="仿宋" w:hAnsi="仿宋" w:eastAsia="仿宋" w:cs="仿宋_GB2312"/>
                <w:color w:val="auto"/>
                <w:sz w:val="24"/>
                <w:highlight w:val="none"/>
              </w:rPr>
            </w:pPr>
          </w:p>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snapToGrid w:val="0"/>
              <w:spacing w:line="400" w:lineRule="exact"/>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2</w:t>
            </w:r>
          </w:p>
        </w:tc>
        <w:tc>
          <w:tcPr>
            <w:tcW w:w="4245" w:type="dxa"/>
            <w:vAlign w:val="center"/>
          </w:tcPr>
          <w:p>
            <w:pPr>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napToGrid w:val="0"/>
              <w:spacing w:line="400" w:lineRule="exact"/>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672" w:type="dxa"/>
            <w:vAlign w:val="center"/>
          </w:tcPr>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4"/>
              <w:keepNext w:val="0"/>
              <w:keepLines w:val="0"/>
              <w:adjustRightInd w:val="0"/>
              <w:snapToGrid w:val="0"/>
              <w:spacing w:line="400" w:lineRule="exact"/>
              <w:jc w:val="both"/>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3</w:t>
            </w:r>
          </w:p>
        </w:tc>
        <w:tc>
          <w:tcPr>
            <w:tcW w:w="4245" w:type="dxa"/>
            <w:vAlign w:val="center"/>
          </w:tcPr>
          <w:p>
            <w:pPr>
              <w:snapToGrid w:val="0"/>
              <w:spacing w:line="400" w:lineRule="exact"/>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投标函</w:t>
            </w:r>
          </w:p>
        </w:tc>
        <w:tc>
          <w:tcPr>
            <w:tcW w:w="1672" w:type="dxa"/>
            <w:vAlign w:val="center"/>
          </w:tcPr>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snapToGrid w:val="0"/>
              <w:spacing w:line="400" w:lineRule="exact"/>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4</w:t>
            </w:r>
          </w:p>
        </w:tc>
        <w:tc>
          <w:tcPr>
            <w:tcW w:w="4245" w:type="dxa"/>
            <w:vAlign w:val="center"/>
          </w:tcPr>
          <w:p>
            <w:pPr>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snapToGrid w:val="0"/>
              <w:spacing w:line="400" w:lineRule="exact"/>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672" w:type="dxa"/>
            <w:vAlign w:val="center"/>
          </w:tcPr>
          <w:p>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snapToGrid w:val="0"/>
              <w:spacing w:line="400" w:lineRule="exact"/>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p>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p>
      <w:pPr>
        <w:jc w:val="center"/>
        <w:rPr>
          <w:rFonts w:ascii="仿宋_GB2312" w:hAnsi="仿宋" w:eastAsia="仿宋_GB2312"/>
          <w:b/>
          <w:bCs/>
          <w:color w:val="auto"/>
          <w:sz w:val="24"/>
          <w:highlight w:val="none"/>
        </w:rPr>
      </w:pPr>
    </w:p>
    <w:tbl>
      <w:tblPr>
        <w:tblStyle w:val="5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center"/>
          </w:tcPr>
          <w:p>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center"/>
          </w:tcPr>
          <w:p>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center"/>
          </w:tcPr>
          <w:p>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center"/>
          </w:tcPr>
          <w:p>
            <w:pPr>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pPr>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pPr>
              <w:snapToGrid w:val="0"/>
              <w:spacing w:line="400" w:lineRule="exact"/>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center"/>
          </w:tcPr>
          <w:p>
            <w:pPr>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pPr>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pPr>
              <w:snapToGrid w:val="0"/>
              <w:spacing w:line="400" w:lineRule="exact"/>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center"/>
          </w:tcPr>
          <w:p>
            <w:pPr>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pPr>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pPr>
              <w:snapToGrid w:val="0"/>
              <w:spacing w:line="400" w:lineRule="exact"/>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92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outlineLvl w:val="0"/>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5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480" w:firstLineChars="200"/>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w:t>
      </w:r>
      <w:r>
        <w:rPr>
          <w:rFonts w:hint="eastAsia" w:ascii="仿宋_GB2312" w:hAnsi="仿宋" w:eastAsia="仿宋_GB2312" w:cs="仿宋_GB2312"/>
          <w:color w:val="auto"/>
          <w:kern w:val="0"/>
          <w:sz w:val="24"/>
          <w:highlight w:val="none"/>
          <w:lang w:val="zh-CN"/>
        </w:rPr>
        <w:t>采购代理机构</w:t>
      </w:r>
      <w:r>
        <w:rPr>
          <w:rFonts w:ascii="仿宋_GB2312" w:hAnsi="仿宋" w:eastAsia="仿宋_GB2312" w:cs="仿宋_GB2312"/>
          <w:color w:val="auto"/>
          <w:kern w:val="0"/>
          <w:sz w:val="24"/>
          <w:highlight w:val="none"/>
          <w:lang w:val="zh-CN"/>
        </w:rPr>
        <w:t>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pStyle w:val="822"/>
        <w:ind w:left="0" w:leftChars="0" w:firstLine="643" w:firstLineChars="200"/>
        <w:rPr>
          <w:rFonts w:ascii="仿宋_GB2312" w:hAnsi="仿宋" w:eastAsia="仿宋_GB2312" w:cs="仿宋_GB2312"/>
          <w:color w:val="auto"/>
          <w:kern w:val="2"/>
          <w:sz w:val="32"/>
          <w:szCs w:val="32"/>
          <w:highlight w:val="none"/>
        </w:rPr>
      </w:pPr>
    </w:p>
    <w:p>
      <w:pPr>
        <w:pStyle w:val="92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921"/>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pPr>
        <w:tabs>
          <w:tab w:val="left" w:pos="8085"/>
        </w:tabs>
        <w:spacing w:line="360" w:lineRule="auto"/>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中小企业信用融资</w:t>
      </w:r>
    </w:p>
    <w:p>
      <w:pPr>
        <w:spacing w:line="360" w:lineRule="auto"/>
        <w:ind w:firstLine="480" w:firstLineChars="200"/>
        <w:rPr>
          <w:rFonts w:ascii="仿宋_GB2312" w:hAnsi="仿宋" w:eastAsia="仿宋_GB2312" w:cs="仿宋_GB2312"/>
          <w:color w:val="auto"/>
          <w:sz w:val="24"/>
          <w:highlight w:val="none"/>
        </w:rPr>
      </w:pPr>
      <w:r>
        <w:rPr>
          <w:rFonts w:hint="eastAsia" w:ascii="仿宋" w:hAnsi="仿宋" w:eastAsia="仿宋" w:cs="仿宋_GB2312"/>
          <w:color w:val="auto"/>
          <w:kern w:val="0"/>
          <w:sz w:val="24"/>
          <w:highlight w:val="none"/>
          <w:lang w:val="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jc w:val="center"/>
        <w:rPr>
          <w:rFonts w:ascii="仿宋_GB2312" w:hAnsi="仿宋" w:eastAsia="仿宋_GB2312" w:cs="仿宋_GB2312"/>
          <w:b/>
          <w:bCs/>
          <w:color w:val="auto"/>
          <w:kern w:val="0"/>
          <w:sz w:val="24"/>
          <w:highlight w:val="none"/>
        </w:rPr>
      </w:pPr>
    </w:p>
    <w:p>
      <w:pPr>
        <w:pStyle w:val="3"/>
        <w:keepNext w:val="0"/>
        <w:keepLines w:val="0"/>
        <w:pageBreakBefore/>
        <w:widowControl/>
        <w:spacing w:before="100" w:beforeAutospacing="1" w:after="100" w:afterAutospacing="1" w:line="360" w:lineRule="auto"/>
        <w:jc w:val="center"/>
        <w:rPr>
          <w:rFonts w:ascii="仿宋_GB2312" w:hAnsi="仿宋" w:eastAsia="仿宋_GB2312"/>
          <w:color w:val="auto"/>
          <w:highlight w:val="none"/>
        </w:rPr>
      </w:pPr>
      <w:bookmarkStart w:id="419" w:name="_Toc465665161"/>
      <w:r>
        <w:rPr>
          <w:rFonts w:hint="eastAsia" w:ascii="仿宋_GB2312" w:hAnsi="仿宋" w:eastAsia="仿宋_GB2312"/>
          <w:color w:val="auto"/>
          <w:highlight w:val="none"/>
        </w:rPr>
        <w:t>附件</w:t>
      </w:r>
      <w:bookmarkEnd w:id="419"/>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420" w:name="OLE_LINK14"/>
      <w:bookmarkStart w:id="421" w:name="OLE_LINK13"/>
      <w:r>
        <w:rPr>
          <w:rFonts w:hint="eastAsia" w:ascii="仿宋_GB2312" w:hAnsi="仿宋" w:eastAsia="仿宋_GB2312"/>
          <w:b/>
          <w:color w:val="auto"/>
          <w:spacing w:val="6"/>
          <w:sz w:val="32"/>
          <w:szCs w:val="32"/>
          <w:highlight w:val="none"/>
        </w:rPr>
        <w:t>残疾人福利性单位声明函</w:t>
      </w:r>
    </w:p>
    <w:bookmarkEnd w:id="420"/>
    <w:bookmarkEnd w:id="421"/>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br w:type="page"/>
      </w: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自然人税收服务辅助管理平台升级项目</w:t>
      </w:r>
      <w:r>
        <w:rPr>
          <w:rFonts w:hint="eastAsia" w:ascii="仿宋_GB2312" w:hAnsi="仿宋" w:eastAsia="仿宋_GB2312" w:cs="仿宋_GB2312"/>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ZJ-2211236</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pPr>
                        <w:jc w:val="center"/>
                      </w:pPr>
                    </w:p>
                  </w:txbxContent>
                </v:textbox>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b/>
          <w:color w:val="auto"/>
          <w:sz w:val="32"/>
          <w:szCs w:val="32"/>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auto"/>
          <w:sz w:val="24"/>
          <w:highlight w:val="none"/>
        </w:rPr>
        <w:sectPr>
          <w:headerReference r:id="rId9" w:type="first"/>
          <w:footerReference r:id="rId12" w:type="first"/>
          <w:headerReference r:id="rId8" w:type="default"/>
          <w:footerReference r:id="rId10" w:type="default"/>
          <w:footerReference r:id="rId1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rPr>
          <w:rFonts w:ascii="仿宋" w:hAnsi="仿宋" w:eastAsia="仿宋"/>
          <w:bCs/>
          <w:color w:val="auto"/>
          <w:sz w:val="24"/>
          <w:highlight w:val="none"/>
        </w:rPr>
      </w:pPr>
      <w:r>
        <w:rPr>
          <w:color w:val="auto"/>
          <w:highlight w:val="none"/>
        </w:rPr>
        <w:drawing>
          <wp:inline distT="0" distB="0" distL="0" distR="0">
            <wp:extent cx="8667750" cy="52482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srcRect/>
                    <a:stretch>
                      <a:fillRect/>
                    </a:stretch>
                  </pic:blipFill>
                  <pic:spPr>
                    <a:xfrm>
                      <a:off x="0" y="0"/>
                      <a:ext cx="8667750" cy="5248275"/>
                    </a:xfrm>
                    <a:prstGeom prst="rect">
                      <a:avLst/>
                    </a:prstGeom>
                    <a:noFill/>
                    <a:ln w="9525">
                      <a:noFill/>
                      <a:miter lim="800000"/>
                      <a:headEnd/>
                      <a:tailEnd/>
                    </a:ln>
                  </pic:spPr>
                </pic:pic>
              </a:graphicData>
            </a:graphic>
          </wp:inline>
        </w:drawing>
      </w:r>
    </w:p>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swiss"/>
    <w:pitch w:val="default"/>
    <w:sig w:usb0="00000000" w:usb1="00000000" w:usb2="00000000" w:usb3="00000000" w:csb0="00000011"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PingFang SC">
    <w:altName w:val="宋体"/>
    <w:panose1 w:val="00000000000000000000"/>
    <w:charset w:val="86"/>
    <w:family w:val="modern"/>
    <w:pitch w:val="default"/>
    <w:sig w:usb0="00000000" w:usb1="00000000" w:usb2="00000000"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东文宋体">
    <w:altName w:val="宋体"/>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1"/>
      </w:rPr>
    </w:pPr>
    <w:r>
      <w:fldChar w:fldCharType="begin"/>
    </w:r>
    <w:r>
      <w:rPr>
        <w:rStyle w:val="61"/>
      </w:rPr>
      <w:instrText xml:space="preserve">PAGE  </w:instrText>
    </w:r>
    <w:r>
      <w:fldChar w:fldCharType="end"/>
    </w:r>
  </w:p>
  <w:p>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422" w:name="_Toc131845147"/>
    <w:bookmarkStart w:id="423" w:name="_Toc36110187"/>
    <w:bookmarkStart w:id="424" w:name="_Toc91899912"/>
    <w:bookmarkStart w:id="425" w:name="_Toc164085800"/>
    <w:r>
      <w:rPr>
        <w:rFonts w:hint="eastAsia" w:ascii="仿宋_GB2312" w:eastAsia="仿宋_GB2312"/>
        <w:kern w:val="0"/>
        <w:szCs w:val="21"/>
      </w:rPr>
      <w:t xml:space="preserve"> 页</w:t>
    </w:r>
    <w:bookmarkEnd w:id="422"/>
    <w:bookmarkEnd w:id="423"/>
    <w:bookmarkEnd w:id="424"/>
    <w:bookmarkEnd w:id="42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0"/>
      </w:pBdr>
      <w:tabs>
        <w:tab w:val="center" w:pos="4535"/>
        <w:tab w:val="right" w:pos="9070"/>
        <w:tab w:val="clear" w:pos="4153"/>
        <w:tab w:val="clear" w:pos="8306"/>
      </w:tabs>
      <w:jc w:val="right"/>
      <w:rPr>
        <w:rFonts w:ascii="仿宋_GB2312" w:eastAsia="仿宋_GB2312"/>
        <w:b/>
        <w:i/>
        <w:u w:val="single"/>
      </w:rPr>
    </w:pPr>
    <w:r>
      <w:rPr>
        <w:rFonts w:hint="eastAsia"/>
        <w:lang w:eastAsia="zh-CN"/>
      </w:rPr>
      <w:t>自然人税收服务辅助管理平台升级项目</w:t>
    </w:r>
    <w:r>
      <w:t>招标文</w:t>
    </w:r>
    <w:r>
      <w:rPr>
        <w:rFonts w:hint="eastAsia"/>
      </w:rPr>
      <w:t>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0"/>
      </w:pBdr>
      <w:tabs>
        <w:tab w:val="center" w:pos="4535"/>
        <w:tab w:val="right" w:pos="9070"/>
        <w:tab w:val="clear" w:pos="4153"/>
        <w:tab w:val="clear" w:pos="8306"/>
      </w:tabs>
      <w:jc w:val="right"/>
    </w:pPr>
    <w:r>
      <w:rPr>
        <w:rFonts w:hint="eastAsia"/>
        <w:lang w:eastAsia="zh-CN"/>
      </w:rPr>
      <w:t>自然人税收服务辅助管理平台升级项目</w:t>
    </w:r>
    <w:r>
      <w:t>招标文</w:t>
    </w:r>
    <w:r>
      <w:rPr>
        <w:rFonts w:hint="eastAsia"/>
      </w:rPr>
      <w:t>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0"/>
      </w:pBdr>
      <w:tabs>
        <w:tab w:val="center" w:pos="4535"/>
        <w:tab w:val="right" w:pos="9070"/>
        <w:tab w:val="clear" w:pos="4153"/>
        <w:tab w:val="clear" w:pos="8306"/>
      </w:tabs>
      <w:jc w:val="right"/>
    </w:pPr>
    <w:r>
      <w:rPr>
        <w:rFonts w:hint="eastAsia"/>
        <w:lang w:eastAsia="zh-CN"/>
      </w:rPr>
      <w:t>自然人税收服务辅助管理平台升级项目</w:t>
    </w:r>
    <w:r>
      <w:t>招标文</w:t>
    </w:r>
    <w:r>
      <w:rPr>
        <w:rFonts w:hint="eastAsia"/>
      </w:rPr>
      <w:t>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1">
    <w:nsid w:val="CDB3996B"/>
    <w:multiLevelType w:val="singleLevel"/>
    <w:tmpl w:val="CDB3996B"/>
    <w:lvl w:ilvl="0" w:tentative="0">
      <w:start w:val="1"/>
      <w:numFmt w:val="decimal"/>
      <w:suff w:val="nothing"/>
      <w:lvlText w:val="%1、"/>
      <w:lvlJc w:val="left"/>
      <w:pPr>
        <w:ind w:left="420" w:firstLine="0"/>
      </w:pPr>
    </w:lvl>
  </w:abstractNum>
  <w:abstractNum w:abstractNumId="2">
    <w:nsid w:val="D45D09F7"/>
    <w:multiLevelType w:val="singleLevel"/>
    <w:tmpl w:val="D45D09F7"/>
    <w:lvl w:ilvl="0" w:tentative="0">
      <w:start w:val="1"/>
      <w:numFmt w:val="decimal"/>
      <w:lvlText w:val="(%1)"/>
      <w:lvlJc w:val="left"/>
      <w:pPr>
        <w:ind w:left="425" w:hanging="425"/>
      </w:pPr>
      <w:rPr>
        <w:rFonts w:hint="default"/>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1CD2A064"/>
    <w:multiLevelType w:val="singleLevel"/>
    <w:tmpl w:val="1CD2A064"/>
    <w:lvl w:ilvl="0" w:tentative="0">
      <w:start w:val="10"/>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MGMxY2NhYjJjZWI5ODRjMWU0ZGJkNzI5N2Y0OG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4D0"/>
    <w:rsid w:val="000336D4"/>
    <w:rsid w:val="00034FA7"/>
    <w:rsid w:val="00035188"/>
    <w:rsid w:val="0003533D"/>
    <w:rsid w:val="000357E4"/>
    <w:rsid w:val="00035ACA"/>
    <w:rsid w:val="00040447"/>
    <w:rsid w:val="00040494"/>
    <w:rsid w:val="00040B70"/>
    <w:rsid w:val="0004126F"/>
    <w:rsid w:val="00042441"/>
    <w:rsid w:val="00042533"/>
    <w:rsid w:val="00042DBB"/>
    <w:rsid w:val="00042E65"/>
    <w:rsid w:val="0004347C"/>
    <w:rsid w:val="00043907"/>
    <w:rsid w:val="00044F48"/>
    <w:rsid w:val="00047354"/>
    <w:rsid w:val="00047F18"/>
    <w:rsid w:val="00050656"/>
    <w:rsid w:val="00050A19"/>
    <w:rsid w:val="000511B6"/>
    <w:rsid w:val="00051B00"/>
    <w:rsid w:val="00051C72"/>
    <w:rsid w:val="00052192"/>
    <w:rsid w:val="0005238F"/>
    <w:rsid w:val="00052787"/>
    <w:rsid w:val="00052BB8"/>
    <w:rsid w:val="00053619"/>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CD1"/>
    <w:rsid w:val="00071CD8"/>
    <w:rsid w:val="00071DB2"/>
    <w:rsid w:val="00072AED"/>
    <w:rsid w:val="00072B56"/>
    <w:rsid w:val="00072D2B"/>
    <w:rsid w:val="00072D51"/>
    <w:rsid w:val="000730B1"/>
    <w:rsid w:val="00073860"/>
    <w:rsid w:val="000738EA"/>
    <w:rsid w:val="00074078"/>
    <w:rsid w:val="00074B81"/>
    <w:rsid w:val="00075B15"/>
    <w:rsid w:val="00075D0E"/>
    <w:rsid w:val="00075F6A"/>
    <w:rsid w:val="00076159"/>
    <w:rsid w:val="0007616C"/>
    <w:rsid w:val="000763B5"/>
    <w:rsid w:val="000763F3"/>
    <w:rsid w:val="000766D2"/>
    <w:rsid w:val="00076801"/>
    <w:rsid w:val="00077577"/>
    <w:rsid w:val="00077607"/>
    <w:rsid w:val="00077756"/>
    <w:rsid w:val="00077B7F"/>
    <w:rsid w:val="00077C60"/>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A65"/>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55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39"/>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7AB"/>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9E0"/>
    <w:rsid w:val="0012153F"/>
    <w:rsid w:val="0012159D"/>
    <w:rsid w:val="00121804"/>
    <w:rsid w:val="00121EC9"/>
    <w:rsid w:val="001224FE"/>
    <w:rsid w:val="00122609"/>
    <w:rsid w:val="001231D3"/>
    <w:rsid w:val="001232A7"/>
    <w:rsid w:val="00123F7C"/>
    <w:rsid w:val="0012419E"/>
    <w:rsid w:val="0012450E"/>
    <w:rsid w:val="001248EF"/>
    <w:rsid w:val="00124AC0"/>
    <w:rsid w:val="00124FC4"/>
    <w:rsid w:val="001253AB"/>
    <w:rsid w:val="0012574C"/>
    <w:rsid w:val="001259B8"/>
    <w:rsid w:val="001264B9"/>
    <w:rsid w:val="0012690D"/>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B6"/>
    <w:rsid w:val="00147EA7"/>
    <w:rsid w:val="001506AB"/>
    <w:rsid w:val="00151820"/>
    <w:rsid w:val="00151B2F"/>
    <w:rsid w:val="001524DC"/>
    <w:rsid w:val="001525E5"/>
    <w:rsid w:val="00153859"/>
    <w:rsid w:val="00153915"/>
    <w:rsid w:val="001539F0"/>
    <w:rsid w:val="00153C63"/>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565"/>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0FBA"/>
    <w:rsid w:val="00191459"/>
    <w:rsid w:val="00191603"/>
    <w:rsid w:val="0019173E"/>
    <w:rsid w:val="0019174E"/>
    <w:rsid w:val="0019196B"/>
    <w:rsid w:val="001923D5"/>
    <w:rsid w:val="001924F9"/>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F34"/>
    <w:rsid w:val="001A3335"/>
    <w:rsid w:val="001A4548"/>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51"/>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325"/>
    <w:rsid w:val="002204BC"/>
    <w:rsid w:val="00220F7B"/>
    <w:rsid w:val="002213CE"/>
    <w:rsid w:val="00221AF7"/>
    <w:rsid w:val="00222494"/>
    <w:rsid w:val="00222775"/>
    <w:rsid w:val="00222A31"/>
    <w:rsid w:val="00222CF6"/>
    <w:rsid w:val="00224037"/>
    <w:rsid w:val="002244E4"/>
    <w:rsid w:val="00224D2A"/>
    <w:rsid w:val="00224D8D"/>
    <w:rsid w:val="0022555A"/>
    <w:rsid w:val="00225FF6"/>
    <w:rsid w:val="00227214"/>
    <w:rsid w:val="00227DDC"/>
    <w:rsid w:val="0023079F"/>
    <w:rsid w:val="00231135"/>
    <w:rsid w:val="00231B0B"/>
    <w:rsid w:val="00231F40"/>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4AE"/>
    <w:rsid w:val="00255784"/>
    <w:rsid w:val="00255A29"/>
    <w:rsid w:val="0025631F"/>
    <w:rsid w:val="00256986"/>
    <w:rsid w:val="00256D61"/>
    <w:rsid w:val="00256E23"/>
    <w:rsid w:val="00257246"/>
    <w:rsid w:val="00257438"/>
    <w:rsid w:val="0026119C"/>
    <w:rsid w:val="0026195B"/>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30"/>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ACB"/>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716"/>
    <w:rsid w:val="002B2906"/>
    <w:rsid w:val="002B2C66"/>
    <w:rsid w:val="002B34E3"/>
    <w:rsid w:val="002B51B6"/>
    <w:rsid w:val="002B5A94"/>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3E3"/>
    <w:rsid w:val="003066C6"/>
    <w:rsid w:val="003066FA"/>
    <w:rsid w:val="00306AD6"/>
    <w:rsid w:val="003077F4"/>
    <w:rsid w:val="00307DC7"/>
    <w:rsid w:val="00307FF2"/>
    <w:rsid w:val="00310EDB"/>
    <w:rsid w:val="00311C51"/>
    <w:rsid w:val="00311D56"/>
    <w:rsid w:val="00312016"/>
    <w:rsid w:val="00312203"/>
    <w:rsid w:val="00312340"/>
    <w:rsid w:val="00312DFC"/>
    <w:rsid w:val="0031318C"/>
    <w:rsid w:val="00313C9D"/>
    <w:rsid w:val="0031430C"/>
    <w:rsid w:val="0031479F"/>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175"/>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AA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B0D"/>
    <w:rsid w:val="0035455F"/>
    <w:rsid w:val="00355D75"/>
    <w:rsid w:val="00355D8F"/>
    <w:rsid w:val="00356A73"/>
    <w:rsid w:val="00356F84"/>
    <w:rsid w:val="00356FF0"/>
    <w:rsid w:val="003577EF"/>
    <w:rsid w:val="00357A60"/>
    <w:rsid w:val="00360304"/>
    <w:rsid w:val="00360A78"/>
    <w:rsid w:val="00361750"/>
    <w:rsid w:val="00363894"/>
    <w:rsid w:val="00363B2A"/>
    <w:rsid w:val="00363BF1"/>
    <w:rsid w:val="0036616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A7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1F32"/>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424"/>
    <w:rsid w:val="003B5531"/>
    <w:rsid w:val="003B636A"/>
    <w:rsid w:val="003B69CE"/>
    <w:rsid w:val="003B7403"/>
    <w:rsid w:val="003B7CED"/>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7A3"/>
    <w:rsid w:val="003E3E2F"/>
    <w:rsid w:val="003E4048"/>
    <w:rsid w:val="003E4CE5"/>
    <w:rsid w:val="003E604C"/>
    <w:rsid w:val="003E60DA"/>
    <w:rsid w:val="003E6E00"/>
    <w:rsid w:val="003E7111"/>
    <w:rsid w:val="003E7940"/>
    <w:rsid w:val="003F01BD"/>
    <w:rsid w:val="003F0486"/>
    <w:rsid w:val="003F048E"/>
    <w:rsid w:val="003F09FA"/>
    <w:rsid w:val="003F0AFF"/>
    <w:rsid w:val="003F0D65"/>
    <w:rsid w:val="003F1AA2"/>
    <w:rsid w:val="003F26DC"/>
    <w:rsid w:val="003F42FF"/>
    <w:rsid w:val="003F4B48"/>
    <w:rsid w:val="003F4DDC"/>
    <w:rsid w:val="003F56B8"/>
    <w:rsid w:val="003F5F1A"/>
    <w:rsid w:val="003F6327"/>
    <w:rsid w:val="003F6921"/>
    <w:rsid w:val="003F7425"/>
    <w:rsid w:val="003F765B"/>
    <w:rsid w:val="003F7CB8"/>
    <w:rsid w:val="00400CB4"/>
    <w:rsid w:val="00401386"/>
    <w:rsid w:val="004013E6"/>
    <w:rsid w:val="00401E31"/>
    <w:rsid w:val="00402BBA"/>
    <w:rsid w:val="004035D0"/>
    <w:rsid w:val="0040361D"/>
    <w:rsid w:val="00403795"/>
    <w:rsid w:val="004041FB"/>
    <w:rsid w:val="0040424C"/>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392"/>
    <w:rsid w:val="004126B5"/>
    <w:rsid w:val="00414909"/>
    <w:rsid w:val="00415034"/>
    <w:rsid w:val="00415B1A"/>
    <w:rsid w:val="00415DFD"/>
    <w:rsid w:val="00416208"/>
    <w:rsid w:val="0041690F"/>
    <w:rsid w:val="004169D3"/>
    <w:rsid w:val="00416A74"/>
    <w:rsid w:val="00416C2B"/>
    <w:rsid w:val="00416D41"/>
    <w:rsid w:val="00416E70"/>
    <w:rsid w:val="00417264"/>
    <w:rsid w:val="00420FEA"/>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6FD"/>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D0A"/>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2FA0"/>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A20"/>
    <w:rsid w:val="004F1CE1"/>
    <w:rsid w:val="004F1F9E"/>
    <w:rsid w:val="004F286A"/>
    <w:rsid w:val="004F2CB6"/>
    <w:rsid w:val="004F2E6E"/>
    <w:rsid w:val="004F3015"/>
    <w:rsid w:val="004F313F"/>
    <w:rsid w:val="004F367F"/>
    <w:rsid w:val="004F3EEF"/>
    <w:rsid w:val="004F43A7"/>
    <w:rsid w:val="004F447B"/>
    <w:rsid w:val="004F4815"/>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5F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3F"/>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C1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D30"/>
    <w:rsid w:val="005E5FF0"/>
    <w:rsid w:val="005E642A"/>
    <w:rsid w:val="005E65A7"/>
    <w:rsid w:val="005E721E"/>
    <w:rsid w:val="005F0857"/>
    <w:rsid w:val="005F1396"/>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E42"/>
    <w:rsid w:val="00601F66"/>
    <w:rsid w:val="00602764"/>
    <w:rsid w:val="00602B29"/>
    <w:rsid w:val="00602DAD"/>
    <w:rsid w:val="00603373"/>
    <w:rsid w:val="006036D0"/>
    <w:rsid w:val="00603B1C"/>
    <w:rsid w:val="006042CD"/>
    <w:rsid w:val="00604CC3"/>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6E7"/>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ADD"/>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A7F2D"/>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6E3"/>
    <w:rsid w:val="006B6ED2"/>
    <w:rsid w:val="006B7F74"/>
    <w:rsid w:val="006C0230"/>
    <w:rsid w:val="006C05C7"/>
    <w:rsid w:val="006C25AB"/>
    <w:rsid w:val="006C2DA6"/>
    <w:rsid w:val="006C2E7E"/>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802"/>
    <w:rsid w:val="006F2F59"/>
    <w:rsid w:val="006F311E"/>
    <w:rsid w:val="006F3442"/>
    <w:rsid w:val="006F36A5"/>
    <w:rsid w:val="006F41F4"/>
    <w:rsid w:val="006F4576"/>
    <w:rsid w:val="006F5813"/>
    <w:rsid w:val="006F59A8"/>
    <w:rsid w:val="006F5A1D"/>
    <w:rsid w:val="006F6D5C"/>
    <w:rsid w:val="006F71A6"/>
    <w:rsid w:val="006F7974"/>
    <w:rsid w:val="006F7C2C"/>
    <w:rsid w:val="006F7FD5"/>
    <w:rsid w:val="00700405"/>
    <w:rsid w:val="00700D18"/>
    <w:rsid w:val="0070168D"/>
    <w:rsid w:val="00701C36"/>
    <w:rsid w:val="00701DDC"/>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2F48"/>
    <w:rsid w:val="00713A6B"/>
    <w:rsid w:val="00713CB5"/>
    <w:rsid w:val="0071499C"/>
    <w:rsid w:val="00714F9D"/>
    <w:rsid w:val="007154D8"/>
    <w:rsid w:val="007154F6"/>
    <w:rsid w:val="00715577"/>
    <w:rsid w:val="0071604D"/>
    <w:rsid w:val="00716C67"/>
    <w:rsid w:val="007170AB"/>
    <w:rsid w:val="0071779C"/>
    <w:rsid w:val="00717808"/>
    <w:rsid w:val="00717843"/>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BF"/>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4B"/>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2F34"/>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08B"/>
    <w:rsid w:val="007A01C3"/>
    <w:rsid w:val="007A0789"/>
    <w:rsid w:val="007A130E"/>
    <w:rsid w:val="007A13E2"/>
    <w:rsid w:val="007A18B1"/>
    <w:rsid w:val="007A1BBD"/>
    <w:rsid w:val="007A1F08"/>
    <w:rsid w:val="007A2555"/>
    <w:rsid w:val="007A25FA"/>
    <w:rsid w:val="007A2DB8"/>
    <w:rsid w:val="007A2FCB"/>
    <w:rsid w:val="007A3520"/>
    <w:rsid w:val="007A3604"/>
    <w:rsid w:val="007A3878"/>
    <w:rsid w:val="007A3D85"/>
    <w:rsid w:val="007A3E0D"/>
    <w:rsid w:val="007A436D"/>
    <w:rsid w:val="007A4F99"/>
    <w:rsid w:val="007A54F6"/>
    <w:rsid w:val="007A55FE"/>
    <w:rsid w:val="007A582C"/>
    <w:rsid w:val="007A5950"/>
    <w:rsid w:val="007A6D91"/>
    <w:rsid w:val="007A7618"/>
    <w:rsid w:val="007B00C9"/>
    <w:rsid w:val="007B02C7"/>
    <w:rsid w:val="007B0306"/>
    <w:rsid w:val="007B08E4"/>
    <w:rsid w:val="007B0D86"/>
    <w:rsid w:val="007B28C3"/>
    <w:rsid w:val="007B2C3D"/>
    <w:rsid w:val="007B3A8E"/>
    <w:rsid w:val="007B3B46"/>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91D"/>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93E"/>
    <w:rsid w:val="007E347E"/>
    <w:rsid w:val="007E41A4"/>
    <w:rsid w:val="007E43E3"/>
    <w:rsid w:val="007E54B8"/>
    <w:rsid w:val="007E5D12"/>
    <w:rsid w:val="007E6420"/>
    <w:rsid w:val="007E677F"/>
    <w:rsid w:val="007E6B25"/>
    <w:rsid w:val="007E6E06"/>
    <w:rsid w:val="007E6F4A"/>
    <w:rsid w:val="007E79CC"/>
    <w:rsid w:val="007F0E4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BB4"/>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BA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284"/>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E93"/>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02"/>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A5E"/>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9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502"/>
    <w:rsid w:val="00903C83"/>
    <w:rsid w:val="00903D77"/>
    <w:rsid w:val="0090408F"/>
    <w:rsid w:val="0090446A"/>
    <w:rsid w:val="00904537"/>
    <w:rsid w:val="00904BF0"/>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48"/>
    <w:rsid w:val="009159C2"/>
    <w:rsid w:val="0091627F"/>
    <w:rsid w:val="00916E45"/>
    <w:rsid w:val="0092077A"/>
    <w:rsid w:val="00920C8C"/>
    <w:rsid w:val="00920DC0"/>
    <w:rsid w:val="009219F3"/>
    <w:rsid w:val="009221CB"/>
    <w:rsid w:val="00922320"/>
    <w:rsid w:val="00923643"/>
    <w:rsid w:val="00923730"/>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9EF"/>
    <w:rsid w:val="009441DB"/>
    <w:rsid w:val="00944834"/>
    <w:rsid w:val="00946128"/>
    <w:rsid w:val="0094633F"/>
    <w:rsid w:val="00947BA5"/>
    <w:rsid w:val="00950805"/>
    <w:rsid w:val="009517E4"/>
    <w:rsid w:val="009518D4"/>
    <w:rsid w:val="009520BC"/>
    <w:rsid w:val="009520E0"/>
    <w:rsid w:val="009521D2"/>
    <w:rsid w:val="00952403"/>
    <w:rsid w:val="00952589"/>
    <w:rsid w:val="00952BD8"/>
    <w:rsid w:val="00953573"/>
    <w:rsid w:val="009537C0"/>
    <w:rsid w:val="00954549"/>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191"/>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937"/>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5F5"/>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B0B"/>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737"/>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FF3"/>
    <w:rsid w:val="009F56C0"/>
    <w:rsid w:val="009F5C76"/>
    <w:rsid w:val="009F6DE2"/>
    <w:rsid w:val="009F713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94B"/>
    <w:rsid w:val="00A03A7C"/>
    <w:rsid w:val="00A044AA"/>
    <w:rsid w:val="00A0700C"/>
    <w:rsid w:val="00A102F8"/>
    <w:rsid w:val="00A10A20"/>
    <w:rsid w:val="00A117D5"/>
    <w:rsid w:val="00A11C11"/>
    <w:rsid w:val="00A12720"/>
    <w:rsid w:val="00A12CD4"/>
    <w:rsid w:val="00A12ED1"/>
    <w:rsid w:val="00A13121"/>
    <w:rsid w:val="00A131F5"/>
    <w:rsid w:val="00A133C1"/>
    <w:rsid w:val="00A13414"/>
    <w:rsid w:val="00A13675"/>
    <w:rsid w:val="00A138B7"/>
    <w:rsid w:val="00A13E6C"/>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B6C"/>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81"/>
    <w:rsid w:val="00A803A6"/>
    <w:rsid w:val="00A8073D"/>
    <w:rsid w:val="00A80D02"/>
    <w:rsid w:val="00A81469"/>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20D"/>
    <w:rsid w:val="00A8733A"/>
    <w:rsid w:val="00A900A7"/>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242"/>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0E"/>
    <w:rsid w:val="00AF14FC"/>
    <w:rsid w:val="00AF1ED2"/>
    <w:rsid w:val="00AF1F4E"/>
    <w:rsid w:val="00AF2302"/>
    <w:rsid w:val="00AF262A"/>
    <w:rsid w:val="00AF3557"/>
    <w:rsid w:val="00AF3F86"/>
    <w:rsid w:val="00AF4178"/>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D03"/>
    <w:rsid w:val="00B20760"/>
    <w:rsid w:val="00B2125C"/>
    <w:rsid w:val="00B21676"/>
    <w:rsid w:val="00B219E1"/>
    <w:rsid w:val="00B21ECF"/>
    <w:rsid w:val="00B22150"/>
    <w:rsid w:val="00B226DE"/>
    <w:rsid w:val="00B22FB5"/>
    <w:rsid w:val="00B241D5"/>
    <w:rsid w:val="00B24BE9"/>
    <w:rsid w:val="00B25246"/>
    <w:rsid w:val="00B2551D"/>
    <w:rsid w:val="00B25F8C"/>
    <w:rsid w:val="00B260BE"/>
    <w:rsid w:val="00B26677"/>
    <w:rsid w:val="00B26A96"/>
    <w:rsid w:val="00B274E3"/>
    <w:rsid w:val="00B2765C"/>
    <w:rsid w:val="00B27C4B"/>
    <w:rsid w:val="00B30563"/>
    <w:rsid w:val="00B3069E"/>
    <w:rsid w:val="00B30A76"/>
    <w:rsid w:val="00B30B0D"/>
    <w:rsid w:val="00B31246"/>
    <w:rsid w:val="00B32295"/>
    <w:rsid w:val="00B33AB5"/>
    <w:rsid w:val="00B3412E"/>
    <w:rsid w:val="00B3439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ABA"/>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7F2"/>
    <w:rsid w:val="00B65788"/>
    <w:rsid w:val="00B65844"/>
    <w:rsid w:val="00B66054"/>
    <w:rsid w:val="00B6677F"/>
    <w:rsid w:val="00B66C7A"/>
    <w:rsid w:val="00B672EA"/>
    <w:rsid w:val="00B6747B"/>
    <w:rsid w:val="00B70200"/>
    <w:rsid w:val="00B702D7"/>
    <w:rsid w:val="00B70389"/>
    <w:rsid w:val="00B70E01"/>
    <w:rsid w:val="00B71956"/>
    <w:rsid w:val="00B72CF0"/>
    <w:rsid w:val="00B7380E"/>
    <w:rsid w:val="00B740F6"/>
    <w:rsid w:val="00B74615"/>
    <w:rsid w:val="00B74789"/>
    <w:rsid w:val="00B755B6"/>
    <w:rsid w:val="00B75977"/>
    <w:rsid w:val="00B75A48"/>
    <w:rsid w:val="00B75CC0"/>
    <w:rsid w:val="00B76021"/>
    <w:rsid w:val="00B76299"/>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F4D"/>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CB5"/>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6D0"/>
    <w:rsid w:val="00BB27CC"/>
    <w:rsid w:val="00BB2ACE"/>
    <w:rsid w:val="00BB2E4E"/>
    <w:rsid w:val="00BB2E62"/>
    <w:rsid w:val="00BB36C9"/>
    <w:rsid w:val="00BB3A66"/>
    <w:rsid w:val="00BB40D1"/>
    <w:rsid w:val="00BB4ADA"/>
    <w:rsid w:val="00BB777D"/>
    <w:rsid w:val="00BB7EC0"/>
    <w:rsid w:val="00BB7F88"/>
    <w:rsid w:val="00BC0207"/>
    <w:rsid w:val="00BC089F"/>
    <w:rsid w:val="00BC0A0C"/>
    <w:rsid w:val="00BC0A5A"/>
    <w:rsid w:val="00BC0E64"/>
    <w:rsid w:val="00BC25D1"/>
    <w:rsid w:val="00BC2B15"/>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A1D"/>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1F3"/>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2F6F"/>
    <w:rsid w:val="00C0378E"/>
    <w:rsid w:val="00C04314"/>
    <w:rsid w:val="00C04B25"/>
    <w:rsid w:val="00C04BD0"/>
    <w:rsid w:val="00C053D4"/>
    <w:rsid w:val="00C05730"/>
    <w:rsid w:val="00C05AF4"/>
    <w:rsid w:val="00C05AFD"/>
    <w:rsid w:val="00C05E97"/>
    <w:rsid w:val="00C0661C"/>
    <w:rsid w:val="00C0675F"/>
    <w:rsid w:val="00C0702A"/>
    <w:rsid w:val="00C0724C"/>
    <w:rsid w:val="00C07C11"/>
    <w:rsid w:val="00C07E10"/>
    <w:rsid w:val="00C10015"/>
    <w:rsid w:val="00C100F6"/>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E9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8F"/>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8F1"/>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45E"/>
    <w:rsid w:val="00C868A7"/>
    <w:rsid w:val="00C86ABA"/>
    <w:rsid w:val="00C86BF7"/>
    <w:rsid w:val="00C87164"/>
    <w:rsid w:val="00C8786A"/>
    <w:rsid w:val="00C87BBA"/>
    <w:rsid w:val="00C87BD0"/>
    <w:rsid w:val="00C905E5"/>
    <w:rsid w:val="00C90754"/>
    <w:rsid w:val="00C90B95"/>
    <w:rsid w:val="00C90BC4"/>
    <w:rsid w:val="00C90CA9"/>
    <w:rsid w:val="00C91802"/>
    <w:rsid w:val="00C9249D"/>
    <w:rsid w:val="00C92E41"/>
    <w:rsid w:val="00C92F62"/>
    <w:rsid w:val="00C93097"/>
    <w:rsid w:val="00C93B40"/>
    <w:rsid w:val="00C93DB5"/>
    <w:rsid w:val="00C94CB9"/>
    <w:rsid w:val="00C95853"/>
    <w:rsid w:val="00C95C2F"/>
    <w:rsid w:val="00C95F87"/>
    <w:rsid w:val="00C96035"/>
    <w:rsid w:val="00C968EF"/>
    <w:rsid w:val="00C972CE"/>
    <w:rsid w:val="00CA01F0"/>
    <w:rsid w:val="00CA0492"/>
    <w:rsid w:val="00CA05B0"/>
    <w:rsid w:val="00CA0632"/>
    <w:rsid w:val="00CA0A04"/>
    <w:rsid w:val="00CA2528"/>
    <w:rsid w:val="00CA3CAB"/>
    <w:rsid w:val="00CA3FC0"/>
    <w:rsid w:val="00CA5685"/>
    <w:rsid w:val="00CA5DCC"/>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CEB"/>
    <w:rsid w:val="00CF7DF5"/>
    <w:rsid w:val="00D001D2"/>
    <w:rsid w:val="00D02A80"/>
    <w:rsid w:val="00D0352D"/>
    <w:rsid w:val="00D04F01"/>
    <w:rsid w:val="00D04F8B"/>
    <w:rsid w:val="00D054EF"/>
    <w:rsid w:val="00D05637"/>
    <w:rsid w:val="00D05BA9"/>
    <w:rsid w:val="00D05EB1"/>
    <w:rsid w:val="00D0650B"/>
    <w:rsid w:val="00D06745"/>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7E8"/>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28F"/>
    <w:rsid w:val="00D815E6"/>
    <w:rsid w:val="00D81A28"/>
    <w:rsid w:val="00D81BDE"/>
    <w:rsid w:val="00D8201D"/>
    <w:rsid w:val="00D82B00"/>
    <w:rsid w:val="00D82B04"/>
    <w:rsid w:val="00D82BE4"/>
    <w:rsid w:val="00D82E05"/>
    <w:rsid w:val="00D83C0D"/>
    <w:rsid w:val="00D83C80"/>
    <w:rsid w:val="00D83F5B"/>
    <w:rsid w:val="00D84061"/>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1B"/>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44"/>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5B77"/>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78"/>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397"/>
    <w:rsid w:val="00E1720B"/>
    <w:rsid w:val="00E17E76"/>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24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652"/>
    <w:rsid w:val="00E519FE"/>
    <w:rsid w:val="00E5206C"/>
    <w:rsid w:val="00E52AAB"/>
    <w:rsid w:val="00E5351C"/>
    <w:rsid w:val="00E5448E"/>
    <w:rsid w:val="00E54E0D"/>
    <w:rsid w:val="00E55247"/>
    <w:rsid w:val="00E558E5"/>
    <w:rsid w:val="00E55B3C"/>
    <w:rsid w:val="00E56795"/>
    <w:rsid w:val="00E57932"/>
    <w:rsid w:val="00E57FDA"/>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05"/>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C94"/>
    <w:rsid w:val="00E97DC6"/>
    <w:rsid w:val="00E97F7A"/>
    <w:rsid w:val="00EA0010"/>
    <w:rsid w:val="00EA0143"/>
    <w:rsid w:val="00EA089B"/>
    <w:rsid w:val="00EA1ACC"/>
    <w:rsid w:val="00EA2E21"/>
    <w:rsid w:val="00EA2EAA"/>
    <w:rsid w:val="00EA380C"/>
    <w:rsid w:val="00EA4DEA"/>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E71"/>
    <w:rsid w:val="00EE13DA"/>
    <w:rsid w:val="00EE1595"/>
    <w:rsid w:val="00EE1E71"/>
    <w:rsid w:val="00EE2087"/>
    <w:rsid w:val="00EE20C2"/>
    <w:rsid w:val="00EE2A9D"/>
    <w:rsid w:val="00EE3384"/>
    <w:rsid w:val="00EE499F"/>
    <w:rsid w:val="00EE56E2"/>
    <w:rsid w:val="00EE5FCD"/>
    <w:rsid w:val="00EE63BF"/>
    <w:rsid w:val="00EE6D45"/>
    <w:rsid w:val="00EE6E89"/>
    <w:rsid w:val="00EF0C0A"/>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D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923"/>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084"/>
    <w:rsid w:val="00F33262"/>
    <w:rsid w:val="00F343EE"/>
    <w:rsid w:val="00F353F4"/>
    <w:rsid w:val="00F35494"/>
    <w:rsid w:val="00F35607"/>
    <w:rsid w:val="00F359AB"/>
    <w:rsid w:val="00F35DBA"/>
    <w:rsid w:val="00F3619D"/>
    <w:rsid w:val="00F36DDE"/>
    <w:rsid w:val="00F3722A"/>
    <w:rsid w:val="00F37366"/>
    <w:rsid w:val="00F374EF"/>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797"/>
    <w:rsid w:val="00F62CA8"/>
    <w:rsid w:val="00F62F92"/>
    <w:rsid w:val="00F630B4"/>
    <w:rsid w:val="00F6344B"/>
    <w:rsid w:val="00F635EF"/>
    <w:rsid w:val="00F63BF4"/>
    <w:rsid w:val="00F63C55"/>
    <w:rsid w:val="00F63C60"/>
    <w:rsid w:val="00F64991"/>
    <w:rsid w:val="00F65BA9"/>
    <w:rsid w:val="00F65BC8"/>
    <w:rsid w:val="00F65EEA"/>
    <w:rsid w:val="00F66205"/>
    <w:rsid w:val="00F6630F"/>
    <w:rsid w:val="00F66419"/>
    <w:rsid w:val="00F67079"/>
    <w:rsid w:val="00F67B58"/>
    <w:rsid w:val="00F67C1B"/>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5E2"/>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57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7F3"/>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3A2"/>
    <w:rsid w:val="00FF2A7B"/>
    <w:rsid w:val="00FF3D2B"/>
    <w:rsid w:val="00FF49B4"/>
    <w:rsid w:val="00FF49F4"/>
    <w:rsid w:val="00FF5C6A"/>
    <w:rsid w:val="00FF651D"/>
    <w:rsid w:val="00FF6843"/>
    <w:rsid w:val="00FF6C25"/>
    <w:rsid w:val="010651D9"/>
    <w:rsid w:val="011F6449"/>
    <w:rsid w:val="01236AFB"/>
    <w:rsid w:val="019F7441"/>
    <w:rsid w:val="01B15858"/>
    <w:rsid w:val="01B37585"/>
    <w:rsid w:val="01D55165"/>
    <w:rsid w:val="01DF6BF8"/>
    <w:rsid w:val="01EC2C57"/>
    <w:rsid w:val="026B2E25"/>
    <w:rsid w:val="02824D4D"/>
    <w:rsid w:val="028C6502"/>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7F1302"/>
    <w:rsid w:val="05A16594"/>
    <w:rsid w:val="05A7762D"/>
    <w:rsid w:val="060E5941"/>
    <w:rsid w:val="06110FAF"/>
    <w:rsid w:val="06493CA7"/>
    <w:rsid w:val="065A6178"/>
    <w:rsid w:val="066F1CF3"/>
    <w:rsid w:val="06930BB8"/>
    <w:rsid w:val="07245D42"/>
    <w:rsid w:val="07264C62"/>
    <w:rsid w:val="072C70D0"/>
    <w:rsid w:val="074724B3"/>
    <w:rsid w:val="0779354C"/>
    <w:rsid w:val="07B45BF7"/>
    <w:rsid w:val="08061376"/>
    <w:rsid w:val="08452D77"/>
    <w:rsid w:val="086401F8"/>
    <w:rsid w:val="08751CAA"/>
    <w:rsid w:val="087E4C40"/>
    <w:rsid w:val="08C843DA"/>
    <w:rsid w:val="08D66AD6"/>
    <w:rsid w:val="08DA33A3"/>
    <w:rsid w:val="08E80F13"/>
    <w:rsid w:val="09335624"/>
    <w:rsid w:val="0944690F"/>
    <w:rsid w:val="09535675"/>
    <w:rsid w:val="095F057D"/>
    <w:rsid w:val="09642282"/>
    <w:rsid w:val="09733572"/>
    <w:rsid w:val="09772C16"/>
    <w:rsid w:val="098353B5"/>
    <w:rsid w:val="09A83C6D"/>
    <w:rsid w:val="09A92330"/>
    <w:rsid w:val="09B06B87"/>
    <w:rsid w:val="09C13146"/>
    <w:rsid w:val="09E04166"/>
    <w:rsid w:val="0A1C0718"/>
    <w:rsid w:val="0A2F1A39"/>
    <w:rsid w:val="0A3E7710"/>
    <w:rsid w:val="0A5B7E63"/>
    <w:rsid w:val="0AA374A5"/>
    <w:rsid w:val="0AA5065A"/>
    <w:rsid w:val="0AAB7649"/>
    <w:rsid w:val="0ABC5606"/>
    <w:rsid w:val="0B30404E"/>
    <w:rsid w:val="0B4C6C14"/>
    <w:rsid w:val="0B5F1DB6"/>
    <w:rsid w:val="0B631A88"/>
    <w:rsid w:val="0B683D45"/>
    <w:rsid w:val="0B7F3F11"/>
    <w:rsid w:val="0B884417"/>
    <w:rsid w:val="0BA75291"/>
    <w:rsid w:val="0BE34A3F"/>
    <w:rsid w:val="0BF44DFD"/>
    <w:rsid w:val="0BF6188C"/>
    <w:rsid w:val="0BF73C91"/>
    <w:rsid w:val="0BFF4208"/>
    <w:rsid w:val="0C170175"/>
    <w:rsid w:val="0C4A73E4"/>
    <w:rsid w:val="0C571A41"/>
    <w:rsid w:val="0C5C1171"/>
    <w:rsid w:val="0C5E1CBC"/>
    <w:rsid w:val="0C615B50"/>
    <w:rsid w:val="0C8445DA"/>
    <w:rsid w:val="0C87121B"/>
    <w:rsid w:val="0C8C4DAC"/>
    <w:rsid w:val="0CC007F7"/>
    <w:rsid w:val="0CFE707A"/>
    <w:rsid w:val="0D063BDA"/>
    <w:rsid w:val="0D08375F"/>
    <w:rsid w:val="0D184CFB"/>
    <w:rsid w:val="0D4A7419"/>
    <w:rsid w:val="0D6C66D1"/>
    <w:rsid w:val="0D827401"/>
    <w:rsid w:val="0D84094E"/>
    <w:rsid w:val="0D8A00E9"/>
    <w:rsid w:val="0D8D589E"/>
    <w:rsid w:val="0D9A1C9E"/>
    <w:rsid w:val="0DA01C73"/>
    <w:rsid w:val="0DD63300"/>
    <w:rsid w:val="0DF50604"/>
    <w:rsid w:val="0DF702FE"/>
    <w:rsid w:val="0E060E51"/>
    <w:rsid w:val="0E332694"/>
    <w:rsid w:val="0E5604B2"/>
    <w:rsid w:val="0E566669"/>
    <w:rsid w:val="0E6D5D79"/>
    <w:rsid w:val="0E9D0089"/>
    <w:rsid w:val="0EB803EE"/>
    <w:rsid w:val="0EDB7766"/>
    <w:rsid w:val="0EF94D4B"/>
    <w:rsid w:val="0F034513"/>
    <w:rsid w:val="0F4958DC"/>
    <w:rsid w:val="0F515DF7"/>
    <w:rsid w:val="0F596BA8"/>
    <w:rsid w:val="0F6248D2"/>
    <w:rsid w:val="0F693536"/>
    <w:rsid w:val="0F7B0511"/>
    <w:rsid w:val="0F7B76D9"/>
    <w:rsid w:val="0F816ACD"/>
    <w:rsid w:val="0F9832DB"/>
    <w:rsid w:val="0FBF3FD2"/>
    <w:rsid w:val="0FBF7FF3"/>
    <w:rsid w:val="100C0B4A"/>
    <w:rsid w:val="10646583"/>
    <w:rsid w:val="107D4B15"/>
    <w:rsid w:val="1082651A"/>
    <w:rsid w:val="108A3C80"/>
    <w:rsid w:val="10B1336A"/>
    <w:rsid w:val="10C26171"/>
    <w:rsid w:val="10F33360"/>
    <w:rsid w:val="10FC16EA"/>
    <w:rsid w:val="110F1D40"/>
    <w:rsid w:val="11266F33"/>
    <w:rsid w:val="11586D0A"/>
    <w:rsid w:val="118963A1"/>
    <w:rsid w:val="11C6522A"/>
    <w:rsid w:val="11E104CC"/>
    <w:rsid w:val="11E20309"/>
    <w:rsid w:val="12255233"/>
    <w:rsid w:val="12530213"/>
    <w:rsid w:val="127723A9"/>
    <w:rsid w:val="12862074"/>
    <w:rsid w:val="12883966"/>
    <w:rsid w:val="129E45B4"/>
    <w:rsid w:val="12D81596"/>
    <w:rsid w:val="13072A44"/>
    <w:rsid w:val="131F1749"/>
    <w:rsid w:val="135F4BE2"/>
    <w:rsid w:val="139B1A0A"/>
    <w:rsid w:val="139D25C7"/>
    <w:rsid w:val="13BC5100"/>
    <w:rsid w:val="13BF3CE4"/>
    <w:rsid w:val="141008D8"/>
    <w:rsid w:val="14125FE6"/>
    <w:rsid w:val="146D271E"/>
    <w:rsid w:val="14982588"/>
    <w:rsid w:val="149A5AD9"/>
    <w:rsid w:val="14A7619D"/>
    <w:rsid w:val="150536C3"/>
    <w:rsid w:val="150C1963"/>
    <w:rsid w:val="151447A0"/>
    <w:rsid w:val="154A6454"/>
    <w:rsid w:val="156D670B"/>
    <w:rsid w:val="15702B3A"/>
    <w:rsid w:val="15762120"/>
    <w:rsid w:val="158A7C3F"/>
    <w:rsid w:val="15FF4447"/>
    <w:rsid w:val="16A377C0"/>
    <w:rsid w:val="16A8729C"/>
    <w:rsid w:val="16B33777"/>
    <w:rsid w:val="16BC70A7"/>
    <w:rsid w:val="16C6339E"/>
    <w:rsid w:val="17000FF1"/>
    <w:rsid w:val="172F2D79"/>
    <w:rsid w:val="17357CC9"/>
    <w:rsid w:val="17557BEF"/>
    <w:rsid w:val="179E5F3A"/>
    <w:rsid w:val="17D349C1"/>
    <w:rsid w:val="18177852"/>
    <w:rsid w:val="1828039A"/>
    <w:rsid w:val="1830729E"/>
    <w:rsid w:val="18556234"/>
    <w:rsid w:val="1870062C"/>
    <w:rsid w:val="18817102"/>
    <w:rsid w:val="18830A15"/>
    <w:rsid w:val="18852B28"/>
    <w:rsid w:val="188B5321"/>
    <w:rsid w:val="18D47627"/>
    <w:rsid w:val="18F728C6"/>
    <w:rsid w:val="190056A7"/>
    <w:rsid w:val="19187DB0"/>
    <w:rsid w:val="19932372"/>
    <w:rsid w:val="19A20DD5"/>
    <w:rsid w:val="19AE03F1"/>
    <w:rsid w:val="1A071A03"/>
    <w:rsid w:val="1A1F16AE"/>
    <w:rsid w:val="1A3816AF"/>
    <w:rsid w:val="1A3B5C77"/>
    <w:rsid w:val="1A3C3DCF"/>
    <w:rsid w:val="1A7E012B"/>
    <w:rsid w:val="1A953C5E"/>
    <w:rsid w:val="1A984BAD"/>
    <w:rsid w:val="1AB15A25"/>
    <w:rsid w:val="1AB8220E"/>
    <w:rsid w:val="1AB91220"/>
    <w:rsid w:val="1AC03C93"/>
    <w:rsid w:val="1AE4166C"/>
    <w:rsid w:val="1AF06CFB"/>
    <w:rsid w:val="1AF11B8D"/>
    <w:rsid w:val="1B11359C"/>
    <w:rsid w:val="1B2A271F"/>
    <w:rsid w:val="1B530544"/>
    <w:rsid w:val="1B583B08"/>
    <w:rsid w:val="1B713184"/>
    <w:rsid w:val="1BA209CF"/>
    <w:rsid w:val="1BB04214"/>
    <w:rsid w:val="1BB4777D"/>
    <w:rsid w:val="1BD75AB8"/>
    <w:rsid w:val="1BEA2B59"/>
    <w:rsid w:val="1C0459C2"/>
    <w:rsid w:val="1C1B3B4A"/>
    <w:rsid w:val="1C88086E"/>
    <w:rsid w:val="1D266CE1"/>
    <w:rsid w:val="1D3169AC"/>
    <w:rsid w:val="1D3963AF"/>
    <w:rsid w:val="1D6A673C"/>
    <w:rsid w:val="1D9247AE"/>
    <w:rsid w:val="1DB567EC"/>
    <w:rsid w:val="1DE972FF"/>
    <w:rsid w:val="1DF51A98"/>
    <w:rsid w:val="1E21179F"/>
    <w:rsid w:val="1E3D060F"/>
    <w:rsid w:val="1E3F7D2E"/>
    <w:rsid w:val="1E4134E4"/>
    <w:rsid w:val="1E49004B"/>
    <w:rsid w:val="1E5062B3"/>
    <w:rsid w:val="1E523514"/>
    <w:rsid w:val="1E714A66"/>
    <w:rsid w:val="1E802593"/>
    <w:rsid w:val="1EA703CC"/>
    <w:rsid w:val="1EB7330C"/>
    <w:rsid w:val="1EE406B7"/>
    <w:rsid w:val="1EE83E29"/>
    <w:rsid w:val="1F0A0FF3"/>
    <w:rsid w:val="1F5771FF"/>
    <w:rsid w:val="1FA0050C"/>
    <w:rsid w:val="1FA46401"/>
    <w:rsid w:val="1FAE2303"/>
    <w:rsid w:val="1FB56DC7"/>
    <w:rsid w:val="1FE868A9"/>
    <w:rsid w:val="20034907"/>
    <w:rsid w:val="20173E4B"/>
    <w:rsid w:val="204E48BC"/>
    <w:rsid w:val="206C39B9"/>
    <w:rsid w:val="208921B3"/>
    <w:rsid w:val="20973DEB"/>
    <w:rsid w:val="20B26522"/>
    <w:rsid w:val="20B44310"/>
    <w:rsid w:val="20E16435"/>
    <w:rsid w:val="211116EB"/>
    <w:rsid w:val="211D4710"/>
    <w:rsid w:val="216133FC"/>
    <w:rsid w:val="21676FF7"/>
    <w:rsid w:val="21D56769"/>
    <w:rsid w:val="21D61F1E"/>
    <w:rsid w:val="21E003A8"/>
    <w:rsid w:val="21E52EF3"/>
    <w:rsid w:val="21FB5D7B"/>
    <w:rsid w:val="220B1C3D"/>
    <w:rsid w:val="221D1D20"/>
    <w:rsid w:val="22334A87"/>
    <w:rsid w:val="22BE6801"/>
    <w:rsid w:val="22D44236"/>
    <w:rsid w:val="22E85BC9"/>
    <w:rsid w:val="233026C4"/>
    <w:rsid w:val="233500BF"/>
    <w:rsid w:val="23377FF7"/>
    <w:rsid w:val="236B425F"/>
    <w:rsid w:val="23836192"/>
    <w:rsid w:val="23901F29"/>
    <w:rsid w:val="239C0061"/>
    <w:rsid w:val="23B908A4"/>
    <w:rsid w:val="23E95BEF"/>
    <w:rsid w:val="23FD0064"/>
    <w:rsid w:val="245375B0"/>
    <w:rsid w:val="24563E3E"/>
    <w:rsid w:val="24642C0A"/>
    <w:rsid w:val="24B22173"/>
    <w:rsid w:val="24B60145"/>
    <w:rsid w:val="24B95AD9"/>
    <w:rsid w:val="24BE24DA"/>
    <w:rsid w:val="24CF5825"/>
    <w:rsid w:val="24D663E6"/>
    <w:rsid w:val="24D77F2B"/>
    <w:rsid w:val="251C31E3"/>
    <w:rsid w:val="25253C07"/>
    <w:rsid w:val="258B00E2"/>
    <w:rsid w:val="25A917A6"/>
    <w:rsid w:val="25BE27CC"/>
    <w:rsid w:val="25F74A5C"/>
    <w:rsid w:val="2628662C"/>
    <w:rsid w:val="262D45DE"/>
    <w:rsid w:val="26A53EF9"/>
    <w:rsid w:val="26A94201"/>
    <w:rsid w:val="26AC274F"/>
    <w:rsid w:val="26CB6B22"/>
    <w:rsid w:val="27044A29"/>
    <w:rsid w:val="271D34C8"/>
    <w:rsid w:val="27521201"/>
    <w:rsid w:val="275935BC"/>
    <w:rsid w:val="276142BF"/>
    <w:rsid w:val="276235F7"/>
    <w:rsid w:val="27783712"/>
    <w:rsid w:val="27907362"/>
    <w:rsid w:val="279818B7"/>
    <w:rsid w:val="27F8367C"/>
    <w:rsid w:val="280E68D2"/>
    <w:rsid w:val="280F3B2C"/>
    <w:rsid w:val="283029D7"/>
    <w:rsid w:val="28333E1D"/>
    <w:rsid w:val="28454BD6"/>
    <w:rsid w:val="28455253"/>
    <w:rsid w:val="28532DF1"/>
    <w:rsid w:val="28551971"/>
    <w:rsid w:val="285B1C53"/>
    <w:rsid w:val="289F7086"/>
    <w:rsid w:val="28C32028"/>
    <w:rsid w:val="28CC490F"/>
    <w:rsid w:val="28DE40AA"/>
    <w:rsid w:val="2901727A"/>
    <w:rsid w:val="29345E77"/>
    <w:rsid w:val="294C65AD"/>
    <w:rsid w:val="29806583"/>
    <w:rsid w:val="298B3C4C"/>
    <w:rsid w:val="29E90619"/>
    <w:rsid w:val="29F26D24"/>
    <w:rsid w:val="2A15033F"/>
    <w:rsid w:val="2A1662C1"/>
    <w:rsid w:val="2A1C7367"/>
    <w:rsid w:val="2A2815FA"/>
    <w:rsid w:val="2A4E45E1"/>
    <w:rsid w:val="2A6D6092"/>
    <w:rsid w:val="2A7D76B4"/>
    <w:rsid w:val="2ACF5D02"/>
    <w:rsid w:val="2AFA0C1B"/>
    <w:rsid w:val="2B232DAC"/>
    <w:rsid w:val="2B437463"/>
    <w:rsid w:val="2B7807EE"/>
    <w:rsid w:val="2BBF00EC"/>
    <w:rsid w:val="2BC37CFD"/>
    <w:rsid w:val="2BD5237F"/>
    <w:rsid w:val="2BE536CE"/>
    <w:rsid w:val="2BE758D9"/>
    <w:rsid w:val="2C09049E"/>
    <w:rsid w:val="2C0A653C"/>
    <w:rsid w:val="2C191F85"/>
    <w:rsid w:val="2CAE13F8"/>
    <w:rsid w:val="2CE82D6F"/>
    <w:rsid w:val="2CFD7BC7"/>
    <w:rsid w:val="2D343236"/>
    <w:rsid w:val="2DD15014"/>
    <w:rsid w:val="2DF72DE4"/>
    <w:rsid w:val="2E0220AF"/>
    <w:rsid w:val="2E112C5C"/>
    <w:rsid w:val="2E4571C0"/>
    <w:rsid w:val="2E4B082A"/>
    <w:rsid w:val="2E5D4E86"/>
    <w:rsid w:val="2E5D790B"/>
    <w:rsid w:val="2E9A3C18"/>
    <w:rsid w:val="2EBB0FEE"/>
    <w:rsid w:val="2EC63002"/>
    <w:rsid w:val="2F0A6B38"/>
    <w:rsid w:val="2F38513E"/>
    <w:rsid w:val="2F915EF6"/>
    <w:rsid w:val="2F946CCB"/>
    <w:rsid w:val="2FC33BA1"/>
    <w:rsid w:val="2FD25781"/>
    <w:rsid w:val="2FE84F99"/>
    <w:rsid w:val="2FFD7934"/>
    <w:rsid w:val="301422BC"/>
    <w:rsid w:val="301B5B64"/>
    <w:rsid w:val="30733ACD"/>
    <w:rsid w:val="308C3862"/>
    <w:rsid w:val="309379D8"/>
    <w:rsid w:val="30A270F7"/>
    <w:rsid w:val="30BF0AD4"/>
    <w:rsid w:val="30D67F93"/>
    <w:rsid w:val="30D763AD"/>
    <w:rsid w:val="30DF1478"/>
    <w:rsid w:val="30EC586F"/>
    <w:rsid w:val="31053DEC"/>
    <w:rsid w:val="319C6071"/>
    <w:rsid w:val="31A727F2"/>
    <w:rsid w:val="31AC537E"/>
    <w:rsid w:val="31E3679B"/>
    <w:rsid w:val="31E732FD"/>
    <w:rsid w:val="32517576"/>
    <w:rsid w:val="3271788B"/>
    <w:rsid w:val="32B04FBF"/>
    <w:rsid w:val="32BE5C2C"/>
    <w:rsid w:val="32E90716"/>
    <w:rsid w:val="32FB6478"/>
    <w:rsid w:val="33102536"/>
    <w:rsid w:val="33263B3F"/>
    <w:rsid w:val="335263B0"/>
    <w:rsid w:val="336963EB"/>
    <w:rsid w:val="33816EEB"/>
    <w:rsid w:val="33BC6877"/>
    <w:rsid w:val="33EB55CD"/>
    <w:rsid w:val="33EC4C02"/>
    <w:rsid w:val="340D2360"/>
    <w:rsid w:val="3410665D"/>
    <w:rsid w:val="34211214"/>
    <w:rsid w:val="342E63AB"/>
    <w:rsid w:val="343520A9"/>
    <w:rsid w:val="344850C2"/>
    <w:rsid w:val="34950E68"/>
    <w:rsid w:val="34986E94"/>
    <w:rsid w:val="34AF62C9"/>
    <w:rsid w:val="34CB4388"/>
    <w:rsid w:val="34FA6E12"/>
    <w:rsid w:val="35213875"/>
    <w:rsid w:val="35895BB5"/>
    <w:rsid w:val="358D5588"/>
    <w:rsid w:val="35BF235A"/>
    <w:rsid w:val="363A3B40"/>
    <w:rsid w:val="365302AE"/>
    <w:rsid w:val="36607A0A"/>
    <w:rsid w:val="366E227C"/>
    <w:rsid w:val="366F2E0D"/>
    <w:rsid w:val="367B6A5C"/>
    <w:rsid w:val="36A74ADA"/>
    <w:rsid w:val="36AD60D5"/>
    <w:rsid w:val="36B224F9"/>
    <w:rsid w:val="36EC0CC9"/>
    <w:rsid w:val="36FE7E85"/>
    <w:rsid w:val="370842CD"/>
    <w:rsid w:val="373F410B"/>
    <w:rsid w:val="374721C9"/>
    <w:rsid w:val="37EE7094"/>
    <w:rsid w:val="38296C89"/>
    <w:rsid w:val="383002EB"/>
    <w:rsid w:val="384C66CB"/>
    <w:rsid w:val="38586797"/>
    <w:rsid w:val="38A85F49"/>
    <w:rsid w:val="38BC0149"/>
    <w:rsid w:val="38D44413"/>
    <w:rsid w:val="38D87D1C"/>
    <w:rsid w:val="391D35EA"/>
    <w:rsid w:val="39636459"/>
    <w:rsid w:val="396B7F6C"/>
    <w:rsid w:val="39B417A9"/>
    <w:rsid w:val="39FC5695"/>
    <w:rsid w:val="3A006D8E"/>
    <w:rsid w:val="3A3651E5"/>
    <w:rsid w:val="3A5A11D0"/>
    <w:rsid w:val="3A744481"/>
    <w:rsid w:val="3A8A1C4F"/>
    <w:rsid w:val="3A8C7BEF"/>
    <w:rsid w:val="3A906246"/>
    <w:rsid w:val="3B2349B7"/>
    <w:rsid w:val="3B616CFF"/>
    <w:rsid w:val="3B6259F6"/>
    <w:rsid w:val="3B976654"/>
    <w:rsid w:val="3BB07244"/>
    <w:rsid w:val="3BC01EFC"/>
    <w:rsid w:val="3BCA786A"/>
    <w:rsid w:val="3BD31E2F"/>
    <w:rsid w:val="3BF15831"/>
    <w:rsid w:val="3BF95755"/>
    <w:rsid w:val="3C105946"/>
    <w:rsid w:val="3C471448"/>
    <w:rsid w:val="3C544463"/>
    <w:rsid w:val="3C5F759A"/>
    <w:rsid w:val="3C6C525A"/>
    <w:rsid w:val="3C7906D5"/>
    <w:rsid w:val="3C7922A5"/>
    <w:rsid w:val="3C7D25A0"/>
    <w:rsid w:val="3C8B2AD6"/>
    <w:rsid w:val="3C944192"/>
    <w:rsid w:val="3C9562F3"/>
    <w:rsid w:val="3CCE23CB"/>
    <w:rsid w:val="3CD17D17"/>
    <w:rsid w:val="3D232B08"/>
    <w:rsid w:val="3D3C7F39"/>
    <w:rsid w:val="3D440F09"/>
    <w:rsid w:val="3D4504A0"/>
    <w:rsid w:val="3D8734BB"/>
    <w:rsid w:val="3D9A11D4"/>
    <w:rsid w:val="3DA16D89"/>
    <w:rsid w:val="3DA364BE"/>
    <w:rsid w:val="3DE041CB"/>
    <w:rsid w:val="3E0D48F6"/>
    <w:rsid w:val="3E1868B4"/>
    <w:rsid w:val="3E233977"/>
    <w:rsid w:val="3E377251"/>
    <w:rsid w:val="3E42664B"/>
    <w:rsid w:val="3E5A7334"/>
    <w:rsid w:val="3E6B2874"/>
    <w:rsid w:val="3E7B5D6B"/>
    <w:rsid w:val="3E843E66"/>
    <w:rsid w:val="3E8F51FE"/>
    <w:rsid w:val="3E926F87"/>
    <w:rsid w:val="3E9A59DE"/>
    <w:rsid w:val="3EAF4836"/>
    <w:rsid w:val="3EC33DFA"/>
    <w:rsid w:val="3F02101D"/>
    <w:rsid w:val="3F060E16"/>
    <w:rsid w:val="3F1D1096"/>
    <w:rsid w:val="3F2F0234"/>
    <w:rsid w:val="3F4429AE"/>
    <w:rsid w:val="3F6363FE"/>
    <w:rsid w:val="3F756B8F"/>
    <w:rsid w:val="3F95482B"/>
    <w:rsid w:val="40023CA2"/>
    <w:rsid w:val="4019356B"/>
    <w:rsid w:val="402517AD"/>
    <w:rsid w:val="40402CCB"/>
    <w:rsid w:val="40592157"/>
    <w:rsid w:val="406E1CAE"/>
    <w:rsid w:val="40786BEE"/>
    <w:rsid w:val="407A6AC7"/>
    <w:rsid w:val="40A0133A"/>
    <w:rsid w:val="40A17524"/>
    <w:rsid w:val="40A966B3"/>
    <w:rsid w:val="40C31A53"/>
    <w:rsid w:val="40FF545D"/>
    <w:rsid w:val="410067C8"/>
    <w:rsid w:val="410B5E2C"/>
    <w:rsid w:val="413665DA"/>
    <w:rsid w:val="418F0D2A"/>
    <w:rsid w:val="41D01505"/>
    <w:rsid w:val="4220508D"/>
    <w:rsid w:val="42474939"/>
    <w:rsid w:val="424C3C57"/>
    <w:rsid w:val="42613FF3"/>
    <w:rsid w:val="42660D96"/>
    <w:rsid w:val="428667D2"/>
    <w:rsid w:val="42C6711C"/>
    <w:rsid w:val="42CD1CE0"/>
    <w:rsid w:val="42E1381E"/>
    <w:rsid w:val="42ED6459"/>
    <w:rsid w:val="42FE58DD"/>
    <w:rsid w:val="43174B3D"/>
    <w:rsid w:val="433616D0"/>
    <w:rsid w:val="4343670C"/>
    <w:rsid w:val="434B790E"/>
    <w:rsid w:val="4360274F"/>
    <w:rsid w:val="43977AB6"/>
    <w:rsid w:val="43A3342B"/>
    <w:rsid w:val="43C77C27"/>
    <w:rsid w:val="43DE09EE"/>
    <w:rsid w:val="44002FAD"/>
    <w:rsid w:val="440F5251"/>
    <w:rsid w:val="445F0B62"/>
    <w:rsid w:val="44645195"/>
    <w:rsid w:val="449101DD"/>
    <w:rsid w:val="44DE1391"/>
    <w:rsid w:val="451B225C"/>
    <w:rsid w:val="452410C9"/>
    <w:rsid w:val="45317DFB"/>
    <w:rsid w:val="454245ED"/>
    <w:rsid w:val="456D3CE4"/>
    <w:rsid w:val="4579042C"/>
    <w:rsid w:val="457F0571"/>
    <w:rsid w:val="45851176"/>
    <w:rsid w:val="45C63B94"/>
    <w:rsid w:val="460E7DA5"/>
    <w:rsid w:val="46422483"/>
    <w:rsid w:val="464B585C"/>
    <w:rsid w:val="4659254A"/>
    <w:rsid w:val="465B0637"/>
    <w:rsid w:val="465E3F0D"/>
    <w:rsid w:val="466A16E6"/>
    <w:rsid w:val="4687265B"/>
    <w:rsid w:val="46893F2B"/>
    <w:rsid w:val="46C4686E"/>
    <w:rsid w:val="477B778F"/>
    <w:rsid w:val="478203EC"/>
    <w:rsid w:val="47B025FA"/>
    <w:rsid w:val="47D976B0"/>
    <w:rsid w:val="47E66FFA"/>
    <w:rsid w:val="4809698F"/>
    <w:rsid w:val="4811697D"/>
    <w:rsid w:val="487A3E25"/>
    <w:rsid w:val="488B5503"/>
    <w:rsid w:val="48937E21"/>
    <w:rsid w:val="489A0361"/>
    <w:rsid w:val="48B94FF3"/>
    <w:rsid w:val="48CE4EBF"/>
    <w:rsid w:val="48E37AAB"/>
    <w:rsid w:val="48E742F5"/>
    <w:rsid w:val="48FB45C6"/>
    <w:rsid w:val="48FD4B4C"/>
    <w:rsid w:val="490A68E0"/>
    <w:rsid w:val="491055FE"/>
    <w:rsid w:val="495F5B3E"/>
    <w:rsid w:val="496F77D7"/>
    <w:rsid w:val="4974659B"/>
    <w:rsid w:val="497654FD"/>
    <w:rsid w:val="49B64211"/>
    <w:rsid w:val="49F6167F"/>
    <w:rsid w:val="4A064FA0"/>
    <w:rsid w:val="4A16615C"/>
    <w:rsid w:val="4A4424D7"/>
    <w:rsid w:val="4A526090"/>
    <w:rsid w:val="4A82130D"/>
    <w:rsid w:val="4AB82D0F"/>
    <w:rsid w:val="4AEB7664"/>
    <w:rsid w:val="4AFD7C19"/>
    <w:rsid w:val="4B0567D1"/>
    <w:rsid w:val="4B094133"/>
    <w:rsid w:val="4B236AAE"/>
    <w:rsid w:val="4B707271"/>
    <w:rsid w:val="4B753F88"/>
    <w:rsid w:val="4B7D1430"/>
    <w:rsid w:val="4B9739F7"/>
    <w:rsid w:val="4B9E03BB"/>
    <w:rsid w:val="4BEE2503"/>
    <w:rsid w:val="4BF80CFD"/>
    <w:rsid w:val="4C245A30"/>
    <w:rsid w:val="4CB6685F"/>
    <w:rsid w:val="4CC367FE"/>
    <w:rsid w:val="4D077F3C"/>
    <w:rsid w:val="4D0B7988"/>
    <w:rsid w:val="4D123355"/>
    <w:rsid w:val="4D2A3B31"/>
    <w:rsid w:val="4D312C52"/>
    <w:rsid w:val="4D530B87"/>
    <w:rsid w:val="4D55587D"/>
    <w:rsid w:val="4D905305"/>
    <w:rsid w:val="4D964A72"/>
    <w:rsid w:val="4D9C1254"/>
    <w:rsid w:val="4DA409CF"/>
    <w:rsid w:val="4E557B21"/>
    <w:rsid w:val="4E63224C"/>
    <w:rsid w:val="4E793892"/>
    <w:rsid w:val="4E800872"/>
    <w:rsid w:val="4EC569ED"/>
    <w:rsid w:val="4ED50EA1"/>
    <w:rsid w:val="4EEC050C"/>
    <w:rsid w:val="4F104EC3"/>
    <w:rsid w:val="4F2806C9"/>
    <w:rsid w:val="4F47354A"/>
    <w:rsid w:val="4F911C54"/>
    <w:rsid w:val="4FE625E0"/>
    <w:rsid w:val="50084580"/>
    <w:rsid w:val="5021480F"/>
    <w:rsid w:val="50962ECB"/>
    <w:rsid w:val="50A42E38"/>
    <w:rsid w:val="50A4577F"/>
    <w:rsid w:val="50B6619A"/>
    <w:rsid w:val="50B73D1F"/>
    <w:rsid w:val="50BD5BC9"/>
    <w:rsid w:val="50C11EEE"/>
    <w:rsid w:val="50E97CFC"/>
    <w:rsid w:val="50FA4028"/>
    <w:rsid w:val="510D65B7"/>
    <w:rsid w:val="511157AB"/>
    <w:rsid w:val="511A3010"/>
    <w:rsid w:val="5142540C"/>
    <w:rsid w:val="518832C8"/>
    <w:rsid w:val="51A0432A"/>
    <w:rsid w:val="51A86090"/>
    <w:rsid w:val="51B7396D"/>
    <w:rsid w:val="51BE1E8B"/>
    <w:rsid w:val="51E14751"/>
    <w:rsid w:val="51F4464E"/>
    <w:rsid w:val="522E4CC3"/>
    <w:rsid w:val="5244713B"/>
    <w:rsid w:val="52615633"/>
    <w:rsid w:val="527E6E22"/>
    <w:rsid w:val="528D66C5"/>
    <w:rsid w:val="52977FD4"/>
    <w:rsid w:val="52A25790"/>
    <w:rsid w:val="52A96B6F"/>
    <w:rsid w:val="52B13963"/>
    <w:rsid w:val="52B45975"/>
    <w:rsid w:val="52D94AA4"/>
    <w:rsid w:val="52EA3A62"/>
    <w:rsid w:val="52F50BB8"/>
    <w:rsid w:val="53097272"/>
    <w:rsid w:val="53544462"/>
    <w:rsid w:val="5397158E"/>
    <w:rsid w:val="53C20C47"/>
    <w:rsid w:val="54013861"/>
    <w:rsid w:val="54487265"/>
    <w:rsid w:val="544D6070"/>
    <w:rsid w:val="54605E1E"/>
    <w:rsid w:val="54856F80"/>
    <w:rsid w:val="549B5ED8"/>
    <w:rsid w:val="54AF17D0"/>
    <w:rsid w:val="54B3506A"/>
    <w:rsid w:val="54CA0D16"/>
    <w:rsid w:val="54DD4057"/>
    <w:rsid w:val="54E7490F"/>
    <w:rsid w:val="550764A4"/>
    <w:rsid w:val="550B2BF6"/>
    <w:rsid w:val="55145AF0"/>
    <w:rsid w:val="55214EB5"/>
    <w:rsid w:val="55364EFD"/>
    <w:rsid w:val="555D4828"/>
    <w:rsid w:val="557A4C8B"/>
    <w:rsid w:val="558931E1"/>
    <w:rsid w:val="55923347"/>
    <w:rsid w:val="55925180"/>
    <w:rsid w:val="55983B1B"/>
    <w:rsid w:val="55A45F6C"/>
    <w:rsid w:val="55A65CA2"/>
    <w:rsid w:val="55A8376B"/>
    <w:rsid w:val="55D27867"/>
    <w:rsid w:val="55DC29B6"/>
    <w:rsid w:val="55DD4241"/>
    <w:rsid w:val="561F1951"/>
    <w:rsid w:val="563D573E"/>
    <w:rsid w:val="566B6D1E"/>
    <w:rsid w:val="56AA48B1"/>
    <w:rsid w:val="56FA0D1F"/>
    <w:rsid w:val="57032A2C"/>
    <w:rsid w:val="570F5219"/>
    <w:rsid w:val="575D12B5"/>
    <w:rsid w:val="57610A87"/>
    <w:rsid w:val="577B1140"/>
    <w:rsid w:val="577B7F21"/>
    <w:rsid w:val="577F181B"/>
    <w:rsid w:val="57921984"/>
    <w:rsid w:val="579737F0"/>
    <w:rsid w:val="57A8352A"/>
    <w:rsid w:val="57AB7B30"/>
    <w:rsid w:val="57AF5251"/>
    <w:rsid w:val="57B26373"/>
    <w:rsid w:val="57B63F04"/>
    <w:rsid w:val="57CD20C2"/>
    <w:rsid w:val="57D675AB"/>
    <w:rsid w:val="57D95FDD"/>
    <w:rsid w:val="57F65AD2"/>
    <w:rsid w:val="5845093A"/>
    <w:rsid w:val="587406E3"/>
    <w:rsid w:val="58917D2F"/>
    <w:rsid w:val="5894085C"/>
    <w:rsid w:val="58AE4F0C"/>
    <w:rsid w:val="58B85899"/>
    <w:rsid w:val="58E23D0F"/>
    <w:rsid w:val="58E363A9"/>
    <w:rsid w:val="595E1678"/>
    <w:rsid w:val="596B0920"/>
    <w:rsid w:val="596D5BD4"/>
    <w:rsid w:val="597E3DD8"/>
    <w:rsid w:val="59E23158"/>
    <w:rsid w:val="59F80043"/>
    <w:rsid w:val="5A070EBE"/>
    <w:rsid w:val="5A09252F"/>
    <w:rsid w:val="5A0B2778"/>
    <w:rsid w:val="5A2A7C7B"/>
    <w:rsid w:val="5A3E2560"/>
    <w:rsid w:val="5A5D3B6E"/>
    <w:rsid w:val="5A637A76"/>
    <w:rsid w:val="5A6D33BA"/>
    <w:rsid w:val="5A792B1F"/>
    <w:rsid w:val="5A874767"/>
    <w:rsid w:val="5AAD6F28"/>
    <w:rsid w:val="5AD63A24"/>
    <w:rsid w:val="5B2E1A1D"/>
    <w:rsid w:val="5B843A1C"/>
    <w:rsid w:val="5B873E3F"/>
    <w:rsid w:val="5B954CC1"/>
    <w:rsid w:val="5C02690E"/>
    <w:rsid w:val="5C177B3C"/>
    <w:rsid w:val="5C196DA7"/>
    <w:rsid w:val="5C1F1C0F"/>
    <w:rsid w:val="5C2A048C"/>
    <w:rsid w:val="5C80234E"/>
    <w:rsid w:val="5C8A680C"/>
    <w:rsid w:val="5C8A70A2"/>
    <w:rsid w:val="5CD4361D"/>
    <w:rsid w:val="5D0C4701"/>
    <w:rsid w:val="5D0F0395"/>
    <w:rsid w:val="5D221076"/>
    <w:rsid w:val="5D397964"/>
    <w:rsid w:val="5D5A391C"/>
    <w:rsid w:val="5D5F10C0"/>
    <w:rsid w:val="5D891B7B"/>
    <w:rsid w:val="5DAD38EE"/>
    <w:rsid w:val="5E006862"/>
    <w:rsid w:val="5E0207B9"/>
    <w:rsid w:val="5E022DFE"/>
    <w:rsid w:val="5E1834A1"/>
    <w:rsid w:val="5E261785"/>
    <w:rsid w:val="5E4A7017"/>
    <w:rsid w:val="5E552BBA"/>
    <w:rsid w:val="5E572153"/>
    <w:rsid w:val="5E611C10"/>
    <w:rsid w:val="5E817DB0"/>
    <w:rsid w:val="5EDB7F5F"/>
    <w:rsid w:val="5EFC7377"/>
    <w:rsid w:val="5F06174D"/>
    <w:rsid w:val="5F315E5A"/>
    <w:rsid w:val="5F3A3602"/>
    <w:rsid w:val="5F6277C6"/>
    <w:rsid w:val="5F664C5B"/>
    <w:rsid w:val="5F6D0B1D"/>
    <w:rsid w:val="5F850159"/>
    <w:rsid w:val="5F8D0B82"/>
    <w:rsid w:val="5F964898"/>
    <w:rsid w:val="5FCC5339"/>
    <w:rsid w:val="5FE34A5B"/>
    <w:rsid w:val="5FFE1E36"/>
    <w:rsid w:val="60232584"/>
    <w:rsid w:val="60451B4C"/>
    <w:rsid w:val="607330CE"/>
    <w:rsid w:val="60825176"/>
    <w:rsid w:val="609F2AC4"/>
    <w:rsid w:val="60A235AF"/>
    <w:rsid w:val="60FA2EE8"/>
    <w:rsid w:val="61054A27"/>
    <w:rsid w:val="610A52BC"/>
    <w:rsid w:val="611D2366"/>
    <w:rsid w:val="61421856"/>
    <w:rsid w:val="615227C4"/>
    <w:rsid w:val="615670CF"/>
    <w:rsid w:val="61654E3F"/>
    <w:rsid w:val="616A5529"/>
    <w:rsid w:val="6182292A"/>
    <w:rsid w:val="619F7F92"/>
    <w:rsid w:val="61D403A9"/>
    <w:rsid w:val="61F94C26"/>
    <w:rsid w:val="62000E56"/>
    <w:rsid w:val="624C69D5"/>
    <w:rsid w:val="624F3E49"/>
    <w:rsid w:val="62632286"/>
    <w:rsid w:val="62885958"/>
    <w:rsid w:val="62F40B65"/>
    <w:rsid w:val="62FC2CFE"/>
    <w:rsid w:val="63024505"/>
    <w:rsid w:val="635B1DB5"/>
    <w:rsid w:val="63711FED"/>
    <w:rsid w:val="63880DDC"/>
    <w:rsid w:val="638D750D"/>
    <w:rsid w:val="63AC6CC0"/>
    <w:rsid w:val="63E1530A"/>
    <w:rsid w:val="64055776"/>
    <w:rsid w:val="64074D89"/>
    <w:rsid w:val="64240056"/>
    <w:rsid w:val="64271FB8"/>
    <w:rsid w:val="643E143A"/>
    <w:rsid w:val="64583316"/>
    <w:rsid w:val="64796C8E"/>
    <w:rsid w:val="64891A9D"/>
    <w:rsid w:val="648B6EEF"/>
    <w:rsid w:val="64AA091B"/>
    <w:rsid w:val="64AC670C"/>
    <w:rsid w:val="64C158BF"/>
    <w:rsid w:val="64CE2EAA"/>
    <w:rsid w:val="653C3090"/>
    <w:rsid w:val="655D1847"/>
    <w:rsid w:val="65661CED"/>
    <w:rsid w:val="657D688B"/>
    <w:rsid w:val="65854376"/>
    <w:rsid w:val="658767BE"/>
    <w:rsid w:val="65892531"/>
    <w:rsid w:val="65CF7287"/>
    <w:rsid w:val="66195831"/>
    <w:rsid w:val="662E75B1"/>
    <w:rsid w:val="66342C2E"/>
    <w:rsid w:val="663E784C"/>
    <w:rsid w:val="665C5F32"/>
    <w:rsid w:val="66721502"/>
    <w:rsid w:val="668B6A45"/>
    <w:rsid w:val="66D103A8"/>
    <w:rsid w:val="672F3F24"/>
    <w:rsid w:val="673E055F"/>
    <w:rsid w:val="67551CE3"/>
    <w:rsid w:val="67A22552"/>
    <w:rsid w:val="67B22DCC"/>
    <w:rsid w:val="67BE71AA"/>
    <w:rsid w:val="67D71682"/>
    <w:rsid w:val="67D90273"/>
    <w:rsid w:val="67DE5875"/>
    <w:rsid w:val="67E55852"/>
    <w:rsid w:val="67EB1AB4"/>
    <w:rsid w:val="67F52CF1"/>
    <w:rsid w:val="67FA1285"/>
    <w:rsid w:val="68143D96"/>
    <w:rsid w:val="68551F4F"/>
    <w:rsid w:val="687C10C9"/>
    <w:rsid w:val="68840C16"/>
    <w:rsid w:val="68876EFB"/>
    <w:rsid w:val="68884654"/>
    <w:rsid w:val="688D069B"/>
    <w:rsid w:val="688F5152"/>
    <w:rsid w:val="689F444F"/>
    <w:rsid w:val="68B96DBB"/>
    <w:rsid w:val="68CA2805"/>
    <w:rsid w:val="68E937A3"/>
    <w:rsid w:val="69024E06"/>
    <w:rsid w:val="692E57B8"/>
    <w:rsid w:val="693E15D3"/>
    <w:rsid w:val="695256CD"/>
    <w:rsid w:val="69627681"/>
    <w:rsid w:val="6977531D"/>
    <w:rsid w:val="69B606F3"/>
    <w:rsid w:val="69CC2BFF"/>
    <w:rsid w:val="69E11704"/>
    <w:rsid w:val="69FD55B8"/>
    <w:rsid w:val="6A0B1C62"/>
    <w:rsid w:val="6A2406C8"/>
    <w:rsid w:val="6A3E39A7"/>
    <w:rsid w:val="6ADE0BD1"/>
    <w:rsid w:val="6AE96859"/>
    <w:rsid w:val="6B106E26"/>
    <w:rsid w:val="6B147746"/>
    <w:rsid w:val="6B24787C"/>
    <w:rsid w:val="6B573233"/>
    <w:rsid w:val="6B5B6274"/>
    <w:rsid w:val="6B935D53"/>
    <w:rsid w:val="6C196F71"/>
    <w:rsid w:val="6C226FCB"/>
    <w:rsid w:val="6C31226F"/>
    <w:rsid w:val="6C552F0B"/>
    <w:rsid w:val="6C5C4BB7"/>
    <w:rsid w:val="6C7360AF"/>
    <w:rsid w:val="6C8C67B7"/>
    <w:rsid w:val="6C9D2ADA"/>
    <w:rsid w:val="6C9D744C"/>
    <w:rsid w:val="6D167928"/>
    <w:rsid w:val="6D26299B"/>
    <w:rsid w:val="6D4772EC"/>
    <w:rsid w:val="6D4847CA"/>
    <w:rsid w:val="6D9078AF"/>
    <w:rsid w:val="6DAA3FEF"/>
    <w:rsid w:val="6DC0172B"/>
    <w:rsid w:val="6DCB690C"/>
    <w:rsid w:val="6DD41A5B"/>
    <w:rsid w:val="6DF43C2E"/>
    <w:rsid w:val="6DF51CA3"/>
    <w:rsid w:val="6E4F7879"/>
    <w:rsid w:val="6E8335BD"/>
    <w:rsid w:val="6E8E12EF"/>
    <w:rsid w:val="6E972936"/>
    <w:rsid w:val="6ED2018D"/>
    <w:rsid w:val="6ED446C5"/>
    <w:rsid w:val="6EDA2F7B"/>
    <w:rsid w:val="6F2A7D94"/>
    <w:rsid w:val="6F6570BF"/>
    <w:rsid w:val="6F8331F1"/>
    <w:rsid w:val="6F983994"/>
    <w:rsid w:val="6FAE1A09"/>
    <w:rsid w:val="6FC21A38"/>
    <w:rsid w:val="6FD75BF8"/>
    <w:rsid w:val="70296951"/>
    <w:rsid w:val="704434CC"/>
    <w:rsid w:val="70460FAF"/>
    <w:rsid w:val="707723D0"/>
    <w:rsid w:val="70E30236"/>
    <w:rsid w:val="70F5661B"/>
    <w:rsid w:val="710250C1"/>
    <w:rsid w:val="7129466B"/>
    <w:rsid w:val="71360107"/>
    <w:rsid w:val="713B688E"/>
    <w:rsid w:val="71CB2979"/>
    <w:rsid w:val="71D43752"/>
    <w:rsid w:val="71F1796A"/>
    <w:rsid w:val="72154626"/>
    <w:rsid w:val="72262B5D"/>
    <w:rsid w:val="72283FF7"/>
    <w:rsid w:val="722E7212"/>
    <w:rsid w:val="723A0474"/>
    <w:rsid w:val="725923E4"/>
    <w:rsid w:val="72864BF7"/>
    <w:rsid w:val="729023FC"/>
    <w:rsid w:val="72B0060B"/>
    <w:rsid w:val="72EC22A8"/>
    <w:rsid w:val="73AD59E0"/>
    <w:rsid w:val="73C0646E"/>
    <w:rsid w:val="742222F5"/>
    <w:rsid w:val="74476126"/>
    <w:rsid w:val="74672CB3"/>
    <w:rsid w:val="746B721B"/>
    <w:rsid w:val="74706664"/>
    <w:rsid w:val="747F3682"/>
    <w:rsid w:val="749C4185"/>
    <w:rsid w:val="75067759"/>
    <w:rsid w:val="75137373"/>
    <w:rsid w:val="752E6DCD"/>
    <w:rsid w:val="7551380D"/>
    <w:rsid w:val="75600BE5"/>
    <w:rsid w:val="7564475C"/>
    <w:rsid w:val="7583797F"/>
    <w:rsid w:val="75D20F1D"/>
    <w:rsid w:val="75DA2C18"/>
    <w:rsid w:val="75F54412"/>
    <w:rsid w:val="761D08E0"/>
    <w:rsid w:val="765D347C"/>
    <w:rsid w:val="76826699"/>
    <w:rsid w:val="76BB790E"/>
    <w:rsid w:val="76C87133"/>
    <w:rsid w:val="76CD08D5"/>
    <w:rsid w:val="76DB4B92"/>
    <w:rsid w:val="77052AA4"/>
    <w:rsid w:val="77136511"/>
    <w:rsid w:val="77340A39"/>
    <w:rsid w:val="77351FD0"/>
    <w:rsid w:val="77472422"/>
    <w:rsid w:val="776C7AFE"/>
    <w:rsid w:val="777D6059"/>
    <w:rsid w:val="777F31F2"/>
    <w:rsid w:val="77CC407F"/>
    <w:rsid w:val="77D1700D"/>
    <w:rsid w:val="77E872FF"/>
    <w:rsid w:val="77EC04CC"/>
    <w:rsid w:val="783647E4"/>
    <w:rsid w:val="78404BA3"/>
    <w:rsid w:val="78775729"/>
    <w:rsid w:val="78A42DB0"/>
    <w:rsid w:val="78A656AB"/>
    <w:rsid w:val="78B2245C"/>
    <w:rsid w:val="78E172CC"/>
    <w:rsid w:val="78EA1D1F"/>
    <w:rsid w:val="7904172F"/>
    <w:rsid w:val="79050C3D"/>
    <w:rsid w:val="790F7E27"/>
    <w:rsid w:val="791A69E7"/>
    <w:rsid w:val="792A231A"/>
    <w:rsid w:val="792B3C7D"/>
    <w:rsid w:val="79316829"/>
    <w:rsid w:val="797E66A9"/>
    <w:rsid w:val="79A97383"/>
    <w:rsid w:val="79E27E8B"/>
    <w:rsid w:val="79F850CE"/>
    <w:rsid w:val="79FA7488"/>
    <w:rsid w:val="79FD443C"/>
    <w:rsid w:val="7A0B4B56"/>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C26420"/>
    <w:rsid w:val="7CE27788"/>
    <w:rsid w:val="7D0C32F1"/>
    <w:rsid w:val="7D0F408D"/>
    <w:rsid w:val="7D2D5568"/>
    <w:rsid w:val="7D491C6C"/>
    <w:rsid w:val="7D5429C0"/>
    <w:rsid w:val="7D597A11"/>
    <w:rsid w:val="7D6E6D43"/>
    <w:rsid w:val="7D7D7EBE"/>
    <w:rsid w:val="7DB57A34"/>
    <w:rsid w:val="7DE60973"/>
    <w:rsid w:val="7DEF0916"/>
    <w:rsid w:val="7E1E5218"/>
    <w:rsid w:val="7E9A4E1F"/>
    <w:rsid w:val="7EA7723A"/>
    <w:rsid w:val="7EF56FBB"/>
    <w:rsid w:val="7F0768EB"/>
    <w:rsid w:val="7F143BEC"/>
    <w:rsid w:val="7F6914D0"/>
    <w:rsid w:val="7F715AF2"/>
    <w:rsid w:val="7F886E69"/>
    <w:rsid w:val="7FA23A5C"/>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70"/>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71"/>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7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7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8">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9"/>
    <w:qFormat/>
    <w:uiPriority w:val="0"/>
    <w:pPr>
      <w:widowControl/>
      <w:snapToGrid w:val="0"/>
      <w:spacing w:line="480" w:lineRule="exact"/>
      <w:ind w:firstLine="567"/>
    </w:pPr>
    <w:rPr>
      <w:rFonts w:ascii="宋体"/>
      <w:snapToGrid w:val="0"/>
      <w:color w:val="000000"/>
      <w:kern w:val="28"/>
      <w:sz w:val="28"/>
      <w:szCs w:val="20"/>
    </w:r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caption"/>
    <w:basedOn w:val="1"/>
    <w:next w:val="1"/>
    <w:link w:val="77"/>
    <w:qFormat/>
    <w:uiPriority w:val="0"/>
    <w:rPr>
      <w:b/>
      <w:sz w:val="28"/>
      <w:szCs w:val="20"/>
    </w:rPr>
  </w:style>
  <w:style w:type="paragraph" w:styleId="16">
    <w:name w:val="index 5"/>
    <w:basedOn w:val="1"/>
    <w:next w:val="1"/>
    <w:qFormat/>
    <w:uiPriority w:val="0"/>
    <w:pPr>
      <w:adjustRightInd/>
      <w:ind w:left="800" w:leftChars="800" w:firstLine="200" w:firstLineChars="200"/>
    </w:pPr>
  </w:style>
  <w:style w:type="paragraph" w:styleId="17">
    <w:name w:val="Document Map"/>
    <w:basedOn w:val="1"/>
    <w:link w:val="78"/>
    <w:qFormat/>
    <w:uiPriority w:val="0"/>
    <w:pPr>
      <w:shd w:val="clear" w:color="auto" w:fill="000080"/>
    </w:pPr>
  </w:style>
  <w:style w:type="paragraph" w:styleId="18">
    <w:name w:val="annotation text"/>
    <w:basedOn w:val="1"/>
    <w:link w:val="79"/>
    <w:qFormat/>
    <w:uiPriority w:val="0"/>
    <w:pPr>
      <w:jc w:val="left"/>
    </w:pPr>
  </w:style>
  <w:style w:type="paragraph" w:styleId="19">
    <w:name w:val="Salutation"/>
    <w:basedOn w:val="1"/>
    <w:next w:val="1"/>
    <w:link w:val="80"/>
    <w:qFormat/>
    <w:uiPriority w:val="0"/>
    <w:rPr>
      <w:rFonts w:ascii="仿宋_GB2312" w:eastAsia="仿宋_GB2312"/>
      <w:sz w:val="28"/>
      <w:szCs w:val="20"/>
    </w:rPr>
  </w:style>
  <w:style w:type="paragraph" w:styleId="20">
    <w:name w:val="Body Text 3"/>
    <w:basedOn w:val="1"/>
    <w:link w:val="81"/>
    <w:qFormat/>
    <w:uiPriority w:val="0"/>
    <w:pPr>
      <w:jc w:val="center"/>
    </w:pPr>
    <w:rPr>
      <w:szCs w:val="20"/>
    </w:rPr>
  </w:style>
  <w:style w:type="paragraph" w:styleId="21">
    <w:name w:val="List Bullet 3"/>
    <w:basedOn w:val="1"/>
    <w:unhideWhenUsed/>
    <w:qFormat/>
    <w:uiPriority w:val="0"/>
    <w:pPr>
      <w:snapToGrid w:val="0"/>
      <w:spacing w:line="360" w:lineRule="auto"/>
      <w:ind w:left="360" w:right="238" w:hanging="360"/>
      <w:contextualSpacing/>
    </w:pPr>
    <w:rPr>
      <w:sz w:val="24"/>
    </w:rPr>
  </w:style>
  <w:style w:type="paragraph" w:styleId="22">
    <w:name w:val="Body Text"/>
    <w:basedOn w:val="1"/>
    <w:link w:val="67"/>
    <w:qFormat/>
    <w:uiPriority w:val="0"/>
    <w:pPr>
      <w:autoSpaceDE w:val="0"/>
      <w:autoSpaceDN w:val="0"/>
      <w:spacing w:line="360" w:lineRule="auto"/>
    </w:pPr>
    <w:rPr>
      <w:rFonts w:ascii="宋体" w:hAnsi="Arial" w:cs="Arial"/>
      <w:snapToGrid w:val="0"/>
      <w:sz w:val="24"/>
      <w:szCs w:val="21"/>
      <w:lang w:val="zh-CN"/>
    </w:rPr>
  </w:style>
  <w:style w:type="paragraph" w:styleId="23">
    <w:name w:val="Body Text Indent"/>
    <w:basedOn w:val="1"/>
    <w:next w:val="1"/>
    <w:link w:val="82"/>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3"/>
    <w:qFormat/>
    <w:uiPriority w:val="0"/>
    <w:pPr>
      <w:widowControl/>
      <w:adjustRightInd/>
      <w:ind w:firstLine="200" w:firstLineChars="200"/>
      <w:jc w:val="left"/>
    </w:pPr>
    <w:rPr>
      <w:rFonts w:ascii="宋体" w:hAnsi="宋体"/>
      <w:i/>
      <w:iCs/>
      <w:kern w:val="0"/>
      <w:sz w:val="24"/>
    </w:rPr>
  </w:style>
  <w:style w:type="paragraph" w:styleId="29">
    <w:name w:val="Plain Text"/>
    <w:basedOn w:val="1"/>
    <w:link w:val="86"/>
    <w:qFormat/>
    <w:uiPriority w:val="0"/>
    <w:rPr>
      <w:rFonts w:ascii="宋体" w:hAnsi="Courier New" w:cs="Arial"/>
      <w:snapToGrid w:val="0"/>
      <w:szCs w:val="21"/>
    </w:rPr>
  </w:style>
  <w:style w:type="paragraph" w:styleId="3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1">
    <w:name w:val="Date"/>
    <w:basedOn w:val="1"/>
    <w:next w:val="1"/>
    <w:link w:val="88"/>
    <w:qFormat/>
    <w:uiPriority w:val="0"/>
    <w:pPr>
      <w:ind w:left="100" w:leftChars="2500"/>
    </w:pPr>
    <w:rPr>
      <w:rFonts w:ascii="宋体"/>
      <w:sz w:val="24"/>
      <w:szCs w:val="21"/>
      <w:lang w:val="zh-CN"/>
    </w:rPr>
  </w:style>
  <w:style w:type="paragraph" w:styleId="32">
    <w:name w:val="Body Text Indent 2"/>
    <w:basedOn w:val="1"/>
    <w:link w:val="89"/>
    <w:qFormat/>
    <w:uiPriority w:val="0"/>
    <w:pPr>
      <w:spacing w:line="360" w:lineRule="auto"/>
      <w:ind w:firstLine="601"/>
      <w:textAlignment w:val="baseline"/>
    </w:pPr>
    <w:rPr>
      <w:rFonts w:ascii="宋体"/>
      <w:kern w:val="0"/>
      <w:sz w:val="28"/>
      <w:szCs w:val="20"/>
    </w:rPr>
  </w:style>
  <w:style w:type="paragraph" w:styleId="33">
    <w:name w:val="endnote text"/>
    <w:basedOn w:val="1"/>
    <w:link w:val="90"/>
    <w:qFormat/>
    <w:uiPriority w:val="0"/>
    <w:rPr>
      <w:lang w:val="zh-CN"/>
    </w:rPr>
  </w:style>
  <w:style w:type="paragraph" w:styleId="34">
    <w:name w:val="Balloon Text"/>
    <w:basedOn w:val="1"/>
    <w:link w:val="91"/>
    <w:qFormat/>
    <w:uiPriority w:val="0"/>
    <w:rPr>
      <w:sz w:val="18"/>
      <w:szCs w:val="18"/>
    </w:rPr>
  </w:style>
  <w:style w:type="paragraph" w:styleId="35">
    <w:name w:val="footer"/>
    <w:basedOn w:val="1"/>
    <w:link w:val="92"/>
    <w:qFormat/>
    <w:uiPriority w:val="99"/>
    <w:pPr>
      <w:tabs>
        <w:tab w:val="center" w:pos="4153"/>
        <w:tab w:val="right" w:pos="8306"/>
      </w:tabs>
      <w:snapToGrid w:val="0"/>
      <w:jc w:val="left"/>
    </w:pPr>
    <w:rPr>
      <w:sz w:val="18"/>
      <w:szCs w:val="18"/>
    </w:rPr>
  </w:style>
  <w:style w:type="paragraph" w:styleId="36">
    <w:name w:val="header"/>
    <w:basedOn w:val="1"/>
    <w:link w:val="93"/>
    <w:qFormat/>
    <w:uiPriority w:val="99"/>
    <w:pPr>
      <w:pBdr>
        <w:bottom w:val="single" w:color="auto" w:sz="6" w:space="1"/>
      </w:pBdr>
      <w:tabs>
        <w:tab w:val="center" w:pos="4153"/>
        <w:tab w:val="right" w:pos="8306"/>
      </w:tabs>
      <w:snapToGrid w:val="0"/>
      <w:jc w:val="center"/>
    </w:pPr>
    <w:rPr>
      <w:sz w:val="18"/>
      <w:szCs w:val="18"/>
    </w:rPr>
  </w:style>
  <w:style w:type="paragraph" w:styleId="37">
    <w:name w:val="Signature"/>
    <w:basedOn w:val="1"/>
    <w:link w:val="94"/>
    <w:qFormat/>
    <w:uiPriority w:val="0"/>
    <w:pPr>
      <w:spacing w:after="600" w:line="312" w:lineRule="atLeast"/>
      <w:jc w:val="center"/>
      <w:textAlignment w:val="baseline"/>
    </w:pPr>
    <w:rPr>
      <w:rFonts w:eastAsia="仿宋_GB2312"/>
      <w:kern w:val="0"/>
      <w:sz w:val="24"/>
      <w:szCs w:val="20"/>
    </w:rPr>
  </w:style>
  <w:style w:type="paragraph" w:styleId="38">
    <w:name w:val="index heading"/>
    <w:basedOn w:val="1"/>
    <w:next w:val="39"/>
    <w:qFormat/>
    <w:uiPriority w:val="0"/>
    <w:pPr>
      <w:adjustRightInd/>
      <w:ind w:firstLine="200" w:firstLineChars="200"/>
    </w:pPr>
  </w:style>
  <w:style w:type="paragraph" w:styleId="39">
    <w:name w:val="index 1"/>
    <w:basedOn w:val="1"/>
    <w:next w:val="1"/>
    <w:qFormat/>
    <w:uiPriority w:val="0"/>
    <w:pPr>
      <w:adjustRightInd/>
      <w:spacing w:line="360" w:lineRule="auto"/>
      <w:ind w:firstLine="200" w:firstLineChars="200"/>
      <w:jc w:val="center"/>
    </w:pPr>
    <w:rPr>
      <w:sz w:val="24"/>
      <w:szCs w:val="20"/>
    </w:rPr>
  </w:style>
  <w:style w:type="paragraph" w:styleId="40">
    <w:name w:val="Subtitle"/>
    <w:link w:val="9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1">
    <w:name w:val="List Number 5"/>
    <w:basedOn w:val="1"/>
    <w:qFormat/>
    <w:uiPriority w:val="0"/>
    <w:pPr>
      <w:tabs>
        <w:tab w:val="left" w:pos="902"/>
      </w:tabs>
      <w:adjustRightInd/>
      <w:spacing w:line="400" w:lineRule="exact"/>
      <w:ind w:left="902" w:hanging="420"/>
    </w:pPr>
    <w:rPr>
      <w:sz w:val="24"/>
      <w:szCs w:val="20"/>
    </w:rPr>
  </w:style>
  <w:style w:type="paragraph" w:styleId="42">
    <w:name w:val="List"/>
    <w:basedOn w:val="1"/>
    <w:qFormat/>
    <w:uiPriority w:val="0"/>
    <w:pPr>
      <w:ind w:left="200" w:hanging="200" w:hangingChars="200"/>
    </w:pPr>
  </w:style>
  <w:style w:type="paragraph" w:styleId="43">
    <w:name w:val="footnote text"/>
    <w:basedOn w:val="2"/>
    <w:link w:val="98"/>
    <w:qFormat/>
    <w:uiPriority w:val="0"/>
    <w:pPr>
      <w:adjustRightInd/>
      <w:snapToGrid/>
      <w:spacing w:before="60" w:after="60" w:line="300" w:lineRule="exact"/>
      <w:ind w:firstLine="0"/>
    </w:pPr>
    <w:rPr>
      <w:rFonts w:ascii="Times New Roman"/>
      <w:snapToGrid/>
      <w:color w:val="0000FF"/>
      <w:kern w:val="0"/>
      <w:sz w:val="21"/>
    </w:rPr>
  </w:style>
  <w:style w:type="paragraph" w:styleId="44">
    <w:name w:val="List 5"/>
    <w:basedOn w:val="1"/>
    <w:qFormat/>
    <w:uiPriority w:val="0"/>
    <w:pPr>
      <w:adjustRightInd/>
      <w:ind w:left="100" w:leftChars="800" w:hanging="200" w:hangingChars="200"/>
    </w:pPr>
  </w:style>
  <w:style w:type="paragraph" w:styleId="45">
    <w:name w:val="Body Text Indent 3"/>
    <w:basedOn w:val="1"/>
    <w:link w:val="100"/>
    <w:qFormat/>
    <w:uiPriority w:val="0"/>
    <w:pPr>
      <w:spacing w:line="360" w:lineRule="auto"/>
      <w:ind w:firstLine="420"/>
    </w:pPr>
    <w:rPr>
      <w:sz w:val="24"/>
      <w:szCs w:val="20"/>
    </w:rPr>
  </w:style>
  <w:style w:type="paragraph" w:styleId="46">
    <w:name w:val="Body Text 2"/>
    <w:basedOn w:val="1"/>
    <w:link w:val="103"/>
    <w:qFormat/>
    <w:uiPriority w:val="0"/>
    <w:pPr>
      <w:spacing w:after="120" w:line="480" w:lineRule="auto"/>
    </w:pPr>
  </w:style>
  <w:style w:type="paragraph" w:styleId="47">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8">
    <w:name w:val="Normal (Web)"/>
    <w:basedOn w:val="1"/>
    <w:qFormat/>
    <w:uiPriority w:val="99"/>
    <w:pPr>
      <w:widowControl/>
      <w:spacing w:before="100" w:beforeAutospacing="1" w:after="100" w:afterAutospacing="1"/>
      <w:jc w:val="left"/>
    </w:pPr>
    <w:rPr>
      <w:rFonts w:ascii="宋体" w:hAnsi="宋体"/>
      <w:kern w:val="0"/>
      <w:sz w:val="24"/>
    </w:rPr>
  </w:style>
  <w:style w:type="paragraph" w:styleId="49">
    <w:name w:val="Title"/>
    <w:basedOn w:val="1"/>
    <w:link w:val="105"/>
    <w:qFormat/>
    <w:uiPriority w:val="10"/>
    <w:pPr>
      <w:widowControl/>
      <w:overflowPunct w:val="0"/>
      <w:autoSpaceDE w:val="0"/>
      <w:autoSpaceDN w:val="0"/>
      <w:jc w:val="center"/>
      <w:textAlignment w:val="baseline"/>
    </w:pPr>
    <w:rPr>
      <w:b/>
      <w:kern w:val="0"/>
      <w:sz w:val="24"/>
      <w:szCs w:val="20"/>
      <w:lang w:val="en-GB"/>
    </w:rPr>
  </w:style>
  <w:style w:type="paragraph" w:styleId="50">
    <w:name w:val="annotation subject"/>
    <w:basedOn w:val="18"/>
    <w:next w:val="18"/>
    <w:link w:val="106"/>
    <w:qFormat/>
    <w:uiPriority w:val="0"/>
    <w:rPr>
      <w:b/>
      <w:bCs/>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Theme"/>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4">
    <w:name w:val="Table Elegant"/>
    <w:basedOn w:val="5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5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6">
    <w:name w:val="Table Grid 8"/>
    <w:basedOn w:val="51"/>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Professional"/>
    <w:basedOn w:val="5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59">
    <w:name w:val="Strong"/>
    <w:qFormat/>
    <w:uiPriority w:val="22"/>
    <w:rPr>
      <w:b/>
      <w:bCs/>
    </w:rPr>
  </w:style>
  <w:style w:type="character" w:styleId="60">
    <w:name w:val="endnote reference"/>
    <w:qFormat/>
    <w:uiPriority w:val="0"/>
    <w:rPr>
      <w:vertAlign w:val="superscript"/>
    </w:rPr>
  </w:style>
  <w:style w:type="character" w:styleId="61">
    <w:name w:val="page number"/>
    <w:qFormat/>
    <w:uiPriority w:val="0"/>
    <w:rPr>
      <w:rFonts w:ascii="Arial" w:hAnsi="Arial" w:eastAsia="黑体" w:cs="Arial"/>
      <w:snapToGrid w:val="0"/>
      <w:kern w:val="0"/>
      <w:szCs w:val="21"/>
    </w:rPr>
  </w:style>
  <w:style w:type="character" w:styleId="62">
    <w:name w:val="Emphasis"/>
    <w:qFormat/>
    <w:uiPriority w:val="20"/>
    <w:rPr>
      <w:color w:val="CC0033"/>
    </w:rPr>
  </w:style>
  <w:style w:type="character" w:styleId="63">
    <w:name w:val="line number"/>
    <w:qFormat/>
    <w:uiPriority w:val="0"/>
    <w:rPr>
      <w:rFonts w:ascii="Arial" w:hAnsi="Arial" w:eastAsia="黑体" w:cs="Arial"/>
      <w:snapToGrid w:val="0"/>
      <w:kern w:val="0"/>
      <w:szCs w:val="21"/>
    </w:rPr>
  </w:style>
  <w:style w:type="character" w:styleId="64">
    <w:name w:val="Hyperlink"/>
    <w:qFormat/>
    <w:uiPriority w:val="99"/>
    <w:rPr>
      <w:rFonts w:ascii="Arial" w:hAnsi="Arial" w:eastAsia="黑体" w:cs="Arial"/>
      <w:snapToGrid w:val="0"/>
      <w:color w:val="000000"/>
      <w:kern w:val="0"/>
      <w:sz w:val="18"/>
      <w:szCs w:val="18"/>
      <w:u w:val="none"/>
    </w:rPr>
  </w:style>
  <w:style w:type="character" w:styleId="65">
    <w:name w:val="HTML Code"/>
    <w:qFormat/>
    <w:uiPriority w:val="0"/>
    <w:rPr>
      <w:rFonts w:ascii="黑体" w:hAnsi="Courier New" w:eastAsia="黑体" w:cs="楷体_GB2312"/>
      <w:sz w:val="20"/>
      <w:szCs w:val="20"/>
    </w:rPr>
  </w:style>
  <w:style w:type="character" w:styleId="66">
    <w:name w:val="annotation reference"/>
    <w:qFormat/>
    <w:uiPriority w:val="99"/>
    <w:rPr>
      <w:sz w:val="21"/>
      <w:szCs w:val="21"/>
    </w:rPr>
  </w:style>
  <w:style w:type="character" w:customStyle="1" w:styleId="67">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68">
    <w:name w:val="标题 1 Char"/>
    <w:link w:val="3"/>
    <w:qFormat/>
    <w:uiPriority w:val="9"/>
    <w:rPr>
      <w:b/>
      <w:bCs/>
      <w:kern w:val="44"/>
      <w:sz w:val="44"/>
      <w:szCs w:val="44"/>
    </w:rPr>
  </w:style>
  <w:style w:type="character" w:customStyle="1" w:styleId="69">
    <w:name w:val="正文缩进 Char2"/>
    <w:link w:val="2"/>
    <w:qFormat/>
    <w:uiPriority w:val="0"/>
    <w:rPr>
      <w:rFonts w:ascii="宋体" w:eastAsia="宋体"/>
      <w:snapToGrid w:val="0"/>
      <w:color w:val="000000"/>
      <w:kern w:val="28"/>
      <w:sz w:val="28"/>
      <w:lang w:val="en-US" w:eastAsia="zh-CN" w:bidi="ar-SA"/>
    </w:rPr>
  </w:style>
  <w:style w:type="character" w:customStyle="1" w:styleId="70">
    <w:name w:val="标题 4 Char2"/>
    <w:link w:val="6"/>
    <w:qFormat/>
    <w:uiPriority w:val="9"/>
    <w:rPr>
      <w:rFonts w:ascii="Arial" w:hAnsi="Arial" w:eastAsia="黑体"/>
      <w:b/>
      <w:bCs/>
      <w:kern w:val="2"/>
      <w:sz w:val="28"/>
      <w:szCs w:val="28"/>
      <w:lang w:val="zh-CN"/>
    </w:rPr>
  </w:style>
  <w:style w:type="character" w:customStyle="1" w:styleId="71">
    <w:name w:val="标题 5 Char"/>
    <w:link w:val="7"/>
    <w:qFormat/>
    <w:uiPriority w:val="9"/>
    <w:rPr>
      <w:b/>
      <w:bCs/>
      <w:kern w:val="2"/>
      <w:sz w:val="28"/>
      <w:szCs w:val="28"/>
    </w:rPr>
  </w:style>
  <w:style w:type="character" w:customStyle="1" w:styleId="72">
    <w:name w:val="标题 6 Char"/>
    <w:link w:val="8"/>
    <w:qFormat/>
    <w:uiPriority w:val="0"/>
    <w:rPr>
      <w:rFonts w:ascii="Arial" w:hAnsi="Arial" w:eastAsia="黑体"/>
      <w:b/>
      <w:bCs/>
      <w:kern w:val="2"/>
      <w:sz w:val="24"/>
      <w:szCs w:val="24"/>
    </w:rPr>
  </w:style>
  <w:style w:type="character" w:customStyle="1" w:styleId="73">
    <w:name w:val="标题 7 Char"/>
    <w:link w:val="9"/>
    <w:qFormat/>
    <w:uiPriority w:val="0"/>
    <w:rPr>
      <w:b/>
      <w:bCs/>
      <w:kern w:val="2"/>
      <w:sz w:val="24"/>
      <w:szCs w:val="24"/>
    </w:rPr>
  </w:style>
  <w:style w:type="character" w:customStyle="1" w:styleId="74">
    <w:name w:val="标题 8 Char"/>
    <w:link w:val="10"/>
    <w:qFormat/>
    <w:uiPriority w:val="0"/>
    <w:rPr>
      <w:rFonts w:ascii="Arial" w:hAnsi="Arial" w:eastAsia="黑体"/>
      <w:kern w:val="2"/>
      <w:sz w:val="24"/>
      <w:szCs w:val="24"/>
    </w:rPr>
  </w:style>
  <w:style w:type="character" w:customStyle="1" w:styleId="75">
    <w:name w:val="标题 9 Char"/>
    <w:link w:val="11"/>
    <w:qFormat/>
    <w:uiPriority w:val="0"/>
    <w:rPr>
      <w:rFonts w:ascii="Arial" w:hAnsi="Arial" w:eastAsia="黑体"/>
      <w:kern w:val="2"/>
      <w:sz w:val="21"/>
      <w:szCs w:val="21"/>
    </w:rPr>
  </w:style>
  <w:style w:type="paragraph" w:customStyle="1" w:styleId="76">
    <w:name w:val="TOC 7"/>
    <w:basedOn w:val="1"/>
    <w:next w:val="1"/>
    <w:qFormat/>
    <w:uiPriority w:val="0"/>
    <w:pPr>
      <w:ind w:left="2520" w:leftChars="1200"/>
    </w:pPr>
  </w:style>
  <w:style w:type="character" w:customStyle="1" w:styleId="77">
    <w:name w:val="题注 Char"/>
    <w:link w:val="15"/>
    <w:qFormat/>
    <w:uiPriority w:val="0"/>
    <w:rPr>
      <w:b/>
      <w:kern w:val="2"/>
      <w:sz w:val="28"/>
    </w:rPr>
  </w:style>
  <w:style w:type="character" w:customStyle="1" w:styleId="78">
    <w:name w:val="文档结构图 Char1"/>
    <w:link w:val="17"/>
    <w:qFormat/>
    <w:uiPriority w:val="0"/>
    <w:rPr>
      <w:kern w:val="2"/>
      <w:sz w:val="21"/>
      <w:szCs w:val="24"/>
      <w:shd w:val="clear" w:color="auto" w:fill="000080"/>
    </w:rPr>
  </w:style>
  <w:style w:type="character" w:customStyle="1" w:styleId="79">
    <w:name w:val="批注文字 Char1"/>
    <w:link w:val="18"/>
    <w:qFormat/>
    <w:uiPriority w:val="0"/>
    <w:rPr>
      <w:kern w:val="2"/>
      <w:sz w:val="21"/>
      <w:szCs w:val="24"/>
    </w:rPr>
  </w:style>
  <w:style w:type="character" w:customStyle="1" w:styleId="80">
    <w:name w:val="称呼 Char"/>
    <w:link w:val="19"/>
    <w:qFormat/>
    <w:uiPriority w:val="0"/>
    <w:rPr>
      <w:rFonts w:ascii="仿宋_GB2312" w:eastAsia="仿宋_GB2312"/>
      <w:kern w:val="2"/>
      <w:sz w:val="28"/>
    </w:rPr>
  </w:style>
  <w:style w:type="character" w:customStyle="1" w:styleId="81">
    <w:name w:val="正文文本 3 Char"/>
    <w:link w:val="20"/>
    <w:qFormat/>
    <w:uiPriority w:val="0"/>
    <w:rPr>
      <w:kern w:val="2"/>
      <w:sz w:val="21"/>
    </w:rPr>
  </w:style>
  <w:style w:type="character" w:customStyle="1" w:styleId="82">
    <w:name w:val="正文文本缩进 Char3"/>
    <w:link w:val="23"/>
    <w:qFormat/>
    <w:uiPriority w:val="0"/>
    <w:rPr>
      <w:rFonts w:ascii="宋体" w:hAnsi="宋体"/>
      <w:kern w:val="2"/>
      <w:sz w:val="24"/>
      <w:szCs w:val="24"/>
    </w:rPr>
  </w:style>
  <w:style w:type="character" w:customStyle="1" w:styleId="83">
    <w:name w:val="HTML 地址 Char"/>
    <w:link w:val="28"/>
    <w:qFormat/>
    <w:uiPriority w:val="0"/>
    <w:rPr>
      <w:rFonts w:ascii="宋体" w:hAnsi="宋体"/>
      <w:i/>
      <w:iCs/>
      <w:sz w:val="24"/>
      <w:szCs w:val="24"/>
    </w:rPr>
  </w:style>
  <w:style w:type="paragraph" w:customStyle="1" w:styleId="84">
    <w:name w:val="TOC 5"/>
    <w:basedOn w:val="1"/>
    <w:next w:val="1"/>
    <w:qFormat/>
    <w:uiPriority w:val="0"/>
    <w:pPr>
      <w:ind w:left="1680" w:leftChars="800"/>
    </w:pPr>
  </w:style>
  <w:style w:type="paragraph" w:customStyle="1" w:styleId="85">
    <w:name w:val="TOC 3"/>
    <w:basedOn w:val="1"/>
    <w:next w:val="1"/>
    <w:qFormat/>
    <w:uiPriority w:val="0"/>
    <w:pPr>
      <w:tabs>
        <w:tab w:val="right" w:leader="dot" w:pos="8268"/>
      </w:tabs>
      <w:spacing w:line="460" w:lineRule="exact"/>
      <w:ind w:left="840" w:leftChars="400" w:firstLine="482"/>
    </w:pPr>
    <w:rPr>
      <w:rFonts w:ascii="宋体" w:hAnsi="宋体"/>
    </w:rPr>
  </w:style>
  <w:style w:type="character" w:customStyle="1" w:styleId="86">
    <w:name w:val="纯文本 Char"/>
    <w:link w:val="29"/>
    <w:qFormat/>
    <w:uiPriority w:val="0"/>
    <w:rPr>
      <w:rFonts w:ascii="宋体" w:hAnsi="Courier New" w:eastAsia="宋体" w:cs="Arial"/>
      <w:snapToGrid w:val="0"/>
      <w:kern w:val="2"/>
      <w:sz w:val="21"/>
      <w:szCs w:val="21"/>
      <w:lang w:val="en-US" w:eastAsia="zh-CN" w:bidi="ar-SA"/>
    </w:rPr>
  </w:style>
  <w:style w:type="paragraph" w:customStyle="1" w:styleId="87">
    <w:name w:val="TOC 8"/>
    <w:basedOn w:val="1"/>
    <w:next w:val="1"/>
    <w:qFormat/>
    <w:uiPriority w:val="0"/>
    <w:pPr>
      <w:ind w:left="2940" w:leftChars="1400"/>
    </w:pPr>
  </w:style>
  <w:style w:type="character" w:customStyle="1" w:styleId="88">
    <w:name w:val="日期 Char"/>
    <w:link w:val="31"/>
    <w:qFormat/>
    <w:uiPriority w:val="0"/>
    <w:rPr>
      <w:rFonts w:ascii="宋体"/>
      <w:kern w:val="2"/>
      <w:sz w:val="24"/>
      <w:szCs w:val="21"/>
      <w:lang w:val="zh-CN"/>
    </w:rPr>
  </w:style>
  <w:style w:type="character" w:customStyle="1" w:styleId="89">
    <w:name w:val="正文文本缩进 2 Char"/>
    <w:link w:val="32"/>
    <w:qFormat/>
    <w:uiPriority w:val="0"/>
    <w:rPr>
      <w:rFonts w:ascii="宋体"/>
      <w:sz w:val="28"/>
    </w:rPr>
  </w:style>
  <w:style w:type="character" w:customStyle="1" w:styleId="90">
    <w:name w:val="尾注文本 Char"/>
    <w:link w:val="33"/>
    <w:qFormat/>
    <w:uiPriority w:val="0"/>
    <w:rPr>
      <w:kern w:val="2"/>
      <w:sz w:val="21"/>
      <w:szCs w:val="24"/>
      <w:lang w:val="zh-CN"/>
    </w:rPr>
  </w:style>
  <w:style w:type="character" w:customStyle="1" w:styleId="91">
    <w:name w:val="批注框文本 Char"/>
    <w:link w:val="34"/>
    <w:qFormat/>
    <w:uiPriority w:val="0"/>
    <w:rPr>
      <w:kern w:val="2"/>
      <w:sz w:val="18"/>
      <w:szCs w:val="18"/>
    </w:rPr>
  </w:style>
  <w:style w:type="character" w:customStyle="1" w:styleId="92">
    <w:name w:val="页脚 Char2"/>
    <w:link w:val="35"/>
    <w:qFormat/>
    <w:locked/>
    <w:uiPriority w:val="99"/>
    <w:rPr>
      <w:kern w:val="2"/>
      <w:sz w:val="18"/>
      <w:szCs w:val="18"/>
    </w:rPr>
  </w:style>
  <w:style w:type="character" w:customStyle="1" w:styleId="93">
    <w:name w:val="页眉 Char2"/>
    <w:link w:val="36"/>
    <w:qFormat/>
    <w:uiPriority w:val="99"/>
    <w:rPr>
      <w:kern w:val="2"/>
      <w:sz w:val="18"/>
      <w:szCs w:val="18"/>
    </w:rPr>
  </w:style>
  <w:style w:type="character" w:customStyle="1" w:styleId="94">
    <w:name w:val="签名 Char"/>
    <w:link w:val="37"/>
    <w:qFormat/>
    <w:uiPriority w:val="0"/>
    <w:rPr>
      <w:rFonts w:eastAsia="仿宋_GB2312"/>
      <w:sz w:val="24"/>
    </w:rPr>
  </w:style>
  <w:style w:type="paragraph" w:customStyle="1" w:styleId="95">
    <w:name w:val="TOC 1"/>
    <w:basedOn w:val="1"/>
    <w:next w:val="1"/>
    <w:qFormat/>
    <w:uiPriority w:val="0"/>
  </w:style>
  <w:style w:type="paragraph" w:customStyle="1" w:styleId="96">
    <w:name w:val="TOC 4"/>
    <w:basedOn w:val="1"/>
    <w:next w:val="1"/>
    <w:qFormat/>
    <w:uiPriority w:val="0"/>
    <w:pPr>
      <w:ind w:left="1260" w:leftChars="600"/>
    </w:pPr>
  </w:style>
  <w:style w:type="character" w:customStyle="1" w:styleId="97">
    <w:name w:val="副标题 Char"/>
    <w:link w:val="40"/>
    <w:qFormat/>
    <w:uiPriority w:val="0"/>
    <w:rPr>
      <w:rFonts w:ascii="Arial" w:hAnsi="Arial" w:eastAsia="隶书"/>
      <w:b/>
      <w:bCs/>
      <w:kern w:val="28"/>
      <w:sz w:val="44"/>
      <w:szCs w:val="32"/>
      <w:lang w:val="en-US" w:eastAsia="zh-CN" w:bidi="ar-SA"/>
    </w:rPr>
  </w:style>
  <w:style w:type="character" w:customStyle="1" w:styleId="98">
    <w:name w:val="脚注文本 Char"/>
    <w:link w:val="43"/>
    <w:qFormat/>
    <w:uiPriority w:val="0"/>
    <w:rPr>
      <w:color w:val="0000FF"/>
      <w:sz w:val="21"/>
    </w:rPr>
  </w:style>
  <w:style w:type="paragraph" w:customStyle="1" w:styleId="99">
    <w:name w:val="TOC 6"/>
    <w:basedOn w:val="1"/>
    <w:next w:val="1"/>
    <w:qFormat/>
    <w:uiPriority w:val="0"/>
    <w:pPr>
      <w:ind w:left="2100" w:leftChars="1000"/>
    </w:pPr>
  </w:style>
  <w:style w:type="character" w:customStyle="1" w:styleId="100">
    <w:name w:val="正文文本缩进 3 Char"/>
    <w:link w:val="45"/>
    <w:qFormat/>
    <w:uiPriority w:val="0"/>
    <w:rPr>
      <w:kern w:val="2"/>
      <w:sz w:val="24"/>
    </w:rPr>
  </w:style>
  <w:style w:type="paragraph" w:customStyle="1" w:styleId="101">
    <w:name w:val="TOC 2"/>
    <w:basedOn w:val="1"/>
    <w:next w:val="1"/>
    <w:qFormat/>
    <w:uiPriority w:val="0"/>
    <w:pPr>
      <w:ind w:left="420" w:leftChars="200"/>
    </w:pPr>
  </w:style>
  <w:style w:type="paragraph" w:customStyle="1" w:styleId="102">
    <w:name w:val="TOC 9"/>
    <w:basedOn w:val="1"/>
    <w:next w:val="1"/>
    <w:qFormat/>
    <w:uiPriority w:val="0"/>
    <w:pPr>
      <w:ind w:left="3360" w:leftChars="1600"/>
    </w:pPr>
  </w:style>
  <w:style w:type="character" w:customStyle="1" w:styleId="103">
    <w:name w:val="正文文本 2 Char1"/>
    <w:link w:val="46"/>
    <w:qFormat/>
    <w:uiPriority w:val="0"/>
    <w:rPr>
      <w:kern w:val="2"/>
      <w:sz w:val="21"/>
      <w:szCs w:val="24"/>
    </w:rPr>
  </w:style>
  <w:style w:type="character" w:customStyle="1" w:styleId="104">
    <w:name w:val="HTML 预设格式 Char"/>
    <w:link w:val="47"/>
    <w:qFormat/>
    <w:uiPriority w:val="0"/>
    <w:rPr>
      <w:rFonts w:ascii="黑体" w:hAnsi="Courier New" w:eastAsia="黑体"/>
    </w:rPr>
  </w:style>
  <w:style w:type="character" w:customStyle="1" w:styleId="105">
    <w:name w:val="标题 Char2"/>
    <w:link w:val="49"/>
    <w:qFormat/>
    <w:uiPriority w:val="10"/>
    <w:rPr>
      <w:b/>
      <w:sz w:val="24"/>
      <w:lang w:val="en-GB"/>
    </w:rPr>
  </w:style>
  <w:style w:type="character" w:customStyle="1" w:styleId="106">
    <w:name w:val="批注主题 Char1"/>
    <w:link w:val="50"/>
    <w:qFormat/>
    <w:uiPriority w:val="0"/>
    <w:rPr>
      <w:b/>
      <w:bCs/>
      <w:kern w:val="2"/>
      <w:sz w:val="21"/>
      <w:szCs w:val="24"/>
    </w:rPr>
  </w:style>
  <w:style w:type="paragraph" w:customStyle="1" w:styleId="107">
    <w:name w:val="正文文本首行缩进"/>
    <w:basedOn w:val="22"/>
    <w:link w:val="108"/>
    <w:qFormat/>
    <w:uiPriority w:val="0"/>
    <w:pPr>
      <w:ind w:firstLine="420"/>
    </w:pPr>
    <w:rPr>
      <w:rFonts w:hAnsi="Times New Roman" w:cs="Times New Roman"/>
      <w:snapToGrid/>
      <w:szCs w:val="20"/>
    </w:rPr>
  </w:style>
  <w:style w:type="character" w:customStyle="1" w:styleId="108">
    <w:name w:val="正文文本首行缩进 字符"/>
    <w:link w:val="107"/>
    <w:qFormat/>
    <w:uiPriority w:val="0"/>
    <w:rPr>
      <w:rFonts w:ascii="宋体"/>
      <w:kern w:val="2"/>
      <w:sz w:val="24"/>
      <w:lang w:val="zh-CN"/>
    </w:rPr>
  </w:style>
  <w:style w:type="paragraph" w:customStyle="1" w:styleId="109">
    <w:name w:val="正文文本首行缩进 2"/>
    <w:basedOn w:val="23"/>
    <w:link w:val="110"/>
    <w:qFormat/>
    <w:uiPriority w:val="0"/>
    <w:pPr>
      <w:adjustRightInd/>
      <w:spacing w:after="120" w:line="240" w:lineRule="auto"/>
      <w:ind w:left="420" w:leftChars="200" w:firstLine="210"/>
    </w:pPr>
    <w:rPr>
      <w:sz w:val="21"/>
    </w:rPr>
  </w:style>
  <w:style w:type="character" w:customStyle="1" w:styleId="110">
    <w:name w:val="正文文本首行缩进 2 字符"/>
    <w:link w:val="109"/>
    <w:qFormat/>
    <w:uiPriority w:val="0"/>
    <w:rPr>
      <w:rFonts w:ascii="宋体" w:hAnsi="宋体"/>
      <w:kern w:val="2"/>
      <w:sz w:val="21"/>
      <w:szCs w:val="24"/>
    </w:rPr>
  </w:style>
  <w:style w:type="character" w:customStyle="1" w:styleId="111">
    <w:name w:val="访问过的超链接"/>
    <w:qFormat/>
    <w:uiPriority w:val="99"/>
    <w:rPr>
      <w:rFonts w:ascii="Arial" w:hAnsi="Arial" w:eastAsia="黑体" w:cs="Arial"/>
      <w:snapToGrid w:val="0"/>
      <w:color w:val="000000"/>
      <w:kern w:val="0"/>
      <w:sz w:val="18"/>
      <w:szCs w:val="18"/>
      <w:u w:val="none"/>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No Spacing Char"/>
    <w:link w:val="114"/>
    <w:qFormat/>
    <w:uiPriority w:val="1"/>
    <w:rPr>
      <w:sz w:val="22"/>
      <w:szCs w:val="22"/>
      <w:lang w:val="en-US" w:eastAsia="zh-CN" w:bidi="ar-SA"/>
    </w:rPr>
  </w:style>
  <w:style w:type="paragraph" w:customStyle="1" w:styleId="114">
    <w:name w:val="无间隔1"/>
    <w:link w:val="113"/>
    <w:qFormat/>
    <w:uiPriority w:val="1"/>
    <w:rPr>
      <w:rFonts w:ascii="Times New Roman" w:hAnsi="Times New Roman" w:eastAsia="宋体" w:cs="Times New Roman"/>
      <w:sz w:val="22"/>
      <w:szCs w:val="22"/>
      <w:lang w:val="en-US" w:eastAsia="zh-CN" w:bidi="ar-SA"/>
    </w:rPr>
  </w:style>
  <w:style w:type="character" w:customStyle="1" w:styleId="115">
    <w:name w:val="Document Map Char"/>
    <w:qFormat/>
    <w:locked/>
    <w:uiPriority w:val="0"/>
    <w:rPr>
      <w:rFonts w:eastAsia="宋体"/>
      <w:kern w:val="2"/>
      <w:sz w:val="21"/>
      <w:szCs w:val="24"/>
      <w:lang w:val="en-US" w:eastAsia="zh-CN" w:bidi="ar-SA"/>
    </w:rPr>
  </w:style>
  <w:style w:type="character" w:customStyle="1" w:styleId="116">
    <w:name w:val="纯文本 Char1"/>
    <w:link w:val="117"/>
    <w:qFormat/>
    <w:uiPriority w:val="0"/>
    <w:rPr>
      <w:rFonts w:ascii="宋体" w:hAnsi="Courier New"/>
    </w:rPr>
  </w:style>
  <w:style w:type="paragraph" w:customStyle="1" w:styleId="117">
    <w:name w:val="纯文本1"/>
    <w:basedOn w:val="1"/>
    <w:link w:val="116"/>
    <w:qFormat/>
    <w:uiPriority w:val="0"/>
    <w:pPr>
      <w:adjustRightInd/>
    </w:pPr>
    <w:rPr>
      <w:rFonts w:ascii="宋体" w:hAnsi="Courier New"/>
      <w:kern w:val="0"/>
      <w:sz w:val="20"/>
      <w:szCs w:val="20"/>
    </w:rPr>
  </w:style>
  <w:style w:type="character" w:customStyle="1" w:styleId="118">
    <w:name w:val="Char Char72"/>
    <w:qFormat/>
    <w:uiPriority w:val="0"/>
    <w:rPr>
      <w:rFonts w:eastAsia="宋体"/>
      <w:kern w:val="2"/>
      <w:sz w:val="21"/>
      <w:szCs w:val="24"/>
      <w:lang w:val="en-US" w:eastAsia="zh-CN" w:bidi="ar-SA"/>
    </w:rPr>
  </w:style>
  <w:style w:type="character" w:customStyle="1" w:styleId="119">
    <w:name w:val="t21"/>
    <w:qFormat/>
    <w:uiPriority w:val="0"/>
    <w:rPr>
      <w:rFonts w:ascii="仿宋_GB2312" w:eastAsia="微软雅黑"/>
      <w:b/>
      <w:kern w:val="2"/>
      <w:sz w:val="23"/>
      <w:szCs w:val="23"/>
      <w:lang w:val="en-US" w:eastAsia="zh-CN" w:bidi="ar-SA"/>
    </w:rPr>
  </w:style>
  <w:style w:type="character" w:customStyle="1" w:styleId="120">
    <w:name w:val="tw4winTerm"/>
    <w:qFormat/>
    <w:uiPriority w:val="0"/>
    <w:rPr>
      <w:color w:val="0000FF"/>
    </w:rPr>
  </w:style>
  <w:style w:type="character" w:customStyle="1" w:styleId="121">
    <w:name w:val="样式7 Char"/>
    <w:qFormat/>
    <w:uiPriority w:val="0"/>
    <w:rPr>
      <w:rFonts w:ascii="仿宋_GB2312" w:hAnsi="仿宋" w:eastAsia="仿宋_GB2312"/>
      <w:b/>
      <w:kern w:val="2"/>
      <w:sz w:val="24"/>
      <w:szCs w:val="24"/>
    </w:rPr>
  </w:style>
  <w:style w:type="character" w:customStyle="1" w:styleId="12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3">
    <w:name w:val="正文缩进 Char3"/>
    <w:qFormat/>
    <w:uiPriority w:val="0"/>
    <w:rPr>
      <w:rFonts w:ascii="宋体" w:eastAsia="宋体"/>
      <w:snapToGrid w:val="0"/>
      <w:color w:val="000000"/>
      <w:kern w:val="28"/>
      <w:sz w:val="28"/>
      <w:lang w:val="en-US" w:eastAsia="zh-CN" w:bidi="ar-SA"/>
    </w:rPr>
  </w:style>
  <w:style w:type="character" w:customStyle="1" w:styleId="124">
    <w:name w:val="Char Char101"/>
    <w:qFormat/>
    <w:uiPriority w:val="6"/>
    <w:rPr>
      <w:rFonts w:ascii="宋体" w:hAnsi="宋体"/>
      <w:kern w:val="2"/>
      <w:sz w:val="21"/>
      <w:szCs w:val="24"/>
      <w:lang w:val="en-US" w:eastAsia="zh-CN"/>
    </w:rPr>
  </w:style>
  <w:style w:type="character" w:customStyle="1" w:styleId="125">
    <w:name w:val="正文文字缩进 2 Char Char"/>
    <w:qFormat/>
    <w:uiPriority w:val="0"/>
    <w:rPr>
      <w:rFonts w:ascii="宋体"/>
      <w:sz w:val="28"/>
    </w:rPr>
  </w:style>
  <w:style w:type="character" w:customStyle="1" w:styleId="126">
    <w:name w:val="Char Char212"/>
    <w:qFormat/>
    <w:uiPriority w:val="0"/>
    <w:rPr>
      <w:rFonts w:eastAsia="宋体"/>
      <w:b/>
      <w:bCs/>
      <w:kern w:val="2"/>
      <w:sz w:val="21"/>
      <w:szCs w:val="24"/>
      <w:lang w:val="en-US" w:eastAsia="zh-CN" w:bidi="ar-SA"/>
    </w:rPr>
  </w:style>
  <w:style w:type="character" w:customStyle="1" w:styleId="127">
    <w:name w:val="正文文本缩进 字符"/>
    <w:qFormat/>
    <w:uiPriority w:val="0"/>
    <w:rPr>
      <w:rFonts w:ascii="Century Gothic" w:hAnsi="Century Gothic" w:eastAsia="Century Gothic"/>
      <w:kern w:val="2"/>
      <w:sz w:val="24"/>
      <w:lang w:val="en-US" w:eastAsia="zh-CN" w:bidi="ar-SA"/>
    </w:rPr>
  </w:style>
  <w:style w:type="character" w:customStyle="1" w:styleId="128">
    <w:name w:val="Char Char13"/>
    <w:qFormat/>
    <w:uiPriority w:val="6"/>
    <w:rPr>
      <w:rFonts w:ascii="宋体" w:hAnsi="宋体"/>
      <w:kern w:val="1"/>
      <w:sz w:val="21"/>
      <w:szCs w:val="24"/>
    </w:rPr>
  </w:style>
  <w:style w:type="character" w:customStyle="1" w:styleId="129">
    <w:name w:val="表格名称[858D7CFB-ED40-4347-BF05-701D383B685F]"/>
    <w:link w:val="130"/>
    <w:qFormat/>
    <w:uiPriority w:val="0"/>
    <w:rPr>
      <w:sz w:val="32"/>
    </w:rPr>
  </w:style>
  <w:style w:type="paragraph" w:customStyle="1" w:styleId="130">
    <w:name w:val="表格名称"/>
    <w:basedOn w:val="4"/>
    <w:link w:val="129"/>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131">
    <w:name w:val="style1"/>
    <w:qFormat/>
    <w:uiPriority w:val="0"/>
    <w:rPr>
      <w:rFonts w:ascii="Arial" w:hAnsi="Arial" w:eastAsia="黑体" w:cs="Arial"/>
      <w:snapToGrid w:val="0"/>
      <w:kern w:val="0"/>
      <w:szCs w:val="21"/>
    </w:rPr>
  </w:style>
  <w:style w:type="character" w:customStyle="1" w:styleId="132">
    <w:name w:val="Char Char19"/>
    <w:qFormat/>
    <w:uiPriority w:val="6"/>
    <w:rPr>
      <w:rFonts w:ascii="宋体" w:hAnsi="宋体"/>
      <w:i/>
      <w:sz w:val="24"/>
      <w:szCs w:val="24"/>
    </w:rPr>
  </w:style>
  <w:style w:type="character" w:customStyle="1" w:styleId="133">
    <w:name w:val="h4 Char"/>
    <w:qFormat/>
    <w:uiPriority w:val="0"/>
    <w:rPr>
      <w:rFonts w:ascii="Arial" w:hAnsi="Arial" w:eastAsia="黑体"/>
      <w:b/>
      <w:bCs/>
      <w:kern w:val="2"/>
      <w:sz w:val="28"/>
      <w:szCs w:val="28"/>
      <w:lang w:val="zh-CN" w:eastAsia="zh-CN" w:bidi="ar-SA"/>
    </w:rPr>
  </w:style>
  <w:style w:type="character" w:customStyle="1" w:styleId="134">
    <w:name w:val="font31"/>
    <w:qFormat/>
    <w:uiPriority w:val="0"/>
    <w:rPr>
      <w:rFonts w:hint="eastAsia" w:ascii="仿宋" w:hAnsi="仿宋" w:eastAsia="仿宋" w:cs="仿宋"/>
      <w:color w:val="000000"/>
      <w:sz w:val="20"/>
      <w:szCs w:val="20"/>
      <w:u w:val="none"/>
    </w:rPr>
  </w:style>
  <w:style w:type="character" w:customStyle="1" w:styleId="135">
    <w:name w:val="冯 Char"/>
    <w:link w:val="136"/>
    <w:qFormat/>
    <w:uiPriority w:val="0"/>
    <w:rPr>
      <w:rFonts w:ascii="宋体" w:hAnsi="宋体"/>
      <w:color w:val="000000"/>
      <w:sz w:val="24"/>
      <w:szCs w:val="24"/>
    </w:rPr>
  </w:style>
  <w:style w:type="paragraph" w:customStyle="1" w:styleId="136">
    <w:name w:val="冯"/>
    <w:basedOn w:val="1"/>
    <w:link w:val="135"/>
    <w:qFormat/>
    <w:uiPriority w:val="0"/>
    <w:pPr>
      <w:widowControl/>
      <w:adjustRightInd/>
      <w:spacing w:line="360" w:lineRule="auto"/>
      <w:ind w:firstLine="480" w:firstLineChars="200"/>
    </w:pPr>
    <w:rPr>
      <w:rFonts w:ascii="宋体" w:hAnsi="宋体"/>
      <w:color w:val="000000"/>
      <w:kern w:val="0"/>
      <w:sz w:val="24"/>
    </w:rPr>
  </w:style>
  <w:style w:type="character" w:customStyle="1" w:styleId="137">
    <w:name w:val="Char Char91"/>
    <w:qFormat/>
    <w:uiPriority w:val="0"/>
    <w:rPr>
      <w:rFonts w:eastAsia="宋体"/>
      <w:kern w:val="2"/>
      <w:sz w:val="18"/>
      <w:szCs w:val="18"/>
      <w:lang w:val="en-US" w:eastAsia="zh-CN" w:bidi="ar-SA"/>
    </w:rPr>
  </w:style>
  <w:style w:type="character" w:customStyle="1" w:styleId="138">
    <w:name w:val="Char Char34"/>
    <w:qFormat/>
    <w:uiPriority w:val="6"/>
    <w:rPr>
      <w:b/>
      <w:kern w:val="1"/>
      <w:sz w:val="28"/>
      <w:szCs w:val="28"/>
    </w:rPr>
  </w:style>
  <w:style w:type="character" w:customStyle="1" w:styleId="139">
    <w:name w:val="Char Char14"/>
    <w:qFormat/>
    <w:uiPriority w:val="6"/>
    <w:rPr>
      <w:rFonts w:ascii="黑体" w:hAnsi="黑体" w:eastAsia="黑体"/>
    </w:rPr>
  </w:style>
  <w:style w:type="character" w:customStyle="1" w:styleId="140">
    <w:name w:val="正文（绿盟科技） Char"/>
    <w:link w:val="141"/>
    <w:qFormat/>
    <w:uiPriority w:val="0"/>
    <w:rPr>
      <w:rFonts w:ascii="Arial" w:hAnsi="Arial"/>
      <w:sz w:val="21"/>
      <w:szCs w:val="21"/>
      <w:lang w:val="en-US" w:eastAsia="zh-CN" w:bidi="ar-SA"/>
    </w:rPr>
  </w:style>
  <w:style w:type="paragraph" w:customStyle="1" w:styleId="141">
    <w:name w:val="正文（绿盟科技）"/>
    <w:link w:val="140"/>
    <w:qFormat/>
    <w:uiPriority w:val="0"/>
    <w:pPr>
      <w:spacing w:line="300" w:lineRule="auto"/>
    </w:pPr>
    <w:rPr>
      <w:rFonts w:ascii="Arial" w:hAnsi="Arial" w:eastAsia="宋体" w:cs="Times New Roman"/>
      <w:sz w:val="21"/>
      <w:szCs w:val="21"/>
      <w:lang w:val="en-US" w:eastAsia="zh-CN" w:bidi="ar-SA"/>
    </w:rPr>
  </w:style>
  <w:style w:type="character" w:customStyle="1" w:styleId="142">
    <w:name w:val="Char Char71"/>
    <w:semiHidden/>
    <w:qFormat/>
    <w:uiPriority w:val="0"/>
    <w:rPr>
      <w:rFonts w:eastAsia="宋体"/>
      <w:kern w:val="2"/>
      <w:sz w:val="21"/>
      <w:szCs w:val="24"/>
      <w:lang w:val="en-US" w:eastAsia="zh-CN" w:bidi="ar-SA"/>
    </w:rPr>
  </w:style>
  <w:style w:type="character" w:customStyle="1" w:styleId="143">
    <w:name w:val="h3 Char"/>
    <w:qFormat/>
    <w:uiPriority w:val="0"/>
    <w:rPr>
      <w:rFonts w:eastAsia="宋体"/>
      <w:b/>
      <w:kern w:val="2"/>
      <w:sz w:val="32"/>
      <w:lang w:val="en-US" w:eastAsia="zh-CN" w:bidi="ar-SA"/>
    </w:rPr>
  </w:style>
  <w:style w:type="character" w:customStyle="1" w:styleId="144">
    <w:name w:val="pt9"/>
    <w:qFormat/>
    <w:uiPriority w:val="0"/>
    <w:rPr>
      <w:rFonts w:ascii="仿宋_GB2312" w:eastAsia="微软雅黑"/>
      <w:b/>
      <w:kern w:val="2"/>
      <w:sz w:val="32"/>
      <w:szCs w:val="32"/>
      <w:lang w:val="en-US" w:eastAsia="zh-CN" w:bidi="ar-SA"/>
    </w:rPr>
  </w:style>
  <w:style w:type="character" w:customStyle="1" w:styleId="145">
    <w:name w:val="Footer-Even Char1"/>
    <w:qFormat/>
    <w:uiPriority w:val="0"/>
    <w:rPr>
      <w:rFonts w:eastAsia="宋体"/>
      <w:kern w:val="2"/>
      <w:sz w:val="18"/>
      <w:szCs w:val="18"/>
      <w:lang w:val="en-US" w:eastAsia="zh-CN" w:bidi="ar-SA"/>
    </w:rPr>
  </w:style>
  <w:style w:type="character" w:customStyle="1" w:styleId="146">
    <w:name w:val="标书表格字体格式 Char"/>
    <w:qFormat/>
    <w:uiPriority w:val="0"/>
    <w:rPr>
      <w:kern w:val="2"/>
      <w:sz w:val="21"/>
      <w:szCs w:val="24"/>
      <w:lang w:bidi="ar-SA"/>
    </w:rPr>
  </w:style>
  <w:style w:type="character" w:customStyle="1" w:styleId="147">
    <w:name w:val="带编号样式 Char"/>
    <w:qFormat/>
    <w:uiPriority w:val="0"/>
    <w:rPr>
      <w:rFonts w:ascii="仿宋_GB2312" w:eastAsia="仿宋_GB2312"/>
      <w:color w:val="000000"/>
      <w:sz w:val="24"/>
      <w:lang w:bidi="ar-SA"/>
    </w:rPr>
  </w:style>
  <w:style w:type="character" w:customStyle="1" w:styleId="148">
    <w:name w:val="样式8 Char"/>
    <w:qFormat/>
    <w:uiPriority w:val="0"/>
    <w:rPr>
      <w:rFonts w:ascii="仿宋_GB2312" w:hAnsi="宋体" w:eastAsia="仿宋_GB2312"/>
      <w:b/>
      <w:bCs/>
      <w:kern w:val="2"/>
      <w:sz w:val="24"/>
      <w:szCs w:val="24"/>
    </w:rPr>
  </w:style>
  <w:style w:type="character" w:customStyle="1" w:styleId="149">
    <w:name w:val="标题 3 Char2"/>
    <w:qFormat/>
    <w:uiPriority w:val="0"/>
    <w:rPr>
      <w:rFonts w:eastAsia="宋体"/>
      <w:b/>
      <w:bCs/>
      <w:kern w:val="2"/>
      <w:sz w:val="32"/>
      <w:szCs w:val="32"/>
      <w:lang w:val="en-US" w:eastAsia="zh-CN" w:bidi="ar-SA"/>
    </w:rPr>
  </w:style>
  <w:style w:type="character" w:customStyle="1" w:styleId="150">
    <w:name w:val="副标题 Char2"/>
    <w:qFormat/>
    <w:uiPriority w:val="0"/>
    <w:rPr>
      <w:rFonts w:ascii="Cambria" w:hAnsi="Cambria" w:eastAsia="宋体" w:cs="Times New Roman"/>
      <w:b/>
      <w:bCs/>
      <w:snapToGrid w:val="0"/>
      <w:kern w:val="28"/>
      <w:sz w:val="32"/>
      <w:szCs w:val="32"/>
    </w:rPr>
  </w:style>
  <w:style w:type="character" w:customStyle="1" w:styleId="151">
    <w:name w:val="正文首行缩进两字 Char"/>
    <w:qFormat/>
    <w:uiPriority w:val="0"/>
    <w:rPr>
      <w:sz w:val="24"/>
      <w:szCs w:val="24"/>
      <w:lang w:val="en-US" w:eastAsia="zh-CN" w:bidi="ar-SA"/>
    </w:rPr>
  </w:style>
  <w:style w:type="character" w:customStyle="1" w:styleId="152">
    <w:name w:val="Comment Text Char"/>
    <w:qFormat/>
    <w:locked/>
    <w:uiPriority w:val="0"/>
    <w:rPr>
      <w:rFonts w:ascii="宋体" w:hAnsi="宋体" w:eastAsia="宋体"/>
      <w:kern w:val="2"/>
      <w:sz w:val="24"/>
      <w:lang w:val="en-US" w:eastAsia="zh-CN" w:bidi="ar-SA"/>
    </w:rPr>
  </w:style>
  <w:style w:type="character" w:customStyle="1" w:styleId="153">
    <w:name w:val="正文文本缩进 Char1"/>
    <w:qFormat/>
    <w:uiPriority w:val="0"/>
    <w:rPr>
      <w:rFonts w:ascii="Calibri" w:hAnsi="Calibri"/>
      <w:sz w:val="28"/>
    </w:rPr>
  </w:style>
  <w:style w:type="character" w:customStyle="1" w:styleId="154">
    <w:name w:val="myp1111"/>
    <w:qFormat/>
    <w:uiPriority w:val="0"/>
    <w:rPr>
      <w:rFonts w:hint="default" w:ascii="ˎ̥" w:hAnsi="ˎ̥"/>
      <w:color w:val="000000"/>
      <w:sz w:val="20"/>
      <w:szCs w:val="20"/>
      <w:u w:val="none"/>
    </w:rPr>
  </w:style>
  <w:style w:type="character" w:customStyle="1" w:styleId="155">
    <w:name w:val="font51"/>
    <w:qFormat/>
    <w:uiPriority w:val="0"/>
    <w:rPr>
      <w:rFonts w:hint="eastAsia" w:ascii="仿宋" w:hAnsi="仿宋" w:eastAsia="仿宋" w:cs="仿宋"/>
      <w:color w:val="000000"/>
      <w:sz w:val="20"/>
      <w:szCs w:val="20"/>
      <w:u w:val="none"/>
    </w:rPr>
  </w:style>
  <w:style w:type="character" w:customStyle="1" w:styleId="156">
    <w:name w:val="批注文字 Char2"/>
    <w:qFormat/>
    <w:uiPriority w:val="99"/>
    <w:rPr>
      <w:rFonts w:ascii="Times New Roman" w:hAnsi="Times New Roman" w:eastAsia="宋体" w:cs="Times New Roman"/>
      <w:snapToGrid w:val="0"/>
      <w:kern w:val="0"/>
      <w:szCs w:val="24"/>
    </w:rPr>
  </w:style>
  <w:style w:type="character" w:customStyle="1" w:styleId="157">
    <w:name w:val="标题 4 字符"/>
    <w:qFormat/>
    <w:uiPriority w:val="9"/>
    <w:rPr>
      <w:rFonts w:ascii="等线 Light" w:hAnsi="等线 Light" w:eastAsia="等线 Light" w:cs="Times New Roman"/>
      <w:b/>
      <w:bCs/>
      <w:snapToGrid w:val="0"/>
      <w:kern w:val="0"/>
      <w:sz w:val="28"/>
      <w:szCs w:val="28"/>
    </w:rPr>
  </w:style>
  <w:style w:type="character" w:customStyle="1" w:styleId="158">
    <w:name w:val="bulletintext1"/>
    <w:qFormat/>
    <w:uiPriority w:val="0"/>
    <w:rPr>
      <w:color w:val="000000"/>
      <w:sz w:val="18"/>
    </w:rPr>
  </w:style>
  <w:style w:type="character" w:customStyle="1" w:styleId="159">
    <w:name w:val="正文文本 Char"/>
    <w:qFormat/>
    <w:uiPriority w:val="0"/>
    <w:rPr>
      <w:rFonts w:eastAsia="宋体"/>
      <w:kern w:val="2"/>
      <w:sz w:val="24"/>
      <w:szCs w:val="24"/>
      <w:lang w:val="en-US" w:eastAsia="zh-CN" w:bidi="ar-SA"/>
    </w:rPr>
  </w:style>
  <w:style w:type="character" w:customStyle="1" w:styleId="160">
    <w:name w:val="apple-converted-space"/>
    <w:qFormat/>
    <w:uiPriority w:val="0"/>
  </w:style>
  <w:style w:type="character" w:customStyle="1" w:styleId="161">
    <w:name w:val="标题 2 字符"/>
    <w:qFormat/>
    <w:uiPriority w:val="1"/>
    <w:rPr>
      <w:rFonts w:ascii="仿宋_GB2312" w:hAnsi="Times New Roman" w:eastAsia="仿宋_GB2312" w:cs="Times New Roman"/>
      <w:b/>
      <w:kern w:val="2"/>
      <w:sz w:val="24"/>
      <w:lang w:val="zh-CN"/>
    </w:rPr>
  </w:style>
  <w:style w:type="character" w:customStyle="1" w:styleId="162">
    <w:name w:val="列出段落 Char2"/>
    <w:qFormat/>
    <w:uiPriority w:val="34"/>
    <w:rPr>
      <w:rFonts w:ascii="Calibri" w:hAnsi="Calibri"/>
      <w:kern w:val="2"/>
      <w:sz w:val="28"/>
    </w:rPr>
  </w:style>
  <w:style w:type="character" w:customStyle="1" w:styleId="163">
    <w:name w:val="b11_01b Char"/>
    <w:link w:val="164"/>
    <w:qFormat/>
    <w:uiPriority w:val="0"/>
    <w:rPr>
      <w:rFonts w:ascii="Verdana" w:hAnsi="Verdana"/>
      <w:b/>
      <w:bCs/>
      <w:color w:val="4A82CA"/>
      <w:sz w:val="17"/>
      <w:szCs w:val="17"/>
    </w:rPr>
  </w:style>
  <w:style w:type="paragraph" w:customStyle="1" w:styleId="164">
    <w:name w:val="b11_01b"/>
    <w:basedOn w:val="1"/>
    <w:next w:val="1"/>
    <w:link w:val="16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65">
    <w:name w:val="16"/>
    <w:qFormat/>
    <w:uiPriority w:val="0"/>
    <w:rPr>
      <w:rFonts w:hint="eastAsia" w:ascii="宋体" w:hAnsi="宋体" w:eastAsia="宋体"/>
      <w:color w:val="000000"/>
      <w:sz w:val="20"/>
      <w:szCs w:val="20"/>
    </w:rPr>
  </w:style>
  <w:style w:type="character" w:customStyle="1" w:styleId="166">
    <w:name w:val="Char Char11"/>
    <w:qFormat/>
    <w:locked/>
    <w:uiPriority w:val="0"/>
    <w:rPr>
      <w:rFonts w:ascii="宋体" w:hAnsi="宋体" w:eastAsia="宋体"/>
      <w:b/>
      <w:kern w:val="2"/>
      <w:sz w:val="24"/>
      <w:szCs w:val="24"/>
      <w:lang w:val="en-US" w:eastAsia="zh-CN" w:bidi="ar-SA"/>
    </w:rPr>
  </w:style>
  <w:style w:type="character" w:customStyle="1" w:styleId="167">
    <w:name w:val="ksfind_class_select1"/>
    <w:qFormat/>
    <w:uiPriority w:val="0"/>
    <w:rPr>
      <w:color w:val="000000"/>
      <w:shd w:val="clear" w:color="auto" w:fill="EFD200"/>
    </w:rPr>
  </w:style>
  <w:style w:type="character" w:customStyle="1" w:styleId="168">
    <w:name w:val="正文样式 Char"/>
    <w:link w:val="169"/>
    <w:qFormat/>
    <w:uiPriority w:val="0"/>
    <w:rPr>
      <w:rFonts w:ascii="Calibri" w:hAnsi="Calibri"/>
      <w:sz w:val="24"/>
      <w:szCs w:val="24"/>
    </w:rPr>
  </w:style>
  <w:style w:type="paragraph" w:customStyle="1" w:styleId="169">
    <w:name w:val="正文样式"/>
    <w:basedOn w:val="1"/>
    <w:link w:val="168"/>
    <w:qFormat/>
    <w:uiPriority w:val="0"/>
    <w:pPr>
      <w:adjustRightInd/>
      <w:spacing w:line="360" w:lineRule="auto"/>
      <w:ind w:firstLine="480" w:firstLineChars="200"/>
    </w:pPr>
    <w:rPr>
      <w:rFonts w:ascii="Calibri" w:hAnsi="Calibri"/>
      <w:kern w:val="0"/>
      <w:sz w:val="24"/>
    </w:rPr>
  </w:style>
  <w:style w:type="character" w:customStyle="1" w:styleId="170">
    <w:name w:val="标题4-dyf Char"/>
    <w:link w:val="171"/>
    <w:qFormat/>
    <w:uiPriority w:val="0"/>
    <w:rPr>
      <w:rFonts w:ascii="Cambria" w:hAnsi="Cambria"/>
      <w:b/>
      <w:bCs/>
      <w:color w:val="000000"/>
      <w:kern w:val="2"/>
      <w:sz w:val="21"/>
      <w:szCs w:val="21"/>
    </w:rPr>
  </w:style>
  <w:style w:type="paragraph" w:customStyle="1" w:styleId="171">
    <w:name w:val="标题4-dyf"/>
    <w:basedOn w:val="6"/>
    <w:link w:val="17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72">
    <w:name w:val="content"/>
    <w:qFormat/>
    <w:uiPriority w:val="0"/>
  </w:style>
  <w:style w:type="character" w:customStyle="1" w:styleId="173">
    <w:name w:val="标题 Char"/>
    <w:qFormat/>
    <w:uiPriority w:val="0"/>
    <w:rPr>
      <w:rFonts w:eastAsia="宋体"/>
      <w:b/>
      <w:sz w:val="24"/>
      <w:lang w:val="en-GB" w:eastAsia="zh-CN" w:bidi="ar-SA"/>
    </w:rPr>
  </w:style>
  <w:style w:type="character" w:customStyle="1" w:styleId="174">
    <w:name w:val="Char Char5"/>
    <w:qFormat/>
    <w:uiPriority w:val="0"/>
    <w:rPr>
      <w:rFonts w:ascii="宋体" w:hAnsi="Courier New" w:eastAsia="宋体"/>
      <w:kern w:val="2"/>
      <w:sz w:val="21"/>
      <w:lang w:val="en-US" w:eastAsia="zh-CN"/>
    </w:rPr>
  </w:style>
  <w:style w:type="character" w:customStyle="1" w:styleId="175">
    <w:name w:val="Ò³Ã¼ Char Char1"/>
    <w:qFormat/>
    <w:uiPriority w:val="0"/>
    <w:rPr>
      <w:rFonts w:eastAsia="宋体"/>
      <w:kern w:val="2"/>
      <w:sz w:val="18"/>
      <w:szCs w:val="18"/>
      <w:lang w:val="en-US" w:eastAsia="zh-CN" w:bidi="ar-SA"/>
    </w:rPr>
  </w:style>
  <w:style w:type="character" w:customStyle="1" w:styleId="176">
    <w:name w:val="纯文本 Char2"/>
    <w:semiHidden/>
    <w:qFormat/>
    <w:uiPriority w:val="99"/>
    <w:rPr>
      <w:rFonts w:ascii="宋体" w:hAnsi="Courier New" w:eastAsia="宋体" w:cs="Courier New"/>
    </w:rPr>
  </w:style>
  <w:style w:type="character" w:customStyle="1" w:styleId="177">
    <w:name w:val="普通文字 Char1"/>
    <w:qFormat/>
    <w:uiPriority w:val="0"/>
    <w:rPr>
      <w:rFonts w:ascii="宋体" w:hAnsi="Courier New" w:eastAsia="宋体"/>
      <w:kern w:val="2"/>
      <w:sz w:val="21"/>
      <w:lang w:val="en-US" w:eastAsia="zh-CN"/>
    </w:rPr>
  </w:style>
  <w:style w:type="character" w:customStyle="1" w:styleId="17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9">
    <w:name w:val="Default Char"/>
    <w:link w:val="180"/>
    <w:qFormat/>
    <w:uiPriority w:val="0"/>
    <w:rPr>
      <w:rFonts w:ascii="仿宋_GB2312" w:eastAsia="仿宋_GB2312" w:cs="仿宋_GB2312"/>
      <w:color w:val="000000"/>
      <w:sz w:val="24"/>
      <w:szCs w:val="24"/>
      <w:lang w:val="en-US" w:eastAsia="zh-CN" w:bidi="ar-SA"/>
    </w:rPr>
  </w:style>
  <w:style w:type="paragraph" w:customStyle="1" w:styleId="180">
    <w:name w:val="Default"/>
    <w:link w:val="17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1">
    <w:name w:val="Table Text Char"/>
    <w:link w:val="182"/>
    <w:qFormat/>
    <w:uiPriority w:val="0"/>
    <w:rPr>
      <w:sz w:val="24"/>
      <w:szCs w:val="24"/>
    </w:rPr>
  </w:style>
  <w:style w:type="paragraph" w:customStyle="1" w:styleId="182">
    <w:name w:val="Table Text"/>
    <w:basedOn w:val="1"/>
    <w:link w:val="181"/>
    <w:qFormat/>
    <w:uiPriority w:val="0"/>
    <w:pPr>
      <w:widowControl/>
      <w:spacing w:before="60" w:after="60"/>
      <w:jc w:val="left"/>
    </w:pPr>
    <w:rPr>
      <w:kern w:val="0"/>
      <w:sz w:val="24"/>
    </w:rPr>
  </w:style>
  <w:style w:type="character" w:customStyle="1" w:styleId="183">
    <w:name w:val="批注文字 Char"/>
    <w:qFormat/>
    <w:uiPriority w:val="99"/>
    <w:rPr>
      <w:kern w:val="2"/>
      <w:sz w:val="21"/>
      <w:szCs w:val="24"/>
    </w:rPr>
  </w:style>
  <w:style w:type="character" w:customStyle="1" w:styleId="184">
    <w:name w:val="font81"/>
    <w:qFormat/>
    <w:uiPriority w:val="0"/>
    <w:rPr>
      <w:rFonts w:ascii="微软雅黑" w:hAnsi="微软雅黑" w:eastAsia="微软雅黑" w:cs="微软雅黑"/>
      <w:color w:val="000000"/>
      <w:sz w:val="20"/>
      <w:szCs w:val="20"/>
      <w:u w:val="none"/>
    </w:rPr>
  </w:style>
  <w:style w:type="character" w:customStyle="1" w:styleId="185">
    <w:name w:val="blue1"/>
    <w:qFormat/>
    <w:uiPriority w:val="0"/>
    <w:rPr>
      <w:rFonts w:ascii="Arial" w:hAnsi="Arial" w:eastAsia="黑体" w:cs="Arial"/>
      <w:snapToGrid w:val="0"/>
      <w:kern w:val="0"/>
      <w:szCs w:val="21"/>
    </w:rPr>
  </w:style>
  <w:style w:type="character" w:customStyle="1" w:styleId="186">
    <w:name w:val="无间隔 Char"/>
    <w:link w:val="187"/>
    <w:qFormat/>
    <w:uiPriority w:val="99"/>
    <w:rPr>
      <w:kern w:val="2"/>
      <w:sz w:val="21"/>
      <w:szCs w:val="22"/>
    </w:rPr>
  </w:style>
  <w:style w:type="paragraph" w:styleId="187">
    <w:name w:val="No Spacing"/>
    <w:basedOn w:val="1"/>
    <w:link w:val="186"/>
    <w:qFormat/>
    <w:uiPriority w:val="99"/>
    <w:rPr>
      <w:szCs w:val="22"/>
    </w:rPr>
  </w:style>
  <w:style w:type="character" w:customStyle="1" w:styleId="188">
    <w:name w:val="标题 1 字符"/>
    <w:qFormat/>
    <w:uiPriority w:val="9"/>
    <w:rPr>
      <w:rFonts w:ascii="Arial" w:hAnsi="Arial" w:eastAsia="黑体" w:cs="Arial"/>
      <w:b/>
      <w:bCs/>
      <w:snapToGrid w:val="0"/>
      <w:kern w:val="44"/>
      <w:sz w:val="44"/>
      <w:szCs w:val="44"/>
    </w:rPr>
  </w:style>
  <w:style w:type="character" w:customStyle="1" w:styleId="189">
    <w:name w:val="edui-unclickable"/>
    <w:qFormat/>
    <w:uiPriority w:val="0"/>
    <w:rPr>
      <w:color w:val="808080"/>
    </w:rPr>
  </w:style>
  <w:style w:type="character" w:customStyle="1" w:styleId="190">
    <w:name w:val="文档结构图 字符1"/>
    <w:qFormat/>
    <w:uiPriority w:val="0"/>
    <w:rPr>
      <w:rFonts w:ascii="宋体" w:hAnsi="Calibri" w:eastAsia="黑体" w:cs="Arial"/>
      <w:snapToGrid w:val="0"/>
      <w:kern w:val="2"/>
      <w:sz w:val="18"/>
      <w:szCs w:val="18"/>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仿宋正文 Char"/>
    <w:link w:val="193"/>
    <w:qFormat/>
    <w:uiPriority w:val="0"/>
    <w:rPr>
      <w:rFonts w:ascii="仿宋_GB2312" w:eastAsia="仿宋_GB2312"/>
      <w:kern w:val="2"/>
      <w:sz w:val="24"/>
      <w:lang w:val="en-US" w:eastAsia="zh-CN" w:bidi="ar-SA"/>
    </w:rPr>
  </w:style>
  <w:style w:type="paragraph" w:customStyle="1" w:styleId="193">
    <w:name w:val="仿宋正文"/>
    <w:basedOn w:val="1"/>
    <w:link w:val="192"/>
    <w:qFormat/>
    <w:uiPriority w:val="0"/>
    <w:pPr>
      <w:adjustRightInd/>
      <w:spacing w:line="360" w:lineRule="auto"/>
      <w:ind w:firstLine="480" w:firstLineChars="200"/>
    </w:pPr>
    <w:rPr>
      <w:rFonts w:ascii="仿宋_GB2312" w:eastAsia="仿宋_GB2312"/>
      <w:sz w:val="24"/>
      <w:szCs w:val="20"/>
    </w:rPr>
  </w:style>
  <w:style w:type="character" w:customStyle="1" w:styleId="194">
    <w:name w:val="哈哈正文 Char Char"/>
    <w:qFormat/>
    <w:uiPriority w:val="0"/>
    <w:rPr>
      <w:rFonts w:ascii="宋体" w:hAnsi="宋体" w:eastAsia="宋体" w:cs="宋体"/>
      <w:kern w:val="2"/>
      <w:sz w:val="24"/>
      <w:lang w:val="en-US" w:eastAsia="zh-CN" w:bidi="ar-SA"/>
    </w:rPr>
  </w:style>
  <w:style w:type="character" w:customStyle="1" w:styleId="195">
    <w:name w:val="标准正文格式 Char"/>
    <w:qFormat/>
    <w:uiPriority w:val="0"/>
    <w:rPr>
      <w:rFonts w:ascii="宋体" w:eastAsia="仿宋_GB2312" w:cs="宋体"/>
      <w:color w:val="000000"/>
      <w:sz w:val="24"/>
      <w:lang w:val="en-US" w:eastAsia="zh-CN" w:bidi="ar-SA"/>
    </w:rPr>
  </w:style>
  <w:style w:type="character" w:customStyle="1" w:styleId="196">
    <w:name w:val="Bold"/>
    <w:qFormat/>
    <w:uiPriority w:val="0"/>
    <w:rPr>
      <w:rFonts w:ascii="Arial" w:hAnsi="Arial" w:eastAsia="黑体" w:cs="Times New Roman"/>
      <w:b/>
      <w:kern w:val="2"/>
      <w:sz w:val="32"/>
      <w:szCs w:val="32"/>
      <w:lang w:val="en-US" w:eastAsia="zh-CN" w:bidi="ar-SA"/>
    </w:rPr>
  </w:style>
  <w:style w:type="character" w:customStyle="1" w:styleId="197">
    <w:name w:val="FA正文 Char Char"/>
    <w:qFormat/>
    <w:uiPriority w:val="0"/>
    <w:rPr>
      <w:rFonts w:hAnsi="宋体"/>
      <w:kern w:val="2"/>
      <w:sz w:val="24"/>
      <w:lang w:bidi="ar-SA"/>
    </w:rPr>
  </w:style>
  <w:style w:type="character" w:customStyle="1" w:styleId="198">
    <w:name w:val="正文 项目2 Char"/>
    <w:qFormat/>
    <w:uiPriority w:val="0"/>
    <w:rPr>
      <w:rFonts w:ascii="仿宋_GB2312" w:hAnsi="仿宋_GB2312" w:eastAsia="仿宋_GB2312"/>
      <w:kern w:val="2"/>
      <w:sz w:val="24"/>
      <w:lang w:bidi="ar-SA"/>
    </w:rPr>
  </w:style>
  <w:style w:type="character" w:customStyle="1" w:styleId="199">
    <w:name w:val="正文 项目 Char"/>
    <w:qFormat/>
    <w:uiPriority w:val="0"/>
    <w:rPr>
      <w:rFonts w:ascii="仿宋_GB2312" w:hAnsi="仿宋_GB2312" w:eastAsia="仿宋_GB2312"/>
      <w:kern w:val="2"/>
      <w:sz w:val="24"/>
      <w:lang w:bidi="ar-SA"/>
    </w:rPr>
  </w:style>
  <w:style w:type="character" w:customStyle="1" w:styleId="200">
    <w:name w:val="Char Char29"/>
    <w:qFormat/>
    <w:uiPriority w:val="6"/>
    <w:rPr>
      <w:rFonts w:ascii="Arial" w:hAnsi="Arial" w:eastAsia="微软雅黑"/>
      <w:b/>
      <w:kern w:val="1"/>
      <w:sz w:val="44"/>
      <w:szCs w:val="32"/>
      <w:lang w:val="en-US" w:eastAsia="zh-CN" w:bidi="ar-SA"/>
    </w:rPr>
  </w:style>
  <w:style w:type="character" w:customStyle="1" w:styleId="201">
    <w:name w:val="未用 Char"/>
    <w:qFormat/>
    <w:uiPriority w:val="0"/>
    <w:rPr>
      <w:rFonts w:ascii="Arial" w:hAnsi="Arial" w:eastAsia="黑体"/>
      <w:kern w:val="2"/>
      <w:sz w:val="21"/>
      <w:szCs w:val="21"/>
      <w:lang w:val="en-US" w:eastAsia="zh-CN" w:bidi="ar-SA"/>
    </w:rPr>
  </w:style>
  <w:style w:type="character" w:customStyle="1" w:styleId="202">
    <w:name w:val="标题 6 Char1"/>
    <w:qFormat/>
    <w:uiPriority w:val="0"/>
    <w:rPr>
      <w:rFonts w:ascii="Arial" w:hAnsi="Arial" w:eastAsia="黑体" w:cs="Times New Roman"/>
      <w:b/>
      <w:sz w:val="24"/>
      <w:szCs w:val="20"/>
      <w:lang w:bidi="ar-SA"/>
    </w:rPr>
  </w:style>
  <w:style w:type="character" w:customStyle="1" w:styleId="203">
    <w:name w:val="列出段落 Char"/>
    <w:qFormat/>
    <w:uiPriority w:val="0"/>
    <w:rPr>
      <w:rFonts w:eastAsia="楷体_GB2312" w:cs="Lucida Sans"/>
      <w:kern w:val="2"/>
      <w:sz w:val="24"/>
      <w:szCs w:val="24"/>
      <w:lang w:val="en-US" w:eastAsia="zh-CN" w:bidi="ar-SA"/>
    </w:rPr>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zbggtop11 style5"/>
    <w:qFormat/>
    <w:uiPriority w:val="0"/>
    <w:rPr>
      <w:rFonts w:ascii="Arial" w:hAnsi="Arial" w:eastAsia="黑体" w:cs="Arial"/>
      <w:snapToGrid w:val="0"/>
      <w:kern w:val="0"/>
      <w:szCs w:val="21"/>
    </w:rPr>
  </w:style>
  <w:style w:type="character" w:customStyle="1" w:styleId="206">
    <w:name w:val="此正文 Char"/>
    <w:link w:val="207"/>
    <w:qFormat/>
    <w:uiPriority w:val="0"/>
    <w:rPr>
      <w:kern w:val="2"/>
      <w:sz w:val="24"/>
      <w:szCs w:val="24"/>
    </w:rPr>
  </w:style>
  <w:style w:type="paragraph" w:customStyle="1" w:styleId="207">
    <w:name w:val="此正文"/>
    <w:basedOn w:val="1"/>
    <w:link w:val="206"/>
    <w:qFormat/>
    <w:uiPriority w:val="0"/>
    <w:pPr>
      <w:adjustRightInd/>
      <w:spacing w:line="360" w:lineRule="auto"/>
      <w:ind w:firstLine="200" w:firstLineChars="200"/>
    </w:pPr>
    <w:rPr>
      <w:sz w:val="24"/>
    </w:rPr>
  </w:style>
  <w:style w:type="character" w:customStyle="1" w:styleId="208">
    <w:name w:val="c7 style3"/>
    <w:qFormat/>
    <w:uiPriority w:val="0"/>
  </w:style>
  <w:style w:type="character" w:customStyle="1" w:styleId="209">
    <w:name w:val="15"/>
    <w:qFormat/>
    <w:uiPriority w:val="0"/>
    <w:rPr>
      <w:rFonts w:hint="default" w:ascii="Calibri" w:hAnsi="Calibri"/>
      <w:color w:val="0000FF"/>
      <w:u w:val="single"/>
    </w:rPr>
  </w:style>
  <w:style w:type="character" w:customStyle="1" w:styleId="210">
    <w:name w:val="首行缩进 Char"/>
    <w:qFormat/>
    <w:uiPriority w:val="0"/>
    <w:rPr>
      <w:rFonts w:ascii="宋体" w:eastAsia="宋体"/>
      <w:kern w:val="2"/>
      <w:sz w:val="24"/>
      <w:lang w:val="en-US" w:eastAsia="zh-CN" w:bidi="ar-SA"/>
    </w:rPr>
  </w:style>
  <w:style w:type="character" w:customStyle="1" w:styleId="211">
    <w:name w:val="正文1 Char1"/>
    <w:qFormat/>
    <w:uiPriority w:val="0"/>
    <w:rPr>
      <w:rFonts w:ascii="仿宋_GB2312" w:hAnsi="Courier New" w:eastAsia="仿宋_GB2312"/>
      <w:kern w:val="28"/>
      <w:sz w:val="24"/>
      <w:szCs w:val="24"/>
      <w:lang w:val="en-US" w:eastAsia="zh-CN"/>
    </w:rPr>
  </w:style>
  <w:style w:type="character" w:customStyle="1" w:styleId="212">
    <w:name w:val="Char Char21"/>
    <w:qFormat/>
    <w:uiPriority w:val="6"/>
    <w:rPr>
      <w:rFonts w:ascii="宋体" w:hAnsi="宋体"/>
      <w:kern w:val="1"/>
      <w:sz w:val="24"/>
      <w:szCs w:val="21"/>
      <w:lang w:val="zh-CN"/>
    </w:rPr>
  </w:style>
  <w:style w:type="character" w:customStyle="1" w:styleId="213">
    <w:name w:val="Char Char24"/>
    <w:qFormat/>
    <w:uiPriority w:val="6"/>
    <w:rPr>
      <w:kern w:val="1"/>
      <w:sz w:val="21"/>
    </w:rPr>
  </w:style>
  <w:style w:type="character" w:customStyle="1" w:styleId="214">
    <w:name w:val="正文非缩进 Char3"/>
    <w:qFormat/>
    <w:uiPriority w:val="0"/>
    <w:rPr>
      <w:rFonts w:ascii="宋体" w:eastAsia="宋体"/>
      <w:snapToGrid w:val="0"/>
      <w:color w:val="000000"/>
      <w:kern w:val="28"/>
      <w:sz w:val="28"/>
      <w:lang w:val="en-US" w:eastAsia="zh-CN" w:bidi="ar-SA"/>
    </w:rPr>
  </w:style>
  <w:style w:type="character" w:customStyle="1" w:styleId="215">
    <w:name w:val="md"/>
    <w:qFormat/>
    <w:uiPriority w:val="0"/>
    <w:rPr>
      <w:rFonts w:ascii="Arial" w:hAnsi="Arial" w:eastAsia="黑体" w:cs="Arial"/>
      <w:snapToGrid w:val="0"/>
      <w:kern w:val="0"/>
      <w:szCs w:val="21"/>
    </w:rPr>
  </w:style>
  <w:style w:type="character" w:customStyle="1" w:styleId="216">
    <w:name w:val="标题 3 字符"/>
    <w:qFormat/>
    <w:uiPriority w:val="9"/>
    <w:rPr>
      <w:b/>
      <w:bCs/>
      <w:kern w:val="2"/>
      <w:sz w:val="32"/>
      <w:szCs w:val="32"/>
    </w:rPr>
  </w:style>
  <w:style w:type="character" w:customStyle="1" w:styleId="217">
    <w:name w:val="Item List Char"/>
    <w:link w:val="218"/>
    <w:qFormat/>
    <w:uiPriority w:val="0"/>
    <w:rPr>
      <w:rFonts w:ascii="Arial"/>
      <w:bCs/>
      <w:sz w:val="21"/>
      <w:szCs w:val="21"/>
      <w:lang w:val="en-US" w:eastAsia="zh-CN" w:bidi="ar-SA"/>
    </w:rPr>
  </w:style>
  <w:style w:type="paragraph" w:customStyle="1" w:styleId="218">
    <w:name w:val="Item List"/>
    <w:link w:val="2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19">
    <w:name w:val="H5 Char"/>
    <w:qFormat/>
    <w:uiPriority w:val="0"/>
    <w:rPr>
      <w:b/>
      <w:bCs/>
      <w:kern w:val="2"/>
      <w:sz w:val="28"/>
      <w:szCs w:val="28"/>
    </w:rPr>
  </w:style>
  <w:style w:type="character" w:customStyle="1" w:styleId="220">
    <w:name w:val="Heading 7 Char"/>
    <w:qFormat/>
    <w:locked/>
    <w:uiPriority w:val="0"/>
    <w:rPr>
      <w:rFonts w:ascii="宋体" w:hAnsi="宋体" w:eastAsia="宋体"/>
      <w:b/>
      <w:bCs/>
      <w:kern w:val="2"/>
      <w:sz w:val="24"/>
      <w:szCs w:val="24"/>
      <w:lang w:val="en-US" w:eastAsia="zh-CN" w:bidi="ar-SA"/>
    </w:rPr>
  </w:style>
  <w:style w:type="character" w:customStyle="1" w:styleId="221">
    <w:name w:val="my正文 Char"/>
    <w:link w:val="222"/>
    <w:qFormat/>
    <w:locked/>
    <w:uiPriority w:val="0"/>
    <w:rPr>
      <w:rFonts w:ascii="Tahoma" w:hAnsi="Tahoma"/>
      <w:sz w:val="24"/>
      <w:szCs w:val="24"/>
    </w:rPr>
  </w:style>
  <w:style w:type="paragraph" w:customStyle="1" w:styleId="222">
    <w:name w:val="my正文"/>
    <w:basedOn w:val="1"/>
    <w:link w:val="221"/>
    <w:qFormat/>
    <w:uiPriority w:val="0"/>
    <w:pPr>
      <w:adjustRightInd/>
      <w:spacing w:line="360" w:lineRule="auto"/>
      <w:ind w:firstLine="480" w:firstLineChars="200"/>
    </w:pPr>
    <w:rPr>
      <w:rFonts w:ascii="Tahoma" w:hAnsi="Tahoma"/>
      <w:kern w:val="0"/>
      <w:sz w:val="24"/>
    </w:rPr>
  </w:style>
  <w:style w:type="character" w:customStyle="1" w:styleId="223">
    <w:name w:val="Char Char9"/>
    <w:qFormat/>
    <w:uiPriority w:val="0"/>
    <w:rPr>
      <w:rFonts w:eastAsia="宋体"/>
      <w:kern w:val="2"/>
      <w:sz w:val="18"/>
      <w:szCs w:val="18"/>
      <w:lang w:val="en-US" w:eastAsia="zh-CN" w:bidi="ar-SA"/>
    </w:rPr>
  </w:style>
  <w:style w:type="character" w:customStyle="1" w:styleId="22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225">
    <w:name w:val="question-title2"/>
    <w:qFormat/>
    <w:uiPriority w:val="6"/>
    <w:rPr>
      <w:rFonts w:ascii="Arial" w:hAnsi="Arial" w:eastAsia="黑体" w:cs="Arial"/>
      <w:snapToGrid w:val="0"/>
      <w:kern w:val="0"/>
      <w:szCs w:val="21"/>
    </w:rPr>
  </w:style>
  <w:style w:type="character" w:customStyle="1" w:styleId="226">
    <w:name w:val="tw4winExternal"/>
    <w:qFormat/>
    <w:uiPriority w:val="0"/>
    <w:rPr>
      <w:rFonts w:ascii="Courier New" w:hAnsi="Courier New" w:cs="Courier New"/>
      <w:color w:val="808080"/>
      <w:lang w:val="en-US" w:eastAsia="zh-CN"/>
    </w:rPr>
  </w:style>
  <w:style w:type="character" w:customStyle="1" w:styleId="227">
    <w:name w:val="tw4winInternal"/>
    <w:qFormat/>
    <w:uiPriority w:val="0"/>
    <w:rPr>
      <w:rFonts w:ascii="Courier New" w:hAnsi="Courier New" w:cs="Courier New"/>
      <w:color w:val="FF0000"/>
      <w:lang w:val="en-US" w:eastAsia="zh-CN"/>
    </w:rPr>
  </w:style>
  <w:style w:type="character" w:customStyle="1" w:styleId="228">
    <w:name w:val="Footer-Even Char"/>
    <w:qFormat/>
    <w:uiPriority w:val="0"/>
    <w:rPr>
      <w:rFonts w:eastAsia="宋体"/>
      <w:kern w:val="2"/>
      <w:sz w:val="18"/>
      <w:lang w:val="en-US" w:eastAsia="zh-CN" w:bidi="ar-SA"/>
    </w:rPr>
  </w:style>
  <w:style w:type="character" w:customStyle="1" w:styleId="229">
    <w:name w:val="tw4winPopup"/>
    <w:qFormat/>
    <w:uiPriority w:val="0"/>
    <w:rPr>
      <w:rFonts w:ascii="Courier New" w:hAnsi="Courier New" w:cs="Courier New"/>
      <w:color w:val="008000"/>
      <w:lang w:val="en-US" w:eastAsia="zh-CN"/>
    </w:rPr>
  </w:style>
  <w:style w:type="character" w:customStyle="1" w:styleId="230">
    <w:name w:val="表格 Char Char"/>
    <w:qFormat/>
    <w:uiPriority w:val="0"/>
    <w:rPr>
      <w:rFonts w:ascii="宋体" w:hAnsi="宋体" w:eastAsia="宋体"/>
      <w:lang w:bidi="ar-SA"/>
    </w:rPr>
  </w:style>
  <w:style w:type="character" w:customStyle="1" w:styleId="231">
    <w:name w:val="Font Style82"/>
    <w:qFormat/>
    <w:uiPriority w:val="99"/>
    <w:rPr>
      <w:rFonts w:ascii="宋体" w:eastAsia="宋体" w:cs="宋体"/>
      <w:color w:val="000000"/>
      <w:sz w:val="14"/>
      <w:szCs w:val="14"/>
    </w:rPr>
  </w:style>
  <w:style w:type="character" w:customStyle="1" w:styleId="232">
    <w:name w:val="标题 2 Char"/>
    <w:qFormat/>
    <w:uiPriority w:val="0"/>
    <w:rPr>
      <w:rFonts w:ascii="Arial" w:hAnsi="Arial" w:eastAsia="黑体"/>
      <w:b/>
      <w:kern w:val="2"/>
      <w:sz w:val="32"/>
      <w:lang w:val="en-US" w:eastAsia="zh-CN"/>
    </w:rPr>
  </w:style>
  <w:style w:type="character" w:customStyle="1" w:styleId="233">
    <w:name w:val="style36"/>
    <w:qFormat/>
    <w:uiPriority w:val="0"/>
    <w:rPr>
      <w:rFonts w:ascii="Arial" w:hAnsi="Arial" w:eastAsia="黑体" w:cs="Arial"/>
      <w:snapToGrid w:val="0"/>
      <w:kern w:val="0"/>
      <w:szCs w:val="21"/>
    </w:rPr>
  </w:style>
  <w:style w:type="character" w:customStyle="1" w:styleId="234">
    <w:name w:val="font12gray1"/>
    <w:qFormat/>
    <w:uiPriority w:val="0"/>
    <w:rPr>
      <w:rFonts w:ascii="仿宋_GB2312" w:eastAsia="微软雅黑"/>
      <w:b/>
      <w:spacing w:val="300"/>
      <w:kern w:val="2"/>
      <w:sz w:val="18"/>
      <w:szCs w:val="18"/>
      <w:lang w:val="en-US" w:eastAsia="zh-CN" w:bidi="ar-SA"/>
    </w:rPr>
  </w:style>
  <w:style w:type="character" w:customStyle="1" w:styleId="235">
    <w:name w:val="签名 Char1"/>
    <w:qFormat/>
    <w:uiPriority w:val="0"/>
    <w:rPr>
      <w:rFonts w:ascii="Times New Roman" w:hAnsi="Times New Roman" w:eastAsia="宋体" w:cs="Times New Roman"/>
      <w:szCs w:val="24"/>
    </w:rPr>
  </w:style>
  <w:style w:type="character" w:customStyle="1" w:styleId="236">
    <w:name w:val="文本正文 Char Char"/>
    <w:qFormat/>
    <w:locked/>
    <w:uiPriority w:val="0"/>
    <w:rPr>
      <w:sz w:val="24"/>
      <w:lang w:bidi="ar-SA"/>
    </w:rPr>
  </w:style>
  <w:style w:type="character" w:customStyle="1" w:styleId="237">
    <w:name w:val="dectext1"/>
    <w:qFormat/>
    <w:uiPriority w:val="0"/>
    <w:rPr>
      <w:rFonts w:ascii="宋体" w:hAnsi="宋体" w:eastAsia="宋体"/>
      <w:color w:val="333333"/>
      <w:sz w:val="21"/>
      <w:szCs w:val="21"/>
      <w:u w:val="none"/>
    </w:rPr>
  </w:style>
  <w:style w:type="character" w:customStyle="1" w:styleId="238">
    <w:name w:val="h Char Char1"/>
    <w:qFormat/>
    <w:uiPriority w:val="0"/>
    <w:rPr>
      <w:rFonts w:eastAsia="宋体"/>
      <w:kern w:val="2"/>
      <w:sz w:val="18"/>
      <w:szCs w:val="18"/>
      <w:lang w:val="en-US" w:eastAsia="zh-CN" w:bidi="ar-SA"/>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页眉 Char"/>
    <w:qFormat/>
    <w:uiPriority w:val="0"/>
    <w:rPr>
      <w:rFonts w:eastAsia="仿宋_GB2312"/>
      <w:kern w:val="2"/>
      <w:sz w:val="18"/>
      <w:lang w:val="en-US" w:eastAsia="zh-CN"/>
    </w:rPr>
  </w:style>
  <w:style w:type="character" w:customStyle="1" w:styleId="241">
    <w:name w:val="Char Char611"/>
    <w:qFormat/>
    <w:uiPriority w:val="0"/>
    <w:rPr>
      <w:rFonts w:eastAsia="宋体"/>
      <w:kern w:val="2"/>
      <w:sz w:val="21"/>
      <w:szCs w:val="24"/>
      <w:lang w:val="en-US" w:eastAsia="zh-CN" w:bidi="ar-SA"/>
    </w:rPr>
  </w:style>
  <w:style w:type="character" w:customStyle="1" w:styleId="242">
    <w:name w:val="Header Char"/>
    <w:qFormat/>
    <w:locked/>
    <w:uiPriority w:val="0"/>
    <w:rPr>
      <w:rFonts w:eastAsia="宋体"/>
      <w:kern w:val="2"/>
      <w:sz w:val="18"/>
      <w:szCs w:val="18"/>
      <w:lang w:val="en-US" w:eastAsia="zh-CN" w:bidi="ar-SA"/>
    </w:rPr>
  </w:style>
  <w:style w:type="character" w:customStyle="1" w:styleId="243">
    <w:name w:val="px14"/>
    <w:qFormat/>
    <w:uiPriority w:val="0"/>
    <w:rPr>
      <w:rFonts w:ascii="仿宋_GB2312" w:eastAsia="微软雅黑" w:cs="Times New Roman"/>
      <w:b/>
      <w:kern w:val="2"/>
      <w:sz w:val="32"/>
      <w:szCs w:val="32"/>
      <w:lang w:val="en-US" w:eastAsia="zh-CN" w:bidi="ar-SA"/>
    </w:rPr>
  </w:style>
  <w:style w:type="character" w:customStyle="1" w:styleId="244">
    <w:name w:val="solutionfonts"/>
    <w:qFormat/>
    <w:uiPriority w:val="0"/>
  </w:style>
  <w:style w:type="character" w:customStyle="1" w:styleId="245">
    <w:name w:val="正文缩进 Char1"/>
    <w:qFormat/>
    <w:uiPriority w:val="0"/>
    <w:rPr>
      <w:rFonts w:ascii="宋体" w:eastAsia="宋体"/>
      <w:snapToGrid w:val="0"/>
      <w:color w:val="000000"/>
      <w:kern w:val="28"/>
      <w:sz w:val="28"/>
      <w:lang w:val="en-US" w:eastAsia="zh-CN" w:bidi="ar-SA"/>
    </w:rPr>
  </w:style>
  <w:style w:type="character" w:customStyle="1" w:styleId="246">
    <w:name w:val="Char Char25"/>
    <w:qFormat/>
    <w:uiPriority w:val="6"/>
    <w:rPr>
      <w:rFonts w:ascii="宋体" w:hAnsi="宋体"/>
      <w:kern w:val="1"/>
      <w:sz w:val="24"/>
      <w:lang w:val="zh-CN"/>
    </w:rPr>
  </w:style>
  <w:style w:type="character" w:customStyle="1" w:styleId="247">
    <w:name w:val="maywed421"/>
    <w:qFormat/>
    <w:uiPriority w:val="0"/>
    <w:rPr>
      <w:color w:val="366FB6"/>
      <w:u w:val="none"/>
    </w:rPr>
  </w:style>
  <w:style w:type="character" w:customStyle="1" w:styleId="248">
    <w:name w:val="PI Char"/>
    <w:qFormat/>
    <w:uiPriority w:val="0"/>
    <w:rPr>
      <w:rFonts w:ascii="宋体" w:hAnsi="宋体" w:eastAsia="宋体"/>
      <w:kern w:val="2"/>
      <w:sz w:val="24"/>
      <w:szCs w:val="24"/>
      <w:lang w:val="en-US" w:eastAsia="zh-CN" w:bidi="ar-SA"/>
    </w:rPr>
  </w:style>
  <w:style w:type="character" w:customStyle="1" w:styleId="249">
    <w:name w:val="Char Char161"/>
    <w:qFormat/>
    <w:uiPriority w:val="0"/>
    <w:rPr>
      <w:rFonts w:eastAsia="宋体"/>
      <w:b/>
      <w:kern w:val="2"/>
      <w:sz w:val="32"/>
      <w:lang w:val="en-US" w:eastAsia="zh-CN"/>
    </w:rPr>
  </w:style>
  <w:style w:type="character" w:customStyle="1" w:styleId="250">
    <w:name w:val="批注文字 字符"/>
    <w:qFormat/>
    <w:uiPriority w:val="0"/>
    <w:rPr>
      <w:rFonts w:ascii="Arial" w:hAnsi="Arial" w:eastAsia="黑体" w:cs="Arial"/>
      <w:snapToGrid w:val="0"/>
      <w:kern w:val="0"/>
      <w:szCs w:val="21"/>
    </w:rPr>
  </w:style>
  <w:style w:type="character" w:customStyle="1" w:styleId="251">
    <w:name w:val="页脚 Char"/>
    <w:qFormat/>
    <w:uiPriority w:val="0"/>
    <w:rPr>
      <w:rFonts w:eastAsia="仿宋_GB2312"/>
      <w:kern w:val="2"/>
      <w:sz w:val="18"/>
      <w:lang w:val="en-US" w:eastAsia="zh-CN"/>
    </w:rPr>
  </w:style>
  <w:style w:type="character" w:customStyle="1" w:styleId="252">
    <w:name w:val="Char Char411"/>
    <w:qFormat/>
    <w:uiPriority w:val="0"/>
    <w:rPr>
      <w:rFonts w:eastAsia="宋体"/>
      <w:b/>
      <w:sz w:val="24"/>
      <w:lang w:val="en-GB"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冯广丽 Char"/>
    <w:link w:val="255"/>
    <w:qFormat/>
    <w:uiPriority w:val="0"/>
    <w:rPr>
      <w:rFonts w:ascii="宋体" w:hAnsi="宋体"/>
      <w:kern w:val="2"/>
      <w:sz w:val="24"/>
      <w:szCs w:val="22"/>
    </w:rPr>
  </w:style>
  <w:style w:type="paragraph" w:customStyle="1" w:styleId="255">
    <w:name w:val="冯广丽"/>
    <w:basedOn w:val="1"/>
    <w:link w:val="254"/>
    <w:qFormat/>
    <w:uiPriority w:val="0"/>
    <w:pPr>
      <w:adjustRightInd/>
      <w:spacing w:line="360" w:lineRule="auto"/>
      <w:ind w:firstLine="480" w:firstLineChars="200"/>
    </w:pPr>
    <w:rPr>
      <w:rFonts w:ascii="宋体" w:hAnsi="宋体"/>
      <w:sz w:val="24"/>
      <w:szCs w:val="22"/>
    </w:rPr>
  </w:style>
  <w:style w:type="character" w:customStyle="1" w:styleId="256">
    <w:name w:val="未处理的提及1"/>
    <w:qFormat/>
    <w:uiPriority w:val="0"/>
    <w:rPr>
      <w:color w:val="808080"/>
      <w:shd w:val="clear" w:color="auto" w:fill="E6E6E6"/>
    </w:rPr>
  </w:style>
  <w:style w:type="character" w:customStyle="1" w:styleId="257">
    <w:name w:val="param-name"/>
    <w:qFormat/>
    <w:uiPriority w:val="99"/>
    <w:rPr>
      <w:rFonts w:ascii="Arial" w:hAnsi="Arial" w:eastAsia="黑体" w:cs="Arial"/>
      <w:snapToGrid w:val="0"/>
      <w:kern w:val="0"/>
      <w:szCs w:val="21"/>
    </w:rPr>
  </w:style>
  <w:style w:type="character" w:customStyle="1" w:styleId="258">
    <w:name w:val="页脚 Char1"/>
    <w:qFormat/>
    <w:uiPriority w:val="0"/>
    <w:rPr>
      <w:rFonts w:eastAsia="宋体"/>
      <w:kern w:val="2"/>
      <w:sz w:val="18"/>
      <w:szCs w:val="18"/>
      <w:lang w:val="en-US" w:eastAsia="zh-CN" w:bidi="ar-SA"/>
    </w:rPr>
  </w:style>
  <w:style w:type="character" w:customStyle="1" w:styleId="259">
    <w:name w:val="Char Char81"/>
    <w:qFormat/>
    <w:uiPriority w:val="6"/>
    <w:rPr>
      <w:rFonts w:eastAsia="宋体"/>
      <w:b/>
      <w:sz w:val="24"/>
      <w:lang w:val="en-GB" w:eastAsia="zh-CN"/>
    </w:rPr>
  </w:style>
  <w:style w:type="character" w:customStyle="1" w:styleId="260">
    <w:name w:val="普通文字 Char3"/>
    <w:qFormat/>
    <w:uiPriority w:val="0"/>
    <w:rPr>
      <w:rFonts w:ascii="宋体" w:hAnsi="Courier New" w:eastAsia="宋体"/>
      <w:kern w:val="2"/>
      <w:sz w:val="21"/>
      <w:lang w:val="en-US" w:eastAsia="zh-CN" w:bidi="ar-SA"/>
    </w:rPr>
  </w:style>
  <w:style w:type="character" w:customStyle="1" w:styleId="261">
    <w:name w:val="Char Char4"/>
    <w:qFormat/>
    <w:uiPriority w:val="0"/>
    <w:rPr>
      <w:rFonts w:eastAsia="宋体"/>
      <w:b/>
      <w:sz w:val="24"/>
      <w:lang w:val="en-GB" w:eastAsia="zh-CN" w:bidi="ar-SA"/>
    </w:rPr>
  </w:style>
  <w:style w:type="character" w:customStyle="1" w:styleId="262">
    <w:name w:val="hei16b1"/>
    <w:qFormat/>
    <w:uiPriority w:val="0"/>
    <w:rPr>
      <w:rFonts w:hint="default" w:ascii="Arial" w:hAnsi="Arial" w:cs="Arial"/>
      <w:b/>
      <w:bCs/>
      <w:color w:val="000000"/>
      <w:sz w:val="24"/>
      <w:szCs w:val="24"/>
    </w:rPr>
  </w:style>
  <w:style w:type="character" w:customStyle="1" w:styleId="263">
    <w:name w:val="插图说明 Char"/>
    <w:qFormat/>
    <w:uiPriority w:val="0"/>
    <w:rPr>
      <w:rFonts w:eastAsia="黑体"/>
      <w:sz w:val="24"/>
      <w:lang w:val="en-US" w:eastAsia="zh-CN"/>
    </w:rPr>
  </w:style>
  <w:style w:type="character" w:customStyle="1" w:styleId="264">
    <w:name w:val="Char Char1211"/>
    <w:qFormat/>
    <w:uiPriority w:val="0"/>
    <w:rPr>
      <w:rFonts w:ascii="仿宋_GB2312" w:eastAsia="仿宋_GB2312"/>
      <w:b/>
      <w:bCs/>
      <w:kern w:val="2"/>
      <w:sz w:val="24"/>
      <w:szCs w:val="24"/>
      <w:lang w:val="zh-CN" w:eastAsia="zh-CN" w:bidi="ar-SA"/>
    </w:rPr>
  </w:style>
  <w:style w:type="character" w:customStyle="1" w:styleId="265">
    <w:name w:val="表正文 Char"/>
    <w:qFormat/>
    <w:uiPriority w:val="0"/>
    <w:rPr>
      <w:rFonts w:ascii="宋体" w:eastAsia="宋体"/>
      <w:snapToGrid w:val="0"/>
      <w:color w:val="000000"/>
      <w:kern w:val="28"/>
      <w:sz w:val="28"/>
      <w:lang w:val="en-US" w:eastAsia="zh-CN" w:bidi="ar-SA"/>
    </w:rPr>
  </w:style>
  <w:style w:type="character" w:customStyle="1" w:styleId="266">
    <w:name w:val="正文文本 2 字符"/>
    <w:qFormat/>
    <w:uiPriority w:val="0"/>
    <w:rPr>
      <w:rFonts w:ascii="Arial" w:hAnsi="Arial" w:eastAsia="宋体"/>
      <w:kern w:val="2"/>
      <w:sz w:val="24"/>
      <w:szCs w:val="24"/>
      <w:lang w:val="en-US" w:eastAsia="zh-CN" w:bidi="ar-SA"/>
    </w:rPr>
  </w:style>
  <w:style w:type="character" w:customStyle="1" w:styleId="267">
    <w:name w:val="正文首行缩进 Char Char Char Char Char Char1"/>
    <w:qFormat/>
    <w:uiPriority w:val="0"/>
    <w:rPr>
      <w:rFonts w:ascii="宋体" w:eastAsia="宋体"/>
      <w:kern w:val="2"/>
      <w:sz w:val="24"/>
      <w:szCs w:val="24"/>
      <w:lang w:val="zh-CN" w:bidi="ar-SA"/>
    </w:rPr>
  </w:style>
  <w:style w:type="character" w:customStyle="1" w:styleId="268">
    <w:name w:val="批注框文本 字符"/>
    <w:qFormat/>
    <w:uiPriority w:val="0"/>
    <w:rPr>
      <w:rFonts w:ascii="Arial" w:hAnsi="Arial" w:eastAsia="黑体" w:cs="Arial"/>
      <w:snapToGrid w:val="0"/>
      <w:kern w:val="0"/>
      <w:sz w:val="18"/>
      <w:szCs w:val="18"/>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Char Char102"/>
    <w:semiHidden/>
    <w:qFormat/>
    <w:uiPriority w:val="0"/>
    <w:rPr>
      <w:rFonts w:ascii="宋体" w:hAnsi="宋体"/>
      <w:kern w:val="2"/>
      <w:sz w:val="21"/>
      <w:szCs w:val="24"/>
      <w:lang w:val="en-US" w:eastAsia="zh-CN"/>
    </w:rPr>
  </w:style>
  <w:style w:type="character" w:customStyle="1" w:styleId="271">
    <w:name w:val="链接"/>
    <w:qFormat/>
    <w:uiPriority w:val="0"/>
    <w:rPr>
      <w:color w:val="0000FF"/>
      <w:sz w:val="21"/>
      <w:szCs w:val="21"/>
      <w:u w:val="single"/>
    </w:rPr>
  </w:style>
  <w:style w:type="character" w:customStyle="1" w:styleId="272">
    <w:name w:val="DO_NOT_TRANSLATE"/>
    <w:qFormat/>
    <w:uiPriority w:val="0"/>
    <w:rPr>
      <w:rFonts w:ascii="Courier New" w:hAnsi="Courier New" w:cs="Courier New"/>
      <w:color w:val="800000"/>
      <w:lang w:val="en-US" w:eastAsia="zh-CN"/>
    </w:rPr>
  </w:style>
  <w:style w:type="character" w:customStyle="1" w:styleId="273">
    <w:name w:val="标准文本 Char Char"/>
    <w:link w:val="274"/>
    <w:qFormat/>
    <w:uiPriority w:val="0"/>
    <w:rPr>
      <w:rFonts w:cs="宋体"/>
      <w:kern w:val="2"/>
      <w:sz w:val="24"/>
    </w:rPr>
  </w:style>
  <w:style w:type="paragraph" w:customStyle="1" w:styleId="274">
    <w:name w:val="标准文本"/>
    <w:basedOn w:val="1"/>
    <w:link w:val="273"/>
    <w:qFormat/>
    <w:uiPriority w:val="0"/>
    <w:pPr>
      <w:adjustRightInd/>
      <w:spacing w:line="360" w:lineRule="auto"/>
      <w:ind w:firstLine="480" w:firstLineChars="200"/>
    </w:pPr>
    <w:rPr>
      <w:sz w:val="24"/>
      <w:szCs w:val="20"/>
    </w:rPr>
  </w:style>
  <w:style w:type="character" w:customStyle="1" w:styleId="275">
    <w:name w:val="dandyren_title1"/>
    <w:qFormat/>
    <w:uiPriority w:val="0"/>
    <w:rPr>
      <w:b/>
      <w:bCs/>
      <w:color w:val="FF6633"/>
      <w:sz w:val="18"/>
      <w:szCs w:val="18"/>
    </w:rPr>
  </w:style>
  <w:style w:type="character" w:customStyle="1" w:styleId="276">
    <w:name w:val="javascript"/>
    <w:qFormat/>
    <w:uiPriority w:val="0"/>
  </w:style>
  <w:style w:type="character" w:customStyle="1" w:styleId="277">
    <w:name w:val="Char Char8"/>
    <w:qFormat/>
    <w:uiPriority w:val="0"/>
    <w:rPr>
      <w:rFonts w:eastAsia="宋体"/>
      <w:b/>
      <w:sz w:val="24"/>
      <w:lang w:val="en-GB" w:eastAsia="zh-CN"/>
    </w:rPr>
  </w:style>
  <w:style w:type="character" w:customStyle="1" w:styleId="278">
    <w:name w:val="正文说明 Char"/>
    <w:link w:val="279"/>
    <w:qFormat/>
    <w:uiPriority w:val="0"/>
    <w:rPr>
      <w:sz w:val="24"/>
      <w:szCs w:val="24"/>
    </w:rPr>
  </w:style>
  <w:style w:type="paragraph" w:customStyle="1" w:styleId="279">
    <w:name w:val="正文说明"/>
    <w:basedOn w:val="1"/>
    <w:link w:val="278"/>
    <w:qFormat/>
    <w:uiPriority w:val="0"/>
    <w:pPr>
      <w:adjustRightInd/>
      <w:spacing w:line="360" w:lineRule="auto"/>
    </w:pPr>
    <w:rPr>
      <w:kern w:val="0"/>
      <w:sz w:val="24"/>
    </w:rPr>
  </w:style>
  <w:style w:type="character" w:customStyle="1" w:styleId="280">
    <w:name w:val="Char Char10"/>
    <w:semiHidden/>
    <w:qFormat/>
    <w:uiPriority w:val="0"/>
    <w:rPr>
      <w:rFonts w:ascii="宋体" w:hAnsi="宋体"/>
      <w:kern w:val="2"/>
      <w:sz w:val="21"/>
      <w:szCs w:val="24"/>
      <w:lang w:val="en-US" w:eastAsia="zh-CN"/>
    </w:rPr>
  </w:style>
  <w:style w:type="character" w:customStyle="1" w:styleId="281">
    <w:name w:val="页眉 字符"/>
    <w:qFormat/>
    <w:uiPriority w:val="99"/>
    <w:rPr>
      <w:kern w:val="2"/>
      <w:sz w:val="18"/>
      <w:szCs w:val="18"/>
    </w:rPr>
  </w:style>
  <w:style w:type="character" w:customStyle="1" w:styleId="282">
    <w:name w:val="tpc_content1"/>
    <w:qFormat/>
    <w:uiPriority w:val="0"/>
    <w:rPr>
      <w:sz w:val="20"/>
      <w:szCs w:val="20"/>
    </w:rPr>
  </w:style>
  <w:style w:type="character" w:customStyle="1" w:styleId="283">
    <w:name w:val="标书正文格式 Char"/>
    <w:qFormat/>
    <w:uiPriority w:val="0"/>
    <w:rPr>
      <w:rFonts w:eastAsia="楷体_GB2312"/>
      <w:kern w:val="2"/>
      <w:sz w:val="24"/>
      <w:szCs w:val="24"/>
      <w:lang w:bidi="ar-SA"/>
    </w:rPr>
  </w:style>
  <w:style w:type="character" w:customStyle="1" w:styleId="284">
    <w:name w:val="hui3"/>
    <w:qFormat/>
    <w:uiPriority w:val="0"/>
    <w:rPr>
      <w:color w:val="333333"/>
    </w:rPr>
  </w:style>
  <w:style w:type="character" w:customStyle="1" w:styleId="285">
    <w:name w:val="Char Char"/>
    <w:qFormat/>
    <w:uiPriority w:val="0"/>
    <w:rPr>
      <w:rFonts w:ascii="宋体" w:hAnsi="Courier New" w:eastAsia="宋体"/>
      <w:kern w:val="2"/>
      <w:sz w:val="21"/>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正文首行缩进 Char Char Char Char Char Char"/>
    <w:qFormat/>
    <w:uiPriority w:val="0"/>
    <w:rPr>
      <w:rFonts w:ascii="宋体" w:eastAsia="宋体"/>
      <w:kern w:val="2"/>
      <w:sz w:val="24"/>
      <w:lang w:val="zh-CN" w:bidi="ar-SA"/>
    </w:rPr>
  </w:style>
  <w:style w:type="character" w:customStyle="1" w:styleId="288">
    <w:name w:val="Char Char23"/>
    <w:qFormat/>
    <w:uiPriority w:val="6"/>
    <w:rPr>
      <w:color w:val="0000FF"/>
      <w:sz w:val="21"/>
    </w:rPr>
  </w:style>
  <w:style w:type="character" w:customStyle="1" w:styleId="289">
    <w:name w:val="tw4winError"/>
    <w:qFormat/>
    <w:uiPriority w:val="0"/>
    <w:rPr>
      <w:rFonts w:ascii="Courier New" w:hAnsi="Courier New" w:cs="Courier New"/>
      <w:color w:val="00FF00"/>
      <w:sz w:val="40"/>
      <w:szCs w:val="40"/>
    </w:rPr>
  </w:style>
  <w:style w:type="character" w:customStyle="1" w:styleId="290">
    <w:name w:val="Char Char12"/>
    <w:qFormat/>
    <w:uiPriority w:val="0"/>
    <w:rPr>
      <w:rFonts w:ascii="仿宋_GB2312" w:eastAsia="仿宋_GB2312"/>
      <w:b/>
      <w:bCs/>
      <w:kern w:val="2"/>
      <w:sz w:val="24"/>
      <w:szCs w:val="24"/>
      <w:lang w:val="zh-CN" w:eastAsia="zh-CN" w:bidi="ar-SA"/>
    </w:rPr>
  </w:style>
  <w:style w:type="character" w:customStyle="1" w:styleId="291">
    <w:name w:val="Char Char35"/>
    <w:qFormat/>
    <w:uiPriority w:val="6"/>
    <w:rPr>
      <w:rFonts w:ascii="Arial" w:hAnsi="Arial" w:eastAsia="黑体"/>
      <w:b/>
      <w:kern w:val="1"/>
      <w:sz w:val="28"/>
      <w:szCs w:val="28"/>
      <w:lang w:val="zh-CN"/>
    </w:rPr>
  </w:style>
  <w:style w:type="character" w:customStyle="1" w:styleId="292">
    <w:name w:val="Used by Word for text of Help footnotes Char Char1"/>
    <w:qFormat/>
    <w:uiPriority w:val="0"/>
    <w:rPr>
      <w:color w:val="0000FF"/>
      <w:sz w:val="21"/>
    </w:rPr>
  </w:style>
  <w:style w:type="character" w:customStyle="1" w:styleId="293">
    <w:name w:val="*正文 Char"/>
    <w:link w:val="294"/>
    <w:qFormat/>
    <w:locked/>
    <w:uiPriority w:val="0"/>
    <w:rPr>
      <w:rFonts w:ascii="宋体" w:hAnsi="宋体"/>
      <w:sz w:val="24"/>
    </w:rPr>
  </w:style>
  <w:style w:type="paragraph" w:customStyle="1" w:styleId="294">
    <w:name w:val="*正文"/>
    <w:basedOn w:val="1"/>
    <w:link w:val="293"/>
    <w:qFormat/>
    <w:uiPriority w:val="0"/>
    <w:pPr>
      <w:snapToGrid w:val="0"/>
      <w:spacing w:line="360" w:lineRule="auto"/>
      <w:ind w:firstLine="482"/>
      <w:jc w:val="left"/>
    </w:pPr>
    <w:rPr>
      <w:rFonts w:ascii="宋体" w:hAnsi="宋体"/>
      <w:kern w:val="0"/>
      <w:sz w:val="24"/>
      <w:szCs w:val="20"/>
    </w:rPr>
  </w:style>
  <w:style w:type="character" w:customStyle="1" w:styleId="295">
    <w:name w:val="Char Char41"/>
    <w:qFormat/>
    <w:uiPriority w:val="0"/>
    <w:rPr>
      <w:rFonts w:eastAsia="宋体"/>
      <w:b/>
      <w:sz w:val="24"/>
      <w:lang w:val="en-GB" w:eastAsia="zh-CN" w:bidi="ar-SA"/>
    </w:rPr>
  </w:style>
  <w:style w:type="character" w:customStyle="1" w:styleId="296">
    <w:name w:val="pt141"/>
    <w:qFormat/>
    <w:uiPriority w:val="0"/>
    <w:rPr>
      <w:color w:val="330066"/>
      <w:sz w:val="22"/>
      <w:szCs w:val="22"/>
    </w:rPr>
  </w:style>
  <w:style w:type="character" w:customStyle="1" w:styleId="297">
    <w:name w:val="表名 Char"/>
    <w:qFormat/>
    <w:uiPriority w:val="0"/>
    <w:rPr>
      <w:rFonts w:eastAsia="宋体"/>
      <w:b/>
      <w:bCs/>
      <w:kern w:val="2"/>
      <w:sz w:val="24"/>
      <w:szCs w:val="24"/>
      <w:lang w:val="en-US" w:eastAsia="zh-CN" w:bidi="ar-SA"/>
    </w:rPr>
  </w:style>
  <w:style w:type="character" w:customStyle="1" w:styleId="298">
    <w:name w:val="Heading 1 Char"/>
    <w:qFormat/>
    <w:uiPriority w:val="6"/>
    <w:rPr>
      <w:rFonts w:ascii="Times New Roman" w:hAnsi="Times New Roman" w:eastAsia="黑体" w:cs="Times New Roman"/>
      <w:b/>
      <w:kern w:val="0"/>
      <w:sz w:val="24"/>
      <w:szCs w:val="24"/>
    </w:rPr>
  </w:style>
  <w:style w:type="character" w:customStyle="1" w:styleId="299">
    <w:name w:val="Char Char311"/>
    <w:qFormat/>
    <w:uiPriority w:val="0"/>
    <w:rPr>
      <w:rFonts w:eastAsia="宋体"/>
      <w:kern w:val="2"/>
      <w:sz w:val="21"/>
      <w:szCs w:val="24"/>
      <w:lang w:val="en-US" w:eastAsia="zh-CN" w:bidi="ar-SA"/>
    </w:rPr>
  </w:style>
  <w:style w:type="character" w:customStyle="1" w:styleId="300">
    <w:name w:val="公文正文 Char Char"/>
    <w:link w:val="301"/>
    <w:qFormat/>
    <w:uiPriority w:val="0"/>
    <w:rPr>
      <w:rFonts w:ascii="仿宋_GB2312" w:eastAsia="仿宋_GB2312"/>
      <w:kern w:val="2"/>
      <w:sz w:val="24"/>
      <w:szCs w:val="24"/>
    </w:rPr>
  </w:style>
  <w:style w:type="paragraph" w:customStyle="1" w:styleId="301">
    <w:name w:val="公文正文"/>
    <w:basedOn w:val="1"/>
    <w:link w:val="300"/>
    <w:qFormat/>
    <w:uiPriority w:val="0"/>
    <w:pPr>
      <w:adjustRightInd/>
      <w:spacing w:before="156" w:line="360" w:lineRule="auto"/>
      <w:ind w:firstLine="360" w:firstLineChars="200"/>
    </w:pPr>
    <w:rPr>
      <w:rFonts w:ascii="仿宋_GB2312" w:eastAsia="仿宋_GB2312"/>
      <w:sz w:val="24"/>
    </w:rPr>
  </w:style>
  <w:style w:type="character" w:customStyle="1" w:styleId="302">
    <w:name w:val="Table Text Char1"/>
    <w:qFormat/>
    <w:uiPriority w:val="0"/>
    <w:rPr>
      <w:rFonts w:eastAsia="宋体"/>
      <w:sz w:val="24"/>
      <w:szCs w:val="24"/>
      <w:lang w:val="en-US" w:eastAsia="zh-CN" w:bidi="ar-SA"/>
    </w:rPr>
  </w:style>
  <w:style w:type="character" w:customStyle="1" w:styleId="303">
    <w:name w:val="文档结构图 Char"/>
    <w:qFormat/>
    <w:uiPriority w:val="0"/>
    <w:rPr>
      <w:rFonts w:eastAsia="宋体"/>
      <w:kern w:val="2"/>
      <w:sz w:val="21"/>
      <w:szCs w:val="24"/>
      <w:lang w:val="en-US" w:eastAsia="zh-CN" w:bidi="ar-SA"/>
    </w:rPr>
  </w:style>
  <w:style w:type="character" w:customStyle="1" w:styleId="304">
    <w:name w:val="ca-131"/>
    <w:qFormat/>
    <w:uiPriority w:val="0"/>
    <w:rPr>
      <w:rFonts w:hint="eastAsia" w:ascii="仿宋_GB2312" w:eastAsia="仿宋_GB2312"/>
      <w:b/>
      <w:bCs/>
      <w:color w:val="000000"/>
      <w:spacing w:val="-20"/>
      <w:sz w:val="24"/>
      <w:szCs w:val="24"/>
    </w:rPr>
  </w:style>
  <w:style w:type="character" w:customStyle="1" w:styleId="305">
    <w:name w:val="Ò³Ã¼ Char Char"/>
    <w:qFormat/>
    <w:uiPriority w:val="0"/>
    <w:rPr>
      <w:rFonts w:eastAsia="宋体"/>
      <w:kern w:val="2"/>
      <w:sz w:val="18"/>
      <w:lang w:val="en-US" w:eastAsia="zh-CN" w:bidi="ar-SA"/>
    </w:rPr>
  </w:style>
  <w:style w:type="character" w:customStyle="1" w:styleId="306">
    <w:name w:val="Char Char33"/>
    <w:qFormat/>
    <w:uiPriority w:val="6"/>
    <w:rPr>
      <w:rFonts w:ascii="Arial" w:hAnsi="Arial" w:eastAsia="黑体"/>
      <w:b/>
      <w:kern w:val="1"/>
      <w:sz w:val="24"/>
      <w:szCs w:val="24"/>
    </w:rPr>
  </w:style>
  <w:style w:type="character" w:customStyle="1" w:styleId="307">
    <w:name w:val="message1"/>
    <w:qFormat/>
    <w:uiPriority w:val="0"/>
    <w:rPr>
      <w:rFonts w:hint="default" w:ascii="Tahoma" w:hAnsi="Tahoma" w:cs="Tahoma"/>
      <w:sz w:val="18"/>
      <w:szCs w:val="18"/>
    </w:rPr>
  </w:style>
  <w:style w:type="character" w:customStyle="1" w:styleId="308">
    <w:name w:val="gf正文1 Char"/>
    <w:qFormat/>
    <w:uiPriority w:val="0"/>
    <w:rPr>
      <w:rFonts w:ascii="宋体" w:hAnsi="宋体" w:eastAsia="宋体" w:cs="宋体"/>
      <w:kern w:val="2"/>
      <w:sz w:val="24"/>
      <w:szCs w:val="24"/>
      <w:lang w:val="en-US" w:eastAsia="zh-CN" w:bidi="ar-SA"/>
    </w:rPr>
  </w:style>
  <w:style w:type="character" w:customStyle="1" w:styleId="309">
    <w:name w:val="font21"/>
    <w:qFormat/>
    <w:uiPriority w:val="0"/>
    <w:rPr>
      <w:rFonts w:hint="eastAsia" w:ascii="宋体" w:hAnsi="宋体" w:eastAsia="宋体"/>
      <w:kern w:val="2"/>
      <w:sz w:val="28"/>
      <w:szCs w:val="28"/>
      <w:lang w:val="en-US" w:eastAsia="zh-CN" w:bidi="ar-SA"/>
    </w:rPr>
  </w:style>
  <w:style w:type="character" w:customStyle="1" w:styleId="310">
    <w:name w:val="页脚 字符"/>
    <w:qFormat/>
    <w:uiPriority w:val="99"/>
    <w:rPr>
      <w:kern w:val="2"/>
      <w:sz w:val="18"/>
      <w:szCs w:val="18"/>
    </w:rPr>
  </w:style>
  <w:style w:type="character" w:customStyle="1" w:styleId="311">
    <w:name w:val="正文文本缩进 3 Char1"/>
    <w:semiHidden/>
    <w:qFormat/>
    <w:uiPriority w:val="99"/>
    <w:rPr>
      <w:rFonts w:ascii="Times New Roman" w:hAnsi="Times New Roman" w:eastAsia="宋体" w:cs="Times New Roman"/>
      <w:sz w:val="16"/>
      <w:szCs w:val="16"/>
    </w:rPr>
  </w:style>
  <w:style w:type="character" w:customStyle="1" w:styleId="312">
    <w:name w:val="样式 样式 标题 4h4H4Fab-4T5Ref Heading 1rh1Heading sqlsect 1.2.3.... +... Char"/>
    <w:link w:val="313"/>
    <w:qFormat/>
    <w:uiPriority w:val="0"/>
    <w:rPr>
      <w:rFonts w:ascii="微软雅黑" w:hAnsi="微软雅黑" w:eastAsia="微软雅黑"/>
      <w:b/>
      <w:bCs/>
      <w:kern w:val="2"/>
      <w:sz w:val="24"/>
      <w:szCs w:val="28"/>
    </w:rPr>
  </w:style>
  <w:style w:type="paragraph" w:customStyle="1" w:styleId="313">
    <w:name w:val="样式 样式 标题 4h4H4Fab-4T5Ref Heading 1rh1Heading sqlsect 1.2.3.... +..."/>
    <w:basedOn w:val="314"/>
    <w:link w:val="312"/>
    <w:qFormat/>
    <w:uiPriority w:val="0"/>
    <w:pPr>
      <w:tabs>
        <w:tab w:val="left" w:pos="2356"/>
      </w:tabs>
    </w:pPr>
  </w:style>
  <w:style w:type="paragraph" w:customStyle="1" w:styleId="314">
    <w:name w:val="样式 标题 4h4H4Fab-4T5Ref Heading 1rh1Heading sqlsect 1.2.3...."/>
    <w:basedOn w:val="6"/>
    <w:link w:val="3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5">
    <w:name w:val="样式 标题 4h4H4Fab-4T5Ref Heading 1rh1Heading sqlsect 1.2.3.... Char"/>
    <w:link w:val="314"/>
    <w:qFormat/>
    <w:uiPriority w:val="0"/>
    <w:rPr>
      <w:rFonts w:ascii="微软雅黑" w:hAnsi="微软雅黑" w:eastAsia="微软雅黑"/>
      <w:b/>
      <w:bCs/>
      <w:kern w:val="2"/>
      <w:sz w:val="24"/>
      <w:szCs w:val="28"/>
    </w:rPr>
  </w:style>
  <w:style w:type="character" w:customStyle="1" w:styleId="316">
    <w:name w:val="交叉引用"/>
    <w:qFormat/>
    <w:uiPriority w:val="1"/>
    <w:rPr>
      <w:rFonts w:ascii="Arial" w:hAnsi="Arial" w:eastAsia="黑体"/>
      <w:snapToGrid w:val="0"/>
      <w:color w:val="0000FF"/>
      <w:kern w:val="0"/>
      <w:sz w:val="20"/>
      <w:szCs w:val="21"/>
      <w:u w:val="single"/>
      <w:lang w:val="en-US" w:eastAsia="zh-CN"/>
    </w:rPr>
  </w:style>
  <w:style w:type="character" w:customStyle="1" w:styleId="317">
    <w:name w:val="h Char1"/>
    <w:qFormat/>
    <w:uiPriority w:val="0"/>
    <w:rPr>
      <w:sz w:val="18"/>
      <w:szCs w:val="18"/>
    </w:rPr>
  </w:style>
  <w:style w:type="character" w:customStyle="1" w:styleId="318">
    <w:name w:val="gray6"/>
    <w:qFormat/>
    <w:uiPriority w:val="0"/>
    <w:rPr>
      <w:rFonts w:ascii="Arial" w:hAnsi="Arial" w:eastAsia="黑体" w:cs="Arial"/>
      <w:snapToGrid w:val="0"/>
      <w:kern w:val="0"/>
      <w:szCs w:val="21"/>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Char Char27"/>
    <w:qFormat/>
    <w:uiPriority w:val="6"/>
    <w:rPr>
      <w:rFonts w:ascii="宋体" w:hAnsi="宋体" w:eastAsia="宋体"/>
      <w:color w:val="000000"/>
      <w:kern w:val="1"/>
      <w:sz w:val="28"/>
      <w:lang w:val="en-US" w:eastAsia="zh-CN" w:bidi="ar-SA"/>
    </w:rPr>
  </w:style>
  <w:style w:type="character" w:customStyle="1" w:styleId="321">
    <w:name w:val="gf正文1 Char Char"/>
    <w:link w:val="322"/>
    <w:qFormat/>
    <w:uiPriority w:val="0"/>
    <w:rPr>
      <w:rFonts w:ascii="宋体" w:hAnsi="宋体" w:cs="宋体"/>
      <w:kern w:val="2"/>
      <w:sz w:val="24"/>
      <w:szCs w:val="24"/>
    </w:rPr>
  </w:style>
  <w:style w:type="paragraph" w:customStyle="1" w:styleId="322">
    <w:name w:val="gf正文1"/>
    <w:basedOn w:val="1"/>
    <w:link w:val="32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23">
    <w:name w:val="Char Char30"/>
    <w:qFormat/>
    <w:uiPriority w:val="6"/>
    <w:rPr>
      <w:rFonts w:ascii="Arial" w:hAnsi="Arial" w:eastAsia="黑体"/>
      <w:kern w:val="1"/>
      <w:sz w:val="21"/>
      <w:szCs w:val="21"/>
    </w:rPr>
  </w:style>
  <w:style w:type="character" w:customStyle="1" w:styleId="324">
    <w:name w:val="段落 Char Char"/>
    <w:link w:val="325"/>
    <w:qFormat/>
    <w:uiPriority w:val="0"/>
    <w:rPr>
      <w:rFonts w:ascii="宋体" w:hAnsi="宋体"/>
      <w:sz w:val="24"/>
    </w:rPr>
  </w:style>
  <w:style w:type="paragraph" w:customStyle="1" w:styleId="325">
    <w:name w:val="段落"/>
    <w:basedOn w:val="1"/>
    <w:link w:val="324"/>
    <w:qFormat/>
    <w:uiPriority w:val="0"/>
    <w:pPr>
      <w:adjustRightInd/>
      <w:spacing w:line="360" w:lineRule="auto"/>
      <w:ind w:firstLine="480" w:firstLineChars="200"/>
    </w:pPr>
    <w:rPr>
      <w:rFonts w:ascii="宋体" w:hAnsi="宋体"/>
      <w:kern w:val="0"/>
      <w:sz w:val="24"/>
      <w:szCs w:val="20"/>
    </w:rPr>
  </w:style>
  <w:style w:type="character" w:customStyle="1" w:styleId="326">
    <w:name w:val="Char Char31"/>
    <w:qFormat/>
    <w:uiPriority w:val="6"/>
    <w:rPr>
      <w:rFonts w:ascii="Arial" w:hAnsi="Arial" w:eastAsia="黑体"/>
      <w:kern w:val="1"/>
      <w:sz w:val="24"/>
      <w:szCs w:val="24"/>
    </w:rPr>
  </w:style>
  <w:style w:type="character" w:customStyle="1" w:styleId="327">
    <w:name w:val="Balloon Text Char"/>
    <w:qFormat/>
    <w:locked/>
    <w:uiPriority w:val="0"/>
    <w:rPr>
      <w:rFonts w:eastAsia="宋体"/>
      <w:kern w:val="2"/>
      <w:sz w:val="18"/>
      <w:szCs w:val="18"/>
      <w:lang w:val="en-US" w:eastAsia="zh-CN" w:bidi="ar-SA"/>
    </w:rPr>
  </w:style>
  <w:style w:type="character" w:customStyle="1" w:styleId="328">
    <w:name w:val="页脚 字符1"/>
    <w:qFormat/>
    <w:locked/>
    <w:uiPriority w:val="99"/>
    <w:rPr>
      <w:kern w:val="2"/>
      <w:sz w:val="18"/>
      <w:szCs w:val="18"/>
    </w:rPr>
  </w:style>
  <w:style w:type="character" w:customStyle="1" w:styleId="329">
    <w:name w:val="页眉 字符1"/>
    <w:qFormat/>
    <w:uiPriority w:val="99"/>
    <w:rPr>
      <w:kern w:val="2"/>
      <w:sz w:val="18"/>
      <w:szCs w:val="18"/>
    </w:rPr>
  </w:style>
  <w:style w:type="character" w:customStyle="1" w:styleId="330">
    <w:name w:val="正文段 Char"/>
    <w:link w:val="331"/>
    <w:qFormat/>
    <w:uiPriority w:val="0"/>
    <w:rPr>
      <w:sz w:val="24"/>
    </w:rPr>
  </w:style>
  <w:style w:type="paragraph" w:customStyle="1" w:styleId="331">
    <w:name w:val="正文段"/>
    <w:basedOn w:val="1"/>
    <w:link w:val="330"/>
    <w:qFormat/>
    <w:uiPriority w:val="0"/>
    <w:pPr>
      <w:widowControl/>
      <w:snapToGrid w:val="0"/>
      <w:spacing w:afterLines="50"/>
      <w:ind w:firstLine="200" w:firstLineChars="200"/>
    </w:pPr>
    <w:rPr>
      <w:kern w:val="0"/>
      <w:sz w:val="24"/>
      <w:szCs w:val="20"/>
    </w:rPr>
  </w:style>
  <w:style w:type="character" w:customStyle="1" w:styleId="332">
    <w:name w:val="二级标题 Char Char"/>
    <w:qFormat/>
    <w:uiPriority w:val="0"/>
    <w:rPr>
      <w:rFonts w:ascii="宋体" w:hAnsi="宋体" w:eastAsia="宋体"/>
      <w:b/>
      <w:snapToGrid w:val="0"/>
      <w:kern w:val="2"/>
      <w:sz w:val="24"/>
      <w:szCs w:val="24"/>
      <w:lang w:val="en-US" w:eastAsia="zh-CN" w:bidi="ar-SA"/>
    </w:rPr>
  </w:style>
  <w:style w:type="character" w:customStyle="1" w:styleId="333">
    <w:name w:val="edui-clickable2"/>
    <w:qFormat/>
    <w:uiPriority w:val="0"/>
    <w:rPr>
      <w:color w:val="0000FF"/>
      <w:u w:val="single"/>
    </w:rPr>
  </w:style>
  <w:style w:type="character" w:customStyle="1" w:styleId="334">
    <w:name w:val="Char Char2"/>
    <w:qFormat/>
    <w:uiPriority w:val="0"/>
    <w:rPr>
      <w:rFonts w:eastAsia="宋体"/>
      <w:b/>
      <w:bCs/>
      <w:kern w:val="2"/>
      <w:sz w:val="21"/>
      <w:szCs w:val="24"/>
      <w:lang w:val="en-US" w:eastAsia="zh-CN" w:bidi="ar-SA"/>
    </w:rPr>
  </w:style>
  <w:style w:type="character" w:customStyle="1" w:styleId="335">
    <w:name w:val="style91"/>
    <w:qFormat/>
    <w:uiPriority w:val="0"/>
    <w:rPr>
      <w:color w:val="333333"/>
    </w:rPr>
  </w:style>
  <w:style w:type="character" w:customStyle="1" w:styleId="336">
    <w:name w:val="txt"/>
    <w:qFormat/>
    <w:uiPriority w:val="0"/>
    <w:rPr>
      <w:rFonts w:ascii="仿宋_GB2312" w:eastAsia="微软雅黑"/>
      <w:b/>
      <w:kern w:val="2"/>
      <w:sz w:val="32"/>
      <w:szCs w:val="32"/>
      <w:lang w:val="en-US" w:eastAsia="zh-CN" w:bidi="ar-SA"/>
    </w:rPr>
  </w:style>
  <w:style w:type="character" w:customStyle="1" w:styleId="337">
    <w:name w:val="图名 Char"/>
    <w:qFormat/>
    <w:uiPriority w:val="0"/>
    <w:rPr>
      <w:rFonts w:ascii="Arial" w:hAnsi="Arial" w:eastAsia="黑体"/>
      <w:kern w:val="2"/>
      <w:sz w:val="24"/>
      <w:szCs w:val="24"/>
      <w:lang w:val="en-US" w:eastAsia="zh-CN" w:bidi="ar-SA"/>
    </w:rPr>
  </w:style>
  <w:style w:type="character" w:customStyle="1" w:styleId="338">
    <w:name w:val="Char Char32"/>
    <w:qFormat/>
    <w:uiPriority w:val="6"/>
    <w:rPr>
      <w:b/>
      <w:kern w:val="1"/>
      <w:sz w:val="24"/>
      <w:szCs w:val="24"/>
    </w:rPr>
  </w:style>
  <w:style w:type="character" w:customStyle="1" w:styleId="339">
    <w:name w:val="样式2 Char"/>
    <w:qFormat/>
    <w:uiPriority w:val="0"/>
    <w:rPr>
      <w:rFonts w:ascii="仿宋_GB2312" w:hAnsi="仿宋" w:eastAsia="仿宋_GB2312" w:cs="仿宋_GB2312"/>
      <w:b/>
      <w:bCs/>
      <w:sz w:val="32"/>
      <w:szCs w:val="30"/>
      <w:lang w:val="zh-CN"/>
    </w:rPr>
  </w:style>
  <w:style w:type="character" w:customStyle="1" w:styleId="340">
    <w:name w:val="3级 Char"/>
    <w:link w:val="341"/>
    <w:qFormat/>
    <w:uiPriority w:val="0"/>
    <w:rPr>
      <w:rFonts w:ascii="宋体" w:hAnsi="宋体"/>
      <w:b/>
      <w:bCs/>
      <w:snapToGrid/>
      <w:sz w:val="28"/>
    </w:rPr>
  </w:style>
  <w:style w:type="paragraph" w:customStyle="1" w:styleId="341">
    <w:name w:val="3级"/>
    <w:basedOn w:val="342"/>
    <w:link w:val="340"/>
    <w:qFormat/>
    <w:uiPriority w:val="0"/>
    <w:pPr>
      <w:ind w:left="0" w:right="466" w:firstLine="288"/>
    </w:pPr>
    <w:rPr>
      <w:rFonts w:hAnsi="宋体"/>
      <w:snapToGrid/>
    </w:rPr>
  </w:style>
  <w:style w:type="paragraph" w:customStyle="1" w:styleId="34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43">
    <w:name w:val="Char Char51"/>
    <w:qFormat/>
    <w:uiPriority w:val="0"/>
    <w:rPr>
      <w:rFonts w:ascii="宋体" w:hAnsi="Courier New" w:eastAsia="宋体"/>
      <w:kern w:val="2"/>
      <w:sz w:val="21"/>
      <w:lang w:val="en-US" w:eastAsia="zh-CN"/>
    </w:rPr>
  </w:style>
  <w:style w:type="character" w:customStyle="1" w:styleId="344">
    <w:name w:val="large1"/>
    <w:qFormat/>
    <w:uiPriority w:val="0"/>
    <w:rPr>
      <w:rFonts w:hint="eastAsia" w:ascii="宋体" w:hAnsi="宋体" w:eastAsia="宋体"/>
      <w:sz w:val="21"/>
      <w:szCs w:val="21"/>
    </w:rPr>
  </w:style>
  <w:style w:type="character" w:customStyle="1" w:styleId="345">
    <w:name w:val="apple-style-span"/>
    <w:qFormat/>
    <w:uiPriority w:val="0"/>
    <w:rPr>
      <w:rFonts w:ascii="Arial" w:hAnsi="Arial" w:eastAsia="黑体" w:cs="Arial"/>
      <w:snapToGrid w:val="0"/>
      <w:kern w:val="0"/>
      <w:szCs w:val="21"/>
    </w:rPr>
  </w:style>
  <w:style w:type="character" w:customStyle="1" w:styleId="346">
    <w:name w:val="标书1 Char"/>
    <w:qFormat/>
    <w:uiPriority w:val="0"/>
    <w:rPr>
      <w:rFonts w:eastAsia="宋体"/>
      <w:b/>
      <w:bCs/>
      <w:kern w:val="44"/>
      <w:sz w:val="44"/>
      <w:szCs w:val="44"/>
      <w:lang w:val="en-US" w:eastAsia="zh-CN" w:bidi="ar-SA"/>
    </w:rPr>
  </w:style>
  <w:style w:type="character" w:customStyle="1" w:styleId="347">
    <w:name w:val="标书1 Char1"/>
    <w:qFormat/>
    <w:uiPriority w:val="0"/>
    <w:rPr>
      <w:rFonts w:eastAsia="宋体"/>
      <w:b/>
      <w:bCs/>
      <w:kern w:val="44"/>
      <w:sz w:val="44"/>
      <w:szCs w:val="44"/>
      <w:lang w:val="en-US" w:eastAsia="zh-CN" w:bidi="ar-SA"/>
    </w:rPr>
  </w:style>
  <w:style w:type="character" w:customStyle="1" w:styleId="348">
    <w:name w:val="称呼 Char1"/>
    <w:qFormat/>
    <w:uiPriority w:val="0"/>
    <w:rPr>
      <w:rFonts w:ascii="Times New Roman" w:hAnsi="Times New Roman" w:eastAsia="宋体" w:cs="Times New Roman"/>
      <w:szCs w:val="24"/>
    </w:rPr>
  </w:style>
  <w:style w:type="character" w:customStyle="1" w:styleId="349">
    <w:name w:val="Char Char20"/>
    <w:qFormat/>
    <w:uiPriority w:val="6"/>
    <w:rPr>
      <w:kern w:val="1"/>
      <w:sz w:val="24"/>
    </w:rPr>
  </w:style>
  <w:style w:type="character" w:customStyle="1" w:styleId="350">
    <w:name w:val="正文文本 Char2"/>
    <w:semiHidden/>
    <w:qFormat/>
    <w:uiPriority w:val="99"/>
    <w:rPr>
      <w:rFonts w:ascii="Times New Roman" w:hAnsi="Times New Roman" w:eastAsia="宋体" w:cs="Times New Roman"/>
      <w:snapToGrid w:val="0"/>
      <w:kern w:val="0"/>
      <w:szCs w:val="24"/>
    </w:rPr>
  </w:style>
  <w:style w:type="character" w:customStyle="1" w:styleId="351">
    <w:name w:val="tw4winJump"/>
    <w:qFormat/>
    <w:uiPriority w:val="0"/>
    <w:rPr>
      <w:rFonts w:ascii="Courier New" w:hAnsi="Courier New" w:cs="Courier New"/>
      <w:color w:val="008080"/>
      <w:lang w:val="en-US" w:eastAsia="zh-CN"/>
    </w:rPr>
  </w:style>
  <w:style w:type="character" w:customStyle="1" w:styleId="352">
    <w:name w:val="Char Char52"/>
    <w:qFormat/>
    <w:uiPriority w:val="0"/>
    <w:rPr>
      <w:rFonts w:ascii="宋体" w:hAnsi="Courier New" w:eastAsia="宋体"/>
      <w:kern w:val="2"/>
      <w:sz w:val="21"/>
      <w:lang w:val="en-US" w:eastAsia="zh-CN"/>
    </w:rPr>
  </w:style>
  <w:style w:type="character" w:customStyle="1" w:styleId="353">
    <w:name w:val="样式5 Char"/>
    <w:qFormat/>
    <w:uiPriority w:val="0"/>
    <w:rPr>
      <w:rFonts w:ascii="仿宋_GB2312" w:hAnsi="仿宋" w:eastAsia="仿宋_GB2312"/>
      <w:kern w:val="2"/>
      <w:sz w:val="24"/>
      <w:szCs w:val="24"/>
    </w:rPr>
  </w:style>
  <w:style w:type="character" w:customStyle="1" w:styleId="354">
    <w:name w:val="PI Char1"/>
    <w:qFormat/>
    <w:uiPriority w:val="0"/>
    <w:rPr>
      <w:rFonts w:ascii="宋体" w:hAnsi="宋体"/>
      <w:kern w:val="2"/>
      <w:sz w:val="24"/>
      <w:szCs w:val="24"/>
    </w:rPr>
  </w:style>
  <w:style w:type="character" w:customStyle="1" w:styleId="355">
    <w:name w:val="Char Char312"/>
    <w:qFormat/>
    <w:uiPriority w:val="0"/>
    <w:rPr>
      <w:rFonts w:ascii="Times New Roman" w:hAnsi="Times New Roman" w:eastAsia="宋体" w:cs="Times New Roman"/>
      <w:b/>
      <w:kern w:val="2"/>
      <w:sz w:val="32"/>
      <w:szCs w:val="24"/>
      <w:lang w:val="en-US" w:eastAsia="zh-CN" w:bidi="ar-SA"/>
    </w:rPr>
  </w:style>
  <w:style w:type="character" w:customStyle="1" w:styleId="356">
    <w:name w:val="正文缩进 Char"/>
    <w:qFormat/>
    <w:uiPriority w:val="0"/>
    <w:rPr>
      <w:rFonts w:eastAsia="宋体"/>
      <w:kern w:val="2"/>
      <w:sz w:val="21"/>
      <w:lang w:val="en-US" w:eastAsia="zh-CN"/>
    </w:rPr>
  </w:style>
  <w:style w:type="character" w:customStyle="1" w:styleId="357">
    <w:name w:val="Char Char26"/>
    <w:qFormat/>
    <w:uiPriority w:val="6"/>
    <w:rPr>
      <w:kern w:val="1"/>
      <w:sz w:val="21"/>
      <w:szCs w:val="24"/>
    </w:rPr>
  </w:style>
  <w:style w:type="character" w:customStyle="1" w:styleId="358">
    <w:name w:val="正文首行缩进 Char Char Char Char Char"/>
    <w:qFormat/>
    <w:uiPriority w:val="0"/>
    <w:rPr>
      <w:rFonts w:ascii="宋体"/>
      <w:kern w:val="2"/>
      <w:sz w:val="24"/>
      <w:lang w:val="zh-CN"/>
    </w:rPr>
  </w:style>
  <w:style w:type="character" w:customStyle="1" w:styleId="359">
    <w:name w:val="正文2 Char Char"/>
    <w:link w:val="360"/>
    <w:qFormat/>
    <w:uiPriority w:val="0"/>
    <w:rPr>
      <w:rFonts w:eastAsia="宋体"/>
      <w:kern w:val="2"/>
      <w:sz w:val="24"/>
      <w:lang w:val="en-US" w:eastAsia="zh-CN" w:bidi="ar-SA"/>
    </w:rPr>
  </w:style>
  <w:style w:type="paragraph" w:customStyle="1" w:styleId="360">
    <w:name w:val="正文2"/>
    <w:basedOn w:val="1"/>
    <w:link w:val="359"/>
    <w:qFormat/>
    <w:uiPriority w:val="0"/>
    <w:pPr>
      <w:spacing w:before="156" w:line="360" w:lineRule="auto"/>
      <w:ind w:firstLine="510" w:firstLineChars="200"/>
    </w:pPr>
    <w:rPr>
      <w:sz w:val="24"/>
      <w:szCs w:val="20"/>
    </w:rPr>
  </w:style>
  <w:style w:type="character" w:customStyle="1" w:styleId="361">
    <w:name w:val="font61"/>
    <w:qFormat/>
    <w:uiPriority w:val="0"/>
    <w:rPr>
      <w:rFonts w:hint="eastAsia" w:ascii="仿宋" w:hAnsi="仿宋" w:eastAsia="仿宋" w:cs="仿宋"/>
      <w:color w:val="000000"/>
      <w:sz w:val="20"/>
      <w:szCs w:val="20"/>
      <w:u w:val="none"/>
    </w:rPr>
  </w:style>
  <w:style w:type="character" w:customStyle="1" w:styleId="362">
    <w:name w:val="正文缩进 字符1"/>
    <w:qFormat/>
    <w:uiPriority w:val="0"/>
    <w:rPr>
      <w:rFonts w:ascii="宋体" w:eastAsia="宋体"/>
      <w:snapToGrid w:val="0"/>
      <w:color w:val="000000"/>
      <w:kern w:val="28"/>
      <w:sz w:val="28"/>
      <w:lang w:val="en-US" w:eastAsia="zh-CN" w:bidi="ar-SA"/>
    </w:rPr>
  </w:style>
  <w:style w:type="character" w:customStyle="1" w:styleId="363">
    <w:name w:val="Footer Char"/>
    <w:qFormat/>
    <w:locked/>
    <w:uiPriority w:val="0"/>
    <w:rPr>
      <w:rFonts w:eastAsia="宋体"/>
      <w:kern w:val="2"/>
      <w:sz w:val="18"/>
      <w:lang w:val="en-US" w:eastAsia="zh-CN" w:bidi="ar-SA"/>
    </w:rPr>
  </w:style>
  <w:style w:type="character" w:customStyle="1" w:styleId="3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365">
    <w:name w:val="Used by Word for text of Help footnotes Char Char"/>
    <w:qFormat/>
    <w:uiPriority w:val="0"/>
    <w:rPr>
      <w:rFonts w:ascii="Times New Roman" w:hAnsi="Times New Roman" w:eastAsia="宋体" w:cs="Times New Roman"/>
      <w:sz w:val="20"/>
      <w:szCs w:val="20"/>
    </w:rPr>
  </w:style>
  <w:style w:type="character" w:customStyle="1" w:styleId="366">
    <w:name w:val="副标题 Char1"/>
    <w:qFormat/>
    <w:uiPriority w:val="0"/>
    <w:rPr>
      <w:rFonts w:ascii="Cambria" w:hAnsi="Cambria" w:eastAsia="宋体" w:cs="Times New Roman"/>
      <w:b/>
      <w:bCs/>
      <w:snapToGrid w:val="0"/>
      <w:kern w:val="28"/>
      <w:sz w:val="32"/>
      <w:szCs w:val="32"/>
    </w:rPr>
  </w:style>
  <w:style w:type="character" w:customStyle="1" w:styleId="367">
    <w:name w:val="Char Char17"/>
    <w:qFormat/>
    <w:uiPriority w:val="6"/>
    <w:rPr>
      <w:rFonts w:eastAsia="仿宋_GB2312"/>
      <w:sz w:val="24"/>
    </w:rPr>
  </w:style>
  <w:style w:type="character" w:customStyle="1" w:styleId="368">
    <w:name w:val="普通文字 Char1 Char"/>
    <w:qFormat/>
    <w:uiPriority w:val="0"/>
    <w:rPr>
      <w:rFonts w:ascii="宋体" w:hAnsi="Courier New" w:eastAsia="宋体"/>
      <w:kern w:val="2"/>
      <w:sz w:val="21"/>
      <w:szCs w:val="24"/>
      <w:lang w:val="en-US" w:eastAsia="zh-CN" w:bidi="ar-SA"/>
    </w:rPr>
  </w:style>
  <w:style w:type="character" w:customStyle="1" w:styleId="369">
    <w:name w:val="正文文本缩进 Char2"/>
    <w:qFormat/>
    <w:uiPriority w:val="0"/>
    <w:rPr>
      <w:rFonts w:ascii="Times New Roman" w:hAnsi="Times New Roman" w:eastAsia="宋体" w:cs="Times New Roman"/>
      <w:snapToGrid w:val="0"/>
      <w:kern w:val="0"/>
      <w:szCs w:val="24"/>
    </w:rPr>
  </w:style>
  <w:style w:type="character" w:customStyle="1" w:styleId="370">
    <w:name w:val="Char Char213"/>
    <w:qFormat/>
    <w:uiPriority w:val="0"/>
    <w:rPr>
      <w:rFonts w:eastAsia="Century Gothic"/>
      <w:b/>
      <w:bCs/>
      <w:kern w:val="44"/>
      <w:sz w:val="32"/>
      <w:szCs w:val="44"/>
      <w:lang w:val="en-US" w:eastAsia="zh-CN" w:bidi="ar-SA"/>
    </w:rPr>
  </w:style>
  <w:style w:type="character" w:customStyle="1" w:styleId="37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372">
    <w:name w:val="Char Char18"/>
    <w:qFormat/>
    <w:uiPriority w:val="6"/>
    <w:rPr>
      <w:rFonts w:ascii="宋体" w:hAnsi="宋体"/>
      <w:sz w:val="28"/>
    </w:rPr>
  </w:style>
  <w:style w:type="character" w:customStyle="1" w:styleId="373">
    <w:name w:val="标题 1 Char Char"/>
    <w:qFormat/>
    <w:uiPriority w:val="0"/>
    <w:rPr>
      <w:rFonts w:hint="eastAsia" w:ascii="宋体" w:hAnsi="宋体" w:eastAsia="宋体"/>
      <w:b/>
      <w:spacing w:val="-2"/>
      <w:sz w:val="24"/>
      <w:lang w:val="en-US" w:eastAsia="zh-CN" w:bidi="ar-SA"/>
    </w:rPr>
  </w:style>
  <w:style w:type="character" w:customStyle="1" w:styleId="374">
    <w:name w:val="mdeck"/>
    <w:qFormat/>
    <w:uiPriority w:val="0"/>
    <w:rPr>
      <w:rFonts w:ascii="仿宋_GB2312" w:eastAsia="微软雅黑"/>
      <w:b/>
      <w:kern w:val="2"/>
      <w:sz w:val="32"/>
      <w:szCs w:val="32"/>
      <w:lang w:val="en-US" w:eastAsia="zh-CN" w:bidi="ar-SA"/>
    </w:rPr>
  </w:style>
  <w:style w:type="character" w:customStyle="1" w:styleId="375">
    <w:name w:val="普通文字 Char Char1"/>
    <w:qFormat/>
    <w:uiPriority w:val="0"/>
    <w:rPr>
      <w:rFonts w:ascii="宋体" w:hAnsi="Courier New"/>
      <w:kern w:val="2"/>
      <w:sz w:val="21"/>
    </w:rPr>
  </w:style>
  <w:style w:type="character" w:customStyle="1" w:styleId="376">
    <w:name w:val="Char Char7"/>
    <w:semiHidden/>
    <w:qFormat/>
    <w:uiPriority w:val="0"/>
    <w:rPr>
      <w:rFonts w:eastAsia="宋体"/>
      <w:kern w:val="2"/>
      <w:sz w:val="21"/>
      <w:szCs w:val="24"/>
      <w:lang w:val="en-US" w:eastAsia="zh-CN" w:bidi="ar-SA"/>
    </w:rPr>
  </w:style>
  <w:style w:type="character" w:customStyle="1" w:styleId="377">
    <w:name w:val="unnamed11"/>
    <w:qFormat/>
    <w:uiPriority w:val="0"/>
    <w:rPr>
      <w:sz w:val="20"/>
      <w:szCs w:val="20"/>
    </w:rPr>
  </w:style>
  <w:style w:type="character" w:customStyle="1" w:styleId="378">
    <w:name w:val="Char Char61"/>
    <w:qFormat/>
    <w:uiPriority w:val="6"/>
    <w:rPr>
      <w:rFonts w:eastAsia="宋体"/>
      <w:kern w:val="2"/>
      <w:sz w:val="21"/>
      <w:szCs w:val="24"/>
      <w:lang w:val="en-US" w:eastAsia="zh-CN" w:bidi="ar-SA"/>
    </w:rPr>
  </w:style>
  <w:style w:type="character" w:customStyle="1" w:styleId="379">
    <w:name w:val="h Char Char"/>
    <w:qFormat/>
    <w:uiPriority w:val="0"/>
    <w:rPr>
      <w:rFonts w:eastAsia="宋体"/>
      <w:kern w:val="2"/>
      <w:sz w:val="18"/>
      <w:lang w:val="en-US" w:eastAsia="zh-CN" w:bidi="ar-SA"/>
    </w:rPr>
  </w:style>
  <w:style w:type="character" w:customStyle="1" w:styleId="380">
    <w:name w:val="font11"/>
    <w:qFormat/>
    <w:uiPriority w:val="0"/>
    <w:rPr>
      <w:rFonts w:hint="default" w:ascii="Times New Roman" w:hAnsi="Times New Roman" w:cs="Times New Roman"/>
      <w:color w:val="000000"/>
      <w:sz w:val="22"/>
      <w:szCs w:val="22"/>
      <w:u w:val="none"/>
    </w:rPr>
  </w:style>
  <w:style w:type="character" w:customStyle="1" w:styleId="381">
    <w:name w:val="样式3 Char"/>
    <w:qFormat/>
    <w:uiPriority w:val="0"/>
    <w:rPr>
      <w:rFonts w:ascii="仿宋_GB2312" w:hAnsi="仿宋" w:eastAsia="仿宋_GB2312" w:cs="仿宋_GB2312"/>
      <w:b/>
      <w:bCs/>
      <w:sz w:val="32"/>
      <w:szCs w:val="30"/>
      <w:lang w:val="zh-CN"/>
    </w:rPr>
  </w:style>
  <w:style w:type="character" w:customStyle="1" w:styleId="382">
    <w:name w:val="Char Char82"/>
    <w:qFormat/>
    <w:uiPriority w:val="0"/>
    <w:rPr>
      <w:rFonts w:eastAsia="宋体"/>
      <w:b/>
      <w:sz w:val="24"/>
      <w:lang w:val="en-GB" w:eastAsia="zh-CN"/>
    </w:rPr>
  </w:style>
  <w:style w:type="character" w:customStyle="1" w:styleId="383">
    <w:name w:val="编号，小四 Char"/>
    <w:link w:val="384"/>
    <w:qFormat/>
    <w:uiPriority w:val="0"/>
    <w:rPr>
      <w:rFonts w:ascii="Arial" w:hAnsi="Arial"/>
      <w:sz w:val="24"/>
    </w:rPr>
  </w:style>
  <w:style w:type="paragraph" w:customStyle="1" w:styleId="384">
    <w:name w:val="编号，小四"/>
    <w:basedOn w:val="1"/>
    <w:link w:val="383"/>
    <w:qFormat/>
    <w:uiPriority w:val="0"/>
    <w:pPr>
      <w:tabs>
        <w:tab w:val="left" w:pos="432"/>
      </w:tabs>
      <w:adjustRightInd/>
      <w:spacing w:line="360" w:lineRule="auto"/>
      <w:ind w:left="432" w:hanging="432"/>
    </w:pPr>
    <w:rPr>
      <w:rFonts w:ascii="Arial" w:hAnsi="Arial"/>
      <w:kern w:val="0"/>
      <w:sz w:val="24"/>
      <w:szCs w:val="20"/>
    </w:rPr>
  </w:style>
  <w:style w:type="character" w:customStyle="1" w:styleId="385">
    <w:name w:val="脚注文本 Char1"/>
    <w:qFormat/>
    <w:uiPriority w:val="0"/>
    <w:rPr>
      <w:rFonts w:ascii="Times New Roman" w:hAnsi="Times New Roman" w:eastAsia="宋体" w:cs="Times New Roman"/>
      <w:sz w:val="18"/>
      <w:szCs w:val="18"/>
    </w:rPr>
  </w:style>
  <w:style w:type="character" w:customStyle="1" w:styleId="386">
    <w:name w:val="Char Char6"/>
    <w:qFormat/>
    <w:uiPriority w:val="0"/>
    <w:rPr>
      <w:rFonts w:eastAsia="宋体"/>
      <w:kern w:val="2"/>
      <w:sz w:val="21"/>
      <w:szCs w:val="24"/>
      <w:lang w:val="en-US" w:eastAsia="zh-CN" w:bidi="ar-SA"/>
    </w:rPr>
  </w:style>
  <w:style w:type="character" w:customStyle="1" w:styleId="387">
    <w:name w:val="正文非缩进 Char"/>
    <w:qFormat/>
    <w:uiPriority w:val="0"/>
    <w:rPr>
      <w:rFonts w:ascii="宋体" w:eastAsia="宋体"/>
      <w:snapToGrid w:val="0"/>
      <w:color w:val="000000"/>
      <w:kern w:val="28"/>
      <w:sz w:val="28"/>
      <w:lang w:val="en-US" w:eastAsia="zh-CN" w:bidi="ar-SA"/>
    </w:rPr>
  </w:style>
  <w:style w:type="character" w:customStyle="1" w:styleId="388">
    <w:name w:val="font71"/>
    <w:qFormat/>
    <w:uiPriority w:val="0"/>
    <w:rPr>
      <w:rFonts w:hint="eastAsia" w:ascii="宋体" w:hAnsi="宋体" w:eastAsia="宋体" w:cs="宋体"/>
      <w:color w:val="000000"/>
      <w:sz w:val="22"/>
      <w:szCs w:val="22"/>
      <w:u w:val="none"/>
    </w:rPr>
  </w:style>
  <w:style w:type="character" w:customStyle="1" w:styleId="389">
    <w:name w:val="h3 Char1"/>
    <w:qFormat/>
    <w:uiPriority w:val="0"/>
    <w:rPr>
      <w:rFonts w:eastAsia="宋体"/>
      <w:b/>
      <w:bCs/>
      <w:kern w:val="2"/>
      <w:sz w:val="32"/>
      <w:szCs w:val="32"/>
      <w:lang w:bidi="ar-SA"/>
    </w:rPr>
  </w:style>
  <w:style w:type="character" w:customStyle="1" w:styleId="390">
    <w:name w:val="标题 4 Char1"/>
    <w:qFormat/>
    <w:uiPriority w:val="9"/>
    <w:rPr>
      <w:rFonts w:ascii="Cambria" w:hAnsi="Cambria" w:eastAsia="宋体" w:cs="Times New Roman"/>
      <w:b/>
      <w:bCs/>
      <w:kern w:val="2"/>
      <w:sz w:val="28"/>
      <w:szCs w:val="28"/>
    </w:rPr>
  </w:style>
  <w:style w:type="character" w:customStyle="1" w:styleId="391">
    <w:name w:val="unnamed31"/>
    <w:qFormat/>
    <w:uiPriority w:val="0"/>
    <w:rPr>
      <w:rFonts w:ascii="Tahoma" w:hAnsi="Tahoma" w:eastAsia="宋体"/>
      <w:b/>
      <w:kern w:val="2"/>
      <w:sz w:val="24"/>
      <w:szCs w:val="32"/>
      <w:u w:val="none"/>
      <w:lang w:val="en-US" w:eastAsia="zh-CN" w:bidi="ar-SA"/>
    </w:rPr>
  </w:style>
  <w:style w:type="character" w:customStyle="1" w:styleId="392">
    <w:name w:val="font41"/>
    <w:qFormat/>
    <w:uiPriority w:val="0"/>
    <w:rPr>
      <w:rFonts w:hint="eastAsia" w:ascii="仿宋_GB2312" w:eastAsia="仿宋_GB2312" w:cs="仿宋_GB2312"/>
      <w:color w:val="000000"/>
      <w:sz w:val="22"/>
      <w:szCs w:val="22"/>
      <w:u w:val="none"/>
    </w:rPr>
  </w:style>
  <w:style w:type="character" w:customStyle="1" w:styleId="393">
    <w:name w:val="H6 Char"/>
    <w:qFormat/>
    <w:uiPriority w:val="0"/>
    <w:rPr>
      <w:rFonts w:ascii="Arial" w:hAnsi="Arial" w:eastAsia="黑体"/>
      <w:b/>
      <w:bCs/>
      <w:kern w:val="2"/>
      <w:sz w:val="24"/>
      <w:szCs w:val="24"/>
    </w:rPr>
  </w:style>
  <w:style w:type="character" w:customStyle="1" w:styleId="394">
    <w:name w:val="日期 Char1"/>
    <w:semiHidden/>
    <w:qFormat/>
    <w:uiPriority w:val="99"/>
    <w:rPr>
      <w:rFonts w:ascii="Times New Roman" w:hAnsi="Times New Roman" w:eastAsia="宋体" w:cs="Times New Roman"/>
      <w:szCs w:val="24"/>
    </w:rPr>
  </w:style>
  <w:style w:type="character" w:customStyle="1" w:styleId="395">
    <w:name w:val="Char Char37"/>
    <w:qFormat/>
    <w:uiPriority w:val="6"/>
    <w:rPr>
      <w:b/>
      <w:kern w:val="1"/>
      <w:sz w:val="44"/>
      <w:szCs w:val="44"/>
    </w:rPr>
  </w:style>
  <w:style w:type="character" w:customStyle="1" w:styleId="396">
    <w:name w:val="表正文 Char3"/>
    <w:qFormat/>
    <w:uiPriority w:val="0"/>
    <w:rPr>
      <w:rFonts w:eastAsia="宋体"/>
    </w:rPr>
  </w:style>
  <w:style w:type="character" w:customStyle="1" w:styleId="397">
    <w:name w:val="标题 2 Char Char"/>
    <w:qFormat/>
    <w:uiPriority w:val="0"/>
    <w:rPr>
      <w:rFonts w:ascii="楷体_GB2312" w:hAnsi="Arial" w:eastAsia="楷体_GB2312"/>
      <w:b/>
      <w:bCs/>
      <w:kern w:val="2"/>
      <w:sz w:val="24"/>
      <w:szCs w:val="32"/>
      <w:lang w:val="en-US" w:eastAsia="zh-CN" w:bidi="ar-SA"/>
    </w:rPr>
  </w:style>
  <w:style w:type="character" w:customStyle="1" w:styleId="398">
    <w:name w:val="highlight1"/>
    <w:qFormat/>
    <w:uiPriority w:val="0"/>
    <w:rPr>
      <w:rFonts w:ascii="仿宋_GB2312" w:eastAsia="微软雅黑"/>
      <w:b/>
      <w:kern w:val="2"/>
      <w:sz w:val="23"/>
      <w:szCs w:val="23"/>
      <w:lang w:val="en-US" w:eastAsia="zh-CN" w:bidi="ar-SA"/>
    </w:rPr>
  </w:style>
  <w:style w:type="character" w:customStyle="1" w:styleId="399">
    <w:name w:val="Heading 2 Hidden Char"/>
    <w:qFormat/>
    <w:uiPriority w:val="0"/>
    <w:rPr>
      <w:rFonts w:ascii="仿宋_GB2312" w:eastAsia="仿宋_GB2312"/>
      <w:b/>
      <w:bCs/>
      <w:kern w:val="2"/>
      <w:sz w:val="24"/>
      <w:szCs w:val="24"/>
      <w:lang w:val="zh-CN" w:eastAsia="zh-CN" w:bidi="ar-SA"/>
    </w:rPr>
  </w:style>
  <w:style w:type="character" w:customStyle="1" w:styleId="400">
    <w:name w:val="HTML 地址 Char1"/>
    <w:qFormat/>
    <w:uiPriority w:val="0"/>
    <w:rPr>
      <w:rFonts w:ascii="Times New Roman" w:hAnsi="Times New Roman" w:eastAsia="宋体" w:cs="Times New Roman"/>
      <w:i/>
      <w:iCs/>
      <w:szCs w:val="24"/>
    </w:rPr>
  </w:style>
  <w:style w:type="character" w:customStyle="1" w:styleId="401">
    <w:name w:val="正文缩进 字符"/>
    <w:qFormat/>
    <w:uiPriority w:val="0"/>
    <w:rPr>
      <w:rFonts w:ascii="宋体" w:eastAsia="宋体"/>
      <w:snapToGrid w:val="0"/>
      <w:color w:val="000000"/>
      <w:kern w:val="28"/>
      <w:sz w:val="28"/>
      <w:lang w:val="en-US" w:eastAsia="zh-CN" w:bidi="ar-SA"/>
    </w:rPr>
  </w:style>
  <w:style w:type="character" w:customStyle="1" w:styleId="402">
    <w:name w:val="zbggmain style9"/>
    <w:qFormat/>
    <w:uiPriority w:val="0"/>
  </w:style>
  <w:style w:type="character" w:customStyle="1" w:styleId="403">
    <w:name w:val="正文1 Char"/>
    <w:qFormat/>
    <w:uiPriority w:val="0"/>
    <w:rPr>
      <w:rFonts w:ascii="宋体" w:eastAsia="宋体"/>
      <w:snapToGrid w:val="0"/>
      <w:color w:val="000000"/>
      <w:kern w:val="28"/>
      <w:sz w:val="28"/>
      <w:lang w:val="en-US" w:eastAsia="zh-CN" w:bidi="ar-SA"/>
    </w:rPr>
  </w:style>
  <w:style w:type="character" w:customStyle="1" w:styleId="404">
    <w:name w:val="Char Char28"/>
    <w:qFormat/>
    <w:uiPriority w:val="6"/>
    <w:rPr>
      <w:rFonts w:ascii="仿宋_GB2312" w:hAnsi="仿宋_GB2312" w:eastAsia="仿宋_GB2312"/>
      <w:kern w:val="1"/>
      <w:sz w:val="28"/>
    </w:rPr>
  </w:style>
  <w:style w:type="character" w:customStyle="1" w:styleId="405">
    <w:name w:val="Char Char211"/>
    <w:qFormat/>
    <w:uiPriority w:val="0"/>
    <w:rPr>
      <w:rFonts w:eastAsia="宋体"/>
      <w:b/>
      <w:bCs/>
      <w:kern w:val="2"/>
      <w:sz w:val="21"/>
      <w:szCs w:val="24"/>
      <w:lang w:val="en-US" w:eastAsia="zh-CN" w:bidi="ar-SA"/>
    </w:rPr>
  </w:style>
  <w:style w:type="character" w:customStyle="1" w:styleId="406">
    <w:name w:val="font01"/>
    <w:qFormat/>
    <w:uiPriority w:val="0"/>
    <w:rPr>
      <w:rFonts w:hint="eastAsia" w:ascii="微软雅黑" w:hAnsi="微软雅黑" w:eastAsia="微软雅黑" w:cs="微软雅黑"/>
      <w:color w:val="000000"/>
      <w:sz w:val="20"/>
      <w:szCs w:val="20"/>
      <w:u w:val="none"/>
    </w:rPr>
  </w:style>
  <w:style w:type="character" w:customStyle="1" w:styleId="407">
    <w:name w:val="正文文本 字符1"/>
    <w:qFormat/>
    <w:uiPriority w:val="0"/>
    <w:rPr>
      <w:rFonts w:ascii="Calibri" w:hAnsi="Calibri" w:eastAsia="黑体" w:cs="Arial"/>
      <w:snapToGrid w:val="0"/>
      <w:kern w:val="2"/>
      <w:sz w:val="28"/>
      <w:szCs w:val="21"/>
    </w:rPr>
  </w:style>
  <w:style w:type="character" w:customStyle="1" w:styleId="408">
    <w:name w:val="正文（缩进2汉字） Char"/>
    <w:link w:val="409"/>
    <w:qFormat/>
    <w:uiPriority w:val="0"/>
    <w:rPr>
      <w:rFonts w:ascii="宋体"/>
    </w:rPr>
  </w:style>
  <w:style w:type="paragraph" w:customStyle="1" w:styleId="409">
    <w:name w:val="正文（缩进2汉字）"/>
    <w:basedOn w:val="1"/>
    <w:link w:val="40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410">
    <w:name w:val="列表段落 字符"/>
    <w:qFormat/>
    <w:uiPriority w:val="99"/>
  </w:style>
  <w:style w:type="character" w:customStyle="1" w:styleId="411">
    <w:name w:val="Body Text(ch) Char Char"/>
    <w:qFormat/>
    <w:uiPriority w:val="0"/>
    <w:rPr>
      <w:rFonts w:ascii="宋体"/>
      <w:kern w:val="2"/>
      <w:sz w:val="24"/>
      <w:szCs w:val="21"/>
      <w:lang w:val="zh-CN"/>
    </w:rPr>
  </w:style>
  <w:style w:type="character" w:customStyle="1" w:styleId="412">
    <w:name w:val="表正文 Char1"/>
    <w:qFormat/>
    <w:uiPriority w:val="0"/>
    <w:rPr>
      <w:rFonts w:ascii="宋体" w:eastAsia="宋体"/>
      <w:snapToGrid w:val="0"/>
      <w:color w:val="000000"/>
      <w:kern w:val="28"/>
      <w:sz w:val="28"/>
    </w:rPr>
  </w:style>
  <w:style w:type="character" w:customStyle="1" w:styleId="413">
    <w:name w:val="纯文本 字符"/>
    <w:qFormat/>
    <w:uiPriority w:val="0"/>
    <w:rPr>
      <w:rFonts w:ascii="宋体" w:hAnsi="Courier New" w:eastAsia="宋体" w:cs="Arial"/>
      <w:snapToGrid w:val="0"/>
      <w:kern w:val="2"/>
      <w:sz w:val="21"/>
      <w:szCs w:val="21"/>
      <w:lang w:val="en-US" w:eastAsia="zh-CN" w:bidi="ar-SA"/>
    </w:rPr>
  </w:style>
  <w:style w:type="character" w:customStyle="1" w:styleId="414">
    <w:name w:val="样式6 Char"/>
    <w:qFormat/>
    <w:uiPriority w:val="0"/>
    <w:rPr>
      <w:rFonts w:ascii="仿宋_GB2312" w:hAnsi="宋体" w:eastAsia="仿宋_GB2312"/>
      <w:b/>
      <w:bCs/>
      <w:kern w:val="2"/>
      <w:sz w:val="24"/>
      <w:szCs w:val="24"/>
      <w:lang w:val="en-US" w:eastAsia="zh-CN" w:bidi="ar-SA"/>
    </w:rPr>
  </w:style>
  <w:style w:type="character" w:customStyle="1" w:styleId="415">
    <w:name w:val="纯文本 Char_0"/>
    <w:link w:val="416"/>
    <w:qFormat/>
    <w:uiPriority w:val="0"/>
    <w:rPr>
      <w:rFonts w:ascii="宋体" w:hAnsi="Courier New"/>
      <w:kern w:val="2"/>
      <w:sz w:val="21"/>
      <w:szCs w:val="21"/>
      <w:lang w:val="en-US" w:eastAsia="zh-CN"/>
    </w:rPr>
  </w:style>
  <w:style w:type="paragraph" w:customStyle="1" w:styleId="416">
    <w:name w:val="纯文本_0_0"/>
    <w:basedOn w:val="417"/>
    <w:link w:val="415"/>
    <w:qFormat/>
    <w:uiPriority w:val="0"/>
    <w:rPr>
      <w:rFonts w:ascii="宋体" w:hAnsi="Courier New"/>
      <w:szCs w:val="21"/>
    </w:rPr>
  </w:style>
  <w:style w:type="paragraph" w:customStyle="1" w:styleId="4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8">
    <w:name w:val="样式 宋体"/>
    <w:qFormat/>
    <w:uiPriority w:val="0"/>
    <w:rPr>
      <w:rFonts w:ascii="宋体" w:hAnsi="宋体"/>
      <w:sz w:val="24"/>
    </w:rPr>
  </w:style>
  <w:style w:type="character" w:customStyle="1" w:styleId="419">
    <w:name w:val="shadow11"/>
    <w:qFormat/>
    <w:uiPriority w:val="0"/>
    <w:rPr>
      <w:color w:val="000000"/>
      <w:sz w:val="21"/>
    </w:rPr>
  </w:style>
  <w:style w:type="character" w:customStyle="1" w:styleId="420">
    <w:name w:val="Char Char3"/>
    <w:qFormat/>
    <w:uiPriority w:val="0"/>
    <w:rPr>
      <w:rFonts w:eastAsia="宋体"/>
      <w:kern w:val="2"/>
      <w:sz w:val="21"/>
      <w:szCs w:val="24"/>
      <w:lang w:val="en-US" w:eastAsia="zh-CN" w:bidi="ar-SA"/>
    </w:rPr>
  </w:style>
  <w:style w:type="character" w:customStyle="1" w:styleId="421">
    <w:name w:val="Char Char36"/>
    <w:qFormat/>
    <w:uiPriority w:val="6"/>
    <w:rPr>
      <w:rFonts w:ascii="仿宋_GB2312" w:hAnsi="仿宋_GB2312" w:eastAsia="仿宋_GB2312" w:cs="Arial"/>
      <w:b/>
      <w:kern w:val="1"/>
      <w:sz w:val="32"/>
      <w:szCs w:val="32"/>
      <w:lang w:val="zh-CN" w:eastAsia="zh-CN" w:bidi="ar-SA"/>
    </w:rPr>
  </w:style>
  <w:style w:type="character" w:customStyle="1" w:styleId="422">
    <w:name w:val="HTML 预设格式 Char1"/>
    <w:qFormat/>
    <w:uiPriority w:val="0"/>
    <w:rPr>
      <w:rFonts w:ascii="Courier New" w:hAnsi="Courier New" w:eastAsia="宋体" w:cs="Courier New"/>
      <w:sz w:val="20"/>
      <w:szCs w:val="20"/>
    </w:rPr>
  </w:style>
  <w:style w:type="character" w:customStyle="1" w:styleId="423">
    <w:name w:val="列出段落 Char1"/>
    <w:link w:val="424"/>
    <w:qFormat/>
    <w:uiPriority w:val="0"/>
    <w:rPr>
      <w:rFonts w:ascii="Calibri" w:hAnsi="Calibri"/>
      <w:sz w:val="24"/>
      <w:lang w:eastAsia="en-US"/>
    </w:rPr>
  </w:style>
  <w:style w:type="paragraph" w:customStyle="1" w:styleId="424">
    <w:name w:val="列表1"/>
    <w:basedOn w:val="1"/>
    <w:next w:val="425"/>
    <w:link w:val="423"/>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425">
    <w:name w:val="列表段落"/>
    <w:basedOn w:val="1"/>
    <w:qFormat/>
    <w:uiPriority w:val="34"/>
    <w:pPr>
      <w:spacing w:line="360" w:lineRule="auto"/>
      <w:ind w:firstLine="200" w:firstLineChars="200"/>
    </w:pPr>
    <w:rPr>
      <w:rFonts w:eastAsia="楷体_GB2312" w:cs="Lucida Sans"/>
      <w:sz w:val="24"/>
    </w:rPr>
  </w:style>
  <w:style w:type="character" w:customStyle="1" w:styleId="426">
    <w:name w:val="正文文本缩进 Char"/>
    <w:qFormat/>
    <w:uiPriority w:val="0"/>
    <w:rPr>
      <w:rFonts w:ascii="宋体" w:hAnsi="宋体"/>
      <w:kern w:val="2"/>
      <w:sz w:val="24"/>
      <w:szCs w:val="24"/>
    </w:rPr>
  </w:style>
  <w:style w:type="character" w:customStyle="1" w:styleId="427">
    <w:name w:val="Char Char16"/>
    <w:qFormat/>
    <w:uiPriority w:val="6"/>
    <w:rPr>
      <w:kern w:val="1"/>
      <w:sz w:val="18"/>
      <w:szCs w:val="18"/>
    </w:rPr>
  </w:style>
  <w:style w:type="character" w:customStyle="1" w:styleId="428">
    <w:name w:val="标题 4 Char"/>
    <w:qFormat/>
    <w:uiPriority w:val="0"/>
    <w:rPr>
      <w:rFonts w:ascii="Arial" w:hAnsi="Arial" w:eastAsia="黑体"/>
      <w:b/>
      <w:kern w:val="2"/>
      <w:sz w:val="28"/>
    </w:rPr>
  </w:style>
  <w:style w:type="character" w:customStyle="1" w:styleId="429">
    <w:name w:val="Normal Indent Char Char"/>
    <w:qFormat/>
    <w:uiPriority w:val="0"/>
    <w:rPr>
      <w:rFonts w:eastAsia="宋体"/>
      <w:kern w:val="2"/>
      <w:sz w:val="21"/>
      <w:lang w:val="en-US" w:eastAsia="zh-CN" w:bidi="ar-SA"/>
    </w:rPr>
  </w:style>
  <w:style w:type="character" w:customStyle="1" w:styleId="430">
    <w:name w:val="f141"/>
    <w:qFormat/>
    <w:uiPriority w:val="0"/>
    <w:rPr>
      <w:rFonts w:ascii="Tahoma" w:hAnsi="Tahoma" w:eastAsia="宋体"/>
      <w:b/>
      <w:kern w:val="2"/>
      <w:sz w:val="21"/>
      <w:szCs w:val="21"/>
      <w:lang w:val="en-US" w:eastAsia="zh-CN" w:bidi="ar-SA"/>
    </w:rPr>
  </w:style>
  <w:style w:type="character" w:customStyle="1" w:styleId="431">
    <w:name w:val="标题 Char1"/>
    <w:qFormat/>
    <w:uiPriority w:val="0"/>
    <w:rPr>
      <w:rFonts w:ascii="Cambria" w:hAnsi="Cambria" w:eastAsia="宋体" w:cs="Times New Roman"/>
      <w:b/>
      <w:bCs/>
      <w:sz w:val="32"/>
      <w:szCs w:val="32"/>
      <w:lang w:bidi="ar-SA"/>
    </w:rPr>
  </w:style>
  <w:style w:type="character" w:customStyle="1" w:styleId="432">
    <w:name w:val="Char Char121"/>
    <w:qFormat/>
    <w:uiPriority w:val="6"/>
    <w:rPr>
      <w:rFonts w:ascii="仿宋_GB2312" w:eastAsia="仿宋_GB2312"/>
      <w:b/>
      <w:bCs/>
      <w:kern w:val="2"/>
      <w:sz w:val="24"/>
      <w:szCs w:val="24"/>
      <w:lang w:val="zh-CN" w:eastAsia="zh-CN" w:bidi="ar-SA"/>
    </w:rPr>
  </w:style>
  <w:style w:type="character" w:customStyle="1" w:styleId="433">
    <w:name w:val="myp11"/>
    <w:qFormat/>
    <w:uiPriority w:val="0"/>
    <w:rPr>
      <w:rFonts w:ascii="仿宋_GB2312" w:eastAsia="微软雅黑"/>
      <w:b/>
      <w:kern w:val="2"/>
      <w:sz w:val="32"/>
      <w:szCs w:val="32"/>
      <w:lang w:val="en-US" w:eastAsia="zh-CN" w:bidi="ar-SA"/>
    </w:rPr>
  </w:style>
  <w:style w:type="character" w:customStyle="1" w:styleId="434">
    <w:name w:val="表格非标题文字 Char"/>
    <w:link w:val="435"/>
    <w:qFormat/>
    <w:uiPriority w:val="0"/>
    <w:rPr>
      <w:rFonts w:ascii="Futura Bk" w:hAnsi="Futura Bk"/>
      <w:kern w:val="2"/>
      <w:sz w:val="18"/>
      <w:szCs w:val="21"/>
      <w:lang w:val="en-US" w:eastAsia="zh-CN" w:bidi="ar-SA"/>
    </w:rPr>
  </w:style>
  <w:style w:type="paragraph" w:customStyle="1" w:styleId="435">
    <w:name w:val="表格非标题文字"/>
    <w:link w:val="43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36">
    <w:name w:val="正文首行缩进 2 Char1"/>
    <w:qFormat/>
    <w:uiPriority w:val="0"/>
    <w:rPr>
      <w:rFonts w:ascii="Times New Roman" w:hAnsi="Times New Roman" w:eastAsia="宋体" w:cs="Times New Roman"/>
      <w:kern w:val="2"/>
      <w:sz w:val="24"/>
      <w:szCs w:val="24"/>
    </w:rPr>
  </w:style>
  <w:style w:type="character" w:customStyle="1" w:styleId="437">
    <w:name w:val="5正文 Char"/>
    <w:link w:val="438"/>
    <w:qFormat/>
    <w:uiPriority w:val="0"/>
    <w:rPr>
      <w:rFonts w:ascii="仿宋_GB2312" w:hAnsi="微软雅黑" w:eastAsia="仿宋_GB2312"/>
      <w:sz w:val="28"/>
      <w:szCs w:val="21"/>
    </w:rPr>
  </w:style>
  <w:style w:type="paragraph" w:customStyle="1" w:styleId="438">
    <w:name w:val="5正文"/>
    <w:basedOn w:val="1"/>
    <w:link w:val="43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439">
    <w:name w:val="正文首行缩进 Char1"/>
    <w:qFormat/>
    <w:uiPriority w:val="0"/>
    <w:rPr>
      <w:rFonts w:ascii="宋体" w:hAnsi="Times New Roman" w:eastAsia="宋体" w:cs="Times New Roman"/>
      <w:snapToGrid w:val="0"/>
      <w:kern w:val="2"/>
      <w:sz w:val="24"/>
      <w:szCs w:val="21"/>
      <w:lang w:val="zh-CN"/>
    </w:rPr>
  </w:style>
  <w:style w:type="character" w:customStyle="1" w:styleId="440">
    <w:name w:val="tw4winMark"/>
    <w:qFormat/>
    <w:uiPriority w:val="0"/>
    <w:rPr>
      <w:rFonts w:ascii="Courier New" w:hAnsi="Courier New" w:cs="Courier New"/>
      <w:vanish/>
      <w:color w:val="800080"/>
      <w:sz w:val="24"/>
      <w:szCs w:val="24"/>
      <w:vertAlign w:val="subscript"/>
    </w:rPr>
  </w:style>
  <w:style w:type="character" w:customStyle="1" w:styleId="441">
    <w:name w:val="正文2 Char"/>
    <w:qFormat/>
    <w:uiPriority w:val="0"/>
    <w:rPr>
      <w:rFonts w:eastAsia="宋体"/>
      <w:kern w:val="2"/>
      <w:sz w:val="24"/>
      <w:lang w:val="en-US" w:eastAsia="zh-CN" w:bidi="ar-SA"/>
    </w:rPr>
  </w:style>
  <w:style w:type="character" w:customStyle="1" w:styleId="442">
    <w:name w:val="样式4 Char"/>
    <w:qFormat/>
    <w:uiPriority w:val="0"/>
    <w:rPr>
      <w:rFonts w:ascii="仿宋_GB2312" w:hAnsi="仿宋" w:eastAsia="仿宋_GB2312"/>
      <w:b/>
      <w:kern w:val="2"/>
      <w:sz w:val="32"/>
      <w:szCs w:val="32"/>
      <w:lang w:bidi="ar-SA"/>
    </w:rPr>
  </w:style>
  <w:style w:type="character" w:customStyle="1" w:styleId="443">
    <w:name w:val="hui"/>
    <w:qFormat/>
    <w:uiPriority w:val="0"/>
    <w:rPr>
      <w:rFonts w:ascii="Arial" w:hAnsi="Arial" w:eastAsia="黑体" w:cs="Arial"/>
      <w:snapToGrid w:val="0"/>
      <w:kern w:val="0"/>
      <w:szCs w:val="21"/>
    </w:rPr>
  </w:style>
  <w:style w:type="character" w:customStyle="1" w:styleId="444">
    <w:name w:val="Char Char22"/>
    <w:qFormat/>
    <w:uiPriority w:val="6"/>
    <w:rPr>
      <w:rFonts w:ascii="宋体" w:hAnsi="宋体"/>
      <w:kern w:val="1"/>
      <w:sz w:val="24"/>
      <w:szCs w:val="24"/>
    </w:rPr>
  </w:style>
  <w:style w:type="character" w:customStyle="1" w:styleId="445">
    <w:name w:val="纯文本 Char Char Char"/>
    <w:qFormat/>
    <w:uiPriority w:val="0"/>
    <w:rPr>
      <w:rFonts w:ascii="宋体" w:hAnsi="Courier New" w:eastAsia="宋体"/>
      <w:kern w:val="2"/>
      <w:sz w:val="21"/>
      <w:lang w:val="en-US" w:eastAsia="zh-CN" w:bidi="ar-SA"/>
    </w:rPr>
  </w:style>
  <w:style w:type="character" w:customStyle="1" w:styleId="446">
    <w:name w:val="批注主题 Char"/>
    <w:qFormat/>
    <w:uiPriority w:val="0"/>
    <w:rPr>
      <w:rFonts w:eastAsia="宋体"/>
      <w:b/>
      <w:bCs/>
      <w:kern w:val="2"/>
      <w:sz w:val="21"/>
      <w:szCs w:val="24"/>
      <w:lang w:val="en-US" w:eastAsia="zh-CN" w:bidi="ar-SA"/>
    </w:rPr>
  </w:style>
  <w:style w:type="character" w:customStyle="1" w:styleId="447">
    <w:name w:val="页眉 Char1"/>
    <w:qFormat/>
    <w:uiPriority w:val="0"/>
    <w:rPr>
      <w:rFonts w:eastAsia="宋体"/>
      <w:kern w:val="2"/>
      <w:sz w:val="18"/>
      <w:szCs w:val="18"/>
      <w:lang w:val="en-US" w:eastAsia="zh-CN" w:bidi="ar-SA"/>
    </w:rPr>
  </w:style>
  <w:style w:type="character" w:customStyle="1" w:styleId="448">
    <w:name w:val="U_正文 Char"/>
    <w:link w:val="449"/>
    <w:qFormat/>
    <w:uiPriority w:val="0"/>
    <w:rPr>
      <w:sz w:val="24"/>
      <w:szCs w:val="24"/>
    </w:rPr>
  </w:style>
  <w:style w:type="paragraph" w:customStyle="1" w:styleId="449">
    <w:name w:val="U_正文"/>
    <w:basedOn w:val="1"/>
    <w:link w:val="448"/>
    <w:qFormat/>
    <w:uiPriority w:val="0"/>
    <w:pPr>
      <w:adjustRightInd/>
      <w:spacing w:beforeLines="20" w:afterLines="20" w:line="300" w:lineRule="auto"/>
      <w:ind w:firstLine="200" w:firstLineChars="200"/>
    </w:pPr>
    <w:rPr>
      <w:kern w:val="0"/>
      <w:sz w:val="24"/>
    </w:rPr>
  </w:style>
  <w:style w:type="character" w:customStyle="1" w:styleId="450">
    <w:name w:val="哈哈正文 Char"/>
    <w:link w:val="451"/>
    <w:qFormat/>
    <w:uiPriority w:val="0"/>
    <w:rPr>
      <w:rFonts w:ascii="宋体" w:hAnsi="宋体" w:eastAsia="宋体"/>
      <w:kern w:val="2"/>
      <w:sz w:val="24"/>
      <w:lang w:bidi="ar-SA"/>
    </w:rPr>
  </w:style>
  <w:style w:type="paragraph" w:customStyle="1" w:styleId="451">
    <w:name w:val="哈哈正文"/>
    <w:basedOn w:val="1"/>
    <w:link w:val="450"/>
    <w:qFormat/>
    <w:uiPriority w:val="0"/>
    <w:pPr>
      <w:adjustRightInd/>
      <w:spacing w:line="360" w:lineRule="auto"/>
      <w:ind w:firstLine="200" w:firstLineChars="200"/>
    </w:pPr>
    <w:rPr>
      <w:rFonts w:ascii="宋体" w:hAnsi="宋体"/>
      <w:sz w:val="24"/>
      <w:szCs w:val="20"/>
    </w:rPr>
  </w:style>
  <w:style w:type="character" w:customStyle="1" w:styleId="452">
    <w:name w:val="样式 正文缩进 + 首行缩进:  2 字符 Char Char"/>
    <w:link w:val="453"/>
    <w:qFormat/>
    <w:uiPriority w:val="0"/>
    <w:rPr>
      <w:rFonts w:cs="宋体"/>
      <w:kern w:val="2"/>
      <w:sz w:val="24"/>
    </w:rPr>
  </w:style>
  <w:style w:type="paragraph" w:customStyle="1" w:styleId="453">
    <w:name w:val="样式 正文缩进 + 首行缩进:  2 字符"/>
    <w:basedOn w:val="2"/>
    <w:link w:val="452"/>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454">
    <w:name w:val="Char Char15"/>
    <w:qFormat/>
    <w:uiPriority w:val="6"/>
    <w:rPr>
      <w:rFonts w:ascii="宋体" w:hAnsi="宋体"/>
      <w:kern w:val="1"/>
      <w:sz w:val="21"/>
    </w:rPr>
  </w:style>
  <w:style w:type="character" w:customStyle="1" w:styleId="455">
    <w:name w:val="font91"/>
    <w:qFormat/>
    <w:uiPriority w:val="0"/>
    <w:rPr>
      <w:rFonts w:hint="eastAsia" w:ascii="仿宋" w:hAnsi="仿宋" w:eastAsia="仿宋" w:cs="仿宋"/>
      <w:color w:val="000000"/>
      <w:sz w:val="22"/>
      <w:szCs w:val="22"/>
      <w:u w:val="none"/>
    </w:rPr>
  </w:style>
  <w:style w:type="paragraph" w:customStyle="1" w:styleId="45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Char2 Char Char Char1"/>
    <w:basedOn w:val="1"/>
    <w:qFormat/>
    <w:uiPriority w:val="6"/>
    <w:rPr>
      <w:rFonts w:ascii="仿宋_GB2312" w:eastAsia="仿宋_GB2312"/>
      <w:b/>
      <w:sz w:val="32"/>
      <w:szCs w:val="32"/>
    </w:rPr>
  </w:style>
  <w:style w:type="paragraph" w:customStyle="1" w:styleId="45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59">
    <w:name w:val="Char Char1 Char"/>
    <w:basedOn w:val="1"/>
    <w:qFormat/>
    <w:uiPriority w:val="0"/>
    <w:rPr>
      <w:rFonts w:ascii="仿宋_GB2312" w:eastAsia="仿宋_GB2312"/>
      <w:b/>
      <w:sz w:val="32"/>
      <w:szCs w:val="32"/>
    </w:rPr>
  </w:style>
  <w:style w:type="paragraph" w:customStyle="1" w:styleId="46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461">
    <w:name w:val="Char Char4 Char Char"/>
    <w:basedOn w:val="1"/>
    <w:qFormat/>
    <w:uiPriority w:val="0"/>
    <w:pPr>
      <w:widowControl/>
      <w:adjustRightInd/>
      <w:spacing w:after="160" w:line="240" w:lineRule="exact"/>
      <w:jc w:val="left"/>
    </w:pPr>
  </w:style>
  <w:style w:type="paragraph" w:customStyle="1" w:styleId="4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6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6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6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7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72">
    <w:name w:val="Char111"/>
    <w:basedOn w:val="1"/>
    <w:qFormat/>
    <w:uiPriority w:val="0"/>
    <w:rPr>
      <w:rFonts w:ascii="仿宋_GB2312" w:eastAsia="仿宋_GB2312"/>
      <w:b/>
      <w:sz w:val="32"/>
      <w:szCs w:val="32"/>
    </w:rPr>
  </w:style>
  <w:style w:type="paragraph" w:customStyle="1" w:styleId="473">
    <w:name w:val="Char Char1 Char Char1 Char Char1"/>
    <w:basedOn w:val="1"/>
    <w:qFormat/>
    <w:uiPriority w:val="0"/>
    <w:pPr>
      <w:tabs>
        <w:tab w:val="left" w:pos="840"/>
      </w:tabs>
      <w:ind w:left="840" w:hanging="420"/>
    </w:pPr>
    <w:rPr>
      <w:rFonts w:ascii="Tahoma" w:hAnsi="Tahoma"/>
      <w:sz w:val="24"/>
    </w:rPr>
  </w:style>
  <w:style w:type="paragraph" w:customStyle="1" w:styleId="474">
    <w:name w:val="_Style 5"/>
    <w:basedOn w:val="1"/>
    <w:qFormat/>
    <w:uiPriority w:val="34"/>
    <w:pPr>
      <w:adjustRightInd/>
      <w:ind w:firstLine="420" w:firstLineChars="200"/>
    </w:pPr>
    <w:rPr>
      <w:rFonts w:eastAsia="仿宋_GB2312"/>
      <w:sz w:val="28"/>
    </w:rPr>
  </w:style>
  <w:style w:type="paragraph" w:customStyle="1" w:styleId="47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76">
    <w:name w:val="Char Char11 Char Char Char Char Char Char Char Char Char11"/>
    <w:basedOn w:val="1"/>
    <w:qFormat/>
    <w:uiPriority w:val="0"/>
    <w:pPr>
      <w:spacing w:line="360" w:lineRule="auto"/>
    </w:pPr>
    <w:rPr>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Thf"/>
    <w:basedOn w:val="479"/>
    <w:qFormat/>
    <w:uiPriority w:val="0"/>
    <w:pPr>
      <w:ind w:left="0"/>
    </w:pPr>
  </w:style>
  <w:style w:type="paragraph" w:customStyle="1" w:styleId="47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8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48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483">
    <w:name w:val="正文 内标 序号标"/>
    <w:basedOn w:val="484"/>
    <w:qFormat/>
    <w:uiPriority w:val="0"/>
    <w:pPr>
      <w:tabs>
        <w:tab w:val="left" w:pos="0"/>
      </w:tabs>
      <w:adjustRightInd/>
      <w:spacing w:before="0"/>
      <w:ind w:firstLine="482"/>
    </w:pPr>
    <w:rPr>
      <w:rFonts w:ascii="微软雅黑" w:hAnsi="微软雅黑"/>
      <w:sz w:val="24"/>
      <w:szCs w:val="24"/>
    </w:rPr>
  </w:style>
  <w:style w:type="paragraph" w:customStyle="1" w:styleId="484">
    <w:name w:val="My正文"/>
    <w:basedOn w:val="1"/>
    <w:qFormat/>
    <w:uiPriority w:val="0"/>
    <w:pPr>
      <w:spacing w:before="120" w:line="360" w:lineRule="auto"/>
      <w:ind w:firstLine="567"/>
    </w:pPr>
    <w:rPr>
      <w:rFonts w:ascii="Arial" w:hAnsi="Arial"/>
      <w:sz w:val="20"/>
      <w:szCs w:val="20"/>
    </w:rPr>
  </w:style>
  <w:style w:type="paragraph" w:customStyle="1" w:styleId="485">
    <w:name w:val="MM Topic 2"/>
    <w:basedOn w:val="4"/>
    <w:qFormat/>
    <w:uiPriority w:val="0"/>
    <w:pPr>
      <w:tabs>
        <w:tab w:val="left" w:pos="1260"/>
      </w:tabs>
      <w:ind w:left="1260" w:hanging="420"/>
    </w:pPr>
    <w:rPr>
      <w:rFonts w:ascii="Arial" w:hAnsi="Arial" w:eastAsia="黑体"/>
      <w:lang w:val="en-US"/>
    </w:rPr>
  </w:style>
  <w:style w:type="paragraph" w:customStyle="1" w:styleId="486">
    <w:name w:val="Char Char Char1 Char1"/>
    <w:basedOn w:val="1"/>
    <w:qFormat/>
    <w:uiPriority w:val="6"/>
    <w:rPr>
      <w:szCs w:val="20"/>
    </w:rPr>
  </w:style>
  <w:style w:type="paragraph" w:customStyle="1" w:styleId="48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89">
    <w:name w:val="单元格左对齐"/>
    <w:basedOn w:val="1"/>
    <w:qFormat/>
    <w:uiPriority w:val="0"/>
    <w:pPr>
      <w:adjustRightInd/>
      <w:spacing w:line="360" w:lineRule="auto"/>
    </w:pPr>
    <w:rPr>
      <w:sz w:val="24"/>
    </w:rPr>
  </w:style>
  <w:style w:type="paragraph" w:customStyle="1" w:styleId="49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表格"/>
    <w:basedOn w:val="1"/>
    <w:qFormat/>
    <w:uiPriority w:val="0"/>
    <w:pPr>
      <w:snapToGrid w:val="0"/>
      <w:ind w:firstLine="42" w:firstLineChars="21"/>
    </w:pPr>
    <w:rPr>
      <w:rFonts w:ascii="宋体" w:hAnsi="宋体"/>
      <w:kern w:val="0"/>
      <w:sz w:val="20"/>
      <w:szCs w:val="20"/>
    </w:rPr>
  </w:style>
  <w:style w:type="paragraph" w:customStyle="1" w:styleId="49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94">
    <w:name w:val="_Style 94"/>
    <w:basedOn w:val="1"/>
    <w:next w:val="425"/>
    <w:qFormat/>
    <w:uiPriority w:val="34"/>
    <w:pPr>
      <w:adjustRightInd/>
      <w:spacing w:line="360" w:lineRule="auto"/>
      <w:ind w:firstLine="200" w:firstLineChars="200"/>
    </w:pPr>
    <w:rPr>
      <w:rFonts w:ascii="Calibri" w:hAnsi="Calibri"/>
      <w:sz w:val="28"/>
      <w:szCs w:val="20"/>
    </w:rPr>
  </w:style>
  <w:style w:type="paragraph" w:customStyle="1" w:styleId="495">
    <w:name w:val="三级条标题"/>
    <w:basedOn w:val="496"/>
    <w:next w:val="499"/>
    <w:qFormat/>
    <w:uiPriority w:val="0"/>
    <w:pPr>
      <w:tabs>
        <w:tab w:val="left" w:pos="1260"/>
        <w:tab w:val="left" w:pos="1680"/>
        <w:tab w:val="left" w:pos="2100"/>
        <w:tab w:val="left" w:pos="2520"/>
      </w:tabs>
      <w:ind w:left="2520"/>
      <w:outlineLvl w:val="4"/>
    </w:pPr>
  </w:style>
  <w:style w:type="paragraph" w:customStyle="1" w:styleId="496">
    <w:name w:val="二级条标题"/>
    <w:basedOn w:val="497"/>
    <w:next w:val="499"/>
    <w:qFormat/>
    <w:uiPriority w:val="0"/>
    <w:pPr>
      <w:tabs>
        <w:tab w:val="left" w:pos="1260"/>
        <w:tab w:val="left" w:pos="1680"/>
        <w:tab w:val="left" w:pos="2100"/>
      </w:tabs>
      <w:ind w:left="0"/>
      <w:outlineLvl w:val="3"/>
    </w:pPr>
  </w:style>
  <w:style w:type="paragraph" w:customStyle="1" w:styleId="497">
    <w:name w:val="一级条标题"/>
    <w:basedOn w:val="498"/>
    <w:next w:val="499"/>
    <w:qFormat/>
    <w:uiPriority w:val="0"/>
    <w:pPr>
      <w:tabs>
        <w:tab w:val="left" w:pos="1260"/>
        <w:tab w:val="left" w:pos="1680"/>
      </w:tabs>
      <w:spacing w:beforeLines="0" w:afterLines="0"/>
      <w:ind w:left="1680"/>
      <w:outlineLvl w:val="2"/>
    </w:pPr>
  </w:style>
  <w:style w:type="paragraph" w:customStyle="1" w:styleId="498">
    <w:name w:val="章标题"/>
    <w:next w:val="49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9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01">
    <w:name w:val="样式1 + (中宋体"/>
    <w:basedOn w:val="502"/>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50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04">
    <w:name w:val="2级标题"/>
    <w:basedOn w:val="505"/>
    <w:qFormat/>
    <w:uiPriority w:val="0"/>
    <w:pPr>
      <w:jc w:val="left"/>
      <w:outlineLvl w:val="1"/>
    </w:pPr>
    <w:rPr>
      <w:rFonts w:ascii="Times New Roman" w:hAnsi="Times New Roman" w:eastAsia="仿宋"/>
      <w:sz w:val="30"/>
    </w:rPr>
  </w:style>
  <w:style w:type="paragraph" w:customStyle="1" w:styleId="50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6">
    <w:name w:val="Char Char Char Char Char Char Char Char1"/>
    <w:basedOn w:val="1"/>
    <w:qFormat/>
    <w:uiPriority w:val="0"/>
    <w:pPr>
      <w:tabs>
        <w:tab w:val="left" w:pos="360"/>
      </w:tabs>
    </w:pPr>
    <w:rPr>
      <w:sz w:val="24"/>
      <w:szCs w:val="20"/>
    </w:rPr>
  </w:style>
  <w:style w:type="paragraph" w:customStyle="1" w:styleId="507">
    <w:name w:val="0"/>
    <w:basedOn w:val="1"/>
    <w:qFormat/>
    <w:uiPriority w:val="0"/>
    <w:pPr>
      <w:widowControl/>
    </w:pPr>
    <w:rPr>
      <w:kern w:val="0"/>
      <w:sz w:val="24"/>
      <w:szCs w:val="20"/>
    </w:rPr>
  </w:style>
  <w:style w:type="paragraph" w:customStyle="1" w:styleId="5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0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11">
    <w:name w:val="Char Char11 Char Char Char1"/>
    <w:basedOn w:val="1"/>
    <w:qFormat/>
    <w:uiPriority w:val="6"/>
    <w:pPr>
      <w:spacing w:line="360" w:lineRule="auto"/>
    </w:pPr>
    <w:rPr>
      <w:szCs w:val="20"/>
    </w:rPr>
  </w:style>
  <w:style w:type="paragraph" w:customStyle="1" w:styleId="512">
    <w:name w:val="数字标题3"/>
    <w:basedOn w:val="5"/>
    <w:next w:val="1"/>
    <w:qFormat/>
    <w:uiPriority w:val="0"/>
    <w:pPr>
      <w:spacing w:line="240" w:lineRule="auto"/>
    </w:pPr>
    <w:rPr>
      <w:sz w:val="28"/>
      <w:szCs w:val="28"/>
    </w:rPr>
  </w:style>
  <w:style w:type="paragraph" w:customStyle="1" w:styleId="5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1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1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16">
    <w:name w:val="Char2"/>
    <w:basedOn w:val="1"/>
    <w:qFormat/>
    <w:uiPriority w:val="0"/>
    <w:rPr>
      <w:rFonts w:ascii="仿宋_GB2312" w:eastAsia="仿宋_GB2312"/>
      <w:b/>
      <w:sz w:val="32"/>
      <w:szCs w:val="32"/>
    </w:rPr>
  </w:style>
  <w:style w:type="paragraph" w:customStyle="1" w:styleId="51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18">
    <w:name w:val="Bulleting First Indent 1"/>
    <w:basedOn w:val="10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521">
    <w:name w:val="Char Char11 Char Char Char Char Char Char Char Char Char1"/>
    <w:basedOn w:val="1"/>
    <w:qFormat/>
    <w:uiPriority w:val="6"/>
    <w:pPr>
      <w:spacing w:line="360" w:lineRule="auto"/>
    </w:pPr>
    <w:rPr>
      <w:szCs w:val="20"/>
    </w:rPr>
  </w:style>
  <w:style w:type="paragraph" w:customStyle="1" w:styleId="5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25">
    <w:name w:val="带编号样式"/>
    <w:basedOn w:val="526"/>
    <w:qFormat/>
    <w:uiPriority w:val="0"/>
    <w:pPr>
      <w:tabs>
        <w:tab w:val="left" w:pos="840"/>
      </w:tabs>
      <w:snapToGrid w:val="0"/>
      <w:ind w:left="840" w:hanging="420" w:firstLineChars="0"/>
    </w:pPr>
    <w:rPr>
      <w:rFonts w:ascii="仿宋_GB2312" w:eastAsia="仿宋_GB2312"/>
      <w:color w:val="000000"/>
    </w:rPr>
  </w:style>
  <w:style w:type="paragraph" w:customStyle="1" w:styleId="526">
    <w:name w:val="文本正文 Char"/>
    <w:basedOn w:val="1"/>
    <w:qFormat/>
    <w:uiPriority w:val="0"/>
    <w:pPr>
      <w:spacing w:line="360" w:lineRule="auto"/>
      <w:ind w:firstLine="200" w:firstLineChars="200"/>
    </w:pPr>
    <w:rPr>
      <w:kern w:val="0"/>
      <w:sz w:val="24"/>
      <w:szCs w:val="20"/>
    </w:rPr>
  </w:style>
  <w:style w:type="paragraph" w:customStyle="1" w:styleId="527">
    <w:name w:val="样式 标题 4PIM 4H4h4bulletblbbH41H42H43H44H45H46H47H48...1"/>
    <w:basedOn w:val="6"/>
    <w:qFormat/>
    <w:uiPriority w:val="0"/>
    <w:pPr>
      <w:widowControl/>
      <w:jc w:val="left"/>
    </w:pPr>
    <w:rPr>
      <w:rFonts w:cs="宋体"/>
      <w:sz w:val="24"/>
      <w:szCs w:val="20"/>
    </w:rPr>
  </w:style>
  <w:style w:type="paragraph" w:customStyle="1" w:styleId="52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2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30">
    <w:name w:val="标题3"/>
    <w:basedOn w:val="5"/>
    <w:next w:val="45"/>
    <w:qFormat/>
    <w:uiPriority w:val="0"/>
    <w:pPr>
      <w:tabs>
        <w:tab w:val="clear" w:pos="900"/>
      </w:tabs>
      <w:spacing w:after="0" w:line="360" w:lineRule="auto"/>
    </w:pPr>
    <w:rPr>
      <w:rFonts w:ascii="仿宋" w:hAnsi="仿宋" w:eastAsia="仿宋" w:cs="仿宋"/>
    </w:rPr>
  </w:style>
  <w:style w:type="paragraph" w:customStyle="1" w:styleId="531">
    <w:name w:val="Blockquote"/>
    <w:basedOn w:val="1"/>
    <w:qFormat/>
    <w:uiPriority w:val="0"/>
    <w:pPr>
      <w:autoSpaceDE w:val="0"/>
      <w:autoSpaceDN w:val="0"/>
      <w:spacing w:before="100" w:after="100"/>
      <w:ind w:left="360" w:right="360"/>
      <w:jc w:val="left"/>
    </w:pPr>
    <w:rPr>
      <w:kern w:val="0"/>
      <w:sz w:val="24"/>
      <w:szCs w:val="20"/>
    </w:rPr>
  </w:style>
  <w:style w:type="paragraph" w:customStyle="1" w:styleId="53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3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8">
    <w:name w:val="批注框文本 Char Char"/>
    <w:basedOn w:val="1"/>
    <w:qFormat/>
    <w:uiPriority w:val="0"/>
    <w:pPr>
      <w:adjustRightInd/>
    </w:pPr>
    <w:rPr>
      <w:sz w:val="18"/>
      <w:szCs w:val="20"/>
    </w:rPr>
  </w:style>
  <w:style w:type="paragraph" w:customStyle="1" w:styleId="539">
    <w:name w:val="修订1"/>
    <w:qFormat/>
    <w:uiPriority w:val="3"/>
    <w:rPr>
      <w:rFonts w:ascii="Times New Roman" w:hAnsi="Times New Roman" w:eastAsia="宋体" w:cs="Times New Roman"/>
      <w:color w:val="000000"/>
      <w:kern w:val="1"/>
      <w:sz w:val="21"/>
      <w:lang w:val="en-US" w:eastAsia="zh-CN" w:bidi="ar-SA"/>
    </w:rPr>
  </w:style>
  <w:style w:type="paragraph" w:customStyle="1" w:styleId="54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41">
    <w:name w:val="Char Char Char1 Char"/>
    <w:basedOn w:val="1"/>
    <w:qFormat/>
    <w:uiPriority w:val="0"/>
    <w:rPr>
      <w:szCs w:val="20"/>
    </w:rPr>
  </w:style>
  <w:style w:type="paragraph" w:customStyle="1" w:styleId="54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6"/>
    <w:basedOn w:val="29"/>
    <w:qFormat/>
    <w:uiPriority w:val="0"/>
    <w:pPr>
      <w:spacing w:line="460" w:lineRule="exact"/>
      <w:outlineLvl w:val="2"/>
    </w:pPr>
    <w:rPr>
      <w:rFonts w:ascii="仿宋_GB2312" w:hAnsi="宋体" w:eastAsia="仿宋_GB2312"/>
      <w:b/>
      <w:bCs/>
      <w:sz w:val="24"/>
      <w:szCs w:val="24"/>
    </w:rPr>
  </w:style>
  <w:style w:type="paragraph" w:customStyle="1" w:styleId="544">
    <w:name w:val="trademark"/>
    <w:qFormat/>
    <w:uiPriority w:val="0"/>
    <w:pPr>
      <w:spacing w:after="60"/>
    </w:pPr>
    <w:rPr>
      <w:rFonts w:ascii="Futura Bk" w:hAnsi="Futura Bk" w:eastAsia="宋体" w:cs="Times New Roman"/>
      <w:sz w:val="15"/>
      <w:lang w:val="en-US" w:eastAsia="en-US" w:bidi="ar-SA"/>
    </w:rPr>
  </w:style>
  <w:style w:type="paragraph" w:customStyle="1" w:styleId="545">
    <w:name w:val="Char Char Char Char Char Char Char1"/>
    <w:basedOn w:val="1"/>
    <w:qFormat/>
    <w:uiPriority w:val="6"/>
    <w:rPr>
      <w:rFonts w:ascii="仿宋_GB2312" w:eastAsia="仿宋_GB2312"/>
      <w:b/>
      <w:sz w:val="32"/>
      <w:szCs w:val="32"/>
    </w:rPr>
  </w:style>
  <w:style w:type="paragraph" w:customStyle="1" w:styleId="546">
    <w:name w:val="Char5"/>
    <w:basedOn w:val="1"/>
    <w:qFormat/>
    <w:uiPriority w:val="0"/>
    <w:rPr>
      <w:rFonts w:ascii="仿宋_GB2312" w:eastAsia="仿宋_GB2312"/>
      <w:b/>
      <w:sz w:val="32"/>
      <w:szCs w:val="32"/>
    </w:rPr>
  </w:style>
  <w:style w:type="paragraph" w:customStyle="1" w:styleId="5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5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默认段落字体 Para Char"/>
    <w:basedOn w:val="1"/>
    <w:qFormat/>
    <w:uiPriority w:val="0"/>
    <w:rPr>
      <w:rFonts w:ascii="Tahoma" w:hAnsi="Tahoma"/>
      <w:sz w:val="24"/>
      <w:szCs w:val="20"/>
    </w:rPr>
  </w:style>
  <w:style w:type="paragraph" w:customStyle="1" w:styleId="55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5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5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5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8">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5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60">
    <w:name w:val="标题五"/>
    <w:basedOn w:val="1"/>
    <w:qFormat/>
    <w:uiPriority w:val="0"/>
    <w:pPr>
      <w:adjustRightInd/>
      <w:spacing w:beforeLines="50" w:line="360" w:lineRule="auto"/>
    </w:pPr>
    <w:rPr>
      <w:b/>
      <w:sz w:val="24"/>
    </w:rPr>
  </w:style>
  <w:style w:type="paragraph" w:customStyle="1" w:styleId="561">
    <w:name w:val="默认段落字体 Para Char Char Char1 Char"/>
    <w:basedOn w:val="1"/>
    <w:qFormat/>
    <w:uiPriority w:val="0"/>
    <w:pPr>
      <w:spacing w:line="240" w:lineRule="atLeast"/>
      <w:ind w:left="420" w:firstLine="420"/>
    </w:pPr>
    <w:rPr>
      <w:sz w:val="24"/>
    </w:rPr>
  </w:style>
  <w:style w:type="paragraph" w:customStyle="1" w:styleId="56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63">
    <w:name w:val="Char3 Char Char Char1"/>
    <w:basedOn w:val="1"/>
    <w:qFormat/>
    <w:uiPriority w:val="6"/>
    <w:pPr>
      <w:widowControl/>
      <w:adjustRightInd/>
      <w:spacing w:after="160" w:line="240" w:lineRule="exact"/>
      <w:jc w:val="left"/>
    </w:pPr>
    <w:rPr>
      <w:szCs w:val="20"/>
    </w:rPr>
  </w:style>
  <w:style w:type="paragraph" w:customStyle="1" w:styleId="5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65">
    <w:name w:val="Char21"/>
    <w:basedOn w:val="1"/>
    <w:qFormat/>
    <w:uiPriority w:val="0"/>
    <w:pPr>
      <w:adjustRightInd/>
      <w:ind w:firstLine="200" w:firstLineChars="200"/>
    </w:pPr>
    <w:rPr>
      <w:rFonts w:ascii="仿宋_GB2312" w:eastAsia="仿宋_GB2312"/>
      <w:b/>
      <w:sz w:val="32"/>
      <w:szCs w:val="32"/>
    </w:rPr>
  </w:style>
  <w:style w:type="paragraph" w:customStyle="1" w:styleId="566">
    <w:name w:val="列出段落2"/>
    <w:basedOn w:val="1"/>
    <w:qFormat/>
    <w:uiPriority w:val="0"/>
    <w:pPr>
      <w:adjustRightInd/>
      <w:ind w:firstLine="420" w:firstLineChars="200"/>
    </w:pPr>
    <w:rPr>
      <w:rFonts w:ascii="宋体" w:hAnsi="宋体"/>
      <w:sz w:val="24"/>
    </w:rPr>
  </w:style>
  <w:style w:type="paragraph" w:customStyle="1" w:styleId="567">
    <w:name w:val="正文（首行缩进2字符）"/>
    <w:basedOn w:val="1"/>
    <w:qFormat/>
    <w:uiPriority w:val="0"/>
    <w:pPr>
      <w:adjustRightInd/>
      <w:spacing w:line="360" w:lineRule="auto"/>
      <w:ind w:firstLine="480" w:firstLineChars="200"/>
    </w:pPr>
    <w:rPr>
      <w:sz w:val="24"/>
      <w:szCs w:val="20"/>
    </w:rPr>
  </w:style>
  <w:style w:type="paragraph" w:customStyle="1" w:styleId="5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69">
    <w:name w:val="列出段落111"/>
    <w:basedOn w:val="1"/>
    <w:qFormat/>
    <w:uiPriority w:val="34"/>
    <w:pPr>
      <w:ind w:firstLine="420" w:firstLineChars="200"/>
    </w:pPr>
  </w:style>
  <w:style w:type="paragraph" w:customStyle="1" w:styleId="57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71">
    <w:name w:val="正文表标题"/>
    <w:next w:val="49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72">
    <w:name w:val="Char Char Char Char Char Char Char Char2"/>
    <w:basedOn w:val="1"/>
    <w:qFormat/>
    <w:uiPriority w:val="0"/>
    <w:pPr>
      <w:tabs>
        <w:tab w:val="left" w:pos="360"/>
      </w:tabs>
    </w:pPr>
    <w:rPr>
      <w:sz w:val="24"/>
      <w:szCs w:val="20"/>
    </w:rPr>
  </w:style>
  <w:style w:type="paragraph" w:customStyle="1" w:styleId="573">
    <w:name w:val="CM14"/>
    <w:basedOn w:val="180"/>
    <w:next w:val="180"/>
    <w:qFormat/>
    <w:uiPriority w:val="0"/>
    <w:pPr>
      <w:spacing w:after="68"/>
    </w:pPr>
    <w:rPr>
      <w:rFonts w:ascii="FHLHE E+ Futura Bk" w:eastAsia="FHLHE E+ Futura Bk" w:cs="Times New Roman"/>
      <w:color w:val="auto"/>
    </w:rPr>
  </w:style>
  <w:style w:type="paragraph" w:customStyle="1" w:styleId="574">
    <w:name w:val="Char6"/>
    <w:basedOn w:val="1"/>
    <w:qFormat/>
    <w:uiPriority w:val="0"/>
    <w:rPr>
      <w:rFonts w:ascii="仿宋_GB2312" w:eastAsia="仿宋_GB2312"/>
      <w:b/>
      <w:sz w:val="32"/>
      <w:szCs w:val="32"/>
    </w:rPr>
  </w:style>
  <w:style w:type="paragraph" w:customStyle="1" w:styleId="5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_Style 6"/>
    <w:basedOn w:val="1"/>
    <w:qFormat/>
    <w:uiPriority w:val="34"/>
    <w:pPr>
      <w:adjustRightInd/>
      <w:ind w:firstLine="420" w:firstLineChars="200"/>
    </w:pPr>
    <w:rPr>
      <w:rFonts w:eastAsia="仿宋_GB2312"/>
      <w:sz w:val="28"/>
    </w:rPr>
  </w:style>
  <w:style w:type="paragraph" w:customStyle="1" w:styleId="57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9">
    <w:name w:val="Char Char Char Char Char Char Char Char Char Char Char Char1 Char"/>
    <w:basedOn w:val="1"/>
    <w:qFormat/>
    <w:uiPriority w:val="0"/>
    <w:rPr>
      <w:rFonts w:ascii="Tahoma" w:hAnsi="Tahoma" w:cs="仿宋_GB2312"/>
      <w:sz w:val="24"/>
      <w:szCs w:val="20"/>
    </w:rPr>
  </w:style>
  <w:style w:type="paragraph" w:customStyle="1" w:styleId="580">
    <w:name w:val="Char1 Char Char Char2"/>
    <w:basedOn w:val="1"/>
    <w:qFormat/>
    <w:uiPriority w:val="0"/>
    <w:pPr>
      <w:adjustRightInd/>
      <w:ind w:firstLine="200" w:firstLineChars="200"/>
    </w:pPr>
    <w:rPr>
      <w:rFonts w:ascii="Tahoma" w:hAnsi="Tahoma"/>
      <w:sz w:val="24"/>
      <w:szCs w:val="20"/>
    </w:rPr>
  </w:style>
  <w:style w:type="paragraph" w:customStyle="1" w:styleId="581">
    <w:name w:val="彩色列表 - 强调文字颜色 12"/>
    <w:basedOn w:val="1"/>
    <w:qFormat/>
    <w:uiPriority w:val="0"/>
    <w:pPr>
      <w:adjustRightInd/>
      <w:ind w:firstLine="420" w:firstLineChars="200"/>
    </w:pPr>
    <w:rPr>
      <w:rFonts w:ascii="Calibri" w:hAnsi="Calibri"/>
      <w:szCs w:val="22"/>
    </w:rPr>
  </w:style>
  <w:style w:type="paragraph" w:customStyle="1" w:styleId="58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8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8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85">
    <w:name w:val="默认段落字体 Para Char Char Char Char"/>
    <w:basedOn w:val="1"/>
    <w:qFormat/>
    <w:uiPriority w:val="0"/>
    <w:pPr>
      <w:spacing w:line="360" w:lineRule="auto"/>
    </w:pPr>
    <w:rPr>
      <w:szCs w:val="20"/>
    </w:rPr>
  </w:style>
  <w:style w:type="paragraph" w:customStyle="1" w:styleId="586">
    <w:name w:val="列出段落5"/>
    <w:basedOn w:val="1"/>
    <w:qFormat/>
    <w:uiPriority w:val="0"/>
    <w:pPr>
      <w:spacing w:line="360" w:lineRule="auto"/>
      <w:ind w:firstLine="200" w:firstLineChars="200"/>
    </w:pPr>
    <w:rPr>
      <w:rFonts w:eastAsia="楷体_GB2312" w:cs="Lucida Sans"/>
      <w:sz w:val="24"/>
    </w:rPr>
  </w:style>
  <w:style w:type="paragraph" w:customStyle="1" w:styleId="58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88">
    <w:name w:val="FA正文"/>
    <w:basedOn w:val="1"/>
    <w:qFormat/>
    <w:uiPriority w:val="0"/>
    <w:pPr>
      <w:spacing w:line="360" w:lineRule="auto"/>
      <w:ind w:firstLine="480" w:firstLineChars="200"/>
    </w:pPr>
    <w:rPr>
      <w:rFonts w:hAnsi="宋体"/>
      <w:sz w:val="24"/>
      <w:szCs w:val="20"/>
    </w:rPr>
  </w:style>
  <w:style w:type="paragraph" w:customStyle="1" w:styleId="589">
    <w:name w:val="Char Char1 Char Char Char Char Char Char"/>
    <w:basedOn w:val="1"/>
    <w:qFormat/>
    <w:uiPriority w:val="0"/>
    <w:rPr>
      <w:rFonts w:ascii="仿宋_GB2312" w:eastAsia="仿宋_GB2312"/>
      <w:b/>
      <w:sz w:val="32"/>
      <w:szCs w:val="20"/>
    </w:rPr>
  </w:style>
  <w:style w:type="paragraph" w:customStyle="1" w:styleId="59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9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92">
    <w:name w:val="数字标题1"/>
    <w:basedOn w:val="3"/>
    <w:next w:val="1"/>
    <w:qFormat/>
    <w:uiPriority w:val="0"/>
    <w:pPr>
      <w:tabs>
        <w:tab w:val="left" w:pos="480"/>
      </w:tabs>
      <w:ind w:left="480" w:hanging="480"/>
    </w:pPr>
  </w:style>
  <w:style w:type="paragraph" w:customStyle="1" w:styleId="59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9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59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59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59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600">
    <w:name w:val="Char2 Char Char Char2"/>
    <w:basedOn w:val="1"/>
    <w:qFormat/>
    <w:uiPriority w:val="0"/>
    <w:rPr>
      <w:rFonts w:ascii="仿宋_GB2312" w:eastAsia="仿宋_GB2312"/>
      <w:b/>
      <w:sz w:val="32"/>
      <w:szCs w:val="32"/>
    </w:rPr>
  </w:style>
  <w:style w:type="paragraph" w:customStyle="1" w:styleId="60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0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05">
    <w:name w:val="_Style 12"/>
    <w:basedOn w:val="17"/>
    <w:qFormat/>
    <w:uiPriority w:val="0"/>
    <w:pPr>
      <w:snapToGrid w:val="0"/>
      <w:spacing w:line="360" w:lineRule="auto"/>
    </w:pPr>
  </w:style>
  <w:style w:type="paragraph" w:customStyle="1" w:styleId="6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0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61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11">
    <w:name w:val="四级条标题"/>
    <w:basedOn w:val="495"/>
    <w:next w:val="499"/>
    <w:qFormat/>
    <w:uiPriority w:val="0"/>
    <w:pPr>
      <w:tabs>
        <w:tab w:val="left" w:pos="2940"/>
        <w:tab w:val="clear" w:pos="2520"/>
      </w:tabs>
      <w:ind w:left="2940"/>
      <w:outlineLvl w:val="5"/>
    </w:pPr>
  </w:style>
  <w:style w:type="paragraph" w:customStyle="1" w:styleId="612">
    <w:name w:val="_Style 8"/>
    <w:basedOn w:val="1"/>
    <w:qFormat/>
    <w:uiPriority w:val="34"/>
    <w:pPr>
      <w:adjustRightInd/>
      <w:ind w:firstLine="420" w:firstLineChars="200"/>
    </w:pPr>
    <w:rPr>
      <w:rFonts w:eastAsia="仿宋_GB2312"/>
      <w:sz w:val="28"/>
    </w:rPr>
  </w:style>
  <w:style w:type="paragraph" w:customStyle="1" w:styleId="61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6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15">
    <w:name w:val="3级标题"/>
    <w:basedOn w:val="504"/>
    <w:qFormat/>
    <w:uiPriority w:val="0"/>
    <w:pPr>
      <w:outlineLvl w:val="2"/>
    </w:pPr>
  </w:style>
  <w:style w:type="paragraph" w:customStyle="1" w:styleId="616">
    <w:name w:val="Char Char110"/>
    <w:basedOn w:val="1"/>
    <w:qFormat/>
    <w:uiPriority w:val="6"/>
    <w:pPr>
      <w:spacing w:line="360" w:lineRule="auto"/>
    </w:pPr>
    <w:rPr>
      <w:rFonts w:ascii="Tahoma" w:hAnsi="Tahoma"/>
      <w:sz w:val="24"/>
      <w:szCs w:val="20"/>
    </w:rPr>
  </w:style>
  <w:style w:type="paragraph" w:customStyle="1" w:styleId="61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8">
    <w:name w:val="Char Char Char 字元 字元"/>
    <w:basedOn w:val="1"/>
    <w:qFormat/>
    <w:uiPriority w:val="0"/>
    <w:pPr>
      <w:adjustRightInd/>
      <w:spacing w:line="360" w:lineRule="auto"/>
      <w:ind w:firstLine="200" w:firstLineChars="200"/>
    </w:pPr>
    <w:rPr>
      <w:szCs w:val="20"/>
    </w:rPr>
  </w:style>
  <w:style w:type="paragraph" w:customStyle="1" w:styleId="61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2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2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623">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2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25">
    <w:name w:val="Char23"/>
    <w:basedOn w:val="1"/>
    <w:qFormat/>
    <w:uiPriority w:val="0"/>
    <w:rPr>
      <w:rFonts w:ascii="仿宋_GB2312" w:eastAsia="仿宋_GB2312"/>
      <w:b/>
      <w:sz w:val="32"/>
      <w:szCs w:val="32"/>
    </w:rPr>
  </w:style>
  <w:style w:type="paragraph" w:customStyle="1" w:styleId="626">
    <w:name w:val="数字标题5"/>
    <w:basedOn w:val="7"/>
    <w:next w:val="1"/>
    <w:qFormat/>
    <w:uiPriority w:val="0"/>
    <w:pPr>
      <w:tabs>
        <w:tab w:val="left" w:pos="1080"/>
      </w:tabs>
      <w:ind w:left="1080" w:hanging="1080"/>
    </w:pPr>
  </w:style>
  <w:style w:type="paragraph" w:customStyle="1" w:styleId="627">
    <w:name w:val="Char19"/>
    <w:basedOn w:val="1"/>
    <w:qFormat/>
    <w:uiPriority w:val="0"/>
    <w:pPr>
      <w:adjustRightInd/>
    </w:pPr>
    <w:rPr>
      <w:szCs w:val="20"/>
    </w:rPr>
  </w:style>
  <w:style w:type="paragraph" w:customStyle="1" w:styleId="628">
    <w:name w:val="MM Topic 5"/>
    <w:basedOn w:val="7"/>
    <w:qFormat/>
    <w:uiPriority w:val="0"/>
    <w:pPr>
      <w:tabs>
        <w:tab w:val="left" w:pos="2520"/>
      </w:tabs>
      <w:adjustRightInd/>
      <w:ind w:left="2520" w:hanging="420"/>
    </w:pPr>
  </w:style>
  <w:style w:type="paragraph" w:customStyle="1" w:styleId="62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63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31">
    <w:name w:val="Char3"/>
    <w:basedOn w:val="1"/>
    <w:qFormat/>
    <w:uiPriority w:val="0"/>
    <w:pPr>
      <w:adjustRightInd/>
    </w:pPr>
    <w:rPr>
      <w:rFonts w:ascii="仿宋_GB2312" w:eastAsia="仿宋_GB2312"/>
      <w:b/>
      <w:sz w:val="32"/>
      <w:szCs w:val="32"/>
    </w:rPr>
  </w:style>
  <w:style w:type="paragraph" w:customStyle="1" w:styleId="632">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633">
    <w:name w:val="左对齐表格文字"/>
    <w:basedOn w:val="1"/>
    <w:qFormat/>
    <w:uiPriority w:val="0"/>
    <w:pPr>
      <w:adjustRightInd/>
      <w:ind w:firstLine="200" w:firstLineChars="200"/>
      <w:jc w:val="right"/>
    </w:pPr>
  </w:style>
  <w:style w:type="paragraph" w:customStyle="1" w:styleId="634">
    <w:name w:val="Char Char Char Char Char Char Char Char Char Char Char Char1 Char1"/>
    <w:basedOn w:val="1"/>
    <w:qFormat/>
    <w:uiPriority w:val="6"/>
    <w:rPr>
      <w:rFonts w:ascii="Tahoma" w:hAnsi="Tahoma" w:cs="仿宋_GB2312"/>
      <w:sz w:val="24"/>
      <w:szCs w:val="20"/>
    </w:rPr>
  </w:style>
  <w:style w:type="paragraph" w:customStyle="1" w:styleId="6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36">
    <w:name w:val="五级条标题"/>
    <w:basedOn w:val="611"/>
    <w:next w:val="499"/>
    <w:qFormat/>
    <w:uiPriority w:val="0"/>
    <w:pPr>
      <w:tabs>
        <w:tab w:val="left" w:pos="3360"/>
      </w:tabs>
      <w:ind w:left="3360"/>
      <w:outlineLvl w:val="6"/>
    </w:pPr>
  </w:style>
  <w:style w:type="paragraph" w:customStyle="1" w:styleId="6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3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639">
    <w:name w:val="样式 样式2 + 左侧:  1 字符 右侧:  1 字符"/>
    <w:basedOn w:val="640"/>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4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4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42">
    <w:name w:val="_Style 11"/>
    <w:basedOn w:val="1"/>
    <w:qFormat/>
    <w:uiPriority w:val="34"/>
    <w:pPr>
      <w:adjustRightInd/>
      <w:ind w:firstLine="420" w:firstLineChars="200"/>
    </w:pPr>
    <w:rPr>
      <w:rFonts w:eastAsia="仿宋_GB2312"/>
      <w:sz w:val="28"/>
    </w:rPr>
  </w:style>
  <w:style w:type="paragraph" w:customStyle="1" w:styleId="643">
    <w:name w:val="Char Char Char Char Char Char Char Char Char Char"/>
    <w:basedOn w:val="1"/>
    <w:qFormat/>
    <w:uiPriority w:val="0"/>
    <w:rPr>
      <w:rFonts w:ascii="仿宋_GB2312" w:eastAsia="仿宋_GB2312"/>
      <w:b/>
      <w:sz w:val="32"/>
      <w:szCs w:val="32"/>
    </w:rPr>
  </w:style>
  <w:style w:type="paragraph" w:customStyle="1" w:styleId="644">
    <w:name w:val="正文文字表格居中"/>
    <w:basedOn w:val="1"/>
    <w:next w:val="46"/>
    <w:qFormat/>
    <w:uiPriority w:val="0"/>
    <w:pPr>
      <w:snapToGrid w:val="0"/>
      <w:spacing w:line="360" w:lineRule="auto"/>
    </w:pPr>
    <w:rPr>
      <w:rFonts w:ascii="宋体"/>
      <w:b/>
      <w:sz w:val="24"/>
      <w:szCs w:val="20"/>
    </w:rPr>
  </w:style>
  <w:style w:type="paragraph" w:customStyle="1" w:styleId="64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46">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4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48">
    <w:name w:val="Char Char11 Char Char Char2"/>
    <w:basedOn w:val="1"/>
    <w:qFormat/>
    <w:uiPriority w:val="0"/>
    <w:pPr>
      <w:spacing w:line="360" w:lineRule="auto"/>
    </w:pPr>
    <w:rPr>
      <w:szCs w:val="20"/>
    </w:rPr>
  </w:style>
  <w:style w:type="paragraph" w:customStyle="1" w:styleId="64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652">
    <w:name w:val="6级标题"/>
    <w:basedOn w:val="653"/>
    <w:qFormat/>
    <w:uiPriority w:val="0"/>
    <w:pPr>
      <w:keepNext/>
      <w:tabs>
        <w:tab w:val="left" w:pos="360"/>
      </w:tabs>
      <w:outlineLvl w:val="5"/>
    </w:pPr>
  </w:style>
  <w:style w:type="paragraph" w:customStyle="1" w:styleId="653">
    <w:name w:val="5级标题"/>
    <w:basedOn w:val="65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654">
    <w:name w:val="4级标题"/>
    <w:basedOn w:val="42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5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56">
    <w:name w:val="表格 内容"/>
    <w:basedOn w:val="657"/>
    <w:qFormat/>
    <w:uiPriority w:val="0"/>
    <w:rPr>
      <w:b w:val="0"/>
      <w:sz w:val="20"/>
    </w:rPr>
  </w:style>
  <w:style w:type="paragraph" w:customStyle="1" w:styleId="65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5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5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6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6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62">
    <w:name w:val="文章标题"/>
    <w:next w:val="66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663">
    <w:name w:val="封面公司名"/>
    <w:qFormat/>
    <w:uiPriority w:val="0"/>
    <w:pPr>
      <w:jc w:val="center"/>
    </w:pPr>
    <w:rPr>
      <w:rFonts w:ascii="Arial" w:hAnsi="Arial" w:eastAsia="楷体_GB2312" w:cs="宋体"/>
      <w:bCs/>
      <w:kern w:val="2"/>
      <w:sz w:val="28"/>
      <w:lang w:val="en-US" w:eastAsia="zh-CN" w:bidi="ar-SA"/>
    </w:rPr>
  </w:style>
  <w:style w:type="paragraph" w:customStyle="1" w:styleId="66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65">
    <w:name w:val="Char Char Char Char Char Char Char Char"/>
    <w:basedOn w:val="1"/>
    <w:qFormat/>
    <w:uiPriority w:val="0"/>
    <w:pPr>
      <w:tabs>
        <w:tab w:val="left" w:pos="360"/>
      </w:tabs>
    </w:pPr>
    <w:rPr>
      <w:sz w:val="24"/>
      <w:szCs w:val="20"/>
    </w:rPr>
  </w:style>
  <w:style w:type="paragraph" w:customStyle="1" w:styleId="6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66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68">
    <w:name w:val="Char3 Char Char Char11"/>
    <w:basedOn w:val="1"/>
    <w:qFormat/>
    <w:uiPriority w:val="0"/>
    <w:pPr>
      <w:widowControl/>
      <w:adjustRightInd/>
      <w:spacing w:after="160" w:line="240" w:lineRule="exact"/>
      <w:jc w:val="left"/>
    </w:pPr>
    <w:rPr>
      <w:szCs w:val="20"/>
    </w:rPr>
  </w:style>
  <w:style w:type="paragraph" w:customStyle="1" w:styleId="66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67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7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72">
    <w:name w:val="表文字"/>
    <w:qFormat/>
    <w:uiPriority w:val="0"/>
    <w:rPr>
      <w:rFonts w:ascii="宋体" w:hAnsi="Times New Roman" w:eastAsia="宋体" w:cs="Times New Roman"/>
      <w:kern w:val="2"/>
      <w:lang w:val="en-US" w:eastAsia="zh-CN" w:bidi="ar-SA"/>
    </w:rPr>
  </w:style>
  <w:style w:type="paragraph" w:customStyle="1" w:styleId="67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4">
    <w:name w:val="Char2 Char Char"/>
    <w:basedOn w:val="1"/>
    <w:qFormat/>
    <w:uiPriority w:val="0"/>
    <w:pPr>
      <w:adjustRightInd/>
    </w:pPr>
    <w:rPr>
      <w:rFonts w:ascii="Tahoma" w:hAnsi="Tahoma"/>
      <w:sz w:val="24"/>
      <w:szCs w:val="20"/>
    </w:rPr>
  </w:style>
  <w:style w:type="paragraph" w:customStyle="1" w:styleId="6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76">
    <w:name w:val="a1"/>
    <w:basedOn w:val="1"/>
    <w:qFormat/>
    <w:uiPriority w:val="0"/>
    <w:pPr>
      <w:widowControl/>
      <w:spacing w:line="300" w:lineRule="atLeast"/>
      <w:jc w:val="left"/>
    </w:pPr>
    <w:rPr>
      <w:rFonts w:ascii="宋体" w:hAnsi="宋体"/>
      <w:kern w:val="0"/>
      <w:sz w:val="18"/>
      <w:szCs w:val="20"/>
    </w:rPr>
  </w:style>
  <w:style w:type="paragraph" w:customStyle="1" w:styleId="67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8">
    <w:name w:val="Char Char1 Char Char Char2"/>
    <w:basedOn w:val="1"/>
    <w:qFormat/>
    <w:uiPriority w:val="0"/>
    <w:rPr>
      <w:rFonts w:ascii="仿宋_GB2312" w:eastAsia="仿宋_GB2312"/>
      <w:b/>
      <w:sz w:val="32"/>
      <w:szCs w:val="32"/>
    </w:rPr>
  </w:style>
  <w:style w:type="paragraph" w:customStyle="1" w:styleId="679">
    <w:name w:val="Char Char Char Char Char Char Char2"/>
    <w:basedOn w:val="1"/>
    <w:qFormat/>
    <w:uiPriority w:val="0"/>
    <w:rPr>
      <w:rFonts w:ascii="仿宋_GB2312" w:eastAsia="仿宋_GB2312"/>
      <w:b/>
      <w:sz w:val="32"/>
      <w:szCs w:val="32"/>
    </w:rPr>
  </w:style>
  <w:style w:type="paragraph" w:customStyle="1" w:styleId="68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8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82">
    <w:name w:val="Char1"/>
    <w:basedOn w:val="1"/>
    <w:qFormat/>
    <w:uiPriority w:val="0"/>
    <w:rPr>
      <w:rFonts w:ascii="仿宋_GB2312" w:eastAsia="仿宋_GB2312"/>
      <w:b/>
      <w:sz w:val="32"/>
      <w:szCs w:val="32"/>
    </w:rPr>
  </w:style>
  <w:style w:type="paragraph" w:customStyle="1" w:styleId="683">
    <w:name w:val="表格标题2"/>
    <w:basedOn w:val="684"/>
    <w:qFormat/>
    <w:uiPriority w:val="0"/>
    <w:rPr>
      <w:b/>
    </w:rPr>
  </w:style>
  <w:style w:type="paragraph" w:customStyle="1" w:styleId="684">
    <w:name w:val="表格内文"/>
    <w:basedOn w:val="1"/>
    <w:qFormat/>
    <w:uiPriority w:val="0"/>
    <w:pPr>
      <w:adjustRightInd/>
      <w:spacing w:line="360" w:lineRule="auto"/>
    </w:pPr>
    <w:rPr>
      <w:rFonts w:ascii="宋体" w:hAnsi="宋体" w:cs="宋体"/>
      <w:color w:val="000000"/>
      <w:szCs w:val="20"/>
    </w:rPr>
  </w:style>
  <w:style w:type="paragraph" w:customStyle="1" w:styleId="685">
    <w:name w:val="样式 左侧:  0.85 厘米"/>
    <w:basedOn w:val="1"/>
    <w:qFormat/>
    <w:uiPriority w:val="2"/>
    <w:pPr>
      <w:adjustRightInd/>
      <w:spacing w:line="360" w:lineRule="auto"/>
    </w:pPr>
    <w:rPr>
      <w:rFonts w:cs="宋体"/>
      <w:sz w:val="24"/>
      <w:szCs w:val="20"/>
    </w:rPr>
  </w:style>
  <w:style w:type="paragraph" w:customStyle="1" w:styleId="686">
    <w:name w:val="正文1"/>
    <w:basedOn w:val="85"/>
    <w:qFormat/>
    <w:uiPriority w:val="0"/>
    <w:pPr>
      <w:ind w:left="0" w:leftChars="0" w:firstLine="480" w:firstLineChars="200"/>
    </w:pPr>
    <w:rPr>
      <w:rFonts w:ascii="仿宋_GB2312" w:hAnsi="Courier New" w:eastAsia="仿宋_GB2312"/>
      <w:kern w:val="28"/>
      <w:sz w:val="24"/>
    </w:rPr>
  </w:style>
  <w:style w:type="paragraph" w:customStyle="1" w:styleId="68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88">
    <w:name w:val="样式 标题 3H3 + 两端对齐"/>
    <w:basedOn w:val="5"/>
    <w:qFormat/>
    <w:uiPriority w:val="0"/>
    <w:pPr>
      <w:keepLines w:val="0"/>
      <w:spacing w:before="0" w:after="0" w:line="240" w:lineRule="auto"/>
      <w:jc w:val="left"/>
    </w:pPr>
    <w:rPr>
      <w:rFonts w:cs="宋体"/>
      <w:sz w:val="21"/>
      <w:szCs w:val="20"/>
    </w:rPr>
  </w:style>
  <w:style w:type="paragraph" w:customStyle="1" w:styleId="689">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92">
    <w:name w:val="Char Char Char Char Char Char Char Char Char Char Char Char1 Char2"/>
    <w:basedOn w:val="1"/>
    <w:qFormat/>
    <w:uiPriority w:val="0"/>
    <w:rPr>
      <w:rFonts w:ascii="Tahoma" w:hAnsi="Tahoma" w:cs="仿宋_GB2312"/>
      <w:sz w:val="24"/>
      <w:szCs w:val="20"/>
    </w:rPr>
  </w:style>
  <w:style w:type="paragraph" w:customStyle="1" w:styleId="69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94">
    <w:name w:val="标书表格字体格式"/>
    <w:next w:val="695"/>
    <w:qFormat/>
    <w:uiPriority w:val="0"/>
    <w:rPr>
      <w:rFonts w:ascii="Times New Roman" w:hAnsi="Times New Roman" w:eastAsia="宋体" w:cs="Times New Roman"/>
      <w:kern w:val="2"/>
      <w:sz w:val="21"/>
      <w:szCs w:val="24"/>
      <w:lang w:val="en-US" w:eastAsia="zh-CN" w:bidi="ar-SA"/>
    </w:rPr>
  </w:style>
  <w:style w:type="paragraph" w:customStyle="1" w:styleId="69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99">
    <w:name w:val="Char1 Char Char Char21"/>
    <w:basedOn w:val="1"/>
    <w:qFormat/>
    <w:uiPriority w:val="0"/>
    <w:rPr>
      <w:rFonts w:ascii="Tahoma" w:hAnsi="Tahoma"/>
      <w:sz w:val="24"/>
      <w:szCs w:val="20"/>
    </w:rPr>
  </w:style>
  <w:style w:type="paragraph" w:customStyle="1" w:styleId="700">
    <w:name w:val="Table Paragraph"/>
    <w:basedOn w:val="1"/>
    <w:qFormat/>
    <w:uiPriority w:val="0"/>
    <w:pPr>
      <w:adjustRightInd/>
      <w:jc w:val="left"/>
    </w:pPr>
    <w:rPr>
      <w:rFonts w:ascii="Calibri" w:hAnsi="Calibri"/>
      <w:kern w:val="0"/>
      <w:sz w:val="22"/>
      <w:szCs w:val="22"/>
      <w:lang w:eastAsia="en-US"/>
    </w:rPr>
  </w:style>
  <w:style w:type="paragraph" w:customStyle="1" w:styleId="7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70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0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70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05">
    <w:name w:val="MM Topic 1"/>
    <w:basedOn w:val="3"/>
    <w:qFormat/>
    <w:uiPriority w:val="0"/>
    <w:pPr>
      <w:tabs>
        <w:tab w:val="left" w:pos="840"/>
      </w:tabs>
      <w:adjustRightInd/>
      <w:ind w:left="840" w:hanging="420"/>
    </w:pPr>
  </w:style>
  <w:style w:type="paragraph" w:customStyle="1" w:styleId="70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0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0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0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10">
    <w:name w:val="MM Topic 4"/>
    <w:basedOn w:val="6"/>
    <w:qFormat/>
    <w:uiPriority w:val="0"/>
    <w:pPr>
      <w:tabs>
        <w:tab w:val="left" w:pos="2100"/>
      </w:tabs>
      <w:adjustRightInd/>
      <w:ind w:left="2100" w:hanging="420"/>
    </w:pPr>
    <w:rPr>
      <w:lang w:val="en-US"/>
    </w:rPr>
  </w:style>
  <w:style w:type="paragraph" w:customStyle="1" w:styleId="711">
    <w:name w:val="标准小四"/>
    <w:basedOn w:val="1"/>
    <w:qFormat/>
    <w:uiPriority w:val="0"/>
    <w:pPr>
      <w:spacing w:line="360" w:lineRule="auto"/>
      <w:ind w:firstLine="480" w:firstLineChars="200"/>
    </w:pPr>
    <w:rPr>
      <w:rFonts w:ascii="Arial" w:hAnsi="Arial"/>
      <w:sz w:val="24"/>
      <w:szCs w:val="21"/>
    </w:rPr>
  </w:style>
  <w:style w:type="paragraph" w:customStyle="1" w:styleId="71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13">
    <w:name w:val="Char Char Char Char"/>
    <w:basedOn w:val="1"/>
    <w:qFormat/>
    <w:uiPriority w:val="0"/>
    <w:rPr>
      <w:rFonts w:ascii="Tahoma" w:hAnsi="Tahoma"/>
      <w:sz w:val="24"/>
      <w:szCs w:val="20"/>
    </w:rPr>
  </w:style>
  <w:style w:type="paragraph" w:customStyle="1" w:styleId="71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71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16">
    <w:name w:val="彩色列表 - 强调文字颜色 11"/>
    <w:basedOn w:val="1"/>
    <w:qFormat/>
    <w:uiPriority w:val="0"/>
    <w:pPr>
      <w:adjustRightInd/>
      <w:ind w:firstLine="420" w:firstLineChars="200"/>
    </w:pPr>
    <w:rPr>
      <w:rFonts w:ascii="Calibri" w:hAnsi="Calibri"/>
      <w:szCs w:val="22"/>
    </w:rPr>
  </w:style>
  <w:style w:type="paragraph" w:customStyle="1" w:styleId="71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18">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7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2">
    <w:name w:val="文档正文"/>
    <w:basedOn w:val="1"/>
    <w:qFormat/>
    <w:uiPriority w:val="0"/>
    <w:pPr>
      <w:spacing w:line="480" w:lineRule="atLeast"/>
      <w:ind w:firstLine="567"/>
      <w:textAlignment w:val="baseline"/>
    </w:pPr>
    <w:rPr>
      <w:kern w:val="0"/>
      <w:sz w:val="24"/>
      <w:szCs w:val="20"/>
    </w:rPr>
  </w:style>
  <w:style w:type="paragraph" w:customStyle="1" w:styleId="72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24">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2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27">
    <w:name w:val="Char2 Char Char1"/>
    <w:basedOn w:val="1"/>
    <w:qFormat/>
    <w:uiPriority w:val="6"/>
    <w:pPr>
      <w:adjustRightInd/>
    </w:pPr>
    <w:rPr>
      <w:rFonts w:ascii="Tahoma" w:hAnsi="Tahoma"/>
      <w:sz w:val="24"/>
      <w:szCs w:val="20"/>
    </w:rPr>
  </w:style>
  <w:style w:type="paragraph" w:customStyle="1" w:styleId="728">
    <w:name w:val="List Paragraph1"/>
    <w:basedOn w:val="1"/>
    <w:qFormat/>
    <w:uiPriority w:val="0"/>
    <w:pPr>
      <w:spacing w:line="360" w:lineRule="auto"/>
      <w:ind w:firstLine="200" w:firstLineChars="200"/>
    </w:pPr>
    <w:rPr>
      <w:rFonts w:eastAsia="楷体_GB2312" w:cs="Lucida Sans"/>
      <w:sz w:val="24"/>
    </w:rPr>
  </w:style>
  <w:style w:type="paragraph" w:customStyle="1" w:styleId="72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3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731">
    <w:name w:val="EB_表格"/>
    <w:basedOn w:val="1"/>
    <w:qFormat/>
    <w:uiPriority w:val="0"/>
    <w:pPr>
      <w:adjustRightInd/>
      <w:spacing w:line="300" w:lineRule="auto"/>
      <w:jc w:val="center"/>
    </w:pPr>
  </w:style>
  <w:style w:type="paragraph" w:customStyle="1" w:styleId="7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3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修订3"/>
    <w:qFormat/>
    <w:uiPriority w:val="0"/>
    <w:rPr>
      <w:rFonts w:ascii="Times New Roman" w:hAnsi="Times New Roman" w:eastAsia="宋体" w:cs="Times New Roman"/>
      <w:kern w:val="2"/>
      <w:sz w:val="21"/>
      <w:lang w:val="en-US" w:eastAsia="zh-CN" w:bidi="ar-SA"/>
    </w:rPr>
  </w:style>
  <w:style w:type="paragraph" w:customStyle="1" w:styleId="736">
    <w:name w:val="正文 项目2"/>
    <w:basedOn w:val="607"/>
    <w:qFormat/>
    <w:uiPriority w:val="0"/>
    <w:pPr>
      <w:spacing w:after="0"/>
      <w:ind w:left="900"/>
    </w:pPr>
  </w:style>
  <w:style w:type="paragraph" w:customStyle="1" w:styleId="73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38">
    <w:name w:val="Char Char1 Char Char Char1"/>
    <w:basedOn w:val="1"/>
    <w:qFormat/>
    <w:uiPriority w:val="6"/>
    <w:rPr>
      <w:rFonts w:ascii="仿宋_GB2312" w:eastAsia="仿宋_GB2312"/>
      <w:b/>
      <w:sz w:val="32"/>
      <w:szCs w:val="20"/>
    </w:rPr>
  </w:style>
  <w:style w:type="paragraph" w:customStyle="1" w:styleId="73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74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41">
    <w:name w:val="Char1 Char Char Char3"/>
    <w:basedOn w:val="1"/>
    <w:qFormat/>
    <w:uiPriority w:val="0"/>
    <w:pPr>
      <w:adjustRightInd/>
      <w:ind w:firstLine="200" w:firstLineChars="200"/>
    </w:pPr>
    <w:rPr>
      <w:rFonts w:ascii="Tahoma" w:hAnsi="Tahoma"/>
      <w:sz w:val="24"/>
      <w:szCs w:val="20"/>
    </w:rPr>
  </w:style>
  <w:style w:type="paragraph" w:customStyle="1" w:styleId="74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43">
    <w:name w:val="MM Title"/>
    <w:basedOn w:val="4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4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5">
    <w:name w:val="Char Char11 Char Char Char Char Char Char Char Char Char"/>
    <w:basedOn w:val="1"/>
    <w:qFormat/>
    <w:uiPriority w:val="0"/>
    <w:pPr>
      <w:spacing w:line="360" w:lineRule="auto"/>
    </w:pPr>
    <w:rPr>
      <w:szCs w:val="20"/>
    </w:rPr>
  </w:style>
  <w:style w:type="paragraph" w:customStyle="1" w:styleId="746">
    <w:name w:val="U_编号2"/>
    <w:basedOn w:val="1"/>
    <w:qFormat/>
    <w:uiPriority w:val="0"/>
    <w:pPr>
      <w:tabs>
        <w:tab w:val="left" w:pos="785"/>
      </w:tabs>
      <w:adjustRightInd/>
      <w:spacing w:beforeLines="10" w:afterLines="10" w:line="300" w:lineRule="auto"/>
    </w:pPr>
    <w:rPr>
      <w:sz w:val="24"/>
    </w:rPr>
  </w:style>
  <w:style w:type="paragraph" w:customStyle="1" w:styleId="74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4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74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5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5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5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5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56">
    <w:name w:val="Char Char113"/>
    <w:basedOn w:val="1"/>
    <w:qFormat/>
    <w:uiPriority w:val="0"/>
    <w:pPr>
      <w:widowControl/>
      <w:spacing w:after="160" w:line="240" w:lineRule="exact"/>
      <w:jc w:val="left"/>
    </w:pPr>
    <w:rPr>
      <w:rFonts w:eastAsia="仿宋_GB2312"/>
      <w:sz w:val="28"/>
    </w:rPr>
  </w:style>
  <w:style w:type="paragraph" w:customStyle="1" w:styleId="75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58">
    <w:name w:val="加粗正文"/>
    <w:basedOn w:val="1"/>
    <w:qFormat/>
    <w:uiPriority w:val="0"/>
    <w:pPr>
      <w:adjustRightInd/>
      <w:spacing w:beforeLines="50" w:afterLines="50" w:line="360" w:lineRule="auto"/>
      <w:ind w:firstLine="422" w:firstLineChars="200"/>
    </w:pPr>
    <w:rPr>
      <w:b/>
      <w:bCs/>
      <w:szCs w:val="21"/>
    </w:rPr>
  </w:style>
  <w:style w:type="paragraph" w:customStyle="1" w:styleId="759">
    <w:name w:val="Char2 Char Char Char"/>
    <w:basedOn w:val="1"/>
    <w:qFormat/>
    <w:uiPriority w:val="0"/>
    <w:rPr>
      <w:rFonts w:ascii="仿宋_GB2312" w:eastAsia="仿宋_GB2312"/>
      <w:b/>
      <w:sz w:val="32"/>
      <w:szCs w:val="32"/>
    </w:rPr>
  </w:style>
  <w:style w:type="paragraph" w:customStyle="1" w:styleId="7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76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76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63">
    <w:name w:val="封面"/>
    <w:basedOn w:val="1"/>
    <w:qFormat/>
    <w:uiPriority w:val="0"/>
    <w:pPr>
      <w:spacing w:line="360" w:lineRule="atLeast"/>
      <w:jc w:val="right"/>
      <w:textAlignment w:val="baseline"/>
    </w:pPr>
    <w:rPr>
      <w:rFonts w:ascii="Symbol" w:hAnsi="Symbol"/>
      <w:kern w:val="0"/>
      <w:szCs w:val="20"/>
    </w:rPr>
  </w:style>
  <w:style w:type="paragraph" w:customStyle="1" w:styleId="764">
    <w:name w:val="Char Char111"/>
    <w:basedOn w:val="1"/>
    <w:qFormat/>
    <w:uiPriority w:val="0"/>
    <w:pPr>
      <w:spacing w:line="360" w:lineRule="auto"/>
    </w:pPr>
    <w:rPr>
      <w:szCs w:val="20"/>
    </w:rPr>
  </w:style>
  <w:style w:type="paragraph" w:customStyle="1" w:styleId="76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766">
    <w:name w:val="Char1 Char Char Char4"/>
    <w:basedOn w:val="1"/>
    <w:qFormat/>
    <w:uiPriority w:val="0"/>
    <w:pPr>
      <w:adjustRightInd/>
      <w:ind w:firstLine="200" w:firstLineChars="200"/>
    </w:pPr>
    <w:rPr>
      <w:rFonts w:ascii="Tahoma" w:hAnsi="Tahoma"/>
      <w:sz w:val="24"/>
      <w:szCs w:val="20"/>
    </w:rPr>
  </w:style>
  <w:style w:type="paragraph" w:customStyle="1" w:styleId="76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68">
    <w:name w:val="四号　首行缩进"/>
    <w:basedOn w:val="1"/>
    <w:qFormat/>
    <w:uiPriority w:val="0"/>
    <w:pPr>
      <w:adjustRightInd/>
      <w:spacing w:line="360" w:lineRule="auto"/>
    </w:pPr>
    <w:rPr>
      <w:rFonts w:ascii="宋体" w:hAnsi="宋体"/>
      <w:szCs w:val="20"/>
    </w:rPr>
  </w:style>
  <w:style w:type="paragraph" w:customStyle="1" w:styleId="769">
    <w:name w:val="_标题2"/>
    <w:basedOn w:val="770"/>
    <w:next w:val="77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7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7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772">
    <w:name w:val="Char Char Char1 Char2"/>
    <w:basedOn w:val="1"/>
    <w:qFormat/>
    <w:uiPriority w:val="0"/>
    <w:rPr>
      <w:szCs w:val="20"/>
    </w:rPr>
  </w:style>
  <w:style w:type="paragraph" w:customStyle="1" w:styleId="77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774">
    <w:name w:val="Char Char1 Char Char Char Char Char Char1"/>
    <w:basedOn w:val="1"/>
    <w:qFormat/>
    <w:uiPriority w:val="0"/>
    <w:rPr>
      <w:rFonts w:ascii="仿宋_GB2312" w:eastAsia="仿宋_GB2312"/>
      <w:b/>
      <w:sz w:val="32"/>
      <w:szCs w:val="20"/>
    </w:rPr>
  </w:style>
  <w:style w:type="paragraph" w:customStyle="1" w:styleId="77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7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8">
    <w:name w:val="注释"/>
    <w:basedOn w:val="1"/>
    <w:qFormat/>
    <w:uiPriority w:val="0"/>
    <w:pPr>
      <w:adjustRightInd/>
      <w:spacing w:line="360" w:lineRule="auto"/>
      <w:ind w:firstLine="480"/>
    </w:pPr>
    <w:rPr>
      <w:sz w:val="24"/>
    </w:rPr>
  </w:style>
  <w:style w:type="paragraph" w:customStyle="1" w:styleId="77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8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8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78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8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85">
    <w:name w:val="纯文本2"/>
    <w:basedOn w:val="1"/>
    <w:qFormat/>
    <w:uiPriority w:val="0"/>
    <w:pPr>
      <w:adjustRightInd/>
      <w:snapToGrid w:val="0"/>
      <w:jc w:val="left"/>
    </w:pPr>
    <w:rPr>
      <w:rFonts w:ascii="Century Gothic" w:hAnsi="楷体_GB2312" w:eastAsia="Century Gothic"/>
      <w:szCs w:val="20"/>
    </w:rPr>
  </w:style>
  <w:style w:type="paragraph" w:customStyle="1" w:styleId="78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Bulleted List"/>
    <w:basedOn w:val="1"/>
    <w:qFormat/>
    <w:uiPriority w:val="0"/>
    <w:pPr>
      <w:tabs>
        <w:tab w:val="left" w:pos="1260"/>
      </w:tabs>
      <w:adjustRightInd/>
      <w:ind w:left="1260" w:hanging="420"/>
    </w:pPr>
  </w:style>
  <w:style w:type="paragraph" w:customStyle="1" w:styleId="78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790">
    <w:name w:val="Char"/>
    <w:basedOn w:val="1"/>
    <w:qFormat/>
    <w:uiPriority w:val="0"/>
    <w:rPr>
      <w:rFonts w:ascii="仿宋_GB2312" w:eastAsia="仿宋_GB2312"/>
      <w:b/>
      <w:sz w:val="32"/>
      <w:szCs w:val="32"/>
    </w:rPr>
  </w:style>
  <w:style w:type="paragraph" w:customStyle="1" w:styleId="791">
    <w:name w:val="Char Char Char"/>
    <w:basedOn w:val="1"/>
    <w:qFormat/>
    <w:uiPriority w:val="0"/>
    <w:rPr>
      <w:rFonts w:ascii="Tahoma" w:hAnsi="Tahoma"/>
      <w:sz w:val="24"/>
      <w:szCs w:val="20"/>
    </w:rPr>
  </w:style>
  <w:style w:type="paragraph" w:customStyle="1" w:styleId="79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9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9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79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9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79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00">
    <w:name w:val="Char Char112"/>
    <w:basedOn w:val="1"/>
    <w:qFormat/>
    <w:uiPriority w:val="6"/>
    <w:pPr>
      <w:widowControl/>
      <w:spacing w:after="160" w:line="240" w:lineRule="exact"/>
      <w:jc w:val="left"/>
    </w:pPr>
    <w:rPr>
      <w:rFonts w:eastAsia="仿宋_GB2312"/>
      <w:sz w:val="28"/>
    </w:rPr>
  </w:style>
  <w:style w:type="paragraph" w:customStyle="1" w:styleId="80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02">
    <w:name w:val="P1"/>
    <w:basedOn w:val="1"/>
    <w:qFormat/>
    <w:uiPriority w:val="0"/>
    <w:pPr>
      <w:adjustRightInd/>
      <w:spacing w:line="288" w:lineRule="auto"/>
      <w:ind w:firstLine="425" w:firstLineChars="200"/>
    </w:pPr>
  </w:style>
  <w:style w:type="paragraph" w:customStyle="1" w:styleId="803">
    <w:name w:val="正文文字 2"/>
    <w:basedOn w:val="180"/>
    <w:next w:val="180"/>
    <w:qFormat/>
    <w:uiPriority w:val="0"/>
    <w:rPr>
      <w:rFonts w:ascii="宋体" w:eastAsia="宋体" w:cs="Times New Roman"/>
      <w:color w:val="auto"/>
    </w:rPr>
  </w:style>
  <w:style w:type="paragraph" w:customStyle="1" w:styleId="80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8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0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807">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80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10">
    <w:name w:val="修订2"/>
    <w:qFormat/>
    <w:uiPriority w:val="0"/>
    <w:rPr>
      <w:rFonts w:ascii="Times New Roman" w:hAnsi="Times New Roman" w:eastAsia="宋体" w:cs="Times New Roman"/>
      <w:kern w:val="2"/>
      <w:sz w:val="21"/>
      <w:lang w:val="en-US" w:eastAsia="zh-CN" w:bidi="ar-SA"/>
    </w:rPr>
  </w:style>
  <w:style w:type="paragraph" w:customStyle="1" w:styleId="81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12">
    <w:name w:val="首行缩进"/>
    <w:basedOn w:val="1"/>
    <w:qFormat/>
    <w:uiPriority w:val="0"/>
    <w:pPr>
      <w:spacing w:line="360" w:lineRule="auto"/>
      <w:ind w:firstLine="480" w:firstLineChars="200"/>
    </w:pPr>
    <w:rPr>
      <w:rFonts w:ascii="宋体"/>
      <w:sz w:val="24"/>
      <w:szCs w:val="20"/>
    </w:rPr>
  </w:style>
  <w:style w:type="paragraph" w:customStyle="1" w:styleId="81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81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1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1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818">
    <w:name w:val="正文（标题三）"/>
    <w:basedOn w:val="1"/>
    <w:qFormat/>
    <w:uiPriority w:val="0"/>
    <w:pPr>
      <w:spacing w:line="360" w:lineRule="auto"/>
      <w:ind w:firstLine="200" w:firstLineChars="200"/>
    </w:pPr>
    <w:rPr>
      <w:sz w:val="24"/>
    </w:rPr>
  </w:style>
  <w:style w:type="paragraph" w:customStyle="1" w:styleId="8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820">
    <w:name w:val="Char Char Char Char Char Char Char Char Char Char2"/>
    <w:basedOn w:val="1"/>
    <w:qFormat/>
    <w:uiPriority w:val="0"/>
    <w:rPr>
      <w:rFonts w:ascii="仿宋_GB2312" w:eastAsia="仿宋_GB2312"/>
      <w:b/>
      <w:sz w:val="32"/>
      <w:szCs w:val="32"/>
    </w:rPr>
  </w:style>
  <w:style w:type="paragraph" w:customStyle="1" w:styleId="8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2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2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正文 内标"/>
    <w:basedOn w:val="702"/>
    <w:qFormat/>
    <w:uiPriority w:val="0"/>
    <w:pPr>
      <w:tabs>
        <w:tab w:val="left" w:pos="0"/>
      </w:tabs>
      <w:ind w:left="900" w:firstLine="0" w:firstLineChars="0"/>
    </w:pPr>
  </w:style>
  <w:style w:type="paragraph" w:customStyle="1" w:styleId="82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2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2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28">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829">
    <w:name w:val="WW-正文文字缩进 2"/>
    <w:basedOn w:val="1"/>
    <w:qFormat/>
    <w:uiPriority w:val="0"/>
    <w:pPr>
      <w:suppressAutoHyphens/>
      <w:adjustRightInd/>
      <w:ind w:firstLine="420"/>
    </w:pPr>
    <w:rPr>
      <w:kern w:val="1"/>
      <w:szCs w:val="20"/>
    </w:rPr>
  </w:style>
  <w:style w:type="paragraph" w:customStyle="1" w:styleId="830">
    <w:name w:val="Plain Text1"/>
    <w:basedOn w:val="1"/>
    <w:qFormat/>
    <w:uiPriority w:val="7"/>
    <w:pPr>
      <w:adjustRightInd/>
    </w:pPr>
    <w:rPr>
      <w:rFonts w:ascii="宋体" w:hAnsi="Courier New"/>
    </w:rPr>
  </w:style>
  <w:style w:type="paragraph" w:customStyle="1" w:styleId="83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832">
    <w:name w:val="Char1 Char Char Char5"/>
    <w:basedOn w:val="1"/>
    <w:qFormat/>
    <w:uiPriority w:val="0"/>
    <w:pPr>
      <w:adjustRightInd/>
      <w:ind w:firstLine="200" w:firstLineChars="200"/>
    </w:pPr>
    <w:rPr>
      <w:rFonts w:ascii="Tahoma" w:hAnsi="Tahoma"/>
      <w:sz w:val="24"/>
      <w:szCs w:val="20"/>
    </w:rPr>
  </w:style>
  <w:style w:type="paragraph" w:customStyle="1" w:styleId="833">
    <w:name w:val="正文 图"/>
    <w:basedOn w:val="484"/>
    <w:qFormat/>
    <w:uiPriority w:val="0"/>
    <w:pPr>
      <w:adjustRightInd/>
      <w:spacing w:before="0"/>
      <w:ind w:firstLine="0"/>
      <w:jc w:val="center"/>
    </w:pPr>
    <w:rPr>
      <w:rFonts w:ascii="微软雅黑" w:hAnsi="微软雅黑"/>
    </w:rPr>
  </w:style>
  <w:style w:type="paragraph" w:customStyle="1" w:styleId="834">
    <w:name w:val="Picture"/>
    <w:basedOn w:val="1"/>
    <w:next w:val="1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3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3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837">
    <w:name w:val="_Style 1"/>
    <w:basedOn w:val="1"/>
    <w:qFormat/>
    <w:uiPriority w:val="34"/>
    <w:pPr>
      <w:adjustRightInd/>
      <w:ind w:firstLine="420" w:firstLineChars="200"/>
    </w:pPr>
    <w:rPr>
      <w:rFonts w:eastAsia="仿宋_GB2312"/>
      <w:sz w:val="28"/>
    </w:rPr>
  </w:style>
  <w:style w:type="paragraph" w:customStyle="1" w:styleId="8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839">
    <w:name w:val="正文箭头"/>
    <w:basedOn w:val="583"/>
    <w:qFormat/>
    <w:uiPriority w:val="0"/>
  </w:style>
  <w:style w:type="paragraph" w:customStyle="1" w:styleId="84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4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4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843">
    <w:name w:val="样式 正文文本缩进 + 段前: 2 字符"/>
    <w:basedOn w:val="1"/>
    <w:qFormat/>
    <w:uiPriority w:val="0"/>
    <w:pPr>
      <w:adjustRightInd/>
      <w:ind w:left="420" w:leftChars="200"/>
      <w:jc w:val="left"/>
    </w:pPr>
    <w:rPr>
      <w:sz w:val="28"/>
      <w:szCs w:val="20"/>
      <w:lang w:eastAsia="zh-TW"/>
    </w:rPr>
  </w:style>
  <w:style w:type="paragraph" w:customStyle="1" w:styleId="84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45">
    <w:name w:val="表格（小）"/>
    <w:basedOn w:val="1"/>
    <w:qFormat/>
    <w:uiPriority w:val="0"/>
    <w:pPr>
      <w:adjustRightInd/>
      <w:snapToGrid w:val="0"/>
      <w:spacing w:line="300" w:lineRule="auto"/>
    </w:pPr>
    <w:rPr>
      <w:rFonts w:eastAsia="仿宋"/>
      <w:szCs w:val="21"/>
    </w:rPr>
  </w:style>
  <w:style w:type="paragraph" w:customStyle="1" w:styleId="846">
    <w:name w:val="五级无标题条"/>
    <w:basedOn w:val="1"/>
    <w:qFormat/>
    <w:uiPriority w:val="0"/>
    <w:pPr>
      <w:adjustRightInd/>
    </w:pPr>
  </w:style>
  <w:style w:type="paragraph" w:customStyle="1" w:styleId="84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48">
    <w:name w:val="Char1 Char Char Char1"/>
    <w:basedOn w:val="1"/>
    <w:qFormat/>
    <w:uiPriority w:val="0"/>
    <w:pPr>
      <w:adjustRightInd/>
      <w:ind w:firstLine="200" w:firstLineChars="200"/>
    </w:pPr>
    <w:rPr>
      <w:rFonts w:ascii="Tahoma" w:hAnsi="Tahoma"/>
      <w:sz w:val="24"/>
      <w:szCs w:val="20"/>
    </w:rPr>
  </w:style>
  <w:style w:type="paragraph" w:customStyle="1" w:styleId="8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5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5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85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5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4">
    <w:name w:val="有符号正文"/>
    <w:basedOn w:val="1"/>
    <w:qFormat/>
    <w:uiPriority w:val="0"/>
    <w:pPr>
      <w:adjustRightInd/>
      <w:spacing w:line="400" w:lineRule="exact"/>
      <w:ind w:firstLine="200" w:firstLineChars="200"/>
    </w:pPr>
    <w:rPr>
      <w:rFonts w:ascii="Arial" w:hAnsi="Arial"/>
    </w:rPr>
  </w:style>
  <w:style w:type="paragraph" w:customStyle="1" w:styleId="85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5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5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58">
    <w:name w:val="默认段落样式"/>
    <w:basedOn w:val="360"/>
    <w:qFormat/>
    <w:uiPriority w:val="0"/>
    <w:pPr>
      <w:spacing w:before="0"/>
      <w:ind w:firstLine="480"/>
      <w:outlineLvl w:val="2"/>
    </w:pPr>
    <w:rPr>
      <w:rFonts w:ascii="仿宋_GB2312" w:hAnsi="宋体" w:eastAsia="仿宋_GB2312"/>
      <w:color w:val="000000"/>
      <w:szCs w:val="24"/>
    </w:rPr>
  </w:style>
  <w:style w:type="paragraph" w:customStyle="1" w:styleId="859">
    <w:name w:val="中文标题 3"/>
    <w:basedOn w:val="2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60">
    <w:name w:val="p1"/>
    <w:basedOn w:val="1"/>
    <w:qFormat/>
    <w:uiPriority w:val="0"/>
    <w:pPr>
      <w:widowControl/>
      <w:adjustRightInd/>
      <w:jc w:val="left"/>
    </w:pPr>
    <w:rPr>
      <w:rFonts w:ascii=".PingFang SC" w:eastAsia=".PingFang SC"/>
      <w:color w:val="454545"/>
      <w:kern w:val="0"/>
      <w:sz w:val="18"/>
      <w:szCs w:val="18"/>
    </w:rPr>
  </w:style>
  <w:style w:type="paragraph" w:customStyle="1" w:styleId="86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62">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863">
    <w:name w:val="Char2 Char Char2"/>
    <w:basedOn w:val="1"/>
    <w:qFormat/>
    <w:uiPriority w:val="0"/>
    <w:pPr>
      <w:adjustRightInd/>
    </w:pPr>
    <w:rPr>
      <w:rFonts w:ascii="Tahoma" w:hAnsi="Tahoma"/>
      <w:sz w:val="24"/>
      <w:szCs w:val="20"/>
    </w:rPr>
  </w:style>
  <w:style w:type="paragraph" w:customStyle="1" w:styleId="8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865">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8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86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86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6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87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71">
    <w:name w:val="正文主体"/>
    <w:basedOn w:val="798"/>
    <w:qFormat/>
    <w:uiPriority w:val="0"/>
  </w:style>
  <w:style w:type="paragraph" w:customStyle="1" w:styleId="87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正文1.25"/>
    <w:basedOn w:val="1"/>
    <w:qFormat/>
    <w:uiPriority w:val="0"/>
    <w:pPr>
      <w:adjustRightInd/>
      <w:spacing w:line="300" w:lineRule="auto"/>
      <w:ind w:firstLine="480" w:firstLineChars="200"/>
    </w:pPr>
    <w:rPr>
      <w:sz w:val="24"/>
      <w:szCs w:val="20"/>
    </w:rPr>
  </w:style>
  <w:style w:type="paragraph" w:customStyle="1" w:styleId="87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87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877">
    <w:name w:val="Char3 Char Char Char"/>
    <w:basedOn w:val="1"/>
    <w:qFormat/>
    <w:uiPriority w:val="0"/>
    <w:pPr>
      <w:widowControl/>
      <w:adjustRightInd/>
      <w:spacing w:after="160" w:line="240" w:lineRule="exact"/>
      <w:jc w:val="left"/>
    </w:pPr>
    <w:rPr>
      <w:szCs w:val="20"/>
    </w:rPr>
  </w:style>
  <w:style w:type="paragraph" w:customStyle="1" w:styleId="878">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7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880">
    <w:name w:val="样式3"/>
    <w:basedOn w:val="640"/>
    <w:qFormat/>
    <w:uiPriority w:val="0"/>
    <w:pPr>
      <w:spacing w:beforeLines="100"/>
      <w:jc w:val="left"/>
    </w:pPr>
  </w:style>
  <w:style w:type="paragraph" w:customStyle="1" w:styleId="88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2">
    <w:name w:val="标题4_自定义"/>
    <w:basedOn w:val="6"/>
    <w:qFormat/>
    <w:uiPriority w:val="0"/>
    <w:pPr>
      <w:adjustRightInd/>
      <w:spacing w:before="0" w:after="0" w:line="360" w:lineRule="auto"/>
    </w:pPr>
    <w:rPr>
      <w:rFonts w:ascii="Verdana" w:eastAsia="Verdana"/>
      <w:sz w:val="21"/>
      <w:lang w:val="en-US"/>
    </w:rPr>
  </w:style>
  <w:style w:type="paragraph" w:customStyle="1" w:styleId="883">
    <w:name w:val="Char Char Char Char11"/>
    <w:basedOn w:val="1"/>
    <w:qFormat/>
    <w:uiPriority w:val="0"/>
    <w:rPr>
      <w:rFonts w:ascii="Tahoma" w:hAnsi="Tahoma"/>
      <w:sz w:val="24"/>
      <w:szCs w:val="20"/>
    </w:rPr>
  </w:style>
  <w:style w:type="paragraph" w:customStyle="1" w:styleId="88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85">
    <w:name w:val="Char Char1101"/>
    <w:basedOn w:val="1"/>
    <w:qFormat/>
    <w:uiPriority w:val="0"/>
    <w:pPr>
      <w:spacing w:line="360" w:lineRule="auto"/>
    </w:pPr>
    <w:rPr>
      <w:rFonts w:ascii="Tahoma" w:hAnsi="Tahoma"/>
      <w:sz w:val="24"/>
      <w:szCs w:val="20"/>
    </w:rPr>
  </w:style>
  <w:style w:type="paragraph" w:customStyle="1" w:styleId="8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88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88">
    <w:name w:val="Char24"/>
    <w:basedOn w:val="1"/>
    <w:qFormat/>
    <w:uiPriority w:val="0"/>
    <w:rPr>
      <w:rFonts w:ascii="仿宋_GB2312" w:eastAsia="仿宋_GB2312"/>
      <w:b/>
      <w:sz w:val="32"/>
      <w:szCs w:val="32"/>
    </w:rPr>
  </w:style>
  <w:style w:type="paragraph" w:customStyle="1" w:styleId="889">
    <w:name w:val="p0"/>
    <w:basedOn w:val="1"/>
    <w:qFormat/>
    <w:uiPriority w:val="0"/>
    <w:pPr>
      <w:widowControl/>
      <w:adjustRightInd/>
    </w:pPr>
    <w:rPr>
      <w:kern w:val="0"/>
      <w:szCs w:val="21"/>
    </w:rPr>
  </w:style>
  <w:style w:type="paragraph" w:customStyle="1" w:styleId="8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91">
    <w:name w:val="Char Char1121"/>
    <w:basedOn w:val="1"/>
    <w:qFormat/>
    <w:uiPriority w:val="0"/>
    <w:pPr>
      <w:spacing w:line="360" w:lineRule="auto"/>
    </w:pPr>
    <w:rPr>
      <w:szCs w:val="20"/>
    </w:rPr>
  </w:style>
  <w:style w:type="paragraph" w:customStyle="1" w:styleId="892">
    <w:name w:val="Char31"/>
    <w:basedOn w:val="1"/>
    <w:qFormat/>
    <w:uiPriority w:val="0"/>
    <w:pPr>
      <w:adjustRightInd/>
    </w:pPr>
    <w:rPr>
      <w:rFonts w:ascii="仿宋_GB2312" w:eastAsia="仿宋_GB2312"/>
      <w:b/>
      <w:sz w:val="32"/>
      <w:szCs w:val="32"/>
    </w:rPr>
  </w:style>
  <w:style w:type="paragraph" w:customStyle="1" w:styleId="89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894">
    <w:name w:val="Body Text 2*"/>
    <w:basedOn w:val="1"/>
    <w:qFormat/>
    <w:uiPriority w:val="6"/>
    <w:pPr>
      <w:widowControl/>
      <w:adjustRightInd/>
      <w:ind w:left="720" w:hanging="720"/>
    </w:pPr>
    <w:rPr>
      <w:color w:val="000000"/>
      <w:kern w:val="0"/>
      <w:sz w:val="24"/>
      <w:szCs w:val="20"/>
      <w:lang w:val="en-GB"/>
    </w:rPr>
  </w:style>
  <w:style w:type="paragraph" w:customStyle="1" w:styleId="895">
    <w:name w:val="表1"/>
    <w:basedOn w:val="1"/>
    <w:qFormat/>
    <w:uiPriority w:val="0"/>
    <w:pPr>
      <w:tabs>
        <w:tab w:val="left" w:pos="703"/>
      </w:tabs>
      <w:adjustRightInd/>
      <w:spacing w:line="360" w:lineRule="auto"/>
      <w:ind w:left="703"/>
      <w:jc w:val="center"/>
    </w:pPr>
  </w:style>
  <w:style w:type="paragraph" w:customStyle="1" w:styleId="89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8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898">
    <w:name w:val="Char Char Char Char Char Char Char"/>
    <w:basedOn w:val="1"/>
    <w:qFormat/>
    <w:uiPriority w:val="0"/>
    <w:rPr>
      <w:rFonts w:ascii="仿宋_GB2312" w:eastAsia="仿宋_GB2312"/>
      <w:b/>
      <w:sz w:val="32"/>
      <w:szCs w:val="32"/>
    </w:rPr>
  </w:style>
  <w:style w:type="paragraph" w:customStyle="1" w:styleId="899">
    <w:name w:val="图中文字"/>
    <w:basedOn w:val="1"/>
    <w:qFormat/>
    <w:uiPriority w:val="0"/>
    <w:pPr>
      <w:snapToGrid w:val="0"/>
      <w:spacing w:line="0" w:lineRule="atLeast"/>
      <w:ind w:firstLine="200" w:firstLineChars="200"/>
      <w:jc w:val="center"/>
    </w:pPr>
    <w:rPr>
      <w:sz w:val="24"/>
      <w:szCs w:val="20"/>
    </w:rPr>
  </w:style>
  <w:style w:type="paragraph" w:customStyle="1" w:styleId="90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90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90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0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904">
    <w:name w:val="MM Empty"/>
    <w:basedOn w:val="1"/>
    <w:qFormat/>
    <w:uiPriority w:val="0"/>
    <w:pPr>
      <w:adjustRightInd/>
    </w:pPr>
  </w:style>
  <w:style w:type="paragraph" w:customStyle="1" w:styleId="905">
    <w:name w:val="正文 首行缩进:  2 字符 Char"/>
    <w:basedOn w:val="1"/>
    <w:qFormat/>
    <w:uiPriority w:val="0"/>
    <w:pPr>
      <w:adjustRightInd/>
      <w:spacing w:line="360" w:lineRule="auto"/>
      <w:ind w:firstLine="480"/>
    </w:pPr>
    <w:rPr>
      <w:rFonts w:cs="宋体"/>
      <w:sz w:val="24"/>
      <w:szCs w:val="20"/>
    </w:rPr>
  </w:style>
  <w:style w:type="paragraph" w:customStyle="1" w:styleId="906">
    <w:name w:val="bullet"/>
    <w:basedOn w:val="1"/>
    <w:qFormat/>
    <w:uiPriority w:val="0"/>
    <w:pPr>
      <w:tabs>
        <w:tab w:val="left" w:pos="840"/>
      </w:tabs>
      <w:adjustRightInd/>
      <w:ind w:left="840" w:hanging="420"/>
    </w:pPr>
  </w:style>
  <w:style w:type="paragraph" w:customStyle="1" w:styleId="90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8">
    <w:name w:val="Char11"/>
    <w:basedOn w:val="1"/>
    <w:qFormat/>
    <w:uiPriority w:val="0"/>
    <w:pPr>
      <w:tabs>
        <w:tab w:val="left" w:pos="432"/>
      </w:tabs>
      <w:adjustRightInd/>
      <w:spacing w:beforeLines="50" w:afterLines="50"/>
      <w:ind w:left="432" w:hanging="432" w:firstLineChars="200"/>
    </w:pPr>
    <w:rPr>
      <w:sz w:val="24"/>
    </w:rPr>
  </w:style>
  <w:style w:type="paragraph" w:customStyle="1" w:styleId="909">
    <w:name w:val="列表内容"/>
    <w:basedOn w:val="1"/>
    <w:next w:val="1"/>
    <w:qFormat/>
    <w:uiPriority w:val="0"/>
    <w:pPr>
      <w:widowControl/>
      <w:tabs>
        <w:tab w:val="left" w:pos="840"/>
      </w:tabs>
      <w:ind w:left="840" w:hanging="420"/>
      <w:jc w:val="left"/>
    </w:pPr>
    <w:rPr>
      <w:kern w:val="0"/>
      <w:sz w:val="18"/>
    </w:rPr>
  </w:style>
  <w:style w:type="paragraph" w:customStyle="1" w:styleId="91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911">
    <w:name w:val="Char311"/>
    <w:basedOn w:val="1"/>
    <w:qFormat/>
    <w:uiPriority w:val="0"/>
    <w:pPr>
      <w:adjustRightInd/>
      <w:ind w:firstLine="200" w:firstLineChars="200"/>
    </w:pPr>
    <w:rPr>
      <w:rFonts w:ascii="Tahoma" w:hAnsi="Tahoma"/>
      <w:sz w:val="24"/>
      <w:szCs w:val="20"/>
    </w:rPr>
  </w:style>
  <w:style w:type="paragraph" w:customStyle="1" w:styleId="9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1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917">
    <w:name w:val="默认段落字体 Para Char Char Char Char Char Char Char"/>
    <w:basedOn w:val="1"/>
    <w:qFormat/>
    <w:uiPriority w:val="0"/>
    <w:rPr>
      <w:rFonts w:eastAsia="仿宋_GB2312"/>
      <w:sz w:val="28"/>
      <w:szCs w:val="20"/>
    </w:rPr>
  </w:style>
  <w:style w:type="paragraph" w:customStyle="1" w:styleId="918">
    <w:name w:val="Char Char Char Char Char Char Char Char Char Char1"/>
    <w:basedOn w:val="1"/>
    <w:qFormat/>
    <w:uiPriority w:val="0"/>
    <w:rPr>
      <w:rFonts w:ascii="仿宋_GB2312" w:eastAsia="仿宋_GB2312"/>
      <w:b/>
      <w:sz w:val="32"/>
      <w:szCs w:val="32"/>
    </w:rPr>
  </w:style>
  <w:style w:type="paragraph" w:customStyle="1" w:styleId="919">
    <w:name w:val="样式 正文文本缩进 2 + 仿宋_GB2312 黑色 行距: 1.5 倍行距"/>
    <w:basedOn w:val="32"/>
    <w:qFormat/>
    <w:uiPriority w:val="0"/>
    <w:pPr>
      <w:adjustRightInd/>
      <w:ind w:firstLine="560" w:firstLineChars="200"/>
      <w:textAlignment w:val="auto"/>
    </w:pPr>
    <w:rPr>
      <w:rFonts w:hAnsi="宋体" w:cs="宋体"/>
      <w:color w:val="000000"/>
      <w:kern w:val="2"/>
      <w:sz w:val="24"/>
    </w:rPr>
  </w:style>
  <w:style w:type="paragraph" w:customStyle="1" w:styleId="92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92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9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2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24">
    <w:name w:val="MM Topic 3"/>
    <w:basedOn w:val="5"/>
    <w:qFormat/>
    <w:uiPriority w:val="0"/>
    <w:pPr>
      <w:tabs>
        <w:tab w:val="left" w:pos="1680"/>
      </w:tabs>
      <w:adjustRightInd/>
      <w:ind w:left="1680" w:hanging="420"/>
    </w:pPr>
  </w:style>
  <w:style w:type="paragraph" w:customStyle="1" w:styleId="9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2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2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92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929">
    <w:name w:val="Char Char Char Char Char Char Char Char Char Char Char1 Char"/>
    <w:basedOn w:val="1"/>
    <w:qFormat/>
    <w:uiPriority w:val="0"/>
    <w:pPr>
      <w:adjustRightInd/>
    </w:pPr>
    <w:rPr>
      <w:rFonts w:ascii="Tahoma" w:hAnsi="Tahoma"/>
      <w:sz w:val="24"/>
    </w:rPr>
  </w:style>
  <w:style w:type="paragraph" w:customStyle="1" w:styleId="930">
    <w:name w:val="Char Char11 Char Char Char"/>
    <w:basedOn w:val="1"/>
    <w:qFormat/>
    <w:uiPriority w:val="0"/>
    <w:pPr>
      <w:spacing w:line="360" w:lineRule="auto"/>
    </w:pPr>
    <w:rPr>
      <w:szCs w:val="20"/>
    </w:rPr>
  </w:style>
  <w:style w:type="paragraph" w:customStyle="1" w:styleId="931">
    <w:name w:val="4"/>
    <w:basedOn w:val="1"/>
    <w:next w:val="32"/>
    <w:qFormat/>
    <w:uiPriority w:val="0"/>
    <w:pPr>
      <w:spacing w:after="120" w:line="480" w:lineRule="auto"/>
      <w:ind w:left="420" w:leftChars="200"/>
    </w:pPr>
    <w:rPr>
      <w:sz w:val="24"/>
      <w:szCs w:val="20"/>
    </w:rPr>
  </w:style>
  <w:style w:type="paragraph" w:customStyle="1" w:styleId="93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9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3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93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936">
    <w:name w:val="正文标准"/>
    <w:basedOn w:val="1"/>
    <w:qFormat/>
    <w:uiPriority w:val="0"/>
    <w:pPr>
      <w:adjustRightInd/>
      <w:spacing w:line="360" w:lineRule="auto"/>
      <w:ind w:firstLine="200" w:firstLineChars="200"/>
    </w:pPr>
    <w:rPr>
      <w:rFonts w:ascii="宋体" w:hAnsi="Calibri"/>
      <w:sz w:val="24"/>
    </w:rPr>
  </w:style>
  <w:style w:type="paragraph" w:customStyle="1" w:styleId="9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38">
    <w:name w:val="_Style 947"/>
    <w:basedOn w:val="1"/>
    <w:next w:val="425"/>
    <w:qFormat/>
    <w:uiPriority w:val="34"/>
    <w:pPr>
      <w:adjustRightInd/>
      <w:ind w:firstLine="420" w:firstLineChars="200"/>
    </w:pPr>
  </w:style>
  <w:style w:type="paragraph" w:customStyle="1" w:styleId="93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4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41">
    <w:name w:val="样式7"/>
    <w:basedOn w:val="593"/>
    <w:next w:val="1"/>
    <w:qFormat/>
    <w:uiPriority w:val="0"/>
    <w:pPr>
      <w:spacing w:afterLines="50"/>
      <w:jc w:val="left"/>
      <w:outlineLvl w:val="3"/>
    </w:pPr>
    <w:rPr>
      <w:sz w:val="24"/>
      <w:szCs w:val="24"/>
    </w:rPr>
  </w:style>
  <w:style w:type="paragraph" w:customStyle="1" w:styleId="94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4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944">
    <w:name w:val="正文21"/>
    <w:basedOn w:val="1"/>
    <w:qFormat/>
    <w:uiPriority w:val="0"/>
    <w:pPr>
      <w:adjustRightInd/>
      <w:spacing w:before="156" w:line="360" w:lineRule="auto"/>
      <w:ind w:firstLine="510" w:firstLineChars="200"/>
    </w:pPr>
    <w:rPr>
      <w:sz w:val="24"/>
      <w:szCs w:val="20"/>
    </w:rPr>
  </w:style>
  <w:style w:type="paragraph" w:customStyle="1" w:styleId="9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46">
    <w:name w:val="单元格居中"/>
    <w:basedOn w:val="1"/>
    <w:qFormat/>
    <w:uiPriority w:val="0"/>
    <w:pPr>
      <w:adjustRightInd/>
      <w:spacing w:line="360" w:lineRule="auto"/>
      <w:jc w:val="center"/>
    </w:pPr>
    <w:rPr>
      <w:sz w:val="24"/>
    </w:rPr>
  </w:style>
  <w:style w:type="paragraph" w:customStyle="1" w:styleId="94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94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94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51">
    <w:name w:val="Char Char1 Char Char Char Char Char Char2"/>
    <w:basedOn w:val="1"/>
    <w:qFormat/>
    <w:uiPriority w:val="0"/>
    <w:rPr>
      <w:rFonts w:ascii="仿宋_GB2312" w:eastAsia="仿宋_GB2312"/>
      <w:b/>
      <w:sz w:val="32"/>
      <w:szCs w:val="20"/>
    </w:rPr>
  </w:style>
  <w:style w:type="paragraph" w:customStyle="1" w:styleId="952">
    <w:name w:val="Normal0"/>
    <w:qFormat/>
    <w:uiPriority w:val="0"/>
    <w:rPr>
      <w:rFonts w:ascii="Times New Roman" w:hAnsi="Times New Roman" w:eastAsia="宋体" w:cs="Times New Roman"/>
      <w:lang w:val="en-US" w:eastAsia="en-US" w:bidi="ar-SA"/>
    </w:rPr>
  </w:style>
  <w:style w:type="paragraph" w:customStyle="1" w:styleId="953">
    <w:name w:val="索引 11"/>
    <w:basedOn w:val="1"/>
    <w:next w:val="1"/>
    <w:qFormat/>
    <w:uiPriority w:val="99"/>
    <w:pPr>
      <w:adjustRightInd/>
      <w:spacing w:line="360" w:lineRule="auto"/>
    </w:pPr>
    <w:rPr>
      <w:rFonts w:ascii="仿宋_GB2312" w:eastAsia="仿宋_GB2312"/>
      <w:sz w:val="24"/>
      <w:szCs w:val="20"/>
    </w:rPr>
  </w:style>
  <w:style w:type="paragraph" w:customStyle="1" w:styleId="954">
    <w:name w:val="_正文段落"/>
    <w:basedOn w:val="1"/>
    <w:qFormat/>
    <w:uiPriority w:val="0"/>
    <w:pPr>
      <w:adjustRightInd/>
      <w:ind w:firstLine="560"/>
    </w:pPr>
    <w:rPr>
      <w:rFonts w:ascii="仿宋_GB2312" w:hAnsi="仿宋" w:eastAsia="仿宋_GB2312"/>
      <w:kern w:val="0"/>
      <w:sz w:val="28"/>
      <w:szCs w:val="28"/>
    </w:rPr>
  </w:style>
  <w:style w:type="paragraph" w:customStyle="1" w:styleId="9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table" w:customStyle="1" w:styleId="957">
    <w:name w:val="网格型2"/>
    <w:basedOn w:val="5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5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4"/>
    <w:basedOn w:val="5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5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5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5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征文"/>
    <w:basedOn w:val="1"/>
    <w:next w:val="1"/>
    <w:qFormat/>
    <w:uiPriority w:val="0"/>
    <w:pPr>
      <w:keepNext/>
      <w:spacing w:before="240" w:after="60" w:line="560" w:lineRule="exact"/>
      <w:ind w:firstLine="640" w:firstLineChars="200"/>
      <w:outlineLvl w:val="3"/>
    </w:pPr>
    <w:rPr>
      <w:rFonts w:hint="eastAsia" w:ascii="仿宋" w:hAnsi="仿宋" w:eastAsia="仿宋" w:cs="仿宋"/>
      <w:sz w:val="32"/>
      <w:szCs w:val="32"/>
    </w:rPr>
  </w:style>
  <w:style w:type="character" w:customStyle="1" w:styleId="964">
    <w:name w:val="font_12"/>
    <w:basedOn w:val="58"/>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40957</Words>
  <Characters>42807</Characters>
  <Lines>347</Lines>
  <Paragraphs>97</Paragraphs>
  <TotalTime>44</TotalTime>
  <ScaleCrop>false</ScaleCrop>
  <LinksUpToDate>false</LinksUpToDate>
  <CharactersWithSpaces>47821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2022-05-19T08:30:00Z</dcterms:created>
  <dc:creator>浙江国际招投标有限公司</dc:creator>
  <cp:lastModifiedBy>浙江国际招投标有限公司</cp:lastModifiedBy>
  <cp:lastPrinted>2021-12-27T03:06:00Z</cp:lastPrinted>
  <dcterms:modified xsi:type="dcterms:W3CDTF">2022-06-02T05:16:50Z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5C70909A05024A2AAD4B3EE0C9847F77</vt:lpwstr>
  </property>
</Properties>
</file>