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3"/>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w w:val="80"/>
          <w:sz w:val="28"/>
          <w:szCs w:val="28"/>
          <w:highlight w:val="none"/>
          <w:lang w:val="en-US" w:eastAsia="zh-CN" w:bidi="th-TH"/>
        </w:rPr>
        <w:t xml:space="preserve"> </w:t>
      </w:r>
      <w:r>
        <w:rPr>
          <w:rFonts w:hint="eastAsia" w:ascii="宋体" w:hAnsi="宋体" w:eastAsia="宋体" w:cs="宋体"/>
          <w:color w:val="auto"/>
          <w:w w:val="80"/>
          <w:sz w:val="28"/>
          <w:szCs w:val="28"/>
          <w:highlight w:val="none"/>
          <w:lang w:bidi="th-TH"/>
        </w:rPr>
        <w:t xml:space="preserve"> </w:t>
      </w:r>
      <w:r>
        <w:rPr>
          <w:rFonts w:hint="eastAsia" w:ascii="宋体" w:hAnsi="宋体" w:eastAsia="宋体" w:cs="宋体"/>
          <w:color w:val="auto"/>
          <w:highlight w:val="none"/>
        </w:rPr>
        <w:tab/>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jc w:val="cente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浙江理工大学</w:t>
      </w:r>
    </w:p>
    <w:p>
      <w:pPr>
        <w:pageBreakBefore w:val="0"/>
        <w:kinsoku/>
        <w:overflowPunct/>
        <w:topLinePunct w:val="0"/>
        <w:bidi w:val="0"/>
        <w:adjustRightInd w:val="0"/>
        <w:snapToGrid w:val="0"/>
        <w:spacing w:line="336" w:lineRule="auto"/>
        <w:jc w:val="cente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lang w:eastAsia="zh-CN"/>
        </w:rPr>
        <w:t>智安校园平台建设项目</w:t>
      </w:r>
    </w:p>
    <w:p>
      <w:pPr>
        <w:pageBreakBefore w:val="0"/>
        <w:kinsoku/>
        <w:overflowPunct/>
        <w:topLinePunct w:val="0"/>
        <w:bidi w:val="0"/>
        <w:adjustRightInd w:val="0"/>
        <w:snapToGrid w:val="0"/>
        <w:spacing w:line="336" w:lineRule="auto"/>
        <w:jc w:val="center"/>
        <w:rPr>
          <w:rFonts w:hint="eastAsia" w:ascii="宋体" w:hAnsi="宋体" w:eastAsia="宋体" w:cs="宋体"/>
          <w:b/>
          <w:color w:val="auto"/>
          <w:sz w:val="52"/>
          <w:szCs w:val="52"/>
          <w:highlight w:val="none"/>
        </w:rPr>
      </w:pPr>
    </w:p>
    <w:p>
      <w:pPr>
        <w:pageBreakBefore w:val="0"/>
        <w:kinsoku/>
        <w:overflowPunct/>
        <w:topLinePunct w:val="0"/>
        <w:bidi w:val="0"/>
        <w:adjustRightInd w:val="0"/>
        <w:snapToGrid w:val="0"/>
        <w:spacing w:line="336" w:lineRule="auto"/>
        <w:jc w:val="center"/>
        <w:rPr>
          <w:rFonts w:hint="eastAsia" w:ascii="宋体" w:hAnsi="宋体" w:eastAsia="宋体" w:cs="宋体"/>
          <w:b/>
          <w:color w:val="auto"/>
          <w:sz w:val="52"/>
          <w:szCs w:val="52"/>
          <w:highlight w:val="none"/>
        </w:rPr>
      </w:pPr>
    </w:p>
    <w:p>
      <w:pPr>
        <w:pageBreakBefore w:val="0"/>
        <w:kinsoku/>
        <w:overflowPunct/>
        <w:topLinePunct w:val="0"/>
        <w:bidi w:val="0"/>
        <w:adjustRightInd w:val="0"/>
        <w:snapToGrid w:val="0"/>
        <w:spacing w:line="336" w:lineRule="auto"/>
        <w:jc w:val="center"/>
        <w:rPr>
          <w:rFonts w:hint="eastAsia" w:ascii="宋体" w:hAnsi="宋体" w:eastAsia="宋体" w:cs="宋体"/>
          <w:b/>
          <w:color w:val="auto"/>
          <w:sz w:val="52"/>
          <w:szCs w:val="52"/>
          <w:highlight w:val="none"/>
        </w:rPr>
      </w:pPr>
      <w:r>
        <w:rPr>
          <w:rFonts w:hint="eastAsia" w:ascii="宋体" w:hAnsi="宋体" w:eastAsia="宋体" w:cs="宋体"/>
          <w:b/>
          <w:bCs/>
          <w:color w:val="auto"/>
          <w:sz w:val="52"/>
          <w:szCs w:val="52"/>
          <w:highlight w:val="none"/>
        </w:rPr>
        <w:t>采 购 文 件</w:t>
      </w:r>
    </w:p>
    <w:p>
      <w:pPr>
        <w:pageBreakBefore w:val="0"/>
        <w:kinsoku/>
        <w:overflowPunct/>
        <w:topLinePunct w:val="0"/>
        <w:bidi w:val="0"/>
        <w:adjustRightInd w:val="0"/>
        <w:snapToGrid w:val="0"/>
        <w:spacing w:line="336"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（电子招投标方式）</w:t>
      </w:r>
    </w:p>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84"/>
          <w:highlight w:val="none"/>
        </w:rPr>
      </w:pPr>
    </w:p>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84"/>
          <w:highlight w:val="none"/>
        </w:rPr>
      </w:pPr>
    </w:p>
    <w:p>
      <w:pPr>
        <w:pStyle w:val="27"/>
        <w:pageBreakBefore w:val="0"/>
        <w:kinsoku/>
        <w:overflowPunct/>
        <w:topLinePunct w:val="0"/>
        <w:bidi w:val="0"/>
        <w:adjustRightInd w:val="0"/>
        <w:snapToGrid w:val="0"/>
        <w:spacing w:line="336" w:lineRule="auto"/>
        <w:ind w:left="5250"/>
        <w:rPr>
          <w:rFonts w:hint="eastAsia" w:ascii="宋体" w:hAnsi="宋体" w:eastAsia="宋体" w:cs="宋体"/>
          <w:color w:val="auto"/>
          <w:highlight w:val="none"/>
        </w:rPr>
      </w:pPr>
    </w:p>
    <w:p>
      <w:pPr>
        <w:pStyle w:val="27"/>
        <w:pageBreakBefore w:val="0"/>
        <w:kinsoku/>
        <w:overflowPunct/>
        <w:topLinePunct w:val="0"/>
        <w:bidi w:val="0"/>
        <w:adjustRightInd w:val="0"/>
        <w:snapToGrid w:val="0"/>
        <w:spacing w:line="336" w:lineRule="auto"/>
        <w:ind w:left="5250"/>
        <w:rPr>
          <w:rFonts w:hint="eastAsia" w:ascii="宋体" w:hAnsi="宋体" w:eastAsia="宋体" w:cs="宋体"/>
          <w:color w:val="auto"/>
          <w:highlight w:val="none"/>
        </w:rPr>
      </w:pPr>
    </w:p>
    <w:p>
      <w:pPr>
        <w:pStyle w:val="27"/>
        <w:pageBreakBefore w:val="0"/>
        <w:kinsoku/>
        <w:overflowPunct/>
        <w:topLinePunct w:val="0"/>
        <w:bidi w:val="0"/>
        <w:adjustRightInd w:val="0"/>
        <w:snapToGrid w:val="0"/>
        <w:spacing w:line="336" w:lineRule="auto"/>
        <w:ind w:left="5250"/>
        <w:rPr>
          <w:rFonts w:hint="eastAsia" w:ascii="宋体" w:hAnsi="宋体" w:eastAsia="宋体" w:cs="宋体"/>
          <w:color w:val="auto"/>
          <w:szCs w:val="28"/>
          <w:highlight w:val="none"/>
        </w:rPr>
      </w:pPr>
      <w:r>
        <w:rPr>
          <w:rFonts w:hint="eastAsia" w:ascii="宋体" w:hAnsi="宋体" w:eastAsia="宋体" w:cs="宋体"/>
          <w:color w:val="auto"/>
          <w:highlight w:val="none"/>
        </w:rPr>
        <w:t xml:space="preserve">      </w:t>
      </w:r>
    </w:p>
    <w:p>
      <w:pPr>
        <w:pageBreakBefore w:val="0"/>
        <w:kinsoku/>
        <w:overflowPunct/>
        <w:topLinePunct w:val="0"/>
        <w:bidi w:val="0"/>
        <w:adjustRightInd w:val="0"/>
        <w:snapToGrid w:val="0"/>
        <w:spacing w:line="336" w:lineRule="auto"/>
        <w:rPr>
          <w:rFonts w:hint="eastAsia" w:ascii="宋体" w:hAnsi="宋体" w:eastAsia="宋体" w:cs="宋体"/>
          <w:b/>
          <w:color w:val="auto"/>
          <w:highlight w:val="none"/>
        </w:rPr>
      </w:pPr>
    </w:p>
    <w:p>
      <w:pPr>
        <w:pageBreakBefore w:val="0"/>
        <w:kinsoku/>
        <w:overflowPunct/>
        <w:topLinePunct w:val="0"/>
        <w:bidi w:val="0"/>
        <w:adjustRightInd w:val="0"/>
        <w:snapToGrid w:val="0"/>
        <w:spacing w:line="336" w:lineRule="auto"/>
        <w:ind w:firstLine="578" w:firstLineChars="200"/>
        <w:rPr>
          <w:rFonts w:hint="eastAsia" w:ascii="宋体" w:hAnsi="宋体" w:eastAsia="宋体" w:cs="宋体"/>
          <w:b/>
          <w:color w:val="auto"/>
          <w:spacing w:val="-6"/>
          <w:sz w:val="30"/>
          <w:szCs w:val="30"/>
          <w:highlight w:val="none"/>
        </w:rPr>
      </w:pPr>
      <w:r>
        <w:rPr>
          <w:rFonts w:hint="eastAsia" w:ascii="宋体" w:hAnsi="宋体" w:eastAsia="宋体" w:cs="宋体"/>
          <w:b/>
          <w:color w:val="auto"/>
          <w:spacing w:val="-6"/>
          <w:sz w:val="30"/>
          <w:szCs w:val="30"/>
          <w:highlight w:val="none"/>
        </w:rPr>
        <w:t>采购计划文号：</w:t>
      </w:r>
      <w:r>
        <w:rPr>
          <w:rFonts w:hint="eastAsia" w:ascii="宋体" w:hAnsi="宋体" w:eastAsia="宋体" w:cs="宋体"/>
          <w:b/>
          <w:color w:val="auto"/>
          <w:spacing w:val="-6"/>
          <w:sz w:val="30"/>
          <w:szCs w:val="30"/>
          <w:highlight w:val="none"/>
          <w:lang w:eastAsia="zh-CN"/>
        </w:rPr>
        <w:t>[2024]13280号、[2024]13279号、[2024]13281号、[2024]13282号</w:t>
      </w:r>
      <w:r>
        <w:rPr>
          <w:rFonts w:hint="eastAsia" w:ascii="宋体" w:hAnsi="宋体" w:eastAsia="宋体" w:cs="宋体"/>
          <w:b/>
          <w:color w:val="auto"/>
          <w:spacing w:val="-6"/>
          <w:sz w:val="30"/>
          <w:szCs w:val="30"/>
          <w:highlight w:val="none"/>
        </w:rPr>
        <w:t xml:space="preserve"> </w:t>
      </w:r>
    </w:p>
    <w:p>
      <w:pPr>
        <w:pageBreakBefore w:val="0"/>
        <w:kinsoku/>
        <w:overflowPunct/>
        <w:topLinePunct w:val="0"/>
        <w:bidi w:val="0"/>
        <w:adjustRightInd w:val="0"/>
        <w:snapToGrid w:val="0"/>
        <w:spacing w:line="336" w:lineRule="auto"/>
        <w:ind w:firstLine="578" w:firstLineChars="200"/>
        <w:rPr>
          <w:rFonts w:hint="eastAsia" w:ascii="宋体" w:hAnsi="宋体" w:eastAsia="宋体" w:cs="宋体"/>
          <w:b/>
          <w:color w:val="auto"/>
          <w:spacing w:val="-6"/>
          <w:sz w:val="30"/>
          <w:szCs w:val="30"/>
          <w:highlight w:val="none"/>
        </w:rPr>
      </w:pPr>
      <w:r>
        <w:rPr>
          <w:rFonts w:hint="eastAsia" w:ascii="宋体" w:hAnsi="宋体" w:eastAsia="宋体" w:cs="宋体"/>
          <w:b/>
          <w:color w:val="auto"/>
          <w:spacing w:val="-6"/>
          <w:sz w:val="30"/>
          <w:szCs w:val="30"/>
          <w:highlight w:val="none"/>
        </w:rPr>
        <w:t>项目编号：</w:t>
      </w:r>
      <w:r>
        <w:rPr>
          <w:rFonts w:hint="eastAsia" w:ascii="宋体" w:hAnsi="宋体" w:eastAsia="宋体" w:cs="宋体"/>
          <w:b/>
          <w:color w:val="auto"/>
          <w:spacing w:val="-6"/>
          <w:sz w:val="30"/>
          <w:szCs w:val="30"/>
          <w:highlight w:val="none"/>
        </w:rPr>
        <w:fldChar w:fldCharType="begin"/>
      </w:r>
      <w:r>
        <w:rPr>
          <w:rFonts w:hint="eastAsia" w:ascii="宋体" w:hAnsi="宋体" w:eastAsia="宋体" w:cs="宋体"/>
          <w:b/>
          <w:color w:val="auto"/>
          <w:spacing w:val="-6"/>
          <w:sz w:val="30"/>
          <w:szCs w:val="30"/>
          <w:highlight w:val="none"/>
        </w:rPr>
        <w:instrText xml:space="preserve"> HYPERLINK "javascript:void(0)" \o "ZJ-2223486" </w:instrText>
      </w:r>
      <w:r>
        <w:rPr>
          <w:rFonts w:hint="eastAsia" w:ascii="宋体" w:hAnsi="宋体" w:eastAsia="宋体" w:cs="宋体"/>
          <w:b/>
          <w:color w:val="auto"/>
          <w:spacing w:val="-6"/>
          <w:sz w:val="30"/>
          <w:szCs w:val="30"/>
          <w:highlight w:val="none"/>
        </w:rPr>
        <w:fldChar w:fldCharType="separate"/>
      </w:r>
      <w:r>
        <w:rPr>
          <w:rFonts w:hint="eastAsia" w:ascii="宋体" w:hAnsi="宋体" w:eastAsia="宋体" w:cs="宋体"/>
          <w:b/>
          <w:color w:val="auto"/>
          <w:spacing w:val="-6"/>
          <w:sz w:val="30"/>
          <w:szCs w:val="30"/>
          <w:highlight w:val="none"/>
          <w:lang w:eastAsia="zh-CN"/>
        </w:rPr>
        <w:t>ZJ-2420755</w:t>
      </w:r>
      <w:r>
        <w:rPr>
          <w:rFonts w:hint="eastAsia" w:ascii="宋体" w:hAnsi="宋体" w:eastAsia="宋体" w:cs="宋体"/>
          <w:b/>
          <w:color w:val="auto"/>
          <w:spacing w:val="-6"/>
          <w:sz w:val="30"/>
          <w:szCs w:val="30"/>
          <w:highlight w:val="none"/>
        </w:rPr>
        <w:fldChar w:fldCharType="end"/>
      </w:r>
    </w:p>
    <w:p>
      <w:pPr>
        <w:pageBreakBefore w:val="0"/>
        <w:kinsoku/>
        <w:overflowPunct/>
        <w:topLinePunct w:val="0"/>
        <w:bidi w:val="0"/>
        <w:adjustRightInd w:val="0"/>
        <w:snapToGrid w:val="0"/>
        <w:spacing w:line="336" w:lineRule="auto"/>
        <w:ind w:left="2042" w:leftChars="284" w:hanging="1446" w:hangingChars="500"/>
        <w:rPr>
          <w:rFonts w:hint="eastAsia" w:ascii="宋体" w:hAnsi="宋体" w:eastAsia="宋体" w:cs="宋体"/>
          <w:b/>
          <w:color w:val="auto"/>
          <w:spacing w:val="-6"/>
          <w:sz w:val="30"/>
          <w:szCs w:val="30"/>
          <w:highlight w:val="none"/>
        </w:rPr>
      </w:pPr>
      <w:r>
        <w:rPr>
          <w:rFonts w:hint="eastAsia" w:ascii="宋体" w:hAnsi="宋体" w:eastAsia="宋体" w:cs="宋体"/>
          <w:b/>
          <w:color w:val="auto"/>
          <w:spacing w:val="-6"/>
          <w:sz w:val="30"/>
          <w:szCs w:val="30"/>
          <w:highlight w:val="none"/>
        </w:rPr>
        <w:t>项目名称：浙江理工大学</w:t>
      </w:r>
      <w:r>
        <w:rPr>
          <w:rFonts w:hint="eastAsia" w:ascii="宋体" w:hAnsi="宋体" w:eastAsia="宋体" w:cs="宋体"/>
          <w:b/>
          <w:color w:val="auto"/>
          <w:spacing w:val="-6"/>
          <w:sz w:val="30"/>
          <w:szCs w:val="30"/>
          <w:highlight w:val="none"/>
          <w:lang w:eastAsia="zh-CN"/>
        </w:rPr>
        <w:t>智安校园平台建设项目</w:t>
      </w:r>
    </w:p>
    <w:p>
      <w:pPr>
        <w:pageBreakBefore w:val="0"/>
        <w:kinsoku/>
        <w:overflowPunct/>
        <w:topLinePunct w:val="0"/>
        <w:bidi w:val="0"/>
        <w:adjustRightInd w:val="0"/>
        <w:snapToGrid w:val="0"/>
        <w:spacing w:line="336" w:lineRule="auto"/>
        <w:ind w:firstLine="578" w:firstLineChars="200"/>
        <w:rPr>
          <w:rFonts w:hint="eastAsia" w:ascii="宋体" w:hAnsi="宋体" w:eastAsia="宋体" w:cs="宋体"/>
          <w:b/>
          <w:color w:val="auto"/>
          <w:spacing w:val="-6"/>
          <w:sz w:val="30"/>
          <w:szCs w:val="30"/>
          <w:highlight w:val="none"/>
        </w:rPr>
      </w:pPr>
      <w:r>
        <w:rPr>
          <w:rFonts w:hint="eastAsia" w:ascii="宋体" w:hAnsi="宋体" w:eastAsia="宋体" w:cs="宋体"/>
          <w:b/>
          <w:color w:val="auto"/>
          <w:spacing w:val="-6"/>
          <w:sz w:val="30"/>
          <w:szCs w:val="30"/>
          <w:highlight w:val="none"/>
        </w:rPr>
        <w:t>采 购 人：浙江理工大学</w:t>
      </w:r>
    </w:p>
    <w:p>
      <w:pPr>
        <w:pageBreakBefore w:val="0"/>
        <w:kinsoku/>
        <w:overflowPunct/>
        <w:topLinePunct w:val="0"/>
        <w:bidi w:val="0"/>
        <w:adjustRightInd w:val="0"/>
        <w:snapToGrid w:val="0"/>
        <w:spacing w:line="336" w:lineRule="auto"/>
        <w:ind w:firstLine="578" w:firstLineChars="200"/>
        <w:rPr>
          <w:rFonts w:hint="eastAsia" w:ascii="宋体" w:hAnsi="宋体" w:eastAsia="宋体" w:cs="宋体"/>
          <w:b/>
          <w:color w:val="auto"/>
          <w:highlight w:val="none"/>
        </w:rPr>
      </w:pPr>
      <w:r>
        <w:rPr>
          <w:rFonts w:hint="eastAsia" w:ascii="宋体" w:hAnsi="宋体" w:eastAsia="宋体" w:cs="宋体"/>
          <w:b/>
          <w:color w:val="auto"/>
          <w:spacing w:val="-6"/>
          <w:sz w:val="30"/>
          <w:szCs w:val="30"/>
          <w:highlight w:val="none"/>
        </w:rPr>
        <w:t>采购代理机构：浙江国际招投标有限公司</w:t>
      </w:r>
    </w:p>
    <w:p>
      <w:pPr>
        <w:pageBreakBefore w:val="0"/>
        <w:kinsoku/>
        <w:overflowPunct/>
        <w:topLinePunct w:val="0"/>
        <w:bidi w:val="0"/>
        <w:adjustRightInd w:val="0"/>
        <w:snapToGrid w:val="0"/>
        <w:spacing w:line="336" w:lineRule="auto"/>
        <w:rPr>
          <w:rFonts w:hint="eastAsia" w:ascii="宋体" w:hAnsi="宋体" w:eastAsia="宋体" w:cs="宋体"/>
          <w:b/>
          <w:color w:val="auto"/>
          <w:highlight w:val="none"/>
        </w:rPr>
      </w:pPr>
    </w:p>
    <w:p>
      <w:pPr>
        <w:pageBreakBefore w:val="0"/>
        <w:kinsoku/>
        <w:overflowPunct/>
        <w:topLinePunct w:val="0"/>
        <w:bidi w:val="0"/>
        <w:adjustRightInd w:val="0"/>
        <w:snapToGrid w:val="0"/>
        <w:spacing w:line="336" w:lineRule="auto"/>
        <w:rPr>
          <w:rFonts w:hint="eastAsia" w:ascii="宋体" w:hAnsi="宋体" w:eastAsia="宋体" w:cs="宋体"/>
          <w:b/>
          <w:color w:val="auto"/>
          <w:highlight w:val="none"/>
        </w:rPr>
      </w:pPr>
    </w:p>
    <w:p>
      <w:pPr>
        <w:pageBreakBefore w:val="0"/>
        <w:kinsoku/>
        <w:overflowPunct/>
        <w:topLinePunct w:val="0"/>
        <w:bidi w:val="0"/>
        <w:adjustRightInd w:val="0"/>
        <w:snapToGrid w:val="0"/>
        <w:spacing w:line="336" w:lineRule="auto"/>
        <w:rPr>
          <w:rFonts w:hint="eastAsia" w:ascii="宋体" w:hAnsi="宋体" w:eastAsia="宋体" w:cs="宋体"/>
          <w:b/>
          <w:color w:val="auto"/>
          <w:highlight w:val="none"/>
        </w:rPr>
      </w:pPr>
    </w:p>
    <w:p>
      <w:pPr>
        <w:pageBreakBefore w:val="0"/>
        <w:kinsoku/>
        <w:overflowPunct/>
        <w:topLinePunct w:val="0"/>
        <w:bidi w:val="0"/>
        <w:adjustRightInd w:val="0"/>
        <w:snapToGrid w:val="0"/>
        <w:spacing w:line="336" w:lineRule="auto"/>
        <w:rPr>
          <w:rFonts w:hint="eastAsia" w:ascii="宋体" w:hAnsi="宋体" w:eastAsia="宋体" w:cs="宋体"/>
          <w:b/>
          <w:color w:val="auto"/>
          <w:highlight w:val="none"/>
        </w:rPr>
      </w:pPr>
    </w:p>
    <w:p>
      <w:pPr>
        <w:pStyle w:val="25"/>
        <w:pageBreakBefore w:val="0"/>
        <w:kinsoku/>
        <w:overflowPunct/>
        <w:topLinePunct w:val="0"/>
        <w:bidi w:val="0"/>
        <w:adjustRightInd w:val="0"/>
        <w:snapToGrid w:val="0"/>
        <w:spacing w:before="120" w:after="120" w:line="336" w:lineRule="auto"/>
        <w:jc w:val="center"/>
        <w:rPr>
          <w:rFonts w:hint="eastAsia" w:ascii="宋体" w:hAnsi="宋体" w:eastAsia="宋体" w:cs="宋体"/>
          <w:b/>
          <w:color w:val="auto"/>
          <w:spacing w:val="-6"/>
          <w:sz w:val="30"/>
          <w:szCs w:val="30"/>
          <w:highlight w:val="none"/>
        </w:rPr>
      </w:pPr>
      <w:r>
        <w:rPr>
          <w:rFonts w:hint="eastAsia" w:ascii="宋体" w:hAnsi="宋体" w:eastAsia="宋体" w:cs="宋体"/>
          <w:b/>
          <w:color w:val="auto"/>
          <w:spacing w:val="-6"/>
          <w:sz w:val="30"/>
          <w:szCs w:val="30"/>
          <w:highlight w:val="none"/>
        </w:rPr>
        <w:t>2024年</w:t>
      </w:r>
      <w:r>
        <w:rPr>
          <w:rFonts w:hint="eastAsia" w:ascii="宋体" w:hAnsi="宋体" w:eastAsia="宋体" w:cs="宋体"/>
          <w:b/>
          <w:color w:val="auto"/>
          <w:spacing w:val="-6"/>
          <w:sz w:val="30"/>
          <w:szCs w:val="30"/>
          <w:highlight w:val="none"/>
          <w:lang w:val="en-US" w:eastAsia="zh-CN"/>
        </w:rPr>
        <w:t>05</w:t>
      </w:r>
      <w:r>
        <w:rPr>
          <w:rFonts w:hint="eastAsia" w:ascii="宋体" w:hAnsi="宋体" w:eastAsia="宋体" w:cs="宋体"/>
          <w:b/>
          <w:color w:val="auto"/>
          <w:spacing w:val="-6"/>
          <w:sz w:val="30"/>
          <w:szCs w:val="30"/>
          <w:highlight w:val="none"/>
        </w:rPr>
        <w:t>月</w:t>
      </w:r>
    </w:p>
    <w:p>
      <w:pPr>
        <w:pStyle w:val="25"/>
        <w:pageBreakBefore w:val="0"/>
        <w:kinsoku/>
        <w:overflowPunct/>
        <w:topLinePunct w:val="0"/>
        <w:bidi w:val="0"/>
        <w:adjustRightInd w:val="0"/>
        <w:snapToGrid w:val="0"/>
        <w:spacing w:line="336" w:lineRule="auto"/>
        <w:jc w:val="center"/>
        <w:rPr>
          <w:rFonts w:hint="eastAsia" w:ascii="宋体" w:hAnsi="宋体" w:eastAsia="宋体" w:cs="宋体"/>
          <w:b/>
          <w:color w:val="auto"/>
          <w:sz w:val="28"/>
          <w:szCs w:val="28"/>
          <w:highlight w:val="none"/>
        </w:rPr>
        <w:sectPr>
          <w:headerReference r:id="rId5" w:type="first"/>
          <w:headerReference r:id="rId3" w:type="default"/>
          <w:footerReference r:id="rId6" w:type="default"/>
          <w:headerReference r:id="rId4" w:type="even"/>
          <w:footerReference r:id="rId7" w:type="even"/>
          <w:pgSz w:w="11906" w:h="16838"/>
          <w:pgMar w:top="1418" w:right="1588" w:bottom="1418" w:left="1588" w:header="851" w:footer="992" w:gutter="0"/>
          <w:pgBorders>
            <w:top w:val="none" w:sz="0" w:space="0"/>
            <w:left w:val="none" w:sz="0" w:space="0"/>
            <w:bottom w:val="none" w:sz="0" w:space="0"/>
            <w:right w:val="none" w:sz="0" w:space="0"/>
          </w:pgBorders>
          <w:pgNumType w:fmt="decimal" w:start="0"/>
          <w:cols w:space="720" w:num="1"/>
          <w:titlePg/>
          <w:docGrid w:type="lines" w:linePitch="312" w:charSpace="0"/>
        </w:sectPr>
      </w:pPr>
    </w:p>
    <w:p>
      <w:pPr>
        <w:pStyle w:val="25"/>
        <w:pageBreakBefore w:val="0"/>
        <w:kinsoku/>
        <w:overflowPunct/>
        <w:topLinePunct w:val="0"/>
        <w:bidi w:val="0"/>
        <w:adjustRightInd w:val="0"/>
        <w:snapToGrid w:val="0"/>
        <w:spacing w:line="336"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目    录</w:t>
      </w:r>
    </w:p>
    <w:p>
      <w:pPr>
        <w:pStyle w:val="32"/>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b/>
          <w:caps w:val="0"/>
          <w:color w:val="auto"/>
          <w:sz w:val="21"/>
          <w:szCs w:val="21"/>
          <w:highlight w:val="none"/>
        </w:rPr>
        <w:fldChar w:fldCharType="begin"/>
      </w:r>
      <w:r>
        <w:rPr>
          <w:rFonts w:hint="eastAsia" w:ascii="宋体" w:hAnsi="宋体" w:eastAsia="宋体" w:cs="宋体"/>
          <w:b/>
          <w:caps w:val="0"/>
          <w:color w:val="auto"/>
          <w:sz w:val="21"/>
          <w:szCs w:val="21"/>
          <w:highlight w:val="none"/>
        </w:rPr>
        <w:instrText xml:space="preserve"> TOC \o "1-2" \u </w:instrText>
      </w:r>
      <w:r>
        <w:rPr>
          <w:rFonts w:hint="eastAsia" w:ascii="宋体" w:hAnsi="宋体" w:eastAsia="宋体" w:cs="宋体"/>
          <w:b/>
          <w:caps w:val="0"/>
          <w:color w:val="auto"/>
          <w:sz w:val="21"/>
          <w:szCs w:val="21"/>
          <w:highlight w:val="none"/>
        </w:rPr>
        <w:fldChar w:fldCharType="separate"/>
      </w:r>
      <w:r>
        <w:rPr>
          <w:rFonts w:hint="eastAsia" w:ascii="宋体" w:hAnsi="宋体" w:eastAsia="宋体" w:cs="宋体"/>
          <w:color w:val="auto"/>
          <w:szCs w:val="30"/>
          <w:highlight w:val="none"/>
        </w:rPr>
        <w:t>第一部分  采购公告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_Toc11971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p>
    <w:p>
      <w:pPr>
        <w:pStyle w:val="32"/>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30"/>
          <w:highlight w:val="none"/>
        </w:rPr>
        <w:t>第二部分  投标须知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_Toc20414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一、总则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_Toc21166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二、</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_Toc26283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三、投标文件的编制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_Toc10491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四、投标文件的递交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_Toc10531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五、开标与评标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_Toc19858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六、确定中标人及授予合同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_Toc17155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p>
    <w:p>
      <w:pPr>
        <w:pStyle w:val="32"/>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30"/>
          <w:highlight w:val="none"/>
        </w:rPr>
        <w:t xml:space="preserve">第三部分 </w:t>
      </w:r>
      <w:r>
        <w:rPr>
          <w:rFonts w:hint="eastAsia" w:ascii="宋体" w:hAnsi="宋体" w:eastAsia="宋体" w:cs="宋体"/>
          <w:color w:val="auto"/>
          <w:szCs w:val="30"/>
          <w:highlight w:val="none"/>
          <w:lang w:eastAsia="zh-CN"/>
        </w:rPr>
        <w:t>采购</w:t>
      </w:r>
      <w:r>
        <w:rPr>
          <w:rFonts w:hint="eastAsia" w:ascii="宋体" w:hAnsi="宋体" w:eastAsia="宋体" w:cs="宋体"/>
          <w:color w:val="auto"/>
          <w:szCs w:val="30"/>
          <w:highlight w:val="none"/>
        </w:rPr>
        <w:t>需求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p>
    <w:p>
      <w:pPr>
        <w:pStyle w:val="32"/>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30"/>
          <w:highlight w:val="none"/>
        </w:rPr>
        <w:t>第四部分  合同条款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_Toc12124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p>
    <w:p>
      <w:pPr>
        <w:pStyle w:val="32"/>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30"/>
          <w:highlight w:val="none"/>
        </w:rPr>
        <w:t>第五部分  评标办法（综合评分法）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_Toc1303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29</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一、总则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_Toc21538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二、评标组织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_Toc26874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三、评标纪律</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_Toc3192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四、评标程序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_Toc1056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21"/>
          <w:highlight w:val="none"/>
        </w:rPr>
        <w:t>五、评标细则及标准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_Toc7728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36</w:t>
      </w:r>
      <w:r>
        <w:rPr>
          <w:rFonts w:hint="eastAsia" w:ascii="宋体" w:hAnsi="宋体" w:eastAsia="宋体" w:cs="宋体"/>
          <w:color w:val="auto"/>
          <w:highlight w:val="none"/>
        </w:rPr>
        <w:fldChar w:fldCharType="end"/>
      </w:r>
    </w:p>
    <w:p>
      <w:pPr>
        <w:pStyle w:val="32"/>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30"/>
          <w:highlight w:val="none"/>
        </w:rPr>
        <w:t>第六部分  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_Toc5786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39</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bCs/>
          <w:snapToGrid w:val="0"/>
          <w:color w:val="auto"/>
          <w:kern w:val="0"/>
          <w:szCs w:val="21"/>
          <w:highlight w:val="none"/>
        </w:rPr>
        <w:t>一、投标文件封面（格式供参考）</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_Toc15480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bCs/>
          <w:color w:val="auto"/>
          <w:highlight w:val="none"/>
        </w:rPr>
        <w:t>二、资格响应文件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_Toc13499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42</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bCs/>
          <w:color w:val="auto"/>
          <w:highlight w:val="none"/>
        </w:rPr>
        <w:t>三、商务技术响应文件部分格式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_Toc2255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p>
    <w:p>
      <w:pPr>
        <w:pStyle w:val="37"/>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四、报价响应文件部分格式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_Toc9902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p>
    <w:p>
      <w:pPr>
        <w:pStyle w:val="32"/>
        <w:pageBreakBefore w:val="0"/>
        <w:tabs>
          <w:tab w:val="right" w:leader="dot" w:pos="8730"/>
          <w:tab w:val="clear" w:pos="8720"/>
        </w:tabs>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szCs w:val="30"/>
          <w:highlight w:val="none"/>
        </w:rPr>
        <w:t>第七部分   其它</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_Toc19633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p>
    <w:p>
      <w:pPr>
        <w:pageBreakBefore w:val="0"/>
        <w:kinsoku/>
        <w:overflowPunct/>
        <w:topLinePunct w:val="0"/>
        <w:bidi w:val="0"/>
        <w:adjustRightInd w:val="0"/>
        <w:snapToGrid w:val="0"/>
        <w:spacing w:line="336" w:lineRule="auto"/>
        <w:jc w:val="center"/>
        <w:rPr>
          <w:rFonts w:hint="eastAsia" w:ascii="宋体" w:hAnsi="宋体" w:eastAsia="宋体" w:cs="宋体"/>
          <w:color w:val="auto"/>
          <w:szCs w:val="21"/>
          <w:highlight w:val="none"/>
        </w:rPr>
        <w:sectPr>
          <w:footerReference r:id="rId9" w:type="first"/>
          <w:footerReference r:id="rId8" w:type="default"/>
          <w:pgSz w:w="11906" w:h="16838"/>
          <w:pgMar w:top="1418" w:right="1417" w:bottom="1134" w:left="1701" w:header="850" w:footer="850"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color w:val="auto"/>
          <w:szCs w:val="21"/>
          <w:highlight w:val="none"/>
        </w:rPr>
        <w:fldChar w:fldCharType="end"/>
      </w:r>
    </w:p>
    <w:p>
      <w:pPr>
        <w:pageBreakBefore w:val="0"/>
        <w:kinsoku/>
        <w:overflowPunct/>
        <w:topLinePunct w:val="0"/>
        <w:bidi w:val="0"/>
        <w:adjustRightInd w:val="0"/>
        <w:snapToGrid w:val="0"/>
        <w:spacing w:before="120" w:beforeLines="50" w:after="120" w:afterLines="50" w:line="336" w:lineRule="auto"/>
        <w:jc w:val="center"/>
        <w:outlineLvl w:val="0"/>
        <w:rPr>
          <w:rFonts w:hint="eastAsia" w:ascii="宋体" w:hAnsi="宋体" w:eastAsia="宋体" w:cs="宋体"/>
          <w:b/>
          <w:color w:val="auto"/>
          <w:sz w:val="30"/>
          <w:szCs w:val="30"/>
          <w:highlight w:val="none"/>
        </w:rPr>
      </w:pPr>
      <w:bookmarkStart w:id="0" w:name="_Toc21665"/>
      <w:bookmarkStart w:id="1" w:name="_Toc11971"/>
      <w:r>
        <w:rPr>
          <w:rFonts w:hint="eastAsia" w:ascii="宋体" w:hAnsi="宋体" w:eastAsia="宋体" w:cs="宋体"/>
          <w:b/>
          <w:color w:val="auto"/>
          <w:sz w:val="30"/>
          <w:szCs w:val="30"/>
          <w:highlight w:val="none"/>
        </w:rPr>
        <w:t>第一部分  采购公告</w:t>
      </w:r>
      <w:bookmarkEnd w:id="0"/>
      <w:bookmarkEnd w:id="1"/>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8942" w:type="dxa"/>
            <w:noWrap w:val="0"/>
            <w:vAlign w:val="center"/>
          </w:tcPr>
          <w:p>
            <w:pPr>
              <w:pageBreakBefore w:val="0"/>
              <w:widowControl/>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pPr>
              <w:pageBreakBefore w:val="0"/>
              <w:widowControl/>
              <w:kinsoku/>
              <w:overflowPunct/>
              <w:topLinePunct w:val="0"/>
              <w:bidi w:val="0"/>
              <w:adjustRightInd w:val="0"/>
              <w:snapToGrid w:val="0"/>
              <w:spacing w:line="33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浙江理工大学</w:t>
            </w:r>
            <w:r>
              <w:rPr>
                <w:rFonts w:hint="eastAsia" w:ascii="宋体" w:hAnsi="宋体" w:eastAsia="宋体" w:cs="宋体"/>
                <w:color w:val="auto"/>
                <w:szCs w:val="21"/>
                <w:highlight w:val="none"/>
                <w:u w:val="single"/>
                <w:lang w:eastAsia="zh-CN"/>
              </w:rPr>
              <w:t>智安校园平台建设项目</w:t>
            </w:r>
            <w:r>
              <w:rPr>
                <w:rFonts w:hint="eastAsia" w:ascii="宋体" w:hAnsi="宋体" w:eastAsia="宋体" w:cs="宋体"/>
                <w:color w:val="auto"/>
                <w:szCs w:val="21"/>
                <w:highlight w:val="none"/>
              </w:rPr>
              <w:t>的潜在投标人应在</w:t>
            </w:r>
            <w:r>
              <w:rPr>
                <w:rFonts w:hint="eastAsia" w:ascii="宋体" w:hAnsi="宋体" w:eastAsia="宋体" w:cs="宋体"/>
                <w:color w:val="auto"/>
                <w:szCs w:val="21"/>
                <w:highlight w:val="none"/>
                <w:u w:val="single"/>
              </w:rPr>
              <w:t>政采云平台（https://www.zcygov.cn）</w:t>
            </w:r>
            <w:r>
              <w:rPr>
                <w:rFonts w:hint="eastAsia" w:ascii="宋体" w:hAnsi="宋体" w:eastAsia="宋体" w:cs="宋体"/>
                <w:color w:val="auto"/>
                <w:szCs w:val="21"/>
                <w:highlight w:val="none"/>
              </w:rPr>
              <w:t>获取（下载）招标文件，并于</w:t>
            </w:r>
            <w:r>
              <w:rPr>
                <w:rFonts w:hint="eastAsia" w:ascii="宋体" w:hAnsi="宋体" w:eastAsia="宋体" w:cs="宋体"/>
                <w:color w:val="auto"/>
                <w:szCs w:val="21"/>
                <w:highlight w:val="none"/>
                <w:u w:val="single"/>
              </w:rPr>
              <w:t>2024年</w:t>
            </w:r>
            <w:r>
              <w:rPr>
                <w:rFonts w:hint="eastAsia" w:ascii="宋体" w:hAnsi="宋体" w:cs="宋体"/>
                <w:color w:val="auto"/>
                <w:szCs w:val="21"/>
                <w:highlight w:val="none"/>
                <w:u w:val="single"/>
                <w:lang w:val="en-US" w:eastAsia="zh-CN"/>
              </w:rPr>
              <w:t>06</w:t>
            </w:r>
            <w:r>
              <w:rPr>
                <w:rFonts w:hint="eastAsia" w:ascii="宋体" w:hAnsi="宋体" w:eastAsia="宋体" w:cs="宋体"/>
                <w:color w:val="auto"/>
                <w:szCs w:val="21"/>
                <w:highlight w:val="none"/>
                <w:u w:val="single"/>
              </w:rPr>
              <w:t>月</w:t>
            </w:r>
            <w:r>
              <w:rPr>
                <w:rFonts w:hint="eastAsia" w:ascii="宋体" w:hAnsi="宋体" w:cs="宋体"/>
                <w:color w:val="auto"/>
                <w:szCs w:val="21"/>
                <w:highlight w:val="none"/>
                <w:u w:val="single"/>
                <w:lang w:val="en-US" w:eastAsia="zh-CN"/>
              </w:rPr>
              <w:t>04</w:t>
            </w:r>
            <w:r>
              <w:rPr>
                <w:rFonts w:hint="eastAsia" w:ascii="宋体" w:hAnsi="宋体" w:eastAsia="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rPr>
              <w:t>:00（北京时间）</w:t>
            </w:r>
            <w:r>
              <w:rPr>
                <w:rFonts w:hint="eastAsia" w:ascii="宋体" w:hAnsi="宋体" w:eastAsia="宋体" w:cs="宋体"/>
                <w:color w:val="auto"/>
                <w:szCs w:val="21"/>
                <w:highlight w:val="none"/>
              </w:rPr>
              <w:t>前提交（上传）投标文件。</w:t>
            </w:r>
          </w:p>
        </w:tc>
      </w:tr>
    </w:tbl>
    <w:p>
      <w:pPr>
        <w:pageBreakBefore w:val="0"/>
        <w:widowControl/>
        <w:kinsoku/>
        <w:overflowPunct/>
        <w:topLinePunct w:val="0"/>
        <w:bidi w:val="0"/>
        <w:adjustRightInd w:val="0"/>
        <w:snapToGrid w:val="0"/>
        <w:spacing w:line="336" w:lineRule="auto"/>
        <w:jc w:val="left"/>
        <w:rPr>
          <w:rFonts w:hint="eastAsia" w:ascii="宋体" w:hAnsi="宋体" w:eastAsia="宋体" w:cs="宋体"/>
          <w:color w:val="auto"/>
          <w:kern w:val="0"/>
          <w:szCs w:val="21"/>
          <w:highlight w:val="none"/>
        </w:rPr>
      </w:pPr>
    </w:p>
    <w:p>
      <w:pPr>
        <w:pageBreakBefore w:val="0"/>
        <w:widowControl/>
        <w:kinsoku/>
        <w:overflowPunct/>
        <w:topLinePunct w:val="0"/>
        <w:bidi w:val="0"/>
        <w:adjustRightInd w:val="0"/>
        <w:snapToGrid w:val="0"/>
        <w:spacing w:line="336" w:lineRule="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一、项目基本情况</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项目编号：</w:t>
      </w:r>
      <w:r>
        <w:rPr>
          <w:rFonts w:hint="eastAsia" w:ascii="宋体" w:hAnsi="宋体" w:eastAsia="宋体" w:cs="宋体"/>
          <w:color w:val="auto"/>
          <w:kern w:val="0"/>
          <w:szCs w:val="21"/>
          <w:highlight w:val="none"/>
        </w:rPr>
        <w:fldChar w:fldCharType="begin"/>
      </w:r>
      <w:r>
        <w:rPr>
          <w:rFonts w:hint="eastAsia" w:ascii="宋体" w:hAnsi="宋体" w:eastAsia="宋体" w:cs="宋体"/>
          <w:color w:val="auto"/>
          <w:kern w:val="0"/>
          <w:szCs w:val="21"/>
          <w:highlight w:val="none"/>
        </w:rPr>
        <w:instrText xml:space="preserve"> HYPERLINK "javascript:void(0)" \o "ZJ-2223486" </w:instrText>
      </w:r>
      <w:r>
        <w:rPr>
          <w:rFonts w:hint="eastAsia" w:ascii="宋体" w:hAnsi="宋体" w:eastAsia="宋体" w:cs="宋体"/>
          <w:color w:val="auto"/>
          <w:kern w:val="0"/>
          <w:szCs w:val="21"/>
          <w:highlight w:val="none"/>
        </w:rPr>
        <w:fldChar w:fldCharType="separate"/>
      </w:r>
      <w:r>
        <w:rPr>
          <w:rFonts w:hint="eastAsia" w:ascii="宋体" w:hAnsi="宋体" w:eastAsia="宋体" w:cs="宋体"/>
          <w:color w:val="auto"/>
          <w:kern w:val="0"/>
          <w:szCs w:val="21"/>
          <w:highlight w:val="none"/>
          <w:lang w:eastAsia="zh-CN"/>
        </w:rPr>
        <w:t>ZJ-2420755</w:t>
      </w:r>
      <w:r>
        <w:rPr>
          <w:rFonts w:hint="eastAsia" w:ascii="宋体" w:hAnsi="宋体" w:eastAsia="宋体" w:cs="宋体"/>
          <w:color w:val="auto"/>
          <w:kern w:val="0"/>
          <w:szCs w:val="21"/>
          <w:highlight w:val="none"/>
        </w:rPr>
        <w:fldChar w:fldCharType="end"/>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项目名称：浙江理工大学</w:t>
      </w:r>
      <w:r>
        <w:rPr>
          <w:rFonts w:hint="eastAsia" w:ascii="宋体" w:hAnsi="宋体" w:eastAsia="宋体" w:cs="宋体"/>
          <w:color w:val="auto"/>
          <w:kern w:val="0"/>
          <w:szCs w:val="21"/>
          <w:highlight w:val="none"/>
          <w:lang w:eastAsia="zh-CN"/>
        </w:rPr>
        <w:t>智安校园平台建设项目</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预算金额（元）：</w:t>
      </w:r>
      <w:r>
        <w:rPr>
          <w:rFonts w:hint="eastAsia" w:ascii="宋体" w:hAnsi="宋体" w:eastAsia="宋体" w:cs="宋体"/>
          <w:color w:val="auto"/>
          <w:kern w:val="0"/>
          <w:szCs w:val="21"/>
          <w:highlight w:val="none"/>
          <w:lang w:val="en-US" w:eastAsia="zh-CN"/>
        </w:rPr>
        <w:t>96</w:t>
      </w:r>
      <w:r>
        <w:rPr>
          <w:rFonts w:hint="eastAsia" w:ascii="宋体" w:hAnsi="宋体" w:eastAsia="宋体" w:cs="宋体"/>
          <w:color w:val="auto"/>
          <w:kern w:val="0"/>
          <w:szCs w:val="21"/>
          <w:highlight w:val="none"/>
        </w:rPr>
        <w:t>0000</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最高限价（元）：</w:t>
      </w:r>
      <w:r>
        <w:rPr>
          <w:rFonts w:hint="eastAsia" w:ascii="宋体" w:hAnsi="宋体" w:eastAsia="宋体" w:cs="宋体"/>
          <w:color w:val="auto"/>
          <w:kern w:val="0"/>
          <w:szCs w:val="21"/>
          <w:highlight w:val="none"/>
          <w:lang w:val="en-US" w:eastAsia="zh-CN"/>
        </w:rPr>
        <w:t>96</w:t>
      </w:r>
      <w:r>
        <w:rPr>
          <w:rFonts w:hint="eastAsia" w:ascii="宋体" w:hAnsi="宋体" w:eastAsia="宋体" w:cs="宋体"/>
          <w:color w:val="auto"/>
          <w:kern w:val="0"/>
          <w:szCs w:val="21"/>
          <w:highlight w:val="none"/>
        </w:rPr>
        <w:t>0000</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采购需求：</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数量：1  </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预算金额（元）：</w:t>
      </w:r>
      <w:r>
        <w:rPr>
          <w:rFonts w:hint="eastAsia" w:ascii="宋体" w:hAnsi="宋体" w:eastAsia="宋体" w:cs="宋体"/>
          <w:color w:val="auto"/>
          <w:kern w:val="0"/>
          <w:szCs w:val="21"/>
          <w:highlight w:val="none"/>
          <w:lang w:val="en-US" w:eastAsia="zh-CN"/>
        </w:rPr>
        <w:t>96</w:t>
      </w:r>
      <w:r>
        <w:rPr>
          <w:rFonts w:hint="eastAsia" w:ascii="宋体" w:hAnsi="宋体" w:eastAsia="宋体" w:cs="宋体"/>
          <w:color w:val="auto"/>
          <w:kern w:val="0"/>
          <w:szCs w:val="21"/>
          <w:highlight w:val="none"/>
        </w:rPr>
        <w:t>0000</w:t>
      </w:r>
    </w:p>
    <w:p>
      <w:pPr>
        <w:pageBreakBefore w:val="0"/>
        <w:widowControl/>
        <w:tabs>
          <w:tab w:val="left" w:pos="7268"/>
        </w:tabs>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单位：</w:t>
      </w:r>
      <w:r>
        <w:rPr>
          <w:rFonts w:hint="eastAsia" w:ascii="宋体" w:hAnsi="宋体" w:eastAsia="宋体" w:cs="宋体"/>
          <w:color w:val="auto"/>
          <w:kern w:val="0"/>
          <w:szCs w:val="21"/>
          <w:highlight w:val="none"/>
          <w:lang w:eastAsia="zh-CN"/>
        </w:rPr>
        <w:t>批</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简要规格描述或项目基本概况介绍、用途：智安校园平台建设，具体内容详见</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 </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 </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合同履行期限：</w:t>
      </w:r>
      <w:r>
        <w:rPr>
          <w:rStyle w:val="69"/>
          <w:rFonts w:hint="eastAsia" w:ascii="宋体" w:hAnsi="宋体" w:eastAsia="宋体" w:cs="宋体"/>
          <w:color w:val="auto"/>
          <w:szCs w:val="21"/>
          <w:highlight w:val="none"/>
        </w:rPr>
        <w:t>标项1，按招标文件要求</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w:t>
      </w:r>
      <w:r>
        <w:rPr>
          <w:rFonts w:hint="eastAsia" w:ascii="宋体" w:hAnsi="宋体" w:eastAsia="宋体" w:cs="宋体"/>
          <w:color w:val="auto"/>
          <w:szCs w:val="21"/>
          <w:highlight w:val="none"/>
          <w:lang w:eastAsia="zh-CN"/>
        </w:rPr>
        <w:t>是</w:t>
      </w:r>
      <w:r>
        <w:rPr>
          <w:rFonts w:hint="eastAsia" w:ascii="宋体" w:hAnsi="宋体" w:eastAsia="宋体" w:cs="宋体"/>
          <w:color w:val="auto"/>
          <w:szCs w:val="21"/>
          <w:highlight w:val="none"/>
        </w:rPr>
        <w:t>）接受联合体投标。</w:t>
      </w:r>
    </w:p>
    <w:p>
      <w:pPr>
        <w:pageBreakBefore w:val="0"/>
        <w:widowControl/>
        <w:kinsoku/>
        <w:overflowPunct/>
        <w:topLinePunct w:val="0"/>
        <w:bidi w:val="0"/>
        <w:adjustRightInd w:val="0"/>
        <w:snapToGrid w:val="0"/>
        <w:spacing w:line="336" w:lineRule="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二、申请人的资格要求：</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rPr>
        <w:t>2.落实政府采购政策需满足的资格要求：</w:t>
      </w:r>
      <w:r>
        <w:rPr>
          <w:rFonts w:hint="eastAsia" w:ascii="宋体" w:hAnsi="宋体" w:eastAsia="宋体" w:cs="宋体"/>
          <w:color w:val="auto"/>
          <w:kern w:val="0"/>
          <w:szCs w:val="21"/>
          <w:highlight w:val="none"/>
          <w:lang w:val="en-US" w:eastAsia="zh-CN"/>
        </w:rPr>
        <w:t>无</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3.本项目的特定资格要求：无</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i/>
          <w:iCs/>
          <w:color w:val="auto"/>
          <w:kern w:val="0"/>
          <w:szCs w:val="21"/>
          <w:highlight w:val="none"/>
        </w:rPr>
      </w:pPr>
      <w:r>
        <w:rPr>
          <w:rFonts w:hint="eastAsia" w:ascii="宋体" w:hAnsi="宋体" w:eastAsia="宋体" w:cs="宋体"/>
          <w:i/>
          <w:iCs/>
          <w:color w:val="auto"/>
          <w:kern w:val="0"/>
          <w:szCs w:val="21"/>
          <w:highlight w:val="none"/>
        </w:rPr>
        <w:t xml:space="preserve">   </w:t>
      </w:r>
    </w:p>
    <w:p>
      <w:pPr>
        <w:pageBreakBefore w:val="0"/>
        <w:widowControl/>
        <w:kinsoku/>
        <w:overflowPunct/>
        <w:topLinePunct w:val="0"/>
        <w:bidi w:val="0"/>
        <w:adjustRightInd w:val="0"/>
        <w:snapToGrid w:val="0"/>
        <w:spacing w:line="336" w:lineRule="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三、获取招标文件</w:t>
      </w:r>
    </w:p>
    <w:p>
      <w:pPr>
        <w:pageBreakBefore w:val="0"/>
        <w:widowControl/>
        <w:kinsoku/>
        <w:overflowPunct/>
        <w:topLinePunct w:val="0"/>
        <w:bidi w:val="0"/>
        <w:adjustRightInd w:val="0"/>
        <w:snapToGrid w:val="0"/>
        <w:spacing w:line="336"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时间：</w:t>
      </w:r>
      <w:r>
        <w:rPr>
          <w:rFonts w:hint="eastAsia" w:ascii="宋体" w:hAnsi="宋体" w:eastAsia="宋体" w:cs="宋体"/>
          <w:color w:val="auto"/>
          <w:kern w:val="0"/>
          <w:szCs w:val="21"/>
          <w:highlight w:val="none"/>
          <w:u w:val="single"/>
        </w:rPr>
        <w:t> </w:t>
      </w:r>
      <w:r>
        <w:rPr>
          <w:rFonts w:hint="eastAsia" w:ascii="宋体" w:hAnsi="宋体" w:eastAsia="宋体" w:cs="宋体"/>
          <w:i/>
          <w:iCs/>
          <w:color w:val="auto"/>
          <w:szCs w:val="21"/>
          <w:highlight w:val="none"/>
          <w:u w:val="single"/>
        </w:rPr>
        <w:t>/</w:t>
      </w:r>
      <w:r>
        <w:rPr>
          <w:rFonts w:hint="eastAsia" w:ascii="宋体" w:hAnsi="宋体" w:eastAsia="宋体" w:cs="宋体"/>
          <w:color w:val="auto"/>
          <w:kern w:val="0"/>
          <w:szCs w:val="21"/>
          <w:highlight w:val="none"/>
          <w:u w:val="single"/>
        </w:rPr>
        <w:t> </w:t>
      </w:r>
      <w:r>
        <w:rPr>
          <w:rFonts w:hint="eastAsia" w:ascii="宋体" w:hAnsi="宋体" w:eastAsia="宋体" w:cs="宋体"/>
          <w:color w:val="auto"/>
          <w:kern w:val="0"/>
          <w:szCs w:val="21"/>
          <w:highlight w:val="none"/>
        </w:rPr>
        <w:t>至</w:t>
      </w:r>
      <w:r>
        <w:rPr>
          <w:rFonts w:hint="eastAsia" w:ascii="宋体" w:hAnsi="宋体" w:eastAsia="宋体" w:cs="宋体"/>
          <w:color w:val="auto"/>
          <w:szCs w:val="21"/>
          <w:highlight w:val="none"/>
          <w:u w:val="single"/>
        </w:rPr>
        <w:t>2024年</w:t>
      </w:r>
      <w:r>
        <w:rPr>
          <w:rFonts w:hint="eastAsia" w:ascii="宋体" w:hAnsi="宋体" w:cs="宋体"/>
          <w:color w:val="auto"/>
          <w:szCs w:val="21"/>
          <w:highlight w:val="none"/>
          <w:u w:val="single"/>
          <w:lang w:val="en-US" w:eastAsia="zh-CN"/>
        </w:rPr>
        <w:t>06</w:t>
      </w:r>
      <w:r>
        <w:rPr>
          <w:rFonts w:hint="eastAsia" w:ascii="宋体" w:hAnsi="宋体" w:eastAsia="宋体" w:cs="宋体"/>
          <w:color w:val="auto"/>
          <w:szCs w:val="21"/>
          <w:highlight w:val="none"/>
          <w:u w:val="single"/>
        </w:rPr>
        <w:t>月</w:t>
      </w:r>
      <w:r>
        <w:rPr>
          <w:rFonts w:hint="eastAsia" w:ascii="宋体" w:hAnsi="宋体" w:cs="宋体"/>
          <w:color w:val="auto"/>
          <w:szCs w:val="21"/>
          <w:highlight w:val="none"/>
          <w:u w:val="single"/>
          <w:lang w:val="en-US" w:eastAsia="zh-CN"/>
        </w:rPr>
        <w:t>04</w:t>
      </w:r>
      <w:r>
        <w:rPr>
          <w:rFonts w:hint="eastAsia" w:ascii="宋体" w:hAnsi="宋体" w:eastAsia="宋体" w:cs="宋体"/>
          <w:color w:val="auto"/>
          <w:szCs w:val="21"/>
          <w:highlight w:val="none"/>
          <w:u w:val="single"/>
        </w:rPr>
        <w:t>日</w:t>
      </w:r>
      <w:r>
        <w:rPr>
          <w:rFonts w:hint="eastAsia" w:ascii="宋体" w:hAnsi="宋体" w:eastAsia="宋体" w:cs="宋体"/>
          <w:color w:val="auto"/>
          <w:kern w:val="0"/>
          <w:szCs w:val="21"/>
          <w:highlight w:val="none"/>
        </w:rPr>
        <w:t>，每天上午</w:t>
      </w:r>
      <w:r>
        <w:rPr>
          <w:rFonts w:hint="eastAsia" w:ascii="宋体" w:hAnsi="宋体" w:eastAsia="宋体" w:cs="宋体"/>
          <w:color w:val="auto"/>
          <w:kern w:val="0"/>
          <w:szCs w:val="21"/>
          <w:highlight w:val="none"/>
          <w:u w:val="single"/>
        </w:rPr>
        <w:t>00:00至12:00</w:t>
      </w:r>
      <w:r>
        <w:rPr>
          <w:rFonts w:hint="eastAsia" w:ascii="宋体" w:hAnsi="宋体" w:eastAsia="宋体" w:cs="宋体"/>
          <w:color w:val="auto"/>
          <w:kern w:val="0"/>
          <w:szCs w:val="21"/>
          <w:highlight w:val="none"/>
        </w:rPr>
        <w:t>，下午</w:t>
      </w:r>
      <w:r>
        <w:rPr>
          <w:rFonts w:hint="eastAsia" w:ascii="宋体" w:hAnsi="宋体" w:eastAsia="宋体" w:cs="宋体"/>
          <w:color w:val="auto"/>
          <w:kern w:val="0"/>
          <w:szCs w:val="21"/>
          <w:highlight w:val="none"/>
          <w:u w:val="single"/>
        </w:rPr>
        <w:t>12:00至23:59</w:t>
      </w:r>
      <w:r>
        <w:rPr>
          <w:rFonts w:hint="eastAsia" w:ascii="宋体" w:hAnsi="宋体" w:eastAsia="宋体" w:cs="宋体"/>
          <w:color w:val="auto"/>
          <w:kern w:val="0"/>
          <w:szCs w:val="21"/>
          <w:highlight w:val="none"/>
        </w:rPr>
        <w:t>（北京时间，线上获取法定节假日均可，线下获取文件法定节假日除外）</w:t>
      </w:r>
    </w:p>
    <w:p>
      <w:pPr>
        <w:pageBreakBefore w:val="0"/>
        <w:widowControl/>
        <w:kinsoku/>
        <w:overflowPunct/>
        <w:topLinePunct w:val="0"/>
        <w:bidi w:val="0"/>
        <w:adjustRightInd w:val="0"/>
        <w:snapToGrid w:val="0"/>
        <w:spacing w:line="336" w:lineRule="auto"/>
        <w:ind w:firstLine="63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地点（网址）：浙江政府采购网（https://zfcg.czt.zj.gov.cn） </w:t>
      </w:r>
    </w:p>
    <w:p>
      <w:pPr>
        <w:pageBreakBefore w:val="0"/>
        <w:widowControl/>
        <w:kinsoku/>
        <w:overflowPunct/>
        <w:topLinePunct w:val="0"/>
        <w:bidi w:val="0"/>
        <w:adjustRightInd w:val="0"/>
        <w:snapToGrid w:val="0"/>
        <w:spacing w:line="336" w:lineRule="auto"/>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    方式：投标人登录政采云平台（https://www.zcygov.cn/）在线申请获取</w:t>
      </w:r>
      <w:r>
        <w:rPr>
          <w:rFonts w:hint="eastAsia" w:ascii="宋体" w:hAnsi="宋体" w:eastAsia="宋体" w:cs="宋体"/>
          <w:color w:val="auto"/>
          <w:kern w:val="0"/>
          <w:szCs w:val="21"/>
          <w:highlight w:val="none"/>
          <w:lang w:eastAsia="zh-CN"/>
        </w:rPr>
        <w:t>招标文件</w:t>
      </w:r>
    </w:p>
    <w:p>
      <w:pPr>
        <w:pageBreakBefore w:val="0"/>
        <w:widowControl/>
        <w:kinsoku/>
        <w:overflowPunct/>
        <w:topLinePunct w:val="0"/>
        <w:bidi w:val="0"/>
        <w:adjustRightInd w:val="0"/>
        <w:snapToGrid w:val="0"/>
        <w:spacing w:line="336"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售价（元）：0 </w:t>
      </w:r>
    </w:p>
    <w:p>
      <w:pPr>
        <w:pageBreakBefore w:val="0"/>
        <w:widowControl/>
        <w:kinsoku/>
        <w:overflowPunct/>
        <w:topLinePunct w:val="0"/>
        <w:bidi w:val="0"/>
        <w:adjustRightInd w:val="0"/>
        <w:snapToGrid w:val="0"/>
        <w:spacing w:line="336" w:lineRule="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四、提交投标文件截止时间、开标时间和地点</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提交投标文件截止时间：</w:t>
      </w:r>
      <w:r>
        <w:rPr>
          <w:rFonts w:hint="eastAsia" w:ascii="宋体" w:hAnsi="宋体" w:eastAsia="宋体" w:cs="宋体"/>
          <w:color w:val="auto"/>
          <w:szCs w:val="21"/>
          <w:highlight w:val="none"/>
          <w:u w:val="single"/>
        </w:rPr>
        <w:t>2024年</w:t>
      </w:r>
      <w:r>
        <w:rPr>
          <w:rFonts w:hint="eastAsia" w:ascii="宋体" w:hAnsi="宋体" w:cs="宋体"/>
          <w:color w:val="auto"/>
          <w:szCs w:val="21"/>
          <w:highlight w:val="none"/>
          <w:u w:val="single"/>
          <w:lang w:val="en-US" w:eastAsia="zh-CN"/>
        </w:rPr>
        <w:t>06</w:t>
      </w:r>
      <w:r>
        <w:rPr>
          <w:rFonts w:hint="eastAsia" w:ascii="宋体" w:hAnsi="宋体" w:eastAsia="宋体" w:cs="宋体"/>
          <w:color w:val="auto"/>
          <w:szCs w:val="21"/>
          <w:highlight w:val="none"/>
          <w:u w:val="single"/>
        </w:rPr>
        <w:t>月</w:t>
      </w:r>
      <w:r>
        <w:rPr>
          <w:rFonts w:hint="eastAsia" w:ascii="宋体" w:hAnsi="宋体" w:cs="宋体"/>
          <w:color w:val="auto"/>
          <w:szCs w:val="21"/>
          <w:highlight w:val="none"/>
          <w:u w:val="single"/>
          <w:lang w:val="en-US" w:eastAsia="zh-CN"/>
        </w:rPr>
        <w:t>04</w:t>
      </w:r>
      <w:r>
        <w:rPr>
          <w:rFonts w:hint="eastAsia" w:ascii="宋体" w:hAnsi="宋体" w:eastAsia="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rPr>
        <w:t>:00（北京时间）</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投标地点（网址）：</w:t>
      </w:r>
      <w:r>
        <w:rPr>
          <w:rFonts w:hint="eastAsia" w:ascii="宋体" w:hAnsi="宋体" w:eastAsia="宋体" w:cs="宋体"/>
          <w:color w:val="auto"/>
          <w:kern w:val="0"/>
          <w:szCs w:val="21"/>
          <w:highlight w:val="none"/>
          <w:u w:val="single"/>
        </w:rPr>
        <w:t>线上（请登录政采云平台上传投标文件） </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szCs w:val="21"/>
          <w:highlight w:val="none"/>
          <w:u w:val="single"/>
        </w:rPr>
      </w:pPr>
      <w:r>
        <w:rPr>
          <w:rFonts w:hint="eastAsia" w:ascii="宋体" w:hAnsi="宋体" w:eastAsia="宋体" w:cs="宋体"/>
          <w:color w:val="auto"/>
          <w:kern w:val="0"/>
          <w:szCs w:val="21"/>
          <w:highlight w:val="none"/>
        </w:rPr>
        <w:t>开标时间：</w:t>
      </w:r>
      <w:r>
        <w:rPr>
          <w:rFonts w:hint="eastAsia" w:ascii="宋体" w:hAnsi="宋体" w:eastAsia="宋体" w:cs="宋体"/>
          <w:color w:val="auto"/>
          <w:szCs w:val="21"/>
          <w:highlight w:val="none"/>
          <w:u w:val="single"/>
        </w:rPr>
        <w:t>2024年</w:t>
      </w:r>
      <w:r>
        <w:rPr>
          <w:rFonts w:hint="eastAsia" w:ascii="宋体" w:hAnsi="宋体" w:cs="宋体"/>
          <w:color w:val="auto"/>
          <w:szCs w:val="21"/>
          <w:highlight w:val="none"/>
          <w:u w:val="single"/>
          <w:lang w:val="en-US" w:eastAsia="zh-CN"/>
        </w:rPr>
        <w:t>06</w:t>
      </w:r>
      <w:r>
        <w:rPr>
          <w:rFonts w:hint="eastAsia" w:ascii="宋体" w:hAnsi="宋体" w:eastAsia="宋体" w:cs="宋体"/>
          <w:color w:val="auto"/>
          <w:szCs w:val="21"/>
          <w:highlight w:val="none"/>
          <w:u w:val="single"/>
        </w:rPr>
        <w:t>月</w:t>
      </w:r>
      <w:r>
        <w:rPr>
          <w:rFonts w:hint="eastAsia" w:ascii="宋体" w:hAnsi="宋体" w:cs="宋体"/>
          <w:color w:val="auto"/>
          <w:szCs w:val="21"/>
          <w:highlight w:val="none"/>
          <w:u w:val="single"/>
          <w:lang w:val="en-US" w:eastAsia="zh-CN"/>
        </w:rPr>
        <w:t>04</w:t>
      </w:r>
      <w:r>
        <w:rPr>
          <w:rFonts w:hint="eastAsia" w:ascii="宋体" w:hAnsi="宋体" w:eastAsia="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rPr>
        <w:t>:00（北京时间）</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开标地点（网址）：</w:t>
      </w:r>
      <w:r>
        <w:rPr>
          <w:rFonts w:hint="eastAsia" w:ascii="宋体" w:hAnsi="宋体" w:eastAsia="宋体" w:cs="宋体"/>
          <w:color w:val="auto"/>
          <w:kern w:val="0"/>
          <w:szCs w:val="21"/>
          <w:highlight w:val="none"/>
          <w:u w:val="single"/>
        </w:rPr>
        <w:t>线上（请登录政采云投标客户端开标大厅） </w:t>
      </w:r>
    </w:p>
    <w:p>
      <w:pPr>
        <w:pageBreakBefore w:val="0"/>
        <w:widowControl/>
        <w:kinsoku/>
        <w:overflowPunct/>
        <w:topLinePunct w:val="0"/>
        <w:bidi w:val="0"/>
        <w:adjustRightInd w:val="0"/>
        <w:snapToGrid w:val="0"/>
        <w:spacing w:line="336" w:lineRule="auto"/>
        <w:rPr>
          <w:rFonts w:hint="eastAsia" w:ascii="宋体" w:hAnsi="宋体" w:eastAsia="宋体" w:cs="宋体"/>
          <w:b/>
          <w:bCs/>
          <w:color w:val="auto"/>
          <w:kern w:val="0"/>
          <w:szCs w:val="21"/>
          <w:highlight w:val="none"/>
        </w:rPr>
      </w:pPr>
    </w:p>
    <w:p>
      <w:pPr>
        <w:pageBreakBefore w:val="0"/>
        <w:widowControl/>
        <w:kinsoku/>
        <w:overflowPunct/>
        <w:topLinePunct w:val="0"/>
        <w:bidi w:val="0"/>
        <w:adjustRightInd w:val="0"/>
        <w:snapToGrid w:val="0"/>
        <w:spacing w:line="336" w:lineRule="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五、公告期限</w:t>
      </w:r>
    </w:p>
    <w:p>
      <w:pPr>
        <w:pageBreakBefore w:val="0"/>
        <w:widowControl/>
        <w:kinsoku/>
        <w:overflowPunct/>
        <w:topLinePunct w:val="0"/>
        <w:bidi w:val="0"/>
        <w:adjustRightInd w:val="0"/>
        <w:snapToGrid w:val="0"/>
        <w:spacing w:line="336"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自本公告发布之日起5个工作日。</w:t>
      </w:r>
    </w:p>
    <w:p>
      <w:pPr>
        <w:pageBreakBefore w:val="0"/>
        <w:widowControl/>
        <w:kinsoku/>
        <w:overflowPunct/>
        <w:topLinePunct w:val="0"/>
        <w:bidi w:val="0"/>
        <w:adjustRightInd w:val="0"/>
        <w:snapToGrid w:val="0"/>
        <w:spacing w:line="336" w:lineRule="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六、其他补充事宜</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鼓励供应商在线提起质疑，路径为：政采云-项目采购-询问质疑投诉-质疑列表。质疑供应商对在线质疑答复不满意的，可在线提起投诉，路径为：浙江政府服务网-政府采购投诉处理-在线办理。</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3.供应商认为</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使自己的权益受到损害的，可以自获取</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之日或者采购公告期限届满之日（公告期限届满后获取</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的，以公告期限届满之日为准）起7个工作日内，对</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4.其他事项：</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（1）需要落实的政府采购政策：包括保护环境、节约能源、促进中小企业发展等，详见</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第三部分。</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（2）电子交易的说明</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1）</w:t>
      </w:r>
      <w:r>
        <w:rPr>
          <w:rFonts w:hint="eastAsia" w:ascii="宋体" w:hAnsi="宋体" w:eastAsia="宋体" w:cs="宋体"/>
          <w:color w:val="auto"/>
          <w:szCs w:val="21"/>
          <w:highlight w:val="none"/>
        </w:rPr>
        <w:t>电子交易：本项目以数据电文形式，依托“政府采购云平台（www.zcygov.cn）”进行采购活动，不接受纸质响应文件。</w:t>
      </w:r>
      <w:r>
        <w:rPr>
          <w:rFonts w:hint="eastAsia" w:ascii="宋体" w:hAnsi="宋体" w:eastAsia="宋体" w:cs="宋体"/>
          <w:b/>
          <w:bCs/>
          <w:color w:val="auto"/>
          <w:szCs w:val="21"/>
          <w:highlight w:val="none"/>
        </w:rPr>
        <w:t>2）</w:t>
      </w:r>
      <w:r>
        <w:rPr>
          <w:rFonts w:hint="eastAsia" w:ascii="宋体" w:hAnsi="宋体" w:eastAsia="宋体" w:cs="宋体"/>
          <w:color w:val="auto"/>
          <w:szCs w:val="21"/>
          <w:highlight w:val="none"/>
        </w:rPr>
        <w:t>响应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宋体" w:hAnsi="宋体" w:eastAsia="宋体" w:cs="宋体"/>
          <w:b/>
          <w:bCs/>
          <w:color w:val="auto"/>
          <w:szCs w:val="21"/>
          <w:highlight w:val="none"/>
        </w:rPr>
        <w:t>3）</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的获取：使用账号登录或者使用CA登录政采云平台；进入“项目采购”应用，在获取</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菜单中选择项目，获取</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4）</w:t>
      </w:r>
      <w:r>
        <w:rPr>
          <w:rFonts w:hint="eastAsia" w:ascii="宋体" w:hAnsi="宋体" w:eastAsia="宋体" w:cs="宋体"/>
          <w:color w:val="auto"/>
          <w:szCs w:val="21"/>
          <w:highlight w:val="none"/>
        </w:rPr>
        <w:t>响应文件的制作：在“政采云电子交易客户端”中完成“填写基本信息”、“导入响应文件”、“标书关联”、“标书检查”、“电子签名”、“生成电子标书”等操作。</w:t>
      </w:r>
      <w:r>
        <w:rPr>
          <w:rFonts w:hint="eastAsia" w:ascii="宋体" w:hAnsi="宋体" w:eastAsia="宋体" w:cs="宋体"/>
          <w:b/>
          <w:bCs/>
          <w:color w:val="auto"/>
          <w:szCs w:val="21"/>
          <w:highlight w:val="none"/>
        </w:rPr>
        <w:t>5）</w:t>
      </w:r>
      <w:r>
        <w:rPr>
          <w:rFonts w:hint="eastAsia" w:ascii="宋体" w:hAnsi="宋体" w:eastAsia="宋体" w:cs="宋体"/>
          <w:color w:val="auto"/>
          <w:szCs w:val="21"/>
          <w:highlight w:val="none"/>
        </w:rPr>
        <w:t>采购人、采购代理机构将依托政采云平台完成本项目的电子交易活动，平台不接受未按本公告约定方式获取</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的投标人进行响应活动；</w:t>
      </w:r>
      <w:r>
        <w:rPr>
          <w:rFonts w:hint="eastAsia" w:ascii="宋体" w:hAnsi="宋体" w:eastAsia="宋体" w:cs="宋体"/>
          <w:b/>
          <w:bCs/>
          <w:color w:val="auto"/>
          <w:szCs w:val="21"/>
          <w:highlight w:val="none"/>
        </w:rPr>
        <w:t>6）</w:t>
      </w:r>
      <w:r>
        <w:rPr>
          <w:rFonts w:hint="eastAsia" w:ascii="宋体" w:hAnsi="宋体" w:eastAsia="宋体" w:cs="宋体"/>
          <w:color w:val="auto"/>
          <w:szCs w:val="21"/>
          <w:highlight w:val="none"/>
        </w:rPr>
        <w:t>对未按上述方式获取</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的投标人对该文件提出的质疑，采购人或采购代理机构将不予处理；</w:t>
      </w:r>
      <w:r>
        <w:rPr>
          <w:rFonts w:hint="eastAsia" w:ascii="宋体" w:hAnsi="宋体" w:eastAsia="宋体" w:cs="宋体"/>
          <w:b/>
          <w:bCs/>
          <w:color w:val="auto"/>
          <w:szCs w:val="21"/>
          <w:highlight w:val="none"/>
        </w:rPr>
        <w:t>7）</w:t>
      </w:r>
      <w:r>
        <w:rPr>
          <w:rFonts w:hint="eastAsia" w:ascii="宋体" w:hAnsi="宋体" w:eastAsia="宋体" w:cs="宋体"/>
          <w:color w:val="auto"/>
          <w:szCs w:val="21"/>
          <w:highlight w:val="none"/>
        </w:rPr>
        <w:t>不提供</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纸质版；</w:t>
      </w:r>
      <w:r>
        <w:rPr>
          <w:rFonts w:hint="eastAsia" w:ascii="宋体" w:hAnsi="宋体" w:eastAsia="宋体" w:cs="宋体"/>
          <w:b/>
          <w:bCs/>
          <w:color w:val="auto"/>
          <w:szCs w:val="21"/>
          <w:highlight w:val="none"/>
        </w:rPr>
        <w:t>8）</w:t>
      </w:r>
      <w:r>
        <w:rPr>
          <w:rFonts w:hint="eastAsia" w:ascii="宋体" w:hAnsi="宋体" w:eastAsia="宋体" w:cs="宋体"/>
          <w:color w:val="auto"/>
          <w:szCs w:val="21"/>
          <w:highlight w:val="none"/>
        </w:rPr>
        <w:t>响应文件的传输提交：投标人在提交响应文件的截止时间前将加密的响应文件上传至政府采购云平台，还可以在提交响应文件的截止时间前直接提交或者以邮政快递方式提交备份响应文件1份。备份响应文件的制作、存储、密封详见</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第三部分 “备份响应文件”；</w:t>
      </w:r>
      <w:r>
        <w:rPr>
          <w:rFonts w:hint="eastAsia" w:ascii="宋体" w:hAnsi="宋体" w:eastAsia="宋体" w:cs="宋体"/>
          <w:b/>
          <w:bCs/>
          <w:color w:val="auto"/>
          <w:szCs w:val="21"/>
          <w:highlight w:val="none"/>
        </w:rPr>
        <w:t>9）</w:t>
      </w:r>
      <w:r>
        <w:rPr>
          <w:rFonts w:hint="eastAsia" w:ascii="宋体" w:hAnsi="宋体" w:eastAsia="宋体" w:cs="宋体"/>
          <w:color w:val="auto"/>
          <w:szCs w:val="21"/>
          <w:highlight w:val="none"/>
        </w:rPr>
        <w:t>响应文件的解密：投标人按照平台提示和</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的规定在半小时内完成在线解密。通过“政府采购云平台”上传提交的响应文件无法按时解密，投标人递交了备份响应文件的，以备份响应文件为依据，否则视为响应文件撤回。通过“政府采购云平台”上传提交的响应文件已按时解密的，备份响应文件自动失效。投标人仅提交备份响应文件，没有在电子交易平台传输提交响应文件的，响应无效；</w:t>
      </w:r>
      <w:r>
        <w:rPr>
          <w:rFonts w:hint="eastAsia" w:ascii="宋体" w:hAnsi="宋体" w:eastAsia="宋体" w:cs="宋体"/>
          <w:b/>
          <w:bCs/>
          <w:color w:val="auto"/>
          <w:szCs w:val="21"/>
          <w:highlight w:val="none"/>
        </w:rPr>
        <w:t>10）</w:t>
      </w:r>
      <w:r>
        <w:rPr>
          <w:rFonts w:hint="eastAsia" w:ascii="宋体" w:hAnsi="宋体" w:eastAsia="宋体" w:cs="宋体"/>
          <w:color w:val="auto"/>
          <w:szCs w:val="21"/>
          <w:highlight w:val="none"/>
        </w:rPr>
        <w:t>具体操作指南：详见政采云平台“服务中心-帮助文档-项目采购-操作流程-电子招投标-政府采购项目电子交易管理操作指南-投标人”。</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位负责人为同一人或者存在直接控股、管理关系的不同投标人，不得参加同一合同项下的政府采购活动；为采购项目提供整体设计、规范编制或者项目管理、监理、检测等服务后不得再参加该采购项目的其他采购活动。</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（4）本项目</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公告期限为本公告发布之日起5个工作日。 </w:t>
      </w:r>
    </w:p>
    <w:p>
      <w:pPr>
        <w:pageBreakBefore w:val="0"/>
        <w:widowControl/>
        <w:kinsoku/>
        <w:overflowPunct/>
        <w:topLinePunct w:val="0"/>
        <w:bidi w:val="0"/>
        <w:adjustRightInd w:val="0"/>
        <w:snapToGrid w:val="0"/>
        <w:spacing w:line="336"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pageBreakBefore w:val="0"/>
        <w:widowControl/>
        <w:kinsoku/>
        <w:overflowPunct/>
        <w:topLinePunct w:val="0"/>
        <w:bidi w:val="0"/>
        <w:adjustRightInd w:val="0"/>
        <w:snapToGrid w:val="0"/>
        <w:spacing w:line="336" w:lineRule="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七、对本次采购提出询问、质疑、投诉，请按以下方式联系</w:t>
      </w:r>
      <w:r>
        <w:rPr>
          <w:rFonts w:hint="eastAsia" w:ascii="宋体" w:hAnsi="宋体" w:eastAsia="宋体" w:cs="宋体"/>
          <w:color w:val="auto"/>
          <w:kern w:val="0"/>
          <w:szCs w:val="21"/>
          <w:highlight w:val="none"/>
        </w:rPr>
        <w:t>　　　　　　　　　　　　</w:t>
      </w:r>
    </w:p>
    <w:p>
      <w:pPr>
        <w:pageBreakBefore w:val="0"/>
        <w:widowControl/>
        <w:kinsoku/>
        <w:overflowPunct/>
        <w:topLinePunct w:val="0"/>
        <w:bidi w:val="0"/>
        <w:adjustRightInd w:val="0"/>
        <w:snapToGrid w:val="0"/>
        <w:spacing w:line="336"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1.采购人信息</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名称：浙江理工大学 </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地址：杭州</w:t>
      </w:r>
      <w:r>
        <w:rPr>
          <w:rFonts w:hint="eastAsia" w:ascii="宋体" w:hAnsi="宋体" w:eastAsia="宋体" w:cs="宋体"/>
          <w:color w:val="auto"/>
          <w:szCs w:val="21"/>
          <w:highlight w:val="none"/>
          <w:lang w:eastAsia="zh-CN"/>
        </w:rPr>
        <w:t>市</w:t>
      </w:r>
      <w:r>
        <w:rPr>
          <w:rFonts w:hint="eastAsia" w:ascii="宋体" w:hAnsi="宋体" w:eastAsia="宋体" w:cs="宋体"/>
          <w:color w:val="auto"/>
          <w:szCs w:val="21"/>
          <w:highlight w:val="none"/>
        </w:rPr>
        <w:t>钱塘区2号大街928号 </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项目联系人（询问）：</w:t>
      </w:r>
      <w:r>
        <w:rPr>
          <w:rFonts w:hint="eastAsia" w:ascii="宋体" w:hAnsi="宋体" w:eastAsia="宋体" w:cs="宋体"/>
          <w:color w:val="auto"/>
          <w:szCs w:val="21"/>
          <w:highlight w:val="none"/>
          <w:lang w:val="en-US" w:eastAsia="zh-CN"/>
        </w:rPr>
        <w:t>何</w:t>
      </w:r>
      <w:r>
        <w:rPr>
          <w:rFonts w:hint="eastAsia" w:ascii="宋体" w:hAnsi="宋体" w:eastAsia="宋体" w:cs="宋体"/>
          <w:color w:val="auto"/>
          <w:szCs w:val="21"/>
          <w:highlight w:val="none"/>
        </w:rPr>
        <w:t>老师</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项目联系方式（询问）：</w:t>
      </w:r>
      <w:r>
        <w:rPr>
          <w:rFonts w:hint="eastAsia" w:ascii="宋体" w:hAnsi="宋体" w:eastAsia="宋体" w:cs="宋体"/>
          <w:color w:val="auto"/>
          <w:szCs w:val="21"/>
          <w:highlight w:val="none"/>
          <w:lang w:val="en-US" w:eastAsia="zh-CN"/>
        </w:rPr>
        <w:t>0571-86843960</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质疑联系人：王老师</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质疑联系方式：0571-86843950</w:t>
      </w:r>
    </w:p>
    <w:p>
      <w:pPr>
        <w:pageBreakBefore w:val="0"/>
        <w:widowControl/>
        <w:kinsoku/>
        <w:overflowPunct/>
        <w:topLinePunct w:val="0"/>
        <w:bidi w:val="0"/>
        <w:adjustRightInd w:val="0"/>
        <w:snapToGrid w:val="0"/>
        <w:spacing w:line="336" w:lineRule="auto"/>
        <w:ind w:left="420" w:leftChars="100" w:hanging="210" w:hangingChars="100"/>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 </w:t>
      </w:r>
      <w:r>
        <w:rPr>
          <w:rFonts w:hint="eastAsia" w:ascii="宋体" w:hAnsi="宋体" w:eastAsia="宋体" w:cs="宋体"/>
          <w:b/>
          <w:bCs/>
          <w:color w:val="auto"/>
          <w:szCs w:val="21"/>
          <w:highlight w:val="none"/>
        </w:rPr>
        <w:t>2.采购代理机构信息</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名称：浙江国际招投标有限公司 　　　　　　　　　　　</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地址：杭州市文三路90号东部软件园1号楼3楼</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传真：0571-88473430</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项目联系人（询问）：刘磊、钱妍  　　　　　　　　　　　</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项目联系方式（询问）：0571-810618</w:t>
      </w:r>
      <w:r>
        <w:rPr>
          <w:rFonts w:hint="eastAsia" w:ascii="宋体" w:hAnsi="宋体" w:eastAsia="宋体" w:cs="宋体"/>
          <w:color w:val="auto"/>
          <w:szCs w:val="21"/>
          <w:highlight w:val="none"/>
          <w:lang w:val="en-US" w:eastAsia="zh-CN"/>
        </w:rPr>
        <w:t>10</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质疑联系人：王远南</w:t>
      </w:r>
    </w:p>
    <w:p>
      <w:pPr>
        <w:pageBreakBefore w:val="0"/>
        <w:widowControl/>
        <w:kinsoku/>
        <w:overflowPunct/>
        <w:topLinePunct w:val="0"/>
        <w:bidi w:val="0"/>
        <w:adjustRightInd w:val="0"/>
        <w:snapToGrid w:val="0"/>
        <w:spacing w:line="336" w:lineRule="auto"/>
        <w:ind w:left="420" w:leftChars="200"/>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质疑联系方式：0571-88473432　</w:t>
      </w:r>
      <w:r>
        <w:rPr>
          <w:rFonts w:hint="eastAsia" w:ascii="宋体" w:hAnsi="宋体" w:eastAsia="宋体" w:cs="宋体"/>
          <w:b/>
          <w:bCs/>
          <w:color w:val="auto"/>
          <w:szCs w:val="21"/>
          <w:highlight w:val="none"/>
        </w:rPr>
        <w:t xml:space="preserve">　　　　　　　　　　　　　　　　　　　　　 </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3.本项目预算金额未达100万元，由采购人处理采购争议。质疑环节，采购人委托采购代理机构处理的，可由采购代理机构答复。对质疑答复不满意的，向采购人内部设置的采购监督机构反映。</w:t>
      </w:r>
      <w:r>
        <w:rPr>
          <w:rFonts w:hint="eastAsia" w:ascii="宋体" w:hAnsi="宋体" w:eastAsia="宋体" w:cs="宋体"/>
          <w:color w:val="auto"/>
          <w:szCs w:val="21"/>
          <w:highlight w:val="none"/>
        </w:rPr>
        <w:t xml:space="preserve"> </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  称：浙江理工大学纪检监察室</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址：杭州市钱塘区2号大街928号</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联系人：潘老师</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监督投诉电话：0571-86843028</w:t>
      </w:r>
    </w:p>
    <w:p>
      <w:pPr>
        <w:pageBreakBefore w:val="0"/>
        <w:widowControl/>
        <w:kinsoku/>
        <w:overflowPunct/>
        <w:topLinePunct w:val="0"/>
        <w:bidi w:val="0"/>
        <w:adjustRightInd w:val="0"/>
        <w:snapToGrid w:val="0"/>
        <w:spacing w:line="336"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br w:type="textWrapping"/>
      </w:r>
      <w:r>
        <w:rPr>
          <w:rFonts w:hint="eastAsia" w:ascii="宋体" w:hAnsi="宋体" w:eastAsia="宋体" w:cs="宋体"/>
          <w:color w:val="auto"/>
          <w:kern w:val="0"/>
          <w:szCs w:val="21"/>
          <w:highlight w:val="none"/>
        </w:rPr>
        <w:t xml:space="preserve">    若对项目采购电子交易系统操作有疑问，可登录政采云（https://www.zcygov.cn/），点击右侧咨询小采，获取采小蜜智能服务管家帮助，或拨打政采云服务热线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获取热线服务帮助。</w:t>
      </w:r>
      <w:r>
        <w:rPr>
          <w:rFonts w:hint="eastAsia" w:ascii="宋体" w:hAnsi="宋体" w:eastAsia="宋体" w:cs="宋体"/>
          <w:color w:val="auto"/>
          <w:kern w:val="0"/>
          <w:szCs w:val="21"/>
          <w:highlight w:val="none"/>
        </w:rPr>
        <w:br w:type="textWrapping"/>
      </w:r>
      <w:r>
        <w:rPr>
          <w:rFonts w:hint="eastAsia" w:ascii="宋体" w:hAnsi="宋体" w:eastAsia="宋体" w:cs="宋体"/>
          <w:color w:val="auto"/>
          <w:kern w:val="0"/>
          <w:szCs w:val="21"/>
          <w:highlight w:val="none"/>
        </w:rPr>
        <w:t xml:space="preserve">    CA问题联系电话（人工）：汇信CA 400-888-4636；天谷CA 400-087-8198。</w:t>
      </w:r>
    </w:p>
    <w:p>
      <w:pPr>
        <w:pageBreakBefore w:val="0"/>
        <w:widowControl/>
        <w:kinsoku/>
        <w:overflowPunct/>
        <w:topLinePunct w:val="0"/>
        <w:bidi w:val="0"/>
        <w:adjustRightInd w:val="0"/>
        <w:snapToGrid w:val="0"/>
        <w:spacing w:line="336"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br w:type="page"/>
      </w:r>
    </w:p>
    <w:p>
      <w:pPr>
        <w:pageBreakBefore w:val="0"/>
        <w:widowControl/>
        <w:kinsoku/>
        <w:overflowPunct/>
        <w:topLinePunct w:val="0"/>
        <w:bidi w:val="0"/>
        <w:adjustRightInd w:val="0"/>
        <w:snapToGrid w:val="0"/>
        <w:spacing w:line="336" w:lineRule="auto"/>
        <w:jc w:val="center"/>
        <w:rPr>
          <w:rFonts w:hint="eastAsia" w:ascii="宋体" w:hAnsi="宋体" w:eastAsia="宋体" w:cs="宋体"/>
          <w:color w:val="auto"/>
          <w:kern w:val="0"/>
          <w:szCs w:val="21"/>
          <w:highlight w:val="none"/>
        </w:rPr>
      </w:pPr>
      <w:bookmarkStart w:id="2" w:name="_Toc20414"/>
      <w:bookmarkStart w:id="3" w:name="_Toc2187"/>
      <w:r>
        <w:rPr>
          <w:rFonts w:hint="eastAsia" w:ascii="宋体" w:hAnsi="宋体" w:eastAsia="宋体" w:cs="宋体"/>
          <w:b/>
          <w:color w:val="auto"/>
          <w:sz w:val="30"/>
          <w:szCs w:val="30"/>
          <w:highlight w:val="none"/>
        </w:rPr>
        <w:t>第二部分  投标须知</w:t>
      </w:r>
      <w:bookmarkEnd w:id="2"/>
      <w:bookmarkEnd w:id="3"/>
    </w:p>
    <w:p>
      <w:pPr>
        <w:pageBreakBefore w:val="0"/>
        <w:widowControl/>
        <w:kinsoku/>
        <w:overflowPunct/>
        <w:topLinePunct w:val="0"/>
        <w:bidi w:val="0"/>
        <w:adjustRightInd w:val="0"/>
        <w:snapToGrid w:val="0"/>
        <w:spacing w:line="336"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前 附 表</w:t>
      </w:r>
    </w:p>
    <w:tbl>
      <w:tblPr>
        <w:tblStyle w:val="4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36"/>
        <w:gridCol w:w="1539"/>
        <w:gridCol w:w="666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6" w:hRule="atLeast"/>
          <w:tblHeader/>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539"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   目</w:t>
            </w:r>
          </w:p>
        </w:tc>
        <w:tc>
          <w:tcPr>
            <w:tcW w:w="666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       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39"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66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浙江理工大学</w:t>
            </w:r>
            <w:r>
              <w:rPr>
                <w:rFonts w:hint="eastAsia" w:ascii="宋体" w:hAnsi="宋体" w:eastAsia="宋体" w:cs="宋体"/>
                <w:color w:val="auto"/>
                <w:sz w:val="21"/>
                <w:szCs w:val="21"/>
                <w:highlight w:val="none"/>
                <w:lang w:eastAsia="zh-CN"/>
              </w:rPr>
              <w:t>智安校园平台建设项目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39"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66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"javascript:void(0)" \o "ZJ-2223486"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ZJ-2420755</w:t>
            </w:r>
            <w:r>
              <w:rPr>
                <w:rFonts w:hint="eastAsia" w:ascii="宋体" w:hAnsi="宋体" w:eastAsia="宋体" w:cs="宋体"/>
                <w:color w:val="auto"/>
                <w:sz w:val="21"/>
                <w:szCs w:val="21"/>
                <w:highlight w:val="none"/>
              </w:rPr>
              <w:fldChar w:fldCharType="end"/>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39"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采购方式</w:t>
            </w:r>
          </w:p>
        </w:tc>
        <w:tc>
          <w:tcPr>
            <w:tcW w:w="666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公开招标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39"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交货地点</w:t>
            </w:r>
          </w:p>
        </w:tc>
        <w:tc>
          <w:tcPr>
            <w:tcW w:w="666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采购人指定地址</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项目属性与核心产品</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货物类，单一产品或核心产品为：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 w:val="0"/>
                <w:iCs w:val="0"/>
                <w:color w:val="auto"/>
                <w:kern w:val="0"/>
                <w:sz w:val="21"/>
                <w:szCs w:val="21"/>
                <w:highlight w:val="none"/>
                <w:u w:val="single"/>
                <w:lang w:val="en-US" w:eastAsia="zh-CN" w:bidi="ar"/>
              </w:rPr>
              <w:t>智能管理中心</w:t>
            </w:r>
            <w:r>
              <w:rPr>
                <w:rFonts w:hint="eastAsia" w:ascii="宋体" w:hAnsi="宋体" w:eastAsia="宋体" w:cs="宋体"/>
                <w:color w:val="auto"/>
                <w:sz w:val="21"/>
                <w:szCs w:val="21"/>
                <w:highlight w:val="none"/>
                <w:u w:val="single"/>
              </w:rPr>
              <w:t xml:space="preserve">。 </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提供相同品牌产品且通过资格审查、符合性审查的不同投标人参加同一合同项下投标的，按一家投标人计算（不足三家的时本项目废标），评审后综合得分最高的同品牌（含核心产品）投标人获得中标人推荐资格；综合得分相同时，投标报价最低的投标人获得中标供应商推荐资格；综合得分和投标报价均相同时，商务技术分最高的投标人获得中标供应商推荐资格；综合得分、投标报价、商务技术分均相同时，由评标委员会按少数服从多数的原则，集体决定；其他同品牌投标人不作为中标候选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4"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539" w:type="dxa"/>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w:t>
            </w:r>
          </w:p>
        </w:tc>
        <w:tc>
          <w:tcPr>
            <w:tcW w:w="6663" w:type="dxa"/>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财政资金。</w:t>
            </w:r>
          </w:p>
          <w:p>
            <w:pPr>
              <w:keepNext w:val="0"/>
              <w:keepLines w:val="0"/>
              <w:pageBreakBefore w:val="0"/>
              <w:widowControl/>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采购计划文号：</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"https://pay.zcygov.cn/purchaseplan_front/" \l "/plan/list/view?id=1000000000013216367&amp;_app_=zcy.procurement" \t "https://www.zcygov.cn/project-center/_procurement_/purchasePlans/_blank"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[2024]13280号、[2024]13279号、[2024]13281号、[2024]13282号</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539"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▲采购预算</w:t>
            </w:r>
          </w:p>
        </w:tc>
        <w:tc>
          <w:tcPr>
            <w:tcW w:w="666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预算金额为人民币</w:t>
            </w:r>
            <w:r>
              <w:rPr>
                <w:rFonts w:hint="eastAsia" w:ascii="宋体" w:hAnsi="宋体" w:eastAsia="宋体" w:cs="宋体"/>
                <w:color w:val="auto"/>
                <w:sz w:val="21"/>
                <w:szCs w:val="21"/>
                <w:highlight w:val="none"/>
                <w:lang w:val="en-US" w:eastAsia="zh-CN"/>
              </w:rPr>
              <w:t>96</w:t>
            </w:r>
            <w:r>
              <w:rPr>
                <w:rFonts w:hint="eastAsia" w:ascii="宋体" w:hAnsi="宋体" w:eastAsia="宋体" w:cs="宋体"/>
                <w:color w:val="auto"/>
                <w:sz w:val="21"/>
                <w:szCs w:val="21"/>
                <w:highlight w:val="none"/>
              </w:rPr>
              <w:t>万元，最高限价为人民币</w:t>
            </w:r>
            <w:r>
              <w:rPr>
                <w:rFonts w:hint="eastAsia" w:ascii="宋体" w:hAnsi="宋体" w:eastAsia="宋体" w:cs="宋体"/>
                <w:color w:val="auto"/>
                <w:sz w:val="21"/>
                <w:szCs w:val="21"/>
                <w:highlight w:val="none"/>
                <w:lang w:val="en-US" w:eastAsia="zh-CN"/>
              </w:rPr>
              <w:t>96</w:t>
            </w:r>
            <w:r>
              <w:rPr>
                <w:rFonts w:hint="eastAsia" w:ascii="宋体" w:hAnsi="宋体" w:eastAsia="宋体" w:cs="宋体"/>
                <w:color w:val="auto"/>
                <w:sz w:val="21"/>
                <w:szCs w:val="21"/>
                <w:highlight w:val="none"/>
              </w:rPr>
              <w:t>万元，超过最高限价的报价将作无效标处理。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采购标的对应的中小企业划分标准所属行业</w:t>
            </w:r>
          </w:p>
        </w:tc>
        <w:tc>
          <w:tcPr>
            <w:tcW w:w="6663"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本项目采购标的对应的</w:t>
            </w:r>
            <w:r>
              <w:rPr>
                <w:rFonts w:hint="eastAsia"/>
                <w:lang w:val="en-US" w:eastAsia="zh-CN"/>
              </w:rPr>
              <w:t>中小企业划分标准和</w:t>
            </w:r>
            <w:r>
              <w:rPr>
                <w:rFonts w:hint="eastAsia" w:ascii="宋体" w:hAnsi="宋体" w:eastAsia="宋体" w:cs="宋体"/>
                <w:color w:val="auto"/>
                <w:sz w:val="21"/>
                <w:szCs w:val="21"/>
                <w:highlight w:val="none"/>
              </w:rPr>
              <w:t>所属行业为：</w:t>
            </w:r>
            <w:r>
              <w:rPr>
                <w:rFonts w:hint="eastAsia" w:ascii="宋体" w:hAnsi="宋体" w:eastAsia="宋体" w:cs="宋体"/>
                <w:b/>
                <w:bCs/>
                <w:color w:val="auto"/>
                <w:sz w:val="21"/>
                <w:szCs w:val="21"/>
                <w:highlight w:val="none"/>
                <w:lang w:eastAsia="zh-CN"/>
              </w:rPr>
              <w:t>详见附件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是否允许采购进口产品</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0"/>
                <w:sz w:val="21"/>
                <w:szCs w:val="21"/>
                <w:highlight w:val="none"/>
              </w:rPr>
            </w:pPr>
            <w:sdt>
              <w:sdtPr>
                <w:rPr>
                  <w:rFonts w:hint="eastAsia" w:ascii="宋体" w:hAnsi="宋体" w:eastAsia="宋体" w:cs="宋体"/>
                  <w:color w:val="auto"/>
                  <w:kern w:val="0"/>
                  <w:sz w:val="21"/>
                  <w:szCs w:val="21"/>
                  <w:highlight w:val="none"/>
                </w:rPr>
                <w:id w:val="-1828425707"/>
                <w:showingPlcHdr/>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本项目不允许采购进口产品。</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52852824"/>
                <w:showingPlcHdr/>
              </w:sdtPr>
              <w:sdtEndPr>
                <w:rPr>
                  <w:rFonts w:hint="eastAsia" w:ascii="宋体" w:hAnsi="宋体" w:eastAsia="宋体" w:cs="宋体"/>
                  <w:color w:val="auto"/>
                  <w:kern w:val="0"/>
                  <w:sz w:val="21"/>
                  <w:szCs w:val="21"/>
                  <w:highlight w:val="none"/>
                </w:rPr>
              </w:sdtEndPr>
              <w:sdtContent/>
            </w:sdt>
            <w:r>
              <w:rPr>
                <w:rFonts w:hint="eastAsia" w:ascii="宋体" w:hAnsi="宋体" w:eastAsia="宋体" w:cs="宋体"/>
                <w:color w:val="auto"/>
                <w:kern w:val="0"/>
                <w:sz w:val="21"/>
                <w:szCs w:val="21"/>
                <w:highlight w:val="none"/>
              </w:rPr>
              <w:t>☐可以就采购进口产品。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分包</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同意将非主体、非关键性的</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培训</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工作分包。</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1276331357"/>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B</w:t>
            </w:r>
            <w:r>
              <w:rPr>
                <w:rFonts w:hint="eastAsia" w:ascii="宋体" w:hAnsi="宋体" w:eastAsia="宋体" w:cs="宋体"/>
                <w:color w:val="auto"/>
                <w:sz w:val="21"/>
                <w:szCs w:val="21"/>
                <w:highlight w:val="none"/>
              </w:rPr>
              <w:t>不同意分包。</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注：不得限制大中型企业向小微企业合理分包。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开标前答疑会或现场考察</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不组织。</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999802974"/>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B组织，</w:t>
            </w:r>
            <w:r>
              <w:rPr>
                <w:rFonts w:hint="eastAsia" w:ascii="宋体" w:hAnsi="宋体" w:eastAsia="宋体" w:cs="宋体"/>
                <w:color w:val="auto"/>
                <w:sz w:val="21"/>
                <w:szCs w:val="21"/>
                <w:highlight w:val="none"/>
              </w:rPr>
              <w:t>时间：,地点：，联系人：，联系方式：。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样品提供</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1639946486"/>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不要求提供。</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0"/>
                <w:sz w:val="21"/>
                <w:szCs w:val="21"/>
                <w:highlight w:val="none"/>
              </w:rPr>
            </w:pPr>
            <w:sdt>
              <w:sdtPr>
                <w:rPr>
                  <w:rFonts w:hint="eastAsia" w:ascii="宋体" w:hAnsi="宋体" w:eastAsia="宋体" w:cs="宋体"/>
                  <w:color w:val="auto"/>
                  <w:kern w:val="0"/>
                  <w:sz w:val="21"/>
                  <w:szCs w:val="21"/>
                  <w:highlight w:val="none"/>
                </w:rPr>
                <w:id w:val="1026831988"/>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B要求提供，</w:t>
            </w:r>
          </w:p>
          <w:p>
            <w:pPr>
              <w:keepNext w:val="0"/>
              <w:keepLines w:val="0"/>
              <w:pageBreakBefore w:val="0"/>
              <w:numPr>
                <w:ilvl w:val="0"/>
                <w:numId w:val="1"/>
              </w:numPr>
              <w:kinsoku/>
              <w:wordWrap/>
              <w:overflowPunct/>
              <w:topLinePunct w:val="0"/>
              <w:autoSpaceDE/>
              <w:autoSpaceDN/>
              <w:bidi w:val="0"/>
              <w:spacing w:before="0" w:beforeLines="20" w:after="0" w:afterLines="20" w:line="336" w:lineRule="auto"/>
              <w:ind w:left="42" w:leftChars="20" w:right="42" w:rightChars="2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28"/>
                <w:sz w:val="21"/>
                <w:szCs w:val="21"/>
                <w:highlight w:val="none"/>
              </w:rPr>
              <w:t>样品：/</w:t>
            </w:r>
            <w:r>
              <w:rPr>
                <w:rFonts w:hint="eastAsia" w:ascii="宋体" w:hAnsi="宋体" w:eastAsia="宋体" w:cs="宋体"/>
                <w:color w:val="auto"/>
                <w:kern w:val="0"/>
                <w:sz w:val="21"/>
                <w:szCs w:val="21"/>
                <w:highlight w:val="none"/>
              </w:rPr>
              <w:t>；</w:t>
            </w:r>
          </w:p>
          <w:p>
            <w:pPr>
              <w:keepNext w:val="0"/>
              <w:keepLines w:val="0"/>
              <w:pageBreakBefore w:val="0"/>
              <w:numPr>
                <w:ilvl w:val="0"/>
                <w:numId w:val="1"/>
              </w:numPr>
              <w:kinsoku/>
              <w:wordWrap/>
              <w:overflowPunct/>
              <w:topLinePunct w:val="0"/>
              <w:autoSpaceDE/>
              <w:autoSpaceDN/>
              <w:bidi w:val="0"/>
              <w:spacing w:before="0" w:beforeLines="20" w:after="0" w:afterLines="20" w:line="336" w:lineRule="auto"/>
              <w:ind w:left="42" w:leftChars="20" w:right="42" w:rightChars="2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28"/>
                <w:sz w:val="21"/>
                <w:szCs w:val="21"/>
                <w:highlight w:val="none"/>
              </w:rPr>
              <w:t>样品制作的标准和要求：</w:t>
            </w:r>
            <w:r>
              <w:rPr>
                <w:rFonts w:hint="eastAsia" w:ascii="宋体" w:hAnsi="宋体" w:eastAsia="宋体" w:cs="宋体"/>
                <w:color w:val="auto"/>
                <w:kern w:val="0"/>
                <w:sz w:val="21"/>
                <w:szCs w:val="21"/>
                <w:highlight w:val="none"/>
              </w:rPr>
              <w:t>；</w:t>
            </w:r>
          </w:p>
          <w:p>
            <w:pPr>
              <w:keepNext w:val="0"/>
              <w:keepLines w:val="0"/>
              <w:pageBreakBefore w:val="0"/>
              <w:numPr>
                <w:ilvl w:val="0"/>
                <w:numId w:val="1"/>
              </w:numPr>
              <w:kinsoku/>
              <w:wordWrap/>
              <w:overflowPunct/>
              <w:topLinePunct w:val="0"/>
              <w:autoSpaceDE/>
              <w:autoSpaceDN/>
              <w:bidi w:val="0"/>
              <w:spacing w:before="0" w:beforeLines="20" w:after="0" w:afterLines="20" w:line="336" w:lineRule="auto"/>
              <w:ind w:left="42" w:leftChars="20" w:right="42" w:rightChars="2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样品的评审方法以及评审标准</w:t>
            </w:r>
            <w:r>
              <w:rPr>
                <w:rFonts w:hint="eastAsia" w:ascii="宋体" w:hAnsi="宋体" w:eastAsia="宋体" w:cs="宋体"/>
                <w:snapToGrid w:val="0"/>
                <w:color w:val="auto"/>
                <w:kern w:val="28"/>
                <w:sz w:val="21"/>
                <w:szCs w:val="21"/>
                <w:highlight w:val="none"/>
              </w:rPr>
              <w:t>：详见</w:t>
            </w:r>
            <w:r>
              <w:rPr>
                <w:rFonts w:hint="eastAsia" w:ascii="宋体" w:hAnsi="宋体" w:eastAsia="宋体" w:cs="宋体"/>
                <w:color w:val="auto"/>
                <w:sz w:val="21"/>
                <w:szCs w:val="21"/>
                <w:highlight w:val="none"/>
                <w:u w:val="single"/>
              </w:rPr>
              <w:t>评标办法</w:t>
            </w:r>
            <w:r>
              <w:rPr>
                <w:rFonts w:hint="eastAsia" w:ascii="宋体" w:hAnsi="宋体" w:eastAsia="宋体" w:cs="宋体"/>
                <w:color w:val="auto"/>
                <w:kern w:val="0"/>
                <w:sz w:val="21"/>
                <w:szCs w:val="21"/>
                <w:highlight w:val="none"/>
              </w:rPr>
              <w:t>；</w:t>
            </w:r>
          </w:p>
          <w:p>
            <w:pPr>
              <w:keepNext w:val="0"/>
              <w:keepLines w:val="0"/>
              <w:pageBreakBefore w:val="0"/>
              <w:numPr>
                <w:ilvl w:val="0"/>
                <w:numId w:val="1"/>
              </w:numPr>
              <w:kinsoku/>
              <w:wordWrap/>
              <w:overflowPunct/>
              <w:topLinePunct w:val="0"/>
              <w:autoSpaceDE/>
              <w:autoSpaceDN/>
              <w:bidi w:val="0"/>
              <w:spacing w:before="0" w:beforeLines="20" w:after="0" w:afterLines="20" w:line="336" w:lineRule="auto"/>
              <w:ind w:left="42" w:leftChars="20" w:right="42" w:rightChars="2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是否需要随样品提交检测报告：</w:t>
            </w:r>
            <w:sdt>
              <w:sdtPr>
                <w:rPr>
                  <w:rFonts w:hint="eastAsia" w:ascii="宋体" w:hAnsi="宋体" w:eastAsia="宋体" w:cs="宋体"/>
                  <w:color w:val="auto"/>
                  <w:kern w:val="0"/>
                  <w:sz w:val="21"/>
                  <w:szCs w:val="21"/>
                  <w:highlight w:val="none"/>
                </w:rPr>
                <w:id w:val="1303421454"/>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否；</w:t>
            </w:r>
            <w:sdt>
              <w:sdtPr>
                <w:rPr>
                  <w:rFonts w:hint="eastAsia" w:ascii="宋体" w:hAnsi="宋体" w:eastAsia="宋体" w:cs="宋体"/>
                  <w:color w:val="auto"/>
                  <w:kern w:val="0"/>
                  <w:sz w:val="21"/>
                  <w:szCs w:val="21"/>
                  <w:highlight w:val="none"/>
                </w:rPr>
                <w:id w:val="1621728433"/>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是，检测机构的要求</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；检测内容</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w:t>
            </w:r>
          </w:p>
          <w:p>
            <w:pPr>
              <w:keepNext w:val="0"/>
              <w:keepLines w:val="0"/>
              <w:pageBreakBefore w:val="0"/>
              <w:numPr>
                <w:ilvl w:val="0"/>
                <w:numId w:val="1"/>
              </w:numPr>
              <w:kinsoku/>
              <w:wordWrap/>
              <w:overflowPunct/>
              <w:topLinePunct w:val="0"/>
              <w:autoSpaceDE/>
              <w:autoSpaceDN/>
              <w:bidi w:val="0"/>
              <w:spacing w:before="0" w:beforeLines="20" w:after="0" w:afterLines="20" w:line="336" w:lineRule="auto"/>
              <w:ind w:left="42" w:leftChars="20" w:right="42" w:rightChars="20" w:firstLine="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提供样品的时间：</w:t>
            </w:r>
            <w:r>
              <w:rPr>
                <w:rFonts w:hint="eastAsia" w:ascii="宋体" w:hAnsi="宋体" w:eastAsia="宋体" w:cs="宋体"/>
                <w:color w:val="auto"/>
                <w:kern w:val="0"/>
                <w:sz w:val="21"/>
                <w:szCs w:val="21"/>
                <w:highlight w:val="none"/>
              </w:rPr>
              <w:t>；地点：；联系人</w:t>
            </w:r>
            <w:r>
              <w:rPr>
                <w:rFonts w:hint="eastAsia" w:ascii="宋体" w:hAnsi="宋体" w:eastAsia="宋体" w:cs="宋体"/>
                <w:color w:val="auto"/>
                <w:sz w:val="21"/>
                <w:szCs w:val="21"/>
                <w:highlight w:val="none"/>
              </w:rPr>
              <w:t>：，</w:t>
            </w:r>
            <w:r>
              <w:rPr>
                <w:rFonts w:hint="eastAsia" w:ascii="宋体" w:hAnsi="宋体" w:eastAsia="宋体" w:cs="宋体"/>
                <w:color w:val="auto"/>
                <w:kern w:val="28"/>
                <w:sz w:val="21"/>
                <w:szCs w:val="21"/>
                <w:highlight w:val="none"/>
              </w:rPr>
              <w:t>联系电话：</w:t>
            </w:r>
            <w:r>
              <w:rPr>
                <w:rFonts w:hint="eastAsia" w:ascii="宋体" w:hAnsi="宋体" w:eastAsia="宋体" w:cs="宋体"/>
                <w:color w:val="auto"/>
                <w:sz w:val="21"/>
                <w:szCs w:val="21"/>
                <w:highlight w:val="none"/>
              </w:rPr>
              <w:t>。请投标人在上述时间内提供样品并按规定位置安装完毕。超过截止时间的，采购人或采购代理机构将不予接收，并将清场并封闭样品现场。</w:t>
            </w:r>
          </w:p>
          <w:p>
            <w:pPr>
              <w:keepNext w:val="0"/>
              <w:keepLines w:val="0"/>
              <w:pageBreakBefore w:val="0"/>
              <w:numPr>
                <w:ilvl w:val="0"/>
                <w:numId w:val="1"/>
              </w:numPr>
              <w:kinsoku/>
              <w:wordWrap/>
              <w:overflowPunct/>
              <w:topLinePunct w:val="0"/>
              <w:autoSpaceDE/>
              <w:autoSpaceDN/>
              <w:bidi w:val="0"/>
              <w:spacing w:before="0" w:beforeLines="20" w:after="0" w:afterLines="20" w:line="336" w:lineRule="auto"/>
              <w:ind w:left="42" w:leftChars="20" w:right="42" w:rightChars="20" w:firstLine="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keepNext w:val="0"/>
              <w:keepLines w:val="0"/>
              <w:pageBreakBefore w:val="0"/>
              <w:numPr>
                <w:ilvl w:val="0"/>
                <w:numId w:val="1"/>
              </w:numPr>
              <w:kinsoku/>
              <w:wordWrap/>
              <w:overflowPunct/>
              <w:topLinePunct w:val="0"/>
              <w:autoSpaceDE/>
              <w:autoSpaceDN/>
              <w:bidi w:val="0"/>
              <w:spacing w:before="0" w:beforeLines="20" w:after="0" w:afterLines="20" w:line="336" w:lineRule="auto"/>
              <w:ind w:left="42" w:leftChars="20" w:right="42" w:rightChars="2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制作、运输、安装和保管样品所发生的一切费用由投标人自理。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方案讲解演示</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1859348549"/>
              </w:sdtPr>
              <w:sdtEndPr>
                <w:rPr>
                  <w:rFonts w:hint="eastAsia" w:ascii="宋体" w:hAnsi="宋体" w:eastAsia="宋体" w:cs="宋体"/>
                  <w:color w:val="auto"/>
                  <w:kern w:val="0"/>
                  <w:sz w:val="21"/>
                  <w:szCs w:val="21"/>
                  <w:highlight w:val="none"/>
                </w:rPr>
              </w:sdtEndPr>
              <w:sdtContent>
                <w:sdt>
                  <w:sdtPr>
                    <w:rPr>
                      <w:rFonts w:hint="eastAsia" w:ascii="宋体" w:hAnsi="宋体" w:eastAsia="宋体" w:cs="宋体"/>
                      <w:color w:val="auto"/>
                      <w:kern w:val="0"/>
                      <w:sz w:val="21"/>
                      <w:szCs w:val="21"/>
                      <w:highlight w:val="none"/>
                    </w:rPr>
                    <w:id w:val="1090189668"/>
                  </w:sdtPr>
                  <w:sdtEndPr>
                    <w:rPr>
                      <w:rFonts w:hint="eastAsia" w:ascii="宋体" w:hAnsi="宋体" w:eastAsia="宋体" w:cs="宋体"/>
                      <w:color w:val="auto"/>
                      <w:kern w:val="0"/>
                      <w:sz w:val="21"/>
                      <w:szCs w:val="21"/>
                      <w:highlight w:val="none"/>
                    </w:rPr>
                  </w:sdtEndPr>
                  <w:sdtContent>
                    <w:sdt>
                      <w:sdtPr>
                        <w:rPr>
                          <w:rFonts w:hint="eastAsia" w:ascii="宋体" w:hAnsi="宋体" w:eastAsia="宋体" w:cs="宋体"/>
                          <w:color w:val="auto"/>
                          <w:kern w:val="0"/>
                          <w:sz w:val="21"/>
                          <w:szCs w:val="21"/>
                          <w:highlight w:val="none"/>
                        </w:rPr>
                        <w:id w:val="-417321132"/>
                      </w:sdtPr>
                      <w:sdtEndPr>
                        <w:rPr>
                          <w:rFonts w:hint="eastAsia" w:ascii="宋体" w:hAnsi="宋体" w:eastAsia="宋体" w:cs="宋体"/>
                          <w:color w:val="auto"/>
                          <w:kern w:val="0"/>
                          <w:sz w:val="21"/>
                          <w:szCs w:val="21"/>
                          <w:highlight w:val="none"/>
                        </w:rPr>
                      </w:sdtEndPr>
                      <w:sdtContent>
                        <w:sdt>
                          <w:sdtPr>
                            <w:rPr>
                              <w:rFonts w:hint="eastAsia" w:ascii="宋体" w:hAnsi="宋体" w:eastAsia="宋体" w:cs="宋体"/>
                              <w:color w:val="auto"/>
                              <w:kern w:val="0"/>
                              <w:sz w:val="21"/>
                              <w:szCs w:val="21"/>
                              <w:highlight w:val="none"/>
                            </w:rPr>
                            <w:id w:val="1400552261"/>
                            <w:showingPlcHdr/>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sdtContent>
                    </w:sdt>
                  </w:sdtContent>
                </w:sdt>
              </w:sdtContent>
            </w:sdt>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不组织。</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sdt>
              <w:sdtPr>
                <w:rPr>
                  <w:rFonts w:hint="eastAsia" w:ascii="宋体" w:hAnsi="宋体" w:eastAsia="宋体" w:cs="宋体"/>
                  <w:color w:val="auto"/>
                  <w:kern w:val="0"/>
                  <w:sz w:val="21"/>
                  <w:szCs w:val="21"/>
                  <w:highlight w:val="none"/>
                </w:rPr>
                <w:id w:val="1174071719"/>
              </w:sdtPr>
              <w:sdtEndPr>
                <w:rPr>
                  <w:rFonts w:hint="eastAsia" w:ascii="宋体" w:hAnsi="宋体" w:eastAsia="宋体" w:cs="宋体"/>
                  <w:color w:val="auto"/>
                  <w:kern w:val="0"/>
                  <w:sz w:val="21"/>
                  <w:szCs w:val="21"/>
                  <w:highlight w:val="none"/>
                </w:rPr>
              </w:sdtEndPr>
              <w:sdtContent>
                <w:sdt>
                  <w:sdtPr>
                    <w:rPr>
                      <w:rFonts w:hint="eastAsia" w:ascii="宋体" w:hAnsi="宋体" w:eastAsia="宋体" w:cs="宋体"/>
                      <w:color w:val="auto"/>
                      <w:kern w:val="0"/>
                      <w:sz w:val="21"/>
                      <w:szCs w:val="21"/>
                      <w:highlight w:val="none"/>
                    </w:rPr>
                    <w:id w:val="-368075500"/>
                  </w:sdtPr>
                  <w:sdtEndPr>
                    <w:rPr>
                      <w:rFonts w:hint="eastAsia" w:ascii="宋体" w:hAnsi="宋体" w:eastAsia="宋体" w:cs="宋体"/>
                      <w:color w:val="auto"/>
                      <w:kern w:val="0"/>
                      <w:sz w:val="21"/>
                      <w:szCs w:val="21"/>
                      <w:highlight w:val="none"/>
                    </w:rPr>
                  </w:sdtEndPr>
                  <w:sdtContent>
                    <w:sdt>
                      <w:sdtPr>
                        <w:rPr>
                          <w:rFonts w:hint="eastAsia" w:ascii="宋体" w:hAnsi="宋体" w:eastAsia="宋体" w:cs="宋体"/>
                          <w:color w:val="auto"/>
                          <w:kern w:val="0"/>
                          <w:sz w:val="21"/>
                          <w:szCs w:val="21"/>
                          <w:highlight w:val="none"/>
                        </w:rPr>
                        <w:id w:val="1400552261"/>
                        <w:showingPlcHdr/>
                      </w:sdtPr>
                      <w:sdtEndPr>
                        <w:rPr>
                          <w:rFonts w:hint="eastAsia" w:ascii="宋体" w:hAnsi="宋体" w:eastAsia="宋体" w:cs="宋体"/>
                          <w:color w:val="auto"/>
                          <w:kern w:val="0"/>
                          <w:sz w:val="21"/>
                          <w:szCs w:val="21"/>
                          <w:highlight w:val="none"/>
                        </w:rPr>
                      </w:sdtEndPr>
                      <w:sdtContent/>
                    </w:sdt>
                  </w:sdtContent>
                </w:sdt>
              </w:sdtContent>
            </w:sdt>
            <w:r>
              <w:rPr>
                <w:rFonts w:hint="eastAsia" w:ascii="宋体" w:hAnsi="宋体" w:eastAsia="宋体" w:cs="宋体"/>
                <w:color w:val="auto"/>
                <w:kern w:val="0"/>
                <w:sz w:val="21"/>
                <w:szCs w:val="21"/>
                <w:highlight w:val="none"/>
              </w:rPr>
              <w:t>B组织。</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（1）在评标时安排每个投标人进行方案讲解演示。每个投标人时间不超过</w:t>
            </w:r>
            <w:r>
              <w:rPr>
                <w:rFonts w:hint="eastAsia" w:ascii="宋体" w:hAnsi="宋体" w:eastAsia="宋体" w:cs="宋体"/>
                <w:color w:val="auto"/>
                <w:sz w:val="21"/>
                <w:szCs w:val="21"/>
                <w:highlight w:val="none"/>
                <w:u w:val="single"/>
              </w:rPr>
              <w:t>15</w:t>
            </w:r>
            <w:r>
              <w:rPr>
                <w:rFonts w:hint="eastAsia" w:ascii="宋体" w:hAnsi="宋体" w:eastAsia="宋体" w:cs="宋体"/>
                <w:color w:val="auto"/>
                <w:sz w:val="21"/>
                <w:szCs w:val="21"/>
                <w:highlight w:val="none"/>
              </w:rPr>
              <w:t>分钟，讲解次序以投标文件解密时间先后次序为准，讲解演示人员不超过</w:t>
            </w:r>
            <w:r>
              <w:rPr>
                <w:rFonts w:hint="eastAsia" w:ascii="宋体" w:hAnsi="宋体" w:eastAsia="宋体" w:cs="宋体"/>
                <w:color w:val="auto"/>
                <w:sz w:val="21"/>
                <w:szCs w:val="21"/>
                <w:highlight w:val="none"/>
                <w:u w:val="single"/>
              </w:rPr>
              <w:t>2</w:t>
            </w:r>
            <w:r>
              <w:rPr>
                <w:rFonts w:hint="eastAsia" w:ascii="宋体" w:hAnsi="宋体" w:eastAsia="宋体" w:cs="宋体"/>
                <w:color w:val="auto"/>
                <w:sz w:val="21"/>
                <w:szCs w:val="21"/>
                <w:highlight w:val="none"/>
              </w:rPr>
              <w:t>人。讲解演示结束后按要求解答评标委员会提问。</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（2）方案讲解演示可选择以下其中一种方式：</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392824671"/>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sz w:val="21"/>
                <w:szCs w:val="21"/>
                <w:highlight w:val="none"/>
              </w:rPr>
              <w:t>方式一：政采云平台在线讲解演示。政采云平台在线讲解需投标人根据政采云平台操作要求做好准备工作，提前完善软硬件配置环境。</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sz w:val="21"/>
                  <w:szCs w:val="21"/>
                  <w:highlight w:val="none"/>
                </w:rPr>
                <w:id w:val="-1337920974"/>
              </w:sdtPr>
              <w:sdtEndPr>
                <w:rPr>
                  <w:rFonts w:hint="eastAsia" w:ascii="宋体" w:hAnsi="宋体" w:eastAsia="宋体" w:cs="宋体"/>
                  <w:color w:val="auto"/>
                  <w:sz w:val="21"/>
                  <w:szCs w:val="21"/>
                  <w:highlight w:val="none"/>
                </w:rPr>
              </w:sdtEndPr>
              <w:sdtContent>
                <w:sdt>
                  <w:sdtPr>
                    <w:rPr>
                      <w:rFonts w:hint="eastAsia" w:ascii="宋体" w:hAnsi="宋体" w:eastAsia="宋体" w:cs="宋体"/>
                      <w:color w:val="auto"/>
                      <w:kern w:val="0"/>
                      <w:sz w:val="21"/>
                      <w:szCs w:val="21"/>
                      <w:highlight w:val="none"/>
                    </w:rPr>
                    <w:id w:val="1686017794"/>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sdtContent>
            </w:sdt>
            <w:r>
              <w:rPr>
                <w:rFonts w:hint="eastAsia" w:ascii="宋体" w:hAnsi="宋体" w:eastAsia="宋体" w:cs="宋体"/>
                <w:color w:val="auto"/>
                <w:sz w:val="21"/>
                <w:szCs w:val="21"/>
                <w:highlight w:val="none"/>
              </w:rPr>
              <w:t>方式二：采购代理机构现场讲解演示。现场讲解地点为</w:t>
            </w:r>
            <w:r>
              <w:rPr>
                <w:rFonts w:hint="eastAsia" w:ascii="宋体" w:hAnsi="宋体" w:eastAsia="宋体" w:cs="宋体"/>
                <w:color w:val="auto"/>
                <w:sz w:val="21"/>
                <w:szCs w:val="21"/>
                <w:highlight w:val="none"/>
                <w:u w:val="single"/>
              </w:rPr>
              <w:t>杭州市西湖区文三路90号东部软件园1号楼3楼</w:t>
            </w:r>
            <w:r>
              <w:rPr>
                <w:rFonts w:hint="eastAsia" w:ascii="宋体" w:hAnsi="宋体" w:eastAsia="宋体" w:cs="宋体"/>
                <w:color w:val="auto"/>
                <w:sz w:val="21"/>
                <w:szCs w:val="21"/>
                <w:highlight w:val="none"/>
              </w:rPr>
              <w:t>，讲解演示所用电脑等设备由投标人自备。现场讲解演示人员进场时提供讲解人员名单（加盖公章或授权代表签名）及身份证明，否则不得讲解演示。</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sdt>
              <w:sdtPr>
                <w:rPr>
                  <w:rFonts w:hint="eastAsia" w:ascii="宋体" w:hAnsi="宋体" w:eastAsia="宋体" w:cs="宋体"/>
                  <w:color w:val="auto"/>
                  <w:kern w:val="0"/>
                  <w:sz w:val="21"/>
                  <w:szCs w:val="21"/>
                  <w:highlight w:val="none"/>
                </w:rPr>
                <w:id w:val="-1709942226"/>
              </w:sdtPr>
              <w:sdtEndPr>
                <w:rPr>
                  <w:rFonts w:hint="eastAsia" w:ascii="宋体" w:hAnsi="宋体" w:eastAsia="宋体" w:cs="宋体"/>
                  <w:color w:val="auto"/>
                  <w:kern w:val="0"/>
                  <w:sz w:val="21"/>
                  <w:szCs w:val="21"/>
                  <w:highlight w:val="none"/>
                </w:rPr>
              </w:sdtEndPr>
              <w:sdtContent/>
            </w:sdt>
            <w:sdt>
              <w:sdtPr>
                <w:rPr>
                  <w:rFonts w:hint="eastAsia" w:ascii="宋体" w:hAnsi="宋体" w:eastAsia="宋体" w:cs="宋体"/>
                  <w:color w:val="auto"/>
                  <w:sz w:val="21"/>
                  <w:szCs w:val="21"/>
                  <w:highlight w:val="none"/>
                </w:rPr>
                <w:id w:val="-671494844"/>
              </w:sdtPr>
              <w:sdtEndPr>
                <w:rPr>
                  <w:rFonts w:hint="eastAsia" w:ascii="宋体" w:hAnsi="宋体" w:eastAsia="宋体" w:cs="宋体"/>
                  <w:color w:val="auto"/>
                  <w:sz w:val="21"/>
                  <w:szCs w:val="21"/>
                  <w:highlight w:val="none"/>
                </w:rPr>
              </w:sdtEndPr>
              <w:sdtContent>
                <w:sdt>
                  <w:sdtPr>
                    <w:rPr>
                      <w:rFonts w:hint="eastAsia" w:ascii="宋体" w:hAnsi="宋体" w:eastAsia="宋体" w:cs="宋体"/>
                      <w:color w:val="auto"/>
                      <w:kern w:val="0"/>
                      <w:sz w:val="21"/>
                      <w:szCs w:val="21"/>
                      <w:highlight w:val="none"/>
                    </w:rPr>
                    <w:id w:val="233978295"/>
                  </w:sdtPr>
                  <w:sdtEndPr>
                    <w:rPr>
                      <w:rFonts w:hint="eastAsia" w:ascii="宋体" w:hAnsi="宋体" w:eastAsia="宋体" w:cs="宋体"/>
                      <w:color w:val="auto"/>
                      <w:kern w:val="0"/>
                      <w:sz w:val="21"/>
                      <w:szCs w:val="21"/>
                      <w:highlight w:val="none"/>
                    </w:rPr>
                  </w:sdtEndPr>
                  <w:sdtContent>
                    <w:sdt>
                      <w:sdtPr>
                        <w:rPr>
                          <w:rFonts w:hint="eastAsia" w:ascii="宋体" w:hAnsi="宋体" w:eastAsia="宋体" w:cs="宋体"/>
                          <w:color w:val="auto"/>
                          <w:kern w:val="0"/>
                          <w:sz w:val="21"/>
                          <w:szCs w:val="21"/>
                          <w:highlight w:val="none"/>
                        </w:rPr>
                        <w:id w:val="-416102600"/>
                        <w:showingPlcHdr/>
                      </w:sdtPr>
                      <w:sdtEndPr>
                        <w:rPr>
                          <w:rFonts w:hint="eastAsia" w:ascii="宋体" w:hAnsi="宋体" w:eastAsia="宋体" w:cs="宋体"/>
                          <w:color w:val="auto"/>
                          <w:kern w:val="0"/>
                          <w:sz w:val="21"/>
                          <w:szCs w:val="21"/>
                          <w:highlight w:val="none"/>
                        </w:rPr>
                      </w:sdtEndPr>
                      <w:sdtContent/>
                    </w:sdt>
                  </w:sdtContent>
                </w:sdt>
              </w:sdtContent>
            </w:sdt>
            <w:r>
              <w:rPr>
                <w:rFonts w:hint="eastAsia" w:ascii="宋体" w:hAnsi="宋体" w:eastAsia="宋体" w:cs="宋体"/>
                <w:color w:val="auto"/>
                <w:sz w:val="21"/>
                <w:szCs w:val="21"/>
                <w:highlight w:val="none"/>
              </w:rPr>
              <w:t>方式三：采用“不见面”形式演示。投标人在投标截止时间前，递交自行录制的“音视频文件”，评标委员会在评审现场对其进行播放并以此作为与方案演示有关评审内容的评分依据。各投标人递交的音视频文件光盘或U盘中应有确保文件正常打开的播放器。</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注：因投标人自身原因导致无法演示或者演示效果不理想的，责任自负。因平台原因导致本项目方案讲解演示环节无法顺利开展，按照《浙江省政府采购项目电子交易管理暂行办法》相关规定执行</w:t>
            </w:r>
            <w:r>
              <w:rPr>
                <w:rFonts w:hint="eastAsia" w:ascii="宋体" w:hAnsi="宋体" w:eastAsia="宋体" w:cs="宋体"/>
                <w:color w:val="auto"/>
                <w:kern w:val="0"/>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6"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1539" w:type="dxa"/>
            <w:vMerge w:val="restart"/>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投标人应当提供的资格、资信证明文件</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（1）资格证明文件：见招标文件第二部分11.1。</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投标人未提供有效的资格证明文件的，视为投标人不具备招标文件中规定的资格要求，投标无效。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6"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p>
        </w:tc>
        <w:tc>
          <w:tcPr>
            <w:tcW w:w="1539" w:type="dxa"/>
            <w:vMerge w:val="continue"/>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b/>
                <w:color w:val="auto"/>
                <w:sz w:val="21"/>
                <w:szCs w:val="21"/>
                <w:highlight w:val="none"/>
              </w:rPr>
            </w:pP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（2）资信证明文件：根据招标文件第</w:t>
            </w:r>
            <w:r>
              <w:rPr>
                <w:rFonts w:hint="eastAsia" w:ascii="宋体" w:hAnsi="宋体" w:cs="宋体"/>
                <w:color w:val="auto"/>
                <w:sz w:val="21"/>
                <w:szCs w:val="21"/>
                <w:highlight w:val="none"/>
                <w:lang w:eastAsia="zh-CN"/>
              </w:rPr>
              <w:t>五</w:t>
            </w:r>
            <w:r>
              <w:rPr>
                <w:rFonts w:hint="eastAsia" w:ascii="宋体" w:hAnsi="宋体" w:eastAsia="宋体" w:cs="宋体"/>
                <w:color w:val="auto"/>
                <w:sz w:val="21"/>
                <w:szCs w:val="21"/>
                <w:highlight w:val="none"/>
              </w:rPr>
              <w:t>部分</w:t>
            </w:r>
            <w:r>
              <w:rPr>
                <w:rFonts w:hint="eastAsia" w:ascii="宋体" w:hAnsi="宋体" w:cs="宋体"/>
                <w:color w:val="auto"/>
                <w:sz w:val="21"/>
                <w:szCs w:val="21"/>
                <w:highlight w:val="none"/>
                <w:lang w:eastAsia="zh-CN"/>
              </w:rPr>
              <w:t>评标办法</w:t>
            </w:r>
            <w:r>
              <w:rPr>
                <w:rFonts w:hint="eastAsia" w:ascii="宋体" w:hAnsi="宋体" w:eastAsia="宋体" w:cs="宋体"/>
                <w:color w:val="auto"/>
                <w:sz w:val="21"/>
                <w:szCs w:val="21"/>
                <w:highlight w:val="none"/>
              </w:rPr>
              <w:t>提供。</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73"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color w:val="auto"/>
                <w:sz w:val="21"/>
                <w:szCs w:val="21"/>
                <w:highlight w:val="none"/>
              </w:rPr>
              <w:t>节能产品、环境标志产品</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采购人拟采购的产品（标的）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报价要求</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有关本项目实施所需的所有费用（含税费）均计入报价。</w:t>
            </w:r>
            <w:r>
              <w:rPr>
                <w:rFonts w:hint="eastAsia" w:ascii="宋体" w:hAnsi="宋体" w:eastAsia="宋体" w:cs="宋体"/>
                <w:b/>
                <w:bCs/>
                <w:color w:val="auto"/>
                <w:sz w:val="21"/>
                <w:szCs w:val="21"/>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zh-CN"/>
              </w:rPr>
              <w:t>投标文件中价格全部采用人民币报价。招标文件未列明，而投标人认为必需的费用也需列入报价。</w:t>
            </w:r>
          </w:p>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left"/>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投标报价出现下列情形的，投标无效：</w:t>
            </w:r>
          </w:p>
          <w:p>
            <w:pPr>
              <w:keepNext w:val="0"/>
              <w:keepLines w:val="0"/>
              <w:pageBreakBefore w:val="0"/>
              <w:numPr>
                <w:ilvl w:val="0"/>
                <w:numId w:val="2"/>
              </w:numPr>
              <w:kinsoku/>
              <w:wordWrap/>
              <w:overflowPunct/>
              <w:topLinePunct w:val="0"/>
              <w:autoSpaceDE/>
              <w:autoSpaceDN/>
              <w:bidi w:val="0"/>
              <w:spacing w:before="0" w:beforeLines="20" w:after="0" w:afterLines="20" w:line="336" w:lineRule="auto"/>
              <w:ind w:left="42" w:leftChars="20" w:right="42" w:rightChars="2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zh-CN"/>
              </w:rPr>
              <w:t>投标文件出现不是唯一的、有选择性投标报价的；</w:t>
            </w:r>
          </w:p>
          <w:p>
            <w:pPr>
              <w:keepNext w:val="0"/>
              <w:keepLines w:val="0"/>
              <w:pageBreakBefore w:val="0"/>
              <w:numPr>
                <w:ilvl w:val="0"/>
                <w:numId w:val="2"/>
              </w:numPr>
              <w:kinsoku/>
              <w:wordWrap/>
              <w:overflowPunct/>
              <w:topLinePunct w:val="0"/>
              <w:autoSpaceDE/>
              <w:autoSpaceDN/>
              <w:bidi w:val="0"/>
              <w:spacing w:before="0" w:beforeLines="20" w:after="0" w:afterLines="20" w:line="336" w:lineRule="auto"/>
              <w:ind w:left="42" w:leftChars="20" w:right="42" w:rightChars="2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zh-CN"/>
              </w:rPr>
              <w:t>投标报价超过招标文件中规定的预算金额或者最高限价的</w:t>
            </w:r>
            <w:r>
              <w:rPr>
                <w:rFonts w:hint="eastAsia" w:ascii="宋体" w:hAnsi="宋体" w:cs="宋体"/>
                <w:b/>
                <w:color w:val="auto"/>
                <w:kern w:val="0"/>
                <w:sz w:val="21"/>
                <w:szCs w:val="21"/>
                <w:highlight w:val="none"/>
                <w:lang w:val="zh-CN"/>
              </w:rPr>
              <w:t>；</w:t>
            </w:r>
          </w:p>
          <w:p>
            <w:pPr>
              <w:keepNext w:val="0"/>
              <w:keepLines w:val="0"/>
              <w:pageBreakBefore w:val="0"/>
              <w:numPr>
                <w:ilvl w:val="0"/>
                <w:numId w:val="2"/>
              </w:numPr>
              <w:kinsoku/>
              <w:wordWrap/>
              <w:overflowPunct/>
              <w:topLinePunct w:val="0"/>
              <w:autoSpaceDE/>
              <w:autoSpaceDN/>
              <w:bidi w:val="0"/>
              <w:spacing w:before="0" w:beforeLines="20" w:after="0" w:afterLines="20" w:line="336" w:lineRule="auto"/>
              <w:ind w:left="42" w:leftChars="20" w:right="42" w:rightChars="2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1"/>
                <w:szCs w:val="21"/>
                <w:highlight w:val="none"/>
                <w:lang w:eastAsia="zh-CN"/>
              </w:rPr>
              <w:t>；</w:t>
            </w:r>
          </w:p>
          <w:p>
            <w:pPr>
              <w:keepNext w:val="0"/>
              <w:keepLines w:val="0"/>
              <w:pageBreakBefore w:val="0"/>
              <w:numPr>
                <w:ilvl w:val="0"/>
                <w:numId w:val="2"/>
              </w:numPr>
              <w:kinsoku/>
              <w:wordWrap/>
              <w:overflowPunct/>
              <w:topLinePunct w:val="0"/>
              <w:autoSpaceDE/>
              <w:autoSpaceDN/>
              <w:bidi w:val="0"/>
              <w:spacing w:before="0" w:beforeLines="20" w:after="0" w:afterLines="20" w:line="336" w:lineRule="auto"/>
              <w:ind w:left="42" w:leftChars="20" w:right="42" w:rightChars="20" w:firstLine="0"/>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投标人对根据修正原则修正后的报价不确认的。</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中小企业信用融资</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28"/>
                <w:sz w:val="21"/>
                <w:szCs w:val="21"/>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05"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备份投标文件送达地点和签收人员 </w:t>
            </w:r>
          </w:p>
        </w:tc>
        <w:tc>
          <w:tcPr>
            <w:tcW w:w="6663" w:type="dxa"/>
            <w:noWrap w:val="0"/>
            <w:vAlign w:val="center"/>
          </w:tcPr>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备份投标文件送达地点：</w:t>
            </w:r>
            <w:r>
              <w:rPr>
                <w:rFonts w:hint="eastAsia" w:ascii="宋体" w:hAnsi="宋体" w:eastAsia="宋体" w:cs="宋体"/>
                <w:color w:val="auto"/>
                <w:sz w:val="21"/>
                <w:szCs w:val="21"/>
                <w:highlight w:val="none"/>
                <w:u w:val="single"/>
              </w:rPr>
              <w:t>杭州市文三路90号东部软件园1号楼3楼</w:t>
            </w:r>
            <w:r>
              <w:rPr>
                <w:rFonts w:hint="eastAsia" w:ascii="宋体" w:hAnsi="宋体" w:eastAsia="宋体" w:cs="宋体"/>
                <w:color w:val="auto"/>
                <w:sz w:val="21"/>
                <w:szCs w:val="21"/>
                <w:highlight w:val="none"/>
                <w:u w:val="single"/>
                <w:lang w:val="en-US" w:eastAsia="zh-CN"/>
              </w:rPr>
              <w:t>303</w:t>
            </w:r>
            <w:r>
              <w:rPr>
                <w:rFonts w:hint="eastAsia" w:ascii="宋体" w:hAnsi="宋体" w:eastAsia="宋体" w:cs="宋体"/>
                <w:color w:val="auto"/>
                <w:sz w:val="21"/>
                <w:szCs w:val="21"/>
                <w:highlight w:val="none"/>
                <w:u w:val="single"/>
              </w:rPr>
              <w:t>室</w:t>
            </w:r>
            <w:r>
              <w:rPr>
                <w:rFonts w:hint="eastAsia" w:ascii="宋体" w:hAnsi="宋体" w:eastAsia="宋体" w:cs="宋体"/>
                <w:color w:val="auto"/>
                <w:kern w:val="28"/>
                <w:sz w:val="21"/>
                <w:szCs w:val="21"/>
                <w:highlight w:val="none"/>
              </w:rPr>
              <w:t>；</w:t>
            </w:r>
          </w:p>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8"/>
                <w:sz w:val="21"/>
                <w:szCs w:val="21"/>
                <w:highlight w:val="none"/>
              </w:rPr>
              <w:t>备份投标文件签收联系人：</w:t>
            </w:r>
            <w:r>
              <w:rPr>
                <w:rFonts w:hint="eastAsia" w:ascii="宋体" w:hAnsi="宋体" w:eastAsia="宋体" w:cs="宋体"/>
                <w:color w:val="auto"/>
                <w:kern w:val="28"/>
                <w:sz w:val="21"/>
                <w:szCs w:val="21"/>
                <w:highlight w:val="none"/>
                <w:u w:val="single"/>
                <w:lang w:eastAsia="zh-CN"/>
              </w:rPr>
              <w:t>钱</w:t>
            </w:r>
            <w:r>
              <w:rPr>
                <w:rFonts w:hint="eastAsia" w:ascii="宋体" w:hAnsi="宋体" w:eastAsia="宋体" w:cs="宋体"/>
                <w:color w:val="auto"/>
                <w:kern w:val="28"/>
                <w:sz w:val="21"/>
                <w:szCs w:val="21"/>
                <w:highlight w:val="none"/>
                <w:u w:val="single"/>
                <w:lang w:val="en-US" w:eastAsia="zh-CN"/>
              </w:rPr>
              <w:t xml:space="preserve"> </w:t>
            </w:r>
            <w:r>
              <w:rPr>
                <w:rFonts w:hint="eastAsia" w:ascii="宋体" w:hAnsi="宋体" w:eastAsia="宋体" w:cs="宋体"/>
                <w:color w:val="auto"/>
                <w:kern w:val="28"/>
                <w:sz w:val="21"/>
                <w:szCs w:val="21"/>
                <w:highlight w:val="none"/>
                <w:u w:val="single"/>
                <w:lang w:eastAsia="zh-CN"/>
              </w:rPr>
              <w:t>妍</w:t>
            </w:r>
            <w:r>
              <w:rPr>
                <w:rFonts w:hint="eastAsia" w:ascii="宋体" w:hAnsi="宋体" w:eastAsia="宋体" w:cs="宋体"/>
                <w:color w:val="auto"/>
                <w:kern w:val="28"/>
                <w:sz w:val="21"/>
                <w:szCs w:val="21"/>
                <w:highlight w:val="none"/>
              </w:rPr>
              <w:t>；联系电话：</w:t>
            </w:r>
            <w:r>
              <w:rPr>
                <w:rFonts w:hint="eastAsia" w:ascii="宋体" w:hAnsi="宋体" w:eastAsia="宋体" w:cs="宋体"/>
                <w:color w:val="auto"/>
                <w:sz w:val="21"/>
                <w:szCs w:val="21"/>
                <w:highlight w:val="none"/>
                <w:u w:val="single"/>
              </w:rPr>
              <w:t xml:space="preserve"> 0571-8106</w:t>
            </w:r>
            <w:r>
              <w:rPr>
                <w:rFonts w:hint="eastAsia" w:ascii="宋体" w:hAnsi="宋体" w:eastAsia="宋体" w:cs="宋体"/>
                <w:color w:val="auto"/>
                <w:sz w:val="21"/>
                <w:szCs w:val="21"/>
                <w:highlight w:val="none"/>
                <w:u w:val="single"/>
                <w:lang w:val="en-US" w:eastAsia="zh-CN"/>
              </w:rPr>
              <w:t>1810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采购人、采购代理机构不强制或变相强制投标人提交备份投标文件。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76"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1539"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采购代理服务费</w:t>
            </w:r>
          </w:p>
        </w:tc>
        <w:tc>
          <w:tcPr>
            <w:tcW w:w="666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本项目的采购代理费由中标人支付。</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服务费以每标项中标（成交）金额为计费基准，按原国家计委（计价格[2002]1980号）文件收费标准的70%收取，采购代理服务费不足2000元的，以2000元计收取；对于单个标项采购在200万元人民币以上的项目，一律按200万元人民币为收费基数收取采购代理服务费。</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2.结算方式及时间为：中标人在中标通知书发出后七个工作日内，向采购代理机构交纳代理服务费，缴纳至如下账号：</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（1）收 款 人：浙江国际招投标有限公司</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（2）开户银行：中国工商银行杭州武林支行</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（3）账    号：1202 0212 0990 6782 015</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中标供应商放弃中标资格导致重新采购的，应当承担支付代理费和专家评审费等费用在内的赔偿责任。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6"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539"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联合体投标说明</w:t>
            </w:r>
          </w:p>
        </w:tc>
        <w:tc>
          <w:tcPr>
            <w:tcW w:w="6663" w:type="dxa"/>
            <w:noWrap w:val="0"/>
            <w:vAlign w:val="center"/>
          </w:tcPr>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业绩证明材料</w:t>
            </w:r>
          </w:p>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☐联合体投标的，按联合体协议约定的分工内容出具相应的业绩证明材料。承担相同工作的各方或工作内容存在部 分相同的，业绩数量以提供材料较少的一方为准。</w:t>
            </w:r>
          </w:p>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28"/>
                <w:sz w:val="21"/>
                <w:szCs w:val="21"/>
                <w:highlight w:val="none"/>
              </w:rPr>
            </w:pP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28"/>
                <w:sz w:val="21"/>
                <w:szCs w:val="21"/>
                <w:highlight w:val="none"/>
              </w:rPr>
              <w:t>联合体投标的，由联合体牵头方出具相应的业绩证明材料。</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8"/>
                <w:sz w:val="21"/>
                <w:szCs w:val="21"/>
                <w:highlight w:val="none"/>
              </w:rPr>
              <w:t>☐其他规定：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6"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p>
        </w:tc>
        <w:tc>
          <w:tcPr>
            <w:tcW w:w="1539"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p>
        </w:tc>
        <w:tc>
          <w:tcPr>
            <w:tcW w:w="6663" w:type="dxa"/>
            <w:noWrap w:val="0"/>
            <w:vAlign w:val="center"/>
          </w:tcPr>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其他资信证明材料</w:t>
            </w:r>
          </w:p>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☐联合体投标的，联合体各方均需按招标文件第四部分评标标准要求提供资信证明文件，否则视为不符合相关要求。</w:t>
            </w:r>
          </w:p>
          <w:p>
            <w:pPr>
              <w:pStyle w:val="25"/>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kern w:val="28"/>
                <w:sz w:val="21"/>
                <w:szCs w:val="21"/>
                <w:highlight w:val="none"/>
              </w:rPr>
            </w:pP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28"/>
                <w:sz w:val="21"/>
                <w:szCs w:val="21"/>
                <w:highlight w:val="none"/>
              </w:rPr>
              <w:t>联合体投标的，联合体牵头方或者联合体成员根据分工按招标文件第四部分评标标准要求提供资信证明文件的，视为符合了相关要求。</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8"/>
                <w:sz w:val="21"/>
                <w:szCs w:val="21"/>
                <w:highlight w:val="none"/>
              </w:rPr>
              <w:t>☐其他规定：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6"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539"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特别说明</w:t>
            </w:r>
          </w:p>
        </w:tc>
        <w:tc>
          <w:tcPr>
            <w:tcW w:w="6663" w:type="dxa"/>
            <w:noWrap w:val="0"/>
            <w:vAlign w:val="center"/>
          </w:tcPr>
          <w:p>
            <w:pPr>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snapToGrid w:val="0"/>
                <w:color w:val="auto"/>
                <w:kern w:val="28"/>
                <w:sz w:val="21"/>
                <w:szCs w:val="21"/>
                <w:highlight w:val="none"/>
                <w:u w:val="single"/>
              </w:rPr>
            </w:pPr>
            <w:r>
              <w:rPr>
                <w:rFonts w:hint="eastAsia" w:ascii="宋体" w:hAnsi="宋体" w:eastAsia="宋体" w:cs="宋体"/>
                <w:color w:val="auto"/>
                <w:kern w:val="28"/>
                <w:sz w:val="21"/>
                <w:szCs w:val="21"/>
                <w:highlight w:val="none"/>
              </w:rPr>
              <w:t>☐</w:t>
            </w:r>
            <w:r>
              <w:rPr>
                <w:rFonts w:hint="eastAsia" w:ascii="宋体" w:hAnsi="宋体" w:eastAsia="宋体" w:cs="宋体"/>
                <w:snapToGrid w:val="0"/>
                <w:color w:val="auto"/>
                <w:kern w:val="28"/>
                <w:sz w:val="21"/>
                <w:szCs w:val="21"/>
                <w:highlight w:val="none"/>
              </w:rPr>
              <w:t>有</w:t>
            </w:r>
          </w:p>
          <w:p>
            <w:pPr>
              <w:pStyle w:val="19"/>
              <w:keepNext w:val="0"/>
              <w:keepLines w:val="0"/>
              <w:pageBreakBefore w:val="0"/>
              <w:kinsoku/>
              <w:wordWrap/>
              <w:overflowPunct/>
              <w:topLinePunct w:val="0"/>
              <w:autoSpaceDE/>
              <w:autoSpaceDN/>
              <w:bidi w:val="0"/>
              <w:spacing w:before="0" w:beforeLines="20" w:after="0" w:afterLines="20" w:line="336" w:lineRule="auto"/>
              <w:ind w:left="42" w:leftChars="20" w:right="42" w:rightChars="2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28"/>
                <w:sz w:val="21"/>
                <w:szCs w:val="21"/>
                <w:highlight w:val="none"/>
              </w:rPr>
              <w:t>无</w:t>
            </w:r>
            <w:r>
              <w:rPr>
                <w:rFonts w:hint="eastAsia" w:ascii="宋体" w:hAnsi="宋体" w:eastAsia="宋体" w:cs="宋体"/>
                <w:b/>
                <w:color w:val="auto"/>
                <w:kern w:val="0"/>
                <w:sz w:val="21"/>
                <w:szCs w:val="21"/>
                <w:highlight w:val="none"/>
              </w:rPr>
              <w:t>。</w:t>
            </w:r>
          </w:p>
        </w:tc>
      </w:tr>
    </w:tbl>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注：以上内容如有变化将另行公告通知。如通知其中某一内容发生变化，其余未提及的将不作变动。</w:t>
      </w:r>
      <w:bookmarkStart w:id="4" w:name="_Toc251566649"/>
      <w:bookmarkStart w:id="5" w:name="_Toc240450076"/>
    </w:p>
    <w:p>
      <w:pPr>
        <w:pageBreakBefore w:val="0"/>
        <w:kinsoku/>
        <w:overflowPunct/>
        <w:topLinePunct w:val="0"/>
        <w:bidi w:val="0"/>
        <w:adjustRightInd w:val="0"/>
        <w:snapToGrid w:val="0"/>
        <w:spacing w:before="120" w:beforeLines="50" w:after="120" w:afterLines="50" w:line="336" w:lineRule="auto"/>
        <w:jc w:val="center"/>
        <w:outlineLvl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bookmarkEnd w:id="4"/>
      <w:bookmarkEnd w:id="5"/>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一、总则</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适用范围</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本招标文件适用于该项目的招标、投标、开标、资格审查及信用信息查询、评标、定标、合同、验收等行为（法律、法规另有规定的，从其规定）。</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定义</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“采购人”系指招标公告中载明的本项目的采购人。</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“采购代理机构”系指招标公告中载明的本项目的采购代理机构。</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“投标人”系指响应招标、参加投标竞争的法人、其他组织或者自然人。</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“负责人”系指法人企业的法定负责人，或其他组织为法律、行政法规规定代表单位行使职权的主要负责人，或自然人本人。</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“电子交易平台”是指本项目政府采购活动所依托的政府采购云平台（https://www.zcygov.cn/）。</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“▲”系指实质性要求条款，“■”或“</w:t>
      </w:r>
      <w:sdt>
        <w:sdtPr>
          <w:rPr>
            <w:rFonts w:hint="eastAsia" w:ascii="宋体" w:hAnsi="宋体" w:eastAsia="宋体" w:cs="宋体"/>
            <w:b/>
            <w:bCs/>
            <w:color w:val="auto"/>
            <w:kern w:val="0"/>
            <w:sz w:val="21"/>
            <w:szCs w:val="21"/>
            <w:highlight w:val="none"/>
          </w:rPr>
          <w:id w:val="512970236"/>
          <w14:checkbox>
            <w14:checked w14:val="1"/>
            <w14:checkedState w14:val="00FE" w14:font="Wingdings"/>
            <w14:uncheckedState w14:val="2610" w14:font="MS Gothic"/>
          </w14:checkbox>
        </w:sdtPr>
        <w:sdtEndPr>
          <w:rPr>
            <w:rFonts w:hint="eastAsia" w:ascii="宋体" w:hAnsi="宋体" w:eastAsia="宋体" w:cs="宋体"/>
            <w:b/>
            <w:bCs/>
            <w:color w:val="auto"/>
            <w:kern w:val="0"/>
            <w:sz w:val="21"/>
            <w:szCs w:val="21"/>
            <w:highlight w:val="none"/>
          </w:rPr>
        </w:sdtEndPr>
        <w:sdtContent>
          <w:r>
            <w:rPr>
              <w:rFonts w:hint="eastAsia" w:ascii="Wingdings" w:hAnsi="Wingdings" w:eastAsia="宋体" w:cs="宋体"/>
              <w:b/>
              <w:bCs/>
              <w:color w:val="auto"/>
              <w:kern w:val="0"/>
              <w:sz w:val="21"/>
              <w:szCs w:val="21"/>
              <w:highlight w:val="none"/>
              <w:lang w:val="en-US" w:eastAsia="zh-CN" w:bidi="ar-SA"/>
            </w:rPr>
            <w:t>þ</w:t>
          </w:r>
        </w:sdtContent>
      </w:sdt>
      <w:r>
        <w:rPr>
          <w:rFonts w:hint="eastAsia" w:ascii="宋体" w:hAnsi="宋体" w:eastAsia="宋体" w:cs="宋体"/>
          <w:color w:val="auto"/>
          <w:sz w:val="21"/>
          <w:szCs w:val="21"/>
          <w:highlight w:val="none"/>
        </w:rPr>
        <w:t>”系指适用本项目的要求，“</w:t>
      </w:r>
      <w:sdt>
        <w:sdtPr>
          <w:rPr>
            <w:rFonts w:hint="eastAsia" w:ascii="宋体" w:hAnsi="宋体" w:eastAsia="宋体" w:cs="宋体"/>
            <w:color w:val="auto"/>
            <w:kern w:val="0"/>
            <w:sz w:val="21"/>
            <w:szCs w:val="21"/>
            <w:highlight w:val="none"/>
          </w:rPr>
          <w:id w:val="404888855"/>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sz w:val="21"/>
          <w:szCs w:val="21"/>
          <w:highlight w:val="none"/>
        </w:rPr>
        <w:t>”系指不适用本项目的要求。</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采购项目需要落实的政府采购政策</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支持绿色发展</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采购人拟采购的产品属于政府强制采购的节能产品品目清单范围的，投标人未按招标文件要求提供国家确定的认证机构出具的、处于有效期之内的节能产品认证证书的，投标无效。</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助力打好污染防治攻坚战，推广使用绿色包装，涉及商品包装和快递包装的，供应商提供产品及相关快递服务的具体包装要求要参考《商品包装政府采购需求标准（试行）》、《快递包装政府采购需求标准（试行）》。</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鼓励供应商开展绿色设计、选择绿色材料、打造绿色制造工艺、开展绿色运输、做好废弃产品回收处理，实现产品全周期的绿色环保。</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支持中小企业发展</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符合中小企业划分标准的个体工商户，在政府采购活动中视同中小企业。</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以联合体形式参加政府采购活动，联合体各方均为中小企业的，联合体视同中小企业。其中，联合体各方均为小微企业的，联合体视同小微企业。</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对于未预留份额专门面向中小企业的政府采购货物项目，以及预留份额政府采购货物项目中的非预留部分标项，对小型和微型企业的投标报价给予</w:t>
      </w:r>
      <w:r>
        <w:rPr>
          <w:rFonts w:hint="eastAsia" w:ascii="宋体" w:hAnsi="宋体" w:eastAsia="宋体" w:cs="宋体"/>
          <w:b/>
          <w:bCs/>
          <w:color w:val="auto"/>
          <w:sz w:val="21"/>
          <w:szCs w:val="21"/>
          <w:highlight w:val="none"/>
        </w:rPr>
        <w:t>10%</w:t>
      </w:r>
      <w:r>
        <w:rPr>
          <w:rFonts w:hint="eastAsia" w:ascii="宋体" w:hAnsi="宋体" w:eastAsia="宋体" w:cs="宋体"/>
          <w:color w:val="auto"/>
          <w:sz w:val="21"/>
          <w:szCs w:val="21"/>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eastAsia="宋体" w:cs="宋体"/>
          <w:b/>
          <w:bCs/>
          <w:color w:val="auto"/>
          <w:sz w:val="21"/>
          <w:szCs w:val="21"/>
          <w:highlight w:val="none"/>
        </w:rPr>
        <w:t>4%</w:t>
      </w:r>
      <w:r>
        <w:rPr>
          <w:rFonts w:hint="eastAsia" w:ascii="宋体" w:hAnsi="宋体" w:eastAsia="宋体" w:cs="宋体"/>
          <w:color w:val="auto"/>
          <w:sz w:val="21"/>
          <w:szCs w:val="21"/>
          <w:highlight w:val="none"/>
        </w:rPr>
        <w:t>的扣除，用扣除后的价格参加评审。组成联合体或者接受分包的小微企业与联合体内其他企业、分包企业之间存在直接控股、管理关系的，不享受价格扣除优惠政策。（本项目不适用）</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符合《关于促进残疾人就业政府采购政策的通知》（财库〔2017〕141号）规定的条件并提供《残疾人福利性单位声明函》（附件1）的残疾人福利性单位视同小型、微型企业；</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中小企业享受扶持政策获得政府采购合同的，小微企业不得将合同分包给大中型企业，中型企业不得将合同分包给大型企业。</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支持创新发展</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采购人优先采购被认定为首台套产品和“制造精品”的自主创新产品。</w:t>
      </w:r>
    </w:p>
    <w:p>
      <w:pPr>
        <w:keepNext w:val="0"/>
        <w:keepLines w:val="0"/>
        <w:pageBreakBefore w:val="0"/>
        <w:numPr>
          <w:ilvl w:val="2"/>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numPr>
          <w:ilvl w:val="1"/>
          <w:numId w:val="3"/>
        </w:numPr>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平等对待内外资企业和符合条件的破产重整企业</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平等对待内外资企业和符合条件的破产重整企业，切实保障企业公平竞争，平等维护企业的合法利益。</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询问、质疑、投诉</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在线询问、质疑、投诉</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供应商询问</w:t>
      </w:r>
    </w:p>
    <w:p>
      <w:pPr>
        <w:keepNext w:val="0"/>
        <w:keepLines w:val="0"/>
        <w:pageBreakBefore w:val="0"/>
        <w:kinsoku/>
        <w:wordWrap/>
        <w:overflowPunct/>
        <w:topLinePunct w:val="0"/>
        <w:autoSpaceDE w:val="0"/>
        <w:autoSpaceDN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供应商质疑</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提出质疑的供应商应当是参与所质疑项目采购活动的供应商。潜在供应商已依法获取其可质疑的招标文件的，可以对该文件提出质疑。</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对招标文件提出质疑的，质疑期限为供应商获得招标文件之日或者招标文件公告期限届满之日起计算。</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对采购过程提出质疑的，质疑期限为各采购程序环节结束之日起计算。</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对采购结果提出质疑的，质疑期限自采购结果公告期限届满之日起计算。</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供应商提出质疑应当提交质疑函和必要的证明材料。质疑函应当包括下列内容：</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供应商的姓名或者名称、地址、邮编、联系人及联系电话；</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质疑项目的名称、编号；</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具体、明确的质疑事项和与质疑事项相关的请求；</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事实依据；</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必要的法律依据；</w:t>
      </w:r>
    </w:p>
    <w:p>
      <w:pPr>
        <w:keepNext w:val="0"/>
        <w:keepLines w:val="0"/>
        <w:pageBreakBefore w:val="0"/>
        <w:numPr>
          <w:ilvl w:val="3"/>
          <w:numId w:val="3"/>
        </w:numPr>
        <w:tabs>
          <w:tab w:val="left" w:pos="210"/>
          <w:tab w:val="left" w:pos="105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提出质疑的日期。</w:t>
      </w:r>
    </w:p>
    <w:p>
      <w:pPr>
        <w:keepNext w:val="0"/>
        <w:keepLines w:val="0"/>
        <w:pageBreakBefore w:val="0"/>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质疑函范本及制作说明详见附件2。</w:t>
      </w:r>
    </w:p>
    <w:p>
      <w:pPr>
        <w:keepNext w:val="0"/>
        <w:keepLines w:val="0"/>
        <w:pageBreakBefore w:val="0"/>
        <w:numPr>
          <w:ilvl w:val="2"/>
          <w:numId w:val="3"/>
        </w:numPr>
        <w:tabs>
          <w:tab w:val="left" w:pos="21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对同一采购程序环节的质疑，供应商须在法定质疑期内一次性提出。</w:t>
      </w:r>
    </w:p>
    <w:p>
      <w:pPr>
        <w:keepNext w:val="0"/>
        <w:keepLines w:val="0"/>
        <w:pageBreakBefore w:val="0"/>
        <w:numPr>
          <w:ilvl w:val="2"/>
          <w:numId w:val="3"/>
        </w:numPr>
        <w:tabs>
          <w:tab w:val="left" w:pos="21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采购人或者采购代理机构应当在收到供应商的书面质疑后七个工作日内作出答复，并以书面形式通知质疑供应商和其他与质疑处理结果有利害关系的政府采购当事人，但答复的内容不得涉及商业秘密。</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供应商投诉</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质疑供应商对采购人、采购代理机构的答复不满意或者采购人、采购代理机构未在规定的时间内作出答复的，可以在答复期满后十五个工作日内向同级政府采购监督管理部门提出投诉。</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供应商投诉的事项不得超出已质疑事项的范围，基于质疑答复内容提出的投诉事项除外。</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供应商投诉应当有明确的请求和必要的证明材料。</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以联合体形式参加政府采购活动的，其投诉应当由组成联合体的所有供应商共同提出。</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二、招标文件的构成、澄清、修改</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招标文件的构成</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招标文件包括下列文件及附件：</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招标公告；</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投标人须知；</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采购需求；</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评标办法；</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拟签订的合同文本；</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应提交的有关格式范例。</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与本项目有关的澄清或者修改的内容为招标文件的组成部分。</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招标文件的澄清、修改</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已获取招标文件的潜在投标人，若有问题需要澄清，应于投标截止时间前，以书面形式向采购代理机构提出。</w:t>
      </w:r>
    </w:p>
    <w:p>
      <w:pPr>
        <w:keepNext w:val="0"/>
        <w:keepLines w:val="0"/>
        <w:pageBreakBefore w:val="0"/>
        <w:numPr>
          <w:ilvl w:val="1"/>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三、投标</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招标文件的获取</w:t>
      </w:r>
    </w:p>
    <w:p>
      <w:pPr>
        <w:pStyle w:val="25"/>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详见招标公告中获取招标文件的时间期限、地点、方式及招标文件售价。</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开标前答疑会或现场考察</w:t>
      </w:r>
    </w:p>
    <w:p>
      <w:pPr>
        <w:pStyle w:val="25"/>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采购人组织潜在投标人现场考察或者召开开标前答疑会的，潜在投标人按第二部分投标人须知前附表的规定参加现场考察或者开标前答疑会。</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投标保证金</w:t>
      </w:r>
    </w:p>
    <w:p>
      <w:pPr>
        <w:pStyle w:val="25"/>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本项目不需缴纳投标保证金。</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投标文件的语言</w:t>
      </w:r>
    </w:p>
    <w:p>
      <w:pPr>
        <w:pStyle w:val="25"/>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投标文件及投标人与采购有关的来往通知、函件和文件均应使用中文。</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投标文件的组成</w:t>
      </w:r>
    </w:p>
    <w:p>
      <w:pPr>
        <w:keepNext w:val="0"/>
        <w:keepLines w:val="0"/>
        <w:pageBreakBefore w:val="0"/>
        <w:numPr>
          <w:ilvl w:val="1"/>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资格文件：</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color w:val="auto"/>
          <w:highlight w:val="none"/>
        </w:rPr>
        <w:t>具有独立承担民事责任能力的证明材料</w:t>
      </w:r>
      <w:r>
        <w:rPr>
          <w:rFonts w:hint="eastAsia" w:ascii="宋体" w:hAnsi="宋体" w:eastAsia="宋体" w:cs="宋体"/>
          <w:color w:val="auto"/>
          <w:highlight w:val="none"/>
          <w:lang w:eastAsia="zh-CN"/>
        </w:rPr>
        <w:t>；</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符合参加政府采购活动应当具备的一般条件的承诺函；</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联合协议（如果有）；</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落实政府采购政策需满足的资格要求：</w:t>
      </w:r>
      <w:r>
        <w:rPr>
          <w:rFonts w:hint="eastAsia" w:ascii="宋体" w:hAnsi="宋体" w:eastAsia="宋体" w:cs="宋体"/>
          <w:color w:val="auto"/>
          <w:sz w:val="21"/>
          <w:szCs w:val="21"/>
          <w:highlight w:val="none"/>
          <w:lang w:eastAsia="zh-CN"/>
        </w:rPr>
        <w:t>无</w:t>
      </w:r>
      <w:r>
        <w:rPr>
          <w:rFonts w:hint="eastAsia" w:ascii="宋体" w:hAnsi="宋体" w:eastAsia="宋体" w:cs="宋体"/>
          <w:bCs/>
          <w:color w:val="auto"/>
          <w:sz w:val="21"/>
          <w:szCs w:val="21"/>
          <w:highlight w:val="none"/>
        </w:rPr>
        <w:t>；</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本项目的特定资格要求（如果有）。</w:t>
      </w:r>
    </w:p>
    <w:p>
      <w:pPr>
        <w:keepNext w:val="0"/>
        <w:keepLines w:val="0"/>
        <w:pageBreakBefore w:val="0"/>
        <w:numPr>
          <w:ilvl w:val="1"/>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2" w:firstLineChars="200"/>
        <w:jc w:val="left"/>
        <w:textAlignment w:val="auto"/>
        <w:rPr>
          <w:rFonts w:hint="eastAsia" w:ascii="宋体" w:hAnsi="宋体" w:eastAsia="宋体" w:cs="宋体"/>
          <w:b/>
          <w:color w:val="auto"/>
          <w:sz w:val="21"/>
          <w:szCs w:val="21"/>
          <w:highlight w:val="none"/>
          <w:lang w:val="zh-CN"/>
        </w:rPr>
      </w:pPr>
      <w:r>
        <w:rPr>
          <w:rFonts w:hint="eastAsia" w:ascii="宋体" w:hAnsi="宋体" w:eastAsia="宋体" w:cs="宋体"/>
          <w:b/>
          <w:color w:val="auto"/>
          <w:sz w:val="21"/>
          <w:szCs w:val="21"/>
          <w:highlight w:val="none"/>
        </w:rPr>
        <w:t>商务技术</w:t>
      </w:r>
      <w:r>
        <w:rPr>
          <w:rFonts w:hint="eastAsia" w:ascii="宋体" w:hAnsi="宋体" w:eastAsia="宋体" w:cs="宋体"/>
          <w:b/>
          <w:color w:val="auto"/>
          <w:sz w:val="21"/>
          <w:szCs w:val="21"/>
          <w:highlight w:val="none"/>
          <w:lang w:val="zh-CN"/>
        </w:rPr>
        <w:t>文件：</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投标函；</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授权委托书或法定代表人（单位负责人、自然人本人）身份证明；</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授权代表近一个月内在投标单位缴纳社保的参保证明（适用于法定代表人授权代表参加投标活动）；</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分包意向协议（如果有）；</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符合性审查资料；</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评标标准相应的商务技术资料；</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投标标的清单；</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技术响应表；</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商务技术偏离表；</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政府采购供应商廉洁自律承诺书。</w:t>
      </w:r>
    </w:p>
    <w:p>
      <w:pPr>
        <w:keepNext w:val="0"/>
        <w:keepLines w:val="0"/>
        <w:pageBreakBefore w:val="0"/>
        <w:numPr>
          <w:ilvl w:val="1"/>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2" w:firstLineChars="200"/>
        <w:jc w:val="left"/>
        <w:textAlignment w:val="auto"/>
        <w:rPr>
          <w:rFonts w:hint="eastAsia" w:ascii="宋体" w:hAnsi="宋体" w:eastAsia="宋体" w:cs="宋体"/>
          <w:b/>
          <w:color w:val="auto"/>
          <w:sz w:val="21"/>
          <w:szCs w:val="21"/>
          <w:highlight w:val="none"/>
          <w:lang w:val="zh-CN"/>
        </w:rPr>
      </w:pPr>
      <w:r>
        <w:rPr>
          <w:rFonts w:hint="eastAsia" w:ascii="宋体" w:hAnsi="宋体" w:eastAsia="宋体" w:cs="宋体"/>
          <w:b/>
          <w:color w:val="auto"/>
          <w:sz w:val="21"/>
          <w:szCs w:val="21"/>
          <w:highlight w:val="none"/>
        </w:rPr>
        <w:t xml:space="preserve">报价文件： </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开标一览表（报价表）；</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报价情况说明（如供应商报价低于项目预算50%的，应当提交本文档，详细阐述不影响产品质量或者诚信履约的具体原因）</w:t>
      </w:r>
    </w:p>
    <w:p>
      <w:pPr>
        <w:keepNext w:val="0"/>
        <w:keepLines w:val="0"/>
        <w:pageBreakBefore w:val="0"/>
        <w:numPr>
          <w:ilvl w:val="2"/>
          <w:numId w:val="3"/>
        </w:numPr>
        <w:tabs>
          <w:tab w:val="left" w:pos="210"/>
          <w:tab w:val="left" w:pos="630"/>
          <w:tab w:val="left" w:pos="8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中标服务费支付承诺书和中标服务费结算信息表。</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投标文件含有采购人不能接受的附加条件的，投标无效；</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投标人提供虚假材料投标的，投标无效。</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投标文件的编制</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使用“政采云电子交易客户端”需要提前申领CA数字证书，申领流程请自行前往“浙江政府采购网-下载专区-电子交易客户端-CA驱动和申领流程”进行查阅。</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投标文件的签署、盖章</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投标文件按照招标文件第六部分格式要求进行签署、盖章。</w:t>
      </w:r>
    </w:p>
    <w:p>
      <w:pPr>
        <w:pStyle w:val="61"/>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82"/>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▲投标人的投标文件未按照招标文件要求签署、盖章的，其投标无效</w:t>
      </w:r>
      <w:r>
        <w:rPr>
          <w:rFonts w:hint="eastAsia" w:ascii="宋体" w:hAnsi="宋体" w:eastAsia="宋体" w:cs="宋体"/>
          <w:color w:val="auto"/>
          <w:sz w:val="21"/>
          <w:szCs w:val="21"/>
          <w:highlight w:val="none"/>
        </w:rPr>
        <w:t>。</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招标文件对投标文件签署、盖章的要求适用于电子签名。</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投标文件的提交、补充、修改、撤回</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备份投标文件</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投标人在电子交易平台传输递交投标文件后，还可以在投标截止时间前直接提交或者以邮政快递方式递交备份投标文件1份，</w:t>
      </w:r>
      <w:r>
        <w:rPr>
          <w:rFonts w:hint="eastAsia" w:ascii="宋体" w:hAnsi="宋体" w:eastAsia="宋体" w:cs="宋体"/>
          <w:b/>
          <w:color w:val="auto"/>
          <w:sz w:val="21"/>
          <w:szCs w:val="21"/>
          <w:highlight w:val="none"/>
        </w:rPr>
        <w:t>但采购人、采购代理机构不强制或变相强制投标人提交备份投标文件</w:t>
      </w:r>
      <w:r>
        <w:rPr>
          <w:rFonts w:hint="eastAsia" w:ascii="宋体" w:hAnsi="宋体" w:eastAsia="宋体" w:cs="宋体"/>
          <w:bCs/>
          <w:color w:val="auto"/>
          <w:sz w:val="21"/>
          <w:szCs w:val="21"/>
          <w:highlight w:val="none"/>
        </w:rPr>
        <w:t>。</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份投标文件须在“政采云投标客户端”制作生成，并储存在DVD光盘或U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1"/>
          <w:szCs w:val="21"/>
          <w:highlight w:val="none"/>
        </w:rPr>
        <w:t>不符合上述制作、存储、密封规定的备份投标文件将被视为无效或者被拒绝接收。</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直接提交备份投标文件的，投标人应于投标截止时间前在招标公告中载明的开标地点将备份投标文件提交给采购代理机构，</w:t>
      </w:r>
      <w:r>
        <w:rPr>
          <w:rFonts w:hint="eastAsia" w:ascii="宋体" w:hAnsi="宋体" w:eastAsia="宋体" w:cs="宋体"/>
          <w:b/>
          <w:color w:val="auto"/>
          <w:sz w:val="21"/>
          <w:szCs w:val="21"/>
          <w:highlight w:val="none"/>
        </w:rPr>
        <w:t>采购代理机构将拒绝接受逾期送达的备份投标文件</w:t>
      </w:r>
      <w:r>
        <w:rPr>
          <w:rFonts w:hint="eastAsia" w:ascii="宋体" w:hAnsi="宋体" w:eastAsia="宋体" w:cs="宋体"/>
          <w:bCs/>
          <w:color w:val="auto"/>
          <w:sz w:val="21"/>
          <w:szCs w:val="21"/>
          <w:highlight w:val="none"/>
        </w:rPr>
        <w:t>。</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投标人仅提交备份投标文件，未在电子交易平台传输递交投标文件的，投标无效。</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投标文件的无效处理</w:t>
      </w:r>
    </w:p>
    <w:p>
      <w:pPr>
        <w:pStyle w:val="20"/>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有招标文件第四部分第4.2项规定的情形之一的，投标无效：</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投标有效期</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投标有效期为从提交投标文件的截止之日起90天。</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投标人的投标文件中承诺的投标有效期少于招标文件中载明的投标有效期的，投标无效。</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投标文件合格投递后，自投标截止日期起，在投标有效期内有效。</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4"/>
          <w:szCs w:val="24"/>
          <w:highlight w:val="none"/>
        </w:rPr>
        <w:t>四、开标、资格审查与信用信息查询</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开标 </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采购代理机构按照招标文件规定的时间通过电子交易平台组织开标，所有投标人均应当准时在线参加。投标人不足3家的，不得开标。</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开标时，电子交易平台按开标时间自动提取所有投标文件。采购代理机构依托电子交易平台发起开始解密指令，投标人按照平台提示和招标文件的规定在半小时内完成在线解密。</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投标文件未按时解密，投标人提供了备份投标文件的，以备份投标文件作为依据，否则视为投标文件撤回。投标文件已按时解密的，备份投标文件自动失效。</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资格审查</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采购人或采购代理机构依据法律法规和招标文件的规定，对投标人的资格进行审查。</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投标人未按照招标文件要求提供与资格条件相应的有效资格证明材料的，视为投标人不具备招标文件中规定的资格要求，其投标无效。</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对未通过资格审查的投标人，采购人或采购代理机构告知其未通过的原因。</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合格投标人不足3家的，不再评标。</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信用信息查询</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信用信息查询渠道及截止时间：采购代理机构将通过“信用中国”网站(www.creditchina.gov.cn)、中国政府采购网(www.ccgp.gov.cn)渠道查询投标人投标截止时间当天的信用记录。</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信用信息查询记录和证据留存的具体方式：现场查询的投标人的信用记录、查询结果经确认后将与采购文件一起存档。</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信用信息的使用规则：经查询列入失信被执行人名单、重大税收违法案件当事人名单、政府采购严重违法失信行为记录名单的投标人将被拒绝参与政府采购活动。</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五、评标</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bookmarkStart w:id="6" w:name="_Toc91899903"/>
      <w:r>
        <w:rPr>
          <w:rFonts w:hint="eastAsia" w:ascii="宋体" w:hAnsi="宋体" w:eastAsia="宋体" w:cs="宋体"/>
          <w:b/>
          <w:color w:val="auto"/>
          <w:sz w:val="21"/>
          <w:szCs w:val="21"/>
          <w:highlight w:val="none"/>
        </w:rPr>
        <w:t>评标</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1"/>
          <w:szCs w:val="21"/>
          <w:highlight w:val="none"/>
        </w:rPr>
        <w:t>详见招标文件第四部分评标办法。</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六、定标</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确定中标供应商</w:t>
      </w:r>
    </w:p>
    <w:p>
      <w:pPr>
        <w:pStyle w:val="61"/>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8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中标通知与中标结果公告</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自中标人确定之日起2个工作日内，采购代理机构通过电子交易平台向中标人发出中标通知书，同时编制发布采购结果公告。采购代理机构也可以以纸质形式进行中标通知。</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中标结果公告内容包括采购人及其委托的采购代理机构的名称、地址、联系方式，项目名称和项目编号，中标人名称、地址和中标金额，主要中标标的的名称、规格型号、数量、单价，开标记录、中标公告期限以及评审专家名单、评分汇总及明细。</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公告期限为1个工作日。</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七、合同授予</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合同授予</w:t>
      </w:r>
    </w:p>
    <w:p>
      <w:pPr>
        <w:keepNext w:val="0"/>
        <w:keepLines w:val="0"/>
        <w:pageBreakBefore w:val="0"/>
        <w:widowControl/>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合同主要条款详见第五部分拟签订的合同文本。</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合同的签订</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采购人与中标人应当在中标通知书发出之日起三十日内，按照招标文件确定的事项签订政府采购合同，并在签订之日起2个工作日内将政府采购合同在浙江政府采购网上公告。</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如签订合同并生效后，供应商无故拒绝或延期，除按照合同条款处理外，列入不良行为记录一次，并给予通报。</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中标供应商拒绝与采购人签订合同的，采购人可以按照评审报告推荐的中标或者成交候选人名单排序，确定下一候选人为中标供应商，也可以重新开展政府采购活动。</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拟签订的合同文本要求中标供应商提交履约保证金的，供应商应当以支票、汇票、本票或者金融机构、担保机构出具的保函等非现金形式提交。鼓励和支持供应商以银行、保险公司出具的保函形式提供履约保证金。采购人不得拒收履约保函，项目验收结束后应及时退还，延迟退还的，应当按照合同约定和法律规定承担相应的赔偿责任。</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zh-CN"/>
        </w:rPr>
        <w:t>登录政采云平台-【金融服务】—【我的项目】—【已备案合同】以保函形式提供：</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供应商在合同列表选择需要投保的合同，点击【保函推荐】。</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在弹框里查看推荐的保函产品，供应商自行选择保函产品，点击【立即申请】。</w:t>
      </w:r>
    </w:p>
    <w:p>
      <w:pPr>
        <w:keepNext w:val="0"/>
        <w:keepLines w:val="0"/>
        <w:pageBreakBefore w:val="0"/>
        <w:numPr>
          <w:ilvl w:val="2"/>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在弹框里填写保函申请信息。具体步骤：选择产品—填写供应商信息—选择中标项目—确认信息—等待保险/保函受理—确认保单—支付保费—成功出单。政采云金融专线400-903-9583。</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预付款</w:t>
      </w:r>
    </w:p>
    <w:p>
      <w:pPr>
        <w:pStyle w:val="20"/>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八、电子交易活动的中止</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电子交易活动的中止</w:t>
      </w:r>
    </w:p>
    <w:p>
      <w:pPr>
        <w:pStyle w:val="61"/>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采购过程中出现以下情形，导致电子交易平台无法正常运行，或者无法保证电子交易的公平、公正和安全时，采购代理机构可中止电子交易活动：</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电子交易平台发生故障而无法登录访问的； </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电子交易平台应用或数据库出现错误，不能进行正常操作的；</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电子交易平台发现严重安全漏洞，有潜在泄密危险的；</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病毒发作导致不能进行正常操作的； </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其他无法保证电子交易的公平、公正和安全的情况。</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bidi w:val="0"/>
        <w:adjustRightInd w:val="0"/>
        <w:snapToGrid w:val="0"/>
        <w:spacing w:before="0" w:beforeLines="20" w:after="0" w:afterLines="20" w:line="336" w:lineRule="auto"/>
        <w:ind w:left="0" w:leftChars="0" w:right="42" w:rightChars="20"/>
        <w:jc w:val="center"/>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九、验收</w:t>
      </w:r>
    </w:p>
    <w:p>
      <w:pPr>
        <w:keepNext w:val="0"/>
        <w:keepLines w:val="0"/>
        <w:pageBreakBefore w:val="0"/>
        <w:numPr>
          <w:ilvl w:val="0"/>
          <w:numId w:val="3"/>
        </w:numPr>
        <w:tabs>
          <w:tab w:val="left" w:pos="210"/>
        </w:tabs>
        <w:kinsoku/>
        <w:wordWrap/>
        <w:overflowPunct/>
        <w:topLinePunct w:val="0"/>
        <w:bidi w:val="0"/>
        <w:adjustRightInd w:val="0"/>
        <w:snapToGrid w:val="0"/>
        <w:spacing w:before="0" w:beforeLines="20" w:after="0" w:afterLines="20" w:line="336" w:lineRule="auto"/>
        <w:ind w:left="0" w:leftChars="0" w:right="42" w:rightChars="20" w:firstLine="0"/>
        <w:jc w:val="left"/>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验收</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采购人可以邀请参加本项目的其他投标人或者第三方机构参与验收。参与验收的投标人或者第三方机构的意见作为验收书的参考资料一并存档。</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numPr>
          <w:ilvl w:val="1"/>
          <w:numId w:val="3"/>
        </w:numPr>
        <w:tabs>
          <w:tab w:val="left" w:pos="210"/>
          <w:tab w:val="left" w:pos="640"/>
        </w:tabs>
        <w:kinsoku/>
        <w:wordWrap/>
        <w:overflowPunct/>
        <w:topLinePunct w:val="0"/>
        <w:bidi w:val="0"/>
        <w:adjustRightInd w:val="0"/>
        <w:snapToGrid w:val="0"/>
        <w:spacing w:before="0" w:beforeLines="20" w:after="0" w:afterLines="20" w:line="336" w:lineRule="auto"/>
        <w:ind w:left="0" w:leftChars="0" w:right="42" w:rightChars="20" w:firstLine="420" w:firstLineChars="200"/>
        <w:jc w:val="left"/>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6"/>
    <w:p>
      <w:pPr>
        <w:keepNext w:val="0"/>
        <w:keepLines w:val="0"/>
        <w:pageBreakBefore w:val="0"/>
        <w:kinsoku/>
        <w:wordWrap/>
        <w:overflowPunct/>
        <w:topLinePunct w:val="0"/>
        <w:bidi w:val="0"/>
        <w:adjustRightInd w:val="0"/>
        <w:snapToGrid w:val="0"/>
        <w:spacing w:line="336" w:lineRule="auto"/>
        <w:ind w:left="0" w:leftChars="0" w:firstLine="420" w:firstLineChars="200"/>
        <w:textAlignment w:val="auto"/>
        <w:rPr>
          <w:rFonts w:hint="eastAsia" w:ascii="宋体" w:hAnsi="宋体" w:eastAsia="宋体" w:cs="宋体"/>
          <w:snapToGrid w:val="0"/>
          <w:color w:val="auto"/>
          <w:kern w:val="0"/>
          <w:szCs w:val="21"/>
          <w:highlight w:val="none"/>
        </w:rPr>
      </w:pPr>
    </w:p>
    <w:p>
      <w:pPr>
        <w:pageBreakBefore w:val="0"/>
        <w:numPr>
          <w:ilvl w:val="0"/>
          <w:numId w:val="4"/>
        </w:numPr>
        <w:kinsoku/>
        <w:overflowPunct/>
        <w:topLinePunct w:val="0"/>
        <w:bidi w:val="0"/>
        <w:adjustRightInd w:val="0"/>
        <w:snapToGrid w:val="0"/>
        <w:spacing w:before="120" w:beforeLines="50" w:after="120" w:afterLines="50" w:line="336" w:lineRule="auto"/>
        <w:jc w:val="center"/>
        <w:outlineLvl w:val="0"/>
        <w:rPr>
          <w:rFonts w:hint="eastAsia" w:ascii="宋体" w:hAnsi="宋体" w:eastAsia="宋体" w:cs="宋体"/>
          <w:b/>
          <w:color w:val="auto"/>
          <w:sz w:val="30"/>
          <w:szCs w:val="30"/>
          <w:highlight w:val="none"/>
        </w:rPr>
      </w:pPr>
      <w:r>
        <w:rPr>
          <w:rFonts w:hint="eastAsia" w:ascii="宋体" w:hAnsi="宋体" w:eastAsia="宋体" w:cs="宋体"/>
          <w:b/>
          <w:bCs/>
          <w:color w:val="auto"/>
          <w:sz w:val="28"/>
          <w:szCs w:val="21"/>
          <w:highlight w:val="none"/>
        </w:rPr>
        <w:br w:type="page"/>
      </w:r>
      <w:bookmarkStart w:id="7" w:name="_Toc242012796"/>
      <w:bookmarkStart w:id="8" w:name="_Toc1571"/>
      <w:bookmarkStart w:id="9" w:name="_Toc31190"/>
      <w:bookmarkStart w:id="10" w:name="_Toc19650"/>
      <w:bookmarkStart w:id="11" w:name="_Toc12124"/>
      <w:bookmarkStart w:id="12" w:name="_Toc242012824"/>
      <w:r>
        <w:rPr>
          <w:rFonts w:hint="eastAsia" w:ascii="宋体" w:hAnsi="宋体" w:eastAsia="宋体" w:cs="宋体"/>
          <w:b/>
          <w:bCs/>
          <w:color w:val="auto"/>
          <w:sz w:val="28"/>
          <w:szCs w:val="21"/>
          <w:highlight w:val="none"/>
        </w:rPr>
        <w:t xml:space="preserve"> </w:t>
      </w:r>
      <w:r>
        <w:rPr>
          <w:rFonts w:hint="eastAsia" w:ascii="宋体" w:hAnsi="宋体" w:eastAsia="宋体" w:cs="宋体"/>
          <w:b/>
          <w:color w:val="auto"/>
          <w:sz w:val="30"/>
          <w:szCs w:val="30"/>
          <w:highlight w:val="none"/>
        </w:rPr>
        <w:t>采购需求</w:t>
      </w:r>
      <w:bookmarkEnd w:id="7"/>
      <w:bookmarkEnd w:id="8"/>
      <w:bookmarkEnd w:id="9"/>
    </w:p>
    <w:p>
      <w:pPr>
        <w:pStyle w:val="5"/>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一、商务条款</w:t>
      </w:r>
    </w:p>
    <w:tbl>
      <w:tblPr>
        <w:tblStyle w:val="45"/>
        <w:tblW w:w="9607" w:type="dxa"/>
        <w:tblInd w:w="-24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75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091"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jc w:val="center"/>
              <w:rPr>
                <w:rFonts w:hint="eastAsia" w:ascii="宋体" w:hAnsi="宋体" w:eastAsia="宋体" w:cs="宋体"/>
                <w:b/>
                <w:color w:val="auto"/>
                <w:spacing w:val="-6"/>
                <w:szCs w:val="21"/>
                <w:highlight w:val="none"/>
              </w:rPr>
            </w:pPr>
            <w:bookmarkStart w:id="13" w:name="_Hlk45005608"/>
            <w:r>
              <w:rPr>
                <w:rFonts w:hint="eastAsia" w:ascii="宋体" w:hAnsi="宋体" w:eastAsia="宋体" w:cs="宋体"/>
                <w:b/>
                <w:bCs/>
                <w:color w:val="auto"/>
                <w:szCs w:val="21"/>
                <w:highlight w:val="none"/>
              </w:rPr>
              <w:t>交货期</w:t>
            </w:r>
          </w:p>
        </w:tc>
        <w:tc>
          <w:tcPr>
            <w:tcW w:w="7516" w:type="dxa"/>
            <w:noWrap w:val="0"/>
            <w:vAlign w:val="center"/>
          </w:tcPr>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设备自合同签订生效之日起1个月内，供货、安装、调试完毕，并通过验收，直至交付采购人正常使用；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091"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jc w:val="center"/>
              <w:rPr>
                <w:rFonts w:hint="eastAsia" w:ascii="宋体" w:hAnsi="宋体" w:eastAsia="宋体" w:cs="宋体"/>
                <w:b/>
                <w:color w:val="auto"/>
                <w:spacing w:val="-6"/>
                <w:szCs w:val="21"/>
                <w:highlight w:val="none"/>
              </w:rPr>
            </w:pPr>
            <w:r>
              <w:rPr>
                <w:rFonts w:hint="eastAsia" w:ascii="宋体" w:hAnsi="宋体" w:eastAsia="宋体" w:cs="宋体"/>
                <w:b/>
                <w:color w:val="auto"/>
                <w:spacing w:val="-6"/>
                <w:szCs w:val="21"/>
                <w:highlight w:val="none"/>
              </w:rPr>
              <w:t>付款方式</w:t>
            </w:r>
          </w:p>
        </w:tc>
        <w:tc>
          <w:tcPr>
            <w:tcW w:w="7516" w:type="dxa"/>
            <w:noWrap w:val="0"/>
            <w:vAlign w:val="center"/>
          </w:tcPr>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10万元（含）以上的单项合同，合同生效并具备实施条件后7个工作日内，采购人向中标人支付合同全额货款的40%作为预付款，设备自中标人送达采购人指定地点，经安装调试并经采购人验收合格且正常运行后的15个工作日内</w:t>
            </w:r>
            <w:r>
              <w:rPr>
                <w:rFonts w:hint="eastAsia" w:ascii="宋体" w:hAnsi="宋体" w:eastAsia="宋体" w:cs="宋体"/>
                <w:color w:val="auto"/>
                <w:spacing w:val="-6"/>
                <w:sz w:val="24"/>
                <w:szCs w:val="21"/>
                <w:highlight w:val="none"/>
              </w:rPr>
              <w:t>，</w:t>
            </w:r>
            <w:r>
              <w:rPr>
                <w:rFonts w:hint="eastAsia" w:ascii="宋体" w:hAnsi="宋体" w:eastAsia="宋体" w:cs="宋体"/>
                <w:color w:val="auto"/>
                <w:szCs w:val="21"/>
                <w:highlight w:val="none"/>
              </w:rPr>
              <w:t>由采购人向中标人支付合同全额货款的100%；预付款以抵扣方式扣回。</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合同生效后5</w:t>
            </w:r>
            <w:r>
              <w:rPr>
                <w:rFonts w:hint="eastAsia" w:ascii="宋体" w:hAnsi="宋体" w:eastAsia="宋体" w:cs="宋体"/>
                <w:color w:val="auto"/>
                <w:szCs w:val="21"/>
                <w:highlight w:val="none"/>
                <w:lang w:eastAsia="zh-CN"/>
              </w:rPr>
              <w:t>个工作</w:t>
            </w:r>
            <w:r>
              <w:rPr>
                <w:rFonts w:hint="eastAsia" w:ascii="宋体" w:hAnsi="宋体" w:eastAsia="宋体" w:cs="宋体"/>
                <w:color w:val="auto"/>
                <w:szCs w:val="21"/>
                <w:highlight w:val="none"/>
              </w:rPr>
              <w:t>日内，中标人应向采购人提交1%的合同履约保证金（支票、汇票、本票或者金融机构、担保机构出具的保函等非现金形式），自货物验收合格后，由采购人退还（不计息）给中标人。</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10万元以下的单项合同，合同生效并具备实施条件后7个工作日内，采购人向中标人支付合同全额货款的40%作为预付款，同时中标人应提交银行、保险公司等金融机构出具的预付款保函；设备自中标人送达采购人指定地点，经安装调试并经采购人验收合格且正常运行后的15个工作日内，由采购人向中标人支付合同全额货款的100%；预付款以抵扣方式扣回。</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签订合同时，中标人明确表示无需预付款或者主动要求降低预付款比例的，采购人可不适用前述规定。</w:t>
            </w:r>
          </w:p>
          <w:p>
            <w:pPr>
              <w:pageBreakBefore w:val="0"/>
              <w:kinsoku/>
              <w:overflowPunct/>
              <w:topLinePunct w:val="0"/>
              <w:bidi w:val="0"/>
              <w:adjustRightInd w:val="0"/>
              <w:snapToGrid w:val="0"/>
              <w:spacing w:line="33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若中标人无需预付款的，按下述规定执行：</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对于10万元（含）以上的单项合同，设备自中标人送达采购人指定地点，经安装调试并经采购人验收合格且正常运行后的15个工作日内</w:t>
            </w:r>
            <w:r>
              <w:rPr>
                <w:rFonts w:hint="eastAsia" w:ascii="宋体" w:hAnsi="宋体" w:eastAsia="宋体" w:cs="宋体"/>
                <w:color w:val="auto"/>
                <w:spacing w:val="-6"/>
                <w:sz w:val="24"/>
                <w:szCs w:val="21"/>
                <w:highlight w:val="none"/>
              </w:rPr>
              <w:t>，</w:t>
            </w:r>
            <w:r>
              <w:rPr>
                <w:rFonts w:hint="eastAsia" w:ascii="宋体" w:hAnsi="宋体" w:eastAsia="宋体" w:cs="宋体"/>
                <w:color w:val="auto"/>
                <w:szCs w:val="21"/>
                <w:highlight w:val="none"/>
              </w:rPr>
              <w:t>由采购人向中标人支付合同全额货款；合同生效后5</w:t>
            </w:r>
            <w:r>
              <w:rPr>
                <w:rFonts w:hint="eastAsia" w:ascii="宋体" w:hAnsi="宋体" w:eastAsia="宋体" w:cs="宋体"/>
                <w:color w:val="auto"/>
                <w:szCs w:val="21"/>
                <w:highlight w:val="none"/>
                <w:lang w:eastAsia="zh-CN"/>
              </w:rPr>
              <w:t>个工作</w:t>
            </w:r>
            <w:r>
              <w:rPr>
                <w:rFonts w:hint="eastAsia" w:ascii="宋体" w:hAnsi="宋体" w:eastAsia="宋体" w:cs="宋体"/>
                <w:color w:val="auto"/>
                <w:szCs w:val="21"/>
                <w:highlight w:val="none"/>
              </w:rPr>
              <w:t>日内，中标人应向采购人提交1%的合同履约保证金（支票、汇票、本票或者金融机构、担保机构出具的保函等非现金形式），自货物验收合格后，由采购人退还（不计息）给中标人。</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对于10万元以下的单项合同，设备自中标人送达采购人指定地点，经安装调试并经采购人验收合格且正常运行后的15个工作日内</w:t>
            </w:r>
            <w:r>
              <w:rPr>
                <w:rFonts w:hint="eastAsia" w:ascii="宋体" w:hAnsi="宋体" w:eastAsia="宋体" w:cs="宋体"/>
                <w:color w:val="auto"/>
                <w:spacing w:val="-6"/>
                <w:sz w:val="24"/>
                <w:szCs w:val="21"/>
                <w:highlight w:val="none"/>
              </w:rPr>
              <w:t>，</w:t>
            </w:r>
            <w:r>
              <w:rPr>
                <w:rFonts w:hint="eastAsia" w:ascii="宋体" w:hAnsi="宋体" w:eastAsia="宋体" w:cs="宋体"/>
                <w:color w:val="auto"/>
                <w:szCs w:val="21"/>
                <w:highlight w:val="none"/>
              </w:rPr>
              <w:t>由采购人一次性向中标人支付合同全额货款。</w:t>
            </w:r>
          </w:p>
        </w:tc>
      </w:tr>
      <w:bookmarkEnd w:id="13"/>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1"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交付地点</w:t>
            </w:r>
          </w:p>
        </w:tc>
        <w:tc>
          <w:tcPr>
            <w:tcW w:w="7516"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交付地点：用户指定地点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1"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安装</w:t>
            </w:r>
          </w:p>
        </w:tc>
        <w:tc>
          <w:tcPr>
            <w:tcW w:w="7516"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（1）安装地点：采购人指定地点。</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（2）安装完成时间：接到用户通知后在规定时间内完成安装和调试，如在规定的时间内由于投标人的原因不能完成安装和调试，投标人应承担由此给采购人造成的损失。</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（3）安装标准：符合我国国家有关技术规范要求和技术标准，所有的软件和硬件必须保证同时安装到位。</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（4）投标人应免费提供合同货物的安装服务。</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（5）投标人在投标文件中应提供安装调试计划、对安装场地和环境的要求。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1"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质保期及售后</w:t>
            </w:r>
          </w:p>
        </w:tc>
        <w:tc>
          <w:tcPr>
            <w:tcW w:w="7516" w:type="dxa"/>
            <w:noWrap w:val="0"/>
            <w:vAlign w:val="center"/>
          </w:tcPr>
          <w:p>
            <w:pPr>
              <w:pageBreakBefore w:val="0"/>
              <w:kinsoku/>
              <w:overflowPunct/>
              <w:topLinePunct w:val="0"/>
              <w:bidi w:val="0"/>
              <w:adjustRightInd w:val="0"/>
              <w:snapToGrid w:val="0"/>
              <w:spacing w:line="33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▲1.质保期：验收合格之日起，质保期不少于2年；</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保期后实行有偿服务，仅收取材料成本费（按一定折扣的优惠价格，注明折扣率）。一旦产品发生故障，应在不超过2小时内做出响应，不超过2个工作日内解决故障。供应商应列出易损件明细，及更换频率和价格清单。软件的质保期即免费维护期。</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3.所有质保期内质保所需费用须计入项目总报价中。如中标人质保期间相关服务有违约的，从履约保证金扣除相关款项。履约保证金不足以支付违约款的，按合同条款执行。</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投标人保证其提供的产品在质保期内，如遇产品升级、改版，应免费提供更新、升级服务。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1"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培训</w:t>
            </w:r>
          </w:p>
        </w:tc>
        <w:tc>
          <w:tcPr>
            <w:tcW w:w="7516"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1.中标人应编制相关使用指导手册或说明书，提供使用操作培训，直至操作人员能熟练、安全地操作。（如需）</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2.中标人应提供相应的培训计划。</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3.中标人应对上述内容的实现方式、地点、人数、时间在投标文件中详细说明。其中，至少达到以下要求：采购人的操作人员、维修人员进行培训。</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4.培训相关费用含在报价中。如中标人的培训服务有相关违约的，从履约保证金扣除相关款项。履约保证金不足以支付违约款的，按合同条款执行。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1"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验收</w:t>
            </w:r>
          </w:p>
        </w:tc>
        <w:tc>
          <w:tcPr>
            <w:tcW w:w="7516" w:type="dxa"/>
            <w:noWrap w:val="0"/>
            <w:vAlign w:val="center"/>
          </w:tcPr>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1.中标人应提供合同货物的有效检验文件，经采购人认可后，与合同的性能指标一起作为合同货物验收标准。</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2.投标人应于响应文件中提供合同货物的验收标准和检测办法，并在验收中提供采购人认可的相应检测手段，验收标准应符合中国有关的国家、地方、行业的标准，如若成交，经采购人确认后作为验收的依据。</w:t>
            </w:r>
          </w:p>
          <w:p>
            <w:pPr>
              <w:pageBreakBefore w:val="0"/>
              <w:kinsoku/>
              <w:overflowPunct/>
              <w:topLinePunct w:val="0"/>
              <w:bidi w:val="0"/>
              <w:adjustRightInd w:val="0"/>
              <w:snapToGrid w:val="0"/>
              <w:spacing w:before="72" w:beforeLines="30" w:after="72" w:afterLines="30" w:line="336" w:lineRule="auto"/>
              <w:ind w:left="63" w:leftChars="30" w:right="63" w:rightChars="3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3.如中标人委托国内代理（或其他机构）负责安装或配合安装，应在签约时指明，但中标人仍要对合同货物及其安装质量负全部责任。</w:t>
            </w:r>
          </w:p>
        </w:tc>
      </w:tr>
    </w:tbl>
    <w:p>
      <w:pPr>
        <w:pStyle w:val="19"/>
        <w:pageBreakBefore w:val="0"/>
        <w:kinsoku/>
        <w:overflowPunct/>
        <w:topLinePunct w:val="0"/>
        <w:bidi w:val="0"/>
        <w:adjustRightInd w:val="0"/>
        <w:snapToGrid w:val="0"/>
        <w:spacing w:line="336" w:lineRule="auto"/>
        <w:rPr>
          <w:rFonts w:hint="eastAsia" w:ascii="宋体" w:hAnsi="宋体" w:eastAsia="宋体" w:cs="宋体"/>
          <w:color w:val="auto"/>
          <w:highlight w:val="none"/>
        </w:rPr>
      </w:pPr>
    </w:p>
    <w:p>
      <w:pPr>
        <w:pStyle w:val="5"/>
        <w:pageBreakBefore w:val="0"/>
        <w:kinsoku/>
        <w:overflowPunct/>
        <w:topLinePunct w:val="0"/>
        <w:bidi w:val="0"/>
        <w:adjustRightInd w:val="0"/>
        <w:snapToGrid w:val="0"/>
        <w:spacing w:line="336"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t>二、项目概况</w:t>
      </w:r>
    </w:p>
    <w:p>
      <w:pPr>
        <w:pageBreakBefore w:val="0"/>
        <w:kinsoku/>
        <w:overflowPunct/>
        <w:topLinePunct w:val="0"/>
        <w:bidi w:val="0"/>
        <w:adjustRightInd w:val="0"/>
        <w:snapToGrid w:val="0"/>
        <w:spacing w:line="336"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1.建设模板</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本项目为打造</w:t>
      </w:r>
      <w:r>
        <w:rPr>
          <w:rFonts w:hint="eastAsia" w:ascii="宋体" w:hAnsi="宋体" w:eastAsia="宋体" w:cs="宋体"/>
          <w:color w:val="auto"/>
          <w:highlight w:val="none"/>
        </w:rPr>
        <w:t>聚焦安全保卫业务的智能应用平台，实现视频监控利用价值提升、安防业务智能升级和安全事件处置闭环。</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（1）全校视频汇聚融合，视频线上自动运维</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实现全校视频资源的接入和汇聚，将视频资源按区域、按场景等方式进行集中呈现和开放共享；同时构建视频自动运维中心，提升</w:t>
      </w:r>
      <w:r>
        <w:rPr>
          <w:rFonts w:hint="eastAsia" w:ascii="宋体" w:hAnsi="宋体" w:eastAsia="宋体" w:cs="宋体"/>
          <w:color w:val="auto"/>
          <w:highlight w:val="none"/>
          <w:lang w:val="en-US" w:eastAsia="zh-CN"/>
        </w:rPr>
        <w:t>招标人</w:t>
      </w:r>
      <w:r>
        <w:rPr>
          <w:rFonts w:hint="eastAsia" w:ascii="宋体" w:hAnsi="宋体" w:eastAsia="宋体" w:cs="宋体"/>
          <w:color w:val="auto"/>
          <w:highlight w:val="none"/>
        </w:rPr>
        <w:t>视频运维效率。</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（2）多维条件智能检索，智能档案精细管理</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基于人工智能及大数据技术，支持通过以图搜图、精确检索、特征搜索、视频搜索、文档搜索等多维检索条件，实现对人员和车辆的快速查询及高级检索，帮助用户快速确定人员及车辆信息。同时，通过数据资源管理中心实现人员和车辆全息档案的建档专题策略，实现对全校人车的精细化管理。</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（3）实时监测智能预警，处置闭环线上存档</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构建安全主动预警体系，强化对关键区域、设备设施、学生行为等多维度环境及状态感知能力。梳理部门业务管理流程，与相关责任部门、使用部门形成快速联动，基于预警流、图像流、事件流分层分级协同开展处置工作，实现安全预警事件的处置闭环和业务融通。</w:t>
      </w:r>
    </w:p>
    <w:p>
      <w:pPr>
        <w:pageBreakBefore w:val="0"/>
        <w:kinsoku/>
        <w:overflowPunct/>
        <w:topLinePunct w:val="0"/>
        <w:bidi w:val="0"/>
        <w:adjustRightInd w:val="0"/>
        <w:snapToGrid w:val="0"/>
        <w:spacing w:line="336" w:lineRule="auto"/>
        <w:rPr>
          <w:rFonts w:hint="eastAsia" w:ascii="宋体" w:hAnsi="宋体" w:eastAsia="宋体" w:cs="宋体"/>
          <w:b/>
          <w:bCs/>
          <w:color w:val="auto"/>
          <w:sz w:val="24"/>
          <w:szCs w:val="24"/>
          <w:highlight w:val="none"/>
          <w:lang w:val="en-US" w:eastAsia="zh-CN"/>
        </w:rPr>
      </w:pPr>
    </w:p>
    <w:p>
      <w:pPr>
        <w:pageBreakBefore w:val="0"/>
        <w:kinsoku/>
        <w:overflowPunct/>
        <w:topLinePunct w:val="0"/>
        <w:bidi w:val="0"/>
        <w:adjustRightInd w:val="0"/>
        <w:snapToGrid w:val="0"/>
        <w:spacing w:line="336"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2.总体设计方案</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bookmarkStart w:id="14" w:name="_Toc158039806"/>
      <w:bookmarkStart w:id="15" w:name="_Toc53255351"/>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设计原则</w:t>
      </w:r>
      <w:bookmarkEnd w:id="14"/>
      <w:bookmarkEnd w:id="15"/>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本方案的设计以“先进性、可靠性、实用性、标准性、经济性、扩展性、安全性”为基本原则，具体如下：</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先进性：采用成熟、主流的设备构建系统，系统建设充分利用当前最新的视音频、数据、网络等技术，充分兼顾需求和技术的不断变化，建设业内领先的智慧</w:t>
      </w:r>
      <w:r>
        <w:rPr>
          <w:rFonts w:hint="eastAsia" w:ascii="宋体" w:hAnsi="宋体" w:eastAsia="宋体" w:cs="宋体"/>
          <w:color w:val="auto"/>
          <w:highlight w:val="none"/>
          <w:lang w:eastAsia="zh-CN"/>
        </w:rPr>
        <w:t>安全校园</w:t>
      </w:r>
      <w:r>
        <w:rPr>
          <w:rFonts w:hint="eastAsia" w:ascii="宋体" w:hAnsi="宋体" w:eastAsia="宋体" w:cs="宋体"/>
          <w:color w:val="auto"/>
          <w:highlight w:val="none"/>
        </w:rPr>
        <w:t>综合系统。</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可靠性：系统硬件采用专业设备，对关键设备采取冗余备份措施，软件采用模块化、分层隔离的设计，确保整个系统长期稳定运行。</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实用性：系统的设计突出应用，以客流分析现实需求为导向，以有效应用为核心，以技术建设与工作机制的同步协调为保障，确保系统能有效服务于用户的工作需要。</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标准性：系统设备选型符合国内相关标准，保证设备应用的兼容性，采用标准接口，实现信息资源共享。</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经济性：系统整体配置性能高，价格合理，建设成本和投入较低，同时方案考虑原有系统的利旧。</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扩展性：系统采用业界主流的硬件设备，提供标准的协议，具有良好的兼容性和通用的软硬件接口，可以全面兼容主流厂商的设备，并能为其他系统提供接口。系统支持能力的对外输出。</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安全性：综合考虑设备安全、网络安全和数据安全。采取可靠手段杜绝对系统的非法访问、入侵或攻击行为。数据采取前端分布存储、监控中心集中存储管理相结合的方式，对数据的访问采用严格的用户权限控制，并做好异常快速应急响应和日志记录。</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bookmarkStart w:id="16" w:name="_Toc158039807"/>
      <w:bookmarkStart w:id="17" w:name="_Toc53255352"/>
      <w:r>
        <w:rPr>
          <w:rFonts w:hint="eastAsia" w:ascii="宋体" w:hAnsi="宋体" w:eastAsia="宋体" w:cs="宋体"/>
          <w:color w:val="auto"/>
          <w:highlight w:val="none"/>
          <w:lang w:val="en-US" w:eastAsia="zh-CN"/>
        </w:rPr>
        <w:t>2.2</w:t>
      </w:r>
      <w:r>
        <w:rPr>
          <w:rFonts w:hint="eastAsia" w:ascii="宋体" w:hAnsi="宋体" w:eastAsia="宋体" w:cs="宋体"/>
          <w:color w:val="auto"/>
          <w:highlight w:val="none"/>
        </w:rPr>
        <w:t>设计标准</w:t>
      </w:r>
      <w:bookmarkEnd w:id="16"/>
      <w:bookmarkEnd w:id="17"/>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设计依据国家相关法律规章、国家和行业相关标准、相关研究成果等资料进行，具体如下：</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（1）视频系统网络设计方面</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《信息技术开放系统互连网络层安全协议》（GB/T 17963）</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《计算机信息系统安全》（GA 216.1-1999）</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《计算机软件开发规范》（GB8566-88）</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（2）视频系统工程建设方面</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《安全防范工程程序与要求》（GA/T75-94）</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《安全防范工程技术规范》（GB50348-2018）</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《综合布线系统工程验收规范》（GB/T50312-2016）</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bookmarkStart w:id="18" w:name="_Toc158039808"/>
      <w:r>
        <w:rPr>
          <w:rFonts w:hint="eastAsia" w:ascii="宋体" w:hAnsi="宋体" w:eastAsia="宋体" w:cs="宋体"/>
          <w:color w:val="auto"/>
          <w:highlight w:val="none"/>
          <w:lang w:val="en-US" w:eastAsia="zh-CN"/>
        </w:rPr>
        <w:t>2.3</w:t>
      </w:r>
      <w:r>
        <w:rPr>
          <w:rFonts w:hint="eastAsia" w:ascii="宋体" w:hAnsi="宋体" w:eastAsia="宋体" w:cs="宋体"/>
          <w:color w:val="auto"/>
          <w:highlight w:val="none"/>
        </w:rPr>
        <w:t>应用架构</w:t>
      </w:r>
      <w:bookmarkEnd w:id="18"/>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基于智安校园管理平台实现。定位安防业务升级，聚焦视频运维、态势感知、全域搜索和全息轨迹等诉求，提供运维服务、智能搜索、智能档案、全息轨迹、领导驾驶舱功能。</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inline distT="0" distB="0" distL="114300" distR="114300">
            <wp:extent cx="5514340" cy="2821305"/>
            <wp:effectExtent l="0" t="0" r="1016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514340" cy="2821305"/>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b w:val="0"/>
          <w:bCs w:val="0"/>
          <w:color w:val="auto"/>
          <w:highlight w:val="none"/>
          <w:lang w:val="en-US" w:eastAsia="zh-CN"/>
        </w:rPr>
        <w:t>（图片仅做参考）</w:t>
      </w:r>
    </w:p>
    <w:p>
      <w:pPr>
        <w:pStyle w:val="5"/>
        <w:pageBreakBefore w:val="0"/>
        <w:kinsoku/>
        <w:overflowPunct/>
        <w:topLinePunct w:val="0"/>
        <w:bidi w:val="0"/>
        <w:adjustRightInd w:val="0"/>
        <w:snapToGrid w:val="0"/>
        <w:spacing w:line="336"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三、建设内容</w:t>
      </w:r>
    </w:p>
    <w:p>
      <w:pPr>
        <w:pageBreakBefore w:val="0"/>
        <w:kinsoku/>
        <w:overflowPunct/>
        <w:topLinePunct w:val="0"/>
        <w:bidi w:val="0"/>
        <w:adjustRightInd w:val="0"/>
        <w:snapToGrid w:val="0"/>
        <w:spacing w:line="336" w:lineRule="auto"/>
        <w:ind w:firstLine="241" w:firstLineChars="100"/>
        <w:rPr>
          <w:rFonts w:hint="eastAsia" w:ascii="宋体" w:hAnsi="宋体" w:eastAsia="宋体" w:cs="宋体"/>
          <w:color w:val="auto"/>
          <w:sz w:val="24"/>
          <w:szCs w:val="24"/>
          <w:highlight w:val="none"/>
          <w:lang w:val="en-US" w:eastAsia="zh-CN"/>
        </w:rPr>
      </w:pPr>
      <w:bookmarkStart w:id="19" w:name="_Toc158039810"/>
      <w:r>
        <w:rPr>
          <w:rFonts w:hint="eastAsia" w:ascii="宋体" w:hAnsi="宋体" w:eastAsia="宋体" w:cs="宋体"/>
          <w:b/>
          <w:bCs/>
          <w:color w:val="auto"/>
          <w:sz w:val="24"/>
          <w:szCs w:val="24"/>
          <w:highlight w:val="none"/>
          <w:lang w:val="en-US" w:eastAsia="zh-CN"/>
        </w:rPr>
        <w:t>（一）智安校园管理平台</w:t>
      </w:r>
      <w:bookmarkEnd w:id="19"/>
    </w:p>
    <w:p>
      <w:pPr>
        <w:pageBreakBefore w:val="0"/>
        <w:kinsoku/>
        <w:overflowPunct/>
        <w:topLinePunct w:val="0"/>
        <w:bidi w:val="0"/>
        <w:adjustRightInd w:val="0"/>
        <w:snapToGrid w:val="0"/>
        <w:spacing w:line="336" w:lineRule="auto"/>
        <w:rPr>
          <w:rFonts w:hint="eastAsia" w:ascii="宋体" w:hAnsi="宋体" w:eastAsia="宋体" w:cs="宋体"/>
          <w:b/>
          <w:bCs/>
          <w:color w:val="auto"/>
          <w:highlight w:val="none"/>
          <w:lang w:val="en-US" w:eastAsia="zh-CN"/>
        </w:rPr>
      </w:pPr>
      <w:bookmarkStart w:id="20" w:name="_Toc158039811"/>
      <w:r>
        <w:rPr>
          <w:rFonts w:hint="eastAsia" w:ascii="宋体" w:hAnsi="宋体" w:eastAsia="宋体" w:cs="宋体"/>
          <w:b/>
          <w:bCs/>
          <w:color w:val="auto"/>
          <w:highlight w:val="none"/>
          <w:lang w:val="en-US" w:eastAsia="zh-CN"/>
        </w:rPr>
        <w:t>1.视频运维服务</w:t>
      </w:r>
      <w:bookmarkEnd w:id="20"/>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支持对监控点分辨率、监控点在线率、图像正常率、录像完整率进行监测和统计，可查看统计数据明细；</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支持图像模糊、图像过亮、图像偏色、图像过暗、图像过亮、视频抖动、视频丢帧、场景变换、视频遮挡、对比度、条纹干扰、噪声干扰、信号丢失、黑白图像指标诊断；</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根据校园区域、时间筛选统计所属区域、总数、监控点在线率、图像正常率、录像完整率、点播成功率，并展示综合得分及排名；</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drawing>
          <wp:inline distT="0" distB="0" distL="114300" distR="114300">
            <wp:extent cx="5908675" cy="3186430"/>
            <wp:effectExtent l="0" t="0" r="4445" b="13970"/>
            <wp:docPr id="2" name="图片 27"/>
            <wp:cNvGraphicFramePr/>
            <a:graphic xmlns:a="http://schemas.openxmlformats.org/drawingml/2006/main">
              <a:graphicData uri="http://schemas.openxmlformats.org/drawingml/2006/picture">
                <pic:pic xmlns:pic="http://schemas.openxmlformats.org/drawingml/2006/picture">
                  <pic:nvPicPr>
                    <pic:cNvPr id="2" name="图片 27"/>
                    <pic:cNvPicPr/>
                  </pic:nvPicPr>
                  <pic:blipFill>
                    <a:blip r:embed="rId20"/>
                    <a:stretch>
                      <a:fillRect/>
                    </a:stretch>
                  </pic:blipFill>
                  <pic:spPr>
                    <a:xfrm>
                      <a:off x="0" y="0"/>
                      <a:ext cx="5908675" cy="3186430"/>
                    </a:xfrm>
                    <a:prstGeom prst="rect">
                      <a:avLst/>
                    </a:prstGeom>
                    <a:noFill/>
                    <a:ln>
                      <a:noFill/>
                    </a:ln>
                  </pic:spPr>
                </pic:pic>
              </a:graphicData>
            </a:graphic>
          </wp:inline>
        </w:drawing>
      </w:r>
      <w:r>
        <w:rPr>
          <w:rFonts w:hint="eastAsia" w:ascii="宋体" w:hAnsi="宋体" w:eastAsia="宋体" w:cs="宋体"/>
          <w:b w:val="0"/>
          <w:bCs w:val="0"/>
          <w:color w:val="auto"/>
          <w:highlight w:val="none"/>
          <w:lang w:val="en-US" w:eastAsia="zh-CN"/>
        </w:rPr>
        <w:t>（图片仅做参考）</w:t>
      </w:r>
    </w:p>
    <w:p>
      <w:pPr>
        <w:pStyle w:val="19"/>
        <w:pageBreakBefore w:val="0"/>
        <w:kinsoku/>
        <w:overflowPunct/>
        <w:topLinePunct w:val="0"/>
        <w:bidi w:val="0"/>
        <w:adjustRightInd w:val="0"/>
        <w:snapToGrid w:val="0"/>
        <w:spacing w:line="336" w:lineRule="auto"/>
        <w:rPr>
          <w:rFonts w:hint="eastAsia" w:ascii="宋体" w:hAnsi="宋体" w:eastAsia="宋体" w:cs="宋体"/>
          <w:color w:val="auto"/>
          <w:highlight w:val="none"/>
          <w:lang w:val="zh-CN" w:eastAsia="zh-CN"/>
        </w:rPr>
      </w:pP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eastAsia="zh-CN"/>
        </w:rPr>
        <w:drawing>
          <wp:inline distT="0" distB="0" distL="114300" distR="114300">
            <wp:extent cx="5805805" cy="3055620"/>
            <wp:effectExtent l="0" t="0" r="635" b="762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pic:cNvPicPr>
                      <a:picLocks noChangeAspect="1"/>
                    </pic:cNvPicPr>
                  </pic:nvPicPr>
                  <pic:blipFill>
                    <a:blip r:embed="rId21"/>
                    <a:stretch>
                      <a:fillRect/>
                    </a:stretch>
                  </pic:blipFill>
                  <pic:spPr>
                    <a:xfrm>
                      <a:off x="0" y="0"/>
                      <a:ext cx="5805805" cy="3055620"/>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bookmarkStart w:id="21" w:name="_Toc158039812"/>
      <w:bookmarkStart w:id="22" w:name="_Toc123917048"/>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lang w:val="en-US" w:eastAsia="zh-CN"/>
        </w:rPr>
      </w:pPr>
    </w:p>
    <w:p>
      <w:pPr>
        <w:pageBreakBefore w:val="0"/>
        <w:kinsoku/>
        <w:overflowPunct/>
        <w:topLinePunct w:val="0"/>
        <w:bidi w:val="0"/>
        <w:adjustRightInd w:val="0"/>
        <w:snapToGrid w:val="0"/>
        <w:spacing w:line="336"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br w:type="page"/>
      </w:r>
      <w:r>
        <w:rPr>
          <w:rFonts w:hint="eastAsia" w:ascii="宋体" w:hAnsi="宋体" w:eastAsia="宋体" w:cs="宋体"/>
          <w:b/>
          <w:bCs/>
          <w:color w:val="auto"/>
          <w:highlight w:val="none"/>
          <w:lang w:val="en-US" w:eastAsia="zh-CN"/>
        </w:rPr>
        <w:t>2.事件处置中心</w:t>
      </w:r>
      <w:bookmarkEnd w:id="21"/>
      <w:bookmarkEnd w:id="22"/>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事件中心</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支持待处理、转给我的、处理中、待完结、已结束的事件查看；支持通过事件类型、上报方式、事件源、发生时间、事件等级、一级分类和二级分类筛选；支持事件的导出和批量误报；支持上报事件； </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inline distT="0" distB="0" distL="114300" distR="114300">
            <wp:extent cx="5857875" cy="2858135"/>
            <wp:effectExtent l="0" t="0" r="9525" b="6985"/>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pic:cNvPicPr>
                  </pic:nvPicPr>
                  <pic:blipFill>
                    <a:blip r:embed="rId22"/>
                    <a:stretch>
                      <a:fillRect/>
                    </a:stretch>
                  </pic:blipFill>
                  <pic:spPr>
                    <a:xfrm>
                      <a:off x="0" y="0"/>
                      <a:ext cx="5857875" cy="2858135"/>
                    </a:xfrm>
                    <a:prstGeom prst="rect">
                      <a:avLst/>
                    </a:prstGeom>
                    <a:noFill/>
                    <a:ln>
                      <a:noFill/>
                    </a:ln>
                  </pic:spPr>
                </pic:pic>
              </a:graphicData>
            </a:graphic>
          </wp:inline>
        </w:drawing>
      </w:r>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lang w:eastAsia="zh-CN"/>
        </w:rPr>
      </w:pP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）事件上报</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支持对事件进行手动添加；</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73775" cy="2974340"/>
            <wp:effectExtent l="0" t="0" r="6985" b="12700"/>
            <wp:docPr id="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
                    <pic:cNvPicPr>
                      <a:picLocks noChangeAspect="1"/>
                    </pic:cNvPicPr>
                  </pic:nvPicPr>
                  <pic:blipFill>
                    <a:blip r:embed="rId23"/>
                    <a:stretch>
                      <a:fillRect/>
                    </a:stretch>
                  </pic:blipFill>
                  <pic:spPr>
                    <a:xfrm>
                      <a:off x="0" y="0"/>
                      <a:ext cx="6073775" cy="2974340"/>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lang w:eastAsia="zh-CN"/>
        </w:rPr>
      </w:pP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br w:type="page"/>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事件记录</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支持事件记录查看；支持通过事件类型、上报方式、发生区域、处理状态、确认状态、预案提交状态、事件源、发生时间、事件等级、一级分类和二级分类筛选；支持事件的导出；支持事件处理； </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97575" cy="2926715"/>
            <wp:effectExtent l="0" t="0" r="6985" b="14605"/>
            <wp:docPr id="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pic:cNvPicPr>
                      <a:picLocks noChangeAspect="1"/>
                    </pic:cNvPicPr>
                  </pic:nvPicPr>
                  <pic:blipFill>
                    <a:blip r:embed="rId24"/>
                    <a:stretch>
                      <a:fillRect/>
                    </a:stretch>
                  </pic:blipFill>
                  <pic:spPr>
                    <a:xfrm>
                      <a:off x="0" y="0"/>
                      <a:ext cx="5997575" cy="2926715"/>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事件统计</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事件统计分为日事件统计、周事件统计、月事件统计、年事件统计和事件处理效率统计；</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zh-CN" w:eastAsia="zh-CN"/>
        </w:rPr>
      </w:pPr>
      <w:r>
        <w:rPr>
          <w:rFonts w:hint="eastAsia" w:ascii="宋体" w:hAnsi="宋体" w:eastAsia="宋体" w:cs="宋体"/>
          <w:color w:val="auto"/>
          <w:highlight w:val="none"/>
        </w:rPr>
        <w:drawing>
          <wp:inline distT="0" distB="0" distL="114300" distR="114300">
            <wp:extent cx="5880735" cy="2879725"/>
            <wp:effectExtent l="0" t="0" r="1905" b="635"/>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25"/>
                    <a:stretch>
                      <a:fillRect/>
                    </a:stretch>
                  </pic:blipFill>
                  <pic:spPr>
                    <a:xfrm>
                      <a:off x="0" y="0"/>
                      <a:ext cx="5880735" cy="2879725"/>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bookmarkStart w:id="23" w:name="_Toc158039813"/>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lang w:val="en-US" w:eastAsia="zh-CN"/>
        </w:rPr>
      </w:pPr>
    </w:p>
    <w:p>
      <w:pPr>
        <w:pageBreakBefore w:val="0"/>
        <w:kinsoku/>
        <w:overflowPunct/>
        <w:topLinePunct w:val="0"/>
        <w:bidi w:val="0"/>
        <w:adjustRightInd w:val="0"/>
        <w:snapToGrid w:val="0"/>
        <w:spacing w:line="336"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3.智能检索中心</w:t>
      </w:r>
      <w:bookmarkEnd w:id="23"/>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智安校园管理平台检索中心融合物联数据和业务数据，提供人、车统一智能检索入口，一键获取全量信息，对检索结果进行轨迹展示及汇总处理。功能包括：人员搜索、以图搜人、车辆搜索、以图搜车、融合轨迹、1V1比对、人车档案管理。</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检索首页</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构建检索中心，通过统一检索首页提供</w:t>
      </w:r>
      <w:r>
        <w:rPr>
          <w:rFonts w:hint="eastAsia" w:ascii="宋体" w:hAnsi="宋体" w:eastAsia="宋体" w:cs="宋体"/>
          <w:color w:val="auto"/>
          <w:highlight w:val="none"/>
        </w:rPr>
        <w:t>人员、车辆信息的模糊搜索、精准搜索和包含图片上传方式的搜索；搜索拓展可以快捷跳转到1V1比对和人车档案管理的页面。</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人员检索</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过下发高频识别计划或一人一档识别计划，后端分析设备在接收到抓拍任务之后会进行人员比对，给同一个人的抓拍记录打标签，人员检索可以通过关键词模糊搜索、精确检索或以图搜图查询人脸库或路人库的人员。平台内人员会合并抓拍及门禁事件，并将对应的事件绘制成地图轨迹及时间轴。人员检索和车辆检索均包含事件图片下载、视频回放、二次搜图以及事件点位展示等功能。</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zh-CN"/>
        </w:rPr>
      </w:pPr>
      <w:r>
        <w:rPr>
          <w:rFonts w:hint="eastAsia" w:ascii="宋体" w:hAnsi="宋体" w:eastAsia="宋体" w:cs="宋体"/>
          <w:color w:val="auto"/>
          <w:highlight w:val="none"/>
        </w:rPr>
        <w:drawing>
          <wp:inline distT="0" distB="0" distL="114300" distR="114300">
            <wp:extent cx="5295900" cy="2705100"/>
            <wp:effectExtent l="9525" t="9525" r="9525" b="952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6"/>
                    <a:stretch>
                      <a:fillRect/>
                    </a:stretch>
                  </pic:blipFill>
                  <pic:spPr>
                    <a:xfrm>
                      <a:off x="0" y="0"/>
                      <a:ext cx="5278120" cy="2689225"/>
                    </a:xfrm>
                    <a:prstGeom prst="rect">
                      <a:avLst/>
                    </a:prstGeom>
                    <a:noFill/>
                    <a:ln>
                      <a:gradFill>
                        <a:gsLst>
                          <a:gs pos="0">
                            <a:srgbClr val="F6F9FC">
                              <a:lumMod val="5000"/>
                              <a:lumOff val="95000"/>
                            </a:srgbClr>
                          </a:gs>
                          <a:gs pos="74000">
                            <a:srgbClr val="B0C6E1">
                              <a:lumMod val="45000"/>
                              <a:lumOff val="55000"/>
                            </a:srgbClr>
                          </a:gs>
                          <a:gs pos="83000">
                            <a:srgbClr val="B0C6E1">
                              <a:lumMod val="45000"/>
                              <a:lumOff val="55000"/>
                            </a:srgbClr>
                          </a:gs>
                          <a:gs pos="100000">
                            <a:srgbClr val="CAD9EB">
                              <a:lumMod val="30000"/>
                              <a:lumOff val="70000"/>
                            </a:srgbClr>
                          </a:gs>
                        </a:gsLst>
                        <a:lin ang="5400000" scaled="1"/>
                      </a:gradFill>
                    </a:ln>
                    <a:effectLst/>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（图1 </w:t>
      </w:r>
      <w:r>
        <w:rPr>
          <w:rFonts w:hint="eastAsia" w:ascii="宋体" w:hAnsi="宋体" w:eastAsia="宋体" w:cs="宋体"/>
          <w:color w:val="auto"/>
          <w:highlight w:val="none"/>
        </w:rPr>
        <w:t>精确搜索</w:t>
      </w:r>
      <w:r>
        <w:rPr>
          <w:rFonts w:hint="eastAsia" w:ascii="宋体" w:hAnsi="宋体" w:eastAsia="宋体" w:cs="宋体"/>
          <w:color w:val="auto"/>
          <w:highlight w:val="none"/>
          <w:lang w:val="en-US" w:eastAsia="zh-CN"/>
        </w:rPr>
        <w:t>）</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以图搜人</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支持以图搜人，通过上传人员照片的方式，选择人脸特征或者是人体特征，快速搜索人员的抓拍记录。</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95900" cy="2619375"/>
            <wp:effectExtent l="9525" t="9525" r="9525" b="1905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7"/>
                    <a:stretch>
                      <a:fillRect/>
                    </a:stretch>
                  </pic:blipFill>
                  <pic:spPr>
                    <a:xfrm>
                      <a:off x="0" y="0"/>
                      <a:ext cx="5278120" cy="2609850"/>
                    </a:xfrm>
                    <a:prstGeom prst="rect">
                      <a:avLst/>
                    </a:prstGeom>
                    <a:noFill/>
                    <a:ln>
                      <a:gradFill>
                        <a:gsLst>
                          <a:gs pos="0">
                            <a:srgbClr val="F6F9FC">
                              <a:lumMod val="5000"/>
                              <a:lumOff val="95000"/>
                            </a:srgbClr>
                          </a:gs>
                          <a:gs pos="74000">
                            <a:srgbClr val="B0C6E1">
                              <a:lumMod val="45000"/>
                              <a:lumOff val="55000"/>
                            </a:srgbClr>
                          </a:gs>
                          <a:gs pos="83000">
                            <a:srgbClr val="B0C6E1">
                              <a:lumMod val="45000"/>
                              <a:lumOff val="55000"/>
                            </a:srgbClr>
                          </a:gs>
                          <a:gs pos="100000">
                            <a:srgbClr val="CAD9EB">
                              <a:lumMod val="30000"/>
                              <a:lumOff val="70000"/>
                            </a:srgbClr>
                          </a:gs>
                        </a:gsLst>
                        <a:lin ang="5400000" scaled="1"/>
                      </a:gradFill>
                    </a:ln>
                    <a:effectLst/>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（图2</w:t>
      </w:r>
      <w:r>
        <w:rPr>
          <w:rFonts w:hint="eastAsia" w:ascii="宋体" w:hAnsi="宋体" w:eastAsia="宋体" w:cs="宋体"/>
          <w:color w:val="auto"/>
          <w:highlight w:val="none"/>
        </w:rPr>
        <w:t>以图搜人</w:t>
      </w:r>
      <w:r>
        <w:rPr>
          <w:rFonts w:hint="eastAsia" w:ascii="宋体" w:hAnsi="宋体" w:eastAsia="宋体" w:cs="宋体"/>
          <w:color w:val="auto"/>
          <w:highlight w:val="none"/>
          <w:lang w:val="en-US" w:eastAsia="zh-CN"/>
        </w:rPr>
        <w:t>）</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车辆检索</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可根据车主、车辆信息及车辆、车牌特征搜索车辆信息，并查询对应车辆的事件记录。</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以图搜车</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支持以图搜车，通过上传车辆照片的方式，选择车牌号码或者是车身特征，快速搜索车辆的抓拍记录。</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1V1比对</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通过从本地上传图片的形式，比对两张图片的相似度。</w:t>
      </w:r>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融合轨迹</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通过将人员检索、车辆检索的目标加入收藏夹，可进行后续人车混合轨迹查询和回放。支持将前端结构化、中心结构化、门禁数据进行一次检索，融合为一条轨迹展示。</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377815" cy="2727960"/>
            <wp:effectExtent l="9525" t="9525" r="22860" b="20955"/>
            <wp:docPr id="4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6"/>
                    <pic:cNvPicPr>
                      <a:picLocks noChangeAspect="1"/>
                    </pic:cNvPicPr>
                  </pic:nvPicPr>
                  <pic:blipFill>
                    <a:blip r:embed="rId28"/>
                    <a:stretch>
                      <a:fillRect/>
                    </a:stretch>
                  </pic:blipFill>
                  <pic:spPr>
                    <a:xfrm>
                      <a:off x="0" y="0"/>
                      <a:ext cx="5377815" cy="2727960"/>
                    </a:xfrm>
                    <a:prstGeom prst="rect">
                      <a:avLst/>
                    </a:prstGeom>
                    <a:noFill/>
                    <a:ln>
                      <a:gradFill>
                        <a:gsLst>
                          <a:gs pos="0">
                            <a:srgbClr val="F6F9FC">
                              <a:lumMod val="5000"/>
                              <a:lumOff val="95000"/>
                            </a:srgbClr>
                          </a:gs>
                          <a:gs pos="74000">
                            <a:srgbClr val="B0C6E1">
                              <a:lumMod val="45000"/>
                              <a:lumOff val="55000"/>
                            </a:srgbClr>
                          </a:gs>
                          <a:gs pos="83000">
                            <a:srgbClr val="B0C6E1">
                              <a:lumMod val="45000"/>
                              <a:lumOff val="55000"/>
                            </a:srgbClr>
                          </a:gs>
                          <a:gs pos="100000">
                            <a:srgbClr val="CAD9EB">
                              <a:lumMod val="30000"/>
                              <a:lumOff val="70000"/>
                            </a:srgbClr>
                          </a:gs>
                        </a:gsLst>
                        <a:lin ang="5400000" scaled="1"/>
                      </a:gradFill>
                    </a:ln>
                    <a:effectLst/>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（图3</w:t>
      </w:r>
      <w:r>
        <w:rPr>
          <w:rFonts w:hint="eastAsia" w:ascii="宋体" w:hAnsi="宋体" w:eastAsia="宋体" w:cs="宋体"/>
          <w:color w:val="auto"/>
          <w:highlight w:val="none"/>
        </w:rPr>
        <w:t>轨迹融合</w:t>
      </w:r>
      <w:r>
        <w:rPr>
          <w:rFonts w:hint="eastAsia" w:ascii="宋体" w:hAnsi="宋体" w:eastAsia="宋体" w:cs="宋体"/>
          <w:color w:val="auto"/>
          <w:highlight w:val="none"/>
          <w:lang w:val="en-US" w:eastAsia="zh-CN"/>
        </w:rPr>
        <w:t>）</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人车档案管理</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支持档案模式，聚类展示人员事件, 快速定位目标人员/车辆。</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397500" cy="2515235"/>
            <wp:effectExtent l="9525" t="9525" r="18415" b="203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9"/>
                    <a:stretch>
                      <a:fillRect/>
                    </a:stretch>
                  </pic:blipFill>
                  <pic:spPr>
                    <a:xfrm>
                      <a:off x="0" y="0"/>
                      <a:ext cx="5397500" cy="2515235"/>
                    </a:xfrm>
                    <a:prstGeom prst="rect">
                      <a:avLst/>
                    </a:prstGeom>
                    <a:noFill/>
                    <a:ln>
                      <a:gradFill>
                        <a:gsLst>
                          <a:gs pos="0">
                            <a:srgbClr val="F6F9FC">
                              <a:lumMod val="5000"/>
                              <a:lumOff val="95000"/>
                            </a:srgbClr>
                          </a:gs>
                          <a:gs pos="74000">
                            <a:srgbClr val="B0C6E1">
                              <a:lumMod val="45000"/>
                              <a:lumOff val="55000"/>
                            </a:srgbClr>
                          </a:gs>
                          <a:gs pos="83000">
                            <a:srgbClr val="B0C6E1">
                              <a:lumMod val="45000"/>
                              <a:lumOff val="55000"/>
                            </a:srgbClr>
                          </a:gs>
                          <a:gs pos="100000">
                            <a:srgbClr val="CAD9EB">
                              <a:lumMod val="30000"/>
                              <a:lumOff val="70000"/>
                            </a:srgbClr>
                          </a:gs>
                        </a:gsLst>
                        <a:lin ang="5400000" scaled="1"/>
                      </a:gradFill>
                    </a:ln>
                    <a:effectLst/>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 xml:space="preserve">图4 </w:t>
      </w:r>
      <w:r>
        <w:rPr>
          <w:rFonts w:hint="eastAsia" w:ascii="宋体" w:hAnsi="宋体" w:eastAsia="宋体" w:cs="宋体"/>
          <w:color w:val="auto"/>
          <w:highlight w:val="none"/>
        </w:rPr>
        <w:t>档案模式</w:t>
      </w:r>
      <w:r>
        <w:rPr>
          <w:rFonts w:hint="eastAsia" w:ascii="宋体" w:hAnsi="宋体" w:eastAsia="宋体" w:cs="宋体"/>
          <w:color w:val="auto"/>
          <w:highlight w:val="none"/>
          <w:lang w:eastAsia="zh-CN"/>
        </w:rPr>
        <w:t>）</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统计人员和车辆的档案数据，包括档案总数、档案分类统计、近七天档案生成趋势、月度档案趋势统计等。同时支持快捷搜索人车档案信息。</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614035" cy="6142990"/>
            <wp:effectExtent l="0" t="0" r="5715"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0"/>
                    <a:stretch>
                      <a:fillRect/>
                    </a:stretch>
                  </pic:blipFill>
                  <pic:spPr>
                    <a:xfrm>
                      <a:off x="0" y="0"/>
                      <a:ext cx="5614035" cy="6142990"/>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（图5 </w:t>
      </w:r>
      <w:r>
        <w:rPr>
          <w:rFonts w:hint="eastAsia" w:ascii="宋体" w:hAnsi="宋体" w:eastAsia="宋体" w:cs="宋体"/>
          <w:color w:val="auto"/>
          <w:highlight w:val="none"/>
        </w:rPr>
        <w:t>档案管理</w:t>
      </w:r>
      <w:r>
        <w:rPr>
          <w:rFonts w:hint="eastAsia" w:ascii="宋体" w:hAnsi="宋体" w:eastAsia="宋体" w:cs="宋体"/>
          <w:color w:val="auto"/>
          <w:highlight w:val="none"/>
          <w:lang w:val="en-US" w:eastAsia="zh-CN"/>
        </w:rPr>
        <w:t>）</w:t>
      </w:r>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rPr>
          <w:rFonts w:hint="eastAsia" w:ascii="宋体" w:hAnsi="宋体" w:eastAsia="宋体" w:cs="宋体"/>
          <w:b/>
          <w:bCs/>
          <w:color w:val="auto"/>
          <w:highlight w:val="none"/>
          <w:lang w:val="en-US" w:eastAsia="zh-CN"/>
        </w:rPr>
      </w:pPr>
      <w:bookmarkStart w:id="24" w:name="_Toc158039814"/>
      <w:r>
        <w:rPr>
          <w:rFonts w:hint="eastAsia" w:ascii="宋体" w:hAnsi="宋体" w:eastAsia="宋体" w:cs="宋体"/>
          <w:b/>
          <w:bCs/>
          <w:color w:val="auto"/>
          <w:highlight w:val="none"/>
          <w:lang w:val="en-US" w:eastAsia="zh-CN"/>
        </w:rPr>
        <w:br w:type="page"/>
      </w:r>
      <w:r>
        <w:rPr>
          <w:rFonts w:hint="eastAsia" w:ascii="宋体" w:hAnsi="宋体" w:eastAsia="宋体" w:cs="宋体"/>
          <w:b/>
          <w:bCs/>
          <w:color w:val="auto"/>
          <w:highlight w:val="none"/>
          <w:lang w:val="en-US" w:eastAsia="zh-CN"/>
        </w:rPr>
        <w:t>4.数据看板</w:t>
      </w:r>
      <w:bookmarkEnd w:id="24"/>
    </w:p>
    <w:p>
      <w:pPr>
        <w:pStyle w:val="43"/>
        <w:pageBreakBefore w:val="0"/>
        <w:kinsoku/>
        <w:overflowPunct/>
        <w:topLinePunct w:val="0"/>
        <w:bidi w:val="0"/>
        <w:adjustRightInd w:val="0"/>
        <w:snapToGrid w:val="0"/>
        <w:spacing w:line="336" w:lineRule="auto"/>
        <w:ind w:left="0" w:leftChars="0" w:firstLine="420" w:firstLineChars="200"/>
        <w:rPr>
          <w:rFonts w:hint="eastAsia" w:ascii="宋体" w:hAnsi="宋体" w:eastAsia="宋体" w:cs="宋体"/>
          <w:b/>
          <w:bCs/>
          <w:color w:val="auto"/>
          <w:highlight w:val="none"/>
        </w:rPr>
      </w:pPr>
      <w:r>
        <w:rPr>
          <w:rFonts w:hint="eastAsia" w:ascii="宋体" w:hAnsi="宋体" w:eastAsia="宋体" w:cs="宋体"/>
          <w:color w:val="auto"/>
          <w:highlight w:val="none"/>
        </w:rPr>
        <w:t>构建总览看板、安防态势、人车管理、设备运维四个数据看板，各看板设计如下：</w:t>
      </w:r>
    </w:p>
    <w:p>
      <w:pPr>
        <w:pStyle w:val="43"/>
        <w:pageBreakBefore w:val="0"/>
        <w:kinsoku/>
        <w:overflowPunct/>
        <w:topLinePunct w:val="0"/>
        <w:bidi w:val="0"/>
        <w:adjustRightInd w:val="0"/>
        <w:snapToGrid w:val="0"/>
        <w:spacing w:line="336" w:lineRule="auto"/>
        <w:ind w:left="0" w:leftChars="0"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总览看板</w:t>
      </w:r>
      <w:r>
        <w:rPr>
          <w:rFonts w:hint="eastAsia" w:ascii="宋体" w:hAnsi="宋体" w:eastAsia="宋体" w:cs="宋体"/>
          <w:b/>
          <w:bCs/>
          <w:color w:val="auto"/>
          <w:highlight w:val="none"/>
          <w:lang w:eastAsia="zh-CN"/>
        </w:rPr>
        <w:t>（技术要求详见三、技术要求</w:t>
      </w:r>
      <w:r>
        <w:rPr>
          <w:rFonts w:hint="eastAsia" w:ascii="宋体" w:hAnsi="宋体" w:eastAsia="宋体" w:cs="宋体"/>
          <w:b/>
          <w:bCs/>
          <w:color w:val="auto"/>
          <w:highlight w:val="none"/>
          <w:lang w:val="en-US" w:eastAsia="zh-CN"/>
        </w:rPr>
        <w:t>（二）技术参数 9.</w:t>
      </w:r>
      <w:r>
        <w:rPr>
          <w:rFonts w:hint="eastAsia" w:ascii="宋体" w:hAnsi="宋体" w:eastAsia="宋体" w:cs="宋体"/>
          <w:b/>
          <w:bCs/>
          <w:i w:val="0"/>
          <w:iCs w:val="0"/>
          <w:color w:val="auto"/>
          <w:kern w:val="0"/>
          <w:sz w:val="21"/>
          <w:szCs w:val="21"/>
          <w:highlight w:val="none"/>
          <w:u w:val="none"/>
          <w:lang w:val="en-US" w:eastAsia="zh-CN" w:bidi="ar"/>
        </w:rPr>
        <w:t>可视化看板</w:t>
      </w:r>
      <w:r>
        <w:rPr>
          <w:rFonts w:hint="eastAsia" w:ascii="宋体" w:hAnsi="宋体" w:eastAsia="宋体" w:cs="宋体"/>
          <w:b/>
          <w:bCs/>
          <w:color w:val="auto"/>
          <w:highlight w:val="none"/>
          <w:lang w:eastAsia="zh-CN"/>
        </w:rPr>
        <w:t>）</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151755" cy="3912235"/>
            <wp:effectExtent l="0" t="0" r="14605"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1"/>
                    <a:stretch>
                      <a:fillRect/>
                    </a:stretch>
                  </pic:blipFill>
                  <pic:spPr>
                    <a:xfrm>
                      <a:off x="0" y="0"/>
                      <a:ext cx="5151755" cy="3912235"/>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ind w:firstLine="211" w:firstLineChars="100"/>
        <w:rPr>
          <w:rFonts w:hint="eastAsia" w:ascii="宋体" w:hAnsi="宋体" w:eastAsia="宋体" w:cs="宋体"/>
          <w:b/>
          <w:bCs/>
          <w:color w:val="auto"/>
          <w:highlight w:val="none"/>
          <w:lang w:eastAsia="zh-CN"/>
        </w:rPr>
      </w:pPr>
    </w:p>
    <w:p>
      <w:pPr>
        <w:pageBreakBefore w:val="0"/>
        <w:kinsoku/>
        <w:overflowPunct/>
        <w:topLinePunct w:val="0"/>
        <w:bidi w:val="0"/>
        <w:adjustRightInd w:val="0"/>
        <w:snapToGrid w:val="0"/>
        <w:spacing w:line="336" w:lineRule="auto"/>
        <w:ind w:firstLine="211" w:firstLineChars="100"/>
        <w:rPr>
          <w:rFonts w:hint="eastAsia" w:ascii="宋体" w:hAnsi="宋体" w:eastAsia="宋体" w:cs="宋体"/>
          <w:color w:val="auto"/>
          <w:highlight w:val="none"/>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安防态势</w:t>
      </w:r>
      <w:r>
        <w:rPr>
          <w:rFonts w:hint="eastAsia" w:ascii="宋体" w:hAnsi="宋体" w:eastAsia="宋体" w:cs="宋体"/>
          <w:b/>
          <w:bCs/>
          <w:color w:val="auto"/>
          <w:highlight w:val="none"/>
          <w:lang w:eastAsia="zh-CN"/>
        </w:rPr>
        <w:t>（技术要求详见三、技术要求</w:t>
      </w:r>
      <w:r>
        <w:rPr>
          <w:rFonts w:hint="eastAsia" w:ascii="宋体" w:hAnsi="宋体" w:eastAsia="宋体" w:cs="宋体"/>
          <w:b/>
          <w:bCs/>
          <w:color w:val="auto"/>
          <w:highlight w:val="none"/>
          <w:lang w:val="en-US" w:eastAsia="zh-CN"/>
        </w:rPr>
        <w:t>（二）技术参数 9.</w:t>
      </w:r>
      <w:r>
        <w:rPr>
          <w:rFonts w:hint="eastAsia" w:ascii="宋体" w:hAnsi="宋体" w:eastAsia="宋体" w:cs="宋体"/>
          <w:b/>
          <w:bCs/>
          <w:i w:val="0"/>
          <w:iCs w:val="0"/>
          <w:color w:val="auto"/>
          <w:kern w:val="0"/>
          <w:sz w:val="21"/>
          <w:szCs w:val="21"/>
          <w:highlight w:val="none"/>
          <w:u w:val="none"/>
          <w:lang w:val="en-US" w:eastAsia="zh-CN" w:bidi="ar"/>
        </w:rPr>
        <w:t>可视化看板</w:t>
      </w:r>
      <w:r>
        <w:rPr>
          <w:rFonts w:hint="eastAsia" w:ascii="宋体" w:hAnsi="宋体" w:eastAsia="宋体" w:cs="宋体"/>
          <w:b/>
          <w:bCs/>
          <w:color w:val="auto"/>
          <w:highlight w:val="none"/>
          <w:lang w:eastAsia="zh-CN"/>
        </w:rPr>
        <w:t>）</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527040" cy="3183890"/>
            <wp:effectExtent l="0" t="0" r="508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2"/>
                    <a:stretch>
                      <a:fillRect/>
                    </a:stretch>
                  </pic:blipFill>
                  <pic:spPr>
                    <a:xfrm>
                      <a:off x="0" y="0"/>
                      <a:ext cx="5527040" cy="3183890"/>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rPr>
          <w:rFonts w:hint="eastAsia" w:ascii="宋体" w:hAnsi="宋体" w:eastAsia="宋体" w:cs="宋体"/>
          <w:b/>
          <w:bCs/>
          <w:color w:val="auto"/>
          <w:highlight w:val="none"/>
          <w:lang w:eastAsia="zh-CN"/>
        </w:rPr>
      </w:pP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人车管理</w:t>
      </w:r>
      <w:r>
        <w:rPr>
          <w:rFonts w:hint="eastAsia" w:ascii="宋体" w:hAnsi="宋体" w:eastAsia="宋体" w:cs="宋体"/>
          <w:b/>
          <w:bCs/>
          <w:color w:val="auto"/>
          <w:highlight w:val="none"/>
          <w:lang w:eastAsia="zh-CN"/>
        </w:rPr>
        <w:t>（技术要求详见三、技术要求</w:t>
      </w:r>
      <w:r>
        <w:rPr>
          <w:rFonts w:hint="eastAsia" w:ascii="宋体" w:hAnsi="宋体" w:eastAsia="宋体" w:cs="宋体"/>
          <w:b/>
          <w:bCs/>
          <w:color w:val="auto"/>
          <w:highlight w:val="none"/>
          <w:lang w:val="en-US" w:eastAsia="zh-CN"/>
        </w:rPr>
        <w:t>（二）技术参数 9.</w:t>
      </w:r>
      <w:r>
        <w:rPr>
          <w:rFonts w:hint="eastAsia" w:ascii="宋体" w:hAnsi="宋体" w:eastAsia="宋体" w:cs="宋体"/>
          <w:b/>
          <w:bCs/>
          <w:i w:val="0"/>
          <w:iCs w:val="0"/>
          <w:color w:val="auto"/>
          <w:kern w:val="0"/>
          <w:sz w:val="21"/>
          <w:szCs w:val="21"/>
          <w:highlight w:val="none"/>
          <w:u w:val="none"/>
          <w:lang w:val="en-US" w:eastAsia="zh-CN" w:bidi="ar"/>
        </w:rPr>
        <w:t>可视化看板</w:t>
      </w:r>
      <w:r>
        <w:rPr>
          <w:rFonts w:hint="eastAsia" w:ascii="宋体" w:hAnsi="宋体" w:eastAsia="宋体" w:cs="宋体"/>
          <w:b/>
          <w:bCs/>
          <w:color w:val="auto"/>
          <w:highlight w:val="none"/>
          <w:lang w:eastAsia="zh-CN"/>
        </w:rPr>
        <w:t>）</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947285" cy="3789680"/>
            <wp:effectExtent l="0" t="0" r="5715"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3"/>
                    <a:stretch>
                      <a:fillRect/>
                    </a:stretch>
                  </pic:blipFill>
                  <pic:spPr>
                    <a:xfrm>
                      <a:off x="0" y="0"/>
                      <a:ext cx="4947285" cy="3789680"/>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rPr>
          <w:rFonts w:hint="eastAsia" w:ascii="宋体" w:hAnsi="宋体" w:eastAsia="宋体" w:cs="宋体"/>
          <w:b/>
          <w:bCs/>
          <w:color w:val="auto"/>
          <w:highlight w:val="none"/>
          <w:lang w:eastAsia="zh-CN"/>
        </w:rPr>
      </w:pP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4</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设备运维</w:t>
      </w:r>
      <w:r>
        <w:rPr>
          <w:rFonts w:hint="eastAsia" w:ascii="宋体" w:hAnsi="宋体" w:eastAsia="宋体" w:cs="宋体"/>
          <w:b/>
          <w:bCs/>
          <w:color w:val="auto"/>
          <w:highlight w:val="none"/>
          <w:lang w:eastAsia="zh-CN"/>
        </w:rPr>
        <w:t>（技术要求详见三、技术要求</w:t>
      </w:r>
      <w:r>
        <w:rPr>
          <w:rFonts w:hint="eastAsia" w:ascii="宋体" w:hAnsi="宋体" w:eastAsia="宋体" w:cs="宋体"/>
          <w:b/>
          <w:bCs/>
          <w:color w:val="auto"/>
          <w:highlight w:val="none"/>
          <w:lang w:val="en-US" w:eastAsia="zh-CN"/>
        </w:rPr>
        <w:t>（二）技术参数 9.</w:t>
      </w:r>
      <w:r>
        <w:rPr>
          <w:rFonts w:hint="eastAsia" w:ascii="宋体" w:hAnsi="宋体" w:eastAsia="宋体" w:cs="宋体"/>
          <w:b/>
          <w:bCs/>
          <w:i w:val="0"/>
          <w:iCs w:val="0"/>
          <w:color w:val="auto"/>
          <w:kern w:val="0"/>
          <w:sz w:val="21"/>
          <w:szCs w:val="21"/>
          <w:highlight w:val="none"/>
          <w:u w:val="none"/>
          <w:lang w:val="en-US" w:eastAsia="zh-CN" w:bidi="ar"/>
        </w:rPr>
        <w:t>可视化看板</w:t>
      </w:r>
      <w:r>
        <w:rPr>
          <w:rFonts w:hint="eastAsia" w:ascii="宋体" w:hAnsi="宋体" w:eastAsia="宋体" w:cs="宋体"/>
          <w:b/>
          <w:bCs/>
          <w:color w:val="auto"/>
          <w:highlight w:val="none"/>
          <w:lang w:eastAsia="zh-CN"/>
        </w:rPr>
        <w:t>）</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067935" cy="3670935"/>
            <wp:effectExtent l="0" t="0" r="6985" b="19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4"/>
                    <a:stretch>
                      <a:fillRect/>
                    </a:stretch>
                  </pic:blipFill>
                  <pic:spPr>
                    <a:xfrm>
                      <a:off x="0" y="0"/>
                      <a:ext cx="5067935" cy="3670935"/>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bookmarkStart w:id="25" w:name="_Toc158039816"/>
      <w:r>
        <w:rPr>
          <w:rFonts w:hint="eastAsia" w:ascii="宋体" w:hAnsi="宋体" w:eastAsia="宋体" w:cs="宋体"/>
          <w:b w:val="0"/>
          <w:bCs w:val="0"/>
          <w:color w:val="auto"/>
          <w:highlight w:val="none"/>
          <w:lang w:val="en-US" w:eastAsia="zh-CN"/>
        </w:rPr>
        <w:t>（图片仅做参考）</w:t>
      </w:r>
    </w:p>
    <w:p>
      <w:pPr>
        <w:pageBreakBefore w:val="0"/>
        <w:kinsoku/>
        <w:overflowPunct/>
        <w:topLinePunct w:val="0"/>
        <w:bidi w:val="0"/>
        <w:adjustRightInd w:val="0"/>
        <w:snapToGrid w:val="0"/>
        <w:spacing w:line="336"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（二）两校区视频监控系统升级</w:t>
      </w:r>
      <w:bookmarkEnd w:id="25"/>
      <w:r>
        <w:rPr>
          <w:rFonts w:hint="eastAsia" w:ascii="宋体" w:hAnsi="宋体" w:eastAsia="宋体" w:cs="宋体"/>
          <w:b/>
          <w:bCs/>
          <w:color w:val="auto"/>
          <w:sz w:val="24"/>
          <w:szCs w:val="24"/>
          <w:highlight w:val="none"/>
          <w:lang w:val="en-US" w:eastAsia="zh-CN"/>
        </w:rPr>
        <w:t>（下沙校区、临平校区）</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bookmarkStart w:id="26" w:name="_Toc158039817"/>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系统概述</w:t>
      </w:r>
      <w:bookmarkEnd w:id="26"/>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zh-CN"/>
        </w:rPr>
        <w:t>根据现场勘查结果以及相关场景的需求，本次选择高清网络半球满足两校区相关室内场景下的监控需求：其中在临平校区增补20路，下沙校区地下室改造40路。</w:t>
      </w:r>
      <w:r>
        <w:rPr>
          <w:rFonts w:hint="eastAsia" w:ascii="宋体" w:hAnsi="宋体" w:eastAsia="宋体" w:cs="宋体"/>
          <w:color w:val="auto"/>
          <w:highlight w:val="none"/>
        </w:rPr>
        <w:t>网络高清摄像机，通过硬件平台和编码算法，提供高效的处理能力和功能应用，优质的图像效果、便捷的操作管理和完善的维护体系。</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bookmarkStart w:id="27" w:name="_Toc158039818"/>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系统架构</w:t>
      </w:r>
      <w:bookmarkEnd w:id="27"/>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将新建监控接入学校现有视频监控系统中，高清视频监控系统分为视频前端系统、传输网络、视频存储系统、视频解码拼控、大屏显示、视频信息管理应用平台等几个部分。</w:t>
      </w:r>
    </w:p>
    <w:p>
      <w:pPr>
        <w:pStyle w:val="19"/>
        <w:pageBreakBefore w:val="0"/>
        <w:kinsoku/>
        <w:overflowPunct/>
        <w:topLinePunct w:val="0"/>
        <w:bidi w:val="0"/>
        <w:adjustRightInd w:val="0"/>
        <w:snapToGrid w:val="0"/>
        <w:spacing w:line="336"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786120" cy="3007995"/>
            <wp:effectExtent l="0" t="0" r="5080" b="9525"/>
            <wp:docPr id="23" name="图片 23" descr="0baf7f9dfa3530f597910fe97847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baf7f9dfa3530f597910fe978473e6"/>
                    <pic:cNvPicPr>
                      <a:picLocks noChangeAspect="1"/>
                    </pic:cNvPicPr>
                  </pic:nvPicPr>
                  <pic:blipFill>
                    <a:blip r:embed="rId35"/>
                    <a:stretch>
                      <a:fillRect/>
                    </a:stretch>
                  </pic:blipFill>
                  <pic:spPr>
                    <a:xfrm>
                      <a:off x="0" y="0"/>
                      <a:ext cx="5786120" cy="3007995"/>
                    </a:xfrm>
                    <a:prstGeom prst="rect">
                      <a:avLst/>
                    </a:prstGeom>
                  </pic:spPr>
                </pic:pic>
              </a:graphicData>
            </a:graphic>
          </wp:inline>
        </w:drawing>
      </w:r>
    </w:p>
    <w:p>
      <w:pPr>
        <w:pageBreakBefore w:val="0"/>
        <w:kinsoku/>
        <w:overflowPunct/>
        <w:topLinePunct w:val="0"/>
        <w:bidi w:val="0"/>
        <w:adjustRightInd w:val="0"/>
        <w:snapToGrid w:val="0"/>
        <w:spacing w:line="336" w:lineRule="auto"/>
        <w:rPr>
          <w:rFonts w:hint="eastAsia" w:ascii="宋体" w:hAnsi="宋体" w:eastAsia="宋体" w:cs="宋体"/>
          <w:b/>
          <w:bCs/>
          <w:color w:val="auto"/>
          <w:highlight w:val="none"/>
        </w:rPr>
      </w:pPr>
      <w:bookmarkStart w:id="28" w:name="_Toc524769204"/>
      <w:bookmarkStart w:id="29" w:name="_Toc158039819"/>
      <w:r>
        <w:rPr>
          <w:rFonts w:hint="eastAsia" w:ascii="宋体" w:hAnsi="宋体" w:eastAsia="宋体" w:cs="宋体"/>
          <w:b/>
          <w:bCs/>
          <w:color w:val="auto"/>
          <w:highlight w:val="none"/>
          <w:lang w:val="en-US" w:eastAsia="zh-CN"/>
        </w:rPr>
        <w:t>3.其他</w:t>
      </w:r>
      <w:bookmarkEnd w:id="28"/>
      <w:bookmarkEnd w:id="29"/>
    </w:p>
    <w:p>
      <w:pPr>
        <w:pageBreakBefore w:val="0"/>
        <w:kinsoku/>
        <w:overflowPunct/>
        <w:topLinePunct w:val="0"/>
        <w:bidi w:val="0"/>
        <w:adjustRightInd w:val="0"/>
        <w:snapToGrid w:val="0"/>
        <w:spacing w:line="336" w:lineRule="auto"/>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浓缩播放</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在需要快速查看录像的场景中，如保安人员需要对一段时期内的录像进行快速浏览以寻找证据，将是否有人出现定义为关键视频，可对非关键时段视频进行快速播放，关键时段正常播放，实现长时间视频的浓缩播放、快速查找和定位目标，减少查找时间，提高视频查看效率。</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488940" cy="3021330"/>
            <wp:effectExtent l="0" t="0" r="12700" b="0"/>
            <wp:docPr id="16" name="图片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193"/>
                    <pic:cNvPicPr>
                      <a:picLocks noChangeAspect="1"/>
                    </pic:cNvPicPr>
                  </pic:nvPicPr>
                  <pic:blipFill>
                    <a:blip r:embed="rId36"/>
                    <a:stretch>
                      <a:fillRect/>
                    </a:stretch>
                  </pic:blipFill>
                  <pic:spPr>
                    <a:xfrm>
                      <a:off x="0" y="0"/>
                      <a:ext cx="5488940" cy="3021330"/>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en-US" w:eastAsia="zh-CN"/>
        </w:rPr>
      </w:pP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lang w:eastAsia="zh-CN"/>
        </w:rPr>
      </w:pP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lang w:eastAsia="zh-CN"/>
        </w:rPr>
      </w:pP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红外增强</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针对夜间或光线不好的场景下图像质量差的问题，红外摄像机和红外球机，采用阵列红外灯使红外距离最远可达150米，并结合3D降噪技术可以获得清晰的夜间图像。</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lang w:val="zh-CN"/>
        </w:rPr>
      </w:pPr>
      <w:r>
        <w:rPr>
          <w:rFonts w:hint="eastAsia" w:ascii="宋体" w:hAnsi="宋体" w:eastAsia="宋体" w:cs="宋体"/>
          <w:color w:val="auto"/>
          <w:highlight w:val="none"/>
        </w:rPr>
        <w:drawing>
          <wp:inline distT="0" distB="0" distL="114300" distR="114300">
            <wp:extent cx="5457825" cy="2832735"/>
            <wp:effectExtent l="0" t="0" r="9525" b="5715"/>
            <wp:docPr id="17" name="图片 7190" descr="截图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190" descr="截图00"/>
                    <pic:cNvPicPr>
                      <a:picLocks noChangeAspect="1"/>
                    </pic:cNvPicPr>
                  </pic:nvPicPr>
                  <pic:blipFill>
                    <a:blip r:embed="rId37"/>
                    <a:stretch>
                      <a:fillRect/>
                    </a:stretch>
                  </pic:blipFill>
                  <pic:spPr>
                    <a:xfrm>
                      <a:off x="0" y="0"/>
                      <a:ext cx="5457825" cy="2832735"/>
                    </a:xfrm>
                    <a:prstGeom prst="rect">
                      <a:avLst/>
                    </a:prstGeom>
                    <a:noFill/>
                    <a:ln>
                      <a:noFill/>
                    </a:ln>
                  </pic:spPr>
                </pic:pic>
              </a:graphicData>
            </a:graphic>
          </wp:inline>
        </w:drawing>
      </w:r>
    </w:p>
    <w:p>
      <w:pPr>
        <w:pageBreakBefore w:val="0"/>
        <w:numPr>
          <w:ilvl w:val="0"/>
          <w:numId w:val="0"/>
        </w:numPr>
        <w:kinsoku/>
        <w:overflowPunct/>
        <w:topLinePunct w:val="0"/>
        <w:bidi w:val="0"/>
        <w:adjustRightInd w:val="0"/>
        <w:snapToGrid w:val="0"/>
        <w:spacing w:line="336" w:lineRule="auto"/>
        <w:ind w:leftChars="0"/>
        <w:rPr>
          <w:rFonts w:hint="eastAsia" w:ascii="宋体" w:hAnsi="宋体" w:eastAsia="宋体" w:cs="宋体"/>
          <w:color w:val="auto"/>
          <w:highlight w:val="none"/>
        </w:rPr>
      </w:pPr>
      <w:r>
        <w:rPr>
          <w:rFonts w:hint="eastAsia" w:ascii="宋体" w:hAnsi="宋体" w:eastAsia="宋体" w:cs="宋体"/>
          <w:color w:val="auto"/>
          <w:highlight w:val="none"/>
          <w:lang w:eastAsia="zh-CN"/>
        </w:rPr>
        <w:br w:type="page"/>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3D数字降噪</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D数字降噪功能能够降低弱信号图像的噪波干扰。由于图像噪波的出现是随机的，因此每一帧图像出现的噪波是不相同的。3D数字降噪通过对比相邻的几帧图像，将不重叠的信息（即噪波）自动滤出，从而显示出比较纯净细腻的画面。</w:t>
      </w:r>
      <w:r>
        <w:rPr>
          <w:rFonts w:hint="eastAsia" w:ascii="宋体" w:hAnsi="宋体" w:eastAsia="宋体" w:cs="宋体"/>
          <w:color w:val="auto"/>
          <w:highlight w:val="none"/>
          <w:lang w:val="en-US" w:eastAsia="zh-CN"/>
        </w:rPr>
        <w:t>选用的</w:t>
      </w:r>
      <w:r>
        <w:rPr>
          <w:rFonts w:hint="eastAsia" w:ascii="宋体" w:hAnsi="宋体" w:eastAsia="宋体" w:cs="宋体"/>
          <w:color w:val="auto"/>
          <w:highlight w:val="none"/>
        </w:rPr>
        <w:t>产品广泛采用3D时空域联合降噪处理，结合准确的噪声强度估计算法，在光照理想、噪声较低时图像清晰细节没有损伤，光照不足时噪声明显抑制，图像细节大量保留，有效提升视频监控图像质量。</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832985" cy="2707005"/>
            <wp:effectExtent l="0" t="0" r="5715" b="17145"/>
            <wp:docPr id="18" name="图片 7189" descr="暴风截图201223529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189" descr="暴风截图2012235293550.jpg"/>
                    <pic:cNvPicPr>
                      <a:picLocks noChangeAspect="1"/>
                    </pic:cNvPicPr>
                  </pic:nvPicPr>
                  <pic:blipFill>
                    <a:blip r:embed="rId38"/>
                    <a:stretch>
                      <a:fillRect/>
                    </a:stretch>
                  </pic:blipFill>
                  <pic:spPr>
                    <a:xfrm>
                      <a:off x="0" y="0"/>
                      <a:ext cx="4832985" cy="2707005"/>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bookmarkStart w:id="30" w:name="_Toc485803004"/>
      <w:r>
        <w:rPr>
          <w:rFonts w:hint="eastAsia" w:ascii="宋体" w:hAnsi="宋体" w:eastAsia="宋体" w:cs="宋体"/>
          <w:color w:val="auto"/>
          <w:highlight w:val="none"/>
        </w:rPr>
        <w:t>降噪前图片示例</w:t>
      </w:r>
      <w:bookmarkEnd w:id="30"/>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837430" cy="2704465"/>
            <wp:effectExtent l="0" t="0" r="8890" b="8255"/>
            <wp:docPr id="19" name="图片 7188" descr="暴风截图201223529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188" descr="暴风截图2012235299275.jpg"/>
                    <pic:cNvPicPr>
                      <a:picLocks noChangeAspect="1"/>
                    </pic:cNvPicPr>
                  </pic:nvPicPr>
                  <pic:blipFill>
                    <a:blip r:embed="rId39"/>
                    <a:stretch>
                      <a:fillRect/>
                    </a:stretch>
                  </pic:blipFill>
                  <pic:spPr>
                    <a:xfrm>
                      <a:off x="0" y="0"/>
                      <a:ext cx="4837430" cy="2704465"/>
                    </a:xfrm>
                    <a:prstGeom prst="rect">
                      <a:avLst/>
                    </a:prstGeom>
                    <a:noFill/>
                    <a:ln>
                      <a:noFill/>
                    </a:ln>
                  </pic:spPr>
                </pic:pic>
              </a:graphicData>
            </a:graphic>
          </wp:inline>
        </w:drawing>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降噪后图片示例</w:t>
      </w:r>
    </w:p>
    <w:p>
      <w:pPr>
        <w:pageBreakBefore w:val="0"/>
        <w:kinsoku/>
        <w:overflowPunct/>
        <w:topLinePunct w:val="0"/>
        <w:bidi w:val="0"/>
        <w:adjustRightInd w:val="0"/>
        <w:snapToGrid w:val="0"/>
        <w:spacing w:line="336"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宽动态</w:t>
      </w:r>
      <w:r>
        <w:rPr>
          <w:rFonts w:hint="eastAsia" w:ascii="宋体" w:hAnsi="宋体" w:cs="宋体"/>
          <w:color w:val="auto"/>
          <w:highlight w:val="none"/>
          <w:lang w:eastAsia="zh-CN"/>
        </w:rPr>
        <w:t>技术</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监控环境中</w:t>
      </w:r>
      <w:r>
        <w:rPr>
          <w:rFonts w:hint="eastAsia" w:ascii="宋体" w:hAnsi="宋体" w:eastAsia="宋体" w:cs="宋体"/>
          <w:color w:val="auto"/>
          <w:highlight w:val="none"/>
          <w:lang w:val="en-US" w:eastAsia="zh-CN"/>
        </w:rPr>
        <w:t>对于</w:t>
      </w:r>
      <w:r>
        <w:rPr>
          <w:rFonts w:hint="eastAsia" w:ascii="宋体" w:hAnsi="宋体" w:eastAsia="宋体" w:cs="宋体"/>
          <w:color w:val="auto"/>
          <w:highlight w:val="none"/>
        </w:rPr>
        <w:t>光线明暗反差过大的场景，利用宽动态技术，场景中特别亮的部位和特别暗的部位同时都能看得特别清楚。宽动态摄像机能获取前景和背景都清晰的图像。</w:t>
      </w:r>
      <w:r>
        <w:rPr>
          <w:rFonts w:hint="eastAsia" w:ascii="宋体" w:hAnsi="宋体" w:eastAsia="宋体" w:cs="宋体"/>
          <w:color w:val="auto"/>
          <w:highlight w:val="none"/>
          <w:lang w:val="en-US" w:eastAsia="zh-CN"/>
        </w:rPr>
        <w:t>需</w:t>
      </w:r>
      <w:r>
        <w:rPr>
          <w:rFonts w:hint="eastAsia" w:ascii="宋体" w:hAnsi="宋体" w:eastAsia="宋体" w:cs="宋体"/>
          <w:color w:val="auto"/>
          <w:highlight w:val="none"/>
        </w:rPr>
        <w:t>采用局部亮度映射与图像增强相结合，在逆光环境下能够清晰地保留暗处细节并抑制亮处过曝，大幅提升宽动态场景的图像质量。</w:t>
      </w:r>
    </w:p>
    <w:p>
      <w:pPr>
        <w:pStyle w:val="5"/>
        <w:pageBreakBefore w:val="0"/>
        <w:numPr>
          <w:ilvl w:val="0"/>
          <w:numId w:val="5"/>
        </w:numPr>
        <w:kinsoku/>
        <w:overflowPunct/>
        <w:topLinePunct w:val="0"/>
        <w:bidi w:val="0"/>
        <w:adjustRightInd w:val="0"/>
        <w:snapToGrid w:val="0"/>
        <w:spacing w:line="336"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br w:type="page"/>
      </w:r>
      <w:r>
        <w:rPr>
          <w:rFonts w:hint="eastAsia" w:ascii="宋体" w:hAnsi="宋体" w:eastAsia="宋体" w:cs="宋体"/>
          <w:color w:val="auto"/>
          <w:highlight w:val="none"/>
          <w:lang w:val="en-US" w:eastAsia="zh-CN"/>
        </w:rPr>
        <w:t>技术要求</w:t>
      </w:r>
    </w:p>
    <w:p>
      <w:pPr>
        <w:pageBreakBefore w:val="0"/>
        <w:numPr>
          <w:ilvl w:val="0"/>
          <w:numId w:val="6"/>
        </w:numPr>
        <w:kinsoku/>
        <w:overflowPunct/>
        <w:topLinePunct w:val="0"/>
        <w:bidi w:val="0"/>
        <w:adjustRightInd w:val="0"/>
        <w:snapToGrid w:val="0"/>
        <w:spacing w:line="336"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产品清单</w:t>
      </w:r>
    </w:p>
    <w:tbl>
      <w:tblPr>
        <w:tblStyle w:val="45"/>
        <w:tblW w:w="9088" w:type="dxa"/>
        <w:tblInd w:w="-178"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5"/>
        <w:gridCol w:w="1003"/>
        <w:gridCol w:w="2427"/>
        <w:gridCol w:w="1067"/>
        <w:gridCol w:w="1373"/>
        <w:gridCol w:w="2053"/>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模块名称</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20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实施地点</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088"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前端增补部分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200万网络高清半球摄像机</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205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临平校区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8口POE交换机</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硬盘录像机</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Style w:val="139"/>
                <w:rFonts w:hint="eastAsia" w:ascii="宋体" w:hAnsi="宋体" w:eastAsia="宋体" w:cs="宋体"/>
                <w:color w:val="auto"/>
                <w:sz w:val="21"/>
                <w:szCs w:val="21"/>
                <w:highlight w:val="none"/>
                <w:lang w:val="en-US" w:eastAsia="zh-CN" w:bidi="ar"/>
              </w:rPr>
              <w:t>企业级硬盘</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监控墙柜</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插线板</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箱</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电线管PVC20</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其它所需设备和材料</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200万网络高清枪式摄像机</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05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下沙校区（</w:t>
            </w:r>
            <w:r>
              <w:rPr>
                <w:rFonts w:hint="eastAsia" w:ascii="宋体" w:hAnsi="宋体" w:eastAsia="宋体" w:cs="宋体"/>
                <w:i w:val="0"/>
                <w:iCs w:val="0"/>
                <w:color w:val="auto"/>
                <w:sz w:val="21"/>
                <w:szCs w:val="21"/>
                <w:highlight w:val="none"/>
                <w:u w:val="none"/>
              </w:rPr>
              <w:t>地下室改造</w:t>
            </w:r>
            <w:r>
              <w:rPr>
                <w:rFonts w:hint="eastAsia" w:ascii="宋体" w:hAnsi="宋体" w:eastAsia="宋体" w:cs="宋体"/>
                <w:b/>
                <w:bCs/>
                <w:i w:val="0"/>
                <w:iCs w:val="0"/>
                <w:color w:val="auto"/>
                <w:kern w:val="0"/>
                <w:sz w:val="21"/>
                <w:szCs w:val="21"/>
                <w:highlight w:val="none"/>
                <w:u w:val="none"/>
                <w:lang w:val="en-US" w:eastAsia="zh-CN" w:bidi="ar"/>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相机支架</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16口POE交换机</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5口POE交换机</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ind w:firstLineChars="10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箱</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电线管PVC20</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其它所需设备和材料</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箱</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消监控中心机房（</w:t>
            </w:r>
            <w:r>
              <w:rPr>
                <w:rFonts w:hint="eastAsia" w:ascii="宋体" w:hAnsi="宋体" w:eastAsia="宋体" w:cs="宋体"/>
                <w:i w:val="0"/>
                <w:iCs w:val="0"/>
                <w:color w:val="auto"/>
                <w:kern w:val="0"/>
                <w:sz w:val="21"/>
                <w:szCs w:val="21"/>
                <w:highlight w:val="none"/>
                <w:u w:val="none"/>
                <w:lang w:val="en-US" w:eastAsia="zh-CN" w:bidi="ar"/>
              </w:rPr>
              <w:t>机房改造</w:t>
            </w:r>
            <w:r>
              <w:rPr>
                <w:rFonts w:hint="eastAsia" w:ascii="宋体" w:hAnsi="宋体" w:eastAsia="宋体" w:cs="宋体"/>
                <w:b/>
                <w:bCs/>
                <w:i w:val="0"/>
                <w:iCs w:val="0"/>
                <w:color w:val="auto"/>
                <w:kern w:val="0"/>
                <w:sz w:val="21"/>
                <w:szCs w:val="21"/>
                <w:highlight w:val="none"/>
                <w:u w:val="none"/>
                <w:lang w:val="en-US" w:eastAsia="zh-CN" w:bidi="ar"/>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PDU</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汇聚交换机</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接地连接电缆</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可视化控制端</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机柜拆装移位、阵列安装</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地面处理</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操作台</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电源设备</w:t>
            </w:r>
          </w:p>
        </w:tc>
        <w:tc>
          <w:tcPr>
            <w:tcW w:w="106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电池</w:t>
            </w:r>
          </w:p>
        </w:tc>
        <w:tc>
          <w:tcPr>
            <w:tcW w:w="106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37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安装柜</w:t>
            </w:r>
          </w:p>
        </w:tc>
        <w:tc>
          <w:tcPr>
            <w:tcW w:w="106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37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配电箱</w:t>
            </w:r>
          </w:p>
        </w:tc>
        <w:tc>
          <w:tcPr>
            <w:tcW w:w="106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w:t>
            </w:r>
          </w:p>
        </w:tc>
        <w:tc>
          <w:tcPr>
            <w:tcW w:w="106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37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辅材</w:t>
            </w:r>
          </w:p>
        </w:tc>
        <w:tc>
          <w:tcPr>
            <w:tcW w:w="106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137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088"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平台软件部分</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下沙校区</w:t>
            </w:r>
            <w:r>
              <w:rPr>
                <w:rFonts w:hint="eastAsia" w:ascii="宋体" w:hAnsi="宋体" w:eastAsia="宋体" w:cs="宋体"/>
                <w:b/>
                <w:bCs/>
                <w:color w:val="auto"/>
                <w:highlight w:val="none"/>
                <w:lang w:eastAsia="zh-CN"/>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高校智安校园管理平台</w:t>
            </w: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基础包/系统管理</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提供软件演示内容</w:t>
            </w:r>
          </w:p>
          <w:p>
            <w:pPr>
              <w:pStyle w:val="19"/>
              <w:pageBreakBefore w:val="0"/>
              <w:kinsoku/>
              <w:overflowPunct/>
              <w:topLinePunct w:val="0"/>
              <w:bidi w:val="0"/>
              <w:adjustRightInd w:val="0"/>
              <w:snapToGrid w:val="0"/>
              <w:spacing w:line="336" w:lineRule="auto"/>
              <w:rPr>
                <w:rFonts w:hint="eastAsia" w:ascii="宋体" w:hAnsi="宋体" w:eastAsia="宋体" w:cs="宋体"/>
                <w:color w:val="auto"/>
                <w:highlight w:val="none"/>
              </w:rPr>
            </w:pPr>
            <w:r>
              <w:rPr>
                <w:rFonts w:hint="eastAsia" w:ascii="宋体" w:hAnsi="宋体" w:eastAsia="宋体" w:cs="宋体"/>
                <w:b/>
                <w:bCs/>
                <w:i w:val="0"/>
                <w:iCs w:val="0"/>
                <w:color w:val="auto"/>
                <w:kern w:val="0"/>
                <w:sz w:val="21"/>
                <w:szCs w:val="21"/>
                <w:highlight w:val="none"/>
                <w:u w:val="none"/>
                <w:lang w:val="en-US" w:eastAsia="zh-CN" w:bidi="ar"/>
              </w:rPr>
              <w:t>（▲未提供演示的作无效标处理。）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w:t>
            </w: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视频运维（支持4000路）</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事件中心</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重点人员管理</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检索中心-人员检索</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检索中心-车辆检索</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检索中心-人车智能聚档</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0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可视化看板</w:t>
            </w: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总览看板</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看板详见</w:t>
            </w:r>
            <w:r>
              <w:rPr>
                <w:rFonts w:hint="eastAsia" w:ascii="宋体" w:hAnsi="宋体" w:eastAsia="宋体" w:cs="宋体"/>
                <w:b/>
                <w:bCs/>
                <w:color w:val="auto"/>
                <w:highlight w:val="none"/>
                <w:lang w:val="en-US" w:eastAsia="zh-CN"/>
              </w:rPr>
              <w:t>“</w:t>
            </w:r>
            <w:r>
              <w:rPr>
                <w:rFonts w:hint="eastAsia" w:ascii="宋体" w:hAnsi="宋体" w:eastAsia="宋体" w:cs="宋体"/>
                <w:b/>
                <w:bCs/>
                <w:i w:val="0"/>
                <w:iCs w:val="0"/>
                <w:color w:val="auto"/>
                <w:kern w:val="0"/>
                <w:sz w:val="21"/>
                <w:szCs w:val="21"/>
                <w:highlight w:val="none"/>
                <w:u w:val="none"/>
                <w:lang w:val="en-US" w:eastAsia="zh-CN" w:bidi="ar"/>
              </w:rPr>
              <w:t>第三部分采购需求 三、建设内容</w:t>
            </w:r>
            <w:r>
              <w:rPr>
                <w:rFonts w:hint="eastAsia" w:ascii="宋体" w:hAnsi="宋体" w:eastAsia="宋体" w:cs="宋体"/>
                <w:b/>
                <w:bCs/>
                <w:color w:val="auto"/>
                <w:highlight w:val="none"/>
                <w:lang w:val="en-US" w:eastAsia="zh-CN"/>
              </w:rPr>
              <w:t>4.数据看板”</w:t>
            </w:r>
          </w:p>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中的图示内容（图片仅做参考）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安防态势</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人车管理</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116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p>
        </w:tc>
        <w:tc>
          <w:tcPr>
            <w:tcW w:w="10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24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设备运维</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37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i w:val="0"/>
                <w:iCs w:val="0"/>
                <w:color w:val="auto"/>
                <w:sz w:val="21"/>
                <w:szCs w:val="21"/>
                <w:highlight w:val="none"/>
                <w:u w:val="none"/>
              </w:rPr>
            </w:pPr>
          </w:p>
        </w:tc>
        <w:tc>
          <w:tcPr>
            <w:tcW w:w="20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智能管理中心</w:t>
            </w:r>
            <w:r>
              <w:rPr>
                <w:rFonts w:hint="eastAsia" w:ascii="宋体" w:hAnsi="宋体" w:eastAsia="宋体" w:cs="宋体"/>
                <w:b/>
                <w:bCs/>
                <w:i w:val="0"/>
                <w:iCs w:val="0"/>
                <w:color w:val="auto"/>
                <w:kern w:val="0"/>
                <w:sz w:val="21"/>
                <w:szCs w:val="21"/>
                <w:highlight w:val="none"/>
                <w:u w:val="none"/>
                <w:lang w:val="en-US" w:eastAsia="zh-CN" w:bidi="ar"/>
              </w:rPr>
              <w:t>（核心产品）</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05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w:t>
            </w:r>
          </w:p>
        </w:tc>
        <w:tc>
          <w:tcPr>
            <w:tcW w:w="343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安防系统控制器</w:t>
            </w:r>
          </w:p>
        </w:tc>
        <w:tc>
          <w:tcPr>
            <w:tcW w:w="10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05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36" w:lineRule="auto"/>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w:t>
            </w:r>
          </w:p>
        </w:tc>
      </w:tr>
    </w:tbl>
    <w:p>
      <w:pPr>
        <w:pStyle w:val="19"/>
        <w:pageBreakBefore w:val="0"/>
        <w:widowControl w:val="0"/>
        <w:numPr>
          <w:ilvl w:val="0"/>
          <w:numId w:val="0"/>
        </w:numPr>
        <w:kinsoku/>
        <w:overflowPunct/>
        <w:topLinePunct w:val="0"/>
        <w:bidi w:val="0"/>
        <w:adjustRightInd w:val="0"/>
        <w:snapToGrid w:val="0"/>
        <w:spacing w:after="120" w:afterLines="0" w:line="336" w:lineRule="auto"/>
        <w:jc w:val="both"/>
        <w:rPr>
          <w:rFonts w:hint="eastAsia" w:ascii="宋体" w:hAnsi="宋体" w:eastAsia="宋体" w:cs="宋体"/>
          <w:color w:val="auto"/>
          <w:highlight w:val="none"/>
          <w:lang w:val="en-US" w:eastAsia="zh-CN"/>
        </w:rPr>
      </w:pPr>
    </w:p>
    <w:p>
      <w:pPr>
        <w:pStyle w:val="43"/>
        <w:pageBreakBefore w:val="0"/>
        <w:kinsoku/>
        <w:overflowPunct/>
        <w:topLinePunct w:val="0"/>
        <w:bidi w:val="0"/>
        <w:adjustRightInd w:val="0"/>
        <w:snapToGrid w:val="0"/>
        <w:spacing w:line="336" w:lineRule="auto"/>
        <w:rPr>
          <w:rFonts w:hint="eastAsia" w:ascii="宋体" w:hAnsi="宋体" w:eastAsia="宋体" w:cs="宋体"/>
          <w:color w:val="auto"/>
          <w:highlight w:val="none"/>
          <w:lang w:val="en-US" w:eastAsia="zh-CN"/>
        </w:rPr>
      </w:pPr>
    </w:p>
    <w:p>
      <w:pPr>
        <w:pStyle w:val="43"/>
        <w:pageBreakBefore w:val="0"/>
        <w:kinsoku/>
        <w:overflowPunct/>
        <w:topLinePunct w:val="0"/>
        <w:bidi w:val="0"/>
        <w:adjustRightInd w:val="0"/>
        <w:snapToGrid w:val="0"/>
        <w:spacing w:line="336"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（二）技术参数</w:t>
      </w:r>
    </w:p>
    <w:tbl>
      <w:tblPr>
        <w:tblStyle w:val="45"/>
        <w:tblW w:w="9242" w:type="dxa"/>
        <w:tblInd w:w="-305"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3"/>
        <w:gridCol w:w="709"/>
        <w:gridCol w:w="760"/>
        <w:gridCol w:w="704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模块名称</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技术规格</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242"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前端增补部分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200万网络高清半球摄像机</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1）200万星光级1/2.7”CMOS ICR日夜型半球型POE网络摄像机；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2）红外（激光）摄像机在30米距离下应能探测到目标；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3）在1920x1080@25fps下，清晰度不小于1000TVL。</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4）最大亮度鉴别等级不小于11级；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5）信噪比不小于55dB。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6）摄像机能够在-30~60摄氏度，湿度小于93%环境下稳定工作；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7）不低于IP66防尘防水等级；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8）摄像机应能在DC（12±25%）V范围内正常工作，支持POE供电；</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8口POE交换机</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1）交换容量≥</w:t>
            </w:r>
            <w:r>
              <w:rPr>
                <w:rFonts w:hint="eastAsia" w:ascii="宋体" w:hAnsi="宋体" w:eastAsia="宋体" w:cs="宋体"/>
                <w:i w:val="0"/>
                <w:iCs w:val="0"/>
                <w:color w:val="auto"/>
                <w:sz w:val="21"/>
                <w:szCs w:val="21"/>
                <w:highlight w:val="none"/>
                <w:u w:val="none"/>
                <w:lang w:val="en-US" w:eastAsia="zh-CN"/>
              </w:rPr>
              <w:t>20</w:t>
            </w:r>
            <w:r>
              <w:rPr>
                <w:rFonts w:hint="eastAsia" w:ascii="宋体" w:hAnsi="宋体" w:eastAsia="宋体" w:cs="宋体"/>
                <w:i w:val="0"/>
                <w:iCs w:val="0"/>
                <w:color w:val="auto"/>
                <w:sz w:val="21"/>
                <w:szCs w:val="21"/>
                <w:highlight w:val="none"/>
                <w:u w:val="none"/>
              </w:rPr>
              <w:t>Gbps；</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2）包转发率≥</w:t>
            </w:r>
            <w:r>
              <w:rPr>
                <w:rFonts w:hint="eastAsia" w:ascii="宋体" w:hAnsi="宋体" w:eastAsia="宋体" w:cs="宋体"/>
                <w:i w:val="0"/>
                <w:iCs w:val="0"/>
                <w:color w:val="auto"/>
                <w:sz w:val="21"/>
                <w:szCs w:val="21"/>
                <w:highlight w:val="none"/>
                <w:u w:val="none"/>
                <w:lang w:val="en-US" w:eastAsia="zh-CN"/>
              </w:rPr>
              <w:t>14.88</w:t>
            </w:r>
            <w:r>
              <w:rPr>
                <w:rFonts w:hint="eastAsia" w:ascii="宋体" w:hAnsi="宋体" w:eastAsia="宋体" w:cs="宋体"/>
                <w:i w:val="0"/>
                <w:iCs w:val="0"/>
                <w:color w:val="auto"/>
                <w:sz w:val="21"/>
                <w:szCs w:val="21"/>
                <w:highlight w:val="none"/>
                <w:u w:val="none"/>
              </w:rPr>
              <w:t>Mpps；</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3）固化10/100/1000M以太网电口≥</w:t>
            </w:r>
            <w:r>
              <w:rPr>
                <w:rFonts w:hint="eastAsia" w:ascii="宋体" w:hAnsi="宋体" w:eastAsia="宋体" w:cs="宋体"/>
                <w:i w:val="0"/>
                <w:iCs w:val="0"/>
                <w:color w:val="auto"/>
                <w:sz w:val="21"/>
                <w:szCs w:val="21"/>
                <w:highlight w:val="none"/>
                <w:u w:val="none"/>
                <w:lang w:val="en-US" w:eastAsia="zh-CN"/>
              </w:rPr>
              <w:t>8</w:t>
            </w:r>
            <w:r>
              <w:rPr>
                <w:rFonts w:hint="eastAsia" w:ascii="宋体" w:hAnsi="宋体" w:eastAsia="宋体" w:cs="宋体"/>
                <w:i w:val="0"/>
                <w:iCs w:val="0"/>
                <w:color w:val="auto"/>
                <w:sz w:val="21"/>
                <w:szCs w:val="21"/>
                <w:highlight w:val="none"/>
                <w:u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4）采用绿色环保设计，整机最大功耗≤</w:t>
            </w:r>
            <w:r>
              <w:rPr>
                <w:rFonts w:hint="eastAsia" w:ascii="宋体" w:hAnsi="宋体" w:eastAsia="宋体" w:cs="宋体"/>
                <w:i w:val="0"/>
                <w:iCs w:val="0"/>
                <w:color w:val="auto"/>
                <w:sz w:val="21"/>
                <w:szCs w:val="21"/>
                <w:highlight w:val="none"/>
                <w:u w:val="none"/>
                <w:lang w:val="en-US" w:eastAsia="zh-CN"/>
              </w:rPr>
              <w:t>110</w:t>
            </w:r>
            <w:r>
              <w:rPr>
                <w:rFonts w:hint="eastAsia" w:ascii="宋体" w:hAnsi="宋体" w:eastAsia="宋体" w:cs="宋体"/>
                <w:i w:val="0"/>
                <w:iCs w:val="0"/>
                <w:color w:val="auto"/>
                <w:sz w:val="21"/>
                <w:szCs w:val="21"/>
                <w:highlight w:val="none"/>
                <w:u w:val="none"/>
              </w:rPr>
              <w:t>W</w:t>
            </w:r>
            <w:r>
              <w:rPr>
                <w:rFonts w:hint="eastAsia" w:ascii="宋体" w:hAnsi="宋体" w:eastAsia="宋体" w:cs="宋体"/>
                <w:i w:val="0"/>
                <w:iCs w:val="0"/>
                <w:color w:val="auto"/>
                <w:sz w:val="21"/>
                <w:szCs w:val="21"/>
                <w:highlight w:val="none"/>
                <w:u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5）设备采用静音无风扇节能设计</w:t>
            </w:r>
            <w:r>
              <w:rPr>
                <w:rFonts w:hint="eastAsia" w:ascii="宋体" w:hAnsi="宋体" w:eastAsia="宋体" w:cs="宋体"/>
                <w:i w:val="0"/>
                <w:iCs w:val="0"/>
                <w:color w:val="auto"/>
                <w:sz w:val="21"/>
                <w:szCs w:val="21"/>
                <w:highlight w:val="none"/>
                <w:u w:val="none"/>
                <w:lang w:eastAsia="zh-CN"/>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557"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硬盘录像机</w:t>
            </w:r>
          </w:p>
        </w:tc>
        <w:tc>
          <w:tcPr>
            <w:tcW w:w="7040" w:type="dxa"/>
            <w:tcBorders>
              <w:tl2br w:val="nil"/>
              <w:tr2bl w:val="nil"/>
            </w:tcBorders>
            <w:noWrap w:val="0"/>
            <w:vAlign w:val="center"/>
          </w:tcPr>
          <w:p>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具有2个HDMI接口、2个VGA接口、2个RJ45网络接口,可内置8个SATA接口硬盘；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2）可接入32路分辨率为1920×1080的视频图像；</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b/>
                <w:bCs/>
                <w:i w:val="0"/>
                <w:iCs w:val="0"/>
                <w:strike/>
                <w:dstrike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3）预览分辨率支持：1920×1080(25帧/秒) 、1280×960(25帧/秒)、1280×720(25帧/秒)。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4)具有存储安全保障功能，当存储压力过高或硬盘出现性能不足时，可优先录像业务存储；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在线检查硬盘的运行状态、健康状态，包括低温警报、高温警报、异步信号恢复警报、重新分配扇区技术警报，读取恢复警报、无法修复的错误警报、机械故障警报、接口CRC警报、机械故障警报、硬复位警报、软复位警报、磁头加载率警报、电源接通复位率警报、总工作负载率警报、生命周期内工作负载总量警报、上电复位警报、磁头加载计数警报、电源开启小时警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firstLine="0" w:firstLineChars="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6)★接入带有温度报警、烟雾报警、障碍物遮挡报警、移动报警、防拆报警、紧急报警的智慧消防相机，当触发报警时，</w:t>
            </w:r>
            <w:r>
              <w:rPr>
                <w:rFonts w:hint="eastAsia" w:ascii="宋体" w:hAnsi="宋体" w:cs="宋体"/>
                <w:i w:val="0"/>
                <w:iCs w:val="0"/>
                <w:color w:val="auto"/>
                <w:kern w:val="0"/>
                <w:sz w:val="21"/>
                <w:szCs w:val="21"/>
                <w:highlight w:val="none"/>
                <w:u w:val="none"/>
                <w:lang w:val="en-US" w:eastAsia="zh-CN" w:bidi="ar"/>
              </w:rPr>
              <w:t>设备</w:t>
            </w:r>
            <w:r>
              <w:rPr>
                <w:rFonts w:hint="eastAsia" w:ascii="宋体" w:hAnsi="宋体" w:eastAsia="宋体" w:cs="宋体"/>
                <w:i w:val="0"/>
                <w:iCs w:val="0"/>
                <w:color w:val="auto"/>
                <w:kern w:val="0"/>
                <w:sz w:val="21"/>
                <w:szCs w:val="21"/>
                <w:highlight w:val="none"/>
                <w:u w:val="none"/>
                <w:lang w:val="en-US" w:eastAsia="zh-CN" w:bidi="ar"/>
              </w:rPr>
              <w:t>可联动录像、抓拍并保存图片、弹出报警画面、声音警告、上传中心、发送邮件、触发报警输出，并按通道、时间、类型检索报警图片，录像搜索结果支持图片和列表两种展现形式；</w:t>
            </w:r>
            <w:r>
              <w:rPr>
                <w:rFonts w:hint="eastAsia" w:ascii="宋体" w:hAnsi="宋体" w:eastAsia="宋体" w:cs="宋体"/>
                <w:b/>
                <w:bCs/>
                <w:i w:val="0"/>
                <w:iCs w:val="0"/>
                <w:color w:val="auto"/>
                <w:kern w:val="0"/>
                <w:sz w:val="21"/>
                <w:szCs w:val="21"/>
                <w:highlight w:val="none"/>
                <w:u w:val="none"/>
                <w:lang w:val="en-US" w:eastAsia="zh-CN" w:bidi="ar"/>
              </w:rPr>
              <w:t>（需提供国家认可的第三方检测机构出具的检测报告作为证明材料，并加盖公章。）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Style w:val="139"/>
                <w:rFonts w:hint="eastAsia" w:ascii="宋体" w:hAnsi="宋体" w:eastAsia="宋体" w:cs="宋体"/>
                <w:color w:val="auto"/>
                <w:sz w:val="21"/>
                <w:szCs w:val="21"/>
                <w:highlight w:val="none"/>
                <w:lang w:val="en-US" w:eastAsia="zh-CN" w:bidi="ar"/>
              </w:rPr>
              <w:t>企业级硬盘</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1）</w:t>
            </w:r>
            <w:r>
              <w:rPr>
                <w:rFonts w:hint="eastAsia" w:ascii="宋体" w:hAnsi="宋体" w:eastAsia="宋体" w:cs="宋体"/>
                <w:i w:val="0"/>
                <w:iCs w:val="0"/>
                <w:color w:val="auto"/>
                <w:sz w:val="21"/>
                <w:szCs w:val="21"/>
                <w:highlight w:val="none"/>
                <w:u w:val="none"/>
              </w:rPr>
              <w:t>4TB容量，3.5英寸 SATA 3.0接口，5400RPM</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w:t>
            </w:r>
            <w:r>
              <w:rPr>
                <w:rFonts w:hint="eastAsia" w:ascii="宋体" w:hAnsi="宋体" w:eastAsia="宋体" w:cs="宋体"/>
                <w:i w:val="0"/>
                <w:iCs w:val="0"/>
                <w:color w:val="auto"/>
                <w:sz w:val="21"/>
                <w:szCs w:val="21"/>
                <w:highlight w:val="none"/>
                <w:u w:val="none"/>
              </w:rPr>
              <w:t>单硬盘支持多达32个摄像头的高清流</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3）</w:t>
            </w:r>
            <w:r>
              <w:rPr>
                <w:rFonts w:hint="eastAsia" w:ascii="宋体" w:hAnsi="宋体" w:eastAsia="宋体" w:cs="宋体"/>
                <w:i w:val="0"/>
                <w:iCs w:val="0"/>
                <w:color w:val="auto"/>
                <w:sz w:val="21"/>
                <w:szCs w:val="21"/>
                <w:highlight w:val="none"/>
                <w:u w:val="none"/>
              </w:rPr>
              <w:t>24×7全天候高效稳定运行</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4）</w:t>
            </w:r>
            <w:r>
              <w:rPr>
                <w:rFonts w:hint="eastAsia" w:ascii="宋体" w:hAnsi="宋体" w:eastAsia="宋体" w:cs="宋体"/>
                <w:i w:val="0"/>
                <w:iCs w:val="0"/>
                <w:color w:val="auto"/>
                <w:sz w:val="21"/>
                <w:szCs w:val="21"/>
                <w:highlight w:val="none"/>
                <w:u w:val="none"/>
              </w:rPr>
              <w:t>MTBF可达1,000,000小时</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5）</w:t>
            </w:r>
            <w:r>
              <w:rPr>
                <w:rFonts w:hint="eastAsia" w:ascii="宋体" w:hAnsi="宋体" w:eastAsia="宋体" w:cs="宋体"/>
                <w:i w:val="0"/>
                <w:iCs w:val="0"/>
                <w:color w:val="auto"/>
                <w:sz w:val="21"/>
                <w:szCs w:val="21"/>
                <w:highlight w:val="none"/>
                <w:u w:val="none"/>
              </w:rPr>
              <w:t>高级格式（AF）512e扇区技术，保障硬盘扇区4K对齐</w:t>
            </w:r>
            <w:r>
              <w:rPr>
                <w:rFonts w:hint="eastAsia" w:ascii="宋体" w:hAnsi="宋体" w:eastAsia="宋体" w:cs="宋体"/>
                <w:i w:val="0"/>
                <w:iCs w:val="0"/>
                <w:color w:val="auto"/>
                <w:sz w:val="21"/>
                <w:szCs w:val="21"/>
                <w:highlight w:val="none"/>
                <w:u w:val="none"/>
                <w:lang w:eastAsia="zh-CN"/>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773"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监控墙柜</w:t>
            </w:r>
          </w:p>
        </w:tc>
        <w:tc>
          <w:tcPr>
            <w:tcW w:w="7040"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w:t>
            </w:r>
            <w:r>
              <w:rPr>
                <w:rFonts w:hint="eastAsia" w:ascii="宋体" w:hAnsi="宋体" w:eastAsia="宋体" w:cs="宋体"/>
                <w:i w:val="0"/>
                <w:iCs w:val="0"/>
                <w:color w:val="auto"/>
                <w:kern w:val="0"/>
                <w:sz w:val="21"/>
                <w:szCs w:val="21"/>
                <w:highlight w:val="none"/>
                <w:u w:val="none"/>
                <w:lang w:val="en-US" w:eastAsia="zh-CN" w:bidi="ar"/>
              </w:rPr>
              <w:t>数要求：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箱体尺寸为450mm*350mm*200mm，材质采用防锈、抗高温、耐腐蚀的冷轧钢板喷塑外壳，箱体板厚度0.8mm，防护等级为IP55；具有防盗功能，安装防水锁，所有锁芯应配统一钥匙。内部设背板、隔板、布局合理、规范、内部走线清晰。箱内配备25A空开1只、40KA防雷器1只、嵌入式五孔插座2只；5位接地铜排1只，并配备智能运维终端1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2）智能功能要求：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智能机箱配备的智能运维终端具备以下功能：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①指示灯状态显示功能：支持通过指示灯对设备运行、网络、通讯、故障、输出状态进行显示；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②安全防护功能：支持外接箱门门磁检测传感器，能够在箱门异常开启时产生告警，并内置扬声器模块，可通过扬声器进行本地警告语音输出，防止恶意破坏箱体行为，最大程度保障箱体内资产和信息安全；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③具有光感监测功能：支持光感监测功能，可在平台端区分机箱内暗光、弱光、强光三种光线环境，辅助判断箱门是否开启；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④电气健康监测功能：支持输入电压、输出电流、负载功率监测功能，监测范围支持平台端自定义设置，支持电压、电流、功率异常报警功能；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⑤电量检测功能：支持检测所有电路的总电量和总电费，可通过平台远程清空总电量、总电费；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⑥断电监测功能；内置电源监测模块，能够在不需要后备电源的情况下，能将断电告警信息上传至平台客户端，平台具有单独的断电状态显示图标；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⑦断网监测功能：当机箱内网络中断时，可平台端显示断网失联告警；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⑧远程控制功能：支持远程控制负载供电开启、关闭和重启功能，解决前端设备死机问题。支持远程控制语音告警打开、关闭功能；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⑨★输出保障功能：当机箱内智能运维终端发生故障时，机箱的电源输出端口仍可正常工作。</w:t>
            </w:r>
            <w:r>
              <w:rPr>
                <w:rFonts w:hint="eastAsia" w:ascii="宋体" w:hAnsi="宋体" w:eastAsia="宋体" w:cs="宋体"/>
                <w:b/>
                <w:bCs/>
                <w:i w:val="0"/>
                <w:iCs w:val="0"/>
                <w:color w:val="auto"/>
                <w:kern w:val="0"/>
                <w:sz w:val="21"/>
                <w:szCs w:val="21"/>
                <w:highlight w:val="none"/>
                <w:u w:val="none"/>
                <w:lang w:val="en-US" w:eastAsia="zh-CN" w:bidi="ar"/>
              </w:rPr>
              <w:t>（需提供国家认可的第三方检测机构出具的检测报告作为证明材料，并加盖公章。）</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⑩通信加密功能：支持对通信数据进行加密功能。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⑪★远程查询功能：支持通过平台远程实时查询实时数据、业务上报周期、软硬件版本号、机箱型号、报警阈值范围、机箱配置参数、运行日志信息和心跳保活周期。</w:t>
            </w:r>
            <w:r>
              <w:rPr>
                <w:rFonts w:hint="eastAsia" w:ascii="宋体" w:hAnsi="宋体" w:eastAsia="宋体" w:cs="宋体"/>
                <w:b/>
                <w:bCs/>
                <w:i w:val="0"/>
                <w:iCs w:val="0"/>
                <w:color w:val="auto"/>
                <w:kern w:val="0"/>
                <w:sz w:val="21"/>
                <w:szCs w:val="21"/>
                <w:highlight w:val="none"/>
                <w:u w:val="none"/>
                <w:lang w:val="en-US" w:eastAsia="zh-CN" w:bidi="ar"/>
              </w:rPr>
              <w:t>（需提供国家认可的第三方检测机构出具的检测报告作为证明材料，并加盖公章。）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插线板</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lang w:val="en-US" w:eastAsia="zh-CN" w:bidi="ar"/>
              </w:rPr>
              <w:t>品牌型号由投标人自行填写。</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UTP5E，性能优良、符合使用要求，达到国家相关标准。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RVVP3*2.0 性能优良、符合使用要求，达到国家相关标准。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电线管PVC20</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电线管明敷PVC20，性能优良、符合使用要求，达到国家相关标准。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其它所需设备和材料</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性能优良、符合使用要求。</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06"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200万网络高清枪式摄像机</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1）200万1/2.7”CMOS ICR红外阵列筒型POE网络摄像机；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2）具有200万像素 CMOS传感器；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3）最低照度彩色不大于0.005 lx，黑白不大于0.0005 lx。</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4）内置暖白光补光灯。</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5）补光距离不小于60米；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6）动态范围不小于106dB；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7）信噪比不小于62dB；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6）需支持IP67防尘防水；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7）需支持DC12V供电，且在不小于DC12V±30%范围内变化时可以正常工作；</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相机支架</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壁装支架/白/铝合金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16口POE交换机</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1）交换容量≥36Gbps；</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2）包转发率≥26.784Mpps；</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3）固化10/100/1000M以太网电口≥16，1000M/2.5G SFP千兆光接口≥2个；</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4）采用绿色环保设计，整机最大功耗≤150W</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5）设备采用静音无风扇节能设计；</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442"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5口POE交换机</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1）实配固化10/1000M以太网端口≥5个（其中4个口支持PoE及PoE+供电，PoE功率≥54W）</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2）所投交换机满足交换容量≥10Gbps，转发性能≥7.44Mpps</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3）要求所投产品支持端口防雷≥4KV（非防静电）；</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UTP5E，性能优良、符合使用要求，达到国家相关标准；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RVVP3*2.0 性能优良、符合使用要求，达到国家相关标准；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电线管PVC20</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电线管明敷PVC20，性能优良、符合使用要求，达到国家相关标准；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其它所需设备和材料</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性能优良、符合使用要求</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UTP6</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42U、服务器标准机柜</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PDU</w:t>
            </w:r>
          </w:p>
        </w:tc>
        <w:tc>
          <w:tcPr>
            <w:tcW w:w="7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rPr>
                <w:rFonts w:hint="eastAsia" w:ascii="宋体" w:hAnsi="宋体" w:eastAsia="宋体" w:cs="宋体"/>
                <w:i w:val="0"/>
                <w:iCs w:val="0"/>
                <w:color w:val="auto"/>
                <w:sz w:val="21"/>
                <w:szCs w:val="21"/>
                <w:highlight w:val="none"/>
                <w:u w:val="none"/>
              </w:rPr>
            </w:pPr>
            <w:r>
              <w:rPr>
                <w:rFonts w:hint="eastAsia" w:ascii="宋体" w:hAnsi="宋体" w:eastAsia="宋体" w:cs="宋体"/>
                <w:b w:val="0"/>
                <w:bCs w:val="0"/>
                <w:color w:val="auto"/>
                <w:highlight w:val="none"/>
                <w:lang w:val="en-US" w:eastAsia="zh-CN"/>
              </w:rPr>
              <w:t>8位，16A，大</w:t>
            </w:r>
            <w:r>
              <w:rPr>
                <w:rFonts w:hint="eastAsia" w:ascii="宋体" w:hAnsi="宋体" w:eastAsia="宋体" w:cs="宋体"/>
                <w:color w:val="auto"/>
                <w:highlight w:val="none"/>
                <w:lang w:val="en-US" w:eastAsia="zh-CN"/>
              </w:rPr>
              <w:t>功率防雷款</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汇聚交换机</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1）交换容量≥336Gbps；</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2）包转发率≥51Mpps；</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3）固化10/100/1000M以太网电口≥16，1000M/2.5G SFP千兆光接口≥4个；</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4）采用绿色环保设计，整机最大功耗≤16W；</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5）设备采用静音无风扇节能设计；</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6）绿色节能：要求支持高效节能以太网特性。端口如果在连续一段时间之内空闲，系统会将该端口设置为节能模式，当有报文收发时再通过定时发送的监听码流唤醒端口恢复业务，达到节能的效果；</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7）所投产品端口浪涌抗扰度≥10KV（即具备10KV的防雷能力）；</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8）★支持专门针对CPU的保护机制，能够针对发往CPU处理的各种报文进行流区分和优先级队列分级处理，保护交换机在各种环境下稳定工作；</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9）支持基础网络保护策略，能够限制用户向网络中发送ARP报文、ICMP请求报文、DHCP请求报文等数据包的数率，对超过限速阈值的报文进行丢弃处理，甚至能够识别攻击行为，对有攻击行为的用户进行隔离；</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10）符合国家低碳环保等政策要求，支持IEEE 802.3az标准的EEE节能技术；</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11）配合云管平台支持基于网关的网络拓扑自动发现，并以图形化形式呈现；支持基于云的工具箱功能（配置下发、配置备份、配置恢复、命令调试、访问eWeb、访问Telnet、访问SSH、重启、设备升级）；</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12）配合云管平台，告警可以通过微信公众号、邮件、微信、企业钉钉发送提醒；</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13）支持IPV4/IPV6静态路由协议；</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14）支持生成树协议STP(IEEE 802.1d)，RSTP(IEEE 802.1w)和MSTP(IEEE 802.1s)，完全保证快速收敛，提高容错能力，保证网络的稳定运行和链路的负载均衡，合理使用网络通道，提供冗余链路利用率；</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15）★支持快速以太网链路检测协议，可快速检测链路的通断和光纤链路的单向性，并支持端口下的环路检测功能，防止端口下因私接Hub等设备形成的环路而导致网络故障的现象；</w:t>
            </w:r>
            <w:r>
              <w:rPr>
                <w:rFonts w:hint="eastAsia" w:ascii="宋体" w:hAnsi="宋体" w:eastAsia="宋体" w:cs="宋体"/>
                <w:b/>
                <w:bCs/>
                <w:i w:val="0"/>
                <w:iCs w:val="0"/>
                <w:color w:val="auto"/>
                <w:kern w:val="0"/>
                <w:sz w:val="21"/>
                <w:szCs w:val="21"/>
                <w:highlight w:val="none"/>
                <w:u w:val="none"/>
                <w:lang w:val="en-US" w:eastAsia="zh-CN" w:bidi="ar"/>
              </w:rPr>
              <w:t>（需提供官网截图和链接证明作为证明材料，并加盖公章。）</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16）支持SNMP、CLI(Telnet/Console)、Syslog、NTP、TFTP、Web；</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17）▲提供工信部设备进网许可证；</w:t>
            </w:r>
            <w:r>
              <w:rPr>
                <w:rFonts w:hint="eastAsia" w:ascii="宋体" w:hAnsi="宋体" w:eastAsia="宋体" w:cs="宋体"/>
                <w:b/>
                <w:bCs/>
                <w:i w:val="0"/>
                <w:iCs w:val="0"/>
                <w:color w:val="auto"/>
                <w:kern w:val="0"/>
                <w:sz w:val="21"/>
                <w:szCs w:val="21"/>
                <w:highlight w:val="none"/>
                <w:u w:val="none"/>
                <w:lang w:val="en-US" w:eastAsia="zh-CN" w:bidi="ar"/>
              </w:rPr>
              <w:t>（需提供证书扫描件作为证明材料，并加盖公章。）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接地连接电缆</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Style w:val="74"/>
                <w:rFonts w:hint="eastAsia" w:ascii="宋体" w:hAnsi="宋体" w:eastAsia="宋体" w:cs="宋体"/>
                <w:color w:val="auto"/>
                <w:sz w:val="21"/>
                <w:szCs w:val="21"/>
                <w:highlight w:val="none"/>
                <w:lang w:val="en-US" w:eastAsia="zh-CN" w:bidi="ar"/>
              </w:rPr>
              <w:t>接地连接线，ZR-BVR 4mm</w:t>
            </w:r>
            <w:r>
              <w:rPr>
                <w:rStyle w:val="140"/>
                <w:rFonts w:hint="eastAsia" w:ascii="宋体" w:hAnsi="宋体" w:eastAsia="宋体" w:cs="宋体"/>
                <w:color w:val="auto"/>
                <w:sz w:val="21"/>
                <w:szCs w:val="21"/>
                <w:highlight w:val="none"/>
                <w:lang w:val="en-US" w:eastAsia="zh-CN" w:bidi="ar"/>
              </w:rPr>
              <w:t>2</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可视化控制端</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i5-12400 16G 512固态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机柜拆装移位、阵列安装</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定制</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地面处理</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600×600×30mm防静电活动地板，架设高度250mm(包括钢质支架）</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操作台</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四联(定制)</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47"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电源设备</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Style w:val="74"/>
                <w:rFonts w:hint="eastAsia" w:ascii="宋体" w:hAnsi="宋体" w:eastAsia="宋体" w:cs="宋体"/>
                <w:color w:val="auto"/>
                <w:sz w:val="21"/>
                <w:szCs w:val="21"/>
                <w:highlight w:val="none"/>
                <w:lang w:val="en-US" w:eastAsia="zh-CN" w:bidi="ar"/>
              </w:rPr>
              <w:t>1）双转换在线式UPS，三相输入/单相输出；</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2）额定功率：20kVA/18kW；</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3）零切换时间；</w:t>
            </w:r>
            <w:r>
              <w:rPr>
                <w:rStyle w:val="141"/>
                <w:rFonts w:hint="eastAsia" w:ascii="宋体" w:hAnsi="宋体" w:eastAsia="宋体" w:cs="宋体"/>
                <w:color w:val="auto"/>
                <w:sz w:val="21"/>
                <w:szCs w:val="21"/>
                <w:highlight w:val="none"/>
                <w:lang w:val="en-US" w:eastAsia="zh-CN" w:bidi="ar"/>
              </w:rPr>
              <w:br w:type="textWrapping"/>
            </w:r>
            <w:r>
              <w:rPr>
                <w:rStyle w:val="141"/>
                <w:rFonts w:hint="eastAsia" w:ascii="宋体" w:hAnsi="宋体" w:eastAsia="宋体" w:cs="宋体"/>
                <w:color w:val="auto"/>
                <w:sz w:val="21"/>
                <w:szCs w:val="21"/>
                <w:highlight w:val="none"/>
                <w:lang w:val="en-US" w:eastAsia="zh-CN" w:bidi="ar"/>
              </w:rPr>
              <w:t>4）</w:t>
            </w:r>
            <w:r>
              <w:rPr>
                <w:rStyle w:val="74"/>
                <w:rFonts w:hint="eastAsia" w:ascii="宋体" w:hAnsi="宋体" w:eastAsia="宋体" w:cs="宋体"/>
                <w:color w:val="auto"/>
                <w:sz w:val="21"/>
                <w:szCs w:val="21"/>
                <w:highlight w:val="none"/>
                <w:lang w:val="en-US" w:eastAsia="zh-CN" w:bidi="ar"/>
              </w:rPr>
              <w:t>双转换纯在线式架构，电池市电供电模式切换的零转换时间，支持定频输出，有效保证负载供电可靠性</w:t>
            </w:r>
            <w:r>
              <w:rPr>
                <w:rStyle w:val="74"/>
                <w:rFonts w:hint="eastAsia" w:ascii="宋体" w:hAnsi="宋体" w:cs="宋体"/>
                <w:color w:val="auto"/>
                <w:sz w:val="21"/>
                <w:szCs w:val="21"/>
                <w:highlight w:val="none"/>
                <w:lang w:val="en-US" w:eastAsia="zh-CN" w:bidi="ar"/>
              </w:rPr>
              <w:t>；</w:t>
            </w:r>
            <w:r>
              <w:rPr>
                <w:rStyle w:val="141"/>
                <w:rFonts w:hint="eastAsia" w:ascii="宋体" w:hAnsi="宋体" w:eastAsia="宋体" w:cs="宋体"/>
                <w:color w:val="auto"/>
                <w:sz w:val="21"/>
                <w:szCs w:val="21"/>
                <w:highlight w:val="none"/>
                <w:lang w:val="en-US" w:eastAsia="zh-CN" w:bidi="ar"/>
              </w:rPr>
              <w:br w:type="textWrapping"/>
            </w:r>
            <w:r>
              <w:rPr>
                <w:rStyle w:val="141"/>
                <w:rFonts w:hint="eastAsia" w:ascii="宋体" w:hAnsi="宋体" w:eastAsia="宋体" w:cs="宋体"/>
                <w:color w:val="auto"/>
                <w:sz w:val="21"/>
                <w:szCs w:val="21"/>
                <w:highlight w:val="none"/>
                <w:lang w:val="en-US" w:eastAsia="zh-CN" w:bidi="ar"/>
              </w:rPr>
              <w:t>5）</w:t>
            </w:r>
            <w:r>
              <w:rPr>
                <w:rStyle w:val="74"/>
                <w:rFonts w:hint="eastAsia" w:ascii="宋体" w:hAnsi="宋体" w:eastAsia="宋体" w:cs="宋体"/>
                <w:color w:val="auto"/>
                <w:sz w:val="21"/>
                <w:szCs w:val="21"/>
                <w:highlight w:val="none"/>
                <w:lang w:val="en-US" w:eastAsia="zh-CN" w:bidi="ar"/>
              </w:rPr>
              <w:t>采用先进</w:t>
            </w:r>
            <w:r>
              <w:rPr>
                <w:rStyle w:val="141"/>
                <w:rFonts w:hint="eastAsia" w:ascii="宋体" w:hAnsi="宋体" w:eastAsia="宋体" w:cs="宋体"/>
                <w:color w:val="auto"/>
                <w:sz w:val="21"/>
                <w:szCs w:val="21"/>
                <w:highlight w:val="none"/>
                <w:lang w:val="en-US" w:eastAsia="zh-CN" w:bidi="ar"/>
              </w:rPr>
              <w:t>DSP</w:t>
            </w:r>
            <w:r>
              <w:rPr>
                <w:rStyle w:val="74"/>
                <w:rFonts w:hint="eastAsia" w:ascii="宋体" w:hAnsi="宋体" w:eastAsia="宋体" w:cs="宋体"/>
                <w:color w:val="auto"/>
                <w:sz w:val="21"/>
                <w:szCs w:val="21"/>
                <w:highlight w:val="none"/>
                <w:lang w:val="en-US" w:eastAsia="zh-CN" w:bidi="ar"/>
              </w:rPr>
              <w:t>数字化控制技术，提供稳定可靠正弦波供电</w:t>
            </w:r>
            <w:r>
              <w:rPr>
                <w:rStyle w:val="141"/>
                <w:rFonts w:hint="eastAsia" w:ascii="宋体" w:hAnsi="宋体" w:eastAsia="宋体" w:cs="宋体"/>
                <w:color w:val="auto"/>
                <w:sz w:val="21"/>
                <w:szCs w:val="21"/>
                <w:highlight w:val="none"/>
                <w:lang w:val="en-US" w:eastAsia="zh-CN" w:bidi="ar"/>
              </w:rPr>
              <w:t xml:space="preserve"> ；</w:t>
            </w:r>
            <w:r>
              <w:rPr>
                <w:rStyle w:val="141"/>
                <w:rFonts w:hint="eastAsia" w:ascii="宋体" w:hAnsi="宋体" w:eastAsia="宋体" w:cs="宋体"/>
                <w:color w:val="auto"/>
                <w:sz w:val="21"/>
                <w:szCs w:val="21"/>
                <w:highlight w:val="none"/>
                <w:lang w:val="en-US" w:eastAsia="zh-CN" w:bidi="ar"/>
              </w:rPr>
              <w:br w:type="textWrapping"/>
            </w:r>
            <w:r>
              <w:rPr>
                <w:rStyle w:val="141"/>
                <w:rFonts w:hint="eastAsia" w:ascii="宋体" w:hAnsi="宋体" w:eastAsia="宋体" w:cs="宋体"/>
                <w:color w:val="auto"/>
                <w:sz w:val="21"/>
                <w:szCs w:val="21"/>
                <w:highlight w:val="none"/>
                <w:lang w:val="en-US" w:eastAsia="zh-CN" w:bidi="ar"/>
              </w:rPr>
              <w:t>6）</w:t>
            </w:r>
            <w:r>
              <w:rPr>
                <w:rStyle w:val="74"/>
                <w:rFonts w:hint="eastAsia" w:ascii="宋体" w:hAnsi="宋体" w:eastAsia="宋体" w:cs="宋体"/>
                <w:color w:val="auto"/>
                <w:sz w:val="21"/>
                <w:szCs w:val="21"/>
                <w:highlight w:val="none"/>
                <w:lang w:val="en-US" w:eastAsia="zh-CN" w:bidi="ar"/>
              </w:rPr>
              <w:t>三电平逆变技术；</w:t>
            </w:r>
            <w:r>
              <w:rPr>
                <w:rStyle w:val="141"/>
                <w:rFonts w:hint="eastAsia" w:ascii="宋体" w:hAnsi="宋体" w:eastAsia="宋体" w:cs="宋体"/>
                <w:color w:val="auto"/>
                <w:sz w:val="21"/>
                <w:szCs w:val="21"/>
                <w:highlight w:val="none"/>
                <w:lang w:val="en-US" w:eastAsia="zh-CN" w:bidi="ar"/>
              </w:rPr>
              <w:br w:type="textWrapping"/>
            </w:r>
            <w:r>
              <w:rPr>
                <w:rStyle w:val="141"/>
                <w:rFonts w:hint="eastAsia" w:ascii="宋体" w:hAnsi="宋体" w:eastAsia="宋体" w:cs="宋体"/>
                <w:color w:val="auto"/>
                <w:sz w:val="21"/>
                <w:szCs w:val="21"/>
                <w:highlight w:val="none"/>
                <w:lang w:val="en-US" w:eastAsia="zh-CN" w:bidi="ar"/>
              </w:rPr>
              <w:t>7）</w:t>
            </w:r>
            <w:r>
              <w:rPr>
                <w:rStyle w:val="74"/>
                <w:rFonts w:hint="eastAsia" w:ascii="宋体" w:hAnsi="宋体" w:eastAsia="宋体" w:cs="宋体"/>
                <w:color w:val="auto"/>
                <w:sz w:val="21"/>
                <w:szCs w:val="21"/>
                <w:highlight w:val="none"/>
                <w:lang w:val="en-US" w:eastAsia="zh-CN" w:bidi="ar"/>
              </w:rPr>
              <w:t>高效节能，失真度更小，带载能力更强，适应各种复杂类型负载；</w:t>
            </w:r>
            <w:r>
              <w:rPr>
                <w:rStyle w:val="141"/>
                <w:rFonts w:hint="eastAsia" w:ascii="宋体" w:hAnsi="宋体" w:eastAsia="宋体" w:cs="宋体"/>
                <w:color w:val="auto"/>
                <w:sz w:val="21"/>
                <w:szCs w:val="21"/>
                <w:highlight w:val="none"/>
                <w:lang w:val="en-US" w:eastAsia="zh-CN" w:bidi="ar"/>
              </w:rPr>
              <w:br w:type="textWrapping"/>
            </w:r>
            <w:r>
              <w:rPr>
                <w:rStyle w:val="141"/>
                <w:rFonts w:hint="eastAsia" w:ascii="宋体" w:hAnsi="宋体" w:eastAsia="宋体" w:cs="宋体"/>
                <w:color w:val="auto"/>
                <w:sz w:val="21"/>
                <w:szCs w:val="21"/>
                <w:highlight w:val="none"/>
                <w:lang w:val="en-US" w:eastAsia="zh-CN" w:bidi="ar"/>
              </w:rPr>
              <w:t>8）UPS</w:t>
            </w:r>
            <w:r>
              <w:rPr>
                <w:rStyle w:val="74"/>
                <w:rFonts w:hint="eastAsia" w:ascii="宋体" w:hAnsi="宋体" w:eastAsia="宋体" w:cs="宋体"/>
                <w:color w:val="auto"/>
                <w:sz w:val="21"/>
                <w:szCs w:val="21"/>
                <w:highlight w:val="none"/>
                <w:lang w:val="en-US" w:eastAsia="zh-CN" w:bidi="ar"/>
              </w:rPr>
              <w:t>电源为纯在线式设计；容量：</w:t>
            </w:r>
            <w:r>
              <w:rPr>
                <w:rStyle w:val="141"/>
                <w:rFonts w:hint="eastAsia" w:ascii="宋体" w:hAnsi="宋体" w:eastAsia="宋体" w:cs="宋体"/>
                <w:color w:val="auto"/>
                <w:sz w:val="21"/>
                <w:szCs w:val="21"/>
                <w:highlight w:val="none"/>
                <w:lang w:val="en-US" w:eastAsia="zh-CN" w:bidi="ar"/>
              </w:rPr>
              <w:t>20KAV</w:t>
            </w:r>
            <w:r>
              <w:rPr>
                <w:rStyle w:val="74"/>
                <w:rFonts w:hint="eastAsia" w:ascii="宋体" w:hAnsi="宋体" w:eastAsia="宋体" w:cs="宋体"/>
                <w:color w:val="auto"/>
                <w:sz w:val="21"/>
                <w:szCs w:val="21"/>
                <w:highlight w:val="none"/>
                <w:lang w:val="en-US" w:eastAsia="zh-CN" w:bidi="ar"/>
              </w:rPr>
              <w:t>；高频机；三进单出；</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9）输入电压：（</w:t>
            </w:r>
            <w:r>
              <w:rPr>
                <w:rStyle w:val="141"/>
                <w:rFonts w:hint="eastAsia" w:ascii="宋体" w:hAnsi="宋体" w:eastAsia="宋体" w:cs="宋体"/>
                <w:color w:val="auto"/>
                <w:sz w:val="21"/>
                <w:szCs w:val="21"/>
                <w:highlight w:val="none"/>
                <w:lang w:val="en-US" w:eastAsia="zh-CN" w:bidi="ar"/>
              </w:rPr>
              <w:t>304-478</w:t>
            </w:r>
            <w:r>
              <w:rPr>
                <w:rStyle w:val="74"/>
                <w:rFonts w:hint="eastAsia" w:ascii="宋体" w:hAnsi="宋体" w:eastAsia="宋体" w:cs="宋体"/>
                <w:color w:val="auto"/>
                <w:sz w:val="21"/>
                <w:szCs w:val="21"/>
                <w:highlight w:val="none"/>
                <w:lang w:val="en-US" w:eastAsia="zh-CN" w:bidi="ar"/>
              </w:rPr>
              <w:t>）</w:t>
            </w:r>
            <w:r>
              <w:rPr>
                <w:rStyle w:val="141"/>
                <w:rFonts w:hint="eastAsia" w:ascii="宋体" w:hAnsi="宋体" w:eastAsia="宋体" w:cs="宋体"/>
                <w:color w:val="auto"/>
                <w:sz w:val="21"/>
                <w:szCs w:val="21"/>
                <w:highlight w:val="none"/>
                <w:lang w:val="en-US" w:eastAsia="zh-CN" w:bidi="ar"/>
              </w:rPr>
              <w:t>VAC/</w:t>
            </w:r>
            <w:r>
              <w:rPr>
                <w:rStyle w:val="74"/>
                <w:rFonts w:hint="eastAsia" w:ascii="宋体" w:hAnsi="宋体" w:eastAsia="宋体" w:cs="宋体"/>
                <w:color w:val="auto"/>
                <w:sz w:val="21"/>
                <w:szCs w:val="21"/>
                <w:highlight w:val="none"/>
                <w:lang w:val="en-US" w:eastAsia="zh-CN" w:bidi="ar"/>
              </w:rPr>
              <w:t>三相五线；</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10）输入频率：</w:t>
            </w:r>
            <w:r>
              <w:rPr>
                <w:rStyle w:val="141"/>
                <w:rFonts w:hint="eastAsia" w:ascii="宋体" w:hAnsi="宋体" w:eastAsia="宋体" w:cs="宋体"/>
                <w:color w:val="auto"/>
                <w:sz w:val="21"/>
                <w:szCs w:val="21"/>
                <w:highlight w:val="none"/>
                <w:lang w:val="en-US" w:eastAsia="zh-CN" w:bidi="ar"/>
              </w:rPr>
              <w:t>46Hz-54Hz</w:t>
            </w:r>
            <w:r>
              <w:rPr>
                <w:rStyle w:val="74"/>
                <w:rFonts w:hint="eastAsia" w:ascii="宋体" w:hAnsi="宋体" w:eastAsia="宋体" w:cs="宋体"/>
                <w:color w:val="auto"/>
                <w:sz w:val="21"/>
                <w:szCs w:val="21"/>
                <w:highlight w:val="none"/>
                <w:lang w:val="en-US" w:eastAsia="zh-CN" w:bidi="ar"/>
              </w:rPr>
              <w:t>；</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11）输出电压：，</w:t>
            </w:r>
            <w:r>
              <w:rPr>
                <w:rStyle w:val="141"/>
                <w:rFonts w:hint="eastAsia" w:ascii="宋体" w:hAnsi="宋体" w:eastAsia="宋体" w:cs="宋体"/>
                <w:color w:val="auto"/>
                <w:sz w:val="21"/>
                <w:szCs w:val="21"/>
                <w:highlight w:val="none"/>
                <w:lang w:val="en-US" w:eastAsia="zh-CN" w:bidi="ar"/>
              </w:rPr>
              <w:t>220V</w:t>
            </w:r>
            <w:r>
              <w:rPr>
                <w:rStyle w:val="74"/>
                <w:rFonts w:hint="eastAsia" w:ascii="宋体" w:hAnsi="宋体" w:eastAsia="宋体" w:cs="宋体"/>
                <w:color w:val="auto"/>
                <w:sz w:val="21"/>
                <w:szCs w:val="21"/>
                <w:highlight w:val="none"/>
                <w:lang w:val="en-US" w:eastAsia="zh-CN" w:bidi="ar"/>
              </w:rPr>
              <w:t>±</w:t>
            </w:r>
            <w:r>
              <w:rPr>
                <w:rStyle w:val="141"/>
                <w:rFonts w:hint="eastAsia" w:ascii="宋体" w:hAnsi="宋体" w:eastAsia="宋体" w:cs="宋体"/>
                <w:color w:val="auto"/>
                <w:sz w:val="21"/>
                <w:szCs w:val="21"/>
                <w:highlight w:val="none"/>
                <w:lang w:val="en-US" w:eastAsia="zh-CN" w:bidi="ar"/>
              </w:rPr>
              <w:t>1%/</w:t>
            </w:r>
            <w:r>
              <w:rPr>
                <w:rStyle w:val="74"/>
                <w:rFonts w:hint="eastAsia" w:ascii="宋体" w:hAnsi="宋体" w:eastAsia="宋体" w:cs="宋体"/>
                <w:color w:val="auto"/>
                <w:sz w:val="21"/>
                <w:szCs w:val="21"/>
                <w:highlight w:val="none"/>
                <w:lang w:val="en-US" w:eastAsia="zh-CN" w:bidi="ar"/>
              </w:rPr>
              <w:t>单相三线；</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12）输出波形：正弦波；</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13）谐波失真：</w:t>
            </w:r>
            <w:r>
              <w:rPr>
                <w:rStyle w:val="141"/>
                <w:rFonts w:hint="eastAsia" w:ascii="宋体" w:hAnsi="宋体" w:eastAsia="宋体" w:cs="宋体"/>
                <w:color w:val="auto"/>
                <w:sz w:val="21"/>
                <w:szCs w:val="21"/>
                <w:highlight w:val="none"/>
                <w:lang w:val="en-US" w:eastAsia="zh-CN" w:bidi="ar"/>
              </w:rPr>
              <w:t>&lt;3%</w:t>
            </w:r>
            <w:r>
              <w:rPr>
                <w:rStyle w:val="74"/>
                <w:rFonts w:hint="eastAsia" w:ascii="宋体" w:hAnsi="宋体" w:eastAsia="宋体" w:cs="宋体"/>
                <w:color w:val="auto"/>
                <w:sz w:val="21"/>
                <w:szCs w:val="21"/>
                <w:highlight w:val="none"/>
                <w:lang w:val="en-US" w:eastAsia="zh-CN" w:bidi="ar"/>
              </w:rPr>
              <w:t>；</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14）过载能力：</w:t>
            </w:r>
            <w:r>
              <w:rPr>
                <w:rStyle w:val="141"/>
                <w:rFonts w:hint="eastAsia" w:ascii="宋体" w:hAnsi="宋体" w:eastAsia="宋体" w:cs="宋体"/>
                <w:color w:val="auto"/>
                <w:sz w:val="21"/>
                <w:szCs w:val="21"/>
                <w:highlight w:val="none"/>
                <w:lang w:val="en-US" w:eastAsia="zh-CN" w:bidi="ar"/>
              </w:rPr>
              <w:t>105</w:t>
            </w:r>
            <w:r>
              <w:rPr>
                <w:rStyle w:val="74"/>
                <w:rFonts w:hint="eastAsia" w:ascii="宋体" w:hAnsi="宋体" w:eastAsia="宋体" w:cs="宋体"/>
                <w:color w:val="auto"/>
                <w:sz w:val="21"/>
                <w:szCs w:val="21"/>
                <w:highlight w:val="none"/>
                <w:lang w:val="en-US" w:eastAsia="zh-CN" w:bidi="ar"/>
              </w:rPr>
              <w:t>～</w:t>
            </w:r>
            <w:r>
              <w:rPr>
                <w:rStyle w:val="141"/>
                <w:rFonts w:hint="eastAsia" w:ascii="宋体" w:hAnsi="宋体" w:eastAsia="宋体" w:cs="宋体"/>
                <w:color w:val="auto"/>
                <w:sz w:val="21"/>
                <w:szCs w:val="21"/>
                <w:highlight w:val="none"/>
                <w:lang w:val="en-US" w:eastAsia="zh-CN" w:bidi="ar"/>
              </w:rPr>
              <w:t>130% 10min</w:t>
            </w:r>
            <w:r>
              <w:rPr>
                <w:rStyle w:val="74"/>
                <w:rFonts w:hint="eastAsia" w:ascii="宋体" w:hAnsi="宋体" w:eastAsia="宋体" w:cs="宋体"/>
                <w:color w:val="auto"/>
                <w:sz w:val="21"/>
                <w:szCs w:val="21"/>
                <w:highlight w:val="none"/>
                <w:lang w:val="en-US" w:eastAsia="zh-CN" w:bidi="ar"/>
              </w:rPr>
              <w:t>，</w:t>
            </w:r>
            <w:r>
              <w:rPr>
                <w:rStyle w:val="141"/>
                <w:rFonts w:hint="eastAsia" w:ascii="宋体" w:hAnsi="宋体" w:eastAsia="宋体" w:cs="宋体"/>
                <w:color w:val="auto"/>
                <w:sz w:val="21"/>
                <w:szCs w:val="21"/>
                <w:highlight w:val="none"/>
                <w:lang w:val="en-US" w:eastAsia="zh-CN" w:bidi="ar"/>
              </w:rPr>
              <w:t>130%</w:t>
            </w:r>
            <w:r>
              <w:rPr>
                <w:rStyle w:val="74"/>
                <w:rFonts w:hint="eastAsia" w:ascii="宋体" w:hAnsi="宋体" w:eastAsia="宋体" w:cs="宋体"/>
                <w:color w:val="auto"/>
                <w:sz w:val="21"/>
                <w:szCs w:val="21"/>
                <w:highlight w:val="none"/>
                <w:lang w:val="en-US" w:eastAsia="zh-CN" w:bidi="ar"/>
              </w:rPr>
              <w:t>以上</w:t>
            </w:r>
            <w:r>
              <w:rPr>
                <w:rStyle w:val="141"/>
                <w:rFonts w:hint="eastAsia" w:ascii="宋体" w:hAnsi="宋体" w:eastAsia="宋体" w:cs="宋体"/>
                <w:color w:val="auto"/>
                <w:sz w:val="21"/>
                <w:szCs w:val="21"/>
                <w:highlight w:val="none"/>
                <w:lang w:val="en-US" w:eastAsia="zh-CN" w:bidi="ar"/>
              </w:rPr>
              <w:t>1min</w:t>
            </w:r>
            <w:r>
              <w:rPr>
                <w:rStyle w:val="74"/>
                <w:rFonts w:hint="eastAsia" w:ascii="宋体" w:hAnsi="宋体" w:eastAsia="宋体" w:cs="宋体"/>
                <w:color w:val="auto"/>
                <w:sz w:val="21"/>
                <w:szCs w:val="21"/>
                <w:highlight w:val="none"/>
                <w:lang w:val="en-US" w:eastAsia="zh-CN" w:bidi="ar"/>
              </w:rPr>
              <w:t>；</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w:t>
            </w:r>
            <w:r>
              <w:rPr>
                <w:rStyle w:val="74"/>
                <w:rFonts w:hint="eastAsia" w:ascii="宋体" w:hAnsi="宋体" w:cs="宋体"/>
                <w:color w:val="auto"/>
                <w:sz w:val="21"/>
                <w:szCs w:val="21"/>
                <w:highlight w:val="none"/>
                <w:lang w:val="en-US" w:eastAsia="zh-CN" w:bidi="ar"/>
              </w:rPr>
              <w:t>5</w:t>
            </w:r>
            <w:r>
              <w:rPr>
                <w:rStyle w:val="74"/>
                <w:rFonts w:hint="eastAsia" w:ascii="宋体" w:hAnsi="宋体" w:eastAsia="宋体" w:cs="宋体"/>
                <w:color w:val="auto"/>
                <w:sz w:val="21"/>
                <w:szCs w:val="21"/>
                <w:highlight w:val="none"/>
                <w:lang w:val="en-US" w:eastAsia="zh-CN" w:bidi="ar"/>
              </w:rPr>
              <w:t>）完善的电池管理技术：在市电模式下，无需电池即可启动</w:t>
            </w:r>
            <w:r>
              <w:rPr>
                <w:rStyle w:val="141"/>
                <w:rFonts w:hint="eastAsia" w:ascii="宋体" w:hAnsi="宋体" w:eastAsia="宋体" w:cs="宋体"/>
                <w:color w:val="auto"/>
                <w:sz w:val="21"/>
                <w:szCs w:val="21"/>
                <w:highlight w:val="none"/>
                <w:lang w:val="en-US" w:eastAsia="zh-CN" w:bidi="ar"/>
              </w:rPr>
              <w:t>UPS</w:t>
            </w:r>
            <w:r>
              <w:rPr>
                <w:rStyle w:val="74"/>
                <w:rFonts w:hint="eastAsia" w:ascii="宋体" w:hAnsi="宋体" w:eastAsia="宋体" w:cs="宋体"/>
                <w:color w:val="auto"/>
                <w:sz w:val="21"/>
                <w:szCs w:val="21"/>
                <w:highlight w:val="none"/>
                <w:lang w:val="en-US" w:eastAsia="zh-CN" w:bidi="ar"/>
              </w:rPr>
              <w:t>；</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w:t>
            </w:r>
            <w:r>
              <w:rPr>
                <w:rStyle w:val="74"/>
                <w:rFonts w:hint="eastAsia" w:ascii="宋体" w:hAnsi="宋体" w:cs="宋体"/>
                <w:color w:val="auto"/>
                <w:sz w:val="21"/>
                <w:szCs w:val="21"/>
                <w:highlight w:val="none"/>
                <w:lang w:val="en-US" w:eastAsia="zh-CN" w:bidi="ar"/>
              </w:rPr>
              <w:t>6</w:t>
            </w:r>
            <w:r>
              <w:rPr>
                <w:rStyle w:val="74"/>
                <w:rFonts w:hint="eastAsia" w:ascii="宋体" w:hAnsi="宋体" w:eastAsia="宋体" w:cs="宋体"/>
                <w:color w:val="auto"/>
                <w:sz w:val="21"/>
                <w:szCs w:val="21"/>
                <w:highlight w:val="none"/>
                <w:lang w:val="en-US" w:eastAsia="zh-CN" w:bidi="ar"/>
              </w:rPr>
              <w:t>）启动功能：在无市电模式下，可直接用电池启动</w:t>
            </w:r>
            <w:r>
              <w:rPr>
                <w:rStyle w:val="141"/>
                <w:rFonts w:hint="eastAsia" w:ascii="宋体" w:hAnsi="宋体" w:eastAsia="宋体" w:cs="宋体"/>
                <w:color w:val="auto"/>
                <w:sz w:val="21"/>
                <w:szCs w:val="21"/>
                <w:highlight w:val="none"/>
                <w:lang w:val="en-US" w:eastAsia="zh-CN" w:bidi="ar"/>
              </w:rPr>
              <w:t>UPS</w:t>
            </w:r>
            <w:r>
              <w:rPr>
                <w:rStyle w:val="74"/>
                <w:rFonts w:hint="eastAsia" w:ascii="宋体" w:hAnsi="宋体" w:eastAsia="宋体" w:cs="宋体"/>
                <w:color w:val="auto"/>
                <w:sz w:val="21"/>
                <w:szCs w:val="21"/>
                <w:highlight w:val="none"/>
                <w:lang w:val="en-US" w:eastAsia="zh-CN" w:bidi="ar"/>
              </w:rPr>
              <w:t>；</w:t>
            </w:r>
            <w:r>
              <w:rPr>
                <w:rStyle w:val="74"/>
                <w:rFonts w:hint="eastAsia" w:ascii="宋体" w:hAnsi="宋体" w:eastAsia="宋体" w:cs="宋体"/>
                <w:color w:val="auto"/>
                <w:sz w:val="21"/>
                <w:szCs w:val="21"/>
                <w:highlight w:val="none"/>
                <w:lang w:val="en-US" w:eastAsia="zh-CN" w:bidi="ar"/>
              </w:rPr>
              <w:br w:type="textWrapping"/>
            </w:r>
            <w:r>
              <w:rPr>
                <w:rStyle w:val="74"/>
                <w:rFonts w:hint="eastAsia" w:ascii="宋体" w:hAnsi="宋体" w:eastAsia="宋体" w:cs="宋体"/>
                <w:color w:val="auto"/>
                <w:sz w:val="21"/>
                <w:szCs w:val="21"/>
                <w:highlight w:val="none"/>
                <w:lang w:val="en-US" w:eastAsia="zh-CN" w:bidi="ar"/>
              </w:rPr>
              <w:t>1</w:t>
            </w:r>
            <w:r>
              <w:rPr>
                <w:rStyle w:val="74"/>
                <w:rFonts w:hint="eastAsia" w:ascii="宋体" w:hAnsi="宋体" w:cs="宋体"/>
                <w:color w:val="auto"/>
                <w:sz w:val="21"/>
                <w:szCs w:val="21"/>
                <w:highlight w:val="none"/>
                <w:lang w:val="en-US" w:eastAsia="zh-CN" w:bidi="ar"/>
              </w:rPr>
              <w:t>7</w:t>
            </w:r>
            <w:r>
              <w:rPr>
                <w:rStyle w:val="74"/>
                <w:rFonts w:hint="eastAsia" w:ascii="宋体" w:hAnsi="宋体" w:eastAsia="宋体" w:cs="宋体"/>
                <w:color w:val="auto"/>
                <w:sz w:val="21"/>
                <w:szCs w:val="21"/>
                <w:highlight w:val="none"/>
                <w:lang w:val="en-US" w:eastAsia="zh-CN" w:bidi="ar"/>
              </w:rPr>
              <w:t>）为确保</w:t>
            </w:r>
            <w:r>
              <w:rPr>
                <w:rStyle w:val="141"/>
                <w:rFonts w:hint="eastAsia" w:ascii="宋体" w:hAnsi="宋体" w:eastAsia="宋体" w:cs="宋体"/>
                <w:color w:val="auto"/>
                <w:sz w:val="21"/>
                <w:szCs w:val="21"/>
                <w:highlight w:val="none"/>
                <w:lang w:val="en-US" w:eastAsia="zh-CN" w:bidi="ar"/>
              </w:rPr>
              <w:t>UPS</w:t>
            </w:r>
            <w:r>
              <w:rPr>
                <w:rStyle w:val="74"/>
                <w:rFonts w:hint="eastAsia" w:ascii="宋体" w:hAnsi="宋体" w:eastAsia="宋体" w:cs="宋体"/>
                <w:color w:val="auto"/>
                <w:sz w:val="21"/>
                <w:szCs w:val="21"/>
                <w:highlight w:val="none"/>
                <w:lang w:val="en-US" w:eastAsia="zh-CN" w:bidi="ar"/>
              </w:rPr>
              <w:t>的品质，交货时出具原厂证明及售后服务承诺书。</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电池</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1）胶体蓄电池；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2）单体电池规格容量：12V/100Ah；单体电池浮充电电压：13.5±0.12V；单体电池均衡充电电压：13.8V～14.1V；蓄电池的使用寿命应不低于10年；</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安装柜</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C-16</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配电箱</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含接线排及空开</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ZR 3*4</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辅材</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9242"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平台软件部分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高校智安校园管理平台</w:t>
            </w: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基础包/系统管理</w:t>
            </w:r>
          </w:p>
        </w:tc>
        <w:tc>
          <w:tcPr>
            <w:tcW w:w="7040" w:type="dxa"/>
            <w:tcBorders>
              <w:tl2br w:val="nil"/>
              <w:tr2bl w:val="nil"/>
            </w:tcBorders>
            <w:noWrap w:val="0"/>
            <w:vAlign w:val="center"/>
          </w:tcPr>
          <w:p>
            <w:pPr>
              <w:keepNext w:val="0"/>
              <w:keepLines w:val="0"/>
              <w:pageBreakBefore w:val="0"/>
              <w:widowControl/>
              <w:numPr>
                <w:ilvl w:val="0"/>
                <w:numId w:val="8"/>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系统基础包，提供业务应用依赖的基础资源信息及基础服务能力，包括系统人事管理、场地管理、设备网络管理、事件联动、数据管理、低代码引擎、门户工作台等。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①基础信息：支持系统内的组织、人员、车辆、用户、角色、认证、区域等的配置和管理；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②包含人事管理、场地管理；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③物联设备管理：图上监控、事件联动、设备网络管理等功能；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④数据管理：数据接入、数据存储、接口开放；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⑤低代码引擎：流程表单引擎、报表引擎、巡检引擎、规则引擎等。</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635" w:hRule="atLeast"/>
        </w:trPr>
        <w:tc>
          <w:tcPr>
            <w:tcW w:w="73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p>
        </w:tc>
        <w:tc>
          <w:tcPr>
            <w:tcW w:w="7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视频运维</w:t>
            </w:r>
          </w:p>
        </w:tc>
        <w:tc>
          <w:tcPr>
            <w:tcW w:w="7040" w:type="dxa"/>
            <w:tcBorders>
              <w:tl2br w:val="nil"/>
              <w:tr2bl w:val="nil"/>
            </w:tcBorders>
            <w:noWrap w:val="0"/>
            <w:vAlign w:val="center"/>
          </w:tcPr>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视频质量诊断应用，提供视频图像诊断和监测服务。</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①支持监控点通道的图像质量诊断结果统计和查看；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②支持图像模糊、图像过亮、图像偏色、图像过暗、图像过亮、视频抖动、视频丢帧、场景变换、视频遮挡、对比度、条纹干扰、噪声干扰、信号丢失、黑白图像指标诊断；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③支持码流分辨率、编码格式指标采集；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④支持诊断对比图查看和诊断结果矫正功能；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⑤支持巡检计划配置，可以按照类型和资源以及自定义的巡检周期进行巡检计划配置；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⑥支持监控点图像质量统计报表，展现各类诊断故障数量；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⑦支持</w:t>
            </w:r>
            <w:r>
              <w:rPr>
                <w:rFonts w:hint="eastAsia" w:ascii="宋体" w:hAnsi="宋体" w:eastAsia="宋体" w:cs="宋体"/>
                <w:i w:val="0"/>
                <w:iCs w:val="0"/>
                <w:caps w:val="0"/>
                <w:color w:val="auto"/>
                <w:spacing w:val="0"/>
                <w:sz w:val="19"/>
                <w:szCs w:val="19"/>
                <w:highlight w:val="none"/>
                <w:shd w:val="clear" w:fill="FFFFFF"/>
              </w:rPr>
              <w:t>《公共安全视频监控联网系统信息传输、交换、控制技术要求》（GB/T 28181—2016）</w:t>
            </w:r>
            <w:r>
              <w:rPr>
                <w:rFonts w:hint="eastAsia" w:ascii="宋体" w:hAnsi="宋体" w:eastAsia="宋体" w:cs="宋体"/>
                <w:i w:val="0"/>
                <w:iCs w:val="0"/>
                <w:color w:val="auto"/>
                <w:kern w:val="0"/>
                <w:sz w:val="21"/>
                <w:szCs w:val="21"/>
                <w:highlight w:val="none"/>
                <w:u w:val="none"/>
                <w:lang w:val="en-US" w:eastAsia="zh-CN" w:bidi="ar"/>
              </w:rPr>
              <w:t>、交通部《道路运输车辆卫星定位系统视频通信协议》、开放型网络视频接口论坛（ONVIF）、ISAPI协议。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trPr>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p>
        </w:tc>
        <w:tc>
          <w:tcPr>
            <w:tcW w:w="7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i w:val="0"/>
                <w:iCs w:val="0"/>
                <w:color w:val="auto"/>
                <w:sz w:val="21"/>
                <w:szCs w:val="21"/>
                <w:highlight w:val="none"/>
                <w:u w:val="none"/>
              </w:rPr>
            </w:pP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具备网络管理应用，对接入平台的视频设备，门禁设备，梯控设备，可视对讲设备进行在线巡检，及时发现故障设备和掉线设备，使运维工作更加高效，便利。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1.视频网络管理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 支持监控摄像机、编码设备、存储设备、解码设备等物联设备在线状态、工作状态、硬盘状态、指标采集。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 支持监控点通道的在线状态、录制状态、录像完整性、录像保存天数指标检测。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 支持告警信息统计展现。并支持对监控点、编码设备、解码设备、视频综合矩阵、NVR/CVR、云储存、门禁设备、门禁点、读卡器、梯控设备/梯控读卡器/可视对讲的告警阈值进行配置。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 提供视频运维报表统计能力，包含区域综合排名统计、录像完整性统计、录像存储达标统计、在线状态统计、离线时长统计报表。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 支持巡检计划配置，可以按照类型和资源以及自定义的巡检周期进行巡检计划配置。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 支持</w:t>
            </w:r>
            <w:r>
              <w:rPr>
                <w:rFonts w:hint="eastAsia" w:ascii="宋体" w:hAnsi="宋体" w:eastAsia="宋体" w:cs="宋体"/>
                <w:i w:val="0"/>
                <w:iCs w:val="0"/>
                <w:caps w:val="0"/>
                <w:color w:val="auto"/>
                <w:spacing w:val="0"/>
                <w:sz w:val="19"/>
                <w:szCs w:val="19"/>
                <w:highlight w:val="none"/>
                <w:shd w:val="clear" w:fill="FFFFFF"/>
              </w:rPr>
              <w:t>《公共安全视频监控联网系统信息传输、交换、控制技术要求》（GB/T 28181—2016）</w:t>
            </w:r>
            <w:r>
              <w:rPr>
                <w:rFonts w:hint="eastAsia" w:ascii="宋体" w:hAnsi="宋体" w:eastAsia="宋体" w:cs="宋体"/>
                <w:i w:val="0"/>
                <w:iCs w:val="0"/>
                <w:color w:val="auto"/>
                <w:kern w:val="0"/>
                <w:sz w:val="21"/>
                <w:szCs w:val="21"/>
                <w:highlight w:val="none"/>
                <w:u w:val="none"/>
                <w:lang w:val="en-US" w:eastAsia="zh-CN" w:bidi="ar"/>
              </w:rPr>
              <w:t>、交通部《道路运输车辆卫星定位系统视频通信协议》、开放型网络视频接口论坛（ONVIF）、萤石、ISAPI协议。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2.门禁运维管理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 提供门禁设备在线状态监测能力；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 提供门禁设备运维报表统计能力；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3.可视对讲运维管理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3.1 提供门口机、室内机、管理机、围墙机设备在线状态监测能力；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3.2 提供可视对讲设备运维报表统计能力；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4.梯控运维管理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4.1 提供梯控主机、读卡器在线状态监测能力；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4.2 提供梯控设备运维报表统计能力；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5.停车场出入口运维管理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5.1 提供岗亭缴费终端、出入口控制设备、出入口显示设备、读卡设备在线状态监测能力；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5.2 提供停车场出入口设备运维报表统计能力；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6.寻车诱导运维管理</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 提供诱导管理器、车位相机、显示屏在线状态监测能力；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6.2 提供寻车诱导设备运维报表统计能力</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事件中心</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提供统一的事件中心，包括事件的汇聚、转换、处理、统计、可视化展示，实现事件的全生命周期管理。结合预案、工单保障事件流程的有序、高效、闭环， 实现跨部门、跨区域、跨系统的协同工作，快速响应突发事件，保障园区高效运营，提高事件整体的处理水平。</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w:t>
            </w: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重点人员管理</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录入学校重点关注名单，可按时间/人员进行人员布控，结合平台相关的门禁、人脸相机等设备，对重点人员x日（x可配置）为出现进行预警；打通校园网及安放网络，实现互联互通。在校园网首页设置入口，各分院负责人能对本学院学生（仅限于本学院）直接进行以图搜人。</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2.目标特征、以图搜图：通过平台展示模糊检索功能分别对目标特征、以图搜图进行模糊检索，并检索出系统中的目标通行记录，目标记录需要按照时间轴线进行展示；</w:t>
            </w:r>
            <w:r>
              <w:rPr>
                <w:rFonts w:hint="eastAsia" w:ascii="宋体" w:hAnsi="宋体" w:eastAsia="宋体" w:cs="宋体"/>
                <w:b/>
                <w:bCs/>
                <w:i w:val="0"/>
                <w:iCs w:val="0"/>
                <w:color w:val="auto"/>
                <w:kern w:val="0"/>
                <w:sz w:val="21"/>
                <w:szCs w:val="21"/>
                <w:highlight w:val="none"/>
                <w:u w:val="none"/>
                <w:lang w:val="en-US" w:eastAsia="zh-CN" w:bidi="ar"/>
              </w:rPr>
              <w:t>（需演示）</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支持人员模糊检索关键词分词：支持人员模糊检索关键词分词：搜索条件包括人员信息（姓名、编号、部门）、面部特征或人体特征组成的关键词，如：戴眼镜的张三，自动识别出关键词进行人员或事件检索。支持记录关键词及删除历史搜索记录。检索结果支持加入收藏夹，融合多次检索记录绘制轨迹；</w:t>
            </w:r>
            <w:r>
              <w:rPr>
                <w:rFonts w:hint="eastAsia" w:ascii="宋体" w:hAnsi="宋体" w:eastAsia="宋体" w:cs="宋体"/>
                <w:b/>
                <w:bCs/>
                <w:i w:val="0"/>
                <w:iCs w:val="0"/>
                <w:color w:val="auto"/>
                <w:kern w:val="0"/>
                <w:sz w:val="21"/>
                <w:szCs w:val="21"/>
                <w:highlight w:val="none"/>
                <w:u w:val="none"/>
                <w:lang w:val="en-US" w:eastAsia="zh-CN" w:bidi="ar"/>
              </w:rPr>
              <w:t>（需演示）</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通过平台展示移动端的人员和车辆检索能力，分别演示人员目标可支持按照时间段、监控点、人员特征发起检索，图片上传检索，以卡片形式展示结果，可绘制动线轨迹，调整回放速度。移动端演示检索车辆可支持按照车牌号、车牌颜色、车辆品牌的搜索条件发起模糊匹配检索，以卡片形式展示结果，绘制动线轨迹，调整回放速度；</w:t>
            </w:r>
            <w:r>
              <w:rPr>
                <w:rFonts w:hint="eastAsia" w:ascii="宋体" w:hAnsi="宋体" w:eastAsia="宋体" w:cs="宋体"/>
                <w:b/>
                <w:bCs/>
                <w:i w:val="0"/>
                <w:iCs w:val="0"/>
                <w:color w:val="auto"/>
                <w:kern w:val="0"/>
                <w:sz w:val="21"/>
                <w:szCs w:val="21"/>
                <w:highlight w:val="none"/>
                <w:u w:val="none"/>
                <w:lang w:val="en-US" w:eastAsia="zh-CN" w:bidi="ar"/>
              </w:rPr>
              <w:t>（需演示）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460"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检索中心-人员检索</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以人脸识别、视频结构化技术为核心，通过前端视频和后端比对分析设备，对人脸、人体进行抓拍、分析，提供智能检索服务能力，包含人员检索和轨迹。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1）支持人员精确检索；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2）支持以图搜图能力；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3）支持融合轨迹：展示人员轨迹或人车轨迹（需下单车辆检索授权）。将前端结构化、中心结构化、门禁数据进行一次检索，融合为一条轨迹展示；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4）支持1V1比对：通过1V1对比的功能，可以快速计算选中图片的相似程度，返回相似度评分，用以判断图片是否同一人等场景；</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eastAsia="宋体" w:cs="宋体"/>
                <w:color w:val="auto"/>
                <w:highlight w:val="none"/>
              </w:rPr>
              <w:t>支持按照任意人员搜索条件的同行检索：基于任意人员检索条件及结果，包括抓拍记录、视频流记录，均可以点击同行查询，开启同行查询关联频次</w:t>
            </w:r>
            <w:r>
              <w:rPr>
                <w:rFonts w:hint="eastAsia" w:ascii="宋体" w:hAnsi="宋体" w:eastAsia="宋体" w:cs="宋体"/>
                <w:color w:val="auto"/>
                <w:highlight w:val="none"/>
                <w:lang w:eastAsia="zh-CN"/>
              </w:rPr>
              <w:t>；</w:t>
            </w:r>
            <w:r>
              <w:rPr>
                <w:rFonts w:hint="eastAsia" w:ascii="宋体" w:hAnsi="宋体" w:eastAsia="宋体" w:cs="宋体"/>
                <w:b/>
                <w:bCs/>
                <w:color w:val="auto"/>
                <w:highlight w:val="none"/>
                <w:lang w:eastAsia="zh-CN"/>
              </w:rPr>
              <w:t>（需演示）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检索中心-车辆检索</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通过前端视频和后端比对分析设备，对车辆进行抓拍、分析，提供智能检索服务能力，包含车辆检索和轨迹。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1）支持车辆精确检索；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2）支持以图搜图能力；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3）支持融合轨迹：展示车辆轨迹或人车轨迹（需下单人员检索授权）。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检索中心-人车智能聚档</w:t>
            </w:r>
          </w:p>
        </w:tc>
        <w:tc>
          <w:tcPr>
            <w:tcW w:w="7040"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1.人车智能聚档功能需搭配智能管理中心，支持以下功能</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1.1人员和车辆档案的统计：包括档案总数、档案分类统计、近七天档案生成趋势、月度档案趋势统计等；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1.2支持搜索人车档案；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1.3将搜索到的抓拍事件按照同一人员（陌生人和在库人员）/车牌聚档展示；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1.4将搜索到的抓拍事件按照同一车牌聚档展示；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1.5通过平台展示启用人员自动聚档功能，分别演示设置对象（目标分组）、范围（设备）、目标最低相似度阈值；</w:t>
            </w:r>
            <w:r>
              <w:rPr>
                <w:rFonts w:hint="eastAsia" w:ascii="宋体" w:hAnsi="宋体" w:eastAsia="宋体" w:cs="宋体"/>
                <w:b/>
                <w:bCs/>
                <w:i w:val="0"/>
                <w:iCs w:val="0"/>
                <w:color w:val="auto"/>
                <w:kern w:val="0"/>
                <w:sz w:val="21"/>
                <w:szCs w:val="21"/>
                <w:highlight w:val="none"/>
                <w:u w:val="none"/>
                <w:lang w:val="en-US" w:eastAsia="zh-CN" w:bidi="ar"/>
              </w:rPr>
              <w:t>（需演示）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right="42" w:rightChars="2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1.6支持一次搜索动作下人员聚档，相同人员的视频分析结果、抓拍事件分析结果汇聚到同一人员下展示，包括前后端视频结构化、名下车辆抓拍数据等进行一次检索，融合为一条动线展示。回放时显示部分点位动线以调整动线图，调整回放速度；</w:t>
            </w:r>
            <w:r>
              <w:rPr>
                <w:rFonts w:hint="eastAsia" w:ascii="宋体" w:hAnsi="宋体" w:eastAsia="宋体" w:cs="宋体"/>
                <w:b/>
                <w:bCs/>
                <w:i w:val="0"/>
                <w:iCs w:val="0"/>
                <w:color w:val="auto"/>
                <w:kern w:val="0"/>
                <w:sz w:val="21"/>
                <w:szCs w:val="21"/>
                <w:highlight w:val="none"/>
                <w:u w:val="none"/>
                <w:lang w:val="en-US" w:eastAsia="zh-CN" w:bidi="ar"/>
              </w:rPr>
              <w:t>（需演示）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228" w:hRule="atLeast"/>
        </w:trPr>
        <w:tc>
          <w:tcPr>
            <w:tcW w:w="73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7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可视化看板</w:t>
            </w: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总览看板</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2.1师生统计： 展示师生统计数据（包含本科生、研究生、教职工）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2.2人员态势: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①展示临平与下沙校区的本日/周的入校人数与访客人数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②以曲线图展示每天/每周不同时间点的入校人数的变化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2.3车辆态势：展示今日/本周的入校的校内与校外车辆，以及车辆总数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2.4今日设备信息：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①园区安防设备的运维数据：在线、离线数量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②园区各类消防设备的运维数据：在线、离线数量、报警数量、故障数量；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2.5告警统计：园区安防、消防告警的已处理/未处理数量、高中低等级分布、以及各类告警占比统计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2.6安全隐患排查：展示各区域</w:t>
            </w:r>
            <w:r>
              <w:rPr>
                <w:rFonts w:hint="eastAsia" w:ascii="宋体" w:hAnsi="宋体" w:cs="宋体"/>
                <w:i w:val="0"/>
                <w:iCs w:val="0"/>
                <w:color w:val="auto"/>
                <w:kern w:val="0"/>
                <w:sz w:val="21"/>
                <w:szCs w:val="21"/>
                <w:highlight w:val="none"/>
                <w:u w:val="none"/>
                <w:lang w:val="en-US" w:eastAsia="zh-CN" w:bidi="ar"/>
              </w:rPr>
              <w:t>近</w:t>
            </w:r>
            <w:r>
              <w:rPr>
                <w:rFonts w:hint="eastAsia" w:ascii="宋体" w:hAnsi="宋体" w:eastAsia="宋体" w:cs="宋体"/>
                <w:i w:val="0"/>
                <w:iCs w:val="0"/>
                <w:color w:val="auto"/>
                <w:kern w:val="0"/>
                <w:sz w:val="21"/>
                <w:szCs w:val="21"/>
                <w:highlight w:val="none"/>
                <w:u w:val="none"/>
                <w:lang w:val="en-US" w:eastAsia="zh-CN" w:bidi="ar"/>
              </w:rPr>
              <w:t>7日/30日的安全隐患排查完成排名；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2.7中心展示学校地图，可在临平和下沙校区之间切换。</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7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i w:val="0"/>
                <w:iCs w:val="0"/>
                <w:color w:val="auto"/>
                <w:sz w:val="21"/>
                <w:szCs w:val="21"/>
                <w:highlight w:val="none"/>
                <w:u w:val="none"/>
              </w:rPr>
            </w:pP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安防态势</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1）今日安防告警统计：今日安防告警事件总数，高、中、低数量分布，已处理数、未处理数占比；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2）110报警统计：展示近7天的110报警事件，包含事件名称、时间、地点等；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3）近7日110报警统计：以曲线图展示；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4）设备运维统计：各类型安防设备在离线数据统计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5）监控点离线次数统计：监控点位当月离线总次数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6）安防实时告警：支持事件列表，展示最近的事件预警信息，包含字段：时间、事件源、事件类型、事件等级、处理状态、告警图片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7）安全隐患排查：展示今日隐患排查完成率；展示各区域</w:t>
            </w:r>
            <w:r>
              <w:rPr>
                <w:rFonts w:hint="eastAsia" w:ascii="宋体" w:hAnsi="宋体" w:cs="宋体"/>
                <w:i w:val="0"/>
                <w:iCs w:val="0"/>
                <w:color w:val="auto"/>
                <w:kern w:val="0"/>
                <w:sz w:val="21"/>
                <w:szCs w:val="21"/>
                <w:highlight w:val="none"/>
                <w:u w:val="none"/>
                <w:lang w:val="en-US" w:eastAsia="zh-CN" w:bidi="ar"/>
              </w:rPr>
              <w:t>近</w:t>
            </w:r>
            <w:r>
              <w:rPr>
                <w:rFonts w:hint="eastAsia" w:ascii="宋体" w:hAnsi="宋体" w:eastAsia="宋体" w:cs="宋体"/>
                <w:i w:val="0"/>
                <w:iCs w:val="0"/>
                <w:color w:val="auto"/>
                <w:kern w:val="0"/>
                <w:sz w:val="21"/>
                <w:szCs w:val="21"/>
                <w:highlight w:val="none"/>
                <w:u w:val="none"/>
                <w:lang w:val="en-US" w:eastAsia="zh-CN" w:bidi="ar"/>
              </w:rPr>
              <w:t>7日/30日的安全隐患排查完成排名；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8）中心展示学校地图，可在临平和下沙校区之间切换；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9）联动智能搜索模块：可在看板上点击智能搜索，展开智能搜索框以及条件框，搜索后跳转至智能搜索详细页面。</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475" w:hRule="atLeast"/>
        </w:trPr>
        <w:tc>
          <w:tcPr>
            <w:tcW w:w="7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i w:val="0"/>
                <w:iCs w:val="0"/>
                <w:color w:val="auto"/>
                <w:sz w:val="21"/>
                <w:szCs w:val="21"/>
                <w:highlight w:val="none"/>
                <w:u w:val="none"/>
              </w:rPr>
            </w:pP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人车管理</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1）学生概况：下沙与临平校区学生总数、本科生人数、研究生人数，以及人数分布图；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2）教职工概况：下沙与临平校区教职工人数、管理人员人数、专职人员人数、工勤人员人数，以及人数分布图；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3）实时进出校数据：进出学校实时数量以及相关抓拍图（包含抓拍图、地点、时间、学工号）；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6）公寓人员流量：展示今日/本周下沙与临平校区公寓的实时人流量；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7）入校车流量：展示今日/本周下沙与临平校区的实时车流量；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8）今日车辆统计：校内外车辆总数统计、车辆超速记录展示（包含时间、速度、车牌等）；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9）今日违章统计：今日违章数据统计（含超速、违停、逆行、黑名单）；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10）实时入校车辆：包含抓拍图、车牌号码、时间、地点，轮动展示；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11）中心展示学校地图，可在临平和下沙校区之间切换。</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418" w:hRule="atLeast"/>
        </w:trPr>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p>
        </w:tc>
        <w:tc>
          <w:tcPr>
            <w:tcW w:w="7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i w:val="0"/>
                <w:iCs w:val="0"/>
                <w:color w:val="auto"/>
                <w:sz w:val="21"/>
                <w:szCs w:val="21"/>
                <w:highlight w:val="none"/>
                <w:u w:val="none"/>
              </w:rPr>
            </w:pPr>
          </w:p>
        </w:tc>
        <w:tc>
          <w:tcPr>
            <w:tcW w:w="7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设备运维</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1）安防设备统计：设备总数以及在离线整体情况；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2）安防设备概况：轮动展示相关设备大类的概况，包含设备类型、总数、在线数、离线数、在线率；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3）监控点离线排行：展示近7日/30日的监控点离线排行情况以及离线次数；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4）消防设备统计：设备总数以及在离线整体情况；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5）消防设备状态：展示相关设备大类的概况，包含设备类型、总数、在线数；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6）展示相关消防监控画面；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7）中心展示学校地图，可在临平和下沙校区之间切换。</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智能管理中心</w:t>
            </w:r>
            <w:r>
              <w:rPr>
                <w:rFonts w:hint="eastAsia" w:ascii="宋体" w:hAnsi="宋体" w:eastAsia="宋体" w:cs="宋体"/>
                <w:b/>
                <w:bCs/>
                <w:i w:val="0"/>
                <w:iCs w:val="0"/>
                <w:color w:val="auto"/>
                <w:kern w:val="0"/>
                <w:sz w:val="21"/>
                <w:szCs w:val="21"/>
                <w:highlight w:val="none"/>
                <w:u w:val="none"/>
                <w:lang w:val="en-US" w:eastAsia="zh-CN" w:bidi="ar"/>
              </w:rPr>
              <w:t>（核心产品）</w:t>
            </w:r>
          </w:p>
        </w:tc>
        <w:tc>
          <w:tcPr>
            <w:tcW w:w="7040"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right="42" w:rightChars="2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1）算法种类（GPU芯片按需分配使用）：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2）人脸算法 视频结构化算法 AI开放平台算法 （物体检测、图像单标签分类、混合、视频行为分析、图像文字识别）身份证OCR识别算法；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3）产品分析性能：（共8颗芯片）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单台服务器支持视频流的人脸、人体、车辆分析、AI开放平台算法分析；5）单台服务器支持图片流的人脸、人体、车辆分析、AI开放平台算法分析；6）支持本地存储不小于8000万条人脸图片、模型及结构化数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7）★支持管理License 授权控制，可限制云存储系统的授权时间、最大接入计划数量、存储节点数量、存储容量、资源池数量等；支持账户冻结、有效期、有效时间段及MAC 地址绑定等安全属性的设定；支持对用户（组）设定各设备节点的访问权限以及各业务功能的应用权限；</w:t>
            </w:r>
            <w:r>
              <w:rPr>
                <w:rFonts w:hint="eastAsia" w:ascii="宋体" w:hAnsi="宋体" w:eastAsia="宋体" w:cs="宋体"/>
                <w:b/>
                <w:bCs/>
                <w:i w:val="0"/>
                <w:iCs w:val="0"/>
                <w:color w:val="auto"/>
                <w:kern w:val="0"/>
                <w:sz w:val="21"/>
                <w:szCs w:val="21"/>
                <w:highlight w:val="none"/>
                <w:u w:val="none"/>
                <w:lang w:val="en-US" w:eastAsia="zh-CN" w:bidi="ar"/>
              </w:rPr>
              <w:t>（需提供国家认可的第三方检测机构出具的检测报告作为证明材料，并加盖公章。）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云存储支持单机EC方案，即支持以任一存储节点为单位独立设置N+M数据保护，支持多硬盘时，业务不中断，数据不丢失，同时可根据实时接入业务进行负载均衡；支持对人脸智能结构化数据进行实时缓存备份和全量备份存储；</w:t>
            </w:r>
            <w:r>
              <w:rPr>
                <w:rFonts w:hint="eastAsia" w:ascii="宋体" w:hAnsi="宋体" w:eastAsia="宋体" w:cs="宋体"/>
                <w:b/>
                <w:bCs/>
                <w:i w:val="0"/>
                <w:iCs w:val="0"/>
                <w:color w:val="auto"/>
                <w:kern w:val="0"/>
                <w:sz w:val="21"/>
                <w:szCs w:val="21"/>
                <w:highlight w:val="none"/>
                <w:u w:val="none"/>
                <w:lang w:val="en-US" w:eastAsia="zh-CN" w:bidi="ar"/>
              </w:rPr>
              <w:t>（需提供国家认可的第三方检测机构出具的检测报告作为证明材料，并加盖公章。）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9）支持AI开放平台算法类型：物体检测、图像单标签分类、混合（物体检测和图像单标签分类）、视频行为分析、图像文字识别；</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单卡支持接入16路视频流进行AI开放平台算法智能分析；单卡支持接入64张/秒图片进行AI开放平台算法智能分析；</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11）支持导入AI开放平台算法，支持算法管理，支持上传、删除、查询操作；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12）支持数据两副本冗余存储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13）支持本地web界面展示报警统计信息、点位统计信息、人流量/车流量统计信息、点位抓拍日均值、峰值、排行等信息；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支持本地web界面添加相机的实时预览，支持16分屏同时预览，支持抓拍图片的实时展示、陌生人报警、名单报警、高频报警的实时展示，支持不同报警信息提示不同的报警声音以及报警信息支持以弹窗方式展示；15）本地web界面支持名单报警、陌生人报警、高频报警、低频报警、车牌报警查询，支持按照抓拍图片的点位、时间、名单库、报警的确认状态、相似度等信息进行筛选展示，支持报警结果的导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16）支持本地web界面对人员档案的查询、检索功能，支持以图表、数据的形式展示档案总数、实名及路人档案、昨日新增档案数以及档案新增报表；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17）支持在本地web界面，按照条件进行以图搜图、身份确认、抓拍库检索操作；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18）支持本地web界面1V1比对功能；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19）支持本地web界面单张及批量名单的导入、删除、修改、查询等功能；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20）支持本地web界面直接添加人脸抓拍机、普通摄像机、结构化相机和导入录像，并支持下发任务进行人脸分析、视频结构化分析、人脸布控、车牌布控；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21）支持识别48×48~6400万像素人脸图片，支持识别不低于10MB人脸图片，支持比对两眼瞳距不小于8像素点的人脸图片，支持比对水平转动不超过60度，俯仰角不超过45度的人脸图片；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22）支持在web界面对档案的总数、新增档案数、实名档案及陌生人档案的数据信息进行图形化展示、轨迹展示，支持按照实名及陌生人档案进行分类查询；</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r>
              <w:rPr>
                <w:rFonts w:hint="eastAsia" w:ascii="宋体" w:hAnsi="宋体" w:eastAsia="宋体" w:cs="宋体"/>
                <w:i w:val="0"/>
                <w:iCs w:val="0"/>
                <w:color w:val="auto"/>
                <w:kern w:val="0"/>
                <w:sz w:val="21"/>
                <w:szCs w:val="21"/>
                <w:highlight w:val="none"/>
                <w:u w:val="none"/>
                <w:lang w:val="en-US" w:eastAsia="zh-CN" w:bidi="ar"/>
              </w:rPr>
              <w:t>）★支持将解析后的人脸图片与名单库内的人员进行比对，对于相似度大于阈值的人脸图片，自动聚类至已有实名人员档案中，档案信息包括姓名、性别等档案属性；</w:t>
            </w:r>
            <w:r>
              <w:rPr>
                <w:rFonts w:hint="eastAsia" w:ascii="宋体" w:hAnsi="宋体" w:eastAsia="宋体" w:cs="宋体"/>
                <w:b/>
                <w:bCs/>
                <w:i w:val="0"/>
                <w:iCs w:val="0"/>
                <w:color w:val="auto"/>
                <w:kern w:val="0"/>
                <w:sz w:val="21"/>
                <w:szCs w:val="21"/>
                <w:highlight w:val="none"/>
                <w:u w:val="none"/>
                <w:lang w:val="en-US" w:eastAsia="zh-CN" w:bidi="ar"/>
              </w:rPr>
              <w:t>（需提供国家认可的第三方检测机构出具的检测报告作为证明材料，并加盖公章。）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24）支持将解析后的人脸图片与名单库内的人员进行比对，对于相似度小于阈值的人脸图片，自动入库至路人库，并生成具有人员ID的档案，当该人员下次被抓拍到时，抓拍图片能够聚类到该人员已有的档案中；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25）整机支持对视频文件全帧率40倍加速进行活动目标智能分析（最小切片时长2min）；</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26）整机支持接入不少于256路人脸抓拍机同时分析，分析速度不小于256张/s，支持80路动态摄像头视频流的接入和处理分析能力；</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025" w:hRule="atLeast"/>
        </w:trPr>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w:t>
            </w:r>
          </w:p>
        </w:tc>
        <w:tc>
          <w:tcPr>
            <w:tcW w:w="14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安防系统控制器</w:t>
            </w:r>
          </w:p>
        </w:tc>
        <w:tc>
          <w:tcPr>
            <w:tcW w:w="70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1）2U双路标准机架式；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2）CPU：配置1颗intel至强4210R处理器，核数≥10核，主频≥2.4GHz（可扩展至2颗）；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3）内存：配置64G DDR4，16根内存插槽，最大支持扩展至2TB内存；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4）硬盘：配置2块960G SSD硬盘；最高支持12块3.5寸(兼容2.5寸)热插拔SAS/SATA硬盘，支持可选2块后置热插拔2.5寸硬盘；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5）阵列卡：配置SAS_HBA卡，支持RAID 0/1/10；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6）PCIE扩展：支持6个PCIE扩展插槽；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7）网口：板载2个千兆电口，另加配2个千兆电口；   </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8）支持选配10GbE、25GbE SFP+等多种网络接口；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9）其他接口：1个RJ45管理接口，后置2个USB 3.0接口，前置2个USB2.0接口，1个VGA接口；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10）电源：标配550W（1+1）高效铂金CRPS冗余电源。</w:t>
            </w:r>
          </w:p>
        </w:tc>
      </w:tr>
    </w:tbl>
    <w:p>
      <w:pPr>
        <w:pageBreakBefore w:val="0"/>
        <w:numPr>
          <w:ilvl w:val="0"/>
          <w:numId w:val="0"/>
        </w:numPr>
        <w:kinsoku/>
        <w:overflowPunct/>
        <w:topLinePunct w:val="0"/>
        <w:bidi w:val="0"/>
        <w:adjustRightInd w:val="0"/>
        <w:snapToGrid w:val="0"/>
        <w:spacing w:line="336" w:lineRule="auto"/>
        <w:rPr>
          <w:rFonts w:hint="eastAsia" w:ascii="宋体" w:hAnsi="宋体" w:eastAsia="宋体" w:cs="宋体"/>
          <w:color w:val="auto"/>
          <w:highlight w:val="none"/>
          <w:lang w:val="en-US" w:eastAsia="zh-CN"/>
        </w:rPr>
      </w:pPr>
    </w:p>
    <w:p>
      <w:pPr>
        <w:pStyle w:val="19"/>
        <w:pageBreakBefore w:val="0"/>
        <w:kinsoku/>
        <w:overflowPunct/>
        <w:topLinePunct w:val="0"/>
        <w:bidi w:val="0"/>
        <w:adjustRightInd w:val="0"/>
        <w:snapToGrid w:val="0"/>
        <w:spacing w:before="158" w:line="336" w:lineRule="auto"/>
        <w:outlineLvl w:val="1"/>
        <w:rPr>
          <w:rFonts w:hint="eastAsia" w:ascii="宋体" w:hAnsi="宋体" w:eastAsia="宋体" w:cs="宋体"/>
          <w:color w:val="auto"/>
          <w:szCs w:val="21"/>
          <w:highlight w:val="none"/>
          <w:lang w:bidi="ar"/>
        </w:rPr>
      </w:pPr>
      <w:r>
        <w:rPr>
          <w:rFonts w:hint="eastAsia" w:ascii="宋体" w:hAnsi="宋体" w:eastAsia="宋体" w:cs="宋体"/>
          <w:b/>
          <w:color w:val="auto"/>
          <w:sz w:val="30"/>
          <w:szCs w:val="30"/>
          <w:highlight w:val="none"/>
          <w:lang w:val="en-US" w:eastAsia="zh-CN"/>
        </w:rPr>
        <w:t>四</w:t>
      </w:r>
      <w:r>
        <w:rPr>
          <w:rFonts w:hint="eastAsia" w:ascii="宋体" w:hAnsi="宋体" w:eastAsia="宋体" w:cs="宋体"/>
          <w:b/>
          <w:color w:val="auto"/>
          <w:sz w:val="30"/>
          <w:szCs w:val="30"/>
          <w:highlight w:val="none"/>
        </w:rPr>
        <w:t>、其他：</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1.投标人应提供针对本项目的供货方案、现场安装调试方案的实施方案。</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2.投标人需提出针对系统安全、应用软件安全、数据备份安全等几个方面配套的安全体系完善方案。</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3.提供产品质量保证措施(提供质量保证体系、制造标准、质量监控手段、投标产品的技术支持资料等相关证明资料)及质量检测设施介绍。</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4.投标人提供项目进度计划。</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5.投标人需制定的售后服务方案</w:t>
      </w:r>
      <w:r>
        <w:rPr>
          <w:rFonts w:hint="eastAsia" w:ascii="宋体" w:hAnsi="宋体" w:eastAsia="宋体" w:cs="宋体"/>
          <w:color w:val="auto"/>
          <w:szCs w:val="21"/>
          <w:highlight w:val="none"/>
          <w:lang w:eastAsia="zh-CN"/>
        </w:rPr>
        <w:t>，包括</w:t>
      </w:r>
      <w:r>
        <w:rPr>
          <w:rFonts w:hint="eastAsia" w:ascii="宋体" w:hAnsi="宋体" w:eastAsia="宋体" w:cs="宋体"/>
          <w:color w:val="auto"/>
          <w:szCs w:val="21"/>
          <w:highlight w:val="none"/>
        </w:rPr>
        <w:t>项目维护计划，包括对用户故障的响应、故障修复及处理、定期巡检等情况。</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6.投标人提供本项目执行周期内的现场服务及技术培训服务方案。</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人拟派项目团队架构合理性，提供项目经理及其他成员的数量、资格水平、工作经验、专业技术能力、参与项目案例的情况。提供项目团队人员证书等证明材料且有投标人为其缴纳的至投标截止时间6个月任意时间的社保证明。</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8.投标人提供的对</w:t>
      </w:r>
      <w:r>
        <w:rPr>
          <w:rFonts w:hint="eastAsia" w:ascii="宋体" w:hAnsi="宋体" w:eastAsia="宋体" w:cs="宋体"/>
          <w:color w:val="auto"/>
          <w:highlight w:val="none"/>
          <w:lang w:val="zh-CN"/>
        </w:rPr>
        <w:t>本项目实施过程中及后续平台运行过程中</w:t>
      </w:r>
      <w:r>
        <w:rPr>
          <w:rFonts w:hint="eastAsia" w:ascii="宋体" w:hAnsi="宋体" w:eastAsia="宋体" w:cs="宋体"/>
          <w:color w:val="auto"/>
          <w:szCs w:val="21"/>
          <w:highlight w:val="none"/>
        </w:rPr>
        <w:t>出现的突发情况进行分析的合理性及提出应对措施方案。</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eastAsia="zh-CN"/>
        </w:rPr>
        <w:t>需</w:t>
      </w:r>
      <w:r>
        <w:rPr>
          <w:rFonts w:hint="eastAsia" w:ascii="宋体" w:hAnsi="宋体" w:eastAsia="宋体" w:cs="宋体"/>
          <w:color w:val="auto"/>
          <w:szCs w:val="21"/>
          <w:highlight w:val="none"/>
        </w:rPr>
        <w:t>提供202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年1月1日至今（以合同签订时间为准）同类</w:t>
      </w:r>
      <w:r>
        <w:rPr>
          <w:rFonts w:hint="eastAsia" w:ascii="宋体" w:hAnsi="宋体" w:eastAsia="宋体" w:cs="宋体"/>
          <w:color w:val="auto"/>
          <w:szCs w:val="21"/>
          <w:highlight w:val="none"/>
          <w:lang w:eastAsia="zh-CN"/>
        </w:rPr>
        <w:t>安全平台建设</w:t>
      </w:r>
      <w:r>
        <w:rPr>
          <w:rFonts w:hint="eastAsia" w:ascii="宋体" w:hAnsi="宋体" w:eastAsia="宋体" w:cs="宋体"/>
          <w:color w:val="auto"/>
          <w:szCs w:val="21"/>
          <w:highlight w:val="none"/>
        </w:rPr>
        <w:t>项目的业绩</w:t>
      </w:r>
      <w:r>
        <w:rPr>
          <w:rFonts w:hint="eastAsia" w:ascii="宋体" w:hAnsi="宋体" w:eastAsia="宋体" w:cs="宋体"/>
          <w:color w:val="auto"/>
          <w:szCs w:val="21"/>
          <w:highlight w:val="none"/>
          <w:lang w:eastAsia="zh-CN"/>
        </w:rPr>
        <w:t>。</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具有ISO20000信息技术服务管理体系认证、ISO27001信息安全管理体系认证证书、ISO9001质量管理体系认证</w:t>
      </w:r>
      <w:r>
        <w:rPr>
          <w:rFonts w:hint="eastAsia" w:ascii="宋体" w:hAnsi="宋体" w:eastAsia="宋体" w:cs="宋体"/>
          <w:color w:val="auto"/>
          <w:szCs w:val="21"/>
          <w:highlight w:val="none"/>
          <w:lang w:eastAsia="zh-CN"/>
        </w:rPr>
        <w:t>，需</w:t>
      </w:r>
      <w:r>
        <w:rPr>
          <w:rFonts w:hint="eastAsia" w:ascii="宋体" w:hAnsi="宋体" w:eastAsia="宋体" w:cs="宋体"/>
          <w:color w:val="auto"/>
          <w:szCs w:val="21"/>
          <w:highlight w:val="none"/>
        </w:rPr>
        <w:t>提供在有效期内的相关证书的复印件</w:t>
      </w:r>
      <w:r>
        <w:rPr>
          <w:rFonts w:hint="eastAsia" w:ascii="宋体" w:hAnsi="宋体" w:eastAsia="宋体" w:cs="宋体"/>
          <w:color w:val="auto"/>
          <w:szCs w:val="21"/>
          <w:highlight w:val="none"/>
          <w:lang w:val="en-US" w:eastAsia="zh-CN"/>
        </w:rPr>
        <w:t>及全国认证认可信息公共服务平台(http://cx.cnca.cn)查询网页的截图。</w:t>
      </w:r>
    </w:p>
    <w:p>
      <w:pPr>
        <w:pStyle w:val="19"/>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pacing w:val="-6"/>
          <w:szCs w:val="21"/>
          <w:highlight w:val="none"/>
        </w:rPr>
        <w:t>投标产品属于品目清单范围</w:t>
      </w:r>
      <w:r>
        <w:rPr>
          <w:rFonts w:hint="eastAsia" w:ascii="宋体" w:hAnsi="宋体" w:eastAsia="宋体" w:cs="宋体"/>
          <w:color w:val="auto"/>
          <w:spacing w:val="-6"/>
          <w:szCs w:val="21"/>
          <w:highlight w:val="none"/>
          <w:lang w:eastAsia="zh-CN"/>
        </w:rPr>
        <w:t>内的，需</w:t>
      </w:r>
      <w:r>
        <w:rPr>
          <w:rFonts w:hint="eastAsia" w:ascii="宋体" w:hAnsi="宋体" w:eastAsia="宋体" w:cs="宋体"/>
          <w:color w:val="auto"/>
          <w:spacing w:val="-6"/>
          <w:szCs w:val="21"/>
          <w:highlight w:val="none"/>
        </w:rPr>
        <w:t>提供国家确定的认证机构出具的处于有效期之内的节能产品认证证书；投标产品属于品目清单范围</w:t>
      </w:r>
      <w:r>
        <w:rPr>
          <w:rFonts w:hint="eastAsia" w:ascii="宋体" w:hAnsi="宋体" w:eastAsia="宋体" w:cs="宋体"/>
          <w:color w:val="auto"/>
          <w:spacing w:val="-6"/>
          <w:szCs w:val="21"/>
          <w:highlight w:val="none"/>
          <w:lang w:eastAsia="zh-CN"/>
        </w:rPr>
        <w:t>内的，</w:t>
      </w:r>
      <w:r>
        <w:rPr>
          <w:rFonts w:hint="eastAsia" w:ascii="宋体" w:hAnsi="宋体" w:eastAsia="宋体" w:cs="宋体"/>
          <w:color w:val="auto"/>
          <w:spacing w:val="-6"/>
          <w:szCs w:val="21"/>
          <w:highlight w:val="none"/>
        </w:rPr>
        <w:t>提供国家确定的认证机构出具的处于有效期之内的环境标志产品认证证书。</w:t>
      </w:r>
    </w:p>
    <w:p>
      <w:pPr>
        <w:pageBreakBefore w:val="0"/>
        <w:kinsoku/>
        <w:overflowPunct/>
        <w:topLinePunct w:val="0"/>
        <w:bidi w:val="0"/>
        <w:adjustRightInd w:val="0"/>
        <w:snapToGrid w:val="0"/>
        <w:spacing w:line="336" w:lineRule="auto"/>
        <w:ind w:left="1" w:firstLine="422" w:firstLineChars="200"/>
        <w:rPr>
          <w:rFonts w:hint="eastAsia" w:ascii="宋体" w:hAnsi="宋体" w:eastAsia="宋体" w:cs="宋体"/>
          <w:b/>
          <w:bCs/>
          <w:color w:val="auto"/>
          <w:kern w:val="0"/>
          <w:szCs w:val="21"/>
          <w:highlight w:val="none"/>
        </w:rPr>
      </w:pPr>
    </w:p>
    <w:p>
      <w:pPr>
        <w:pStyle w:val="43"/>
        <w:pageBreakBefore w:val="0"/>
        <w:kinsoku/>
        <w:overflowPunct/>
        <w:topLinePunct w:val="0"/>
        <w:bidi w:val="0"/>
        <w:adjustRightInd w:val="0"/>
        <w:snapToGrid w:val="0"/>
        <w:spacing w:line="336" w:lineRule="auto"/>
        <w:jc w:val="center"/>
        <w:outlineLvl w:val="0"/>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第四部分  合同条款</w:t>
      </w:r>
      <w:bookmarkEnd w:id="10"/>
      <w:bookmarkEnd w:id="11"/>
      <w:bookmarkEnd w:id="12"/>
    </w:p>
    <w:p>
      <w:pPr>
        <w:pageBreakBefore w:val="0"/>
        <w:kinsoku/>
        <w:overflowPunct/>
        <w:topLinePunct w:val="0"/>
        <w:bidi w:val="0"/>
        <w:adjustRightInd w:val="0"/>
        <w:snapToGrid w:val="0"/>
        <w:spacing w:line="336" w:lineRule="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（本合同样式供参考）</w:t>
      </w:r>
    </w:p>
    <w:p>
      <w:pPr>
        <w:pStyle w:val="43"/>
        <w:pageBreakBefore w:val="0"/>
        <w:kinsoku/>
        <w:overflowPunct/>
        <w:topLinePunct w:val="0"/>
        <w:bidi w:val="0"/>
        <w:adjustRightInd w:val="0"/>
        <w:snapToGrid w:val="0"/>
        <w:spacing w:line="336" w:lineRule="auto"/>
        <w:rPr>
          <w:rFonts w:hint="eastAsia" w:ascii="宋体" w:hAnsi="宋体" w:eastAsia="宋体" w:cs="宋体"/>
          <w:color w:val="auto"/>
          <w:highlight w:val="none"/>
        </w:rPr>
      </w:pPr>
    </w:p>
    <w:p>
      <w:pPr>
        <w:pageBreakBefore w:val="0"/>
        <w:kinsoku/>
        <w:overflowPunct/>
        <w:topLinePunct w:val="0"/>
        <w:bidi w:val="0"/>
        <w:adjustRightInd w:val="0"/>
        <w:snapToGrid w:val="0"/>
        <w:spacing w:line="336" w:lineRule="auto"/>
        <w:jc w:val="center"/>
        <w:rPr>
          <w:rFonts w:hint="eastAsia" w:ascii="宋体" w:hAnsi="宋体" w:eastAsia="宋体" w:cs="宋体"/>
          <w:color w:val="auto"/>
          <w:szCs w:val="21"/>
          <w:highlight w:val="none"/>
        </w:rPr>
      </w:pPr>
      <w:bookmarkStart w:id="31" w:name="_Toc251566661"/>
      <w:bookmarkStart w:id="32" w:name="_Toc14349"/>
      <w:bookmarkStart w:id="33" w:name="_Toc249760790"/>
      <w:bookmarkStart w:id="34" w:name="_Toc1303"/>
      <w:r>
        <w:rPr>
          <w:rFonts w:hint="eastAsia" w:ascii="宋体" w:hAnsi="宋体" w:eastAsia="宋体" w:cs="宋体"/>
          <w:b/>
          <w:color w:val="auto"/>
          <w:szCs w:val="21"/>
          <w:highlight w:val="none"/>
        </w:rPr>
        <w:t xml:space="preserve">浙江理工大学采购合同 </w:t>
      </w:r>
    </w:p>
    <w:p>
      <w:pPr>
        <w:pageBreakBefore w:val="0"/>
        <w:kinsoku/>
        <w:wordWrap w:val="0"/>
        <w:overflowPunct/>
        <w:topLinePunct w:val="0"/>
        <w:bidi w:val="0"/>
        <w:adjustRightInd w:val="0"/>
        <w:snapToGrid w:val="0"/>
        <w:spacing w:line="336"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采购计划文号：</w:t>
      </w:r>
      <w:r>
        <w:rPr>
          <w:rFonts w:hint="eastAsia" w:ascii="宋体" w:hAnsi="宋体" w:eastAsia="宋体" w:cs="宋体"/>
          <w:color w:val="auto"/>
          <w:szCs w:val="21"/>
          <w:highlight w:val="none"/>
          <w:lang w:eastAsia="zh-CN"/>
        </w:rPr>
        <w:t>[2024]13280号、[2024]13279号、[2024]13281号、[2024]13282号</w:t>
      </w:r>
    </w:p>
    <w:p>
      <w:pPr>
        <w:pageBreakBefore w:val="0"/>
        <w:kinsoku/>
        <w:overflowPunct/>
        <w:topLinePunct w:val="0"/>
        <w:bidi w:val="0"/>
        <w:adjustRightInd w:val="0"/>
        <w:snapToGrid w:val="0"/>
        <w:spacing w:line="336"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甲方(需方):</w:t>
      </w:r>
      <w:r>
        <w:rPr>
          <w:rFonts w:hint="eastAsia" w:ascii="宋体" w:hAnsi="宋体" w:eastAsia="宋体" w:cs="宋体"/>
          <w:color w:val="auto"/>
          <w:szCs w:val="21"/>
          <w:highlight w:val="none"/>
        </w:rPr>
        <w:t xml:space="preserve"> 浙江理工大学</w:t>
      </w:r>
    </w:p>
    <w:p>
      <w:pPr>
        <w:pageBreakBefore w:val="0"/>
        <w:kinsoku/>
        <w:overflowPunct/>
        <w:topLinePunct w:val="0"/>
        <w:bidi w:val="0"/>
        <w:adjustRightInd w:val="0"/>
        <w:snapToGrid w:val="0"/>
        <w:spacing w:line="336"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乙方(供方): </w:t>
      </w:r>
    </w:p>
    <w:p>
      <w:pPr>
        <w:pageBreakBefore w:val="0"/>
        <w:kinsoku/>
        <w:overflowPunct/>
        <w:topLinePunct w:val="0"/>
        <w:bidi w:val="0"/>
        <w:adjustRightInd w:val="0"/>
        <w:snapToGrid w:val="0"/>
        <w:spacing w:line="336"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采购代理机构(鉴证方)：</w:t>
      </w:r>
      <w:r>
        <w:rPr>
          <w:rFonts w:hint="eastAsia" w:ascii="宋体" w:hAnsi="宋体" w:eastAsia="宋体" w:cs="宋体"/>
          <w:color w:val="auto"/>
          <w:szCs w:val="21"/>
          <w:highlight w:val="none"/>
        </w:rPr>
        <w:t>浙江国际招投标有限公司</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为保护供、需双方的合法权益，根据《中华人民共和国政府采购法》、《中华人民共和国民法典》等相关法律法规，浙江理工大学特委托浙江国际招投标有限公司经</w:t>
      </w:r>
      <w:r>
        <w:rPr>
          <w:rFonts w:hint="eastAsia" w:ascii="宋体" w:hAnsi="宋体" w:eastAsia="宋体" w:cs="宋体"/>
          <w:color w:val="auto"/>
          <w:szCs w:val="21"/>
          <w:highlight w:val="none"/>
          <w:u w:val="single"/>
        </w:rPr>
        <w:t>公开招标</w:t>
      </w:r>
      <w:r>
        <w:rPr>
          <w:rFonts w:hint="eastAsia" w:ascii="宋体" w:hAnsi="宋体" w:eastAsia="宋体" w:cs="宋体"/>
          <w:color w:val="auto"/>
          <w:szCs w:val="21"/>
          <w:highlight w:val="none"/>
        </w:rPr>
        <w:t>，确定</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（中标人）为项目编号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u w:val="single"/>
        </w:rPr>
        <w:t xml:space="preserve">  /  </w:t>
      </w:r>
      <w:r>
        <w:rPr>
          <w:rFonts w:hint="eastAsia" w:ascii="宋体" w:hAnsi="宋体" w:eastAsia="宋体" w:cs="宋体"/>
          <w:color w:val="auto"/>
          <w:szCs w:val="21"/>
          <w:highlight w:val="none"/>
        </w:rPr>
        <w:t>标项的中标人。本合同为中小企业预留合同。经甲、乙双方协商达成以下协议：</w:t>
      </w:r>
    </w:p>
    <w:p>
      <w:pPr>
        <w:pageBreakBefore w:val="0"/>
        <w:kinsoku/>
        <w:overflowPunct/>
        <w:topLinePunct w:val="0"/>
        <w:bidi w:val="0"/>
        <w:adjustRightInd w:val="0"/>
        <w:snapToGrid w:val="0"/>
        <w:spacing w:line="336"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第一条：采购商品名称及合同价格</w:t>
      </w:r>
    </w:p>
    <w:p>
      <w:pPr>
        <w:pStyle w:val="20"/>
        <w:pageBreakBefore w:val="0"/>
        <w:kinsoku/>
        <w:overflowPunct/>
        <w:topLinePunct w:val="0"/>
        <w:bidi w:val="0"/>
        <w:adjustRightInd w:val="0"/>
        <w:snapToGrid w:val="0"/>
        <w:spacing w:line="336" w:lineRule="auto"/>
        <w:ind w:firstLine="412"/>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 元）</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2550"/>
        <w:gridCol w:w="904"/>
        <w:gridCol w:w="1694"/>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8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商品名称</w:t>
            </w:r>
          </w:p>
        </w:tc>
        <w:tc>
          <w:tcPr>
            <w:tcW w:w="2550"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品牌、规格</w:t>
            </w:r>
          </w:p>
        </w:tc>
        <w:tc>
          <w:tcPr>
            <w:tcW w:w="90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数量</w:t>
            </w:r>
          </w:p>
        </w:tc>
        <w:tc>
          <w:tcPr>
            <w:tcW w:w="169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单价</w:t>
            </w:r>
          </w:p>
        </w:tc>
        <w:tc>
          <w:tcPr>
            <w:tcW w:w="1695"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8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2550"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90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169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1695"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8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2550"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90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169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1695"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034" w:type="dxa"/>
            <w:gridSpan w:val="2"/>
            <w:noWrap w:val="0"/>
            <w:vAlign w:val="center"/>
          </w:tcPr>
          <w:p>
            <w:pPr>
              <w:pageBreakBefore w:val="0"/>
              <w:kinsoku/>
              <w:overflowPunct/>
              <w:topLinePunct w:val="0"/>
              <w:bidi w:val="0"/>
              <w:adjustRightInd w:val="0"/>
              <w:snapToGrid w:val="0"/>
              <w:spacing w:line="336"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总计</w:t>
            </w:r>
          </w:p>
        </w:tc>
        <w:tc>
          <w:tcPr>
            <w:tcW w:w="904" w:type="dxa"/>
            <w:noWrap w:val="0"/>
            <w:vAlign w:val="center"/>
          </w:tcPr>
          <w:p>
            <w:pPr>
              <w:pageBreakBefore w:val="0"/>
              <w:kinsoku/>
              <w:overflowPunct/>
              <w:topLinePunct w:val="0"/>
              <w:bidi w:val="0"/>
              <w:adjustRightInd w:val="0"/>
              <w:snapToGrid w:val="0"/>
              <w:spacing w:line="336" w:lineRule="auto"/>
              <w:rPr>
                <w:rFonts w:hint="eastAsia" w:ascii="宋体" w:hAnsi="宋体" w:eastAsia="宋体" w:cs="宋体"/>
                <w:b/>
                <w:color w:val="auto"/>
                <w:szCs w:val="21"/>
                <w:highlight w:val="none"/>
              </w:rPr>
            </w:pPr>
          </w:p>
        </w:tc>
        <w:tc>
          <w:tcPr>
            <w:tcW w:w="1694"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c>
          <w:tcPr>
            <w:tcW w:w="1695" w:type="dxa"/>
            <w:noWrap w:val="0"/>
            <w:vAlign w:val="center"/>
          </w:tcPr>
          <w:p>
            <w:pPr>
              <w:pageBreakBefore w:val="0"/>
              <w:kinsoku/>
              <w:overflowPunct/>
              <w:topLinePunct w:val="0"/>
              <w:bidi w:val="0"/>
              <w:adjustRightInd w:val="0"/>
              <w:snapToGrid w:val="0"/>
              <w:spacing w:line="336" w:lineRule="auto"/>
              <w:jc w:val="center"/>
              <w:rPr>
                <w:rFonts w:hint="eastAsia" w:ascii="宋体" w:hAnsi="宋体" w:eastAsia="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27" w:type="dxa"/>
            <w:gridSpan w:val="5"/>
            <w:noWrap w:val="0"/>
            <w:vAlign w:val="center"/>
          </w:tcPr>
          <w:p>
            <w:pPr>
              <w:pageBreakBefore w:val="0"/>
              <w:kinsoku/>
              <w:overflowPunct/>
              <w:topLinePunct w:val="0"/>
              <w:bidi w:val="0"/>
              <w:adjustRightInd w:val="0"/>
              <w:snapToGrid w:val="0"/>
              <w:spacing w:line="336"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商品总价（大写）：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27" w:type="dxa"/>
            <w:gridSpan w:val="5"/>
            <w:noWrap w:val="0"/>
            <w:vAlign w:val="center"/>
          </w:tcPr>
          <w:p>
            <w:pPr>
              <w:pageBreakBefore w:val="0"/>
              <w:kinsoku/>
              <w:overflowPunct/>
              <w:topLinePunct w:val="0"/>
              <w:bidi w:val="0"/>
              <w:adjustRightInd w:val="0"/>
              <w:snapToGrid w:val="0"/>
              <w:spacing w:line="336"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  详见技术协议或配置清单</w:t>
            </w:r>
          </w:p>
        </w:tc>
      </w:tr>
    </w:tbl>
    <w:p>
      <w:pPr>
        <w:pageBreakBefore w:val="0"/>
        <w:kinsoku/>
        <w:overflowPunct/>
        <w:topLinePunct w:val="0"/>
        <w:bidi w:val="0"/>
        <w:adjustRightInd w:val="0"/>
        <w:snapToGrid w:val="0"/>
        <w:spacing w:line="33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注：以上合同总价包括设备（包括主机、标准附件、备品备件、专用工具）价、设备运杂费、保险费、利润、税金等等。</w:t>
      </w:r>
    </w:p>
    <w:p>
      <w:pPr>
        <w:pageBreakBefore w:val="0"/>
        <w:kinsoku/>
        <w:overflowPunct/>
        <w:topLinePunct w:val="0"/>
        <w:bidi w:val="0"/>
        <w:adjustRightInd w:val="0"/>
        <w:snapToGrid w:val="0"/>
        <w:spacing w:line="336"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第二条：质量保证与售后服务</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1、乙方保证本合同中所供应的商品是最新生产的符合国家相关技术标准和质量要求的出厂原装合格产品。如发生所供商品与合同不符，甲方有权拒收或退货，由此产生的一切责任和后果由乙方承担。</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2、乙方免费负责设备的安装、调试、培训以及提供相关资料。</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3、质保期限：自设备验收合格之日起，乙方须提供</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年的设备质保期；质保期内提供免费保修服务和现场技术服务（含免费更换设备配件）；质保期后实行有偿服务，仅收取材料成本费（按优惠价格）。</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4、一旦设备发生故障，乙方接到甲方通知后，2小时内做出响应，24小时内上门解决问题，提出解决故障的方案，若48小时内无法修复的需提供相应备机。 </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第三条：交货时间、地点</w:t>
      </w:r>
    </w:p>
    <w:p>
      <w:pPr>
        <w:pageBreakBefore w:val="0"/>
        <w:kinsoku/>
        <w:overflowPunct/>
        <w:topLinePunct w:val="0"/>
        <w:bidi w:val="0"/>
        <w:adjustRightInd w:val="0"/>
        <w:snapToGrid w:val="0"/>
        <w:spacing w:line="336"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1、乙方在合同签订生效后的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个工作日内，将所供商品运抵甲方指定的地点拆箱，并负责安装调试完毕后交付甲方验收。</w:t>
      </w:r>
    </w:p>
    <w:p>
      <w:pPr>
        <w:pageBreakBefore w:val="0"/>
        <w:kinsoku/>
        <w:overflowPunct/>
        <w:topLinePunct w:val="0"/>
        <w:bidi w:val="0"/>
        <w:adjustRightInd w:val="0"/>
        <w:snapToGrid w:val="0"/>
        <w:spacing w:line="336"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2、乙方在商品交付使用时，必须向甲方提供产品说明书、质量保证书、保修证明、相关配套使用手册等文件资料。</w:t>
      </w:r>
    </w:p>
    <w:p>
      <w:pPr>
        <w:pageBreakBefore w:val="0"/>
        <w:kinsoku/>
        <w:overflowPunct/>
        <w:topLinePunct w:val="0"/>
        <w:bidi w:val="0"/>
        <w:adjustRightInd w:val="0"/>
        <w:snapToGrid w:val="0"/>
        <w:spacing w:line="336"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第四条：验收</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乙方将所提供的商品运至交货地点拆箱并安装调试完毕后，供需双方根据已确认的测试方案共同进行测试，并对测试结果进行签字确认。 若测试未通过，或者测试过程中发现未达到本项目采购结果的要求，以及相关的合同要求，甲方可以无条件提出退货。 </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第五条：付款方式及履约保证金</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（1）约定预付款：</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合同生效后5</w:t>
      </w:r>
      <w:r>
        <w:rPr>
          <w:rFonts w:hint="eastAsia" w:ascii="宋体" w:hAnsi="宋体" w:eastAsia="宋体" w:cs="宋体"/>
          <w:color w:val="auto"/>
          <w:szCs w:val="21"/>
          <w:highlight w:val="none"/>
          <w:lang w:eastAsia="zh-CN"/>
        </w:rPr>
        <w:t>个工作</w:t>
      </w:r>
      <w:r>
        <w:rPr>
          <w:rFonts w:hint="eastAsia" w:ascii="宋体" w:hAnsi="宋体" w:eastAsia="宋体" w:cs="宋体"/>
          <w:color w:val="auto"/>
          <w:szCs w:val="21"/>
          <w:highlight w:val="none"/>
        </w:rPr>
        <w:t>日内，中标人应向采购人提交1%的合同履约保证金（支票、汇票、本票或者金融机构、担保机构出具的保函等非现金形式），自货物验收合格后，由采购人退还（不计息）给中标人。</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生效并具备实施条件后7个工作日内，甲方向乙方支付合同全额货款的40%作为预付款，同时乙方应提交银行、保险公司等金融机构出具的预付款保函；设备自乙方送达甲方指定地点，经安装调试并经甲方验收合格后，由甲方向乙方支付合同全额货款的100%；预付款以抵扣方式扣回。</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（2）无需预付款：</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合同生效后</w:t>
      </w:r>
      <w:r>
        <w:rPr>
          <w:rFonts w:hint="eastAsia" w:ascii="宋体" w:hAnsi="宋体" w:eastAsia="宋体" w:cs="宋体"/>
          <w:color w:val="auto"/>
          <w:szCs w:val="21"/>
          <w:highlight w:val="none"/>
          <w:lang w:val="en-US" w:eastAsia="zh-CN"/>
        </w:rPr>
        <w:t>7个工作</w:t>
      </w:r>
      <w:r>
        <w:rPr>
          <w:rFonts w:hint="eastAsia" w:ascii="宋体" w:hAnsi="宋体" w:eastAsia="宋体" w:cs="宋体"/>
          <w:color w:val="auto"/>
          <w:szCs w:val="21"/>
          <w:highlight w:val="none"/>
        </w:rPr>
        <w:t>日内，乙方向甲方提交1%的合同履约保证金（支票、汇票、本票或者金融机构、担保机构出具的保函等非现金形式），自货物验收合格后，由甲方退还（不计息）给乙方。</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设备自乙方送达甲方指定地点，经安装调试并经甲方验收合格后，由甲方一次性向乙方支付合同全额货款。</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（注：具体付款方式按中标人的投标承诺情况确定。）</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第六条：违约责任</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未能在本合同第三条第1款约定的期限内履行合同交货义务的，自逾期之日起，向甲方每日偿付合同总价千分之一的违约金；乙方逾期30日不能交货的，应向甲方支付合同总价百分之五的违约金，甲方同时有权选择解除合同。由于海关、灾难等不可抗力原因导致乙方延迟交货的，不在此范围内。</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2、甲方逾期支付货款的，应向乙方每日偿付合同总价千分之一的违约金。由于假期等客观原因导致逾期支付货款的，双方友好协商解决。</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3、乙方在合同商品质保期内违反本合同有关质量保证及售后服务约定的，乙方应向甲方偿付合同总价5%的违约金。该违约金不足赔偿的损失部分，甲方仍有权要求赔偿该损失。</w:t>
      </w:r>
    </w:p>
    <w:p>
      <w:pPr>
        <w:pageBreakBefore w:val="0"/>
        <w:kinsoku/>
        <w:overflowPunct/>
        <w:topLinePunct w:val="0"/>
        <w:bidi w:val="0"/>
        <w:adjustRightInd w:val="0"/>
        <w:snapToGrid w:val="0"/>
        <w:spacing w:line="336"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第七条：争议的解决</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本合同履行过程中若发生商品质量、售后服务等问题时，甲方有权直接向乙方索赔。如双方不能就争议解决协商一致的，任何一方有权向</w:t>
      </w:r>
      <w:r>
        <w:rPr>
          <w:rFonts w:hint="eastAsia" w:ascii="宋体" w:hAnsi="宋体" w:eastAsia="宋体" w:cs="宋体"/>
          <w:color w:val="auto"/>
          <w:szCs w:val="21"/>
          <w:highlight w:val="none"/>
          <w:lang w:eastAsia="zh-CN"/>
        </w:rPr>
        <w:t>杭州市</w:t>
      </w:r>
      <w:r>
        <w:rPr>
          <w:rFonts w:hint="eastAsia" w:ascii="宋体" w:hAnsi="宋体" w:eastAsia="宋体" w:cs="宋体"/>
          <w:color w:val="auto"/>
          <w:szCs w:val="21"/>
          <w:highlight w:val="none"/>
        </w:rPr>
        <w:t>仲裁委员会申请仲裁解决。</w:t>
      </w:r>
    </w:p>
    <w:p>
      <w:pPr>
        <w:pageBreakBefore w:val="0"/>
        <w:kinsoku/>
        <w:overflowPunct/>
        <w:topLinePunct w:val="0"/>
        <w:bidi w:val="0"/>
        <w:adjustRightInd w:val="0"/>
        <w:snapToGrid w:val="0"/>
        <w:spacing w:line="336"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第八条：合同的生效</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1、本合同经甲、乙双方单位的法定代表人或者经单位法定代表人授权的委托代理人签字并加盖公章后生效。</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2、本合同一式五份，甲方执三份，乙方、鉴证方各执一份。</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3、相关招标文件、投标文件、投标澄清、设备配置清单等与本合同具有同等法律效力。</w:t>
      </w:r>
    </w:p>
    <w:tbl>
      <w:tblPr>
        <w:tblStyle w:val="45"/>
        <w:tblW w:w="0" w:type="auto"/>
        <w:jc w:val="center"/>
        <w:tblLayout w:type="fixed"/>
        <w:tblCellMar>
          <w:top w:w="0" w:type="dxa"/>
          <w:left w:w="108" w:type="dxa"/>
          <w:bottom w:w="0" w:type="dxa"/>
          <w:right w:w="108" w:type="dxa"/>
        </w:tblCellMar>
      </w:tblPr>
      <w:tblGrid>
        <w:gridCol w:w="4971"/>
        <w:gridCol w:w="4965"/>
      </w:tblGrid>
      <w:tr>
        <w:tblPrEx>
          <w:tblCellMar>
            <w:top w:w="0" w:type="dxa"/>
            <w:left w:w="108" w:type="dxa"/>
            <w:bottom w:w="0" w:type="dxa"/>
            <w:right w:w="108" w:type="dxa"/>
          </w:tblCellMar>
        </w:tblPrEx>
        <w:trPr>
          <w:trHeight w:val="793" w:hRule="atLeast"/>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甲方（公章）：浙江理工大学</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ind w:left="1386" w:hanging="1386" w:hangingChars="700"/>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 xml:space="preserve">乙方（公章）： </w:t>
            </w:r>
          </w:p>
        </w:tc>
      </w:tr>
      <w:tr>
        <w:tblPrEx>
          <w:tblCellMar>
            <w:top w:w="0" w:type="dxa"/>
            <w:left w:w="108" w:type="dxa"/>
            <w:bottom w:w="0" w:type="dxa"/>
            <w:right w:w="108" w:type="dxa"/>
          </w:tblCellMar>
        </w:tblPrEx>
        <w:trPr>
          <w:trHeight w:val="1028" w:hRule="atLeast"/>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法定代表人或受委托人：</w:t>
            </w:r>
          </w:p>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（签字）</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法定代表人或受委托人：</w:t>
            </w:r>
          </w:p>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（签字）</w:t>
            </w:r>
          </w:p>
        </w:tc>
      </w:tr>
      <w:tr>
        <w:tblPrEx>
          <w:tblCellMar>
            <w:top w:w="0" w:type="dxa"/>
            <w:left w:w="108" w:type="dxa"/>
            <w:bottom w:w="0" w:type="dxa"/>
            <w:right w:w="108" w:type="dxa"/>
          </w:tblCellMar>
        </w:tblPrEx>
        <w:trPr>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地址：杭州</w:t>
            </w:r>
            <w:r>
              <w:rPr>
                <w:rFonts w:hint="eastAsia" w:ascii="宋体" w:hAnsi="宋体" w:eastAsia="宋体" w:cs="宋体"/>
                <w:color w:val="auto"/>
                <w:spacing w:val="-6"/>
                <w:szCs w:val="21"/>
                <w:highlight w:val="none"/>
                <w:lang w:eastAsia="zh-CN"/>
              </w:rPr>
              <w:t>市</w:t>
            </w:r>
            <w:r>
              <w:rPr>
                <w:rFonts w:hint="eastAsia" w:ascii="宋体" w:hAnsi="宋体" w:eastAsia="宋体" w:cs="宋体"/>
                <w:color w:val="auto"/>
                <w:spacing w:val="-6"/>
                <w:szCs w:val="21"/>
                <w:highlight w:val="none"/>
              </w:rPr>
              <w:t xml:space="preserve">钱塘区2号大街928号 </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地址：</w:t>
            </w:r>
          </w:p>
        </w:tc>
      </w:tr>
      <w:tr>
        <w:tblPrEx>
          <w:tblCellMar>
            <w:top w:w="0" w:type="dxa"/>
            <w:left w:w="108" w:type="dxa"/>
            <w:bottom w:w="0" w:type="dxa"/>
            <w:right w:w="108" w:type="dxa"/>
          </w:tblCellMar>
        </w:tblPrEx>
        <w:trPr>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邮编：310018</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邮编：</w:t>
            </w:r>
          </w:p>
        </w:tc>
      </w:tr>
      <w:tr>
        <w:tblPrEx>
          <w:tblCellMar>
            <w:top w:w="0" w:type="dxa"/>
            <w:left w:w="108" w:type="dxa"/>
            <w:bottom w:w="0" w:type="dxa"/>
            <w:right w:w="108" w:type="dxa"/>
          </w:tblCellMar>
        </w:tblPrEx>
        <w:trPr>
          <w:jc w:val="center"/>
        </w:trPr>
        <w:tc>
          <w:tcPr>
            <w:tcW w:w="4971" w:type="dxa"/>
            <w:tcBorders>
              <w:top w:val="nil"/>
              <w:left w:val="nil"/>
              <w:bottom w:val="nil"/>
              <w:right w:val="nil"/>
            </w:tcBorders>
            <w:noWrap w:val="0"/>
            <w:vAlign w:val="center"/>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电话：0571-86843939</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电话：</w:t>
            </w:r>
          </w:p>
        </w:tc>
      </w:tr>
      <w:tr>
        <w:tblPrEx>
          <w:tblCellMar>
            <w:top w:w="0" w:type="dxa"/>
            <w:left w:w="108" w:type="dxa"/>
            <w:bottom w:w="0" w:type="dxa"/>
            <w:right w:w="108" w:type="dxa"/>
          </w:tblCellMar>
        </w:tblPrEx>
        <w:trPr>
          <w:jc w:val="center"/>
        </w:trPr>
        <w:tc>
          <w:tcPr>
            <w:tcW w:w="4971" w:type="dxa"/>
            <w:tcBorders>
              <w:top w:val="nil"/>
              <w:left w:val="nil"/>
              <w:bottom w:val="nil"/>
              <w:right w:val="nil"/>
            </w:tcBorders>
            <w:noWrap w:val="0"/>
            <w:vAlign w:val="center"/>
          </w:tcPr>
          <w:p>
            <w:pPr>
              <w:pageBreakBefore w:val="0"/>
              <w:kinsoku/>
              <w:overflowPunct/>
              <w:topLinePunct w:val="0"/>
              <w:bidi w:val="0"/>
              <w:adjustRightInd w:val="0"/>
              <w:snapToGrid w:val="0"/>
              <w:spacing w:line="33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传真：0571-86843156</w:t>
            </w:r>
          </w:p>
          <w:p>
            <w:pPr>
              <w:pageBreakBefore w:val="0"/>
              <w:kinsoku/>
              <w:overflowPunct/>
              <w:topLinePunct w:val="0"/>
              <w:bidi w:val="0"/>
              <w:adjustRightInd w:val="0"/>
              <w:snapToGrid w:val="0"/>
              <w:spacing w:line="336" w:lineRule="auto"/>
              <w:rPr>
                <w:rFonts w:hint="eastAsia" w:ascii="宋体" w:hAnsi="宋体" w:eastAsia="宋体" w:cs="宋体"/>
                <w:color w:val="auto"/>
                <w:szCs w:val="21"/>
                <w:highlight w:val="none"/>
              </w:rPr>
            </w:pPr>
            <w:r>
              <w:rPr>
                <w:rStyle w:val="69"/>
                <w:rFonts w:hint="eastAsia" w:ascii="宋体" w:hAnsi="宋体" w:eastAsia="宋体" w:cs="宋体"/>
                <w:color w:val="auto"/>
                <w:szCs w:val="21"/>
                <w:highlight w:val="none"/>
              </w:rPr>
              <w:t>统一社会信用代码：12330000470009034M</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传真：</w:t>
            </w:r>
          </w:p>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统一社会信用代码：</w:t>
            </w:r>
          </w:p>
        </w:tc>
      </w:tr>
      <w:tr>
        <w:tblPrEx>
          <w:tblCellMar>
            <w:top w:w="0" w:type="dxa"/>
            <w:left w:w="108" w:type="dxa"/>
            <w:bottom w:w="0" w:type="dxa"/>
            <w:right w:w="108" w:type="dxa"/>
          </w:tblCellMar>
        </w:tblPrEx>
        <w:trPr>
          <w:jc w:val="center"/>
        </w:trPr>
        <w:tc>
          <w:tcPr>
            <w:tcW w:w="4971" w:type="dxa"/>
            <w:tcBorders>
              <w:top w:val="nil"/>
              <w:left w:val="nil"/>
              <w:bottom w:val="nil"/>
              <w:right w:val="nil"/>
            </w:tcBorders>
            <w:noWrap w:val="0"/>
            <w:vAlign w:val="center"/>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pacing w:val="-6"/>
                <w:szCs w:val="21"/>
                <w:highlight w:val="none"/>
                <w:lang w:bidi="ar"/>
              </w:rPr>
              <w:t>中国农业银行杭州枫华支行</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开户银行：</w:t>
            </w:r>
          </w:p>
        </w:tc>
      </w:tr>
      <w:tr>
        <w:tblPrEx>
          <w:tblCellMar>
            <w:top w:w="0" w:type="dxa"/>
            <w:left w:w="108" w:type="dxa"/>
            <w:bottom w:w="0" w:type="dxa"/>
            <w:right w:w="108" w:type="dxa"/>
          </w:tblCellMar>
        </w:tblPrEx>
        <w:trPr>
          <w:jc w:val="center"/>
        </w:trPr>
        <w:tc>
          <w:tcPr>
            <w:tcW w:w="4971" w:type="dxa"/>
            <w:tcBorders>
              <w:top w:val="nil"/>
              <w:left w:val="nil"/>
              <w:bottom w:val="nil"/>
              <w:right w:val="nil"/>
            </w:tcBorders>
            <w:noWrap w:val="0"/>
            <w:vAlign w:val="center"/>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帐号：</w:t>
            </w:r>
            <w:r>
              <w:rPr>
                <w:rFonts w:hint="eastAsia" w:ascii="宋体" w:hAnsi="宋体" w:eastAsia="宋体" w:cs="宋体"/>
                <w:color w:val="auto"/>
                <w:spacing w:val="-6"/>
                <w:szCs w:val="21"/>
                <w:highlight w:val="none"/>
                <w:lang w:bidi="ar"/>
              </w:rPr>
              <w:t>19001401040051897</w:t>
            </w:r>
          </w:p>
        </w:tc>
        <w:tc>
          <w:tcPr>
            <w:tcW w:w="4965" w:type="dxa"/>
            <w:tcBorders>
              <w:top w:val="nil"/>
              <w:left w:val="nil"/>
              <w:bottom w:val="nil"/>
              <w:right w:val="nil"/>
            </w:tcBorders>
            <w:noWrap w:val="0"/>
            <w:vAlign w:val="top"/>
          </w:tcPr>
          <w:p>
            <w:pPr>
              <w:pStyle w:val="25"/>
              <w:pageBreakBefore w:val="0"/>
              <w:kinsoku/>
              <w:overflowPunct/>
              <w:topLinePunct w:val="0"/>
              <w:bidi w:val="0"/>
              <w:adjustRightInd w:val="0"/>
              <w:snapToGrid w:val="0"/>
              <w:spacing w:line="336" w:lineRule="auto"/>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帐号：</w:t>
            </w:r>
          </w:p>
        </w:tc>
      </w:tr>
      <w:tr>
        <w:tblPrEx>
          <w:tblCellMar>
            <w:top w:w="0" w:type="dxa"/>
            <w:left w:w="108" w:type="dxa"/>
            <w:bottom w:w="0" w:type="dxa"/>
            <w:right w:w="108" w:type="dxa"/>
          </w:tblCellMar>
        </w:tblPrEx>
        <w:trPr>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签约时间：    年   月   日</w:t>
            </w:r>
          </w:p>
        </w:tc>
        <w:tc>
          <w:tcPr>
            <w:tcW w:w="4965"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签约时间：    年   月   日</w:t>
            </w:r>
          </w:p>
        </w:tc>
      </w:tr>
      <w:tr>
        <w:tblPrEx>
          <w:tblCellMar>
            <w:top w:w="0" w:type="dxa"/>
            <w:left w:w="108" w:type="dxa"/>
            <w:bottom w:w="0" w:type="dxa"/>
            <w:right w:w="108" w:type="dxa"/>
          </w:tblCellMar>
        </w:tblPrEx>
        <w:trPr>
          <w:gridAfter w:val="1"/>
          <w:wAfter w:w="4965" w:type="dxa"/>
          <w:trHeight w:val="801" w:hRule="atLeast"/>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p>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采购代理机构：浙江国际招投标有限公司（公章）</w:t>
            </w:r>
          </w:p>
        </w:tc>
      </w:tr>
      <w:tr>
        <w:tblPrEx>
          <w:tblCellMar>
            <w:top w:w="0" w:type="dxa"/>
            <w:left w:w="108" w:type="dxa"/>
            <w:bottom w:w="0" w:type="dxa"/>
            <w:right w:w="108" w:type="dxa"/>
          </w:tblCellMar>
        </w:tblPrEx>
        <w:trPr>
          <w:gridAfter w:val="1"/>
          <w:wAfter w:w="4965" w:type="dxa"/>
          <w:trHeight w:val="717" w:hRule="atLeast"/>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采购代理机构代表：</w:t>
            </w:r>
          </w:p>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（签字）</w:t>
            </w:r>
          </w:p>
        </w:tc>
      </w:tr>
      <w:tr>
        <w:tblPrEx>
          <w:tblCellMar>
            <w:top w:w="0" w:type="dxa"/>
            <w:left w:w="108" w:type="dxa"/>
            <w:bottom w:w="0" w:type="dxa"/>
            <w:right w:w="108" w:type="dxa"/>
          </w:tblCellMar>
        </w:tblPrEx>
        <w:trPr>
          <w:gridAfter w:val="1"/>
          <w:wAfter w:w="4965" w:type="dxa"/>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地址：杭州市文三路90号东部软件园1号楼3楼</w:t>
            </w:r>
          </w:p>
        </w:tc>
      </w:tr>
      <w:tr>
        <w:tblPrEx>
          <w:tblCellMar>
            <w:top w:w="0" w:type="dxa"/>
            <w:left w:w="108" w:type="dxa"/>
            <w:bottom w:w="0" w:type="dxa"/>
            <w:right w:w="108" w:type="dxa"/>
          </w:tblCellMar>
        </w:tblPrEx>
        <w:trPr>
          <w:gridAfter w:val="1"/>
          <w:wAfter w:w="4965" w:type="dxa"/>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邮编：310012</w:t>
            </w:r>
          </w:p>
        </w:tc>
      </w:tr>
      <w:tr>
        <w:tblPrEx>
          <w:tblCellMar>
            <w:top w:w="0" w:type="dxa"/>
            <w:left w:w="108" w:type="dxa"/>
            <w:bottom w:w="0" w:type="dxa"/>
            <w:right w:w="108" w:type="dxa"/>
          </w:tblCellMar>
        </w:tblPrEx>
        <w:trPr>
          <w:gridAfter w:val="1"/>
          <w:wAfter w:w="4965" w:type="dxa"/>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电话：0571-81061809</w:t>
            </w:r>
          </w:p>
        </w:tc>
      </w:tr>
      <w:tr>
        <w:tblPrEx>
          <w:tblCellMar>
            <w:top w:w="0" w:type="dxa"/>
            <w:left w:w="108" w:type="dxa"/>
            <w:bottom w:w="0" w:type="dxa"/>
            <w:right w:w="108" w:type="dxa"/>
          </w:tblCellMar>
        </w:tblPrEx>
        <w:trPr>
          <w:gridAfter w:val="1"/>
          <w:wAfter w:w="4965" w:type="dxa"/>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传真：0571-88473430</w:t>
            </w:r>
          </w:p>
        </w:tc>
      </w:tr>
      <w:tr>
        <w:tblPrEx>
          <w:tblCellMar>
            <w:top w:w="0" w:type="dxa"/>
            <w:left w:w="108" w:type="dxa"/>
            <w:bottom w:w="0" w:type="dxa"/>
            <w:right w:w="108" w:type="dxa"/>
          </w:tblCellMar>
        </w:tblPrEx>
        <w:trPr>
          <w:gridAfter w:val="1"/>
          <w:wAfter w:w="4965" w:type="dxa"/>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开户银行：</w:t>
            </w:r>
            <w:r>
              <w:rPr>
                <w:rFonts w:hint="eastAsia" w:ascii="宋体" w:hAnsi="宋体" w:eastAsia="宋体" w:cs="宋体"/>
                <w:color w:val="auto"/>
                <w:kern w:val="0"/>
                <w:szCs w:val="21"/>
                <w:highlight w:val="none"/>
              </w:rPr>
              <w:t>中国工商银行杭州武林支行</w:t>
            </w:r>
          </w:p>
        </w:tc>
      </w:tr>
      <w:tr>
        <w:tblPrEx>
          <w:tblCellMar>
            <w:top w:w="0" w:type="dxa"/>
            <w:left w:w="108" w:type="dxa"/>
            <w:bottom w:w="0" w:type="dxa"/>
            <w:right w:w="108" w:type="dxa"/>
          </w:tblCellMar>
        </w:tblPrEx>
        <w:trPr>
          <w:gridAfter w:val="1"/>
          <w:wAfter w:w="4965" w:type="dxa"/>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帐号：</w:t>
            </w:r>
            <w:r>
              <w:rPr>
                <w:rFonts w:hint="eastAsia" w:ascii="宋体" w:hAnsi="宋体" w:eastAsia="宋体" w:cs="宋体"/>
                <w:color w:val="auto"/>
                <w:kern w:val="0"/>
                <w:szCs w:val="21"/>
                <w:highlight w:val="none"/>
              </w:rPr>
              <w:t>1202 0212 0990 6782 015</w:t>
            </w:r>
          </w:p>
        </w:tc>
      </w:tr>
      <w:tr>
        <w:tblPrEx>
          <w:tblCellMar>
            <w:top w:w="0" w:type="dxa"/>
            <w:left w:w="108" w:type="dxa"/>
            <w:bottom w:w="0" w:type="dxa"/>
            <w:right w:w="108" w:type="dxa"/>
          </w:tblCellMar>
        </w:tblPrEx>
        <w:trPr>
          <w:gridAfter w:val="1"/>
          <w:wAfter w:w="4965" w:type="dxa"/>
          <w:jc w:val="center"/>
        </w:trPr>
        <w:tc>
          <w:tcPr>
            <w:tcW w:w="4971" w:type="dxa"/>
            <w:tcBorders>
              <w:top w:val="nil"/>
              <w:left w:val="nil"/>
              <w:bottom w:val="nil"/>
              <w:right w:val="nil"/>
            </w:tcBorders>
            <w:noWrap w:val="0"/>
            <w:vAlign w:val="top"/>
          </w:tcPr>
          <w:p>
            <w:pPr>
              <w:pageBreakBefore w:val="0"/>
              <w:kinsoku/>
              <w:overflowPunct/>
              <w:topLinePunct w:val="0"/>
              <w:bidi w:val="0"/>
              <w:adjustRightInd w:val="0"/>
              <w:snapToGrid w:val="0"/>
              <w:spacing w:line="336" w:lineRule="auto"/>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签约时间：    年   月   日</w:t>
            </w:r>
          </w:p>
        </w:tc>
      </w:tr>
    </w:tbl>
    <w:p>
      <w:pPr>
        <w:pageBreakBefore w:val="0"/>
        <w:kinsoku/>
        <w:overflowPunct/>
        <w:topLinePunct w:val="0"/>
        <w:bidi w:val="0"/>
        <w:adjustRightInd w:val="0"/>
        <w:snapToGrid w:val="0"/>
        <w:spacing w:before="120" w:beforeLines="50" w:after="120" w:afterLines="50" w:line="336" w:lineRule="auto"/>
        <w:jc w:val="center"/>
        <w:outlineLvl w:val="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br w:type="page"/>
      </w:r>
      <w:r>
        <w:rPr>
          <w:rFonts w:hint="eastAsia" w:ascii="宋体" w:hAnsi="宋体" w:eastAsia="宋体" w:cs="宋体"/>
          <w:b/>
          <w:color w:val="auto"/>
          <w:sz w:val="30"/>
          <w:szCs w:val="30"/>
          <w:highlight w:val="none"/>
        </w:rPr>
        <w:t>第五部分  评标办法（综合评分法）</w:t>
      </w:r>
      <w:bookmarkEnd w:id="31"/>
      <w:bookmarkEnd w:id="32"/>
      <w:bookmarkEnd w:id="33"/>
      <w:bookmarkEnd w:id="34"/>
    </w:p>
    <w:p>
      <w:pPr>
        <w:keepNext w:val="0"/>
        <w:keepLines w:val="0"/>
        <w:pageBreakBefore w:val="0"/>
        <w:widowControl w:val="0"/>
        <w:numPr>
          <w:ilvl w:val="0"/>
          <w:numId w:val="11"/>
        </w:numPr>
        <w:kinsoku/>
        <w:wordWrap/>
        <w:overflowPunct/>
        <w:topLinePunct w:val="0"/>
        <w:autoSpaceDE/>
        <w:autoSpaceDN/>
        <w:bidi w:val="0"/>
        <w:spacing w:line="360" w:lineRule="auto"/>
        <w:ind w:firstLine="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评标方法</w:t>
      </w:r>
    </w:p>
    <w:p>
      <w:pPr>
        <w:keepNext w:val="0"/>
        <w:keepLines w:val="0"/>
        <w:pageBreakBefore w:val="0"/>
        <w:widowControl w:val="0"/>
        <w:numPr>
          <w:ilvl w:val="255"/>
          <w:numId w:val="0"/>
        </w:numPr>
        <w:tabs>
          <w:tab w:val="left" w:pos="210"/>
        </w:tabs>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本项目采用综合评分法。</w:t>
      </w:r>
      <w:r>
        <w:rPr>
          <w:rFonts w:hint="eastAsia" w:ascii="宋体" w:hAnsi="宋体" w:eastAsia="宋体" w:cs="宋体"/>
          <w:color w:val="auto"/>
          <w:kern w:val="0"/>
          <w:sz w:val="21"/>
          <w:szCs w:val="21"/>
          <w:highlight w:val="none"/>
        </w:rPr>
        <w:t>综合评分法，是指投标文件满足招标文件全部实质性要求，且按照评审因素的量化指标评审得分最高的投标人为中标候选人的评标方法。</w:t>
      </w:r>
    </w:p>
    <w:p>
      <w:pPr>
        <w:keepNext w:val="0"/>
        <w:keepLines w:val="0"/>
        <w:pageBreakBefore w:val="0"/>
        <w:widowControl w:val="0"/>
        <w:numPr>
          <w:ilvl w:val="0"/>
          <w:numId w:val="11"/>
        </w:numPr>
        <w:kinsoku/>
        <w:wordWrap/>
        <w:overflowPunct/>
        <w:topLinePunct w:val="0"/>
        <w:autoSpaceDE/>
        <w:autoSpaceDN/>
        <w:bidi w:val="0"/>
        <w:spacing w:line="360" w:lineRule="auto"/>
        <w:ind w:firstLine="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评标标准</w:t>
      </w:r>
    </w:p>
    <w:p>
      <w:pPr>
        <w:keepNext w:val="0"/>
        <w:keepLines w:val="0"/>
        <w:pageBreakBefore w:val="0"/>
        <w:widowControl w:val="0"/>
        <w:numPr>
          <w:ilvl w:val="255"/>
          <w:numId w:val="0"/>
        </w:numPr>
        <w:tabs>
          <w:tab w:val="left" w:pos="210"/>
        </w:tabs>
        <w:kinsoku/>
        <w:wordWrap/>
        <w:overflowPunct/>
        <w:topLinePunct w:val="0"/>
        <w:autoSpaceDE/>
        <w:autoSpaceDN/>
        <w:bidi w:val="0"/>
        <w:spacing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评标标准：</w:t>
      </w:r>
      <w:r>
        <w:rPr>
          <w:rFonts w:hint="eastAsia" w:ascii="宋体" w:hAnsi="宋体" w:eastAsia="宋体" w:cs="宋体"/>
          <w:color w:val="auto"/>
          <w:kern w:val="0"/>
          <w:sz w:val="21"/>
          <w:szCs w:val="21"/>
          <w:highlight w:val="none"/>
        </w:rPr>
        <w:t>见评标办法前附表。</w:t>
      </w:r>
    </w:p>
    <w:p>
      <w:pPr>
        <w:keepNext w:val="0"/>
        <w:keepLines w:val="0"/>
        <w:pageBreakBefore w:val="0"/>
        <w:widowControl w:val="0"/>
        <w:numPr>
          <w:ilvl w:val="0"/>
          <w:numId w:val="11"/>
        </w:numPr>
        <w:kinsoku/>
        <w:wordWrap/>
        <w:overflowPunct/>
        <w:topLinePunct w:val="0"/>
        <w:autoSpaceDE/>
        <w:autoSpaceDN/>
        <w:bidi w:val="0"/>
        <w:spacing w:line="360" w:lineRule="auto"/>
        <w:ind w:firstLine="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评标程序</w:t>
      </w:r>
    </w:p>
    <w:p>
      <w:pPr>
        <w:keepNext w:val="0"/>
        <w:keepLines w:val="0"/>
        <w:pageBreakBefore w:val="0"/>
        <w:widowControl w:val="0"/>
        <w:numPr>
          <w:ilvl w:val="1"/>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符合性审查。</w:t>
      </w:r>
      <w:r>
        <w:rPr>
          <w:rFonts w:hint="eastAsia" w:ascii="宋体" w:hAnsi="宋体" w:eastAsia="宋体" w:cs="宋体"/>
          <w:color w:val="auto"/>
          <w:kern w:val="0"/>
          <w:sz w:val="21"/>
          <w:szCs w:val="21"/>
          <w:highlight w:val="none"/>
        </w:rPr>
        <w:t>评标委员会应当对符合资格的投标人的投标文件进行符合性审查，以确定其是否满足招标文件的实质性要求。不满足招标文件的实质性要求的，投标无效。</w:t>
      </w:r>
    </w:p>
    <w:p>
      <w:pPr>
        <w:keepNext w:val="0"/>
        <w:keepLines w:val="0"/>
        <w:pageBreakBefore w:val="0"/>
        <w:widowControl w:val="0"/>
        <w:numPr>
          <w:ilvl w:val="1"/>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比较与评价。</w:t>
      </w:r>
      <w:r>
        <w:rPr>
          <w:rFonts w:hint="eastAsia" w:ascii="宋体" w:hAnsi="宋体" w:eastAsia="宋体" w:cs="宋体"/>
          <w:color w:val="auto"/>
          <w:kern w:val="0"/>
          <w:sz w:val="21"/>
          <w:szCs w:val="21"/>
          <w:highlight w:val="none"/>
        </w:rPr>
        <w:t>评标委员会应当按照招标文件中规定的评标方法和标准，对符合性审查合格的投标文件进行商务和技术评估，综合比较与评价。</w:t>
      </w:r>
    </w:p>
    <w:p>
      <w:pPr>
        <w:keepNext w:val="0"/>
        <w:keepLines w:val="0"/>
        <w:pageBreakBefore w:val="0"/>
        <w:widowControl w:val="0"/>
        <w:numPr>
          <w:ilvl w:val="1"/>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汇总商务技术得分。</w:t>
      </w:r>
      <w:r>
        <w:rPr>
          <w:rFonts w:hint="eastAsia" w:ascii="宋体" w:hAnsi="宋体" w:eastAsia="宋体" w:cs="宋体"/>
          <w:color w:val="auto"/>
          <w:kern w:val="0"/>
          <w:sz w:val="21"/>
          <w:szCs w:val="21"/>
          <w:highlight w:val="none"/>
        </w:rPr>
        <w:t>评标委员会各成员应当独立对每个投标人的商务和技术文件进行评价，并汇总商务技术得分情况。</w:t>
      </w:r>
    </w:p>
    <w:p>
      <w:pPr>
        <w:keepNext w:val="0"/>
        <w:keepLines w:val="0"/>
        <w:pageBreakBefore w:val="0"/>
        <w:widowControl w:val="0"/>
        <w:numPr>
          <w:ilvl w:val="255"/>
          <w:numId w:val="0"/>
        </w:numPr>
        <w:kinsoku/>
        <w:wordWrap/>
        <w:overflowPunct/>
        <w:topLinePunct w:val="0"/>
        <w:autoSpaceDE/>
        <w:autoSpaceDN/>
        <w:bidi w:val="0"/>
        <w:spacing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委员会各成员每人一份评分表，进行独自打分并签名。在统计得分时，如发现某一单项评分超过评分细则规定的分值范围，则该张评分表无效。投标人商务技术部分的得分为评标委员会各成员的有效评分的算术平均值。</w:t>
      </w:r>
    </w:p>
    <w:p>
      <w:pPr>
        <w:keepNext w:val="0"/>
        <w:keepLines w:val="0"/>
        <w:pageBreakBefore w:val="0"/>
        <w:widowControl w:val="0"/>
        <w:numPr>
          <w:ilvl w:val="1"/>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报价评审。</w:t>
      </w:r>
    </w:p>
    <w:p>
      <w:pPr>
        <w:keepNext w:val="0"/>
        <w:keepLines w:val="0"/>
        <w:pageBreakBefore w:val="0"/>
        <w:widowControl w:val="0"/>
        <w:numPr>
          <w:ilvl w:val="2"/>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投标文件报价出现前后不一致的，按照下列规定修正：</w:t>
      </w:r>
    </w:p>
    <w:p>
      <w:pPr>
        <w:keepNext w:val="0"/>
        <w:keepLines w:val="0"/>
        <w:pageBreakBefore w:val="0"/>
        <w:widowControl w:val="0"/>
        <w:numPr>
          <w:ilvl w:val="3"/>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投标文件中开标一览表(报价表)内容与投标文件中相应内容不一致的，以开标一览表(报价表)为准</w:t>
      </w:r>
      <w:r>
        <w:rPr>
          <w:rFonts w:hint="eastAsia" w:ascii="宋体" w:hAnsi="宋体" w:cs="宋体"/>
          <w:color w:val="auto"/>
          <w:kern w:val="0"/>
          <w:sz w:val="21"/>
          <w:szCs w:val="21"/>
          <w:highlight w:val="none"/>
          <w:lang w:eastAsia="zh-CN"/>
        </w:rPr>
        <w:t>；</w:t>
      </w:r>
    </w:p>
    <w:p>
      <w:pPr>
        <w:keepNext w:val="0"/>
        <w:keepLines w:val="0"/>
        <w:pageBreakBefore w:val="0"/>
        <w:widowControl w:val="0"/>
        <w:numPr>
          <w:ilvl w:val="3"/>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大写金额和小写金额不一致的，以大写金额为准</w:t>
      </w:r>
      <w:r>
        <w:rPr>
          <w:rFonts w:hint="eastAsia" w:ascii="宋体" w:hAnsi="宋体" w:cs="宋体"/>
          <w:color w:val="auto"/>
          <w:kern w:val="0"/>
          <w:sz w:val="21"/>
          <w:szCs w:val="21"/>
          <w:highlight w:val="none"/>
          <w:lang w:eastAsia="zh-CN"/>
        </w:rPr>
        <w:t>；</w:t>
      </w:r>
    </w:p>
    <w:p>
      <w:pPr>
        <w:keepNext w:val="0"/>
        <w:keepLines w:val="0"/>
        <w:pageBreakBefore w:val="0"/>
        <w:widowControl w:val="0"/>
        <w:numPr>
          <w:ilvl w:val="3"/>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单价金额小数点或者百分比有明显错位的，以开标一览表的总价为准，并修改单价</w:t>
      </w:r>
      <w:r>
        <w:rPr>
          <w:rFonts w:hint="eastAsia" w:ascii="宋体" w:hAnsi="宋体" w:cs="宋体"/>
          <w:color w:val="auto"/>
          <w:kern w:val="0"/>
          <w:sz w:val="21"/>
          <w:szCs w:val="21"/>
          <w:highlight w:val="none"/>
          <w:lang w:eastAsia="zh-CN"/>
        </w:rPr>
        <w:t>；</w:t>
      </w:r>
    </w:p>
    <w:p>
      <w:pPr>
        <w:keepNext w:val="0"/>
        <w:keepLines w:val="0"/>
        <w:pageBreakBefore w:val="0"/>
        <w:widowControl w:val="0"/>
        <w:numPr>
          <w:ilvl w:val="3"/>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总价金额与按单价汇总金额不一致的，以单价金额计算结果为准。</w:t>
      </w:r>
    </w:p>
    <w:p>
      <w:pPr>
        <w:keepNext w:val="0"/>
        <w:keepLines w:val="0"/>
        <w:pageBreakBefore w:val="0"/>
        <w:widowControl w:val="0"/>
        <w:numPr>
          <w:ilvl w:val="3"/>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同时出现两种以上不一致的，按照3.4.1规定的顺序修正。修正后的报价按照财政部第87号令《政府采购货物和服务招标投标管理办法》第五十一条第二款的规定经投标人确认后产生约束力。</w:t>
      </w:r>
    </w:p>
    <w:p>
      <w:pPr>
        <w:keepNext w:val="0"/>
        <w:keepLines w:val="0"/>
        <w:pageBreakBefore w:val="0"/>
        <w:widowControl w:val="0"/>
        <w:numPr>
          <w:ilvl w:val="2"/>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投标文件出现不是唯一的、有选择性投标报价的，投标无效。</w:t>
      </w:r>
    </w:p>
    <w:p>
      <w:pPr>
        <w:keepNext w:val="0"/>
        <w:keepLines w:val="0"/>
        <w:pageBreakBefore w:val="0"/>
        <w:widowControl w:val="0"/>
        <w:numPr>
          <w:ilvl w:val="2"/>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投标报价超过招标文件中规定的预算金额或者最高限价的，投标无效。</w:t>
      </w:r>
    </w:p>
    <w:p>
      <w:pPr>
        <w:keepNext w:val="0"/>
        <w:keepLines w:val="0"/>
        <w:pageBreakBefore w:val="0"/>
        <w:widowControl w:val="0"/>
        <w:numPr>
          <w:ilvl w:val="2"/>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评标委员会认为投标人的报价明显低于其他通过符合性审查投标人的报价，有可能影响产品质量或者不能诚信履约的，应当要求其在合理的时间内提供书面说明，必要时提交相关证明材料</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投标人不能证明其报价合理性的，评标委员会应当将其作为无效投标处理。</w:t>
      </w:r>
    </w:p>
    <w:p>
      <w:pPr>
        <w:keepNext w:val="0"/>
        <w:keepLines w:val="0"/>
        <w:pageBreakBefore w:val="0"/>
        <w:widowControl w:val="0"/>
        <w:numPr>
          <w:ilvl w:val="2"/>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b/>
          <w:bCs/>
          <w:color w:val="auto"/>
          <w:kern w:val="0"/>
          <w:sz w:val="21"/>
          <w:szCs w:val="21"/>
          <w:highlight w:val="none"/>
        </w:rPr>
        <w:t>10%</w:t>
      </w:r>
      <w:r>
        <w:rPr>
          <w:rFonts w:hint="eastAsia" w:ascii="宋体" w:hAnsi="宋体" w:eastAsia="宋体" w:cs="宋体"/>
          <w:color w:val="auto"/>
          <w:kern w:val="0"/>
          <w:sz w:val="21"/>
          <w:szCs w:val="21"/>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rPr>
        <w:t>的扣除，用扣除后的价格参加评审。组成联合体或者接受分包的小微企业与联合体内其他企业、分包企业之间存在直接控股、管理关系的，不享受价格扣除优惠政策。（本项目不适用）</w:t>
      </w:r>
    </w:p>
    <w:p>
      <w:pPr>
        <w:keepNext w:val="0"/>
        <w:keepLines w:val="0"/>
        <w:pageBreakBefore w:val="0"/>
        <w:widowControl w:val="0"/>
        <w:numPr>
          <w:ilvl w:val="1"/>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排序与推荐。</w:t>
      </w:r>
      <w:r>
        <w:rPr>
          <w:rFonts w:hint="eastAsia" w:ascii="宋体" w:hAnsi="宋体" w:eastAsia="宋体" w:cs="宋体"/>
          <w:color w:val="auto"/>
          <w:kern w:val="0"/>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数量：1名。</w:t>
      </w:r>
    </w:p>
    <w:p>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keepNext w:val="0"/>
        <w:keepLines w:val="0"/>
        <w:pageBreakBefore w:val="0"/>
        <w:widowControl w:val="0"/>
        <w:numPr>
          <w:ilvl w:val="1"/>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评分时保留小数点后1位小数，计算评分值时保留小数点后2位小数。</w:t>
      </w:r>
    </w:p>
    <w:p>
      <w:pPr>
        <w:keepNext w:val="0"/>
        <w:keepLines w:val="0"/>
        <w:pageBreakBefore w:val="0"/>
        <w:widowControl w:val="0"/>
        <w:numPr>
          <w:ilvl w:val="1"/>
          <w:numId w:val="12"/>
        </w:numPr>
        <w:kinsoku/>
        <w:wordWrap/>
        <w:overflowPunct/>
        <w:topLinePunct w:val="0"/>
        <w:autoSpaceDE/>
        <w:autoSpaceDN/>
        <w:bidi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编写评标报告。</w:t>
      </w:r>
      <w:r>
        <w:rPr>
          <w:rFonts w:hint="eastAsia" w:ascii="宋体" w:hAnsi="宋体" w:eastAsia="宋体" w:cs="宋体"/>
          <w:color w:val="auto"/>
          <w:kern w:val="0"/>
          <w:sz w:val="21"/>
          <w:szCs w:val="21"/>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val="0"/>
        <w:numPr>
          <w:ilvl w:val="0"/>
          <w:numId w:val="11"/>
        </w:numPr>
        <w:kinsoku/>
        <w:wordWrap/>
        <w:overflowPunct/>
        <w:topLinePunct w:val="0"/>
        <w:autoSpaceDE/>
        <w:autoSpaceDN/>
        <w:bidi w:val="0"/>
        <w:spacing w:line="360" w:lineRule="auto"/>
        <w:ind w:firstLine="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评标中的其他事项</w:t>
      </w:r>
    </w:p>
    <w:p>
      <w:pPr>
        <w:keepNext w:val="0"/>
        <w:keepLines w:val="0"/>
        <w:pageBreakBefore w:val="0"/>
        <w:widowControl w:val="0"/>
        <w:numPr>
          <w:ilvl w:val="1"/>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投标人澄清、说明或者补正。</w:t>
      </w:r>
      <w:r>
        <w:rPr>
          <w:rFonts w:hint="eastAsia" w:ascii="宋体" w:hAnsi="宋体" w:eastAsia="宋体" w:cs="宋体"/>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keepNext w:val="0"/>
        <w:keepLines w:val="0"/>
        <w:pageBreakBefore w:val="0"/>
        <w:widowControl w:val="0"/>
        <w:numPr>
          <w:ilvl w:val="1"/>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投标无效。有下列情况之一的，投标无效：</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投标人不具备招标文件中规定的资格要求的（投标人未提供有效的资格文件的，视为投标人不具备招标文件中规定的资格要求）；</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投标文件未按照招标文件要求签署、盖章的；</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投标文件含有采购人不能接受的附加条件的；</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投标文件中承诺的投标有效期少于招标文件中载明的投标有效期的；</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投标文件出现不是唯一的、有选择性投标报价的</w:t>
      </w:r>
      <w:r>
        <w:rPr>
          <w:rFonts w:hint="eastAsia" w:ascii="宋体" w:hAnsi="宋体" w:cs="宋体"/>
          <w:b/>
          <w:bCs/>
          <w:color w:val="auto"/>
          <w:kern w:val="0"/>
          <w:sz w:val="21"/>
          <w:szCs w:val="21"/>
          <w:highlight w:val="none"/>
          <w:lang w:eastAsia="zh-CN"/>
        </w:rPr>
        <w:t>；</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投标报价超过招标文件中规定的预算金额或者最高限价的</w:t>
      </w:r>
      <w:r>
        <w:rPr>
          <w:rFonts w:hint="eastAsia" w:ascii="宋体" w:hAnsi="宋体" w:cs="宋体"/>
          <w:b/>
          <w:bCs/>
          <w:color w:val="auto"/>
          <w:kern w:val="0"/>
          <w:sz w:val="21"/>
          <w:szCs w:val="21"/>
          <w:highlight w:val="none"/>
          <w:lang w:eastAsia="zh-CN"/>
        </w:rPr>
        <w:t>；</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cs="宋体"/>
          <w:b/>
          <w:bCs/>
          <w:color w:val="auto"/>
          <w:kern w:val="0"/>
          <w:sz w:val="21"/>
          <w:szCs w:val="21"/>
          <w:highlight w:val="none"/>
          <w:lang w:eastAsia="zh-CN"/>
        </w:rPr>
        <w:t>；</w:t>
      </w:r>
    </w:p>
    <w:p>
      <w:pPr>
        <w:keepNext w:val="0"/>
        <w:keepLines w:val="0"/>
        <w:pageBreakBefore w:val="0"/>
        <w:widowControl w:val="0"/>
        <w:numPr>
          <w:ilvl w:val="2"/>
          <w:numId w:val="13"/>
        </w:numPr>
        <w:tabs>
          <w:tab w:val="left" w:pos="210"/>
          <w:tab w:val="left" w:pos="84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投标人对根据修正原则修正后的报价不确认的；</w:t>
      </w:r>
    </w:p>
    <w:p>
      <w:pPr>
        <w:keepNext w:val="0"/>
        <w:keepLines w:val="0"/>
        <w:pageBreakBefore w:val="0"/>
        <w:widowControl w:val="0"/>
        <w:numPr>
          <w:ilvl w:val="2"/>
          <w:numId w:val="13"/>
        </w:numPr>
        <w:tabs>
          <w:tab w:val="left" w:pos="210"/>
          <w:tab w:val="left" w:pos="840"/>
          <w:tab w:val="left" w:pos="1050"/>
          <w:tab w:val="left" w:pos="126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投标人提供虚假材料投标的；</w:t>
      </w:r>
    </w:p>
    <w:p>
      <w:pPr>
        <w:keepNext w:val="0"/>
        <w:keepLines w:val="0"/>
        <w:pageBreakBefore w:val="0"/>
        <w:widowControl w:val="0"/>
        <w:numPr>
          <w:ilvl w:val="2"/>
          <w:numId w:val="13"/>
        </w:numPr>
        <w:tabs>
          <w:tab w:val="left" w:pos="210"/>
          <w:tab w:val="left" w:pos="840"/>
          <w:tab w:val="left" w:pos="1050"/>
          <w:tab w:val="left" w:pos="126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投标人有恶意串通、妨碍其他投标人的竞争行为、损害采购人或者其他投标人的合法权益情形的；</w:t>
      </w:r>
    </w:p>
    <w:p>
      <w:pPr>
        <w:keepNext w:val="0"/>
        <w:keepLines w:val="0"/>
        <w:pageBreakBefore w:val="0"/>
        <w:widowControl w:val="0"/>
        <w:numPr>
          <w:ilvl w:val="2"/>
          <w:numId w:val="13"/>
        </w:numPr>
        <w:tabs>
          <w:tab w:val="left" w:pos="210"/>
          <w:tab w:val="left" w:pos="840"/>
          <w:tab w:val="left" w:pos="1050"/>
          <w:tab w:val="left" w:pos="126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投标人仅提交备份投标文件，没有在电子交易平台传输递交投标文件的，投标无效；</w:t>
      </w:r>
    </w:p>
    <w:p>
      <w:pPr>
        <w:keepNext w:val="0"/>
        <w:keepLines w:val="0"/>
        <w:pageBreakBefore w:val="0"/>
        <w:widowControl w:val="0"/>
        <w:numPr>
          <w:ilvl w:val="2"/>
          <w:numId w:val="13"/>
        </w:numPr>
        <w:tabs>
          <w:tab w:val="left" w:pos="210"/>
          <w:tab w:val="left" w:pos="840"/>
          <w:tab w:val="left" w:pos="1050"/>
          <w:tab w:val="left" w:pos="126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投标文件不满足招标文件的其它实质性要求的；</w:t>
      </w:r>
    </w:p>
    <w:p>
      <w:pPr>
        <w:keepNext w:val="0"/>
        <w:keepLines w:val="0"/>
        <w:pageBreakBefore w:val="0"/>
        <w:widowControl w:val="0"/>
        <w:numPr>
          <w:ilvl w:val="2"/>
          <w:numId w:val="13"/>
        </w:numPr>
        <w:tabs>
          <w:tab w:val="left" w:pos="210"/>
          <w:tab w:val="left" w:pos="840"/>
          <w:tab w:val="left" w:pos="1050"/>
          <w:tab w:val="left" w:pos="1260"/>
        </w:tabs>
        <w:kinsoku/>
        <w:wordWrap/>
        <w:overflowPunct/>
        <w:topLinePunct w:val="0"/>
        <w:autoSpaceDE/>
        <w:autoSpaceDN/>
        <w:bidi w:val="0"/>
        <w:spacing w:line="360" w:lineRule="auto"/>
        <w:ind w:left="0" w:firstLine="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法律、法规、规章（适用本市的）及省级以上规范性文件（适用本市的）规定的其他无效情形。</w:t>
      </w:r>
    </w:p>
    <w:p>
      <w:pPr>
        <w:keepNext w:val="0"/>
        <w:keepLines w:val="0"/>
        <w:pageBreakBefore w:val="0"/>
        <w:widowControl w:val="0"/>
        <w:numPr>
          <w:ilvl w:val="0"/>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废标。</w:t>
      </w:r>
      <w:r>
        <w:rPr>
          <w:rFonts w:hint="eastAsia" w:ascii="宋体" w:hAnsi="宋体" w:eastAsia="宋体" w:cs="宋体"/>
          <w:color w:val="auto"/>
          <w:kern w:val="0"/>
          <w:sz w:val="21"/>
          <w:szCs w:val="21"/>
          <w:highlight w:val="none"/>
        </w:rPr>
        <w:t>根据《中华人民共和国政府采购法》第三十六条之规定，在采购中，出现下列情形之一的，应予废标：</w:t>
      </w:r>
    </w:p>
    <w:p>
      <w:pPr>
        <w:keepNext w:val="0"/>
        <w:keepLines w:val="0"/>
        <w:pageBreakBefore w:val="0"/>
        <w:widowControl w:val="0"/>
        <w:numPr>
          <w:ilvl w:val="1"/>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符合专业条件的供应商或者对招标文件作实质响应的供应商不足3家的；</w:t>
      </w:r>
    </w:p>
    <w:p>
      <w:pPr>
        <w:keepNext w:val="0"/>
        <w:keepLines w:val="0"/>
        <w:pageBreakBefore w:val="0"/>
        <w:widowControl w:val="0"/>
        <w:numPr>
          <w:ilvl w:val="1"/>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出现影响采购公正的违法、违规行为的；</w:t>
      </w:r>
    </w:p>
    <w:p>
      <w:pPr>
        <w:keepNext w:val="0"/>
        <w:keepLines w:val="0"/>
        <w:pageBreakBefore w:val="0"/>
        <w:widowControl w:val="0"/>
        <w:numPr>
          <w:ilvl w:val="1"/>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投标人的报价均超过了采购预算，采购人不能支付的；</w:t>
      </w:r>
    </w:p>
    <w:p>
      <w:pPr>
        <w:keepNext w:val="0"/>
        <w:keepLines w:val="0"/>
        <w:pageBreakBefore w:val="0"/>
        <w:widowControl w:val="0"/>
        <w:numPr>
          <w:ilvl w:val="1"/>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因重大变故，采购任务取消的。</w:t>
      </w:r>
    </w:p>
    <w:p>
      <w:pPr>
        <w:pStyle w:val="20"/>
        <w:keepNext w:val="0"/>
        <w:keepLines w:val="0"/>
        <w:pageBreakBefore w:val="0"/>
        <w:widowControl w:val="0"/>
        <w:kinsoku/>
        <w:wordWrap/>
        <w:overflowPunct/>
        <w:topLinePunct w:val="0"/>
        <w:autoSpaceDE/>
        <w:autoSpaceDN/>
        <w:bidi w:val="0"/>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废标后，采购代理机构应当将废标理由通知所有投标人。</w:t>
      </w:r>
    </w:p>
    <w:p>
      <w:pPr>
        <w:keepNext w:val="0"/>
        <w:keepLines w:val="0"/>
        <w:pageBreakBefore w:val="0"/>
        <w:widowControl w:val="0"/>
        <w:numPr>
          <w:ilvl w:val="0"/>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修改招标文件，重新组织采购活动。</w:t>
      </w:r>
      <w:r>
        <w:rPr>
          <w:rFonts w:hint="eastAsia" w:ascii="宋体" w:hAnsi="宋体" w:eastAsia="宋体" w:cs="宋体"/>
          <w:color w:val="auto"/>
          <w:kern w:val="0"/>
          <w:sz w:val="21"/>
          <w:szCs w:val="21"/>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keepNext w:val="0"/>
        <w:keepLines w:val="0"/>
        <w:pageBreakBefore w:val="0"/>
        <w:widowControl w:val="0"/>
        <w:numPr>
          <w:ilvl w:val="0"/>
          <w:numId w:val="13"/>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重新开展采购。</w:t>
      </w:r>
      <w:r>
        <w:rPr>
          <w:rFonts w:hint="eastAsia" w:ascii="宋体" w:hAnsi="宋体" w:eastAsia="宋体" w:cs="宋体"/>
          <w:color w:val="auto"/>
          <w:kern w:val="0"/>
          <w:sz w:val="21"/>
          <w:szCs w:val="21"/>
          <w:highlight w:val="none"/>
        </w:rPr>
        <w:t>有政府采购法第七十一条、第七十二条规定的违法行为之一，影响或者可能影响中标、成交结果的，依照下列规定处理：</w:t>
      </w:r>
    </w:p>
    <w:p>
      <w:pPr>
        <w:keepNext w:val="0"/>
        <w:keepLines w:val="0"/>
        <w:pageBreakBefore w:val="0"/>
        <w:widowControl w:val="0"/>
        <w:numPr>
          <w:ilvl w:val="1"/>
          <w:numId w:val="14"/>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未确定中标或者中标人的，终止本次政府采购活动，重新开展政府采购活动。</w:t>
      </w:r>
    </w:p>
    <w:p>
      <w:pPr>
        <w:keepNext w:val="0"/>
        <w:keepLines w:val="0"/>
        <w:pageBreakBefore w:val="0"/>
        <w:widowControl w:val="0"/>
        <w:numPr>
          <w:ilvl w:val="1"/>
          <w:numId w:val="14"/>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已确定中标或者中标人但尚未签订政府采购合同的，中标或者成交结果无效，从合格的中标或者成交候选人中另行确定中标或者中标人；没有合格的中标或者成交候选人的，重新开展政府采购活动。</w:t>
      </w:r>
    </w:p>
    <w:p>
      <w:pPr>
        <w:keepNext w:val="0"/>
        <w:keepLines w:val="0"/>
        <w:pageBreakBefore w:val="0"/>
        <w:widowControl w:val="0"/>
        <w:numPr>
          <w:ilvl w:val="1"/>
          <w:numId w:val="14"/>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政府采购合同已签订但尚未履行的，撤销合同，从合格的中标或者成交候选人中另行确定中标或者中标人；没有合格的中标或者成交候选人的，重新开展政府采购活动。</w:t>
      </w:r>
    </w:p>
    <w:p>
      <w:pPr>
        <w:keepNext w:val="0"/>
        <w:keepLines w:val="0"/>
        <w:pageBreakBefore w:val="0"/>
        <w:widowControl w:val="0"/>
        <w:numPr>
          <w:ilvl w:val="1"/>
          <w:numId w:val="14"/>
        </w:numPr>
        <w:tabs>
          <w:tab w:val="left" w:pos="210"/>
        </w:tabs>
        <w:kinsoku/>
        <w:wordWrap/>
        <w:overflowPunct/>
        <w:topLinePunct w:val="0"/>
        <w:autoSpaceDE/>
        <w:autoSpaceDN/>
        <w:bidi w:val="0"/>
        <w:spacing w:line="360" w:lineRule="auto"/>
        <w:ind w:left="0" w:firstLine="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政府采购合同已经履行，给采购人、供应商造成损失的，由责任人承担赔偿责任。</w:t>
      </w:r>
    </w:p>
    <w:p>
      <w:pPr>
        <w:keepNext w:val="0"/>
        <w:keepLines w:val="0"/>
        <w:pageBreakBefore w:val="0"/>
        <w:widowControl w:val="0"/>
        <w:numPr>
          <w:ilvl w:val="0"/>
          <w:numId w:val="0"/>
        </w:numPr>
        <w:tabs>
          <w:tab w:val="left" w:pos="210"/>
        </w:tabs>
        <w:kinsoku/>
        <w:wordWrap/>
        <w:overflowPunct/>
        <w:topLinePunct w:val="0"/>
        <w:autoSpaceDE/>
        <w:autoSpaceDN/>
        <w:bidi w:val="0"/>
        <w:spacing w:line="360" w:lineRule="auto"/>
        <w:ind w:leftChars="0"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政府采购当事人有其他违反政府采购法或者政府采购法实施条例等法律法规规定的行为，经改正后仍然影响或者可能影响中标、成交结果或者依法被认定为中标、成交无效的，依照7.1-7.4规定处理。</w:t>
      </w:r>
    </w:p>
    <w:p>
      <w:pPr>
        <w:pStyle w:val="5"/>
        <w:pageBreakBefore w:val="0"/>
        <w:kinsoku/>
        <w:overflowPunct/>
        <w:topLinePunct w:val="0"/>
        <w:bidi w:val="0"/>
        <w:adjustRightInd w:val="0"/>
        <w:snapToGrid w:val="0"/>
        <w:spacing w:before="120" w:beforeLines="50" w:after="120" w:afterLines="50" w:line="336" w:lineRule="auto"/>
        <w:rPr>
          <w:rFonts w:hint="eastAsia" w:ascii="宋体" w:hAnsi="宋体" w:eastAsia="宋体" w:cs="宋体"/>
          <w:color w:val="auto"/>
          <w:sz w:val="21"/>
          <w:szCs w:val="21"/>
          <w:highlight w:val="none"/>
        </w:rPr>
      </w:pPr>
      <w:bookmarkStart w:id="35" w:name="_Toc249760795"/>
      <w:bookmarkStart w:id="36" w:name="_Toc251566666"/>
      <w:bookmarkStart w:id="37" w:name="_Toc7728"/>
      <w:bookmarkStart w:id="38" w:name="_Toc20349"/>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rPr>
        <w:t>、评标</w:t>
      </w:r>
      <w:bookmarkEnd w:id="35"/>
      <w:bookmarkEnd w:id="36"/>
      <w:r>
        <w:rPr>
          <w:rFonts w:hint="eastAsia" w:ascii="宋体" w:hAnsi="宋体" w:eastAsia="宋体" w:cs="宋体"/>
          <w:color w:val="auto"/>
          <w:sz w:val="21"/>
          <w:szCs w:val="21"/>
          <w:highlight w:val="none"/>
        </w:rPr>
        <w:t>细则及标准</w:t>
      </w:r>
      <w:bookmarkEnd w:id="37"/>
      <w:bookmarkEnd w:id="38"/>
    </w:p>
    <w:p>
      <w:pPr>
        <w:pageBreakBefore w:val="0"/>
        <w:kinsoku/>
        <w:overflowPunct/>
        <w:topLinePunct w:val="0"/>
        <w:autoSpaceDE w:val="0"/>
        <w:autoSpaceDN w:val="0"/>
        <w:bidi w:val="0"/>
        <w:adjustRightInd w:val="0"/>
        <w:snapToGrid w:val="0"/>
        <w:spacing w:line="336" w:lineRule="auto"/>
        <w:ind w:firstLine="48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（一）技术商务评审因素（满分</w:t>
      </w:r>
      <w:r>
        <w:rPr>
          <w:rFonts w:hint="eastAsia" w:ascii="宋体" w:hAnsi="宋体" w:eastAsia="宋体" w:cs="宋体"/>
          <w:b/>
          <w:color w:val="auto"/>
          <w:szCs w:val="21"/>
          <w:highlight w:val="none"/>
          <w:u w:val="single"/>
        </w:rPr>
        <w:t xml:space="preserve"> 70 </w:t>
      </w:r>
      <w:r>
        <w:rPr>
          <w:rFonts w:hint="eastAsia" w:ascii="宋体" w:hAnsi="宋体" w:eastAsia="宋体" w:cs="宋体"/>
          <w:b/>
          <w:color w:val="auto"/>
          <w:szCs w:val="21"/>
          <w:highlight w:val="none"/>
          <w:lang w:val="zh-CN"/>
        </w:rPr>
        <w:t>分）</w:t>
      </w:r>
    </w:p>
    <w:p>
      <w:pPr>
        <w:pageBreakBefore w:val="0"/>
        <w:kinsoku/>
        <w:overflowPunct/>
        <w:topLinePunct w:val="0"/>
        <w:autoSpaceDE w:val="0"/>
        <w:autoSpaceDN w:val="0"/>
        <w:bidi w:val="0"/>
        <w:adjustRightInd w:val="0"/>
        <w:snapToGrid w:val="0"/>
        <w:spacing w:line="336" w:lineRule="auto"/>
        <w:ind w:firstLine="48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评标委员会对各投标人的技术商务充分审核、讨论及评议后，每人一份评分表，进行独自打分并签名。在统计得分时，如发现某一单项评分超过评分细则规定的分值范围，则该张评分表无效。投标人技术部分的得分为评标委员会各成员的有效评分的算术平均值。</w:t>
      </w:r>
    </w:p>
    <w:tbl>
      <w:tblPr>
        <w:tblStyle w:val="45"/>
        <w:tblW w:w="931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27"/>
        <w:gridCol w:w="416"/>
        <w:gridCol w:w="6553"/>
        <w:gridCol w:w="78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评审因素</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评分细则</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9" w:type="dxa"/>
            <w:gridSpan w:val="5"/>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商务分（7）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业绩</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投标人提供202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年1月1日至今（以合同签订时间为准）同类</w:t>
            </w:r>
            <w:r>
              <w:rPr>
                <w:rFonts w:hint="eastAsia" w:ascii="宋体" w:hAnsi="宋体" w:eastAsia="宋体" w:cs="宋体"/>
                <w:color w:val="auto"/>
                <w:szCs w:val="21"/>
                <w:highlight w:val="none"/>
                <w:lang w:eastAsia="zh-CN"/>
              </w:rPr>
              <w:t>安全平台建设项目</w:t>
            </w:r>
            <w:r>
              <w:rPr>
                <w:rFonts w:hint="eastAsia" w:ascii="宋体" w:hAnsi="宋体" w:eastAsia="宋体" w:cs="宋体"/>
                <w:color w:val="auto"/>
                <w:szCs w:val="21"/>
                <w:highlight w:val="none"/>
              </w:rPr>
              <w:t>的业绩，每提供1个有效业绩得1分，最高得3分，需提供完整清晰的合同扫描件，不提供不得分。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资质认证证书</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具有ISO20000信息技术服务管理体系认证、ISO27001信息安全管理体系认证证书、ISO9001质量管理体系认证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每个得1分，最高得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，需</w:t>
            </w:r>
            <w:r>
              <w:rPr>
                <w:rFonts w:hint="eastAsia" w:ascii="宋体" w:hAnsi="宋体" w:eastAsia="宋体" w:cs="宋体"/>
                <w:color w:val="auto"/>
                <w:szCs w:val="21"/>
                <w:highlight w:val="none"/>
              </w:rPr>
              <w:t>提供在有效期内的相关证书的复印件</w:t>
            </w:r>
            <w:r>
              <w:rPr>
                <w:rFonts w:hint="eastAsia" w:ascii="宋体" w:hAnsi="宋体" w:eastAsia="宋体" w:cs="宋体"/>
                <w:color w:val="auto"/>
                <w:szCs w:val="21"/>
                <w:highlight w:val="none"/>
                <w:lang w:val="en-US" w:eastAsia="zh-CN"/>
              </w:rPr>
              <w:t>及全国认证认可信息公共服务平台(http://cx.cnca.cn)查询网页的截图并加盖公章或电子章</w:t>
            </w:r>
            <w:r>
              <w:rPr>
                <w:rFonts w:hint="eastAsia" w:ascii="宋体" w:hAnsi="宋体" w:eastAsia="宋体" w:cs="宋体"/>
                <w:color w:val="auto"/>
                <w:szCs w:val="21"/>
                <w:highlight w:val="none"/>
              </w:rPr>
              <w:t>，不提供不得分。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政策功能</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投标产品属于品目清单范围且提供国家确定的认证机构出具的处于有效期之内的节能产品认证证书（扫描件加盖公章）的得0.5分；投标产品属于品目清单范围且提供国家确定的认证机构出具的处于有效期之内的环境标志产品认证证书（扫描件加盖公章）的得0.5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9" w:type="dxa"/>
            <w:gridSpan w:val="5"/>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技术分（</w:t>
            </w:r>
            <w:r>
              <w:rPr>
                <w:rFonts w:hint="eastAsia" w:ascii="宋体" w:hAnsi="宋体" w:eastAsia="宋体" w:cs="宋体"/>
                <w:b/>
                <w:bCs/>
                <w:color w:val="auto"/>
                <w:szCs w:val="21"/>
                <w:highlight w:val="none"/>
                <w:lang w:val="en-US" w:eastAsia="zh-CN"/>
              </w:rPr>
              <w:t>48</w:t>
            </w:r>
            <w:r>
              <w:rPr>
                <w:rFonts w:hint="eastAsia" w:ascii="宋体" w:hAnsi="宋体" w:eastAsia="宋体" w:cs="宋体"/>
                <w:b/>
                <w:bCs/>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pacing w:val="-6"/>
                <w:szCs w:val="21"/>
                <w:highlight w:val="none"/>
              </w:rPr>
              <w:t>响应程度</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highlight w:val="none"/>
                <w:lang w:val="en-US" w:eastAsia="zh-CN"/>
              </w:rPr>
            </w:pPr>
            <w:r>
              <w:rPr>
                <w:rFonts w:hint="eastAsia" w:ascii="宋体" w:hAnsi="宋体" w:eastAsia="宋体" w:cs="宋体"/>
                <w:b w:val="0"/>
                <w:bCs w:val="0"/>
                <w:color w:val="auto"/>
                <w:szCs w:val="21"/>
                <w:highlight w:val="none"/>
              </w:rPr>
              <w:t>全部满足招标文件中“第二部分 采购需求 三、技术要求”中提出的技术条款要求，得</w:t>
            </w:r>
            <w:r>
              <w:rPr>
                <w:rFonts w:hint="eastAsia" w:ascii="宋体" w:hAnsi="宋体" w:eastAsia="宋体" w:cs="宋体"/>
                <w:b w:val="0"/>
                <w:bCs w:val="0"/>
                <w:color w:val="auto"/>
                <w:szCs w:val="21"/>
                <w:highlight w:val="none"/>
                <w:lang w:val="en-US" w:eastAsia="zh-CN"/>
              </w:rPr>
              <w:t>25</w:t>
            </w:r>
            <w:r>
              <w:rPr>
                <w:rFonts w:hint="eastAsia" w:ascii="宋体" w:hAnsi="宋体" w:eastAsia="宋体" w:cs="宋体"/>
                <w:b w:val="0"/>
                <w:bCs w:val="0"/>
                <w:color w:val="auto"/>
                <w:szCs w:val="21"/>
                <w:highlight w:val="none"/>
              </w:rPr>
              <w:t>分；技术要求中标注“★”的技术条款为重要</w:t>
            </w:r>
            <w:r>
              <w:rPr>
                <w:rFonts w:hint="eastAsia" w:ascii="宋体" w:hAnsi="宋体" w:eastAsia="宋体" w:cs="宋体"/>
                <w:b w:val="0"/>
                <w:bCs w:val="0"/>
                <w:color w:val="auto"/>
                <w:szCs w:val="21"/>
                <w:highlight w:val="none"/>
                <w:lang w:eastAsia="zh-CN"/>
              </w:rPr>
              <w:t>技术条款</w:t>
            </w:r>
            <w:r>
              <w:rPr>
                <w:rFonts w:hint="eastAsia" w:ascii="宋体" w:hAnsi="宋体" w:eastAsia="宋体" w:cs="宋体"/>
                <w:b w:val="0"/>
                <w:bCs w:val="0"/>
                <w:color w:val="auto"/>
                <w:szCs w:val="21"/>
                <w:highlight w:val="none"/>
              </w:rPr>
              <w:t>，负偏离一项扣</w:t>
            </w: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分，其他技术条款负偏离一项扣</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分，扣完为止。</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注：①技术参数条款中明确证明材料的文件类型的，投标人须按要求提供，提供不全或迷糊不清，没法证明的，评标委员会有权对其作出不利评审，按不满足或负偏离处理。</w:t>
            </w:r>
            <w:r>
              <w:rPr>
                <w:rFonts w:hint="eastAsia" w:ascii="宋体" w:hAnsi="宋体" w:eastAsia="宋体" w:cs="宋体"/>
                <w:b/>
                <w:bCs/>
                <w:color w:val="auto"/>
                <w:spacing w:val="-6"/>
                <w:szCs w:val="21"/>
                <w:highlight w:val="none"/>
              </w:rPr>
              <w:t>②需演示的技术要求不作为响应程度的打分项。</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实施方案</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w:t>
            </w:r>
            <w:r>
              <w:rPr>
                <w:rFonts w:hint="eastAsia" w:ascii="宋体" w:hAnsi="宋体" w:eastAsia="宋体" w:cs="宋体"/>
                <w:color w:val="auto"/>
                <w:spacing w:val="-6"/>
                <w:szCs w:val="21"/>
                <w:highlight w:val="none"/>
              </w:rPr>
              <w:t>对供货方案、现场安装调试方案的可行性、合理性和可操作性进行评分；</w:t>
            </w:r>
            <w:r>
              <w:rPr>
                <w:rFonts w:hint="eastAsia" w:ascii="宋体" w:hAnsi="宋体" w:eastAsia="宋体" w:cs="宋体"/>
                <w:color w:val="auto"/>
                <w:szCs w:val="21"/>
                <w:highlight w:val="none"/>
              </w:rPr>
              <w:t>方案可行合理的得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分，方案一般的得2分，方案有瑕疵的得1分，无相关内容不得分。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安全体系方案</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根据供应商提出的针对系统安全、应用软件安全、数据备份安全等几个方面配套的安全体系完善方案，以便防范安全风险进行打分；方案可行合理的得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分，方案一般的得2分，方案有瑕疵的得1分，无相关内容的不得分。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质量保证措施</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产品质量保证措施(提供质量保证体系、制造标准、质量监控手段、投标产品的技术支持资料等相关证明资料)及质量检测设施介绍。根据质量保证措施内容完整度、科学性、可行性以及质量检测设施的先进性、可行性、保障效果进行</w:t>
            </w:r>
            <w:r>
              <w:rPr>
                <w:rFonts w:hint="eastAsia" w:ascii="宋体" w:hAnsi="宋体" w:eastAsia="宋体" w:cs="宋体"/>
                <w:color w:val="auto"/>
                <w:spacing w:val="-6"/>
                <w:szCs w:val="21"/>
                <w:highlight w:val="none"/>
              </w:rPr>
              <w:t>评分</w:t>
            </w:r>
            <w:r>
              <w:rPr>
                <w:rFonts w:hint="eastAsia" w:ascii="宋体" w:hAnsi="宋体" w:eastAsia="宋体" w:cs="宋体"/>
                <w:color w:val="auto"/>
                <w:szCs w:val="21"/>
                <w:highlight w:val="none"/>
              </w:rPr>
              <w:t>，措施内容完整，科学、可行合理的得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分，措施内容一般的得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分，措施内容</w:t>
            </w:r>
            <w:r>
              <w:rPr>
                <w:rFonts w:hint="eastAsia" w:ascii="宋体" w:hAnsi="宋体" w:eastAsia="宋体" w:cs="宋体"/>
                <w:color w:val="auto"/>
                <w:szCs w:val="21"/>
                <w:highlight w:val="none"/>
                <w:lang w:eastAsia="zh-CN"/>
              </w:rPr>
              <w:t>略有瑕疵</w:t>
            </w:r>
            <w:r>
              <w:rPr>
                <w:rFonts w:hint="eastAsia" w:ascii="宋体" w:hAnsi="宋体" w:eastAsia="宋体" w:cs="宋体"/>
                <w:color w:val="auto"/>
                <w:szCs w:val="21"/>
                <w:highlight w:val="none"/>
              </w:rPr>
              <w:t>的得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无相关内容不得分。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项目进度安排</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bCs/>
                <w:color w:val="auto"/>
                <w:szCs w:val="21"/>
                <w:highlight w:val="none"/>
              </w:rPr>
              <w:t>提供项目进度计划，根据进度计划的可行性、合理性、是否完善进行打分</w:t>
            </w:r>
            <w:r>
              <w:rPr>
                <w:rFonts w:hint="eastAsia" w:ascii="宋体" w:hAnsi="宋体" w:eastAsia="宋体" w:cs="宋体"/>
                <w:color w:val="auto"/>
                <w:szCs w:val="21"/>
                <w:highlight w:val="none"/>
              </w:rPr>
              <w:t>；</w:t>
            </w:r>
            <w:r>
              <w:rPr>
                <w:rFonts w:hint="eastAsia" w:ascii="宋体" w:hAnsi="宋体" w:eastAsia="宋体" w:cs="宋体"/>
                <w:bCs/>
                <w:color w:val="auto"/>
                <w:szCs w:val="21"/>
                <w:highlight w:val="none"/>
              </w:rPr>
              <w:t>进度计划</w:t>
            </w:r>
            <w:r>
              <w:rPr>
                <w:rFonts w:hint="eastAsia" w:ascii="宋体" w:hAnsi="宋体" w:eastAsia="宋体" w:cs="宋体"/>
                <w:color w:val="auto"/>
                <w:szCs w:val="21"/>
                <w:highlight w:val="none"/>
              </w:rPr>
              <w:t>完善详细的得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bCs/>
                <w:color w:val="auto"/>
                <w:szCs w:val="21"/>
                <w:highlight w:val="none"/>
              </w:rPr>
              <w:t>进度计划</w:t>
            </w:r>
            <w:r>
              <w:rPr>
                <w:rFonts w:hint="eastAsia" w:ascii="宋体" w:hAnsi="宋体" w:eastAsia="宋体" w:cs="宋体"/>
                <w:color w:val="auto"/>
                <w:szCs w:val="21"/>
                <w:highlight w:val="none"/>
              </w:rPr>
              <w:t>普通的得2分，有瑕疵得1分，无相关内容的不得分</w:t>
            </w:r>
            <w:r>
              <w:rPr>
                <w:rFonts w:hint="eastAsia" w:ascii="宋体" w:hAnsi="宋体" w:eastAsia="宋体" w:cs="宋体"/>
                <w:color w:val="auto"/>
                <w:spacing w:val="-6"/>
                <w:szCs w:val="21"/>
                <w:highlight w:val="none"/>
              </w:rPr>
              <w:t>。</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质保期</w:t>
            </w:r>
          </w:p>
        </w:tc>
        <w:tc>
          <w:tcPr>
            <w:tcW w:w="6969"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质保期在满足</w:t>
            </w:r>
            <w:r>
              <w:rPr>
                <w:rFonts w:hint="eastAsia" w:ascii="宋体" w:hAnsi="宋体" w:eastAsia="宋体" w:cs="宋体"/>
                <w:color w:val="auto"/>
                <w:szCs w:val="21"/>
                <w:highlight w:val="none"/>
                <w:lang w:eastAsia="zh-CN"/>
              </w:rPr>
              <w:t>招标文件</w:t>
            </w:r>
            <w:r>
              <w:rPr>
                <w:rFonts w:hint="eastAsia" w:ascii="宋体" w:hAnsi="宋体" w:eastAsia="宋体" w:cs="宋体"/>
                <w:color w:val="auto"/>
                <w:szCs w:val="21"/>
                <w:highlight w:val="none"/>
              </w:rPr>
              <w:t>要求的基础上每延长一年得0.5分，最多得1分，延长时间不足一年的不计入得分。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售后服务方案</w:t>
            </w:r>
          </w:p>
        </w:tc>
        <w:tc>
          <w:tcPr>
            <w:tcW w:w="6969" w:type="dxa"/>
            <w:gridSpan w:val="2"/>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根据投标人制定的项目维护计划，包括对用户故障的响应、故障修复及处理、定期巡检等情况进行打分；维护</w:t>
            </w:r>
            <w:r>
              <w:rPr>
                <w:rFonts w:hint="eastAsia" w:ascii="宋体" w:hAnsi="宋体" w:eastAsia="宋体" w:cs="宋体"/>
                <w:bCs/>
                <w:color w:val="auto"/>
                <w:szCs w:val="21"/>
                <w:highlight w:val="none"/>
              </w:rPr>
              <w:t>计划</w:t>
            </w:r>
            <w:r>
              <w:rPr>
                <w:rFonts w:hint="eastAsia" w:ascii="宋体" w:hAnsi="宋体" w:eastAsia="宋体" w:cs="宋体"/>
                <w:color w:val="auto"/>
                <w:szCs w:val="21"/>
                <w:highlight w:val="none"/>
              </w:rPr>
              <w:t>完善详细的得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分，维护</w:t>
            </w:r>
            <w:r>
              <w:rPr>
                <w:rFonts w:hint="eastAsia" w:ascii="宋体" w:hAnsi="宋体" w:eastAsia="宋体" w:cs="宋体"/>
                <w:bCs/>
                <w:color w:val="auto"/>
                <w:szCs w:val="21"/>
                <w:highlight w:val="none"/>
              </w:rPr>
              <w:t>计划</w:t>
            </w:r>
            <w:r>
              <w:rPr>
                <w:rFonts w:hint="eastAsia" w:ascii="宋体" w:hAnsi="宋体" w:eastAsia="宋体" w:cs="宋体"/>
                <w:color w:val="auto"/>
                <w:szCs w:val="21"/>
                <w:highlight w:val="none"/>
              </w:rPr>
              <w:t>一般的得2分，维护有瑕疵得1分，无相关内容的不得分。</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70" w:type="dxa"/>
            <w:gridSpan w:val="2"/>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项目培训方案</w:t>
            </w:r>
          </w:p>
        </w:tc>
        <w:tc>
          <w:tcPr>
            <w:tcW w:w="6969" w:type="dxa"/>
            <w:gridSpan w:val="2"/>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根据投标人提供本项目执行周期内的现场服务及技术培训服务方案进行打分，至少应包含以下要点：培训方式、地点、人数、时间等；方案详细全面得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eastAsia="宋体" w:cs="宋体"/>
                <w:b w:val="0"/>
                <w:bCs w:val="0"/>
                <w:color w:val="auto"/>
                <w:szCs w:val="21"/>
                <w:highlight w:val="none"/>
              </w:rPr>
              <w:t>方案</w:t>
            </w:r>
            <w:r>
              <w:rPr>
                <w:rFonts w:hint="eastAsia" w:ascii="宋体" w:hAnsi="宋体" w:eastAsia="宋体" w:cs="宋体"/>
                <w:b w:val="0"/>
                <w:bCs w:val="0"/>
                <w:color w:val="auto"/>
                <w:szCs w:val="21"/>
                <w:highlight w:val="none"/>
                <w:lang w:val="en-US" w:eastAsia="zh-CN"/>
              </w:rPr>
              <w:t>一般的</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分，方案有瑕疵的得</w:t>
            </w:r>
            <w:r>
              <w:rPr>
                <w:rFonts w:hint="eastAsia" w:ascii="宋体" w:hAnsi="宋体" w:eastAsia="宋体" w:cs="宋体"/>
                <w:b w:val="0"/>
                <w:bCs w:val="0"/>
                <w:color w:val="auto"/>
                <w:szCs w:val="21"/>
                <w:highlight w:val="none"/>
                <w:lang w:val="en-US" w:eastAsia="zh-CN"/>
              </w:rPr>
              <w:t>0.5</w:t>
            </w:r>
            <w:r>
              <w:rPr>
                <w:rFonts w:hint="eastAsia" w:ascii="宋体" w:hAnsi="宋体" w:eastAsia="宋体" w:cs="宋体"/>
                <w:b w:val="0"/>
                <w:bCs w:val="0"/>
                <w:color w:val="auto"/>
                <w:szCs w:val="21"/>
                <w:highlight w:val="none"/>
              </w:rPr>
              <w:t>分</w:t>
            </w:r>
            <w:r>
              <w:rPr>
                <w:rFonts w:hint="eastAsia" w:ascii="宋体" w:hAnsi="宋体" w:eastAsia="宋体" w:cs="宋体"/>
                <w:color w:val="auto"/>
                <w:szCs w:val="21"/>
                <w:highlight w:val="none"/>
              </w:rPr>
              <w:t>，无相关内容不得分。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项目人员配置</w:t>
            </w:r>
          </w:p>
        </w:tc>
        <w:tc>
          <w:tcPr>
            <w:tcW w:w="6969" w:type="dxa"/>
            <w:gridSpan w:val="2"/>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拟派项目团队架构合理性，项目经理及其他成员的资质、证书、专业、技术能力及经验、工作履历、参与项目案例的情况进行打分；团队架构合理详细的得</w:t>
            </w:r>
            <w:r>
              <w:rPr>
                <w:rFonts w:hint="eastAsia" w:ascii="宋体" w:hAnsi="宋体" w:eastAsia="宋体" w:cs="宋体"/>
                <w:color w:val="auto"/>
                <w:szCs w:val="21"/>
                <w:highlight w:val="none"/>
                <w:lang w:val="en-US" w:eastAsia="zh-CN"/>
              </w:rPr>
              <w:t>2分</w:t>
            </w:r>
            <w:r>
              <w:rPr>
                <w:rFonts w:hint="eastAsia" w:ascii="宋体" w:hAnsi="宋体" w:eastAsia="宋体" w:cs="宋体"/>
                <w:color w:val="auto"/>
                <w:szCs w:val="21"/>
                <w:highlight w:val="none"/>
              </w:rPr>
              <w:t>，团队架构</w:t>
            </w:r>
            <w:r>
              <w:rPr>
                <w:rFonts w:hint="eastAsia" w:ascii="宋体" w:hAnsi="宋体" w:eastAsia="宋体" w:cs="宋体"/>
                <w:color w:val="auto"/>
                <w:szCs w:val="21"/>
                <w:highlight w:val="none"/>
                <w:lang w:eastAsia="zh-CN"/>
              </w:rPr>
              <w:t>一般</w:t>
            </w:r>
            <w:r>
              <w:rPr>
                <w:rFonts w:hint="eastAsia" w:ascii="宋体" w:hAnsi="宋体" w:eastAsia="宋体" w:cs="宋体"/>
                <w:color w:val="auto"/>
                <w:szCs w:val="21"/>
                <w:highlight w:val="none"/>
              </w:rPr>
              <w:t>的得</w:t>
            </w:r>
            <w:r>
              <w:rPr>
                <w:rFonts w:hint="eastAsia" w:ascii="宋体" w:hAnsi="宋体" w:eastAsia="宋体" w:cs="宋体"/>
                <w:color w:val="auto"/>
                <w:szCs w:val="21"/>
                <w:highlight w:val="none"/>
                <w:lang w:val="en-US" w:eastAsia="zh-CN"/>
              </w:rPr>
              <w:t>1分，</w:t>
            </w:r>
            <w:r>
              <w:rPr>
                <w:rFonts w:hint="eastAsia" w:ascii="宋体" w:hAnsi="宋体" w:eastAsia="宋体" w:cs="宋体"/>
                <w:color w:val="auto"/>
                <w:szCs w:val="21"/>
                <w:highlight w:val="none"/>
              </w:rPr>
              <w:t>有瑕疵的得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分，无相关内容的不得分。提供项目团队人员资历证明材料。</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70" w:type="dxa"/>
            <w:gridSpan w:val="2"/>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lang w:val="zh-CN"/>
              </w:rPr>
              <w:t>应对突发情况的措施</w:t>
            </w:r>
          </w:p>
        </w:tc>
        <w:tc>
          <w:tcPr>
            <w:tcW w:w="6969"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20" w:after="0" w:afterLines="20" w:line="336" w:lineRule="auto"/>
              <w:ind w:left="42" w:leftChars="20" w:right="42" w:rightChars="20"/>
              <w:jc w:val="left"/>
              <w:rPr>
                <w:rFonts w:hint="eastAsia" w:ascii="宋体" w:hAnsi="宋体" w:eastAsia="宋体" w:cs="宋体"/>
                <w:color w:val="auto"/>
                <w:highlight w:val="none"/>
              </w:rPr>
            </w:pPr>
            <w:r>
              <w:rPr>
                <w:rFonts w:hint="eastAsia" w:ascii="宋体" w:hAnsi="宋体" w:eastAsia="宋体" w:cs="宋体"/>
                <w:color w:val="auto"/>
                <w:highlight w:val="none"/>
                <w:lang w:val="zh-CN"/>
              </w:rPr>
              <w:t>根据投标人提供的对本项目实施过程中及后续平台运行过程中出现的突发情况进行分析的合理性及提出应对措施方案的全面性进行打分；分析合理，措施全面的得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r>
              <w:rPr>
                <w:rFonts w:hint="eastAsia" w:ascii="宋体" w:hAnsi="宋体" w:eastAsia="宋体" w:cs="宋体"/>
                <w:color w:val="auto"/>
                <w:highlight w:val="none"/>
                <w:lang w:val="zh-CN"/>
              </w:rPr>
              <w:t>分析一般的得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r>
              <w:rPr>
                <w:rFonts w:hint="eastAsia" w:ascii="宋体" w:hAnsi="宋体" w:eastAsia="宋体" w:cs="宋体"/>
                <w:color w:val="auto"/>
                <w:szCs w:val="21"/>
                <w:highlight w:val="none"/>
              </w:rPr>
              <w:t>有瑕疵的得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highlight w:val="none"/>
              </w:rPr>
              <w:t>无相关内容的不得分。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319" w:type="dxa"/>
            <w:gridSpan w:val="5"/>
            <w:noWrap w:val="0"/>
            <w:vAlign w:val="center"/>
          </w:tcPr>
          <w:p>
            <w:pPr>
              <w:pStyle w:val="43"/>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firstLine="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t>演示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15分</w:t>
            </w:r>
            <w:r>
              <w:rPr>
                <w:rFonts w:hint="eastAsia" w:ascii="宋体" w:hAnsi="宋体" w:eastAsia="宋体" w:cs="宋体"/>
                <w:b/>
                <w:bCs/>
                <w:color w:val="auto"/>
                <w:szCs w:val="21"/>
                <w:highlight w:val="none"/>
              </w:rPr>
              <w:t>）</w:t>
            </w:r>
          </w:p>
          <w:p>
            <w:pPr>
              <w:pStyle w:val="43"/>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eastAsia="zh-CN"/>
              </w:rPr>
              <w:t>根据第三部分采购需求</w:t>
            </w:r>
            <w:r>
              <w:rPr>
                <w:rFonts w:hint="eastAsia" w:ascii="宋体" w:hAnsi="宋体" w:eastAsia="宋体" w:cs="宋体"/>
                <w:b/>
                <w:bCs/>
                <w:color w:val="auto"/>
                <w:szCs w:val="21"/>
                <w:highlight w:val="none"/>
                <w:lang w:val="en-US" w:eastAsia="zh-CN"/>
              </w:rPr>
              <w:t xml:space="preserve"> 三、技术要求 </w:t>
            </w:r>
            <w:r>
              <w:rPr>
                <w:rFonts w:hint="eastAsia" w:ascii="宋体" w:hAnsi="宋体" w:eastAsia="宋体" w:cs="宋体"/>
                <w:b/>
                <w:bCs/>
                <w:color w:val="auto"/>
                <w:highlight w:val="none"/>
                <w:lang w:val="en-US" w:eastAsia="zh-CN"/>
              </w:rPr>
              <w:t xml:space="preserve">（二）技术参数 </w:t>
            </w:r>
            <w:r>
              <w:rPr>
                <w:rFonts w:hint="eastAsia" w:ascii="宋体" w:hAnsi="宋体" w:eastAsia="宋体" w:cs="宋体"/>
                <w:b/>
                <w:bCs/>
                <w:i w:val="0"/>
                <w:iCs w:val="0"/>
                <w:color w:val="auto"/>
                <w:kern w:val="0"/>
                <w:sz w:val="21"/>
                <w:szCs w:val="21"/>
                <w:highlight w:val="none"/>
                <w:u w:val="none"/>
                <w:lang w:val="en-US" w:eastAsia="zh-CN" w:bidi="ar"/>
              </w:rPr>
              <w:t>平台软件部分 高校智安校园管理平台中的条款进行逐条演示。</w:t>
            </w:r>
            <w:r>
              <w:rPr>
                <w:rFonts w:hint="eastAsia" w:ascii="宋体" w:hAnsi="宋体" w:eastAsia="宋体" w:cs="宋体"/>
                <w:b/>
                <w:bCs/>
                <w:color w:val="auto"/>
                <w:kern w:val="0"/>
                <w:sz w:val="21"/>
                <w:szCs w:val="21"/>
                <w:highlight w:val="none"/>
                <w:lang w:bidi="ar"/>
              </w:rPr>
              <w:t>所有演示均要求为可运行的软件系统（已投入使用</w:t>
            </w:r>
            <w:r>
              <w:rPr>
                <w:rFonts w:hint="eastAsia" w:ascii="宋体" w:hAnsi="宋体" w:eastAsia="宋体" w:cs="宋体"/>
                <w:b/>
                <w:bCs/>
                <w:color w:val="auto"/>
                <w:kern w:val="0"/>
                <w:sz w:val="21"/>
                <w:szCs w:val="21"/>
                <w:highlight w:val="none"/>
                <w:lang w:eastAsia="zh-CN" w:bidi="ar"/>
              </w:rPr>
              <w:t>的</w:t>
            </w:r>
            <w:r>
              <w:rPr>
                <w:rFonts w:hint="eastAsia" w:ascii="宋体" w:hAnsi="宋体" w:eastAsia="宋体" w:cs="宋体"/>
                <w:b/>
                <w:bCs/>
                <w:color w:val="auto"/>
                <w:kern w:val="0"/>
                <w:sz w:val="21"/>
                <w:szCs w:val="21"/>
                <w:highlight w:val="none"/>
                <w:lang w:bidi="ar"/>
              </w:rPr>
              <w:t>或测试平台），如果采用非可运行的软件系统（</w:t>
            </w:r>
            <w:bookmarkStart w:id="49" w:name="_GoBack"/>
            <w:bookmarkEnd w:id="49"/>
            <w:r>
              <w:rPr>
                <w:rFonts w:hint="eastAsia" w:ascii="宋体" w:hAnsi="宋体" w:eastAsia="宋体" w:cs="宋体"/>
                <w:b/>
                <w:bCs/>
                <w:color w:val="auto"/>
                <w:kern w:val="0"/>
                <w:sz w:val="21"/>
                <w:szCs w:val="21"/>
                <w:highlight w:val="none"/>
                <w:lang w:bidi="ar"/>
              </w:rPr>
              <w:t>如PPT、图片等形式）演示的或全部没有演示的则做无效标处理。演示时间不超过</w:t>
            </w:r>
            <w:r>
              <w:rPr>
                <w:rFonts w:hint="eastAsia" w:ascii="宋体" w:hAnsi="宋体" w:eastAsia="宋体" w:cs="宋体"/>
                <w:b/>
                <w:bCs/>
                <w:color w:val="auto"/>
                <w:kern w:val="0"/>
                <w:sz w:val="21"/>
                <w:szCs w:val="21"/>
                <w:highlight w:val="none"/>
                <w:lang w:val="en-US" w:eastAsia="zh-CN" w:bidi="ar"/>
              </w:rPr>
              <w:t>15</w:t>
            </w:r>
            <w:r>
              <w:rPr>
                <w:rFonts w:hint="eastAsia" w:ascii="宋体" w:hAnsi="宋体" w:eastAsia="宋体" w:cs="宋体"/>
                <w:b/>
                <w:bCs/>
                <w:color w:val="auto"/>
                <w:kern w:val="0"/>
                <w:sz w:val="21"/>
                <w:szCs w:val="21"/>
                <w:highlight w:val="none"/>
                <w:lang w:bidi="ar"/>
              </w:rPr>
              <w:t>分钟。</w:t>
            </w:r>
            <w:r>
              <w:rPr>
                <w:rFonts w:hint="eastAsia" w:ascii="宋体" w:hAnsi="宋体" w:eastAsia="宋体" w:cs="宋体"/>
                <w:b/>
                <w:bCs/>
                <w:color w:val="auto"/>
                <w:kern w:val="0"/>
                <w:sz w:val="21"/>
                <w:szCs w:val="21"/>
                <w:highlight w:val="none"/>
                <w:lang w:eastAsia="zh-CN" w:bidi="ar"/>
              </w:rPr>
              <w:t>演示顺序</w:t>
            </w:r>
            <w:r>
              <w:rPr>
                <w:rFonts w:hint="eastAsia" w:ascii="宋体" w:hAnsi="宋体" w:eastAsia="宋体" w:cs="宋体"/>
                <w:b/>
                <w:bCs/>
                <w:color w:val="auto"/>
                <w:kern w:val="0"/>
                <w:sz w:val="21"/>
                <w:szCs w:val="21"/>
                <w:highlight w:val="none"/>
                <w:lang w:bidi="ar"/>
              </w:rPr>
              <w:t>以投标文件解密时间先后次序为准。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43" w:type="dxa"/>
            <w:vMerge w:val="restart"/>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1</w:t>
            </w:r>
          </w:p>
        </w:tc>
        <w:tc>
          <w:tcPr>
            <w:tcW w:w="1343" w:type="dxa"/>
            <w:gridSpan w:val="2"/>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重点人员管理</w:t>
            </w:r>
          </w:p>
        </w:tc>
        <w:tc>
          <w:tcPr>
            <w:tcW w:w="655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通过平台展示模糊检索功能分别对目标特征、以图搜图（以上两个维均需演示，缺一不得分）进行模糊检索，并检索出系统中的目标通行记录，目标记录需要按照时间轴线进行展示</w:t>
            </w:r>
            <w:r>
              <w:rPr>
                <w:rFonts w:hint="eastAsia" w:ascii="宋体" w:hAnsi="宋体" w:eastAsia="宋体" w:cs="宋体"/>
                <w:color w:val="auto"/>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每实现一条得1分，</w:t>
            </w:r>
            <w:r>
              <w:rPr>
                <w:rFonts w:hint="eastAsia" w:ascii="宋体" w:hAnsi="宋体" w:cs="宋体"/>
                <w:i w:val="0"/>
                <w:iCs w:val="0"/>
                <w:color w:val="auto"/>
                <w:kern w:val="0"/>
                <w:sz w:val="21"/>
                <w:szCs w:val="21"/>
                <w:highlight w:val="none"/>
                <w:u w:val="none"/>
                <w:lang w:val="en-US" w:eastAsia="zh-CN" w:bidi="ar"/>
              </w:rPr>
              <w:t>每条</w:t>
            </w:r>
            <w:r>
              <w:rPr>
                <w:rFonts w:hint="eastAsia" w:ascii="宋体" w:hAnsi="宋体" w:eastAsia="宋体" w:cs="宋体"/>
                <w:i w:val="0"/>
                <w:iCs w:val="0"/>
                <w:color w:val="auto"/>
                <w:kern w:val="0"/>
                <w:sz w:val="21"/>
                <w:szCs w:val="21"/>
                <w:highlight w:val="none"/>
                <w:u w:val="none"/>
                <w:lang w:val="en-US" w:eastAsia="zh-CN" w:bidi="ar"/>
              </w:rPr>
              <w:t>部分功能不能实现或全部不能实现</w:t>
            </w:r>
            <w:r>
              <w:rPr>
                <w:rFonts w:hint="eastAsia" w:ascii="宋体" w:hAnsi="宋体" w:cs="宋体"/>
                <w:i w:val="0"/>
                <w:iCs w:val="0"/>
                <w:color w:val="auto"/>
                <w:kern w:val="0"/>
                <w:sz w:val="21"/>
                <w:szCs w:val="21"/>
                <w:highlight w:val="none"/>
                <w:u w:val="none"/>
                <w:lang w:val="en-US" w:eastAsia="zh-CN" w:bidi="ar"/>
              </w:rPr>
              <w:t>的不得分，</w:t>
            </w:r>
            <w:r>
              <w:rPr>
                <w:rFonts w:hint="eastAsia" w:ascii="宋体" w:hAnsi="宋体" w:eastAsia="宋体" w:cs="宋体"/>
                <w:i w:val="0"/>
                <w:iCs w:val="0"/>
                <w:color w:val="auto"/>
                <w:kern w:val="0"/>
                <w:sz w:val="21"/>
                <w:szCs w:val="21"/>
                <w:highlight w:val="none"/>
                <w:u w:val="none"/>
                <w:lang w:val="en-US" w:eastAsia="zh-CN" w:bidi="ar"/>
              </w:rPr>
              <w:t>满分2分。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643" w:type="dxa"/>
            <w:vMerge w:val="continue"/>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lang w:val="en-US" w:eastAsia="zh-CN"/>
              </w:rPr>
            </w:pPr>
          </w:p>
        </w:tc>
        <w:tc>
          <w:tcPr>
            <w:tcW w:w="1343" w:type="dxa"/>
            <w:gridSpan w:val="2"/>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color w:val="auto"/>
                <w:szCs w:val="21"/>
                <w:highlight w:val="none"/>
                <w:lang w:val="en-US" w:eastAsia="zh-CN"/>
              </w:rPr>
            </w:pPr>
          </w:p>
        </w:tc>
        <w:tc>
          <w:tcPr>
            <w:tcW w:w="6553"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both"/>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支持人员模糊检索关键词分词：搜索条件包括人员信息（姓名、编号、部门）、面部特征或人体特征组成的关键词，如：戴眼镜的张三，自动识别出关键词进行人员或事件检索。支持记录关键词及删除历史搜索记录。检索结果支持加入收藏夹，融合多次检索记录绘制轨迹</w:t>
            </w:r>
            <w:r>
              <w:rPr>
                <w:rFonts w:hint="eastAsia" w:ascii="宋体" w:hAnsi="宋体" w:eastAsia="宋体" w:cs="宋体"/>
                <w:color w:val="auto"/>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全部实现的得2分，部分功能不能实现或全部不能实现的不得分。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43" w:type="dxa"/>
            <w:vMerge w:val="continue"/>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lang w:val="en-US" w:eastAsia="zh-CN"/>
              </w:rPr>
            </w:pPr>
          </w:p>
        </w:tc>
        <w:tc>
          <w:tcPr>
            <w:tcW w:w="1343" w:type="dxa"/>
            <w:gridSpan w:val="2"/>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color w:val="auto"/>
                <w:szCs w:val="21"/>
                <w:highlight w:val="none"/>
                <w:lang w:val="en-US" w:eastAsia="zh-CN"/>
              </w:rPr>
            </w:pPr>
          </w:p>
        </w:tc>
        <w:tc>
          <w:tcPr>
            <w:tcW w:w="655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right="42" w:rightChars="20"/>
              <w:rPr>
                <w:rFonts w:hint="eastAsia" w:ascii="宋体" w:hAnsi="宋体" w:eastAsia="宋体" w:cs="宋体"/>
                <w:color w:val="auto"/>
                <w:highlight w:val="none"/>
              </w:rPr>
            </w:pPr>
            <w:r>
              <w:rPr>
                <w:rFonts w:hint="eastAsia" w:ascii="宋体" w:hAnsi="宋体" w:eastAsia="宋体" w:cs="宋体"/>
                <w:color w:val="auto"/>
                <w:highlight w:val="none"/>
              </w:rPr>
              <w:t>①通过平台展示移动端的人员和车辆检索能力，分别演示人员目标可支持按照时间段、监控点、人员特征发起检索，图片上传检索，以卡片形式展示结果，可绘制动线轨迹，调整回放速度。</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②移动端演示检索车辆可支持按照车牌号、车牌颜色、车辆品牌的搜索条件发起模糊匹配检索，以卡片形式展示结果，绘制动线轨迹，调整回放速度</w:t>
            </w:r>
            <w:r>
              <w:rPr>
                <w:rFonts w:hint="eastAsia" w:ascii="宋体" w:hAnsi="宋体" w:eastAsia="宋体" w:cs="宋体"/>
                <w:i w:val="0"/>
                <w:iCs w:val="0"/>
                <w:color w:val="auto"/>
                <w:kern w:val="0"/>
                <w:sz w:val="21"/>
                <w:szCs w:val="21"/>
                <w:highlight w:val="none"/>
                <w:u w:val="none"/>
                <w:lang w:val="en-US" w:eastAsia="zh-CN" w:bidi="ar"/>
              </w:rPr>
              <w:t>；</w:t>
            </w:r>
          </w:p>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以上每实现一条得2分，</w:t>
            </w:r>
            <w:r>
              <w:rPr>
                <w:rFonts w:hint="eastAsia" w:ascii="宋体" w:hAnsi="宋体" w:cs="宋体"/>
                <w:i w:val="0"/>
                <w:iCs w:val="0"/>
                <w:color w:val="auto"/>
                <w:kern w:val="0"/>
                <w:sz w:val="21"/>
                <w:szCs w:val="21"/>
                <w:highlight w:val="none"/>
                <w:u w:val="none"/>
                <w:lang w:val="en-US" w:eastAsia="zh-CN" w:bidi="ar"/>
              </w:rPr>
              <w:t>每条</w:t>
            </w:r>
            <w:r>
              <w:rPr>
                <w:rFonts w:hint="eastAsia" w:ascii="宋体" w:hAnsi="宋体" w:eastAsia="宋体" w:cs="宋体"/>
                <w:i w:val="0"/>
                <w:iCs w:val="0"/>
                <w:color w:val="auto"/>
                <w:kern w:val="0"/>
                <w:sz w:val="21"/>
                <w:szCs w:val="21"/>
                <w:highlight w:val="none"/>
                <w:u w:val="none"/>
                <w:lang w:val="en-US" w:eastAsia="zh-CN" w:bidi="ar"/>
              </w:rPr>
              <w:t>部分功能不能实现或全部不能实现</w:t>
            </w:r>
            <w:r>
              <w:rPr>
                <w:rFonts w:hint="eastAsia" w:ascii="宋体" w:hAnsi="宋体" w:cs="宋体"/>
                <w:i w:val="0"/>
                <w:iCs w:val="0"/>
                <w:color w:val="auto"/>
                <w:kern w:val="0"/>
                <w:sz w:val="21"/>
                <w:szCs w:val="21"/>
                <w:highlight w:val="none"/>
                <w:u w:val="none"/>
                <w:lang w:val="en-US" w:eastAsia="zh-CN" w:bidi="ar"/>
              </w:rPr>
              <w:t>的不得分，</w:t>
            </w:r>
            <w:r>
              <w:rPr>
                <w:rFonts w:hint="eastAsia" w:ascii="宋体" w:hAnsi="宋体" w:eastAsia="宋体" w:cs="宋体"/>
                <w:i w:val="0"/>
                <w:iCs w:val="0"/>
                <w:color w:val="auto"/>
                <w:kern w:val="0"/>
                <w:sz w:val="21"/>
                <w:szCs w:val="21"/>
                <w:highlight w:val="none"/>
                <w:u w:val="none"/>
                <w:lang w:val="en-US" w:eastAsia="zh-CN" w:bidi="ar"/>
              </w:rPr>
              <w:t>满分4分。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43"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2</w:t>
            </w:r>
          </w:p>
        </w:tc>
        <w:tc>
          <w:tcPr>
            <w:tcW w:w="13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检索中心-人员检索</w:t>
            </w:r>
          </w:p>
        </w:tc>
        <w:tc>
          <w:tcPr>
            <w:tcW w:w="6553"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both"/>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支持按照任意人员搜索条件的同行检索：基于任意人员检索条件及结果，包括抓拍记录、视频流记录，均可以点击同行查询，开启同行查询关联频次</w:t>
            </w:r>
            <w:r>
              <w:rPr>
                <w:rFonts w:hint="eastAsia" w:ascii="宋体" w:hAnsi="宋体" w:eastAsia="宋体" w:cs="宋体"/>
                <w:color w:val="auto"/>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全部实现一条</w:t>
            </w:r>
            <w:r>
              <w:rPr>
                <w:rFonts w:hint="eastAsia" w:ascii="宋体" w:hAnsi="宋体" w:cs="宋体"/>
                <w:i w:val="0"/>
                <w:iCs w:val="0"/>
                <w:color w:val="auto"/>
                <w:kern w:val="0"/>
                <w:sz w:val="21"/>
                <w:szCs w:val="21"/>
                <w:highlight w:val="none"/>
                <w:u w:val="none"/>
                <w:lang w:val="en-US" w:eastAsia="zh-CN" w:bidi="ar"/>
              </w:rPr>
              <w:t>的</w:t>
            </w:r>
            <w:r>
              <w:rPr>
                <w:rFonts w:hint="eastAsia" w:ascii="宋体" w:hAnsi="宋体" w:eastAsia="宋体" w:cs="宋体"/>
                <w:i w:val="0"/>
                <w:iCs w:val="0"/>
                <w:color w:val="auto"/>
                <w:kern w:val="0"/>
                <w:sz w:val="21"/>
                <w:szCs w:val="21"/>
                <w:highlight w:val="none"/>
                <w:u w:val="none"/>
                <w:lang w:val="en-US" w:eastAsia="zh-CN" w:bidi="ar"/>
              </w:rPr>
              <w:t>得2分，部分功能不能实现或全部不能实现的不得分，满分2分。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43" w:type="dxa"/>
            <w:vMerge w:val="restart"/>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3</w:t>
            </w:r>
          </w:p>
        </w:tc>
        <w:tc>
          <w:tcPr>
            <w:tcW w:w="1343" w:type="dxa"/>
            <w:gridSpan w:val="2"/>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检索中心-</w:t>
            </w:r>
          </w:p>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人车智能聚档</w:t>
            </w:r>
          </w:p>
        </w:tc>
        <w:tc>
          <w:tcPr>
            <w:tcW w:w="6553" w:type="dxa"/>
            <w:noWrap w:val="0"/>
            <w:vAlign w:val="center"/>
          </w:tcPr>
          <w:p>
            <w:pPr>
              <w:keepNext w:val="0"/>
              <w:keepLines w:val="0"/>
              <w:pageBreakBefore w:val="0"/>
              <w:kinsoku/>
              <w:wordWrap/>
              <w:overflowPunct/>
              <w:topLinePunct w:val="0"/>
              <w:autoSpaceDE/>
              <w:autoSpaceDN/>
              <w:bidi w:val="0"/>
              <w:adjustRightInd w:val="0"/>
              <w:snapToGrid w:val="0"/>
              <w:spacing w:before="0" w:beforeLines="20" w:after="0" w:afterLines="20" w:line="336" w:lineRule="auto"/>
              <w:ind w:left="42" w:leftChars="20" w:right="42" w:rightChars="2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通过平台展示启用人员自动聚档功能，分别演示设置对象（目标分组）、范围（设备）、目标最低相似度阈值</w:t>
            </w:r>
            <w:r>
              <w:rPr>
                <w:rFonts w:hint="eastAsia" w:ascii="宋体" w:hAnsi="宋体" w:eastAsia="宋体" w:cs="宋体"/>
                <w:color w:val="auto"/>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每实现一条得1分，</w:t>
            </w:r>
            <w:r>
              <w:rPr>
                <w:rFonts w:hint="eastAsia" w:ascii="宋体" w:hAnsi="宋体" w:cs="宋体"/>
                <w:i w:val="0"/>
                <w:iCs w:val="0"/>
                <w:color w:val="auto"/>
                <w:kern w:val="0"/>
                <w:sz w:val="21"/>
                <w:szCs w:val="21"/>
                <w:highlight w:val="none"/>
                <w:u w:val="none"/>
                <w:lang w:val="en-US" w:eastAsia="zh-CN" w:bidi="ar"/>
              </w:rPr>
              <w:t>每条</w:t>
            </w:r>
            <w:r>
              <w:rPr>
                <w:rFonts w:hint="eastAsia" w:ascii="宋体" w:hAnsi="宋体" w:eastAsia="宋体" w:cs="宋体"/>
                <w:i w:val="0"/>
                <w:iCs w:val="0"/>
                <w:color w:val="auto"/>
                <w:kern w:val="0"/>
                <w:sz w:val="21"/>
                <w:szCs w:val="21"/>
                <w:highlight w:val="none"/>
                <w:u w:val="none"/>
                <w:lang w:val="en-US" w:eastAsia="zh-CN" w:bidi="ar"/>
              </w:rPr>
              <w:t>部分功能不能实现或全部不能实现</w:t>
            </w:r>
            <w:r>
              <w:rPr>
                <w:rFonts w:hint="eastAsia" w:ascii="宋体" w:hAnsi="宋体" w:cs="宋体"/>
                <w:i w:val="0"/>
                <w:iCs w:val="0"/>
                <w:color w:val="auto"/>
                <w:kern w:val="0"/>
                <w:sz w:val="21"/>
                <w:szCs w:val="21"/>
                <w:highlight w:val="none"/>
                <w:u w:val="none"/>
                <w:lang w:val="en-US" w:eastAsia="zh-CN" w:bidi="ar"/>
              </w:rPr>
              <w:t>的不得分，</w:t>
            </w:r>
            <w:r>
              <w:rPr>
                <w:rFonts w:hint="eastAsia" w:ascii="宋体" w:hAnsi="宋体" w:eastAsia="宋体" w:cs="宋体"/>
                <w:i w:val="0"/>
                <w:iCs w:val="0"/>
                <w:color w:val="auto"/>
                <w:kern w:val="0"/>
                <w:sz w:val="21"/>
                <w:szCs w:val="21"/>
                <w:highlight w:val="none"/>
                <w:u w:val="none"/>
                <w:lang w:val="en-US" w:eastAsia="zh-CN" w:bidi="ar"/>
              </w:rPr>
              <w:t>满分3分。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43" w:type="dxa"/>
            <w:vMerge w:val="continue"/>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bCs/>
                <w:color w:val="auto"/>
                <w:szCs w:val="21"/>
                <w:highlight w:val="none"/>
                <w:lang w:val="en-US" w:eastAsia="zh-CN"/>
              </w:rPr>
            </w:pPr>
          </w:p>
        </w:tc>
        <w:tc>
          <w:tcPr>
            <w:tcW w:w="1343" w:type="dxa"/>
            <w:gridSpan w:val="2"/>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0" w:after="0" w:afterLines="20" w:line="336" w:lineRule="auto"/>
              <w:ind w:left="42" w:leftChars="20" w:right="42" w:rightChars="20"/>
              <w:jc w:val="center"/>
              <w:textAlignment w:val="center"/>
              <w:rPr>
                <w:rFonts w:hint="eastAsia" w:ascii="宋体" w:hAnsi="宋体" w:eastAsia="宋体" w:cs="宋体"/>
                <w:b/>
                <w:bCs/>
                <w:color w:val="auto"/>
                <w:szCs w:val="21"/>
                <w:highlight w:val="none"/>
                <w:lang w:val="en-US" w:eastAsia="zh-CN"/>
              </w:rPr>
            </w:pPr>
          </w:p>
        </w:tc>
        <w:tc>
          <w:tcPr>
            <w:tcW w:w="6553"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both"/>
              <w:rPr>
                <w:rFonts w:hint="eastAsia" w:ascii="宋体" w:hAnsi="宋体" w:eastAsia="宋体" w:cs="宋体"/>
                <w:color w:val="auto"/>
                <w:highlight w:val="none"/>
              </w:rPr>
            </w:pPr>
            <w:r>
              <w:rPr>
                <w:rFonts w:hint="eastAsia" w:ascii="宋体" w:hAnsi="宋体" w:eastAsia="宋体" w:cs="宋体"/>
                <w:color w:val="auto"/>
                <w:highlight w:val="none"/>
              </w:rPr>
              <w:t>①支持一次搜索动作下人员聚档，相同人员的视频分析结果、抓拍事件分析结果汇聚到同一人员下展示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包括前后端视频结构化、名下车辆抓拍数据等进行一次检索，融合为一条动线展示。</w:t>
            </w:r>
          </w:p>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②回放时显示部分点位动线以调整动线图，调整回放速度</w:t>
            </w:r>
            <w:r>
              <w:rPr>
                <w:rFonts w:hint="eastAsia" w:ascii="宋体" w:hAnsi="宋体" w:eastAsia="宋体" w:cs="宋体"/>
                <w:color w:val="auto"/>
                <w:highlight w:val="none"/>
                <w:lang w:eastAsia="zh-CN"/>
              </w:rPr>
              <w:t>；</w:t>
            </w:r>
          </w:p>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both"/>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eastAsia="zh-CN"/>
              </w:rPr>
              <w:t>以上</w:t>
            </w:r>
            <w:r>
              <w:rPr>
                <w:rFonts w:hint="eastAsia" w:ascii="宋体" w:hAnsi="宋体" w:eastAsia="宋体" w:cs="宋体"/>
                <w:i w:val="0"/>
                <w:iCs w:val="0"/>
                <w:color w:val="auto"/>
                <w:kern w:val="0"/>
                <w:sz w:val="21"/>
                <w:szCs w:val="21"/>
                <w:highlight w:val="none"/>
                <w:u w:val="none"/>
                <w:lang w:val="en-US" w:eastAsia="zh-CN" w:bidi="ar"/>
              </w:rPr>
              <w:t>每实现一条得1分，</w:t>
            </w:r>
            <w:r>
              <w:rPr>
                <w:rFonts w:hint="eastAsia" w:ascii="宋体" w:hAnsi="宋体" w:cs="宋体"/>
                <w:i w:val="0"/>
                <w:iCs w:val="0"/>
                <w:color w:val="auto"/>
                <w:kern w:val="0"/>
                <w:sz w:val="21"/>
                <w:szCs w:val="21"/>
                <w:highlight w:val="none"/>
                <w:u w:val="none"/>
                <w:lang w:val="en-US" w:eastAsia="zh-CN" w:bidi="ar"/>
              </w:rPr>
              <w:t>每条</w:t>
            </w:r>
            <w:r>
              <w:rPr>
                <w:rFonts w:hint="eastAsia" w:ascii="宋体" w:hAnsi="宋体" w:eastAsia="宋体" w:cs="宋体"/>
                <w:i w:val="0"/>
                <w:iCs w:val="0"/>
                <w:color w:val="auto"/>
                <w:kern w:val="0"/>
                <w:sz w:val="21"/>
                <w:szCs w:val="21"/>
                <w:highlight w:val="none"/>
                <w:u w:val="none"/>
                <w:lang w:val="en-US" w:eastAsia="zh-CN" w:bidi="ar"/>
              </w:rPr>
              <w:t>部分功能不能实现或全部不能实现</w:t>
            </w:r>
            <w:r>
              <w:rPr>
                <w:rFonts w:hint="eastAsia" w:ascii="宋体" w:hAnsi="宋体" w:cs="宋体"/>
                <w:i w:val="0"/>
                <w:iCs w:val="0"/>
                <w:color w:val="auto"/>
                <w:kern w:val="0"/>
                <w:sz w:val="21"/>
                <w:szCs w:val="21"/>
                <w:highlight w:val="none"/>
                <w:u w:val="none"/>
                <w:lang w:val="en-US" w:eastAsia="zh-CN" w:bidi="ar"/>
              </w:rPr>
              <w:t>的不得分，</w:t>
            </w:r>
            <w:r>
              <w:rPr>
                <w:rFonts w:hint="eastAsia" w:ascii="宋体" w:hAnsi="宋体" w:eastAsia="宋体" w:cs="宋体"/>
                <w:i w:val="0"/>
                <w:iCs w:val="0"/>
                <w:color w:val="auto"/>
                <w:kern w:val="0"/>
                <w:sz w:val="21"/>
                <w:szCs w:val="21"/>
                <w:highlight w:val="none"/>
                <w:u w:val="none"/>
                <w:lang w:val="en-US" w:eastAsia="zh-CN" w:bidi="ar"/>
              </w:rPr>
              <w:t>满分2分。</w:t>
            </w:r>
          </w:p>
        </w:tc>
        <w:tc>
          <w:tcPr>
            <w:tcW w:w="780" w:type="dxa"/>
            <w:noWrap w:val="0"/>
            <w:vAlign w:val="center"/>
          </w:tcPr>
          <w:p>
            <w:pPr>
              <w:keepNext w:val="0"/>
              <w:keepLines w:val="0"/>
              <w:pageBreakBefore w:val="0"/>
              <w:tabs>
                <w:tab w:val="left" w:pos="221"/>
              </w:tabs>
              <w:kinsoku/>
              <w:wordWrap/>
              <w:overflowPunct/>
              <w:topLinePunct w:val="0"/>
              <w:autoSpaceDE/>
              <w:autoSpaceDN/>
              <w:bidi w:val="0"/>
              <w:adjustRightInd w:val="0"/>
              <w:snapToGrid w:val="0"/>
              <w:spacing w:before="0" w:beforeLines="20" w:after="0" w:afterLines="20" w:line="336" w:lineRule="auto"/>
              <w:ind w:left="42" w:leftChars="20" w:right="42" w:rightChars="20"/>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w:t>
            </w:r>
          </w:p>
        </w:tc>
      </w:tr>
    </w:tbl>
    <w:p>
      <w:pPr>
        <w:pageBreakBefore w:val="0"/>
        <w:kinsoku/>
        <w:overflowPunct/>
        <w:topLinePunct w:val="0"/>
        <w:bidi w:val="0"/>
        <w:adjustRightInd w:val="0"/>
        <w:snapToGrid w:val="0"/>
        <w:spacing w:line="336" w:lineRule="auto"/>
        <w:rPr>
          <w:rFonts w:hint="eastAsia" w:ascii="宋体" w:hAnsi="宋体" w:eastAsia="宋体" w:cs="宋体"/>
          <w:b/>
          <w:dstrike/>
          <w:color w:val="auto"/>
          <w:szCs w:val="21"/>
          <w:highlight w:val="none"/>
        </w:rPr>
      </w:pPr>
    </w:p>
    <w:p>
      <w:pPr>
        <w:pageBreakBefore w:val="0"/>
        <w:kinsoku/>
        <w:overflowPunct/>
        <w:topLinePunct w:val="0"/>
        <w:autoSpaceDE w:val="0"/>
        <w:autoSpaceDN w:val="0"/>
        <w:bidi w:val="0"/>
        <w:adjustRightInd w:val="0"/>
        <w:snapToGrid w:val="0"/>
        <w:spacing w:line="336" w:lineRule="auto"/>
        <w:ind w:firstLine="48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（三）商务报价（满分</w:t>
      </w:r>
      <w:r>
        <w:rPr>
          <w:rFonts w:hint="eastAsia" w:ascii="宋体" w:hAnsi="宋体" w:eastAsia="宋体" w:cs="宋体"/>
          <w:b/>
          <w:color w:val="auto"/>
          <w:szCs w:val="21"/>
          <w:highlight w:val="none"/>
          <w:u w:val="single"/>
        </w:rPr>
        <w:t xml:space="preserve"> 30 </w:t>
      </w:r>
      <w:r>
        <w:rPr>
          <w:rFonts w:hint="eastAsia" w:ascii="宋体" w:hAnsi="宋体" w:eastAsia="宋体" w:cs="宋体"/>
          <w:b/>
          <w:color w:val="auto"/>
          <w:szCs w:val="21"/>
          <w:highlight w:val="none"/>
          <w:lang w:val="zh-CN"/>
        </w:rPr>
        <w:t>分）</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rPr>
        <w:t>1.</w:t>
      </w:r>
      <w:r>
        <w:rPr>
          <w:rFonts w:hint="eastAsia" w:ascii="宋体" w:hAnsi="宋体" w:eastAsia="宋体" w:cs="宋体"/>
          <w:b/>
          <w:bCs/>
          <w:color w:val="auto"/>
          <w:szCs w:val="21"/>
          <w:highlight w:val="none"/>
          <w:lang w:val="zh-CN"/>
        </w:rPr>
        <w:t>投标价格的合理性：</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分析总报价及各个分项报价是否合理，报价范围是否完整，有否重大错漏项，评标委员会认为投标报价出现异常时，有权要求投标人在评标期间对投标报价的详细组成作出解释和澄清，并确认其投标报价是否有效。</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2.商务报价计算</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各投标人的商务报价得分统一采用低价优先法计算，即满足招标文件要求且投标价格最低的投标报价为评标基准价，其价格分为满分</w:t>
      </w:r>
      <w:r>
        <w:rPr>
          <w:rFonts w:hint="eastAsia" w:ascii="宋体" w:hAnsi="宋体" w:eastAsia="宋体" w:cs="宋体"/>
          <w:color w:val="auto"/>
          <w:szCs w:val="21"/>
          <w:highlight w:val="none"/>
          <w:u w:val="single"/>
        </w:rPr>
        <w:t>30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zh-CN"/>
        </w:rPr>
        <w:t>。其他投标人的商务报价得分统一按照下列公式计算：</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投标报价得分=（评标基准价/投标报价）×价格权值（即</w:t>
      </w:r>
      <w:r>
        <w:rPr>
          <w:rFonts w:hint="eastAsia" w:ascii="宋体" w:hAnsi="宋体" w:eastAsia="宋体" w:cs="宋体"/>
          <w:color w:val="auto"/>
          <w:szCs w:val="21"/>
          <w:highlight w:val="none"/>
          <w:u w:val="single"/>
        </w:rPr>
        <w:t>30</w:t>
      </w:r>
      <w:r>
        <w:rPr>
          <w:rFonts w:hint="eastAsia" w:ascii="宋体" w:hAnsi="宋体" w:eastAsia="宋体" w:cs="宋体"/>
          <w:color w:val="auto"/>
          <w:szCs w:val="21"/>
          <w:highlight w:val="none"/>
          <w:lang w:val="zh-CN"/>
        </w:rPr>
        <w:t>%）×100</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color w:val="auto"/>
          <w:szCs w:val="21"/>
          <w:highlight w:val="none"/>
          <w:lang w:val="zh-CN" w:eastAsia="zh-CN"/>
        </w:rPr>
      </w:pPr>
      <w:r>
        <w:rPr>
          <w:rFonts w:hint="eastAsia" w:ascii="宋体" w:hAnsi="宋体" w:eastAsia="宋体" w:cs="宋体"/>
          <w:b/>
          <w:bCs/>
          <w:color w:val="auto"/>
          <w:szCs w:val="21"/>
          <w:highlight w:val="none"/>
          <w:lang w:val="zh-CN"/>
        </w:rPr>
        <w:t>本项目评审价格的扣除比例：</w:t>
      </w:r>
      <w:r>
        <w:rPr>
          <w:rFonts w:hint="eastAsia" w:ascii="宋体" w:hAnsi="宋体" w:eastAsia="宋体" w:cs="宋体"/>
          <w:color w:val="auto"/>
          <w:szCs w:val="21"/>
          <w:highlight w:val="none"/>
          <w:lang w:val="zh-CN" w:eastAsia="zh-CN"/>
        </w:rPr>
        <w:t>本项目对于符合规定的小微企业（货物由小微企业制造）给予10%的扣除；对于联合协议或者分包意向协议约定小微企业（货物由小微企业制造）的合同份额占到合同总金额30%以上的，对联合体或者大中型企业的报价给予4%扣除。用扣除后的价格参加评审。</w:t>
      </w:r>
    </w:p>
    <w:p>
      <w:pPr>
        <w:pageBreakBefore w:val="0"/>
        <w:kinsoku/>
        <w:overflowPunct/>
        <w:topLinePunct w:val="0"/>
        <w:bidi w:val="0"/>
        <w:adjustRightInd w:val="0"/>
        <w:snapToGrid w:val="0"/>
        <w:spacing w:line="336" w:lineRule="auto"/>
        <w:ind w:firstLine="422" w:firstLineChars="20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w:t>（四）其他</w:t>
      </w:r>
    </w:p>
    <w:p>
      <w:pPr>
        <w:pageBreakBefore w:val="0"/>
        <w:kinsoku/>
        <w:overflowPunct/>
        <w:topLinePunct w:val="0"/>
        <w:bidi w:val="0"/>
        <w:adjustRightInd w:val="0"/>
        <w:snapToGrid w:val="0"/>
        <w:spacing w:line="336" w:lineRule="auto"/>
        <w:ind w:firstLine="42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评分时保留小数点后1位小数，计算评分值时保留小数点后2位小数，由评标委员会当场统一计算。投标人的最终总得分为技术商务及报价部分二部分得分的总和。</w:t>
      </w:r>
    </w:p>
    <w:p>
      <w:pPr>
        <w:pageBreakBefore w:val="0"/>
        <w:kinsoku/>
        <w:overflowPunct/>
        <w:topLinePunct w:val="0"/>
        <w:bidi w:val="0"/>
        <w:adjustRightInd w:val="0"/>
        <w:snapToGrid w:val="0"/>
        <w:spacing w:line="336"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snapToGrid w:val="0"/>
          <w:color w:val="auto"/>
          <w:kern w:val="0"/>
          <w:szCs w:val="21"/>
          <w:highlight w:val="none"/>
        </w:rPr>
        <w:t>报价是中标的一个重要因素，但最低报价不是中标的唯一依据。</w:t>
      </w:r>
    </w:p>
    <w:p>
      <w:pPr>
        <w:spacing w:line="360" w:lineRule="auto"/>
        <w:jc w:val="center"/>
        <w:outlineLvl w:val="0"/>
        <w:rPr>
          <w:rFonts w:hint="eastAsia" w:ascii="宋体" w:hAnsi="宋体" w:eastAsia="宋体" w:cs="宋体"/>
          <w:b/>
          <w:color w:val="auto"/>
          <w:sz w:val="36"/>
          <w:szCs w:val="20"/>
          <w:highlight w:val="none"/>
        </w:rPr>
      </w:pPr>
      <w:bookmarkStart w:id="39" w:name="_Toc12455"/>
      <w:r>
        <w:rPr>
          <w:rFonts w:hint="eastAsia" w:ascii="宋体" w:hAnsi="宋体" w:eastAsia="宋体" w:cs="宋体"/>
          <w:b/>
          <w:color w:val="auto"/>
          <w:sz w:val="36"/>
          <w:szCs w:val="20"/>
          <w:highlight w:val="none"/>
        </w:rPr>
        <w:t>第六部分  应提交的有关格式范例</w:t>
      </w:r>
      <w:bookmarkEnd w:id="39"/>
    </w:p>
    <w:p>
      <w:pPr>
        <w:rPr>
          <w:rFonts w:hint="eastAsia" w:ascii="宋体" w:hAnsi="宋体" w:eastAsia="宋体" w:cs="宋体"/>
          <w:color w:val="auto"/>
          <w:highlight w:val="none"/>
        </w:rPr>
      </w:pPr>
    </w:p>
    <w:p>
      <w:pPr>
        <w:spacing w:line="360" w:lineRule="auto"/>
        <w:jc w:val="center"/>
        <w:outlineLvl w:val="1"/>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目录</w:t>
      </w:r>
    </w:p>
    <w:p>
      <w:pPr>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（1）具有独立承担民事责任能力的证明材料……………………………（页码）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符合参加政府采购活动应当具备的一般条件的承诺函……………（页码）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）联合协议………………………………………………………………（页码）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）落实政府采购政策需满足的资格要求………………………………（页码）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）本项目的特定资格要求………………………………………………（页码）</w:t>
      </w:r>
    </w:p>
    <w:p>
      <w:pPr>
        <w:rPr>
          <w:rFonts w:hint="eastAsia" w:ascii="宋体" w:hAnsi="宋体" w:eastAsia="宋体" w:cs="宋体"/>
          <w:color w:val="auto"/>
          <w:highlight w:val="none"/>
        </w:rPr>
      </w:pPr>
    </w:p>
    <w:p>
      <w:pPr>
        <w:pStyle w:val="40"/>
        <w:pageBreakBefore w:val="0"/>
        <w:tabs>
          <w:tab w:val="left" w:pos="630"/>
          <w:tab w:val="left" w:pos="840"/>
          <w:tab w:val="left" w:pos="1050"/>
        </w:tabs>
        <w:kinsoku/>
        <w:overflowPunct/>
        <w:topLinePunct w:val="0"/>
        <w:bidi w:val="0"/>
        <w:adjustRightInd w:val="0"/>
        <w:snapToGrid w:val="0"/>
        <w:spacing w:before="0" w:beforeAutospacing="0" w:after="0" w:afterAutospacing="0" w:line="336" w:lineRule="auto"/>
        <w:rPr>
          <w:rFonts w:hint="eastAsia" w:ascii="宋体" w:hAnsi="宋体" w:eastAsia="宋体" w:cs="宋体"/>
          <w:b/>
          <w:bCs/>
          <w:color w:val="auto"/>
          <w:sz w:val="21"/>
          <w:szCs w:val="21"/>
          <w:highlight w:val="none"/>
        </w:rPr>
      </w:pPr>
      <w:r>
        <w:rPr>
          <w:rFonts w:hint="eastAsia" w:ascii="宋体" w:hAnsi="宋体" w:eastAsia="宋体" w:cs="宋体"/>
          <w:color w:val="auto"/>
          <w:kern w:val="0"/>
          <w:highlight w:val="none"/>
        </w:rPr>
        <w:br w:type="page"/>
      </w:r>
      <w:r>
        <w:rPr>
          <w:rFonts w:hint="eastAsia" w:ascii="宋体" w:hAnsi="宋体" w:eastAsia="宋体" w:cs="宋体"/>
          <w:b/>
          <w:color w:val="auto"/>
          <w:kern w:val="0"/>
          <w:sz w:val="32"/>
          <w:szCs w:val="32"/>
          <w:highlight w:val="none"/>
        </w:rPr>
        <w:t>一、</w:t>
      </w:r>
      <w:r>
        <w:rPr>
          <w:rFonts w:hint="eastAsia" w:ascii="宋体" w:hAnsi="宋体" w:eastAsia="宋体" w:cs="宋体"/>
          <w:b/>
          <w:color w:val="auto"/>
          <w:sz w:val="21"/>
          <w:szCs w:val="21"/>
          <w:highlight w:val="none"/>
        </w:rPr>
        <w:t>基本资格条件相关证明材料</w:t>
      </w:r>
    </w:p>
    <w:p>
      <w:pPr>
        <w:pStyle w:val="40"/>
        <w:pageBreakBefore w:val="0"/>
        <w:numPr>
          <w:ilvl w:val="0"/>
          <w:numId w:val="15"/>
        </w:numPr>
        <w:tabs>
          <w:tab w:val="left" w:pos="630"/>
          <w:tab w:val="left" w:pos="840"/>
          <w:tab w:val="left" w:pos="1050"/>
        </w:tabs>
        <w:kinsoku/>
        <w:overflowPunct/>
        <w:topLinePunct w:val="0"/>
        <w:bidi w:val="0"/>
        <w:adjustRightInd w:val="0"/>
        <w:snapToGrid w:val="0"/>
        <w:spacing w:before="0" w:beforeAutospacing="0" w:after="0" w:afterAutospacing="0" w:line="336" w:lineRule="auto"/>
        <w:ind w:hanging="5"/>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具有独立承担民事责任能力的证明材料：</w:t>
      </w:r>
    </w:p>
    <w:p>
      <w:pPr>
        <w:pStyle w:val="40"/>
        <w:pageBreakBefore w:val="0"/>
        <w:tabs>
          <w:tab w:val="left" w:pos="630"/>
          <w:tab w:val="left" w:pos="840"/>
          <w:tab w:val="left" w:pos="1050"/>
        </w:tabs>
        <w:kinsoku/>
        <w:overflowPunct/>
        <w:topLinePunct w:val="0"/>
        <w:bidi w:val="0"/>
        <w:adjustRightInd w:val="0"/>
        <w:snapToGrid w:val="0"/>
        <w:spacing w:before="0" w:beforeAutospacing="0" w:after="0" w:afterAutospacing="0" w:line="336" w:lineRule="auto"/>
        <w:ind w:left="42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投标人须在投标文件中出具符合以下情况的证明材料复印件（五选一）：</w:t>
      </w:r>
    </w:p>
    <w:p>
      <w:pPr>
        <w:pStyle w:val="40"/>
        <w:pageBreakBefore w:val="0"/>
        <w:numPr>
          <w:ilvl w:val="0"/>
          <w:numId w:val="16"/>
        </w:numPr>
        <w:tabs>
          <w:tab w:val="left" w:pos="312"/>
        </w:tabs>
        <w:kinsoku/>
        <w:overflowPunct/>
        <w:topLinePunct w:val="0"/>
        <w:bidi w:val="0"/>
        <w:adjustRightInd w:val="0"/>
        <w:snapToGrid w:val="0"/>
        <w:spacing w:before="0" w:beforeAutospacing="0" w:after="0" w:afterAutospacing="0" w:line="336"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如投标人是企业（包括合伙企业），提供在工商部门注册的有效“企业法人营业执照”或“营业执照”；</w:t>
      </w:r>
    </w:p>
    <w:p>
      <w:pPr>
        <w:pStyle w:val="40"/>
        <w:pageBreakBefore w:val="0"/>
        <w:numPr>
          <w:ilvl w:val="0"/>
          <w:numId w:val="16"/>
        </w:numPr>
        <w:tabs>
          <w:tab w:val="left" w:pos="312"/>
        </w:tabs>
        <w:kinsoku/>
        <w:overflowPunct/>
        <w:topLinePunct w:val="0"/>
        <w:bidi w:val="0"/>
        <w:adjustRightInd w:val="0"/>
        <w:snapToGrid w:val="0"/>
        <w:spacing w:before="0" w:beforeAutospacing="0" w:after="0" w:afterAutospacing="0" w:line="336"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如投标人是事业单位，提供有效的“事业单位法人证书”；</w:t>
      </w:r>
    </w:p>
    <w:p>
      <w:pPr>
        <w:pStyle w:val="40"/>
        <w:pageBreakBefore w:val="0"/>
        <w:numPr>
          <w:ilvl w:val="0"/>
          <w:numId w:val="16"/>
        </w:numPr>
        <w:tabs>
          <w:tab w:val="left" w:pos="312"/>
        </w:tabs>
        <w:kinsoku/>
        <w:overflowPunct/>
        <w:topLinePunct w:val="0"/>
        <w:bidi w:val="0"/>
        <w:adjustRightInd w:val="0"/>
        <w:snapToGrid w:val="0"/>
        <w:spacing w:before="0" w:beforeAutospacing="0" w:after="0" w:afterAutospacing="0" w:line="336"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如投标人是非企业专业服务机构的，提供执业许可证等证明文件；</w:t>
      </w:r>
    </w:p>
    <w:p>
      <w:pPr>
        <w:pStyle w:val="40"/>
        <w:pageBreakBefore w:val="0"/>
        <w:numPr>
          <w:ilvl w:val="0"/>
          <w:numId w:val="16"/>
        </w:numPr>
        <w:tabs>
          <w:tab w:val="left" w:pos="312"/>
        </w:tabs>
        <w:kinsoku/>
        <w:overflowPunct/>
        <w:topLinePunct w:val="0"/>
        <w:bidi w:val="0"/>
        <w:adjustRightInd w:val="0"/>
        <w:snapToGrid w:val="0"/>
        <w:spacing w:before="0" w:beforeAutospacing="0" w:after="0" w:afterAutospacing="0" w:line="336"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如投标人是个体工商户，提供有效的“个体工商户营业执照”；</w:t>
      </w:r>
    </w:p>
    <w:p>
      <w:pPr>
        <w:pStyle w:val="40"/>
        <w:pageBreakBefore w:val="0"/>
        <w:numPr>
          <w:ilvl w:val="0"/>
          <w:numId w:val="16"/>
        </w:numPr>
        <w:tabs>
          <w:tab w:val="left" w:pos="312"/>
        </w:tabs>
        <w:kinsoku/>
        <w:overflowPunct/>
        <w:topLinePunct w:val="0"/>
        <w:bidi w:val="0"/>
        <w:adjustRightInd w:val="0"/>
        <w:snapToGrid w:val="0"/>
        <w:spacing w:before="0" w:beforeAutospacing="0" w:after="0" w:afterAutospacing="0" w:line="336"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如投标人是自然人，提供有效的自然人身份证明（居民身份证正反面或公安机关出具的临时居民身份证正反面或港澳台胞证或护照）。</w:t>
      </w:r>
    </w:p>
    <w:p>
      <w:pPr>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pPr>
        <w:rPr>
          <w:rFonts w:hint="eastAsia" w:ascii="宋体" w:hAnsi="宋体" w:eastAsia="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lang w:eastAsia="zh-CN"/>
        </w:rPr>
        <w:br w:type="page"/>
      </w:r>
    </w:p>
    <w:p>
      <w:pPr>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二、</w:t>
      </w:r>
      <w:r>
        <w:rPr>
          <w:rFonts w:hint="eastAsia" w:ascii="宋体" w:hAnsi="宋体" w:eastAsia="宋体" w:cs="宋体"/>
          <w:b/>
          <w:color w:val="auto"/>
          <w:kern w:val="0"/>
          <w:sz w:val="32"/>
          <w:szCs w:val="32"/>
          <w:highlight w:val="none"/>
        </w:rPr>
        <w:t>符合参加政府采购活动应当具备的一般条件的承诺函</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u w:val="single"/>
          <w:lang w:eastAsia="zh-CN"/>
        </w:rPr>
        <w:t>浙江理工大学</w:t>
      </w:r>
      <w:r>
        <w:rPr>
          <w:rFonts w:hint="eastAsia" w:ascii="宋体" w:hAnsi="宋体" w:eastAsia="宋体" w:cs="宋体"/>
          <w:color w:val="auto"/>
          <w:highlight w:val="none"/>
          <w:u w:val="single"/>
        </w:rPr>
        <w:t>、浙江国际招投标有限公司</w:t>
      </w:r>
      <w:r>
        <w:rPr>
          <w:rFonts w:hint="eastAsia" w:ascii="宋体" w:hAnsi="宋体" w:eastAsia="宋体" w:cs="宋体"/>
          <w:color w:val="auto"/>
          <w:highlight w:val="none"/>
        </w:rPr>
        <w:t>：</w:t>
      </w:r>
    </w:p>
    <w:p>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我方参与</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【招标编号：</w:t>
      </w:r>
      <w:r>
        <w:rPr>
          <w:rFonts w:hint="eastAsia" w:ascii="宋体" w:hAnsi="宋体" w:eastAsia="宋体" w:cs="宋体"/>
          <w:color w:val="auto"/>
          <w:highlight w:val="none"/>
          <w:u w:val="single"/>
        </w:rPr>
        <w:t>（采购编号）</w:t>
      </w:r>
      <w:r>
        <w:rPr>
          <w:rFonts w:hint="eastAsia" w:ascii="宋体" w:hAnsi="宋体" w:eastAsia="宋体" w:cs="宋体"/>
          <w:color w:val="auto"/>
          <w:highlight w:val="none"/>
        </w:rPr>
        <w:t>】政府采购活动，郑重承诺：</w:t>
      </w:r>
    </w:p>
    <w:p>
      <w:pPr>
        <w:spacing w:line="360" w:lineRule="auto"/>
        <w:ind w:firstLine="315" w:firstLineChars="15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（一）具备《中华人民共和国政府采购法》第二十二条第一款规定的条件：</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1、具有独立承担民事责任的能力；</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2、具有良好的商业信誉和健全的财务会计制度； </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3、具有履行合同所必需的设备和专业技术能力；</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4、有依法缴纳税收和社会保障资金的良好记录；</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5、参加政府采购活动前三年内，在经营活动中没有重大违法记录；</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6、具有法律、行政法规规定的其他条件。</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（二）未被信用中国（www.creditchina.gov.cn)、中国政府采购网（www.ccgp.gov.cn）列入失信被执行人、重大税收违法案件当事人名单、政府采购严重违法失信行为记录名单。</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（三）不存在以下情况：</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1、单位负责人为同一人或者存在直接控股、管理关系的不同供应商参加同一合同项下的政府采购活动的；</w:t>
      </w:r>
    </w:p>
    <w:p>
      <w:pPr>
        <w:spacing w:line="360" w:lineRule="auto"/>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2、为采购项目提供整体设计、规范编制或者项目管理、监理、检测等服务后再参加该采购项目的其他采购活动的。</w:t>
      </w:r>
    </w:p>
    <w:p>
      <w:pPr>
        <w:pStyle w:val="20"/>
        <w:spacing w:line="360" w:lineRule="auto"/>
        <w:rPr>
          <w:rFonts w:hint="eastAsia" w:ascii="宋体" w:hAnsi="宋体" w:eastAsia="宋体" w:cs="宋体"/>
          <w:snapToGrid w:val="0"/>
          <w:color w:val="auto"/>
          <w:kern w:val="0"/>
          <w:highlight w:val="none"/>
        </w:rPr>
      </w:pPr>
    </w:p>
    <w:p>
      <w:pPr>
        <w:rPr>
          <w:rFonts w:hint="eastAsia" w:ascii="宋体" w:hAnsi="宋体" w:eastAsia="宋体" w:cs="宋体"/>
          <w:color w:val="auto"/>
          <w:highlight w:val="none"/>
        </w:rPr>
      </w:pPr>
    </w:p>
    <w:p>
      <w:pPr>
        <w:spacing w:line="360" w:lineRule="auto"/>
        <w:ind w:firstLine="4830" w:firstLineChars="230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投标人名称(电子签名)：</w:t>
      </w:r>
    </w:p>
    <w:p>
      <w:pPr>
        <w:spacing w:line="360" w:lineRule="auto"/>
        <w:jc w:val="right"/>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日期</w:t>
      </w:r>
      <w:r>
        <w:rPr>
          <w:rFonts w:hint="eastAsia" w:ascii="宋体" w:hAnsi="宋体" w:eastAsia="宋体" w:cs="宋体"/>
          <w:color w:val="auto"/>
          <w:kern w:val="0"/>
          <w:highlight w:val="none"/>
        </w:rPr>
        <w:t>：  年</w:t>
      </w:r>
      <w:r>
        <w:rPr>
          <w:rFonts w:hint="eastAsia" w:ascii="宋体" w:hAnsi="宋体" w:eastAsia="宋体" w:cs="宋体"/>
          <w:color w:val="auto"/>
          <w:kern w:val="0"/>
          <w:highlight w:val="none"/>
          <w:lang w:val="zh-CN"/>
        </w:rPr>
        <w:t>月日</w:t>
      </w: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pPr>
        <w:widowControl/>
        <w:spacing w:line="360" w:lineRule="auto"/>
        <w:ind w:firstLine="422" w:firstLineChars="200"/>
        <w:jc w:val="left"/>
        <w:rPr>
          <w:rFonts w:hint="eastAsia" w:ascii="宋体" w:hAnsi="宋体" w:eastAsia="宋体" w:cs="宋体"/>
          <w:b/>
          <w:color w:val="auto"/>
          <w:highlight w:val="none"/>
        </w:rPr>
      </w:pPr>
      <w:r>
        <w:rPr>
          <w:rFonts w:hint="eastAsia" w:ascii="宋体" w:hAnsi="宋体" w:eastAsia="宋体" w:cs="宋体"/>
          <w:b/>
          <w:color w:val="auto"/>
          <w:highlight w:val="none"/>
        </w:rPr>
        <w:t>[以联合体形式投标的，提供联合协议（附件5）；本项目不接受联合体投标或者投标人不以联合体形式投标的，则不需要提供]</w:t>
      </w:r>
    </w:p>
    <w:p>
      <w:pPr>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pPr>
        <w:spacing w:before="50" w:after="50" w:line="360" w:lineRule="auto"/>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（根据招标公告落实政府采购政策需满足的资格要求选择提供相应的材料；未要求的，无需提供）</w:t>
      </w:r>
    </w:p>
    <w:p>
      <w:pPr>
        <w:spacing w:before="50" w:after="50" w:line="360" w:lineRule="auto"/>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A.专门面向中小企业，货物全部由符合政策要求的中小企业（或小微企业）制造的，提供相应的中小企业声明函。 </w:t>
      </w:r>
    </w:p>
    <w:p>
      <w:pPr>
        <w:spacing w:before="50" w:after="50" w:line="360" w:lineRule="auto"/>
        <w:ind w:firstLine="411" w:firstLineChars="196"/>
        <w:jc w:val="left"/>
        <w:rPr>
          <w:rFonts w:hint="eastAsia" w:ascii="宋体" w:hAnsi="宋体" w:eastAsia="宋体" w:cs="宋体"/>
          <w:color w:val="auto"/>
          <w:highlight w:val="none"/>
        </w:rPr>
      </w:pPr>
    </w:p>
    <w:p>
      <w:pPr>
        <w:spacing w:before="50" w:after="50" w:line="360" w:lineRule="auto"/>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B.要求以联合体形式参加的，提供联合协议（附件5）和中小企业声明函，联合协议中中小企业合同金额应当达到招标公告载明的比例；如果供应商本身提供所有标的均由中小企业制造的，并相应达到了前述比例要求，视同符合了资格条件，无需再与其他中小企业组成联合体参加政府采购活动，无需提供联合协议。</w:t>
      </w:r>
    </w:p>
    <w:p>
      <w:pPr>
        <w:spacing w:before="50" w:after="50" w:line="360" w:lineRule="auto"/>
        <w:ind w:firstLine="411" w:firstLineChars="196"/>
        <w:jc w:val="left"/>
        <w:rPr>
          <w:rFonts w:hint="eastAsia" w:ascii="宋体" w:hAnsi="宋体" w:eastAsia="宋体" w:cs="宋体"/>
          <w:color w:val="auto"/>
          <w:highlight w:val="none"/>
        </w:rPr>
      </w:pPr>
    </w:p>
    <w:p>
      <w:pPr>
        <w:spacing w:before="50" w:after="50" w:line="360" w:lineRule="auto"/>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C、要求合同分包的，提供分包意向协议（附件6）和中小企业声明函，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p>
      <w:pPr>
        <w:widowControl/>
        <w:spacing w:line="360" w:lineRule="auto"/>
        <w:ind w:firstLine="480"/>
        <w:jc w:val="left"/>
        <w:rPr>
          <w:rFonts w:hint="eastAsia" w:ascii="宋体" w:hAnsi="宋体" w:eastAsia="宋体" w:cs="宋体"/>
          <w:color w:val="auto"/>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（根据招标公告本项目的特定资格要求提供相应的材料；未要求的，无需提供）</w:t>
      </w:r>
    </w:p>
    <w:p>
      <w:pPr>
        <w:rPr>
          <w:rFonts w:hint="eastAsia" w:ascii="宋体" w:hAnsi="宋体" w:eastAsia="宋体" w:cs="宋体"/>
          <w:color w:val="auto"/>
          <w:highlight w:val="none"/>
        </w:rPr>
      </w:pPr>
    </w:p>
    <w:p>
      <w:pP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1"/>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pPr>
        <w:rPr>
          <w:rFonts w:hint="eastAsia" w:ascii="宋体" w:hAnsi="宋体" w:eastAsia="宋体" w:cs="宋体"/>
          <w:color w:val="auto"/>
          <w:highlight w:val="none"/>
        </w:rPr>
      </w:pPr>
    </w:p>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目录</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rPr>
        <w:t>投标函…………………………………………………………………………（页码）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rPr>
        <w:t>授权委托书或法定代表人（单位负责人、自然人本人）身份证明………（页码）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rPr>
        <w:t>分包意向协议…………………………………………………………………（页码）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rPr>
        <w:t>符合性审查资料………………………………………………………………（页码）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rPr>
        <w:t>评标标准相应的商务技术资料………………………………………………（页码）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rPr>
        <w:t>投标标的清单…………………………………………………………………（页码）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lang w:val="zh-CN"/>
        </w:rPr>
        <w:t>技术响应表</w:t>
      </w:r>
      <w:r>
        <w:rPr>
          <w:rFonts w:hint="eastAsia" w:ascii="宋体" w:hAnsi="宋体" w:eastAsia="宋体" w:cs="宋体"/>
          <w:color w:val="auto"/>
          <w:highlight w:val="none"/>
        </w:rPr>
        <w:t>……………………………………………………………………（页码）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rPr>
        <w:t>商务技术偏离表………………………………………………………………（页码）</w:t>
      </w:r>
    </w:p>
    <w:p>
      <w:pPr>
        <w:numPr>
          <w:ilvl w:val="0"/>
          <w:numId w:val="17"/>
        </w:numPr>
        <w:spacing w:line="360" w:lineRule="auto"/>
        <w:ind w:left="0" w:hanging="5"/>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……………………………………………（页码）</w:t>
      </w:r>
    </w:p>
    <w:p>
      <w:pPr>
        <w:rPr>
          <w:rFonts w:hint="eastAsia" w:ascii="宋体" w:hAnsi="宋体" w:eastAsia="宋体" w:cs="宋体"/>
          <w:color w:val="auto"/>
          <w:highlight w:val="none"/>
          <w:lang w:val="zh-CN"/>
        </w:rPr>
      </w:pPr>
    </w:p>
    <w:p>
      <w:pPr>
        <w:rPr>
          <w:rFonts w:hint="eastAsia" w:ascii="宋体" w:hAnsi="宋体" w:eastAsia="宋体" w:cs="宋体"/>
          <w:color w:val="auto"/>
          <w:highlight w:val="none"/>
          <w:lang w:val="zh-CN"/>
        </w:rPr>
      </w:pPr>
    </w:p>
    <w:p>
      <w:pPr>
        <w:rPr>
          <w:rFonts w:hint="eastAsia" w:ascii="宋体" w:hAnsi="宋体" w:eastAsia="宋体" w:cs="宋体"/>
          <w:color w:val="auto"/>
          <w:highlight w:val="none"/>
          <w:lang w:val="zh-CN"/>
        </w:rPr>
      </w:pPr>
    </w:p>
    <w:p>
      <w:pPr>
        <w:rPr>
          <w:rFonts w:hint="eastAsia" w:ascii="宋体" w:hAnsi="宋体" w:eastAsia="宋体" w:cs="宋体"/>
          <w:color w:val="auto"/>
          <w:highlight w:val="none"/>
          <w:lang w:val="zh-CN"/>
        </w:rPr>
      </w:pPr>
    </w:p>
    <w:p>
      <w:pPr>
        <w:rPr>
          <w:rFonts w:hint="eastAsia" w:ascii="宋体" w:hAnsi="宋体" w:eastAsia="宋体" w:cs="宋体"/>
          <w:color w:val="auto"/>
          <w:highlight w:val="none"/>
          <w:lang w:val="zh-CN"/>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pPr>
        <w:spacing w:line="360" w:lineRule="exact"/>
        <w:rPr>
          <w:rFonts w:hint="eastAsia" w:ascii="宋体" w:hAnsi="宋体" w:eastAsia="宋体" w:cs="宋体"/>
          <w:color w:val="auto"/>
          <w:highlight w:val="none"/>
        </w:rPr>
      </w:pPr>
      <w:r>
        <w:rPr>
          <w:rFonts w:hint="eastAsia" w:ascii="宋体" w:hAnsi="宋体" w:eastAsia="宋体" w:cs="宋体"/>
          <w:color w:val="auto"/>
          <w:highlight w:val="none"/>
          <w:u w:val="single"/>
          <w:lang w:eastAsia="zh-CN"/>
        </w:rPr>
        <w:t>浙江理工大学</w:t>
      </w:r>
      <w:r>
        <w:rPr>
          <w:rFonts w:hint="eastAsia" w:ascii="宋体" w:hAnsi="宋体" w:eastAsia="宋体" w:cs="宋体"/>
          <w:color w:val="auto"/>
          <w:highlight w:val="none"/>
          <w:u w:val="single"/>
        </w:rPr>
        <w:t>、浙江国际招投标有限公司</w:t>
      </w:r>
      <w:r>
        <w:rPr>
          <w:rFonts w:hint="eastAsia" w:ascii="宋体" w:hAnsi="宋体" w:eastAsia="宋体" w:cs="宋体"/>
          <w:color w:val="auto"/>
          <w:highlight w:val="none"/>
        </w:rPr>
        <w:t>：</w:t>
      </w:r>
    </w:p>
    <w:p>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我方参加你方组织的（项目名称）【招标编号：】招标的有关活动，并对此项目进行投标。为此：</w:t>
      </w:r>
    </w:p>
    <w:p>
      <w:pPr>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1、我方承诺投标有效期从提交投标文件的截止之日起</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rPr>
        <w:t>天（不少于90天），本投标文件在投标有效期满之前均具有约束力。</w:t>
      </w:r>
    </w:p>
    <w:p>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2、我方的投标文件包括以下内容：</w:t>
      </w:r>
    </w:p>
    <w:p>
      <w:pPr>
        <w:spacing w:line="360" w:lineRule="exact"/>
        <w:ind w:left="210" w:leftChars="1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2.1资格文件：</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2.1.1承诺函；</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2.1.2联合协议（如果有)；</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2.1.3落实政府采购政策需满足的资格要求：</w:t>
      </w:r>
      <w:r>
        <w:rPr>
          <w:rFonts w:hint="eastAsia" w:ascii="宋体" w:hAnsi="宋体" w:cs="宋体"/>
          <w:color w:val="auto"/>
          <w:highlight w:val="none"/>
          <w:lang w:eastAsia="zh-CN"/>
        </w:rPr>
        <w:t>无</w:t>
      </w:r>
      <w:r>
        <w:rPr>
          <w:rFonts w:hint="eastAsia" w:ascii="宋体" w:hAnsi="宋体" w:eastAsia="宋体" w:cs="宋体"/>
          <w:bCs/>
          <w:color w:val="auto"/>
          <w:highlight w:val="none"/>
        </w:rPr>
        <w:t>；</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2.1.4本项目的特定资格要求</w:t>
      </w:r>
      <w:r>
        <w:rPr>
          <w:rFonts w:hint="eastAsia" w:ascii="宋体" w:hAnsi="宋体" w:eastAsia="宋体" w:cs="宋体"/>
          <w:bCs/>
          <w:color w:val="auto"/>
          <w:highlight w:val="none"/>
        </w:rPr>
        <w:t>（如果有）。</w:t>
      </w:r>
    </w:p>
    <w:p>
      <w:pPr>
        <w:spacing w:line="360" w:lineRule="exact"/>
        <w:ind w:left="210" w:leftChars="100"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rPr>
        <w:t>2</w:t>
      </w:r>
      <w:r>
        <w:rPr>
          <w:rFonts w:hint="eastAsia" w:ascii="宋体" w:hAnsi="宋体" w:eastAsia="宋体" w:cs="宋体"/>
          <w:color w:val="auto"/>
          <w:highlight w:val="none"/>
          <w:lang w:val="zh-CN"/>
        </w:rPr>
        <w:t>.</w:t>
      </w:r>
      <w:r>
        <w:rPr>
          <w:rFonts w:hint="eastAsia" w:ascii="宋体" w:hAnsi="宋体" w:eastAsia="宋体" w:cs="宋体"/>
          <w:color w:val="auto"/>
          <w:highlight w:val="none"/>
        </w:rPr>
        <w:t>2商务技术</w:t>
      </w:r>
      <w:r>
        <w:rPr>
          <w:rFonts w:hint="eastAsia" w:ascii="宋体" w:hAnsi="宋体" w:eastAsia="宋体" w:cs="宋体"/>
          <w:color w:val="auto"/>
          <w:highlight w:val="none"/>
          <w:lang w:val="zh-CN"/>
        </w:rPr>
        <w:t>文件：</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2.2.1投标函；</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2.2.2授权委托书或法定代表人（单位负责人）身份证明；</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2.2.3分包意向协议（如果有）；</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2.2.4符合性审查资料；</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2.2.5评标标准相应的商务技术资料；</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2.2.6投标标的清单；</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2.2.7</w:t>
      </w:r>
      <w:r>
        <w:rPr>
          <w:rFonts w:hint="eastAsia" w:ascii="宋体" w:hAnsi="宋体" w:eastAsia="宋体" w:cs="宋体"/>
          <w:color w:val="auto"/>
          <w:highlight w:val="none"/>
          <w:lang w:val="zh-CN"/>
        </w:rPr>
        <w:t>技术响应表；</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2.2.8</w:t>
      </w:r>
      <w:r>
        <w:rPr>
          <w:rFonts w:hint="eastAsia" w:ascii="宋体" w:hAnsi="宋体" w:eastAsia="宋体" w:cs="宋体"/>
          <w:color w:val="auto"/>
          <w:highlight w:val="none"/>
        </w:rPr>
        <w:t>商务技术偏离表；</w:t>
      </w:r>
    </w:p>
    <w:p>
      <w:pPr>
        <w:spacing w:line="360" w:lineRule="exact"/>
        <w:ind w:left="420" w:leftChars="200"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rPr>
        <w:t>2</w:t>
      </w:r>
      <w:r>
        <w:rPr>
          <w:rFonts w:hint="eastAsia" w:ascii="宋体" w:hAnsi="宋体" w:eastAsia="宋体" w:cs="宋体"/>
          <w:color w:val="auto"/>
          <w:highlight w:val="none"/>
          <w:lang w:val="zh-CN"/>
        </w:rPr>
        <w:t>.</w:t>
      </w:r>
      <w:r>
        <w:rPr>
          <w:rFonts w:hint="eastAsia" w:ascii="宋体" w:hAnsi="宋体" w:eastAsia="宋体" w:cs="宋体"/>
          <w:color w:val="auto"/>
          <w:highlight w:val="none"/>
        </w:rPr>
        <w:t>2</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lang w:val="zh-CN"/>
        </w:rPr>
        <w:t>政府采购供应商廉洁自律承诺书；</w:t>
      </w:r>
    </w:p>
    <w:p>
      <w:pPr>
        <w:spacing w:line="360" w:lineRule="exact"/>
        <w:ind w:left="210" w:leftChars="1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zh-CN"/>
        </w:rPr>
        <w:t>.</w:t>
      </w:r>
      <w:r>
        <w:rPr>
          <w:rFonts w:hint="eastAsia" w:ascii="宋体" w:hAnsi="宋体" w:eastAsia="宋体" w:cs="宋体"/>
          <w:color w:val="auto"/>
          <w:highlight w:val="none"/>
        </w:rPr>
        <w:t>3报价文件</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2.3.1开标一览表（报价表）；</w:t>
      </w:r>
    </w:p>
    <w:p>
      <w:pPr>
        <w:pStyle w:val="18"/>
        <w:ind w:firstLine="840" w:firstLineChars="400"/>
        <w:rPr>
          <w:rFonts w:hint="eastAsia" w:ascii="宋体" w:hAnsi="宋体" w:eastAsia="宋体" w:cs="宋体"/>
          <w:bCs/>
          <w:color w:val="auto"/>
          <w:highlight w:val="none"/>
        </w:rPr>
      </w:pPr>
      <w:r>
        <w:rPr>
          <w:rFonts w:hint="eastAsia" w:ascii="宋体" w:hAnsi="宋体" w:eastAsia="宋体" w:cs="宋体"/>
          <w:color w:val="auto"/>
          <w:highlight w:val="none"/>
        </w:rPr>
        <w:t>2.3.2</w:t>
      </w:r>
      <w:r>
        <w:rPr>
          <w:rFonts w:hint="eastAsia" w:ascii="宋体" w:hAnsi="宋体" w:eastAsia="宋体" w:cs="宋体"/>
          <w:bCs/>
          <w:color w:val="auto"/>
          <w:highlight w:val="none"/>
        </w:rPr>
        <w:t>报价情况说明（如供应商报价低于项目预算50%的，应当提交本文档，详细阐述不影响产品质量或者诚信履约的具体原因）</w:t>
      </w:r>
    </w:p>
    <w:p>
      <w:pPr>
        <w:pStyle w:val="18"/>
        <w:ind w:firstLine="840" w:firstLineChars="400"/>
        <w:rPr>
          <w:rFonts w:hint="default" w:eastAsia="宋体"/>
          <w:lang w:val="en-US" w:eastAsia="zh-CN"/>
        </w:rPr>
      </w:pPr>
      <w:r>
        <w:rPr>
          <w:rFonts w:hint="eastAsia" w:ascii="宋体" w:hAnsi="宋体" w:cs="宋体"/>
          <w:bCs/>
          <w:color w:val="auto"/>
          <w:highlight w:val="none"/>
          <w:lang w:val="en-US" w:eastAsia="zh-CN"/>
        </w:rPr>
        <w:t>2.3.3</w:t>
      </w:r>
      <w:r>
        <w:rPr>
          <w:rFonts w:hint="eastAsia"/>
          <w:lang w:val="en-US" w:eastAsia="zh-CN"/>
        </w:rPr>
        <w:t>中小企业声明函</w:t>
      </w:r>
    </w:p>
    <w:p>
      <w:pPr>
        <w:spacing w:line="360" w:lineRule="exact"/>
        <w:ind w:left="420" w:lef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w:t>
      </w:r>
      <w:r>
        <w:rPr>
          <w:rFonts w:hint="eastAsia" w:ascii="宋体" w:hAnsi="宋体" w:cs="宋体"/>
          <w:color w:val="auto"/>
          <w:highlight w:val="none"/>
          <w:lang w:val="en-US" w:eastAsia="zh-CN"/>
        </w:rPr>
        <w:t>4</w:t>
      </w:r>
      <w:r>
        <w:rPr>
          <w:rFonts w:hint="eastAsia" w:ascii="宋体" w:hAnsi="宋体" w:eastAsia="宋体" w:cs="宋体"/>
          <w:color w:val="auto"/>
          <w:highlight w:val="none"/>
        </w:rPr>
        <w:t>中标服务费支付承诺书。</w:t>
      </w:r>
    </w:p>
    <w:p>
      <w:pPr>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3、我方承诺除商务技术偏离表列出的偏离外，我方响应招标文件的全部要求。</w:t>
      </w:r>
    </w:p>
    <w:p>
      <w:pPr>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4、如我方中标，我方承诺：</w:t>
      </w:r>
    </w:p>
    <w:p>
      <w:pPr>
        <w:spacing w:line="360" w:lineRule="exact"/>
        <w:ind w:left="210" w:leftChars="1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4.1在收到中标通知书后，在中标通知书规定的期限内与你方签订合同； </w:t>
      </w:r>
    </w:p>
    <w:p>
      <w:pPr>
        <w:spacing w:line="360" w:lineRule="exact"/>
        <w:ind w:left="210" w:leftChars="1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4.2在签订合同时不向你方提出附加条件； </w:t>
      </w:r>
    </w:p>
    <w:p>
      <w:pPr>
        <w:spacing w:line="360" w:lineRule="exact"/>
        <w:ind w:left="210" w:leftChars="1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4.3按照招标文件要求提交履约保证金； </w:t>
      </w:r>
    </w:p>
    <w:p>
      <w:pPr>
        <w:spacing w:line="360" w:lineRule="exact"/>
        <w:ind w:left="210" w:leftChars="1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4.4在合同约定的期限内完成合同规定的全部义务。 </w:t>
      </w:r>
    </w:p>
    <w:p>
      <w:pPr>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5、其他补充说明:。</w:t>
      </w:r>
    </w:p>
    <w:p>
      <w:pPr>
        <w:spacing w:line="360" w:lineRule="exact"/>
        <w:ind w:firstLine="3150" w:firstLineChars="1500"/>
        <w:rPr>
          <w:rFonts w:hint="eastAsia" w:ascii="宋体" w:hAnsi="宋体" w:eastAsia="宋体" w:cs="宋体"/>
          <w:color w:val="auto"/>
          <w:highlight w:val="none"/>
        </w:rPr>
      </w:pPr>
    </w:p>
    <w:p>
      <w:pPr>
        <w:spacing w:line="360" w:lineRule="exact"/>
        <w:ind w:firstLine="3150" w:firstLineChars="1500"/>
        <w:rPr>
          <w:rFonts w:hint="eastAsia" w:ascii="宋体" w:hAnsi="宋体" w:eastAsia="宋体" w:cs="宋体"/>
          <w:color w:val="auto"/>
          <w:highlight w:val="none"/>
        </w:rPr>
      </w:pPr>
      <w:r>
        <w:rPr>
          <w:rFonts w:hint="eastAsia" w:ascii="宋体" w:hAnsi="宋体" w:eastAsia="宋体" w:cs="宋体"/>
          <w:color w:val="auto"/>
          <w:highlight w:val="none"/>
        </w:rPr>
        <w:t>投标人名称（电子签名）：</w:t>
      </w:r>
    </w:p>
    <w:p>
      <w:pPr>
        <w:spacing w:line="360" w:lineRule="exact"/>
        <w:jc w:val="center"/>
        <w:rPr>
          <w:rFonts w:hint="eastAsia" w:ascii="宋体" w:hAnsi="宋体" w:eastAsia="宋体" w:cs="宋体"/>
          <w:color w:val="auto"/>
          <w:kern w:val="0"/>
          <w:highlight w:val="none"/>
          <w:u w:val="single"/>
        </w:rPr>
      </w:pPr>
      <w:r>
        <w:rPr>
          <w:rFonts w:hint="eastAsia" w:ascii="宋体" w:hAnsi="宋体" w:eastAsia="宋体" w:cs="宋体"/>
          <w:color w:val="auto"/>
          <w:highlight w:val="none"/>
        </w:rPr>
        <w:t xml:space="preserve">     日期：</w:t>
      </w:r>
      <w:r>
        <w:rPr>
          <w:rFonts w:hint="eastAsia" w:ascii="宋体" w:hAnsi="宋体" w:eastAsia="宋体" w:cs="宋体"/>
          <w:color w:val="auto"/>
          <w:kern w:val="0"/>
          <w:highlight w:val="none"/>
          <w:lang w:val="zh-CN"/>
        </w:rPr>
        <w:t>年月日</w:t>
      </w:r>
    </w:p>
    <w:p>
      <w:pPr>
        <w:spacing w:line="360" w:lineRule="auto"/>
        <w:ind w:right="420"/>
        <w:rPr>
          <w:rFonts w:hint="eastAsia" w:ascii="宋体" w:hAnsi="宋体" w:eastAsia="宋体" w:cs="宋体"/>
          <w:color w:val="auto"/>
          <w:highlight w:val="none"/>
        </w:rPr>
      </w:pPr>
      <w:r>
        <w:rPr>
          <w:rFonts w:hint="eastAsia" w:ascii="宋体" w:hAnsi="宋体" w:eastAsia="宋体" w:cs="宋体"/>
          <w:color w:val="auto"/>
          <w:highlight w:val="none"/>
        </w:rPr>
        <w:t>注：按本格式和要求提供。</w:t>
      </w: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pPr>
        <w:spacing w:line="360" w:lineRule="auto"/>
        <w:rPr>
          <w:rFonts w:hint="eastAsia" w:ascii="宋体" w:hAnsi="宋体" w:eastAsia="宋体" w:cs="宋体"/>
          <w:color w:val="auto"/>
          <w:highlight w:val="none"/>
        </w:rPr>
      </w:pPr>
    </w:p>
    <w:p>
      <w:pPr>
        <w:spacing w:line="360" w:lineRule="auto"/>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p>
    <w:p>
      <w:pPr>
        <w:spacing w:line="360" w:lineRule="auto"/>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u w:val="single"/>
          <w:lang w:eastAsia="zh-CN"/>
        </w:rPr>
        <w:t>浙江理工大学</w:t>
      </w:r>
      <w:r>
        <w:rPr>
          <w:rFonts w:hint="eastAsia" w:ascii="宋体" w:hAnsi="宋体" w:eastAsia="宋体" w:cs="宋体"/>
          <w:color w:val="auto"/>
          <w:kern w:val="0"/>
          <w:highlight w:val="none"/>
          <w:u w:val="single"/>
        </w:rPr>
        <w:t>、浙江国际招投标有限公司：</w:t>
      </w:r>
    </w:p>
    <w:p>
      <w:pPr>
        <w:spacing w:line="360" w:lineRule="auto"/>
        <w:ind w:firstLine="576"/>
        <w:rPr>
          <w:rFonts w:hint="eastAsia" w:ascii="宋体" w:hAnsi="宋体" w:eastAsia="宋体" w:cs="宋体"/>
          <w:color w:val="auto"/>
          <w:kern w:val="0"/>
          <w:highlight w:val="none"/>
        </w:rPr>
      </w:pPr>
      <w:r>
        <w:rPr>
          <w:rFonts w:hint="eastAsia" w:ascii="宋体" w:hAnsi="宋体" w:eastAsia="宋体" w:cs="宋体"/>
          <w:color w:val="auto"/>
          <w:kern w:val="0"/>
          <w:highlight w:val="none"/>
        </w:rPr>
        <w:t>现</w:t>
      </w:r>
      <w:r>
        <w:rPr>
          <w:rFonts w:hint="eastAsia" w:ascii="宋体" w:hAnsi="宋体" w:eastAsia="宋体" w:cs="宋体"/>
          <w:color w:val="auto"/>
          <w:kern w:val="0"/>
          <w:highlight w:val="none"/>
          <w:lang w:val="zh-CN"/>
        </w:rPr>
        <w:t>委托（姓名）为我方代理人（身份证号码：</w:t>
      </w:r>
      <w:r>
        <w:rPr>
          <w:rFonts w:hint="eastAsia" w:ascii="宋体" w:hAnsi="宋体" w:eastAsia="宋体" w:cs="宋体"/>
          <w:color w:val="auto"/>
          <w:kern w:val="0"/>
          <w:highlight w:val="none"/>
          <w:u w:val="single"/>
          <w:lang w:val="en-US" w:eastAsia="zh-CN"/>
        </w:rPr>
        <w:t xml:space="preserve">       </w:t>
      </w:r>
      <w:r>
        <w:rPr>
          <w:rFonts w:hint="eastAsia" w:ascii="宋体" w:hAnsi="宋体" w:eastAsia="宋体" w:cs="宋体"/>
          <w:color w:val="auto"/>
          <w:kern w:val="0"/>
          <w:highlight w:val="none"/>
          <w:lang w:val="zh-CN"/>
        </w:rPr>
        <w:t>，手机：</w:t>
      </w:r>
      <w:r>
        <w:rPr>
          <w:rFonts w:hint="eastAsia" w:ascii="宋体" w:hAnsi="宋体" w:eastAsia="宋体" w:cs="宋体"/>
          <w:color w:val="auto"/>
          <w:kern w:val="0"/>
          <w:highlight w:val="none"/>
          <w:u w:val="single"/>
          <w:lang w:val="en-US" w:eastAsia="zh-CN"/>
        </w:rPr>
        <w:t xml:space="preserve">       </w:t>
      </w:r>
      <w:r>
        <w:rPr>
          <w:rFonts w:hint="eastAsia" w:ascii="宋体" w:hAnsi="宋体" w:eastAsia="宋体" w:cs="宋体"/>
          <w:color w:val="auto"/>
          <w:kern w:val="0"/>
          <w:highlight w:val="none"/>
          <w:lang w:val="zh-CN"/>
        </w:rPr>
        <w:t>），以我方名义处理</w:t>
      </w:r>
      <w:r>
        <w:rPr>
          <w:rFonts w:hint="eastAsia" w:ascii="宋体" w:hAnsi="宋体" w:eastAsia="宋体" w:cs="宋体"/>
          <w:color w:val="auto"/>
          <w:highlight w:val="none"/>
        </w:rPr>
        <w:t>（项目名称）【招标编号：（采购编号）】</w:t>
      </w:r>
      <w:r>
        <w:rPr>
          <w:rFonts w:hint="eastAsia" w:ascii="宋体" w:hAnsi="宋体" w:eastAsia="宋体" w:cs="宋体"/>
          <w:color w:val="auto"/>
          <w:kern w:val="0"/>
          <w:highlight w:val="none"/>
          <w:lang w:val="zh-CN"/>
        </w:rPr>
        <w:t>政府采购投标的一切事项，其法律后果由我方承担。</w:t>
      </w:r>
    </w:p>
    <w:p>
      <w:pPr>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委托期限</w:t>
      </w:r>
      <w:r>
        <w:rPr>
          <w:rFonts w:hint="eastAsia" w:ascii="宋体" w:hAnsi="宋体" w:eastAsia="宋体" w:cs="宋体"/>
          <w:color w:val="auto"/>
          <w:kern w:val="0"/>
          <w:highlight w:val="none"/>
        </w:rPr>
        <w:t>：</w:t>
      </w:r>
      <w:r>
        <w:rPr>
          <w:rFonts w:hint="eastAsia" w:ascii="宋体" w:hAnsi="宋体" w:eastAsia="宋体" w:cs="宋体"/>
          <w:color w:val="auto"/>
          <w:kern w:val="0"/>
          <w:highlight w:val="none"/>
          <w:lang w:val="zh-CN"/>
        </w:rPr>
        <w:t>自</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年</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月</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日起至</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年</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月</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日止。</w:t>
      </w:r>
    </w:p>
    <w:p>
      <w:pPr>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特此告知。</w:t>
      </w:r>
    </w:p>
    <w:p>
      <w:pPr>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 xml:space="preserve">                                                 投标人名称(电子签名)：</w:t>
      </w:r>
    </w:p>
    <w:p>
      <w:pPr>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签发日期：年月日</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授权委托书（适用于联合体投标）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u w:val="single"/>
          <w:lang w:eastAsia="zh-CN"/>
        </w:rPr>
        <w:t>浙江理工大学</w:t>
      </w:r>
      <w:r>
        <w:rPr>
          <w:rFonts w:hint="eastAsia" w:ascii="宋体" w:hAnsi="宋体" w:eastAsia="宋体" w:cs="宋体"/>
          <w:color w:val="auto"/>
          <w:highlight w:val="none"/>
          <w:u w:val="single"/>
        </w:rPr>
        <w:t>、浙江国际招投标有限公司</w:t>
      </w:r>
      <w:r>
        <w:rPr>
          <w:rFonts w:hint="eastAsia" w:ascii="宋体" w:hAnsi="宋体" w:eastAsia="宋体" w:cs="宋体"/>
          <w:color w:val="auto"/>
          <w:highlight w:val="none"/>
        </w:rPr>
        <w:t>：</w:t>
      </w:r>
    </w:p>
    <w:p>
      <w:pPr>
        <w:spacing w:line="360" w:lineRule="auto"/>
        <w:ind w:firstLine="576"/>
        <w:rPr>
          <w:rFonts w:hint="eastAsia" w:ascii="宋体" w:hAnsi="宋体" w:eastAsia="宋体" w:cs="宋体"/>
          <w:color w:val="auto"/>
          <w:kern w:val="0"/>
          <w:highlight w:val="none"/>
        </w:rPr>
      </w:pPr>
      <w:r>
        <w:rPr>
          <w:rFonts w:hint="eastAsia" w:ascii="宋体" w:hAnsi="宋体" w:eastAsia="宋体" w:cs="宋体"/>
          <w:color w:val="auto"/>
          <w:kern w:val="0"/>
          <w:highlight w:val="none"/>
        </w:rPr>
        <w:t>现</w:t>
      </w:r>
      <w:r>
        <w:rPr>
          <w:rFonts w:hint="eastAsia" w:ascii="宋体" w:hAnsi="宋体" w:eastAsia="宋体" w:cs="宋体"/>
          <w:color w:val="auto"/>
          <w:kern w:val="0"/>
          <w:highlight w:val="none"/>
          <w:lang w:val="zh-CN"/>
        </w:rPr>
        <w:t>委托（姓名）为我方代理人（身份证号码：，手机：），以我方名义处理</w:t>
      </w:r>
      <w:r>
        <w:rPr>
          <w:rFonts w:hint="eastAsia" w:ascii="宋体" w:hAnsi="宋体" w:eastAsia="宋体" w:cs="宋体"/>
          <w:color w:val="auto"/>
          <w:highlight w:val="none"/>
        </w:rPr>
        <w:t>（项目名称）【招标编号：（采购编号）】</w:t>
      </w:r>
      <w:r>
        <w:rPr>
          <w:rFonts w:hint="eastAsia" w:ascii="宋体" w:hAnsi="宋体" w:eastAsia="宋体" w:cs="宋体"/>
          <w:color w:val="auto"/>
          <w:kern w:val="0"/>
          <w:highlight w:val="none"/>
          <w:lang w:val="zh-CN"/>
        </w:rPr>
        <w:t>政府采购投标的一切事项，其法律后果由我方承担。</w:t>
      </w:r>
    </w:p>
    <w:p>
      <w:pPr>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委托期限：</w:t>
      </w:r>
      <w:r>
        <w:rPr>
          <w:rFonts w:hint="eastAsia" w:ascii="宋体" w:hAnsi="宋体" w:eastAsia="宋体" w:cs="宋体"/>
          <w:color w:val="auto"/>
          <w:kern w:val="0"/>
          <w:highlight w:val="none"/>
          <w:lang w:val="zh-CN"/>
        </w:rPr>
        <w:t>自</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年</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月</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日起至</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年</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月</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日止。</w:t>
      </w:r>
    </w:p>
    <w:p>
      <w:pPr>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特此告知。</w:t>
      </w:r>
    </w:p>
    <w:p>
      <w:pPr>
        <w:rPr>
          <w:rFonts w:hint="eastAsia" w:ascii="宋体" w:hAnsi="宋体" w:eastAsia="宋体" w:cs="宋体"/>
          <w:color w:val="auto"/>
          <w:highlight w:val="none"/>
        </w:rPr>
      </w:pPr>
    </w:p>
    <w:p>
      <w:pPr>
        <w:spacing w:line="360" w:lineRule="auto"/>
        <w:ind w:firstLine="4410" w:firstLineChars="21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联合体成员名称(电子签名/公章)：</w:t>
      </w:r>
    </w:p>
    <w:p>
      <w:pPr>
        <w:spacing w:line="360" w:lineRule="auto"/>
        <w:ind w:firstLine="4410" w:firstLineChars="21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联合体成员名称(电子签名/公章)：</w:t>
      </w:r>
    </w:p>
    <w:p>
      <w:pPr>
        <w:spacing w:line="360" w:lineRule="auto"/>
        <w:ind w:firstLine="5040" w:firstLineChars="2400"/>
        <w:rPr>
          <w:rFonts w:hint="eastAsia" w:ascii="宋体" w:hAnsi="宋体" w:eastAsia="宋体" w:cs="宋体"/>
          <w:color w:val="auto"/>
          <w:highlight w:val="none"/>
        </w:rPr>
      </w:pPr>
      <w:r>
        <w:rPr>
          <w:rFonts w:hint="eastAsia" w:ascii="宋体" w:hAnsi="宋体" w:eastAsia="宋体" w:cs="宋体"/>
          <w:color w:val="auto"/>
          <w:kern w:val="0"/>
          <w:highlight w:val="none"/>
          <w:lang w:val="zh-CN"/>
        </w:rPr>
        <w:t>……</w:t>
      </w:r>
    </w:p>
    <w:p>
      <w:pPr>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日期：年月日</w:t>
      </w:r>
    </w:p>
    <w:p>
      <w:pP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授权代表近一个月内在投标单位缴纳社保的参保证明（适用于法定代表人授权代表参加投标活动）</w:t>
      </w:r>
    </w:p>
    <w:p>
      <w:pP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pPr>
        <w:autoSpaceDE w:val="0"/>
        <w:autoSpaceDN w:val="0"/>
        <w:spacing w:line="360" w:lineRule="auto"/>
        <w:rPr>
          <w:rFonts w:hint="eastAsia" w:ascii="宋体" w:hAnsi="宋体" w:eastAsia="宋体" w:cs="宋体"/>
          <w:b/>
          <w:color w:val="auto"/>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pPr>
        <w:pStyle w:val="142"/>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4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pPr>
              <w:pStyle w:val="142"/>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w:t>
            </w:r>
          </w:p>
          <w:p>
            <w:pPr>
              <w:pStyle w:val="142"/>
              <w:adjustRightInd w:val="0"/>
              <w:spacing w:line="360" w:lineRule="auto"/>
              <w:rPr>
                <w:rFonts w:hint="eastAsia" w:ascii="宋体" w:hAnsi="宋体" w:eastAsia="宋体" w:cs="宋体"/>
                <w:bCs/>
                <w:color w:val="auto"/>
                <w:sz w:val="24"/>
                <w:highlight w:val="none"/>
              </w:rPr>
            </w:pPr>
          </w:p>
          <w:p>
            <w:pPr>
              <w:pStyle w:val="142"/>
              <w:adjustRightInd w:val="0"/>
              <w:spacing w:line="360" w:lineRule="auto"/>
              <w:rPr>
                <w:rFonts w:hint="eastAsia" w:ascii="宋体" w:hAnsi="宋体" w:eastAsia="宋体" w:cs="宋体"/>
                <w:bCs/>
                <w:color w:val="auto"/>
                <w:sz w:val="24"/>
                <w:highlight w:val="none"/>
              </w:rPr>
            </w:pPr>
          </w:p>
          <w:p>
            <w:pPr>
              <w:pStyle w:val="142"/>
              <w:adjustRightInd w:val="0"/>
              <w:spacing w:line="360" w:lineRule="auto"/>
              <w:rPr>
                <w:rFonts w:hint="eastAsia" w:ascii="宋体" w:hAnsi="宋体" w:eastAsia="宋体" w:cs="宋体"/>
                <w:bCs/>
                <w:color w:val="auto"/>
                <w:sz w:val="24"/>
                <w:highlight w:val="none"/>
              </w:rPr>
            </w:pPr>
          </w:p>
          <w:p>
            <w:pPr>
              <w:pStyle w:val="142"/>
              <w:adjustRightInd w:val="0"/>
              <w:spacing w:line="360" w:lineRule="auto"/>
              <w:rPr>
                <w:rFonts w:hint="eastAsia" w:ascii="宋体" w:hAnsi="宋体" w:eastAsia="宋体" w:cs="宋体"/>
                <w:bCs/>
                <w:color w:val="auto"/>
                <w:sz w:val="24"/>
                <w:highlight w:val="none"/>
              </w:rPr>
            </w:pPr>
          </w:p>
          <w:p>
            <w:pPr>
              <w:pStyle w:val="142"/>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反面：</w:t>
            </w:r>
          </w:p>
          <w:p>
            <w:pPr>
              <w:pStyle w:val="142"/>
              <w:adjustRightInd w:val="0"/>
              <w:spacing w:line="360" w:lineRule="auto"/>
              <w:rPr>
                <w:rFonts w:hint="eastAsia" w:ascii="宋体" w:hAnsi="宋体" w:eastAsia="宋体" w:cs="宋体"/>
                <w:bCs/>
                <w:color w:val="auto"/>
                <w:sz w:val="24"/>
                <w:highlight w:val="none"/>
              </w:rPr>
            </w:pPr>
          </w:p>
        </w:tc>
      </w:tr>
    </w:tbl>
    <w:p>
      <w:pPr>
        <w:spacing w:line="360" w:lineRule="auto"/>
        <w:ind w:firstLine="576"/>
        <w:jc w:val="center"/>
        <w:rPr>
          <w:rFonts w:hint="eastAsia" w:ascii="宋体" w:hAnsi="宋体" w:eastAsia="宋体" w:cs="宋体"/>
          <w:color w:val="auto"/>
          <w:kern w:val="0"/>
          <w:highlight w:val="none"/>
          <w:lang w:val="zh-CN"/>
        </w:rPr>
      </w:pPr>
    </w:p>
    <w:p>
      <w:pPr>
        <w:spacing w:line="360" w:lineRule="auto"/>
        <w:ind w:firstLine="576"/>
        <w:jc w:val="center"/>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投标人名称(电子签名)：                              </w:t>
      </w:r>
    </w:p>
    <w:p>
      <w:pPr>
        <w:spacing w:line="360" w:lineRule="auto"/>
        <w:jc w:val="center"/>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日期：年月日</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三、分包意向协议（如果有）</w:t>
      </w:r>
    </w:p>
    <w:p>
      <w:pPr>
        <w:widowControl/>
        <w:spacing w:line="360" w:lineRule="auto"/>
        <w:ind w:firstLine="105" w:firstLineChars="50"/>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
          <w:color w:val="auto"/>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highlight w:val="none"/>
        </w:rPr>
        <w:t>】</w:t>
      </w:r>
    </w:p>
    <w:p>
      <w:pP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pPr>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四、符合性审查资料</w:t>
      </w:r>
    </w:p>
    <w:p>
      <w:pPr>
        <w:jc w:val="center"/>
        <w:rPr>
          <w:rFonts w:hint="eastAsia" w:ascii="宋体" w:hAnsi="宋体" w:eastAsia="宋体" w:cs="宋体"/>
          <w:b/>
          <w:color w:val="auto"/>
          <w:kern w:val="0"/>
          <w:sz w:val="32"/>
          <w:szCs w:val="32"/>
          <w:highlight w:val="none"/>
        </w:rPr>
      </w:pPr>
    </w:p>
    <w:tbl>
      <w:tblPr>
        <w:tblStyle w:val="45"/>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400"/>
        <w:gridCol w:w="3313"/>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29"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3400" w:type="dxa"/>
            <w:vAlign w:val="center"/>
          </w:tcPr>
          <w:p>
            <w:pPr>
              <w:spacing w:line="400" w:lineRule="exact"/>
              <w:jc w:val="left"/>
              <w:rPr>
                <w:rFonts w:hint="eastAsia" w:ascii="宋体" w:hAnsi="宋体" w:eastAsia="宋体" w:cs="宋体"/>
                <w:b/>
                <w:color w:val="auto"/>
                <w:highlight w:val="none"/>
              </w:rPr>
            </w:pPr>
            <w:r>
              <w:rPr>
                <w:rFonts w:hint="eastAsia" w:ascii="宋体" w:hAnsi="宋体" w:eastAsia="宋体" w:cs="宋体"/>
                <w:b/>
                <w:color w:val="auto"/>
                <w:highlight w:val="none"/>
              </w:rPr>
              <w:t>实质性要求</w:t>
            </w:r>
          </w:p>
        </w:tc>
        <w:tc>
          <w:tcPr>
            <w:tcW w:w="3313" w:type="dxa"/>
            <w:vAlign w:val="center"/>
          </w:tcPr>
          <w:p>
            <w:pPr>
              <w:spacing w:line="400" w:lineRule="exact"/>
              <w:jc w:val="left"/>
              <w:rPr>
                <w:rFonts w:hint="eastAsia" w:ascii="宋体" w:hAnsi="宋体" w:eastAsia="宋体" w:cs="宋体"/>
                <w:b/>
                <w:color w:val="auto"/>
                <w:highlight w:val="none"/>
              </w:rPr>
            </w:pPr>
            <w:r>
              <w:rPr>
                <w:rFonts w:hint="eastAsia" w:ascii="宋体" w:hAnsi="宋体" w:eastAsia="宋体" w:cs="宋体"/>
                <w:b/>
                <w:color w:val="auto"/>
                <w:highlight w:val="none"/>
              </w:rPr>
              <w:t>需要提供的符合性审查资料</w:t>
            </w:r>
          </w:p>
        </w:tc>
        <w:tc>
          <w:tcPr>
            <w:tcW w:w="1672" w:type="dxa"/>
            <w:vAlign w:val="center"/>
          </w:tcPr>
          <w:p>
            <w:pPr>
              <w:spacing w:line="400" w:lineRule="exact"/>
              <w:jc w:val="left"/>
              <w:rPr>
                <w:rFonts w:hint="eastAsia" w:ascii="宋体" w:hAnsi="宋体" w:eastAsia="宋体" w:cs="宋体"/>
                <w:b/>
                <w:color w:val="auto"/>
                <w:highlight w:val="none"/>
              </w:rPr>
            </w:pPr>
            <w:r>
              <w:rPr>
                <w:rFonts w:hint="eastAsia" w:ascii="宋体" w:hAnsi="宋体" w:eastAsia="宋体" w:cs="宋体"/>
                <w:b/>
                <w:color w:val="auto"/>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9" w:type="dxa"/>
            <w:vAlign w:val="center"/>
          </w:tcPr>
          <w:p>
            <w:pPr>
              <w:spacing w:line="40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rPr>
              <w:t>1</w:t>
            </w:r>
          </w:p>
        </w:tc>
        <w:tc>
          <w:tcPr>
            <w:tcW w:w="3400"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投标文件按照招标文件要求签署、盖章。</w:t>
            </w:r>
          </w:p>
        </w:tc>
        <w:tc>
          <w:tcPr>
            <w:tcW w:w="3313"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需要使用电子签名或者签字盖章的投标文件的组成部分</w:t>
            </w:r>
          </w:p>
        </w:tc>
        <w:tc>
          <w:tcPr>
            <w:tcW w:w="1672"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见投标文件</w:t>
            </w:r>
          </w:p>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9" w:type="dxa"/>
            <w:vAlign w:val="center"/>
          </w:tcPr>
          <w:p>
            <w:pPr>
              <w:spacing w:line="40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rPr>
              <w:t>2</w:t>
            </w:r>
          </w:p>
        </w:tc>
        <w:tc>
          <w:tcPr>
            <w:tcW w:w="3400"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投标文件中承诺的投标有效期不少于招标文件中载明的投标有效期。</w:t>
            </w:r>
          </w:p>
        </w:tc>
        <w:tc>
          <w:tcPr>
            <w:tcW w:w="3313"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投标函</w:t>
            </w:r>
          </w:p>
        </w:tc>
        <w:tc>
          <w:tcPr>
            <w:tcW w:w="1672"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见投标文件</w:t>
            </w:r>
          </w:p>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9" w:type="dxa"/>
            <w:vAlign w:val="center"/>
          </w:tcPr>
          <w:p>
            <w:pPr>
              <w:spacing w:line="40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rPr>
              <w:t>3</w:t>
            </w:r>
          </w:p>
        </w:tc>
        <w:tc>
          <w:tcPr>
            <w:tcW w:w="3400"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投标文件满足招标文件的其它实质性要求。</w:t>
            </w:r>
          </w:p>
        </w:tc>
        <w:tc>
          <w:tcPr>
            <w:tcW w:w="3313"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kern w:val="0"/>
                <w:highlight w:val="none"/>
              </w:rPr>
              <w:t>招标文件其它实质性要求相应的材料（“▲”系指实质性要求条款，招标文件无其它实质性要求的，无需提供）</w:t>
            </w:r>
          </w:p>
        </w:tc>
        <w:tc>
          <w:tcPr>
            <w:tcW w:w="1672" w:type="dxa"/>
            <w:vAlign w:val="center"/>
          </w:tcPr>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见投标文件</w:t>
            </w:r>
          </w:p>
          <w:p>
            <w:pPr>
              <w:spacing w:line="40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第页</w:t>
            </w:r>
          </w:p>
        </w:tc>
      </w:tr>
    </w:tbl>
    <w:p>
      <w:pPr>
        <w:spacing w:line="360" w:lineRule="auto"/>
        <w:ind w:right="420"/>
        <w:rPr>
          <w:rFonts w:hint="eastAsia" w:ascii="宋体" w:hAnsi="宋体" w:eastAsia="宋体" w:cs="宋体"/>
          <w:color w:val="auto"/>
          <w:highlight w:val="none"/>
        </w:rPr>
      </w:pPr>
      <w:r>
        <w:rPr>
          <w:rFonts w:hint="eastAsia" w:ascii="宋体" w:hAnsi="宋体" w:eastAsia="宋体" w:cs="宋体"/>
          <w:color w:val="auto"/>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五、评标标准相应的商务技术资料</w:t>
      </w:r>
    </w:p>
    <w:p>
      <w:pPr>
        <w:spacing w:line="360" w:lineRule="auto"/>
        <w:jc w:val="left"/>
        <w:rPr>
          <w:rFonts w:hint="eastAsia" w:ascii="宋体" w:hAnsi="宋体" w:eastAsia="宋体" w:cs="宋体"/>
          <w:b/>
          <w:color w:val="auto"/>
          <w:highlight w:val="none"/>
        </w:rPr>
      </w:pPr>
    </w:p>
    <w:p>
      <w:pPr>
        <w:spacing w:line="360" w:lineRule="auto"/>
        <w:jc w:val="left"/>
        <w:rPr>
          <w:rFonts w:hint="eastAsia" w:ascii="宋体" w:hAnsi="宋体" w:eastAsia="宋体" w:cs="宋体"/>
          <w:b/>
          <w:color w:val="auto"/>
          <w:highlight w:val="none"/>
        </w:rPr>
      </w:pPr>
      <w:r>
        <w:rPr>
          <w:rFonts w:hint="eastAsia" w:ascii="宋体" w:hAnsi="宋体" w:eastAsia="宋体" w:cs="宋体"/>
          <w:b/>
          <w:color w:val="auto"/>
          <w:highlight w:val="none"/>
        </w:rPr>
        <w:t>（按招标文件第四部分评标办法前附表中“投标文件中评标标准相应的商务技术资料目录”提供资料）</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六、投标标的清单</w:t>
      </w:r>
    </w:p>
    <w:tbl>
      <w:tblPr>
        <w:tblStyle w:val="4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19"/>
        <w:gridCol w:w="1073"/>
        <w:gridCol w:w="1214"/>
        <w:gridCol w:w="2674"/>
        <w:gridCol w:w="896"/>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31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名称</w:t>
            </w:r>
          </w:p>
        </w:tc>
        <w:tc>
          <w:tcPr>
            <w:tcW w:w="10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品牌（如果有）</w:t>
            </w:r>
          </w:p>
        </w:tc>
        <w:tc>
          <w:tcPr>
            <w:tcW w:w="12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型号（如果有）</w:t>
            </w:r>
          </w:p>
        </w:tc>
        <w:tc>
          <w:tcPr>
            <w:tcW w:w="267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规格配置详细说明</w:t>
            </w:r>
          </w:p>
        </w:tc>
        <w:tc>
          <w:tcPr>
            <w:tcW w:w="89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数量</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31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267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31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267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31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267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highlight w:val="none"/>
              </w:rPr>
            </w:pPr>
          </w:p>
        </w:tc>
      </w:tr>
    </w:tbl>
    <w:p>
      <w:pPr>
        <w:spacing w:line="360" w:lineRule="auto"/>
        <w:ind w:right="420"/>
        <w:rPr>
          <w:rFonts w:hint="eastAsia" w:ascii="宋体" w:hAnsi="宋体" w:eastAsia="宋体" w:cs="宋体"/>
          <w:color w:val="auto"/>
          <w:highlight w:val="none"/>
        </w:rPr>
      </w:pPr>
      <w:r>
        <w:rPr>
          <w:rFonts w:hint="eastAsia" w:ascii="宋体" w:hAnsi="宋体" w:eastAsia="宋体" w:cs="宋体"/>
          <w:color w:val="auto"/>
          <w:highlight w:val="none"/>
        </w:rPr>
        <w:t>注：按本格式和要求提供。</w:t>
      </w:r>
    </w:p>
    <w:p>
      <w:pPr>
        <w:rPr>
          <w:rFonts w:hint="eastAsia" w:ascii="宋体" w:hAnsi="宋体" w:eastAsia="宋体" w:cs="宋体"/>
          <w:color w:val="auto"/>
          <w:highlight w:val="none"/>
        </w:rPr>
      </w:pPr>
    </w:p>
    <w:p>
      <w:pPr>
        <w:snapToGrid w:val="0"/>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en-US" w:eastAsia="zh-CN"/>
        </w:rPr>
        <w:t>七、</w:t>
      </w:r>
      <w:r>
        <w:rPr>
          <w:rFonts w:hint="eastAsia" w:ascii="宋体" w:hAnsi="宋体" w:eastAsia="宋体" w:cs="宋体"/>
          <w:b/>
          <w:color w:val="auto"/>
          <w:kern w:val="0"/>
          <w:sz w:val="32"/>
          <w:szCs w:val="32"/>
          <w:highlight w:val="none"/>
          <w:lang w:val="zh-CN"/>
        </w:rPr>
        <w:t>技术响应表</w:t>
      </w:r>
    </w:p>
    <w:tbl>
      <w:tblPr>
        <w:tblStyle w:val="45"/>
        <w:tblW w:w="945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5"/>
        <w:gridCol w:w="2948"/>
        <w:gridCol w:w="2777"/>
        <w:gridCol w:w="28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2" w:hRule="atLeast"/>
        </w:trPr>
        <w:tc>
          <w:tcPr>
            <w:tcW w:w="915" w:type="dxa"/>
            <w:tcBorders>
              <w:top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94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采购</w:t>
            </w:r>
            <w:r>
              <w:rPr>
                <w:rFonts w:hint="eastAsia" w:ascii="宋体" w:hAnsi="宋体" w:eastAsia="宋体" w:cs="宋体"/>
                <w:b/>
                <w:color w:val="auto"/>
                <w:sz w:val="24"/>
                <w:highlight w:val="none"/>
              </w:rPr>
              <w:t>文件技术要求</w:t>
            </w:r>
          </w:p>
        </w:tc>
        <w:tc>
          <w:tcPr>
            <w:tcW w:w="2777" w:type="dxa"/>
            <w:tcBorders>
              <w:top w:val="single" w:color="auto" w:sz="4" w:space="0"/>
              <w:left w:val="single" w:color="auto" w:sz="4" w:space="0"/>
              <w:bottom w:val="nil"/>
              <w:right w:val="single" w:color="auto" w:sz="4" w:space="0"/>
            </w:tcBorders>
            <w:noWrap w:val="0"/>
            <w:vAlign w:val="center"/>
          </w:tcPr>
          <w:p>
            <w:pPr>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投标响应技术参数</w:t>
            </w:r>
          </w:p>
        </w:tc>
        <w:tc>
          <w:tcPr>
            <w:tcW w:w="2818" w:type="dxa"/>
            <w:tcBorders>
              <w:top w:val="single" w:color="auto" w:sz="4" w:space="0"/>
              <w:left w:val="single" w:color="auto" w:sz="4" w:space="0"/>
              <w:bottom w:val="nil"/>
            </w:tcBorders>
            <w:noWrap w:val="0"/>
            <w:vAlign w:val="center"/>
          </w:tcPr>
          <w:p>
            <w:pPr>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差异描述</w:t>
            </w:r>
          </w:p>
          <w:p>
            <w:pPr>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（正偏离或者负偏离）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trPr>
        <w:tc>
          <w:tcPr>
            <w:tcW w:w="915" w:type="dxa"/>
            <w:tcBorders>
              <w:top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94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77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818" w:type="dxa"/>
            <w:tcBorders>
              <w:top w:val="single" w:color="auto" w:sz="4" w:space="0"/>
              <w:left w:val="single" w:color="auto" w:sz="4" w:space="0"/>
              <w:bottom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trPr>
        <w:tc>
          <w:tcPr>
            <w:tcW w:w="915" w:type="dxa"/>
            <w:tcBorders>
              <w:top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94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77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818" w:type="dxa"/>
            <w:tcBorders>
              <w:top w:val="single" w:color="auto" w:sz="4" w:space="0"/>
              <w:left w:val="single" w:color="auto" w:sz="4" w:space="0"/>
              <w:bottom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trPr>
        <w:tc>
          <w:tcPr>
            <w:tcW w:w="915" w:type="dxa"/>
            <w:tcBorders>
              <w:top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294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77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818" w:type="dxa"/>
            <w:tcBorders>
              <w:top w:val="single" w:color="auto" w:sz="4" w:space="0"/>
              <w:left w:val="single" w:color="auto" w:sz="4" w:space="0"/>
              <w:bottom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1" w:hRule="atLeast"/>
        </w:trPr>
        <w:tc>
          <w:tcPr>
            <w:tcW w:w="915" w:type="dxa"/>
            <w:tcBorders>
              <w:top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94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77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2818" w:type="dxa"/>
            <w:tcBorders>
              <w:top w:val="single" w:color="auto" w:sz="4" w:space="0"/>
              <w:left w:val="single" w:color="auto" w:sz="4" w:space="0"/>
              <w:bottom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bl>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numPr>
          <w:ilvl w:val="0"/>
          <w:numId w:val="18"/>
        </w:num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供应商应针对本部分内容“二、</w:t>
      </w:r>
      <w:r>
        <w:rPr>
          <w:rFonts w:hint="eastAsia" w:ascii="宋体" w:hAnsi="宋体" w:eastAsia="宋体" w:cs="宋体"/>
          <w:color w:val="auto"/>
          <w:sz w:val="24"/>
          <w:highlight w:val="none"/>
          <w:lang w:eastAsia="zh-CN"/>
        </w:rPr>
        <w:t>主要技术指标</w:t>
      </w:r>
      <w:r>
        <w:rPr>
          <w:rFonts w:hint="eastAsia" w:ascii="宋体" w:hAnsi="宋体" w:eastAsia="宋体" w:cs="宋体"/>
          <w:color w:val="auto"/>
          <w:sz w:val="24"/>
          <w:highlight w:val="none"/>
        </w:rPr>
        <w:t>”的要求，在技术响应表（格式见第六部分）中对采购文件技术要求一一作出响应投标产品的技术指标必须对技术要求有一个明确的响应值，不能复制技术要求，例：主机承载力≥10kN，投标产品响应值可以为10kN或15kN或其他值，不能简单填写“≥10kN”，否则视为不响应技术要求。</w:t>
      </w:r>
    </w:p>
    <w:p>
      <w:pPr>
        <w:numPr>
          <w:ilvl w:val="0"/>
          <w:numId w:val="18"/>
        </w:num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产品的技术参数如与产品样本资料或官网上公开的技术参数一致，须明确哪些参数不一致，不一致的原因以及使用何种技术可以达到投标产品参数。不作说明的、或经评审小组核实不一致的、或不一致的原因不明确的、或评审小组认为达到投标产品参数所采用的技术不可行的，均视作投标产品未响应采购文件技术要求；</w:t>
      </w:r>
    </w:p>
    <w:p>
      <w:pPr>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本招标文件中打▲的条款为关键性指标，必须满足采购要求，不满足的将导致投标无效。打★的条款为重要指标，允许不满足，但在技术评分时会重点扣分。</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pPr>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八、商务技术偏离表</w:t>
      </w:r>
    </w:p>
    <w:p>
      <w:pPr>
        <w:jc w:val="center"/>
        <w:rPr>
          <w:rFonts w:hint="eastAsia" w:ascii="宋体" w:hAnsi="宋体" w:eastAsia="宋体" w:cs="宋体"/>
          <w:b/>
          <w:bCs/>
          <w:color w:val="auto"/>
          <w:highlight w:val="none"/>
        </w:rPr>
      </w:pPr>
    </w:p>
    <w:tbl>
      <w:tblPr>
        <w:tblStyle w:val="4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3683" w:type="dxa"/>
            <w:vAlign w:val="center"/>
          </w:tcPr>
          <w:p>
            <w:pPr>
              <w:spacing w:line="40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招标文件章节及具体内容</w:t>
            </w:r>
          </w:p>
        </w:tc>
        <w:tc>
          <w:tcPr>
            <w:tcW w:w="3546" w:type="dxa"/>
            <w:vAlign w:val="center"/>
          </w:tcPr>
          <w:p>
            <w:pPr>
              <w:spacing w:line="40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投标文件章节及具体内容</w:t>
            </w:r>
          </w:p>
        </w:tc>
        <w:tc>
          <w:tcPr>
            <w:tcW w:w="1276" w:type="dxa"/>
            <w:vAlign w:val="center"/>
          </w:tcPr>
          <w:p>
            <w:pPr>
              <w:spacing w:line="40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3683" w:type="dxa"/>
            <w:vAlign w:val="center"/>
          </w:tcPr>
          <w:p>
            <w:pPr>
              <w:spacing w:line="400" w:lineRule="exact"/>
              <w:jc w:val="center"/>
              <w:rPr>
                <w:rFonts w:hint="eastAsia" w:ascii="宋体" w:hAnsi="宋体" w:eastAsia="宋体" w:cs="宋体"/>
                <w:b/>
                <w:color w:val="auto"/>
                <w:kern w:val="0"/>
                <w:sz w:val="32"/>
                <w:szCs w:val="32"/>
                <w:highlight w:val="none"/>
              </w:rPr>
            </w:pPr>
          </w:p>
        </w:tc>
        <w:tc>
          <w:tcPr>
            <w:tcW w:w="3546" w:type="dxa"/>
            <w:vAlign w:val="center"/>
          </w:tcPr>
          <w:p>
            <w:pPr>
              <w:spacing w:line="400" w:lineRule="exact"/>
              <w:jc w:val="center"/>
              <w:rPr>
                <w:rFonts w:hint="eastAsia" w:ascii="宋体" w:hAnsi="宋体" w:eastAsia="宋体" w:cs="宋体"/>
                <w:b/>
                <w:color w:val="auto"/>
                <w:kern w:val="0"/>
                <w:sz w:val="32"/>
                <w:szCs w:val="32"/>
                <w:highlight w:val="none"/>
              </w:rPr>
            </w:pPr>
          </w:p>
        </w:tc>
        <w:tc>
          <w:tcPr>
            <w:tcW w:w="1276" w:type="dxa"/>
            <w:vAlign w:val="center"/>
          </w:tcPr>
          <w:p>
            <w:pPr>
              <w:spacing w:line="400" w:lineRule="exact"/>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3683" w:type="dxa"/>
            <w:vAlign w:val="center"/>
          </w:tcPr>
          <w:p>
            <w:pPr>
              <w:spacing w:line="400" w:lineRule="exact"/>
              <w:jc w:val="center"/>
              <w:rPr>
                <w:rFonts w:hint="eastAsia" w:ascii="宋体" w:hAnsi="宋体" w:eastAsia="宋体" w:cs="宋体"/>
                <w:b/>
                <w:color w:val="auto"/>
                <w:kern w:val="0"/>
                <w:sz w:val="32"/>
                <w:szCs w:val="32"/>
                <w:highlight w:val="none"/>
              </w:rPr>
            </w:pPr>
          </w:p>
        </w:tc>
        <w:tc>
          <w:tcPr>
            <w:tcW w:w="3546" w:type="dxa"/>
            <w:vAlign w:val="center"/>
          </w:tcPr>
          <w:p>
            <w:pPr>
              <w:spacing w:line="400" w:lineRule="exact"/>
              <w:jc w:val="center"/>
              <w:rPr>
                <w:rFonts w:hint="eastAsia" w:ascii="宋体" w:hAnsi="宋体" w:eastAsia="宋体" w:cs="宋体"/>
                <w:b/>
                <w:color w:val="auto"/>
                <w:kern w:val="0"/>
                <w:sz w:val="32"/>
                <w:szCs w:val="32"/>
                <w:highlight w:val="none"/>
              </w:rPr>
            </w:pPr>
          </w:p>
        </w:tc>
        <w:tc>
          <w:tcPr>
            <w:tcW w:w="1276" w:type="dxa"/>
            <w:vAlign w:val="center"/>
          </w:tcPr>
          <w:p>
            <w:pPr>
              <w:spacing w:line="400" w:lineRule="exact"/>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p>
        </w:tc>
        <w:tc>
          <w:tcPr>
            <w:tcW w:w="3683" w:type="dxa"/>
            <w:vAlign w:val="center"/>
          </w:tcPr>
          <w:p>
            <w:pPr>
              <w:spacing w:line="400" w:lineRule="exact"/>
              <w:jc w:val="center"/>
              <w:rPr>
                <w:rFonts w:hint="eastAsia" w:ascii="宋体" w:hAnsi="宋体" w:eastAsia="宋体" w:cs="宋体"/>
                <w:b/>
                <w:color w:val="auto"/>
                <w:kern w:val="0"/>
                <w:sz w:val="32"/>
                <w:szCs w:val="32"/>
                <w:highlight w:val="none"/>
              </w:rPr>
            </w:pPr>
          </w:p>
        </w:tc>
        <w:tc>
          <w:tcPr>
            <w:tcW w:w="3546" w:type="dxa"/>
            <w:vAlign w:val="center"/>
          </w:tcPr>
          <w:p>
            <w:pPr>
              <w:spacing w:line="400" w:lineRule="exact"/>
              <w:jc w:val="center"/>
              <w:rPr>
                <w:rFonts w:hint="eastAsia" w:ascii="宋体" w:hAnsi="宋体" w:eastAsia="宋体" w:cs="宋体"/>
                <w:b/>
                <w:color w:val="auto"/>
                <w:kern w:val="0"/>
                <w:sz w:val="32"/>
                <w:szCs w:val="32"/>
                <w:highlight w:val="none"/>
              </w:rPr>
            </w:pPr>
          </w:p>
        </w:tc>
        <w:tc>
          <w:tcPr>
            <w:tcW w:w="1276" w:type="dxa"/>
            <w:vAlign w:val="center"/>
          </w:tcPr>
          <w:p>
            <w:pPr>
              <w:spacing w:line="400" w:lineRule="exact"/>
              <w:jc w:val="center"/>
              <w:rPr>
                <w:rFonts w:hint="eastAsia" w:ascii="宋体" w:hAnsi="宋体" w:eastAsia="宋体" w:cs="宋体"/>
                <w:b/>
                <w:color w:val="auto"/>
                <w:kern w:val="0"/>
                <w:sz w:val="32"/>
                <w:szCs w:val="32"/>
                <w:highlight w:val="none"/>
              </w:rPr>
            </w:pPr>
          </w:p>
        </w:tc>
      </w:tr>
    </w:tbl>
    <w:p>
      <w:pPr>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投标人保证：除商务技术偏离表列出的偏离外，投标人响应招标文件的全部要求</w:t>
      </w:r>
    </w:p>
    <w:p>
      <w:pPr>
        <w:spacing w:line="360" w:lineRule="auto"/>
        <w:ind w:right="420"/>
        <w:rPr>
          <w:rFonts w:hint="eastAsia" w:ascii="宋体" w:hAnsi="宋体" w:eastAsia="宋体" w:cs="宋体"/>
          <w:color w:val="auto"/>
          <w:highlight w:val="none"/>
        </w:rPr>
      </w:pPr>
    </w:p>
    <w:p>
      <w:pPr>
        <w:spacing w:line="360" w:lineRule="auto"/>
        <w:ind w:right="420"/>
        <w:rPr>
          <w:rFonts w:hint="eastAsia" w:ascii="宋体" w:hAnsi="宋体" w:eastAsia="宋体" w:cs="宋体"/>
          <w:color w:val="auto"/>
          <w:highlight w:val="none"/>
        </w:rPr>
      </w:pPr>
      <w:r>
        <w:rPr>
          <w:rFonts w:hint="eastAsia" w:ascii="宋体" w:hAnsi="宋体" w:eastAsia="宋体" w:cs="宋体"/>
          <w:color w:val="auto"/>
          <w:highlight w:val="none"/>
        </w:rPr>
        <w:t>注：按本格式和要求提供。</w:t>
      </w:r>
    </w:p>
    <w:p>
      <w:pPr>
        <w:jc w:val="center"/>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1"/>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九、政府采购供应商廉洁自律承诺书</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kern w:val="0"/>
          <w:highlight w:val="none"/>
        </w:rPr>
      </w:pPr>
      <w:r>
        <w:rPr>
          <w:rFonts w:hint="eastAsia" w:ascii="宋体" w:hAnsi="宋体" w:eastAsia="宋体" w:cs="宋体"/>
          <w:color w:val="auto"/>
          <w:highlight w:val="none"/>
          <w:u w:val="single"/>
          <w:lang w:eastAsia="zh-CN"/>
        </w:rPr>
        <w:t>浙江理工大学</w:t>
      </w:r>
      <w:r>
        <w:rPr>
          <w:rFonts w:hint="eastAsia" w:ascii="宋体" w:hAnsi="宋体" w:eastAsia="宋体" w:cs="宋体"/>
          <w:color w:val="auto"/>
          <w:highlight w:val="none"/>
          <w:u w:val="single"/>
        </w:rPr>
        <w:t>、浙江国际招投标有限公司</w:t>
      </w:r>
      <w:r>
        <w:rPr>
          <w:rFonts w:hint="eastAsia" w:ascii="宋体" w:hAnsi="宋体" w:eastAsia="宋体" w:cs="宋体"/>
          <w:color w:val="auto"/>
          <w:highlight w:val="none"/>
        </w:rPr>
        <w:t>：</w:t>
      </w:r>
    </w:p>
    <w:p>
      <w:pPr>
        <w:autoSpaceDE w:val="0"/>
        <w:autoSpaceDN w:val="0"/>
        <w:spacing w:line="360" w:lineRule="auto"/>
        <w:ind w:left="2" w:leftChars="1"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我单位响应你</w:t>
      </w:r>
      <w:r>
        <w:rPr>
          <w:rFonts w:hint="eastAsia" w:ascii="宋体" w:hAnsi="宋体" w:eastAsia="宋体" w:cs="宋体"/>
          <w:color w:val="auto"/>
          <w:highlight w:val="none"/>
        </w:rPr>
        <w:t>单位</w:t>
      </w:r>
      <w:r>
        <w:rPr>
          <w:rFonts w:hint="eastAsia" w:ascii="宋体" w:hAnsi="宋体" w:eastAsia="宋体" w:cs="宋体"/>
          <w:color w:val="auto"/>
          <w:kern w:val="0"/>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二、不为项目有关人员及部门报销应由你方单位或个人支付的费用；</w:t>
      </w:r>
    </w:p>
    <w:p>
      <w:pPr>
        <w:autoSpaceDE w:val="0"/>
        <w:autoSpaceDN w:val="0"/>
        <w:spacing w:line="360" w:lineRule="auto"/>
        <w:ind w:left="2" w:leftChars="1"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三、不向项目有关人员及部门提供有可能影响公正的宴请和健身娱乐等活动；</w:t>
      </w:r>
    </w:p>
    <w:p>
      <w:pPr>
        <w:autoSpaceDE w:val="0"/>
        <w:autoSpaceDN w:val="0"/>
        <w:spacing w:line="360" w:lineRule="auto"/>
        <w:ind w:left="2" w:leftChars="1"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好处；</w:t>
      </w:r>
    </w:p>
    <w:p>
      <w:pPr>
        <w:autoSpaceDE w:val="0"/>
        <w:autoSpaceDN w:val="0"/>
        <w:spacing w:line="360" w:lineRule="auto"/>
        <w:ind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六、严格遵守《</w:t>
      </w:r>
      <w:r>
        <w:rPr>
          <w:rFonts w:hint="eastAsia" w:ascii="宋体" w:hAnsi="宋体" w:eastAsia="宋体" w:cs="宋体"/>
          <w:color w:val="auto"/>
          <w:highlight w:val="none"/>
          <w:lang w:val="zh-CN"/>
        </w:rPr>
        <w:t>中华人民共和国</w:t>
      </w:r>
      <w:r>
        <w:rPr>
          <w:rFonts w:hint="eastAsia" w:ascii="宋体" w:hAnsi="宋体" w:eastAsia="宋体" w:cs="宋体"/>
          <w:color w:val="auto"/>
          <w:kern w:val="0"/>
          <w:highlight w:val="none"/>
          <w:lang w:val="zh-CN"/>
        </w:rPr>
        <w:t>政府采购法》</w:t>
      </w:r>
      <w:r>
        <w:rPr>
          <w:rFonts w:hint="eastAsia" w:ascii="宋体" w:hAnsi="宋体" w:eastAsia="宋体" w:cs="宋体"/>
          <w:color w:val="auto"/>
          <w:highlight w:val="none"/>
          <w:lang w:val="zh-CN"/>
        </w:rPr>
        <w:t>《中华人民共和国民法典》</w:t>
      </w:r>
      <w:r>
        <w:rPr>
          <w:rFonts w:hint="eastAsia" w:ascii="宋体" w:hAnsi="宋体" w:eastAsia="宋体" w:cs="宋体"/>
          <w:color w:val="auto"/>
          <w:kern w:val="0"/>
          <w:highlight w:val="none"/>
          <w:lang w:val="zh-CN"/>
        </w:rPr>
        <w:t>等法律法规，诚实守信，合法经营，坚决抵制各种违法违纪行为。</w:t>
      </w:r>
    </w:p>
    <w:p>
      <w:pPr>
        <w:autoSpaceDE w:val="0"/>
        <w:autoSpaceDN w:val="0"/>
        <w:spacing w:line="360" w:lineRule="auto"/>
        <w:ind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如违反上述承诺，你</w:t>
      </w:r>
      <w:r>
        <w:rPr>
          <w:rFonts w:hint="eastAsia" w:ascii="宋体" w:hAnsi="宋体" w:eastAsia="宋体" w:cs="宋体"/>
          <w:color w:val="auto"/>
          <w:highlight w:val="none"/>
        </w:rPr>
        <w:t>单位</w:t>
      </w:r>
      <w:r>
        <w:rPr>
          <w:rFonts w:hint="eastAsia" w:ascii="宋体" w:hAnsi="宋体" w:eastAsia="宋体" w:cs="宋体"/>
          <w:color w:val="auto"/>
          <w:kern w:val="0"/>
          <w:highlight w:val="none"/>
          <w:lang w:val="zh-CN"/>
        </w:rPr>
        <w:t>有权立即取消我单位投标、中标或在建项目的建设资格，有权拒绝我单位在一定时期内进入你</w:t>
      </w:r>
      <w:r>
        <w:rPr>
          <w:rFonts w:hint="eastAsia" w:ascii="宋体" w:hAnsi="宋体" w:eastAsia="宋体" w:cs="宋体"/>
          <w:color w:val="auto"/>
          <w:highlight w:val="none"/>
        </w:rPr>
        <w:t>单位</w:t>
      </w:r>
      <w:r>
        <w:rPr>
          <w:rFonts w:hint="eastAsia" w:ascii="宋体" w:hAnsi="宋体" w:eastAsia="宋体" w:cs="宋体"/>
          <w:color w:val="auto"/>
          <w:kern w:val="0"/>
          <w:highlight w:val="none"/>
          <w:lang w:val="zh-CN"/>
        </w:rPr>
        <w:t>进行项目建设或其他经营活动，并通报浙江省财政厅。由此引起的相应损失均由我单位承担。</w:t>
      </w:r>
    </w:p>
    <w:p>
      <w:pPr>
        <w:autoSpaceDE w:val="0"/>
        <w:autoSpaceDN w:val="0"/>
        <w:spacing w:line="360" w:lineRule="auto"/>
        <w:ind w:left="2"/>
        <w:jc w:val="left"/>
        <w:rPr>
          <w:rFonts w:hint="eastAsia" w:ascii="宋体" w:hAnsi="宋体" w:eastAsia="宋体" w:cs="宋体"/>
          <w:color w:val="auto"/>
          <w:kern w:val="0"/>
          <w:highlight w:val="none"/>
          <w:lang w:val="zh-CN"/>
        </w:rPr>
      </w:pPr>
    </w:p>
    <w:p>
      <w:pPr>
        <w:autoSpaceDE w:val="0"/>
        <w:autoSpaceDN w:val="0"/>
        <w:spacing w:line="360" w:lineRule="auto"/>
        <w:ind w:left="2"/>
        <w:jc w:val="left"/>
        <w:rPr>
          <w:rFonts w:hint="eastAsia" w:ascii="宋体" w:hAnsi="宋体" w:eastAsia="宋体" w:cs="宋体"/>
          <w:color w:val="auto"/>
          <w:kern w:val="0"/>
          <w:highlight w:val="none"/>
          <w:lang w:val="zh-CN"/>
        </w:rPr>
      </w:pPr>
    </w:p>
    <w:p>
      <w:pPr>
        <w:autoSpaceDE w:val="0"/>
        <w:autoSpaceDN w:val="0"/>
        <w:spacing w:line="360" w:lineRule="auto"/>
        <w:ind w:left="2"/>
        <w:jc w:val="left"/>
        <w:rPr>
          <w:rFonts w:hint="eastAsia" w:ascii="宋体" w:hAnsi="宋体" w:eastAsia="宋体" w:cs="宋体"/>
          <w:color w:val="auto"/>
          <w:kern w:val="0"/>
          <w:highlight w:val="none"/>
          <w:lang w:val="zh-CN"/>
        </w:rPr>
      </w:pPr>
    </w:p>
    <w:p>
      <w:pPr>
        <w:autoSpaceDE w:val="0"/>
        <w:autoSpaceDN w:val="0"/>
        <w:spacing w:line="360" w:lineRule="auto"/>
        <w:ind w:left="2" w:leftChars="1" w:right="1120" w:firstLine="3990" w:firstLineChars="19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投标人名称（</w:t>
      </w:r>
      <w:r>
        <w:rPr>
          <w:rFonts w:hint="eastAsia" w:ascii="宋体" w:hAnsi="宋体" w:eastAsia="宋体" w:cs="宋体"/>
          <w:color w:val="auto"/>
          <w:highlight w:val="none"/>
        </w:rPr>
        <w:t>电子签名</w:t>
      </w:r>
      <w:r>
        <w:rPr>
          <w:rFonts w:hint="eastAsia" w:ascii="宋体" w:hAnsi="宋体" w:eastAsia="宋体" w:cs="宋体"/>
          <w:color w:val="auto"/>
          <w:kern w:val="0"/>
          <w:highlight w:val="none"/>
          <w:lang w:val="zh-CN"/>
        </w:rPr>
        <w:t>）：</w:t>
      </w:r>
    </w:p>
    <w:p>
      <w:pPr>
        <w:spacing w:line="360" w:lineRule="auto"/>
        <w:ind w:left="4620" w:leftChars="2200"/>
        <w:rPr>
          <w:rFonts w:hint="eastAsia" w:ascii="宋体" w:hAnsi="宋体" w:eastAsia="宋体" w:cs="宋体"/>
          <w:color w:val="auto"/>
          <w:highlight w:val="none"/>
        </w:rPr>
      </w:pPr>
      <w:r>
        <w:rPr>
          <w:rFonts w:hint="eastAsia" w:ascii="宋体" w:hAnsi="宋体" w:eastAsia="宋体" w:cs="宋体"/>
          <w:color w:val="auto"/>
          <w:kern w:val="0"/>
          <w:highlight w:val="none"/>
          <w:lang w:val="zh-CN"/>
        </w:rPr>
        <w:t>日期</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年月日</w:t>
      </w:r>
    </w:p>
    <w:p>
      <w:pPr>
        <w:rPr>
          <w:rFonts w:hint="eastAsia" w:ascii="宋体" w:hAnsi="宋体" w:eastAsia="宋体" w:cs="宋体"/>
          <w:b/>
          <w:color w:val="auto"/>
          <w:kern w:val="0"/>
          <w:sz w:val="36"/>
          <w:szCs w:val="36"/>
          <w:highlight w:val="none"/>
        </w:rPr>
      </w:pPr>
    </w:p>
    <w:p>
      <w:pPr>
        <w:rPr>
          <w:rFonts w:hint="eastAsia" w:ascii="宋体" w:hAnsi="宋体" w:eastAsia="宋体" w:cs="宋体"/>
          <w:b/>
          <w:color w:val="auto"/>
          <w:kern w:val="0"/>
          <w:sz w:val="36"/>
          <w:szCs w:val="36"/>
          <w:highlight w:val="none"/>
        </w:rPr>
      </w:pPr>
    </w:p>
    <w:p>
      <w:pPr>
        <w:rPr>
          <w:rFonts w:hint="eastAsia" w:ascii="宋体" w:hAnsi="宋体" w:eastAsia="宋体" w:cs="宋体"/>
          <w:b/>
          <w:color w:val="auto"/>
          <w:kern w:val="0"/>
          <w:sz w:val="36"/>
          <w:szCs w:val="36"/>
          <w:highlight w:val="none"/>
        </w:rPr>
      </w:pPr>
    </w:p>
    <w:p>
      <w:pPr>
        <w:rPr>
          <w:rFonts w:hint="eastAsia" w:ascii="宋体" w:hAnsi="宋体" w:eastAsia="宋体" w:cs="宋体"/>
          <w:b/>
          <w:color w:val="auto"/>
          <w:kern w:val="0"/>
          <w:sz w:val="36"/>
          <w:szCs w:val="36"/>
          <w:highlight w:val="none"/>
        </w:rPr>
      </w:pPr>
      <w:r>
        <w:rPr>
          <w:rFonts w:hint="eastAsia" w:ascii="宋体" w:hAnsi="宋体" w:eastAsia="宋体" w:cs="宋体"/>
          <w:color w:val="auto"/>
          <w:kern w:val="0"/>
          <w:highlight w:val="none"/>
          <w:lang w:val="zh-CN"/>
        </w:rPr>
        <w:t>注：按本格式和要求提供。</w:t>
      </w:r>
      <w:r>
        <w:rPr>
          <w:rFonts w:hint="eastAsia" w:ascii="宋体" w:hAnsi="宋体" w:eastAsia="宋体" w:cs="宋体"/>
          <w:b/>
          <w:color w:val="auto"/>
          <w:kern w:val="0"/>
          <w:sz w:val="36"/>
          <w:szCs w:val="36"/>
          <w:highlight w:val="none"/>
        </w:rPr>
        <w:br w:type="page"/>
      </w:r>
    </w:p>
    <w:p>
      <w:pPr>
        <w:spacing w:line="360" w:lineRule="auto"/>
        <w:jc w:val="center"/>
        <w:outlineLvl w:val="1"/>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pPr>
        <w:jc w:val="center"/>
        <w:rPr>
          <w:rFonts w:hint="eastAsia" w:ascii="宋体" w:hAnsi="宋体" w:eastAsia="宋体" w:cs="宋体"/>
          <w:b/>
          <w:bCs/>
          <w:color w:val="auto"/>
          <w:sz w:val="28"/>
          <w:szCs w:val="28"/>
          <w:highlight w:val="none"/>
        </w:rPr>
      </w:pPr>
    </w:p>
    <w:p>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pPr>
        <w:rPr>
          <w:rFonts w:hint="eastAsia" w:ascii="宋体" w:hAnsi="宋体" w:eastAsia="宋体" w:cs="宋体"/>
          <w:color w:val="auto"/>
          <w:highlight w:val="none"/>
        </w:rPr>
      </w:pPr>
    </w:p>
    <w:p>
      <w:pPr>
        <w:spacing w:line="360" w:lineRule="auto"/>
        <w:ind w:right="480"/>
        <w:jc w:val="left"/>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（1）开标一览表（报价表）……………………………………………………（页码）</w:t>
      </w:r>
    </w:p>
    <w:p>
      <w:pPr>
        <w:spacing w:line="360" w:lineRule="auto"/>
        <w:ind w:right="480"/>
        <w:jc w:val="left"/>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（2）报价情况说明………………………………………………………………（页码）</w:t>
      </w:r>
    </w:p>
    <w:p>
      <w:pPr>
        <w:spacing w:line="360" w:lineRule="auto"/>
        <w:ind w:right="480"/>
        <w:jc w:val="left"/>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（3）中小企业声明函……………………………………………………………（页码）</w:t>
      </w: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spacing w:line="360" w:lineRule="auto"/>
        <w:ind w:right="480"/>
        <w:jc w:val="center"/>
        <w:rPr>
          <w:rFonts w:hint="eastAsia" w:ascii="宋体" w:hAnsi="宋体" w:eastAsia="宋体" w:cs="宋体"/>
          <w:b/>
          <w:color w:val="auto"/>
          <w:kern w:val="0"/>
          <w:sz w:val="32"/>
          <w:szCs w:val="32"/>
          <w:highlight w:val="none"/>
        </w:rPr>
      </w:pPr>
    </w:p>
    <w:p>
      <w:pPr>
        <w:pStyle w:val="144"/>
        <w:keepNext w:val="0"/>
        <w:pageBreakBefore w:val="0"/>
        <w:tabs>
          <w:tab w:val="clear" w:pos="720"/>
        </w:tabs>
        <w:spacing w:before="120" w:after="120"/>
        <w:ind w:firstLine="643"/>
        <w:outlineLvl w:val="9"/>
        <w:rPr>
          <w:rFonts w:hint="eastAsia" w:ascii="宋体" w:hAnsi="宋体" w:eastAsia="宋体" w:cs="宋体"/>
          <w:color w:val="auto"/>
          <w:kern w:val="2"/>
          <w:sz w:val="32"/>
          <w:szCs w:val="32"/>
          <w:highlight w:val="none"/>
        </w:rPr>
        <w:sectPr>
          <w:pgSz w:w="11906" w:h="16838"/>
          <w:pgMar w:top="1276" w:right="1418" w:bottom="1247" w:left="1418" w:header="851" w:footer="992" w:gutter="0"/>
          <w:cols w:space="0" w:num="1"/>
          <w:titlePg/>
          <w:docGrid w:linePitch="312" w:charSpace="0"/>
        </w:sectPr>
      </w:pPr>
    </w:p>
    <w:p>
      <w:pPr>
        <w:spacing w:line="360" w:lineRule="auto"/>
        <w:jc w:val="center"/>
        <w:outlineLvl w:val="2"/>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一、开标一览表（报价表）</w:t>
      </w:r>
    </w:p>
    <w:p>
      <w:pPr>
        <w:spacing w:line="360" w:lineRule="auto"/>
        <w:rPr>
          <w:rFonts w:hint="eastAsia" w:ascii="宋体" w:hAnsi="宋体" w:eastAsia="宋体" w:cs="宋体"/>
          <w:color w:val="auto"/>
          <w:kern w:val="0"/>
          <w:highlight w:val="none"/>
        </w:rPr>
      </w:pPr>
      <w:r>
        <w:rPr>
          <w:rFonts w:hint="eastAsia" w:ascii="宋体" w:hAnsi="宋体" w:eastAsia="宋体" w:cs="宋体"/>
          <w:color w:val="auto"/>
          <w:highlight w:val="none"/>
          <w:u w:val="single"/>
          <w:lang w:eastAsia="zh-CN"/>
        </w:rPr>
        <w:t>浙江理工大学</w:t>
      </w:r>
      <w:r>
        <w:rPr>
          <w:rFonts w:hint="eastAsia" w:ascii="宋体" w:hAnsi="宋体" w:eastAsia="宋体" w:cs="宋体"/>
          <w:color w:val="auto"/>
          <w:highlight w:val="none"/>
          <w:u w:val="single"/>
        </w:rPr>
        <w:t>、浙江国际招投标有限公司</w:t>
      </w:r>
      <w:r>
        <w:rPr>
          <w:rFonts w:hint="eastAsia" w:ascii="宋体" w:hAnsi="宋体" w:eastAsia="宋体" w:cs="宋体"/>
          <w:color w:val="auto"/>
          <w:highlight w:val="none"/>
        </w:rPr>
        <w:t>：</w:t>
      </w:r>
    </w:p>
    <w:p>
      <w:pPr>
        <w:spacing w:line="360" w:lineRule="auto"/>
        <w:ind w:firstLine="482"/>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highlight w:val="none"/>
          <w:u w:val="single"/>
        </w:rPr>
        <w:t>（项目名称）</w:t>
      </w:r>
      <w:r>
        <w:rPr>
          <w:rFonts w:hint="eastAsia" w:ascii="宋体" w:hAnsi="宋体" w:eastAsia="宋体" w:cs="宋体"/>
          <w:color w:val="auto"/>
          <w:kern w:val="0"/>
          <w:highlight w:val="none"/>
          <w:lang w:val="zh-CN"/>
        </w:rPr>
        <w:t>【招标编号：</w:t>
      </w:r>
      <w:r>
        <w:rPr>
          <w:rFonts w:hint="eastAsia" w:ascii="宋体" w:hAnsi="宋体" w:eastAsia="宋体" w:cs="宋体"/>
          <w:color w:val="auto"/>
          <w:highlight w:val="none"/>
        </w:rPr>
        <w:t>】的实施</w:t>
      </w:r>
      <w:r>
        <w:rPr>
          <w:rFonts w:hint="eastAsia" w:ascii="宋体" w:hAnsi="宋体" w:eastAsia="宋体" w:cs="宋体"/>
          <w:color w:val="auto"/>
          <w:kern w:val="0"/>
          <w:highlight w:val="none"/>
          <w:lang w:val="zh-CN"/>
        </w:rPr>
        <w:t>。</w:t>
      </w:r>
    </w:p>
    <w:p>
      <w:pPr>
        <w:spacing w:line="360" w:lineRule="auto"/>
        <w:jc w:val="center"/>
        <w:rPr>
          <w:rFonts w:hint="eastAsia" w:ascii="宋体" w:hAnsi="宋体" w:eastAsia="宋体" w:cs="宋体"/>
          <w:b/>
          <w:color w:val="auto"/>
          <w:kern w:val="0"/>
          <w:highlight w:val="none"/>
          <w:lang w:val="zh-CN"/>
        </w:rPr>
      </w:pPr>
      <w:r>
        <w:rPr>
          <w:rFonts w:hint="eastAsia" w:ascii="宋体" w:hAnsi="宋体" w:eastAsia="宋体" w:cs="宋体"/>
          <w:b/>
          <w:color w:val="auto"/>
          <w:kern w:val="0"/>
          <w:highlight w:val="none"/>
          <w:lang w:val="zh-CN"/>
        </w:rPr>
        <w:t>开标一览表（报价表）(单位均为人民币元)</w:t>
      </w:r>
    </w:p>
    <w:tbl>
      <w:tblPr>
        <w:tblStyle w:val="4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417"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名称</w:t>
            </w:r>
          </w:p>
        </w:tc>
        <w:tc>
          <w:tcPr>
            <w:tcW w:w="1843"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品牌（如果有）</w:t>
            </w:r>
          </w:p>
        </w:tc>
        <w:tc>
          <w:tcPr>
            <w:tcW w:w="3118"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规格型号</w:t>
            </w:r>
          </w:p>
        </w:tc>
        <w:tc>
          <w:tcPr>
            <w:tcW w:w="993"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数量</w:t>
            </w:r>
          </w:p>
        </w:tc>
        <w:tc>
          <w:tcPr>
            <w:tcW w:w="1559"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单价</w:t>
            </w:r>
          </w:p>
        </w:tc>
        <w:tc>
          <w:tcPr>
            <w:tcW w:w="1984" w:type="dxa"/>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合计</w:t>
            </w:r>
          </w:p>
        </w:tc>
        <w:tc>
          <w:tcPr>
            <w:tcW w:w="3119" w:type="dxa"/>
            <w:vAlign w:val="center"/>
          </w:tcPr>
          <w:p>
            <w:pPr>
              <w:spacing w:line="400" w:lineRule="exact"/>
              <w:jc w:val="center"/>
              <w:rPr>
                <w:rFonts w:hint="eastAsia" w:ascii="宋体" w:hAnsi="宋体" w:eastAsia="宋体" w:cs="宋体"/>
                <w:b/>
                <w:color w:val="auto"/>
                <w:highlight w:val="none"/>
              </w:rPr>
            </w:pPr>
          </w:p>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备注（如果有）</w:t>
            </w:r>
          </w:p>
          <w:p>
            <w:pPr>
              <w:spacing w:line="400" w:lineRule="exact"/>
              <w:jc w:val="center"/>
              <w:rPr>
                <w:rFonts w:hint="eastAsia" w:ascii="宋体" w:hAnsi="宋体" w:eastAsia="宋体" w:cs="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417" w:type="dxa"/>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XX</w:t>
            </w:r>
          </w:p>
        </w:tc>
        <w:tc>
          <w:tcPr>
            <w:tcW w:w="1843" w:type="dxa"/>
            <w:vAlign w:val="center"/>
          </w:tcPr>
          <w:p>
            <w:pPr>
              <w:spacing w:line="400" w:lineRule="exact"/>
              <w:jc w:val="center"/>
              <w:rPr>
                <w:rFonts w:hint="eastAsia" w:ascii="宋体" w:hAnsi="宋体" w:eastAsia="宋体" w:cs="宋体"/>
                <w:color w:val="auto"/>
                <w:highlight w:val="none"/>
              </w:rPr>
            </w:pPr>
          </w:p>
        </w:tc>
        <w:tc>
          <w:tcPr>
            <w:tcW w:w="3118" w:type="dxa"/>
            <w:vAlign w:val="center"/>
          </w:tcPr>
          <w:p>
            <w:pPr>
              <w:spacing w:line="400" w:lineRule="exact"/>
              <w:jc w:val="center"/>
              <w:rPr>
                <w:rFonts w:hint="eastAsia" w:ascii="宋体" w:hAnsi="宋体" w:eastAsia="宋体" w:cs="宋体"/>
                <w:color w:val="auto"/>
                <w:highlight w:val="none"/>
              </w:rPr>
            </w:pPr>
          </w:p>
        </w:tc>
        <w:tc>
          <w:tcPr>
            <w:tcW w:w="993" w:type="dxa"/>
            <w:vAlign w:val="center"/>
          </w:tcPr>
          <w:p>
            <w:pPr>
              <w:spacing w:line="400" w:lineRule="exact"/>
              <w:jc w:val="center"/>
              <w:rPr>
                <w:rFonts w:hint="eastAsia" w:ascii="宋体" w:hAnsi="宋体" w:eastAsia="宋体" w:cs="宋体"/>
                <w:color w:val="auto"/>
                <w:highlight w:val="none"/>
              </w:rPr>
            </w:pPr>
          </w:p>
        </w:tc>
        <w:tc>
          <w:tcPr>
            <w:tcW w:w="1559" w:type="dxa"/>
            <w:vAlign w:val="center"/>
          </w:tcPr>
          <w:p>
            <w:pPr>
              <w:spacing w:line="400" w:lineRule="exact"/>
              <w:jc w:val="center"/>
              <w:rPr>
                <w:rFonts w:hint="eastAsia" w:ascii="宋体" w:hAnsi="宋体" w:eastAsia="宋体" w:cs="宋体"/>
                <w:color w:val="auto"/>
                <w:highlight w:val="none"/>
              </w:rPr>
            </w:pPr>
          </w:p>
        </w:tc>
        <w:tc>
          <w:tcPr>
            <w:tcW w:w="1984" w:type="dxa"/>
            <w:vAlign w:val="center"/>
          </w:tcPr>
          <w:p>
            <w:pPr>
              <w:spacing w:line="400" w:lineRule="exact"/>
              <w:jc w:val="center"/>
              <w:rPr>
                <w:rFonts w:hint="eastAsia" w:ascii="宋体" w:hAnsi="宋体" w:eastAsia="宋体" w:cs="宋体"/>
                <w:color w:val="auto"/>
                <w:highlight w:val="none"/>
              </w:rPr>
            </w:pPr>
          </w:p>
        </w:tc>
        <w:tc>
          <w:tcPr>
            <w:tcW w:w="3119" w:type="dxa"/>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417" w:type="dxa"/>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XX</w:t>
            </w:r>
          </w:p>
        </w:tc>
        <w:tc>
          <w:tcPr>
            <w:tcW w:w="1843" w:type="dxa"/>
            <w:vAlign w:val="center"/>
          </w:tcPr>
          <w:p>
            <w:pPr>
              <w:spacing w:line="400" w:lineRule="exact"/>
              <w:jc w:val="center"/>
              <w:rPr>
                <w:rFonts w:hint="eastAsia" w:ascii="宋体" w:hAnsi="宋体" w:eastAsia="宋体" w:cs="宋体"/>
                <w:color w:val="auto"/>
                <w:highlight w:val="none"/>
              </w:rPr>
            </w:pPr>
          </w:p>
        </w:tc>
        <w:tc>
          <w:tcPr>
            <w:tcW w:w="3118" w:type="dxa"/>
            <w:vAlign w:val="center"/>
          </w:tcPr>
          <w:p>
            <w:pPr>
              <w:spacing w:line="400" w:lineRule="exact"/>
              <w:jc w:val="center"/>
              <w:rPr>
                <w:rFonts w:hint="eastAsia" w:ascii="宋体" w:hAnsi="宋体" w:eastAsia="宋体" w:cs="宋体"/>
                <w:color w:val="auto"/>
                <w:highlight w:val="none"/>
              </w:rPr>
            </w:pPr>
          </w:p>
        </w:tc>
        <w:tc>
          <w:tcPr>
            <w:tcW w:w="993" w:type="dxa"/>
            <w:vAlign w:val="center"/>
          </w:tcPr>
          <w:p>
            <w:pPr>
              <w:spacing w:line="400" w:lineRule="exact"/>
              <w:jc w:val="center"/>
              <w:rPr>
                <w:rFonts w:hint="eastAsia" w:ascii="宋体" w:hAnsi="宋体" w:eastAsia="宋体" w:cs="宋体"/>
                <w:color w:val="auto"/>
                <w:highlight w:val="none"/>
              </w:rPr>
            </w:pPr>
          </w:p>
        </w:tc>
        <w:tc>
          <w:tcPr>
            <w:tcW w:w="1559" w:type="dxa"/>
            <w:vAlign w:val="center"/>
          </w:tcPr>
          <w:p>
            <w:pPr>
              <w:spacing w:line="400" w:lineRule="exact"/>
              <w:jc w:val="center"/>
              <w:rPr>
                <w:rFonts w:hint="eastAsia" w:ascii="宋体" w:hAnsi="宋体" w:eastAsia="宋体" w:cs="宋体"/>
                <w:color w:val="auto"/>
                <w:highlight w:val="none"/>
              </w:rPr>
            </w:pPr>
          </w:p>
        </w:tc>
        <w:tc>
          <w:tcPr>
            <w:tcW w:w="1984" w:type="dxa"/>
            <w:vAlign w:val="center"/>
          </w:tcPr>
          <w:p>
            <w:pPr>
              <w:spacing w:line="400" w:lineRule="exact"/>
              <w:jc w:val="center"/>
              <w:rPr>
                <w:rFonts w:hint="eastAsia" w:ascii="宋体" w:hAnsi="宋体" w:eastAsia="宋体" w:cs="宋体"/>
                <w:color w:val="auto"/>
                <w:highlight w:val="none"/>
              </w:rPr>
            </w:pPr>
          </w:p>
        </w:tc>
        <w:tc>
          <w:tcPr>
            <w:tcW w:w="3119" w:type="dxa"/>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417" w:type="dxa"/>
            <w:vAlign w:val="center"/>
          </w:tcPr>
          <w:p>
            <w:pPr>
              <w:spacing w:line="400" w:lineRule="exact"/>
              <w:jc w:val="center"/>
              <w:rPr>
                <w:rFonts w:hint="eastAsia" w:ascii="宋体" w:hAnsi="宋体" w:eastAsia="宋体" w:cs="宋体"/>
                <w:color w:val="auto"/>
                <w:highlight w:val="none"/>
              </w:rPr>
            </w:pPr>
          </w:p>
        </w:tc>
        <w:tc>
          <w:tcPr>
            <w:tcW w:w="1843" w:type="dxa"/>
            <w:vAlign w:val="center"/>
          </w:tcPr>
          <w:p>
            <w:pPr>
              <w:spacing w:line="400" w:lineRule="exact"/>
              <w:jc w:val="center"/>
              <w:rPr>
                <w:rFonts w:hint="eastAsia" w:ascii="宋体" w:hAnsi="宋体" w:eastAsia="宋体" w:cs="宋体"/>
                <w:color w:val="auto"/>
                <w:highlight w:val="none"/>
              </w:rPr>
            </w:pPr>
          </w:p>
        </w:tc>
        <w:tc>
          <w:tcPr>
            <w:tcW w:w="3118" w:type="dxa"/>
            <w:vAlign w:val="center"/>
          </w:tcPr>
          <w:p>
            <w:pPr>
              <w:spacing w:line="400" w:lineRule="exact"/>
              <w:jc w:val="center"/>
              <w:rPr>
                <w:rFonts w:hint="eastAsia" w:ascii="宋体" w:hAnsi="宋体" w:eastAsia="宋体" w:cs="宋体"/>
                <w:color w:val="auto"/>
                <w:highlight w:val="none"/>
              </w:rPr>
            </w:pPr>
          </w:p>
        </w:tc>
        <w:tc>
          <w:tcPr>
            <w:tcW w:w="993" w:type="dxa"/>
            <w:vAlign w:val="center"/>
          </w:tcPr>
          <w:p>
            <w:pPr>
              <w:spacing w:line="400" w:lineRule="exact"/>
              <w:jc w:val="center"/>
              <w:rPr>
                <w:rFonts w:hint="eastAsia" w:ascii="宋体" w:hAnsi="宋体" w:eastAsia="宋体" w:cs="宋体"/>
                <w:color w:val="auto"/>
                <w:highlight w:val="none"/>
              </w:rPr>
            </w:pPr>
          </w:p>
        </w:tc>
        <w:tc>
          <w:tcPr>
            <w:tcW w:w="1559" w:type="dxa"/>
            <w:vAlign w:val="center"/>
          </w:tcPr>
          <w:p>
            <w:pPr>
              <w:spacing w:line="400" w:lineRule="exact"/>
              <w:jc w:val="center"/>
              <w:rPr>
                <w:rFonts w:hint="eastAsia" w:ascii="宋体" w:hAnsi="宋体" w:eastAsia="宋体" w:cs="宋体"/>
                <w:color w:val="auto"/>
                <w:highlight w:val="none"/>
              </w:rPr>
            </w:pPr>
          </w:p>
        </w:tc>
        <w:tc>
          <w:tcPr>
            <w:tcW w:w="1984" w:type="dxa"/>
            <w:vAlign w:val="center"/>
          </w:tcPr>
          <w:p>
            <w:pPr>
              <w:spacing w:line="400" w:lineRule="exact"/>
              <w:jc w:val="center"/>
              <w:rPr>
                <w:rFonts w:hint="eastAsia" w:ascii="宋体" w:hAnsi="宋体" w:eastAsia="宋体" w:cs="宋体"/>
                <w:color w:val="auto"/>
                <w:highlight w:val="none"/>
              </w:rPr>
            </w:pPr>
          </w:p>
        </w:tc>
        <w:tc>
          <w:tcPr>
            <w:tcW w:w="3119" w:type="dxa"/>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400" w:lineRule="exact"/>
              <w:jc w:val="center"/>
              <w:rPr>
                <w:rFonts w:hint="eastAsia" w:ascii="宋体" w:hAnsi="宋体" w:eastAsia="宋体" w:cs="宋体"/>
                <w:color w:val="auto"/>
                <w:highlight w:val="none"/>
              </w:rPr>
            </w:pPr>
          </w:p>
        </w:tc>
        <w:tc>
          <w:tcPr>
            <w:tcW w:w="1417" w:type="dxa"/>
            <w:vAlign w:val="center"/>
          </w:tcPr>
          <w:p>
            <w:pPr>
              <w:spacing w:line="400" w:lineRule="exact"/>
              <w:jc w:val="center"/>
              <w:rPr>
                <w:rFonts w:hint="eastAsia" w:ascii="宋体" w:hAnsi="宋体" w:eastAsia="宋体" w:cs="宋体"/>
                <w:color w:val="auto"/>
                <w:highlight w:val="none"/>
              </w:rPr>
            </w:pPr>
          </w:p>
        </w:tc>
        <w:tc>
          <w:tcPr>
            <w:tcW w:w="1843" w:type="dxa"/>
            <w:vAlign w:val="center"/>
          </w:tcPr>
          <w:p>
            <w:pPr>
              <w:spacing w:line="400" w:lineRule="exact"/>
              <w:jc w:val="center"/>
              <w:rPr>
                <w:rFonts w:hint="eastAsia" w:ascii="宋体" w:hAnsi="宋体" w:eastAsia="宋体" w:cs="宋体"/>
                <w:color w:val="auto"/>
                <w:highlight w:val="none"/>
              </w:rPr>
            </w:pPr>
          </w:p>
        </w:tc>
        <w:tc>
          <w:tcPr>
            <w:tcW w:w="3118" w:type="dxa"/>
            <w:vAlign w:val="center"/>
          </w:tcPr>
          <w:p>
            <w:pPr>
              <w:spacing w:line="400" w:lineRule="exact"/>
              <w:jc w:val="center"/>
              <w:rPr>
                <w:rFonts w:hint="eastAsia" w:ascii="宋体" w:hAnsi="宋体" w:eastAsia="宋体" w:cs="宋体"/>
                <w:color w:val="auto"/>
                <w:highlight w:val="none"/>
              </w:rPr>
            </w:pPr>
          </w:p>
        </w:tc>
        <w:tc>
          <w:tcPr>
            <w:tcW w:w="993" w:type="dxa"/>
            <w:vAlign w:val="center"/>
          </w:tcPr>
          <w:p>
            <w:pPr>
              <w:spacing w:line="400" w:lineRule="exact"/>
              <w:jc w:val="center"/>
              <w:rPr>
                <w:rFonts w:hint="eastAsia" w:ascii="宋体" w:hAnsi="宋体" w:eastAsia="宋体" w:cs="宋体"/>
                <w:color w:val="auto"/>
                <w:highlight w:val="none"/>
              </w:rPr>
            </w:pPr>
          </w:p>
        </w:tc>
        <w:tc>
          <w:tcPr>
            <w:tcW w:w="1559" w:type="dxa"/>
            <w:vAlign w:val="center"/>
          </w:tcPr>
          <w:p>
            <w:pPr>
              <w:spacing w:line="400" w:lineRule="exact"/>
              <w:jc w:val="center"/>
              <w:rPr>
                <w:rFonts w:hint="eastAsia" w:ascii="宋体" w:hAnsi="宋体" w:eastAsia="宋体" w:cs="宋体"/>
                <w:color w:val="auto"/>
                <w:highlight w:val="none"/>
              </w:rPr>
            </w:pPr>
          </w:p>
        </w:tc>
        <w:tc>
          <w:tcPr>
            <w:tcW w:w="1984" w:type="dxa"/>
            <w:vAlign w:val="center"/>
          </w:tcPr>
          <w:p>
            <w:pPr>
              <w:spacing w:line="400" w:lineRule="exact"/>
              <w:jc w:val="center"/>
              <w:rPr>
                <w:rFonts w:hint="eastAsia" w:ascii="宋体" w:hAnsi="宋体" w:eastAsia="宋体" w:cs="宋体"/>
                <w:color w:val="auto"/>
                <w:highlight w:val="none"/>
              </w:rPr>
            </w:pPr>
          </w:p>
        </w:tc>
        <w:tc>
          <w:tcPr>
            <w:tcW w:w="3119" w:type="dxa"/>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400" w:lineRule="exact"/>
              <w:jc w:val="center"/>
              <w:rPr>
                <w:rFonts w:hint="eastAsia" w:ascii="宋体" w:hAnsi="宋体" w:eastAsia="宋体" w:cs="宋体"/>
                <w:color w:val="auto"/>
                <w:highlight w:val="none"/>
              </w:rPr>
            </w:pPr>
          </w:p>
        </w:tc>
        <w:tc>
          <w:tcPr>
            <w:tcW w:w="1417" w:type="dxa"/>
            <w:vAlign w:val="center"/>
          </w:tcPr>
          <w:p>
            <w:pPr>
              <w:spacing w:line="400" w:lineRule="exact"/>
              <w:jc w:val="center"/>
              <w:rPr>
                <w:rFonts w:hint="eastAsia" w:ascii="宋体" w:hAnsi="宋体" w:eastAsia="宋体" w:cs="宋体"/>
                <w:color w:val="auto"/>
                <w:highlight w:val="none"/>
              </w:rPr>
            </w:pPr>
          </w:p>
        </w:tc>
        <w:tc>
          <w:tcPr>
            <w:tcW w:w="1843" w:type="dxa"/>
            <w:vAlign w:val="center"/>
          </w:tcPr>
          <w:p>
            <w:pPr>
              <w:spacing w:line="400" w:lineRule="exact"/>
              <w:jc w:val="center"/>
              <w:rPr>
                <w:rFonts w:hint="eastAsia" w:ascii="宋体" w:hAnsi="宋体" w:eastAsia="宋体" w:cs="宋体"/>
                <w:color w:val="auto"/>
                <w:highlight w:val="none"/>
              </w:rPr>
            </w:pPr>
          </w:p>
        </w:tc>
        <w:tc>
          <w:tcPr>
            <w:tcW w:w="3118" w:type="dxa"/>
            <w:vAlign w:val="center"/>
          </w:tcPr>
          <w:p>
            <w:pPr>
              <w:spacing w:line="400" w:lineRule="exact"/>
              <w:jc w:val="center"/>
              <w:rPr>
                <w:rFonts w:hint="eastAsia" w:ascii="宋体" w:hAnsi="宋体" w:eastAsia="宋体" w:cs="宋体"/>
                <w:color w:val="auto"/>
                <w:highlight w:val="none"/>
              </w:rPr>
            </w:pPr>
          </w:p>
        </w:tc>
        <w:tc>
          <w:tcPr>
            <w:tcW w:w="993" w:type="dxa"/>
            <w:vAlign w:val="center"/>
          </w:tcPr>
          <w:p>
            <w:pPr>
              <w:spacing w:line="400" w:lineRule="exact"/>
              <w:jc w:val="center"/>
              <w:rPr>
                <w:rFonts w:hint="eastAsia" w:ascii="宋体" w:hAnsi="宋体" w:eastAsia="宋体" w:cs="宋体"/>
                <w:color w:val="auto"/>
                <w:highlight w:val="none"/>
              </w:rPr>
            </w:pPr>
          </w:p>
        </w:tc>
        <w:tc>
          <w:tcPr>
            <w:tcW w:w="1559" w:type="dxa"/>
            <w:vAlign w:val="center"/>
          </w:tcPr>
          <w:p>
            <w:pPr>
              <w:spacing w:line="400" w:lineRule="exact"/>
              <w:jc w:val="center"/>
              <w:rPr>
                <w:rFonts w:hint="eastAsia" w:ascii="宋体" w:hAnsi="宋体" w:eastAsia="宋体" w:cs="宋体"/>
                <w:color w:val="auto"/>
                <w:highlight w:val="none"/>
              </w:rPr>
            </w:pPr>
          </w:p>
        </w:tc>
        <w:tc>
          <w:tcPr>
            <w:tcW w:w="1984" w:type="dxa"/>
            <w:vAlign w:val="center"/>
          </w:tcPr>
          <w:p>
            <w:pPr>
              <w:spacing w:line="400" w:lineRule="exact"/>
              <w:jc w:val="center"/>
              <w:rPr>
                <w:rFonts w:hint="eastAsia" w:ascii="宋体" w:hAnsi="宋体" w:eastAsia="宋体" w:cs="宋体"/>
                <w:color w:val="auto"/>
                <w:highlight w:val="none"/>
              </w:rPr>
            </w:pPr>
          </w:p>
        </w:tc>
        <w:tc>
          <w:tcPr>
            <w:tcW w:w="3119" w:type="dxa"/>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投标报价（小写）</w:t>
            </w:r>
          </w:p>
        </w:tc>
        <w:tc>
          <w:tcPr>
            <w:tcW w:w="7655" w:type="dxa"/>
            <w:gridSpan w:val="4"/>
            <w:vAlign w:val="center"/>
          </w:tcPr>
          <w:p>
            <w:pPr>
              <w:spacing w:line="40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投标报价（大写）</w:t>
            </w:r>
          </w:p>
        </w:tc>
        <w:tc>
          <w:tcPr>
            <w:tcW w:w="7655" w:type="dxa"/>
            <w:gridSpan w:val="4"/>
            <w:vAlign w:val="center"/>
          </w:tcPr>
          <w:p>
            <w:pPr>
              <w:spacing w:line="400" w:lineRule="exact"/>
              <w:jc w:val="center"/>
              <w:rPr>
                <w:rFonts w:hint="eastAsia" w:ascii="宋体" w:hAnsi="宋体" w:eastAsia="宋体" w:cs="宋体"/>
                <w:color w:val="auto"/>
                <w:highlight w:val="none"/>
              </w:rPr>
            </w:pPr>
          </w:p>
        </w:tc>
      </w:tr>
    </w:tbl>
    <w:p>
      <w:pPr>
        <w:spacing w:line="360" w:lineRule="auto"/>
        <w:ind w:left="480"/>
        <w:rPr>
          <w:rFonts w:hint="eastAsia" w:ascii="宋体" w:hAnsi="宋体" w:eastAsia="宋体" w:cs="宋体"/>
          <w:b/>
          <w:color w:val="auto"/>
          <w:kern w:val="0"/>
          <w:highlight w:val="none"/>
          <w:lang w:val="zh-CN"/>
        </w:rPr>
      </w:pPr>
      <w:r>
        <w:rPr>
          <w:rFonts w:hint="eastAsia" w:ascii="宋体" w:hAnsi="宋体" w:eastAsia="宋体" w:cs="宋体"/>
          <w:b/>
          <w:color w:val="auto"/>
          <w:kern w:val="0"/>
          <w:highlight w:val="none"/>
          <w:lang w:val="zh-CN"/>
        </w:rPr>
        <w:t>注：</w:t>
      </w:r>
    </w:p>
    <w:p>
      <w:pPr>
        <w:spacing w:line="360" w:lineRule="auto"/>
        <w:ind w:left="-2" w:leftChars="-1" w:firstLine="420" w:firstLineChars="2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1、投标人需按本表格式填写</w:t>
      </w:r>
      <w:r>
        <w:rPr>
          <w:rFonts w:hint="eastAsia" w:ascii="宋体" w:hAnsi="宋体" w:eastAsia="宋体" w:cs="宋体"/>
          <w:b/>
          <w:bCs/>
          <w:color w:val="auto"/>
          <w:kern w:val="0"/>
          <w:highlight w:val="none"/>
          <w:lang w:val="zh-CN"/>
        </w:rPr>
        <w:t>。</w:t>
      </w:r>
    </w:p>
    <w:p>
      <w:pPr>
        <w:spacing w:line="360" w:lineRule="auto"/>
        <w:ind w:firstLine="420" w:firstLineChars="2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2、有关本项目实施所涉及的一切费用均计入报价。</w:t>
      </w:r>
      <w:r>
        <w:rPr>
          <w:rFonts w:hint="eastAsia" w:ascii="宋体" w:hAnsi="宋体" w:eastAsia="宋体" w:cs="宋体"/>
          <w:b/>
          <w:color w:val="auto"/>
          <w:kern w:val="0"/>
          <w:highlight w:val="none"/>
          <w:lang w:val="zh-CN"/>
        </w:rPr>
        <w:t>采购内容未包含在《开标一览表（报价表）》名称栏中，投标人不能作出合理解释的，视为投标文件含有采购人不能接受的附加条件的，投标无效。</w:t>
      </w:r>
    </w:p>
    <w:p>
      <w:pPr>
        <w:spacing w:line="360" w:lineRule="auto"/>
        <w:ind w:firstLine="420" w:firstLineChars="2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3、特别提示：采购机构将对项目名称和项目编号，中标供应商名称、地址和中标金额，主要中标标的名称、品牌（如果有）、规格型号、数量、单价等予以公示。</w:t>
      </w:r>
    </w:p>
    <w:p>
      <w:pPr>
        <w:spacing w:line="360" w:lineRule="auto"/>
        <w:ind w:firstLine="420" w:firstLineChars="200"/>
        <w:jc w:val="left"/>
        <w:rPr>
          <w:rFonts w:hint="eastAsia" w:ascii="宋体" w:hAnsi="宋体" w:eastAsia="宋体" w:cs="宋体"/>
          <w:color w:val="auto"/>
          <w:kern w:val="0"/>
          <w:highlight w:val="none"/>
          <w:lang w:val="zh-CN"/>
        </w:rPr>
      </w:pPr>
    </w:p>
    <w:p>
      <w:pPr>
        <w:spacing w:line="360" w:lineRule="auto"/>
        <w:ind w:firstLine="422" w:firstLineChars="200"/>
        <w:rPr>
          <w:rFonts w:hint="eastAsia" w:ascii="宋体" w:hAnsi="宋体" w:eastAsia="宋体" w:cs="宋体"/>
          <w:b/>
          <w:color w:val="auto"/>
          <w:kern w:val="0"/>
          <w:highlight w:val="none"/>
        </w:rPr>
      </w:pPr>
    </w:p>
    <w:p>
      <w:pPr>
        <w:pStyle w:val="144"/>
        <w:keepNext w:val="0"/>
        <w:pageBreakBefore w:val="0"/>
        <w:tabs>
          <w:tab w:val="clear" w:pos="720"/>
        </w:tabs>
        <w:spacing w:before="120" w:after="120"/>
        <w:ind w:firstLine="643"/>
        <w:outlineLvl w:val="9"/>
        <w:rPr>
          <w:rFonts w:hint="eastAsia" w:ascii="宋体" w:hAnsi="宋体" w:eastAsia="宋体" w:cs="宋体"/>
          <w:color w:val="auto"/>
          <w:kern w:val="2"/>
          <w:sz w:val="32"/>
          <w:szCs w:val="32"/>
          <w:highlight w:val="none"/>
        </w:rPr>
      </w:pPr>
    </w:p>
    <w:p>
      <w:pPr>
        <w:autoSpaceDE w:val="0"/>
        <w:autoSpaceDN w:val="0"/>
        <w:spacing w:line="360" w:lineRule="auto"/>
        <w:ind w:left="2" w:leftChars="1" w:right="1120" w:firstLine="7770" w:firstLineChars="3700"/>
        <w:jc w:val="lef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投标人名称（</w:t>
      </w:r>
      <w:r>
        <w:rPr>
          <w:rFonts w:hint="eastAsia" w:ascii="宋体" w:hAnsi="宋体" w:eastAsia="宋体" w:cs="宋体"/>
          <w:color w:val="auto"/>
          <w:highlight w:val="none"/>
        </w:rPr>
        <w:t>电子签名</w:t>
      </w:r>
      <w:r>
        <w:rPr>
          <w:rFonts w:hint="eastAsia" w:ascii="宋体" w:hAnsi="宋体" w:eastAsia="宋体" w:cs="宋体"/>
          <w:color w:val="auto"/>
          <w:kern w:val="0"/>
          <w:highlight w:val="none"/>
          <w:lang w:val="zh-CN"/>
        </w:rPr>
        <w:t>）：</w:t>
      </w:r>
    </w:p>
    <w:p>
      <w:pPr>
        <w:spacing w:line="360" w:lineRule="auto"/>
        <w:ind w:left="4620" w:leftChars="2200" w:firstLine="3780" w:firstLineChars="1800"/>
        <w:rPr>
          <w:rFonts w:hint="eastAsia" w:ascii="宋体" w:hAnsi="宋体" w:eastAsia="宋体" w:cs="宋体"/>
          <w:color w:val="auto"/>
          <w:highlight w:val="none"/>
        </w:rPr>
      </w:pPr>
      <w:r>
        <w:rPr>
          <w:rFonts w:hint="eastAsia" w:ascii="宋体" w:hAnsi="宋体" w:eastAsia="宋体" w:cs="宋体"/>
          <w:color w:val="auto"/>
          <w:kern w:val="0"/>
          <w:highlight w:val="none"/>
          <w:lang w:val="zh-CN"/>
        </w:rPr>
        <w:t>日期</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val="zh-CN"/>
        </w:rPr>
        <w:t>年月日</w:t>
      </w:r>
    </w:p>
    <w:p>
      <w:pPr>
        <w:pStyle w:val="144"/>
        <w:keepNext w:val="0"/>
        <w:pageBreakBefore w:val="0"/>
        <w:tabs>
          <w:tab w:val="clear" w:pos="720"/>
        </w:tabs>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spacing w:line="360" w:lineRule="auto"/>
        <w:jc w:val="center"/>
        <w:outlineLvl w:val="2"/>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二、报价情况说明（如果有）</w:t>
      </w:r>
    </w:p>
    <w:p>
      <w:pPr>
        <w:widowControl/>
        <w:spacing w:line="360" w:lineRule="auto"/>
        <w:ind w:firstLine="105" w:firstLineChars="50"/>
        <w:jc w:val="center"/>
        <w:rPr>
          <w:rFonts w:hint="eastAsia" w:ascii="宋体" w:hAnsi="宋体" w:eastAsia="宋体" w:cs="宋体"/>
          <w:b/>
          <w:color w:val="auto"/>
          <w:kern w:val="0"/>
          <w:highlight w:val="none"/>
        </w:rPr>
        <w:sectPr>
          <w:headerReference r:id="rId11" w:type="first"/>
          <w:footerReference r:id="rId14" w:type="first"/>
          <w:headerReference r:id="rId10" w:type="default"/>
          <w:footerReference r:id="rId12" w:type="default"/>
          <w:footerReference r:id="rId13" w:type="even"/>
          <w:pgSz w:w="11906" w:h="16838"/>
          <w:pgMar w:top="1276" w:right="1418" w:bottom="1247" w:left="1418" w:header="851" w:footer="992" w:gutter="0"/>
          <w:cols w:space="720" w:num="1"/>
          <w:titlePg/>
          <w:docGrid w:linePitch="312" w:charSpace="0"/>
        </w:sectPr>
      </w:pPr>
      <w:r>
        <w:rPr>
          <w:rFonts w:hint="eastAsia" w:ascii="宋体" w:hAnsi="宋体" w:eastAsia="宋体" w:cs="宋体"/>
          <w:b/>
          <w:color w:val="auto"/>
          <w:highlight w:val="none"/>
        </w:rPr>
        <w:t>[如供应商报价低于项目预算50%的，应当提交本文档，详细阐述不影响产品质量或者诚信履约的具体原因]</w:t>
      </w:r>
    </w:p>
    <w:p>
      <w:pPr>
        <w:pageBreakBefore w:val="0"/>
        <w:kinsoku/>
        <w:overflowPunct/>
        <w:topLinePunct w:val="0"/>
        <w:bidi w:val="0"/>
        <w:adjustRightInd w:val="0"/>
        <w:snapToGrid w:val="0"/>
        <w:spacing w:line="336"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三、中小企业声明函（货物）</w:t>
      </w:r>
    </w:p>
    <w:p>
      <w:pPr>
        <w:pStyle w:val="19"/>
        <w:pageBreakBefore w:val="0"/>
        <w:kinsoku/>
        <w:overflowPunct/>
        <w:topLinePunct w:val="0"/>
        <w:bidi w:val="0"/>
        <w:adjustRightInd w:val="0"/>
        <w:snapToGrid w:val="0"/>
        <w:spacing w:line="336" w:lineRule="auto"/>
        <w:rPr>
          <w:rFonts w:hint="eastAsia" w:ascii="宋体" w:hAnsi="宋体" w:eastAsia="宋体" w:cs="宋体"/>
          <w:b/>
          <w:color w:val="auto"/>
          <w:sz w:val="20"/>
          <w:highlight w:val="none"/>
        </w:rPr>
      </w:pPr>
    </w:p>
    <w:p>
      <w:pPr>
        <w:pStyle w:val="19"/>
        <w:pageBreakBefore w:val="0"/>
        <w:kinsoku/>
        <w:overflowPunct/>
        <w:topLinePunct w:val="0"/>
        <w:autoSpaceDE w:val="0"/>
        <w:autoSpaceDN w:val="0"/>
        <w:bidi w:val="0"/>
        <w:adjustRightInd w:val="0"/>
        <w:snapToGrid w:val="0"/>
        <w:spacing w:after="0" w:line="336" w:lineRule="auto"/>
        <w:ind w:right="-65" w:rightChars="-3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本公司（联合体）郑重声明，根据《政府采购促进中小企业发展管理办法》（财库﹝2020﹞46 号）的规定，本公司（联合体）参加</w:t>
      </w:r>
      <w:r>
        <w:rPr>
          <w:rFonts w:hint="eastAsia" w:ascii="宋体" w:hAnsi="宋体" w:eastAsia="宋体" w:cs="宋体"/>
          <w:color w:val="auto"/>
          <w:szCs w:val="21"/>
          <w:highlight w:val="none"/>
          <w:u w:val="single"/>
        </w:rPr>
        <w:t>浙江理工大学</w:t>
      </w:r>
      <w:r>
        <w:rPr>
          <w:rFonts w:hint="eastAsia" w:ascii="宋体" w:hAnsi="宋体" w:eastAsia="宋体" w:cs="宋体"/>
          <w:color w:val="auto"/>
          <w:szCs w:val="21"/>
          <w:highlight w:val="none"/>
          <w:u w:val="single"/>
          <w:lang w:eastAsia="zh-CN"/>
        </w:rPr>
        <w:t>智安校园平台建设项目</w:t>
      </w:r>
      <w:r>
        <w:rPr>
          <w:rFonts w:hint="eastAsia" w:ascii="宋体" w:hAnsi="宋体" w:eastAsia="宋体" w:cs="宋体"/>
          <w:color w:val="auto"/>
          <w:szCs w:val="21"/>
          <w:highlight w:val="none"/>
        </w:rPr>
        <w:t>的采购活动，</w:t>
      </w:r>
      <w:r>
        <w:rPr>
          <w:rFonts w:hint="eastAsia" w:ascii="宋体" w:hAnsi="宋体" w:eastAsia="宋体" w:cs="宋体"/>
          <w:b/>
          <w:bCs/>
          <w:color w:val="auto"/>
          <w:szCs w:val="21"/>
          <w:highlight w:val="none"/>
        </w:rPr>
        <w:t>提</w:t>
      </w:r>
      <w:r>
        <w:rPr>
          <w:rFonts w:hint="eastAsia" w:ascii="宋体" w:hAnsi="宋体" w:eastAsia="宋体" w:cs="宋体"/>
          <w:b/>
          <w:bCs/>
          <w:color w:val="auto"/>
          <w:w w:val="95"/>
          <w:szCs w:val="21"/>
          <w:highlight w:val="none"/>
        </w:rPr>
        <w:t>供的货物全部由符合政策要求的中小企业制造。</w:t>
      </w:r>
      <w:r>
        <w:rPr>
          <w:rFonts w:hint="eastAsia" w:ascii="宋体" w:hAnsi="宋体" w:eastAsia="宋体" w:cs="宋体"/>
          <w:color w:val="auto"/>
          <w:w w:val="95"/>
          <w:szCs w:val="21"/>
          <w:highlight w:val="none"/>
        </w:rPr>
        <w:t>相关企业</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含联合体中的中小企业、签订分包意向协议的中小企业</w:t>
      </w:r>
      <w:r>
        <w:rPr>
          <w:rFonts w:hint="eastAsia" w:ascii="宋体" w:hAnsi="宋体" w:eastAsia="宋体" w:cs="宋体"/>
          <w:color w:val="auto"/>
          <w:szCs w:val="21"/>
          <w:highlight w:val="none"/>
        </w:rPr>
        <w:t>）的具体情况如下（须列明所有标的物制造商情况）：</w:t>
      </w:r>
    </w:p>
    <w:p>
      <w:pPr>
        <w:pStyle w:val="53"/>
        <w:pageBreakBefore w:val="0"/>
        <w:numPr>
          <w:ilvl w:val="0"/>
          <w:numId w:val="0"/>
        </w:numPr>
        <w:tabs>
          <w:tab w:val="left" w:pos="1183"/>
          <w:tab w:val="left" w:pos="1484"/>
          <w:tab w:val="left" w:pos="4662"/>
          <w:tab w:val="left" w:pos="6903"/>
        </w:tabs>
        <w:kinsoku/>
        <w:overflowPunct/>
        <w:topLinePunct w:val="0"/>
        <w:autoSpaceDE w:val="0"/>
        <w:autoSpaceDN w:val="0"/>
        <w:bidi w:val="0"/>
        <w:adjustRightInd w:val="0"/>
        <w:snapToGrid w:val="0"/>
        <w:spacing w:line="336" w:lineRule="auto"/>
        <w:ind w:right="-65" w:rightChars="-31" w:firstLine="420" w:firstLineChars="200"/>
        <w:jc w:val="left"/>
        <w:rPr>
          <w:rFonts w:hint="eastAsia" w:ascii="宋体" w:hAnsi="宋体" w:eastAsia="宋体" w:cs="宋体"/>
          <w:i/>
          <w:color w:val="auto"/>
          <w:w w:val="96"/>
          <w:szCs w:val="21"/>
          <w:highlight w:val="none"/>
          <w:u w:val="single"/>
        </w:rPr>
      </w:pPr>
      <w:r>
        <w:rPr>
          <w:rFonts w:hint="eastAsia" w:ascii="宋体" w:hAnsi="宋体" w:eastAsia="宋体" w:cs="宋体"/>
          <w:iCs/>
          <w:color w:val="auto"/>
          <w:szCs w:val="21"/>
          <w:highlight w:val="none"/>
          <w:u w:val="none"/>
          <w:lang w:val="en-US" w:eastAsia="zh-CN"/>
        </w:rPr>
        <w:t>1.</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标的</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行业</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w w:val="99"/>
          <w:szCs w:val="21"/>
          <w:highlight w:val="none"/>
        </w:rPr>
        <w:t>；制造商为</w:t>
      </w:r>
      <w:r>
        <w:rPr>
          <w:rFonts w:hint="eastAsia" w:ascii="宋体" w:hAnsi="宋体" w:eastAsia="宋体" w:cs="宋体"/>
          <w:i/>
          <w:iCs w:val="0"/>
          <w:color w:val="auto"/>
          <w:w w:val="96"/>
          <w:szCs w:val="21"/>
          <w:highlight w:val="none"/>
          <w:u w:val="single"/>
        </w:rPr>
        <w:t>（企业名称）</w:t>
      </w:r>
      <w:r>
        <w:rPr>
          <w:rFonts w:hint="eastAsia" w:ascii="宋体" w:hAnsi="宋体" w:eastAsia="宋体" w:cs="宋体"/>
          <w:iCs/>
          <w:color w:val="auto"/>
          <w:w w:val="96"/>
          <w:szCs w:val="21"/>
          <w:highlight w:val="none"/>
          <w:u w:val="single"/>
        </w:rPr>
        <w:t xml:space="preserve"> </w:t>
      </w:r>
      <w:r>
        <w:rPr>
          <w:rFonts w:hint="eastAsia" w:ascii="宋体" w:hAnsi="宋体" w:eastAsia="宋体" w:cs="宋体"/>
          <w:iCs/>
          <w:color w:val="auto"/>
          <w:w w:val="99"/>
          <w:szCs w:val="21"/>
          <w:highlight w:val="none"/>
        </w:rPr>
        <w:t>，从业人员</w:t>
      </w:r>
      <w:r>
        <w:rPr>
          <w:rFonts w:hint="eastAsia" w:ascii="宋体" w:hAnsi="宋体" w:eastAsia="宋体" w:cs="宋体"/>
          <w:iCs/>
          <w:color w:val="auto"/>
          <w:w w:val="99"/>
          <w:szCs w:val="21"/>
          <w:highlight w:val="none"/>
          <w:u w:val="single"/>
        </w:rPr>
        <w:t xml:space="preserve">      </w:t>
      </w:r>
      <w:r>
        <w:rPr>
          <w:rFonts w:hint="eastAsia" w:ascii="宋体" w:hAnsi="宋体" w:eastAsia="宋体" w:cs="宋体"/>
          <w:iCs/>
          <w:color w:val="auto"/>
          <w:w w:val="99"/>
          <w:szCs w:val="21"/>
          <w:highlight w:val="none"/>
        </w:rPr>
        <w:t>人，营业收</w:t>
      </w:r>
      <w:r>
        <w:rPr>
          <w:rFonts w:hint="eastAsia" w:ascii="宋体" w:hAnsi="宋体" w:eastAsia="宋体" w:cs="宋体"/>
          <w:iCs/>
          <w:color w:val="auto"/>
          <w:szCs w:val="21"/>
          <w:highlight w:val="none"/>
        </w:rPr>
        <w:t>入为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万元，资产总额为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w:t>
      </w:r>
      <w:r>
        <w:rPr>
          <w:rFonts w:hint="eastAsia" w:ascii="宋体" w:hAnsi="宋体" w:eastAsia="宋体" w:cs="宋体"/>
          <w:iCs/>
          <w:color w:val="auto"/>
          <w:szCs w:val="21"/>
          <w:highlight w:val="none"/>
          <w:vertAlign w:val="superscript"/>
        </w:rPr>
        <w:fldChar w:fldCharType="begin"/>
      </w:r>
      <w:r>
        <w:rPr>
          <w:rFonts w:hint="eastAsia" w:ascii="宋体" w:hAnsi="宋体" w:eastAsia="宋体" w:cs="宋体"/>
          <w:iCs/>
          <w:color w:val="auto"/>
          <w:szCs w:val="21"/>
          <w:highlight w:val="none"/>
          <w:vertAlign w:val="superscript"/>
        </w:rPr>
        <w:instrText xml:space="preserve"> HYPERLINK \l "_bookmark0" </w:instrText>
      </w:r>
      <w:r>
        <w:rPr>
          <w:rFonts w:hint="eastAsia" w:ascii="宋体" w:hAnsi="宋体" w:eastAsia="宋体" w:cs="宋体"/>
          <w:iCs/>
          <w:color w:val="auto"/>
          <w:szCs w:val="21"/>
          <w:highlight w:val="none"/>
          <w:vertAlign w:val="superscript"/>
        </w:rPr>
        <w:fldChar w:fldCharType="separate"/>
      </w:r>
      <w:r>
        <w:rPr>
          <w:rFonts w:hint="eastAsia" w:ascii="宋体" w:hAnsi="宋体" w:eastAsia="宋体" w:cs="宋体"/>
          <w:iCs/>
          <w:color w:val="auto"/>
          <w:szCs w:val="21"/>
          <w:highlight w:val="none"/>
          <w:vertAlign w:val="superscript"/>
        </w:rPr>
        <w:t>1</w:t>
      </w:r>
      <w:r>
        <w:rPr>
          <w:rFonts w:hint="eastAsia" w:ascii="宋体" w:hAnsi="宋体" w:eastAsia="宋体" w:cs="宋体"/>
          <w:iCs/>
          <w:color w:val="auto"/>
          <w:szCs w:val="21"/>
          <w:highlight w:val="none"/>
          <w:vertAlign w:val="superscript"/>
        </w:rPr>
        <w:fldChar w:fldCharType="end"/>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rPr>
        <w:t>（</w:t>
      </w:r>
      <w:r>
        <w:rPr>
          <w:rFonts w:hint="eastAsia" w:ascii="宋体" w:hAnsi="宋体" w:eastAsia="宋体" w:cs="宋体"/>
          <w:i/>
          <w:iCs w:val="0"/>
          <w:color w:val="auto"/>
          <w:szCs w:val="21"/>
          <w:highlight w:val="none"/>
          <w:u w:val="single"/>
        </w:rPr>
        <w:t>中型企业、小</w:t>
      </w:r>
      <w:r>
        <w:rPr>
          <w:rFonts w:hint="eastAsia" w:ascii="宋体" w:hAnsi="宋体" w:eastAsia="宋体" w:cs="宋体"/>
          <w:i/>
          <w:iCs w:val="0"/>
          <w:color w:val="auto"/>
          <w:w w:val="96"/>
          <w:szCs w:val="21"/>
          <w:highlight w:val="none"/>
          <w:u w:val="single"/>
        </w:rPr>
        <w:t>型企业、微型企业）</w:t>
      </w:r>
      <w:r>
        <w:rPr>
          <w:rFonts w:hint="eastAsia" w:ascii="宋体" w:hAnsi="宋体" w:eastAsia="宋体" w:cs="宋体"/>
          <w:iCs/>
          <w:color w:val="auto"/>
          <w:w w:val="99"/>
          <w:szCs w:val="21"/>
          <w:highlight w:val="none"/>
        </w:rPr>
        <w:t>；</w:t>
      </w:r>
      <w:r>
        <w:rPr>
          <w:rFonts w:hint="eastAsia" w:ascii="宋体" w:hAnsi="宋体" w:eastAsia="宋体" w:cs="宋体"/>
          <w:i/>
          <w:color w:val="auto"/>
          <w:w w:val="96"/>
          <w:szCs w:val="21"/>
          <w:highlight w:val="none"/>
          <w:u w:val="single"/>
        </w:rPr>
        <w:t>（</w:t>
      </w:r>
      <w:r>
        <w:rPr>
          <w:rFonts w:hint="eastAsia" w:ascii="宋体" w:hAnsi="宋体" w:eastAsia="宋体" w:cs="宋体"/>
          <w:b/>
          <w:bCs/>
          <w:i/>
          <w:color w:val="auto"/>
          <w:w w:val="96"/>
          <w:szCs w:val="21"/>
          <w:highlight w:val="none"/>
          <w:u w:val="single"/>
        </w:rPr>
        <w:t>特别说明：选择其中一种企业类型填写，不要全部写上。</w:t>
      </w:r>
      <w:r>
        <w:rPr>
          <w:rFonts w:hint="eastAsia" w:ascii="宋体" w:hAnsi="宋体" w:eastAsia="宋体" w:cs="宋体"/>
          <w:i/>
          <w:color w:val="auto"/>
          <w:w w:val="96"/>
          <w:szCs w:val="21"/>
          <w:highlight w:val="none"/>
          <w:u w:val="single"/>
        </w:rPr>
        <w:t>）</w:t>
      </w:r>
    </w:p>
    <w:p>
      <w:pPr>
        <w:pStyle w:val="53"/>
        <w:pageBreakBefore w:val="0"/>
        <w:tabs>
          <w:tab w:val="left" w:pos="1183"/>
          <w:tab w:val="left" w:pos="1484"/>
          <w:tab w:val="left" w:pos="4662"/>
          <w:tab w:val="left" w:pos="6903"/>
        </w:tabs>
        <w:kinsoku/>
        <w:overflowPunct/>
        <w:topLinePunct w:val="0"/>
        <w:autoSpaceDE w:val="0"/>
        <w:autoSpaceDN w:val="0"/>
        <w:bidi w:val="0"/>
        <w:adjustRightInd w:val="0"/>
        <w:snapToGrid w:val="0"/>
        <w:spacing w:line="336" w:lineRule="auto"/>
        <w:ind w:right="-65" w:rightChars="-31" w:firstLine="373" w:firstLineChars="178"/>
        <w:jc w:val="lef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lang w:val="en-US" w:eastAsia="zh-CN"/>
        </w:rPr>
        <w:t>2.</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标的</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行业</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w w:val="99"/>
          <w:szCs w:val="21"/>
          <w:highlight w:val="none"/>
        </w:rPr>
        <w:t>；制造商为</w:t>
      </w:r>
      <w:r>
        <w:rPr>
          <w:rFonts w:hint="eastAsia" w:ascii="宋体" w:hAnsi="宋体" w:eastAsia="宋体" w:cs="宋体"/>
          <w:i/>
          <w:iCs w:val="0"/>
          <w:color w:val="auto"/>
          <w:w w:val="96"/>
          <w:szCs w:val="21"/>
          <w:highlight w:val="none"/>
          <w:u w:val="single"/>
        </w:rPr>
        <w:t>（企业名称）</w:t>
      </w:r>
      <w:r>
        <w:rPr>
          <w:rFonts w:hint="eastAsia" w:ascii="宋体" w:hAnsi="宋体" w:eastAsia="宋体" w:cs="宋体"/>
          <w:iCs/>
          <w:color w:val="auto"/>
          <w:w w:val="96"/>
          <w:szCs w:val="21"/>
          <w:highlight w:val="none"/>
          <w:u w:val="single"/>
        </w:rPr>
        <w:t xml:space="preserve"> </w:t>
      </w:r>
      <w:r>
        <w:rPr>
          <w:rFonts w:hint="eastAsia" w:ascii="宋体" w:hAnsi="宋体" w:eastAsia="宋体" w:cs="宋体"/>
          <w:iCs/>
          <w:color w:val="auto"/>
          <w:w w:val="99"/>
          <w:szCs w:val="21"/>
          <w:highlight w:val="none"/>
        </w:rPr>
        <w:t>，从业人员</w:t>
      </w:r>
      <w:r>
        <w:rPr>
          <w:rFonts w:hint="eastAsia" w:ascii="宋体" w:hAnsi="宋体" w:eastAsia="宋体" w:cs="宋体"/>
          <w:iCs/>
          <w:color w:val="auto"/>
          <w:w w:val="99"/>
          <w:szCs w:val="21"/>
          <w:highlight w:val="none"/>
          <w:u w:val="single"/>
        </w:rPr>
        <w:t xml:space="preserve">      </w:t>
      </w:r>
      <w:r>
        <w:rPr>
          <w:rFonts w:hint="eastAsia" w:ascii="宋体" w:hAnsi="宋体" w:eastAsia="宋体" w:cs="宋体"/>
          <w:iCs/>
          <w:color w:val="auto"/>
          <w:w w:val="99"/>
          <w:szCs w:val="21"/>
          <w:highlight w:val="none"/>
        </w:rPr>
        <w:t>人，营业收</w:t>
      </w:r>
      <w:r>
        <w:rPr>
          <w:rFonts w:hint="eastAsia" w:ascii="宋体" w:hAnsi="宋体" w:eastAsia="宋体" w:cs="宋体"/>
          <w:iCs/>
          <w:color w:val="auto"/>
          <w:szCs w:val="21"/>
          <w:highlight w:val="none"/>
        </w:rPr>
        <w:t>入为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万元，资产总额为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w:t>
      </w:r>
      <w:r>
        <w:rPr>
          <w:rFonts w:hint="eastAsia" w:ascii="宋体" w:hAnsi="宋体" w:eastAsia="宋体" w:cs="宋体"/>
          <w:iCs/>
          <w:color w:val="auto"/>
          <w:szCs w:val="21"/>
          <w:highlight w:val="none"/>
          <w:vertAlign w:val="superscript"/>
        </w:rPr>
        <w:fldChar w:fldCharType="begin"/>
      </w:r>
      <w:r>
        <w:rPr>
          <w:rFonts w:hint="eastAsia" w:ascii="宋体" w:hAnsi="宋体" w:eastAsia="宋体" w:cs="宋体"/>
          <w:iCs/>
          <w:color w:val="auto"/>
          <w:szCs w:val="21"/>
          <w:highlight w:val="none"/>
          <w:vertAlign w:val="superscript"/>
        </w:rPr>
        <w:instrText xml:space="preserve"> HYPERLINK \l "_bookmark0" </w:instrText>
      </w:r>
      <w:r>
        <w:rPr>
          <w:rFonts w:hint="eastAsia" w:ascii="宋体" w:hAnsi="宋体" w:eastAsia="宋体" w:cs="宋体"/>
          <w:iCs/>
          <w:color w:val="auto"/>
          <w:szCs w:val="21"/>
          <w:highlight w:val="none"/>
          <w:vertAlign w:val="superscript"/>
        </w:rPr>
        <w:fldChar w:fldCharType="separate"/>
      </w:r>
      <w:r>
        <w:rPr>
          <w:rFonts w:hint="eastAsia" w:ascii="宋体" w:hAnsi="宋体" w:eastAsia="宋体" w:cs="宋体"/>
          <w:iCs/>
          <w:color w:val="auto"/>
          <w:szCs w:val="21"/>
          <w:highlight w:val="none"/>
          <w:vertAlign w:val="superscript"/>
        </w:rPr>
        <w:t>1</w:t>
      </w:r>
      <w:r>
        <w:rPr>
          <w:rFonts w:hint="eastAsia" w:ascii="宋体" w:hAnsi="宋体" w:eastAsia="宋体" w:cs="宋体"/>
          <w:iCs/>
          <w:color w:val="auto"/>
          <w:szCs w:val="21"/>
          <w:highlight w:val="none"/>
          <w:vertAlign w:val="superscript"/>
        </w:rPr>
        <w:fldChar w:fldCharType="end"/>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rPr>
        <w:t>（</w:t>
      </w:r>
      <w:r>
        <w:rPr>
          <w:rFonts w:hint="eastAsia" w:ascii="宋体" w:hAnsi="宋体" w:eastAsia="宋体" w:cs="宋体"/>
          <w:i/>
          <w:iCs w:val="0"/>
          <w:color w:val="auto"/>
          <w:szCs w:val="21"/>
          <w:highlight w:val="none"/>
          <w:u w:val="single"/>
        </w:rPr>
        <w:t>中型企业、小</w:t>
      </w:r>
      <w:r>
        <w:rPr>
          <w:rFonts w:hint="eastAsia" w:ascii="宋体" w:hAnsi="宋体" w:eastAsia="宋体" w:cs="宋体"/>
          <w:i/>
          <w:iCs w:val="0"/>
          <w:color w:val="auto"/>
          <w:w w:val="96"/>
          <w:szCs w:val="21"/>
          <w:highlight w:val="none"/>
          <w:u w:val="single"/>
        </w:rPr>
        <w:t>型企业、微型企业）</w:t>
      </w:r>
      <w:r>
        <w:rPr>
          <w:rFonts w:hint="eastAsia" w:ascii="宋体" w:hAnsi="宋体" w:eastAsia="宋体" w:cs="宋体"/>
          <w:iCs/>
          <w:color w:val="auto"/>
          <w:w w:val="99"/>
          <w:szCs w:val="21"/>
          <w:highlight w:val="none"/>
        </w:rPr>
        <w:t>；</w:t>
      </w:r>
    </w:p>
    <w:p>
      <w:pPr>
        <w:pStyle w:val="53"/>
        <w:pageBreakBefore w:val="0"/>
        <w:numPr>
          <w:ilvl w:val="0"/>
          <w:numId w:val="0"/>
        </w:numPr>
        <w:tabs>
          <w:tab w:val="left" w:pos="1183"/>
          <w:tab w:val="left" w:pos="1484"/>
          <w:tab w:val="left" w:pos="4662"/>
          <w:tab w:val="left" w:pos="6903"/>
        </w:tabs>
        <w:kinsoku/>
        <w:overflowPunct/>
        <w:topLinePunct w:val="0"/>
        <w:autoSpaceDE w:val="0"/>
        <w:autoSpaceDN w:val="0"/>
        <w:bidi w:val="0"/>
        <w:adjustRightInd w:val="0"/>
        <w:snapToGrid w:val="0"/>
        <w:spacing w:line="336" w:lineRule="auto"/>
        <w:ind w:right="-65" w:rightChars="-31" w:firstLine="420" w:firstLineChars="200"/>
        <w:jc w:val="left"/>
        <w:rPr>
          <w:rFonts w:hint="eastAsia" w:ascii="宋体" w:hAnsi="宋体" w:eastAsia="宋体" w:cs="宋体"/>
          <w:i/>
          <w:color w:val="auto"/>
          <w:w w:val="96"/>
          <w:szCs w:val="21"/>
          <w:highlight w:val="none"/>
          <w:u w:val="single"/>
        </w:rPr>
      </w:pPr>
      <w:r>
        <w:rPr>
          <w:rFonts w:hint="eastAsia" w:ascii="宋体" w:hAnsi="宋体" w:eastAsia="宋体" w:cs="宋体"/>
          <w:iCs/>
          <w:color w:val="auto"/>
          <w:szCs w:val="21"/>
          <w:highlight w:val="none"/>
          <w:lang w:val="en-US" w:eastAsia="zh-CN"/>
        </w:rPr>
        <w:t>3.</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标的</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行业</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w w:val="99"/>
          <w:szCs w:val="21"/>
          <w:highlight w:val="none"/>
        </w:rPr>
        <w:t>；制造商为</w:t>
      </w:r>
      <w:r>
        <w:rPr>
          <w:rFonts w:hint="eastAsia" w:ascii="宋体" w:hAnsi="宋体" w:eastAsia="宋体" w:cs="宋体"/>
          <w:i/>
          <w:iCs w:val="0"/>
          <w:color w:val="auto"/>
          <w:w w:val="96"/>
          <w:szCs w:val="21"/>
          <w:highlight w:val="none"/>
          <w:u w:val="single"/>
        </w:rPr>
        <w:t>（企业名称）</w:t>
      </w:r>
      <w:r>
        <w:rPr>
          <w:rFonts w:hint="eastAsia" w:ascii="宋体" w:hAnsi="宋体" w:eastAsia="宋体" w:cs="宋体"/>
          <w:iCs/>
          <w:color w:val="auto"/>
          <w:w w:val="96"/>
          <w:szCs w:val="21"/>
          <w:highlight w:val="none"/>
          <w:u w:val="single"/>
        </w:rPr>
        <w:t xml:space="preserve"> </w:t>
      </w:r>
      <w:r>
        <w:rPr>
          <w:rFonts w:hint="eastAsia" w:ascii="宋体" w:hAnsi="宋体" w:eastAsia="宋体" w:cs="宋体"/>
          <w:iCs/>
          <w:color w:val="auto"/>
          <w:w w:val="99"/>
          <w:szCs w:val="21"/>
          <w:highlight w:val="none"/>
        </w:rPr>
        <w:t>，从业人员</w:t>
      </w:r>
      <w:r>
        <w:rPr>
          <w:rFonts w:hint="eastAsia" w:ascii="宋体" w:hAnsi="宋体" w:eastAsia="宋体" w:cs="宋体"/>
          <w:iCs/>
          <w:color w:val="auto"/>
          <w:w w:val="99"/>
          <w:szCs w:val="21"/>
          <w:highlight w:val="none"/>
          <w:u w:val="single"/>
        </w:rPr>
        <w:t xml:space="preserve">      </w:t>
      </w:r>
      <w:r>
        <w:rPr>
          <w:rFonts w:hint="eastAsia" w:ascii="宋体" w:hAnsi="宋体" w:eastAsia="宋体" w:cs="宋体"/>
          <w:iCs/>
          <w:color w:val="auto"/>
          <w:w w:val="99"/>
          <w:szCs w:val="21"/>
          <w:highlight w:val="none"/>
        </w:rPr>
        <w:t>人，营业收</w:t>
      </w:r>
      <w:r>
        <w:rPr>
          <w:rFonts w:hint="eastAsia" w:ascii="宋体" w:hAnsi="宋体" w:eastAsia="宋体" w:cs="宋体"/>
          <w:iCs/>
          <w:color w:val="auto"/>
          <w:szCs w:val="21"/>
          <w:highlight w:val="none"/>
        </w:rPr>
        <w:t>入为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万元，资产总额为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w:t>
      </w:r>
      <w:r>
        <w:rPr>
          <w:rFonts w:hint="eastAsia" w:ascii="宋体" w:hAnsi="宋体" w:eastAsia="宋体" w:cs="宋体"/>
          <w:iCs/>
          <w:color w:val="auto"/>
          <w:szCs w:val="21"/>
          <w:highlight w:val="none"/>
          <w:vertAlign w:val="superscript"/>
        </w:rPr>
        <w:fldChar w:fldCharType="begin"/>
      </w:r>
      <w:r>
        <w:rPr>
          <w:rFonts w:hint="eastAsia" w:ascii="宋体" w:hAnsi="宋体" w:eastAsia="宋体" w:cs="宋体"/>
          <w:iCs/>
          <w:color w:val="auto"/>
          <w:szCs w:val="21"/>
          <w:highlight w:val="none"/>
          <w:vertAlign w:val="superscript"/>
        </w:rPr>
        <w:instrText xml:space="preserve"> HYPERLINK \l "_bookmark0" </w:instrText>
      </w:r>
      <w:r>
        <w:rPr>
          <w:rFonts w:hint="eastAsia" w:ascii="宋体" w:hAnsi="宋体" w:eastAsia="宋体" w:cs="宋体"/>
          <w:iCs/>
          <w:color w:val="auto"/>
          <w:szCs w:val="21"/>
          <w:highlight w:val="none"/>
          <w:vertAlign w:val="superscript"/>
        </w:rPr>
        <w:fldChar w:fldCharType="separate"/>
      </w:r>
      <w:r>
        <w:rPr>
          <w:rFonts w:hint="eastAsia" w:ascii="宋体" w:hAnsi="宋体" w:eastAsia="宋体" w:cs="宋体"/>
          <w:iCs/>
          <w:color w:val="auto"/>
          <w:szCs w:val="21"/>
          <w:highlight w:val="none"/>
          <w:vertAlign w:val="superscript"/>
        </w:rPr>
        <w:t>1</w:t>
      </w:r>
      <w:r>
        <w:rPr>
          <w:rFonts w:hint="eastAsia" w:ascii="宋体" w:hAnsi="宋体" w:eastAsia="宋体" w:cs="宋体"/>
          <w:iCs/>
          <w:color w:val="auto"/>
          <w:szCs w:val="21"/>
          <w:highlight w:val="none"/>
          <w:vertAlign w:val="superscript"/>
        </w:rPr>
        <w:fldChar w:fldCharType="end"/>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rPr>
        <w:t>（</w:t>
      </w:r>
      <w:r>
        <w:rPr>
          <w:rFonts w:hint="eastAsia" w:ascii="宋体" w:hAnsi="宋体" w:eastAsia="宋体" w:cs="宋体"/>
          <w:i/>
          <w:iCs w:val="0"/>
          <w:color w:val="auto"/>
          <w:szCs w:val="21"/>
          <w:highlight w:val="none"/>
          <w:u w:val="single"/>
        </w:rPr>
        <w:t>中型企业、小</w:t>
      </w:r>
      <w:r>
        <w:rPr>
          <w:rFonts w:hint="eastAsia" w:ascii="宋体" w:hAnsi="宋体" w:eastAsia="宋体" w:cs="宋体"/>
          <w:i/>
          <w:iCs w:val="0"/>
          <w:color w:val="auto"/>
          <w:w w:val="96"/>
          <w:szCs w:val="21"/>
          <w:highlight w:val="none"/>
          <w:u w:val="single"/>
        </w:rPr>
        <w:t>型企业、微型企业）</w:t>
      </w:r>
      <w:r>
        <w:rPr>
          <w:rFonts w:hint="eastAsia" w:ascii="宋体" w:hAnsi="宋体" w:eastAsia="宋体" w:cs="宋体"/>
          <w:iCs/>
          <w:color w:val="auto"/>
          <w:w w:val="99"/>
          <w:szCs w:val="21"/>
          <w:highlight w:val="none"/>
        </w:rPr>
        <w:t>；</w:t>
      </w:r>
    </w:p>
    <w:p>
      <w:pPr>
        <w:pStyle w:val="53"/>
        <w:pageBreakBefore w:val="0"/>
        <w:tabs>
          <w:tab w:val="left" w:pos="1183"/>
          <w:tab w:val="left" w:pos="1484"/>
          <w:tab w:val="left" w:pos="4662"/>
          <w:tab w:val="left" w:pos="6903"/>
        </w:tabs>
        <w:kinsoku/>
        <w:overflowPunct/>
        <w:topLinePunct w:val="0"/>
        <w:autoSpaceDE w:val="0"/>
        <w:autoSpaceDN w:val="0"/>
        <w:bidi w:val="0"/>
        <w:adjustRightInd w:val="0"/>
        <w:snapToGrid w:val="0"/>
        <w:spacing w:line="336" w:lineRule="auto"/>
        <w:ind w:right="-65" w:rightChars="-31" w:firstLine="373" w:firstLineChars="178"/>
        <w:jc w:val="left"/>
        <w:rPr>
          <w:rFonts w:hint="eastAsia" w:ascii="宋体" w:hAnsi="宋体" w:eastAsia="宋体" w:cs="宋体"/>
          <w:color w:val="auto"/>
          <w:szCs w:val="21"/>
          <w:highlight w:val="none"/>
        </w:rPr>
      </w:pPr>
      <w:r>
        <w:rPr>
          <w:rFonts w:hint="eastAsia" w:ascii="宋体" w:hAnsi="宋体" w:eastAsia="宋体" w:cs="宋体"/>
          <w:iCs/>
          <w:color w:val="auto"/>
          <w:szCs w:val="21"/>
          <w:highlight w:val="none"/>
          <w:lang w:val="en-US" w:eastAsia="zh-CN"/>
        </w:rPr>
        <w:t>4.</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标的</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lang w:eastAsia="zh-CN"/>
        </w:rPr>
        <w:t>（</w:t>
      </w:r>
      <w:r>
        <w:rPr>
          <w:rFonts w:hint="eastAsia" w:ascii="宋体" w:hAnsi="宋体" w:eastAsia="宋体" w:cs="宋体"/>
          <w:i/>
          <w:iCs w:val="0"/>
          <w:color w:val="auto"/>
          <w:w w:val="96"/>
          <w:szCs w:val="21"/>
          <w:highlight w:val="none"/>
          <w:u w:val="single"/>
          <w:lang w:eastAsia="zh-CN"/>
        </w:rPr>
        <w:t>行业</w:t>
      </w:r>
      <w:r>
        <w:rPr>
          <w:rFonts w:hint="eastAsia" w:ascii="宋体" w:hAnsi="宋体" w:eastAsia="宋体" w:cs="宋体"/>
          <w:iCs/>
          <w:color w:val="auto"/>
          <w:szCs w:val="21"/>
          <w:highlight w:val="none"/>
          <w:u w:val="single"/>
          <w:lang w:eastAsia="zh-CN"/>
        </w:rPr>
        <w:t>）</w:t>
      </w:r>
      <w:r>
        <w:rPr>
          <w:rFonts w:hint="eastAsia" w:ascii="宋体" w:hAnsi="宋体" w:eastAsia="宋体" w:cs="宋体"/>
          <w:iCs/>
          <w:color w:val="auto"/>
          <w:w w:val="99"/>
          <w:szCs w:val="21"/>
          <w:highlight w:val="none"/>
        </w:rPr>
        <w:t>；制造商为</w:t>
      </w:r>
      <w:r>
        <w:rPr>
          <w:rFonts w:hint="eastAsia" w:ascii="宋体" w:hAnsi="宋体" w:eastAsia="宋体" w:cs="宋体"/>
          <w:i/>
          <w:iCs w:val="0"/>
          <w:color w:val="auto"/>
          <w:w w:val="96"/>
          <w:szCs w:val="21"/>
          <w:highlight w:val="none"/>
          <w:u w:val="single"/>
        </w:rPr>
        <w:t>（企业名称）</w:t>
      </w:r>
      <w:r>
        <w:rPr>
          <w:rFonts w:hint="eastAsia" w:ascii="宋体" w:hAnsi="宋体" w:eastAsia="宋体" w:cs="宋体"/>
          <w:iCs/>
          <w:color w:val="auto"/>
          <w:w w:val="96"/>
          <w:szCs w:val="21"/>
          <w:highlight w:val="none"/>
          <w:u w:val="single"/>
        </w:rPr>
        <w:t xml:space="preserve"> </w:t>
      </w:r>
      <w:r>
        <w:rPr>
          <w:rFonts w:hint="eastAsia" w:ascii="宋体" w:hAnsi="宋体" w:eastAsia="宋体" w:cs="宋体"/>
          <w:iCs/>
          <w:color w:val="auto"/>
          <w:w w:val="99"/>
          <w:szCs w:val="21"/>
          <w:highlight w:val="none"/>
        </w:rPr>
        <w:t>，从业人员</w:t>
      </w:r>
      <w:r>
        <w:rPr>
          <w:rFonts w:hint="eastAsia" w:ascii="宋体" w:hAnsi="宋体" w:eastAsia="宋体" w:cs="宋体"/>
          <w:iCs/>
          <w:color w:val="auto"/>
          <w:w w:val="99"/>
          <w:szCs w:val="21"/>
          <w:highlight w:val="none"/>
          <w:u w:val="single"/>
        </w:rPr>
        <w:t xml:space="preserve">      </w:t>
      </w:r>
      <w:r>
        <w:rPr>
          <w:rFonts w:hint="eastAsia" w:ascii="宋体" w:hAnsi="宋体" w:eastAsia="宋体" w:cs="宋体"/>
          <w:iCs/>
          <w:color w:val="auto"/>
          <w:w w:val="99"/>
          <w:szCs w:val="21"/>
          <w:highlight w:val="none"/>
        </w:rPr>
        <w:t>人，营业收</w:t>
      </w:r>
      <w:r>
        <w:rPr>
          <w:rFonts w:hint="eastAsia" w:ascii="宋体" w:hAnsi="宋体" w:eastAsia="宋体" w:cs="宋体"/>
          <w:iCs/>
          <w:color w:val="auto"/>
          <w:szCs w:val="21"/>
          <w:highlight w:val="none"/>
        </w:rPr>
        <w:t>入为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万元，资产总额为</w:t>
      </w:r>
      <w:r>
        <w:rPr>
          <w:rFonts w:hint="eastAsia" w:ascii="宋体" w:hAnsi="宋体" w:eastAsia="宋体" w:cs="宋体"/>
          <w:iCs/>
          <w:color w:val="auto"/>
          <w:szCs w:val="21"/>
          <w:highlight w:val="none"/>
          <w:u w:val="single"/>
        </w:rPr>
        <w:t xml:space="preserve">   </w:t>
      </w:r>
      <w:r>
        <w:rPr>
          <w:rFonts w:hint="eastAsia" w:ascii="宋体" w:hAnsi="宋体" w:eastAsia="宋体" w:cs="宋体"/>
          <w:iCs/>
          <w:color w:val="auto"/>
          <w:szCs w:val="21"/>
          <w:highlight w:val="none"/>
        </w:rPr>
        <w:t>万元</w:t>
      </w:r>
      <w:r>
        <w:rPr>
          <w:rFonts w:hint="eastAsia" w:ascii="宋体" w:hAnsi="宋体" w:eastAsia="宋体" w:cs="宋体"/>
          <w:iCs/>
          <w:color w:val="auto"/>
          <w:szCs w:val="21"/>
          <w:highlight w:val="none"/>
          <w:vertAlign w:val="superscript"/>
        </w:rPr>
        <w:fldChar w:fldCharType="begin"/>
      </w:r>
      <w:r>
        <w:rPr>
          <w:rFonts w:hint="eastAsia" w:ascii="宋体" w:hAnsi="宋体" w:eastAsia="宋体" w:cs="宋体"/>
          <w:iCs/>
          <w:color w:val="auto"/>
          <w:szCs w:val="21"/>
          <w:highlight w:val="none"/>
          <w:vertAlign w:val="superscript"/>
        </w:rPr>
        <w:instrText xml:space="preserve"> HYPERLINK \l "_bookmark0" </w:instrText>
      </w:r>
      <w:r>
        <w:rPr>
          <w:rFonts w:hint="eastAsia" w:ascii="宋体" w:hAnsi="宋体" w:eastAsia="宋体" w:cs="宋体"/>
          <w:iCs/>
          <w:color w:val="auto"/>
          <w:szCs w:val="21"/>
          <w:highlight w:val="none"/>
          <w:vertAlign w:val="superscript"/>
        </w:rPr>
        <w:fldChar w:fldCharType="separate"/>
      </w:r>
      <w:r>
        <w:rPr>
          <w:rFonts w:hint="eastAsia" w:ascii="宋体" w:hAnsi="宋体" w:eastAsia="宋体" w:cs="宋体"/>
          <w:iCs/>
          <w:color w:val="auto"/>
          <w:szCs w:val="21"/>
          <w:highlight w:val="none"/>
          <w:vertAlign w:val="superscript"/>
        </w:rPr>
        <w:t>1</w:t>
      </w:r>
      <w:r>
        <w:rPr>
          <w:rFonts w:hint="eastAsia" w:ascii="宋体" w:hAnsi="宋体" w:eastAsia="宋体" w:cs="宋体"/>
          <w:iCs/>
          <w:color w:val="auto"/>
          <w:szCs w:val="21"/>
          <w:highlight w:val="none"/>
          <w:vertAlign w:val="superscript"/>
        </w:rPr>
        <w:fldChar w:fldCharType="end"/>
      </w:r>
      <w:r>
        <w:rPr>
          <w:rFonts w:hint="eastAsia" w:ascii="宋体" w:hAnsi="宋体" w:eastAsia="宋体" w:cs="宋体"/>
          <w:iCs/>
          <w:color w:val="auto"/>
          <w:szCs w:val="21"/>
          <w:highlight w:val="none"/>
        </w:rPr>
        <w:t>，属于</w:t>
      </w:r>
      <w:r>
        <w:rPr>
          <w:rFonts w:hint="eastAsia" w:ascii="宋体" w:hAnsi="宋体" w:eastAsia="宋体" w:cs="宋体"/>
          <w:iCs/>
          <w:color w:val="auto"/>
          <w:szCs w:val="21"/>
          <w:highlight w:val="none"/>
          <w:u w:val="single"/>
        </w:rPr>
        <w:t>（</w:t>
      </w:r>
      <w:r>
        <w:rPr>
          <w:rFonts w:hint="eastAsia" w:ascii="宋体" w:hAnsi="宋体" w:eastAsia="宋体" w:cs="宋体"/>
          <w:i/>
          <w:iCs w:val="0"/>
          <w:color w:val="auto"/>
          <w:szCs w:val="21"/>
          <w:highlight w:val="none"/>
          <w:u w:val="single"/>
        </w:rPr>
        <w:t>中型企业、小</w:t>
      </w:r>
      <w:r>
        <w:rPr>
          <w:rFonts w:hint="eastAsia" w:ascii="宋体" w:hAnsi="宋体" w:eastAsia="宋体" w:cs="宋体"/>
          <w:i/>
          <w:iCs w:val="0"/>
          <w:color w:val="auto"/>
          <w:w w:val="96"/>
          <w:szCs w:val="21"/>
          <w:highlight w:val="none"/>
          <w:u w:val="single"/>
        </w:rPr>
        <w:t>型企业、微型企业）</w:t>
      </w:r>
      <w:r>
        <w:rPr>
          <w:rFonts w:hint="eastAsia" w:ascii="宋体" w:hAnsi="宋体" w:eastAsia="宋体" w:cs="宋体"/>
          <w:iCs/>
          <w:color w:val="auto"/>
          <w:w w:val="99"/>
          <w:szCs w:val="21"/>
          <w:highlight w:val="none"/>
        </w:rPr>
        <w:t>；</w:t>
      </w:r>
    </w:p>
    <w:p>
      <w:pPr>
        <w:pStyle w:val="19"/>
        <w:pageBreakBefore w:val="0"/>
        <w:kinsoku/>
        <w:overflowPunct/>
        <w:topLinePunct w:val="0"/>
        <w:autoSpaceDE w:val="0"/>
        <w:autoSpaceDN w:val="0"/>
        <w:bidi w:val="0"/>
        <w:adjustRightInd w:val="0"/>
        <w:snapToGrid w:val="0"/>
        <w:spacing w:after="0" w:line="336" w:lineRule="auto"/>
        <w:ind w:right="-65" w:rightChars="-31"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p>
      <w:pPr>
        <w:pStyle w:val="19"/>
        <w:pageBreakBefore w:val="0"/>
        <w:kinsoku/>
        <w:overflowPunct/>
        <w:topLinePunct w:val="0"/>
        <w:autoSpaceDE w:val="0"/>
        <w:autoSpaceDN w:val="0"/>
        <w:bidi w:val="0"/>
        <w:adjustRightInd w:val="0"/>
        <w:snapToGrid w:val="0"/>
        <w:spacing w:after="0" w:line="336" w:lineRule="auto"/>
        <w:ind w:right="-65" w:rightChars="-31" w:firstLine="420" w:firstLineChars="200"/>
        <w:rPr>
          <w:rFonts w:hint="eastAsia" w:ascii="宋体" w:hAnsi="宋体" w:eastAsia="宋体" w:cs="宋体"/>
          <w:color w:val="auto"/>
          <w:szCs w:val="21"/>
          <w:highlight w:val="none"/>
        </w:rPr>
      </w:pPr>
    </w:p>
    <w:p>
      <w:pPr>
        <w:pStyle w:val="19"/>
        <w:pageBreakBefore w:val="0"/>
        <w:kinsoku/>
        <w:overflowPunct/>
        <w:topLinePunct w:val="0"/>
        <w:autoSpaceDE w:val="0"/>
        <w:autoSpaceDN w:val="0"/>
        <w:bidi w:val="0"/>
        <w:adjustRightInd w:val="0"/>
        <w:snapToGrid w:val="0"/>
        <w:spacing w:after="0" w:line="336" w:lineRule="auto"/>
        <w:ind w:right="-65" w:rightChars="-3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以上企业，不属于大企业的分支机构，不存在控股股东为大企业的情形，也不存在与大企业的负责人为同一人的情形。</w:t>
      </w:r>
    </w:p>
    <w:p>
      <w:pPr>
        <w:pStyle w:val="19"/>
        <w:pageBreakBefore w:val="0"/>
        <w:kinsoku/>
        <w:overflowPunct/>
        <w:topLinePunct w:val="0"/>
        <w:autoSpaceDE w:val="0"/>
        <w:autoSpaceDN w:val="0"/>
        <w:bidi w:val="0"/>
        <w:adjustRightInd w:val="0"/>
        <w:snapToGrid w:val="0"/>
        <w:spacing w:after="0" w:line="336" w:lineRule="auto"/>
        <w:ind w:right="-65" w:rightChars="-3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本企业对上述声明内容的真实性负责。如有虚假，将依法承担相应责任。</w:t>
      </w:r>
    </w:p>
    <w:p>
      <w:pPr>
        <w:pStyle w:val="19"/>
        <w:pageBreakBefore w:val="0"/>
        <w:kinsoku/>
        <w:overflowPunct/>
        <w:topLinePunct w:val="0"/>
        <w:autoSpaceDE w:val="0"/>
        <w:autoSpaceDN w:val="0"/>
        <w:bidi w:val="0"/>
        <w:adjustRightInd w:val="0"/>
        <w:snapToGrid w:val="0"/>
        <w:spacing w:after="0" w:line="336" w:lineRule="auto"/>
        <w:ind w:right="372" w:firstLine="645"/>
        <w:rPr>
          <w:rFonts w:hint="eastAsia" w:ascii="宋体" w:hAnsi="宋体" w:eastAsia="宋体" w:cs="宋体"/>
          <w:color w:val="auto"/>
          <w:szCs w:val="21"/>
          <w:highlight w:val="none"/>
        </w:rPr>
      </w:pPr>
    </w:p>
    <w:p>
      <w:pPr>
        <w:pageBreakBefore w:val="0"/>
        <w:kinsoku/>
        <w:overflowPunct/>
        <w:topLinePunct w:val="0"/>
        <w:bidi w:val="0"/>
        <w:adjustRightInd w:val="0"/>
        <w:snapToGrid w:val="0"/>
        <w:spacing w:line="336" w:lineRule="auto"/>
        <w:jc w:val="right"/>
        <w:rPr>
          <w:rFonts w:hint="eastAsia" w:ascii="宋体" w:hAnsi="宋体" w:eastAsia="宋体" w:cs="宋体"/>
          <w:color w:val="auto"/>
          <w:highlight w:val="none"/>
        </w:rPr>
      </w:pPr>
      <w:r>
        <w:rPr>
          <w:rFonts w:hint="eastAsia" w:ascii="宋体" w:hAnsi="宋体" w:eastAsia="宋体" w:cs="宋体"/>
          <w:color w:val="auto"/>
          <w:highlight w:val="none"/>
        </w:rPr>
        <w:t>企业名称（盖公章或电子签章）：</w:t>
      </w:r>
    </w:p>
    <w:p>
      <w:pPr>
        <w:pageBreakBefore w:val="0"/>
        <w:kinsoku/>
        <w:overflowPunct/>
        <w:topLinePunct w:val="0"/>
        <w:bidi w:val="0"/>
        <w:adjustRightInd w:val="0"/>
        <w:snapToGrid w:val="0"/>
        <w:spacing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日期：</w:t>
      </w:r>
    </w:p>
    <w:p>
      <w:pPr>
        <w:pageBreakBefore w:val="0"/>
        <w:kinsoku/>
        <w:overflowPunct/>
        <w:topLinePunct w:val="0"/>
        <w:autoSpaceDE w:val="0"/>
        <w:autoSpaceDN w:val="0"/>
        <w:bidi w:val="0"/>
        <w:adjustRightInd w:val="0"/>
        <w:snapToGrid w:val="0"/>
        <w:spacing w:line="336" w:lineRule="auto"/>
        <w:rPr>
          <w:rFonts w:hint="eastAsia" w:ascii="宋体" w:hAnsi="宋体" w:eastAsia="宋体" w:cs="宋体"/>
          <w:color w:val="auto"/>
          <w:szCs w:val="21"/>
          <w:highlight w:val="none"/>
        </w:rPr>
      </w:pPr>
    </w:p>
    <w:p>
      <w:pPr>
        <w:pageBreakBefore w:val="0"/>
        <w:kinsoku/>
        <w:overflowPunct/>
        <w:topLinePunct w:val="0"/>
        <w:bidi w:val="0"/>
        <w:adjustRightInd w:val="0"/>
        <w:snapToGrid w:val="0"/>
        <w:spacing w:line="336" w:lineRule="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说明：</w:t>
      </w:r>
    </w:p>
    <w:p>
      <w:pPr>
        <w:pageBreakBefore w:val="0"/>
        <w:numPr>
          <w:ilvl w:val="0"/>
          <w:numId w:val="19"/>
        </w:numPr>
        <w:kinsoku/>
        <w:overflowPunct/>
        <w:topLinePunct w:val="0"/>
        <w:bidi w:val="0"/>
        <w:adjustRightInd w:val="0"/>
        <w:snapToGrid w:val="0"/>
        <w:spacing w:line="336" w:lineRule="auto"/>
        <w:ind w:left="20"/>
        <w:jc w:val="left"/>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填写要求：①“标的名称”、“</w:t>
      </w:r>
      <w:r>
        <w:rPr>
          <w:rFonts w:hint="eastAsia" w:ascii="宋体" w:hAnsi="宋体" w:eastAsia="宋体" w:cs="宋体"/>
          <w:b/>
          <w:color w:val="auto"/>
          <w:sz w:val="18"/>
          <w:szCs w:val="18"/>
          <w:highlight w:val="none"/>
          <w:lang w:eastAsia="zh-CN"/>
        </w:rPr>
        <w:t>招标文件</w:t>
      </w:r>
      <w:r>
        <w:rPr>
          <w:rFonts w:hint="eastAsia" w:ascii="宋体" w:hAnsi="宋体" w:eastAsia="宋体" w:cs="宋体"/>
          <w:b/>
          <w:color w:val="auto"/>
          <w:sz w:val="18"/>
          <w:szCs w:val="18"/>
          <w:highlight w:val="none"/>
        </w:rPr>
        <w:t>中明确的所属行业”依据磋商文件第三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p>
    <w:p>
      <w:pPr>
        <w:pageBreakBefore w:val="0"/>
        <w:numPr>
          <w:ilvl w:val="0"/>
          <w:numId w:val="0"/>
        </w:numPr>
        <w:kinsoku/>
        <w:overflowPunct/>
        <w:topLinePunct w:val="0"/>
        <w:bidi w:val="0"/>
        <w:adjustRightInd w:val="0"/>
        <w:snapToGrid w:val="0"/>
        <w:spacing w:line="336" w:lineRule="auto"/>
        <w:jc w:val="left"/>
        <w:rPr>
          <w:rFonts w:hint="eastAsia" w:ascii="宋体" w:hAnsi="宋体" w:eastAsia="宋体" w:cs="宋体"/>
          <w:b/>
          <w:bCs/>
          <w:i/>
          <w:iCs/>
          <w:color w:val="auto"/>
          <w:sz w:val="18"/>
          <w:highlight w:val="none"/>
        </w:rPr>
      </w:pPr>
      <w:r>
        <w:rPr>
          <w:rFonts w:hint="eastAsia" w:ascii="宋体" w:hAnsi="宋体" w:eastAsia="宋体" w:cs="宋体"/>
          <w:b/>
          <w:color w:val="auto"/>
          <w:sz w:val="18"/>
          <w:szCs w:val="18"/>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val="0"/>
        <w:kinsoku/>
        <w:overflowPunct/>
        <w:topLinePunct w:val="0"/>
        <w:bidi w:val="0"/>
        <w:adjustRightInd w:val="0"/>
        <w:snapToGrid w:val="0"/>
        <w:spacing w:line="336" w:lineRule="auto"/>
        <w:ind w:left="20"/>
        <w:jc w:val="left"/>
        <w:rPr>
          <w:rFonts w:hint="eastAsia" w:ascii="宋体" w:hAnsi="宋体" w:eastAsia="宋体" w:cs="宋体"/>
          <w:b/>
          <w:color w:val="auto"/>
          <w:sz w:val="18"/>
          <w:highlight w:val="none"/>
        </w:rPr>
      </w:pPr>
    </w:p>
    <w:p>
      <w:pPr>
        <w:pageBreakBefore w:val="0"/>
        <w:tabs>
          <w:tab w:val="left" w:pos="720"/>
        </w:tabs>
        <w:kinsoku/>
        <w:overflowPunct/>
        <w:topLinePunct w:val="0"/>
        <w:bidi w:val="0"/>
        <w:adjustRightInd w:val="0"/>
        <w:snapToGrid w:val="0"/>
        <w:spacing w:line="336" w:lineRule="auto"/>
        <w:jc w:val="left"/>
        <w:rPr>
          <w:rFonts w:hint="eastAsia" w:ascii="宋体" w:hAnsi="宋体" w:eastAsia="宋体" w:cs="宋体"/>
          <w:b/>
          <w:snapToGrid w:val="0"/>
          <w:color w:val="auto"/>
          <w:kern w:val="0"/>
          <w:szCs w:val="21"/>
          <w:highlight w:val="none"/>
        </w:rPr>
        <w:sectPr>
          <w:footerReference r:id="rId15" w:type="default"/>
          <w:footerReference r:id="rId16" w:type="even"/>
          <w:pgSz w:w="11906" w:h="16838"/>
          <w:pgMar w:top="1417" w:right="1417" w:bottom="1134" w:left="1701" w:header="850" w:footer="850" w:gutter="0"/>
          <w:pgBorders>
            <w:top w:val="none" w:sz="0" w:space="0"/>
            <w:left w:val="none" w:sz="0" w:space="0"/>
            <w:bottom w:val="none" w:sz="0" w:space="0"/>
            <w:right w:val="none" w:sz="0" w:space="0"/>
          </w:pgBorders>
          <w:pgNumType w:fmt="decimal" w:start="1"/>
          <w:cols w:space="720" w:num="1"/>
          <w:docGrid w:linePitch="312" w:charSpace="0"/>
        </w:sectPr>
      </w:pPr>
    </w:p>
    <w:p>
      <w:pPr>
        <w:pageBreakBefore w:val="0"/>
        <w:tabs>
          <w:tab w:val="left" w:pos="720"/>
        </w:tabs>
        <w:kinsoku/>
        <w:overflowPunct/>
        <w:topLinePunct w:val="0"/>
        <w:bidi w:val="0"/>
        <w:adjustRightInd w:val="0"/>
        <w:snapToGrid w:val="0"/>
        <w:spacing w:line="336" w:lineRule="auto"/>
        <w:jc w:val="left"/>
        <w:rPr>
          <w:rFonts w:hint="eastAsia" w:ascii="宋体" w:hAnsi="宋体" w:eastAsia="宋体" w:cs="宋体"/>
          <w:b/>
          <w:snapToGrid w:val="0"/>
          <w:color w:val="auto"/>
          <w:kern w:val="0"/>
          <w:szCs w:val="21"/>
          <w:highlight w:val="none"/>
        </w:rPr>
        <w:sectPr>
          <w:pgSz w:w="16838" w:h="11906" w:orient="landscape"/>
          <w:pgMar w:top="1701" w:right="1417" w:bottom="1417" w:left="1134" w:header="850" w:footer="850"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highlight w:val="none"/>
        </w:rPr>
        <w:drawing>
          <wp:inline distT="0" distB="0" distL="114300" distR="114300">
            <wp:extent cx="9077960" cy="5484495"/>
            <wp:effectExtent l="0" t="0" r="5080" b="1905"/>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40"/>
                    <a:stretch>
                      <a:fillRect/>
                    </a:stretch>
                  </pic:blipFill>
                  <pic:spPr>
                    <a:xfrm>
                      <a:off x="0" y="0"/>
                      <a:ext cx="9077960" cy="5484495"/>
                    </a:xfrm>
                    <a:prstGeom prst="rect">
                      <a:avLst/>
                    </a:prstGeom>
                    <a:noFill/>
                    <a:ln>
                      <a:noFill/>
                    </a:ln>
                  </pic:spPr>
                </pic:pic>
              </a:graphicData>
            </a:graphic>
          </wp:inline>
        </w:drawing>
      </w:r>
    </w:p>
    <w:p>
      <w:pPr>
        <w:pStyle w:val="40"/>
        <w:pageBreakBefore w:val="0"/>
        <w:kinsoku/>
        <w:overflowPunct/>
        <w:topLinePunct w:val="0"/>
        <w:bidi w:val="0"/>
        <w:adjustRightInd w:val="0"/>
        <w:snapToGrid w:val="0"/>
        <w:spacing w:beforeAutospacing="0" w:afterAutospacing="0" w:line="336"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8"/>
          <w:szCs w:val="28"/>
          <w:highlight w:val="none"/>
          <w:lang w:eastAsia="zh-CN"/>
        </w:rPr>
        <w:t>标的</w:t>
      </w:r>
      <w:r>
        <w:rPr>
          <w:rFonts w:hint="eastAsia" w:ascii="宋体" w:hAnsi="宋体" w:cs="宋体"/>
          <w:b/>
          <w:color w:val="auto"/>
          <w:sz w:val="28"/>
          <w:szCs w:val="28"/>
          <w:highlight w:val="none"/>
          <w:lang w:eastAsia="zh-CN"/>
        </w:rPr>
        <w:t>清单及</w:t>
      </w:r>
      <w:r>
        <w:rPr>
          <w:rFonts w:hint="eastAsia" w:ascii="宋体" w:hAnsi="宋体" w:eastAsia="宋体" w:cs="宋体"/>
          <w:b/>
          <w:bCs/>
          <w:i w:val="0"/>
          <w:iCs w:val="0"/>
          <w:color w:val="auto"/>
          <w:kern w:val="0"/>
          <w:sz w:val="28"/>
          <w:szCs w:val="28"/>
          <w:highlight w:val="none"/>
          <w:u w:val="none"/>
          <w:lang w:val="en-US" w:eastAsia="zh-CN" w:bidi="ar"/>
        </w:rPr>
        <w:t>所属行业</w:t>
      </w:r>
    </w:p>
    <w:tbl>
      <w:tblPr>
        <w:tblStyle w:val="45"/>
        <w:tblW w:w="8662" w:type="dxa"/>
        <w:tblInd w:w="-178"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5"/>
        <w:gridCol w:w="3987"/>
        <w:gridCol w:w="351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kern w:val="0"/>
                <w:sz w:val="21"/>
                <w:szCs w:val="21"/>
                <w:highlight w:val="none"/>
                <w:u w:val="none"/>
                <w:lang w:val="en-US" w:eastAsia="zh-CN" w:bidi="ar"/>
              </w:rPr>
              <w:t>标的</w:t>
            </w:r>
            <w:r>
              <w:rPr>
                <w:rFonts w:hint="eastAsia" w:ascii="宋体" w:hAnsi="宋体" w:eastAsia="宋体" w:cs="宋体"/>
                <w:b/>
                <w:bCs/>
                <w:i w:val="0"/>
                <w:iCs w:val="0"/>
                <w:color w:val="auto"/>
                <w:kern w:val="0"/>
                <w:sz w:val="21"/>
                <w:szCs w:val="21"/>
                <w:highlight w:val="none"/>
                <w:u w:val="none"/>
                <w:lang w:val="en-US" w:eastAsia="zh-CN" w:bidi="ar"/>
              </w:rPr>
              <w:t>序号</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kern w:val="0"/>
                <w:sz w:val="21"/>
                <w:szCs w:val="21"/>
                <w:highlight w:val="none"/>
                <w:u w:val="none"/>
                <w:lang w:val="en-US" w:eastAsia="zh-CN" w:bidi="ar"/>
              </w:rPr>
              <w:t>标的名称</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sz w:val="21"/>
                <w:szCs w:val="21"/>
                <w:highlight w:val="none"/>
                <w:u w:val="none"/>
                <w:lang w:eastAsia="zh-CN"/>
              </w:rPr>
            </w:pPr>
            <w:r>
              <w:rPr>
                <w:rFonts w:hint="eastAsia" w:ascii="宋体" w:hAnsi="宋体" w:cs="宋体"/>
                <w:b/>
                <w:bCs/>
                <w:i w:val="0"/>
                <w:iCs w:val="0"/>
                <w:color w:val="auto"/>
                <w:sz w:val="21"/>
                <w:szCs w:val="21"/>
                <w:highlight w:val="none"/>
                <w:u w:val="none"/>
                <w:lang w:eastAsia="zh-CN"/>
              </w:rPr>
              <w:t>所属行业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15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前端增补部分</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200万网络高清半球摄像机</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8口POE交换机</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硬盘录像机</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Style w:val="139"/>
                <w:rFonts w:hint="eastAsia" w:ascii="宋体" w:hAnsi="宋体" w:eastAsia="宋体" w:cs="宋体"/>
                <w:color w:val="auto"/>
                <w:sz w:val="21"/>
                <w:szCs w:val="21"/>
                <w:highlight w:val="none"/>
                <w:lang w:val="en-US" w:eastAsia="zh-CN" w:bidi="ar"/>
              </w:rPr>
              <w:t>企业级硬盘</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监控墙柜</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6</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200万网络高清枪式摄像机</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7</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相机支架</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16口POE交换机</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9</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5口POE交换机</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10</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11</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PDU</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12</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汇聚交换机</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13</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可视化控制端</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14</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操作台</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15</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电源设备</w:t>
            </w:r>
          </w:p>
        </w:tc>
        <w:tc>
          <w:tcPr>
            <w:tcW w:w="351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16</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电池</w:t>
            </w:r>
          </w:p>
        </w:tc>
        <w:tc>
          <w:tcPr>
            <w:tcW w:w="351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17</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安装柜</w:t>
            </w:r>
          </w:p>
        </w:tc>
        <w:tc>
          <w:tcPr>
            <w:tcW w:w="351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18</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配电箱</w:t>
            </w:r>
          </w:p>
        </w:tc>
        <w:tc>
          <w:tcPr>
            <w:tcW w:w="351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62"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平台软件部分</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下沙校区</w:t>
            </w:r>
            <w:r>
              <w:rPr>
                <w:rFonts w:hint="eastAsia" w:ascii="宋体" w:hAnsi="宋体" w:eastAsia="宋体" w:cs="宋体"/>
                <w:b/>
                <w:bCs/>
                <w:color w:val="auto"/>
                <w:highlight w:val="none"/>
                <w:lang w:eastAsia="zh-CN"/>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116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高校智安校园管理平台</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软件和信息技术服务业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可视化看板</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软件和信息技术服务业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3</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智能管理中心</w:t>
            </w:r>
            <w:r>
              <w:rPr>
                <w:rFonts w:hint="eastAsia" w:ascii="宋体" w:hAnsi="宋体" w:eastAsia="宋体" w:cs="宋体"/>
                <w:b/>
                <w:bCs/>
                <w:i w:val="0"/>
                <w:iCs w:val="0"/>
                <w:color w:val="auto"/>
                <w:kern w:val="0"/>
                <w:sz w:val="21"/>
                <w:szCs w:val="21"/>
                <w:highlight w:val="none"/>
                <w:u w:val="none"/>
                <w:lang w:val="en-US" w:eastAsia="zh-CN" w:bidi="ar"/>
              </w:rPr>
              <w:t>（核心产品）</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4</w:t>
            </w:r>
          </w:p>
        </w:tc>
        <w:tc>
          <w:tcPr>
            <w:tcW w:w="3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安防系统控制器</w:t>
            </w:r>
          </w:p>
        </w:tc>
        <w:tc>
          <w:tcPr>
            <w:tcW w:w="35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36"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工业</w:t>
            </w:r>
          </w:p>
        </w:tc>
      </w:tr>
    </w:tbl>
    <w:p>
      <w:pPr>
        <w:pStyle w:val="18"/>
        <w:rPr>
          <w:rFonts w:hint="eastAsia"/>
          <w:lang w:val="en-US" w:eastAsia="zh-CN"/>
        </w:rPr>
      </w:pPr>
    </w:p>
    <w:p>
      <w:pPr>
        <w:pStyle w:val="18"/>
        <w:rPr>
          <w:rFonts w:hint="default" w:eastAsia="宋体"/>
          <w:b/>
          <w:bCs/>
          <w:lang w:val="en-US" w:eastAsia="zh-CN"/>
        </w:rPr>
      </w:pPr>
      <w:r>
        <w:rPr>
          <w:rFonts w:hint="eastAsia"/>
          <w:b/>
          <w:bCs/>
          <w:lang w:val="en-US" w:eastAsia="zh-CN"/>
        </w:rPr>
        <w:t>说明：投标人应按照上述标的清单及其所对应的行业，逐一填入《中小企业声明函》，不能遗漏或增加，不能更改标的名称和行业名称。</w:t>
      </w:r>
    </w:p>
    <w:p>
      <w:pPr>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rPr>
          <w:rFonts w:hint="eastAsia" w:ascii="宋体" w:hAnsi="宋体" w:eastAsia="宋体" w:cs="宋体"/>
          <w:b/>
          <w:color w:val="auto"/>
          <w:kern w:val="0"/>
          <w:sz w:val="32"/>
          <w:szCs w:val="32"/>
          <w:highlight w:val="none"/>
        </w:rPr>
      </w:pPr>
      <w:bookmarkStart w:id="40" w:name="_Toc465665161"/>
      <w:r>
        <w:rPr>
          <w:rFonts w:hint="eastAsia" w:ascii="宋体" w:hAnsi="宋体" w:eastAsia="宋体" w:cs="宋体"/>
          <w:b/>
          <w:color w:val="auto"/>
          <w:kern w:val="0"/>
          <w:sz w:val="32"/>
          <w:szCs w:val="32"/>
          <w:highlight w:val="none"/>
        </w:rPr>
        <w:t>附件</w:t>
      </w:r>
      <w:bookmarkEnd w:id="40"/>
    </w:p>
    <w:p>
      <w:pPr>
        <w:spacing w:line="360" w:lineRule="auto"/>
        <w:jc w:val="center"/>
        <w:outlineLvl w:val="2"/>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bookmarkStart w:id="41" w:name="OLE_LINK14"/>
      <w:bookmarkStart w:id="42" w:name="OLE_LINK13"/>
      <w:r>
        <w:rPr>
          <w:rFonts w:hint="eastAsia" w:ascii="宋体" w:hAnsi="宋体" w:eastAsia="宋体" w:cs="宋体"/>
          <w:b/>
          <w:color w:val="auto"/>
          <w:spacing w:val="6"/>
          <w:sz w:val="32"/>
          <w:szCs w:val="32"/>
          <w:highlight w:val="none"/>
        </w:rPr>
        <w:t>残疾人福利性单位声明函</w:t>
      </w:r>
    </w:p>
    <w:bookmarkEnd w:id="41"/>
    <w:bookmarkEnd w:id="42"/>
    <w:p>
      <w:pPr>
        <w:spacing w:line="360" w:lineRule="auto"/>
        <w:rPr>
          <w:rFonts w:hint="eastAsia" w:ascii="宋体" w:hAnsi="宋体" w:eastAsia="宋体" w:cs="宋体"/>
          <w:b/>
          <w:color w:val="auto"/>
          <w:spacing w:val="6"/>
          <w:sz w:val="30"/>
          <w:szCs w:val="30"/>
          <w:highlight w:val="none"/>
        </w:rPr>
      </w:pP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本单位郑重声明，根据《财政部民政部中国残疾人联合会关于促进残疾人就业政府采购政策的通知》（财库〔2017〕 141号）的规定，本单位为符合条件的残疾人福利性单位，且本单位参加</w:t>
      </w:r>
      <w:r>
        <w:rPr>
          <w:rFonts w:hint="eastAsia" w:ascii="宋体" w:hAnsi="宋体" w:eastAsia="宋体" w:cs="宋体"/>
          <w:color w:val="auto"/>
          <w:highlight w:val="none"/>
          <w:u w:val="single"/>
        </w:rPr>
        <w:t>（采购人）</w:t>
      </w:r>
      <w:r>
        <w:rPr>
          <w:rFonts w:hint="eastAsia" w:ascii="宋体" w:hAnsi="宋体" w:eastAsia="宋体" w:cs="宋体"/>
          <w:color w:val="auto"/>
          <w:highlight w:val="none"/>
        </w:rPr>
        <w:t>单位的</w:t>
      </w:r>
      <w:r>
        <w:rPr>
          <w:rFonts w:hint="eastAsia" w:ascii="宋体" w:hAnsi="宋体" w:eastAsia="宋体" w:cs="宋体"/>
          <w:color w:val="auto"/>
          <w:highlight w:val="none"/>
          <w:u w:val="single"/>
        </w:rPr>
        <w:t xml:space="preserve"> （项目名称） </w:t>
      </w:r>
      <w:r>
        <w:rPr>
          <w:rFonts w:hint="eastAsia" w:ascii="宋体" w:hAnsi="宋体" w:eastAsia="宋体" w:cs="宋体"/>
          <w:color w:val="auto"/>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本单位对上述声明的真实性负责。如有虚假，将依法承担相应责任。</w:t>
      </w: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tabs>
          <w:tab w:val="left" w:pos="4860"/>
        </w:tabs>
        <w:spacing w:line="360" w:lineRule="auto"/>
        <w:ind w:right="1560" w:firstLine="420" w:firstLineChars="200"/>
        <w:jc w:val="center"/>
        <w:rPr>
          <w:rFonts w:hint="eastAsia" w:ascii="宋体" w:hAnsi="宋体" w:eastAsia="宋体" w:cs="宋体"/>
          <w:color w:val="auto"/>
          <w:highlight w:val="none"/>
        </w:rPr>
      </w:pPr>
      <w:r>
        <w:rPr>
          <w:rFonts w:hint="eastAsia" w:ascii="宋体" w:hAnsi="宋体" w:eastAsia="宋体" w:cs="宋体"/>
          <w:color w:val="auto"/>
          <w:kern w:val="0"/>
          <w:highlight w:val="none"/>
          <w:lang w:val="zh-CN"/>
        </w:rPr>
        <w:t>投标人名称（电子签名）</w:t>
      </w:r>
      <w:r>
        <w:rPr>
          <w:rFonts w:hint="eastAsia" w:ascii="宋体" w:hAnsi="宋体" w:eastAsia="宋体" w:cs="宋体"/>
          <w:color w:val="auto"/>
          <w:highlight w:val="none"/>
        </w:rPr>
        <w:t>：</w:t>
      </w:r>
    </w:p>
    <w:p>
      <w:pPr>
        <w:tabs>
          <w:tab w:val="left" w:pos="4860"/>
        </w:tabs>
        <w:spacing w:line="360" w:lineRule="auto"/>
        <w:ind w:right="1560" w:firstLine="420" w:firstLineChars="200"/>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日  期：</w:t>
      </w:r>
    </w:p>
    <w:p>
      <w:pPr>
        <w:spacing w:line="360" w:lineRule="auto"/>
        <w:ind w:firstLine="420" w:firstLineChars="200"/>
        <w:rPr>
          <w:rFonts w:hint="eastAsia" w:ascii="宋体" w:hAnsi="宋体" w:eastAsia="宋体" w:cs="宋体"/>
          <w:color w:val="auto"/>
          <w:highlight w:val="none"/>
        </w:rPr>
      </w:pPr>
    </w:p>
    <w:p>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pPr>
        <w:spacing w:line="360" w:lineRule="auto"/>
        <w:jc w:val="left"/>
        <w:outlineLvl w:val="2"/>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pPr>
        <w:spacing w:before="240" w:beforeLines="100"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一、质疑供应商基本信息</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质疑供应商：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地址：邮编：</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联系人：联系电话：</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授权代表：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联系电话：</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地址：邮编：</w:t>
      </w:r>
    </w:p>
    <w:p>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二、质疑项目基本情况</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质疑项目的名称：</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质疑项目的编号：包号：</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采购人名称：</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采购文件获取日期：</w:t>
      </w:r>
    </w:p>
    <w:p>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三、质疑事项具体内容</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质疑事项1：</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事实依据：</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法律依据：</w:t>
      </w:r>
    </w:p>
    <w:p>
      <w:pPr>
        <w:spacing w:line="360" w:lineRule="auto"/>
        <w:rPr>
          <w:rFonts w:hint="eastAsia" w:ascii="宋体" w:hAnsi="宋体" w:eastAsia="宋体" w:cs="宋体"/>
          <w:color w:val="auto"/>
          <w:highlight w:val="none"/>
          <w:u w:val="dotted"/>
        </w:rPr>
      </w:pP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质疑事项2</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四、与质疑事项相关的质疑请求</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请求：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签字(签章)：                   公章：                      </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日期：</w:t>
      </w:r>
    </w:p>
    <w:p>
      <w:pPr>
        <w:spacing w:line="360" w:lineRule="auto"/>
        <w:jc w:val="center"/>
        <w:rPr>
          <w:rFonts w:hint="eastAsia" w:ascii="宋体" w:hAnsi="宋体" w:eastAsia="宋体" w:cs="宋体"/>
          <w:b/>
          <w:bCs/>
          <w:color w:val="auto"/>
          <w:highlight w:val="none"/>
        </w:rPr>
      </w:pPr>
    </w:p>
    <w:p>
      <w:pPr>
        <w:spacing w:line="360" w:lineRule="auto"/>
        <w:rPr>
          <w:rFonts w:hint="eastAsia" w:ascii="宋体" w:hAnsi="宋体" w:eastAsia="宋体" w:cs="宋体"/>
          <w:b/>
          <w:color w:val="auto"/>
          <w:highlight w:val="none"/>
        </w:rPr>
      </w:pPr>
    </w:p>
    <w:p>
      <w:pPr>
        <w:spacing w:line="360" w:lineRule="auto"/>
        <w:rPr>
          <w:rFonts w:hint="eastAsia" w:ascii="宋体" w:hAnsi="宋体" w:eastAsia="宋体" w:cs="宋体"/>
          <w:b/>
          <w:color w:val="auto"/>
          <w:highlight w:val="none"/>
        </w:rPr>
      </w:pPr>
    </w:p>
    <w:p>
      <w:pPr>
        <w:spacing w:line="360" w:lineRule="auto"/>
        <w:rPr>
          <w:rFonts w:hint="eastAsia" w:ascii="宋体" w:hAnsi="宋体" w:eastAsia="宋体" w:cs="宋体"/>
          <w:b/>
          <w:color w:val="auto"/>
          <w:highlight w:val="none"/>
        </w:rPr>
      </w:pP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质疑函制作说明：</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1.供应商提出质疑时，应提交质疑函和必要的证明材料。</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2.质疑供应商若委托代理人进行质疑的，质疑函应按要求列明“授权代表”的有关内容，并在附件中提交由质疑</w:t>
      </w:r>
      <w:r>
        <w:rPr>
          <w:rFonts w:hint="eastAsia" w:ascii="宋体" w:hAnsi="宋体" w:eastAsia="宋体" w:cs="宋体"/>
          <w:color w:val="auto"/>
          <w:kern w:val="0"/>
          <w:highlight w:val="none"/>
        </w:rPr>
        <w:t>供应商签署的授权委托书。授权委托书应载明代理人的姓名或者名称、代理事项、具体权限、期限和相关事项。</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3.质疑供应商若对项目的某一分包进行质疑，质疑函中应列明具体分包号。</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4.质疑函的质疑事项应具体、明确，并有必要的事实依据和法律依据。</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5.质疑函的质疑请求应与质疑事项相关。</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auto"/>
          <w:sz w:val="30"/>
          <w:szCs w:val="30"/>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pPr>
        <w:spacing w:line="360" w:lineRule="auto"/>
        <w:jc w:val="left"/>
        <w:outlineLvl w:val="2"/>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pPr>
        <w:spacing w:line="360" w:lineRule="auto"/>
        <w:jc w:val="center"/>
        <w:rPr>
          <w:rFonts w:hint="eastAsia" w:ascii="宋体" w:hAnsi="宋体" w:eastAsia="宋体" w:cs="宋体"/>
          <w:b/>
          <w:color w:val="auto"/>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一、投诉相关主体基本情况</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投诉人：</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地址：邮编：</w:t>
      </w:r>
    </w:p>
    <w:p>
      <w:pPr>
        <w:tabs>
          <w:tab w:val="left" w:pos="6510"/>
        </w:tabs>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w:t>
      </w:r>
    </w:p>
    <w:p>
      <w:pPr>
        <w:tabs>
          <w:tab w:val="left" w:pos="6510"/>
        </w:tabs>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联系电话：</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授权代表：联系电话</w:t>
      </w:r>
      <w:r>
        <w:rPr>
          <w:rFonts w:hint="eastAsia" w:ascii="宋体" w:hAnsi="宋体" w:eastAsia="宋体" w:cs="宋体"/>
          <w:color w:val="auto"/>
          <w:highlight w:val="none"/>
          <w:u w:val="dotted"/>
        </w:rPr>
        <w:t>：</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地址：邮编：</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被投诉人1：</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地址：邮编：</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联系人：联系电话：</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被投诉人2</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相关供应商：</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地址：邮编：</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联系人：联系电话：</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二、投诉项目基本情况</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采购项目名称：</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采购项目编号：包号：</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采购人名称：</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代理机构名称：</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采购文件公告:</w:t>
      </w:r>
      <w:r>
        <w:rPr>
          <w:rFonts w:hint="eastAsia" w:ascii="宋体" w:hAnsi="宋体" w:eastAsia="宋体" w:cs="宋体"/>
          <w:color w:val="auto"/>
          <w:highlight w:val="none"/>
          <w:u w:val="dotted"/>
        </w:rPr>
        <w:t xml:space="preserve">是/否 </w:t>
      </w:r>
      <w:r>
        <w:rPr>
          <w:rFonts w:hint="eastAsia" w:ascii="宋体" w:hAnsi="宋体" w:eastAsia="宋体" w:cs="宋体"/>
          <w:color w:val="auto"/>
          <w:highlight w:val="none"/>
        </w:rPr>
        <w:t>公告期限：</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采购结果公告:</w:t>
      </w:r>
      <w:r>
        <w:rPr>
          <w:rFonts w:hint="eastAsia" w:ascii="宋体" w:hAnsi="宋体" w:eastAsia="宋体" w:cs="宋体"/>
          <w:color w:val="auto"/>
          <w:highlight w:val="none"/>
          <w:u w:val="dotted"/>
        </w:rPr>
        <w:t xml:space="preserve">是/否 </w:t>
      </w:r>
      <w:r>
        <w:rPr>
          <w:rFonts w:hint="eastAsia" w:ascii="宋体" w:hAnsi="宋体" w:eastAsia="宋体" w:cs="宋体"/>
          <w:color w:val="auto"/>
          <w:highlight w:val="none"/>
        </w:rPr>
        <w:t>公告期限：</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三、质疑基本情况</w:t>
      </w:r>
    </w:p>
    <w:p>
      <w:pPr>
        <w:spacing w:line="360" w:lineRule="auto"/>
        <w:ind w:firstLine="420" w:firstLineChars="200"/>
        <w:rPr>
          <w:rFonts w:hint="eastAsia" w:ascii="宋体" w:hAnsi="宋体" w:eastAsia="宋体" w:cs="宋体"/>
          <w:color w:val="auto"/>
          <w:highlight w:val="none"/>
          <w:u w:val="dotted"/>
        </w:rPr>
      </w:pPr>
      <w:r>
        <w:rPr>
          <w:rFonts w:hint="eastAsia" w:ascii="宋体" w:hAnsi="宋体" w:eastAsia="宋体" w:cs="宋体"/>
          <w:color w:val="auto"/>
          <w:highlight w:val="none"/>
        </w:rPr>
        <w:t>投诉人于年月日,向提出质疑，质疑事项为：</w:t>
      </w:r>
    </w:p>
    <w:p>
      <w:pPr>
        <w:spacing w:line="360" w:lineRule="auto"/>
        <w:rPr>
          <w:rFonts w:hint="eastAsia" w:ascii="宋体" w:hAnsi="宋体" w:eastAsia="宋体" w:cs="宋体"/>
          <w:color w:val="auto"/>
          <w:highlight w:val="none"/>
          <w:u w:val="dotted"/>
        </w:rPr>
      </w:pPr>
    </w:p>
    <w:p>
      <w:pPr>
        <w:spacing w:line="360" w:lineRule="auto"/>
        <w:ind w:firstLine="315" w:firstLineChars="150"/>
        <w:rPr>
          <w:rFonts w:hint="eastAsia" w:ascii="宋体" w:hAnsi="宋体" w:eastAsia="宋体" w:cs="宋体"/>
          <w:color w:val="auto"/>
          <w:highlight w:val="none"/>
        </w:rPr>
      </w:pPr>
      <w:r>
        <w:rPr>
          <w:rFonts w:hint="eastAsia" w:ascii="宋体" w:hAnsi="宋体" w:eastAsia="宋体" w:cs="宋体"/>
          <w:color w:val="auto"/>
          <w:highlight w:val="none"/>
          <w:u w:val="dotted"/>
        </w:rPr>
        <w:t>采购人/代理机构</w:t>
      </w:r>
      <w:r>
        <w:rPr>
          <w:rFonts w:hint="eastAsia" w:ascii="宋体" w:hAnsi="宋体" w:eastAsia="宋体" w:cs="宋体"/>
          <w:color w:val="auto"/>
          <w:highlight w:val="none"/>
        </w:rPr>
        <w:t>于年月日,就质疑事项作出了答复/没有在法定期限内作出答复。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四、投诉事项具体内容</w:t>
      </w: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投诉事项 1：</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事实依据：</w:t>
      </w:r>
    </w:p>
    <w:p>
      <w:pPr>
        <w:spacing w:line="360" w:lineRule="auto"/>
        <w:rPr>
          <w:rFonts w:hint="eastAsia" w:ascii="宋体" w:hAnsi="宋体" w:eastAsia="宋体" w:cs="宋体"/>
          <w:color w:val="auto"/>
          <w:highlight w:val="none"/>
          <w:u w:val="dotted"/>
        </w:rPr>
      </w:pPr>
    </w:p>
    <w:p>
      <w:pP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法律依据：</w:t>
      </w:r>
    </w:p>
    <w:p>
      <w:pPr>
        <w:spacing w:line="360" w:lineRule="auto"/>
        <w:rPr>
          <w:rFonts w:hint="eastAsia" w:ascii="宋体" w:hAnsi="宋体" w:eastAsia="宋体" w:cs="宋体"/>
          <w:color w:val="auto"/>
          <w:highlight w:val="none"/>
          <w:u w:val="dotted"/>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投诉事项2</w:t>
      </w:r>
    </w:p>
    <w:p>
      <w:pPr>
        <w:spacing w:line="360" w:lineRule="auto"/>
        <w:rPr>
          <w:rFonts w:hint="eastAsia" w:ascii="宋体" w:hAnsi="宋体" w:eastAsia="宋体" w:cs="宋体"/>
          <w:color w:val="auto"/>
          <w:highlight w:val="none"/>
          <w:u w:val="dotted"/>
        </w:rPr>
      </w:pP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五、与投诉事项相关的投诉请求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请求：</w:t>
      </w:r>
    </w:p>
    <w:p>
      <w:pPr>
        <w:spacing w:line="360" w:lineRule="auto"/>
        <w:rPr>
          <w:rFonts w:hint="eastAsia" w:ascii="宋体" w:hAnsi="宋体" w:eastAsia="宋体" w:cs="宋体"/>
          <w:color w:val="auto"/>
          <w:highlight w:val="none"/>
          <w:u w:val="singl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签字(签章)：                   公章：                      </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日期：</w:t>
      </w:r>
    </w:p>
    <w:p>
      <w:pPr>
        <w:spacing w:line="360" w:lineRule="auto"/>
        <w:rPr>
          <w:rFonts w:hint="eastAsia" w:ascii="宋体" w:hAnsi="宋体" w:eastAsia="宋体" w:cs="宋体"/>
          <w:b/>
          <w:color w:val="auto"/>
          <w:highlight w:val="none"/>
        </w:rPr>
      </w:pPr>
    </w:p>
    <w:p>
      <w:pPr>
        <w:spacing w:line="360" w:lineRule="auto"/>
        <w:rPr>
          <w:rFonts w:hint="eastAsia" w:ascii="宋体" w:hAnsi="宋体" w:eastAsia="宋体" w:cs="宋体"/>
          <w:b/>
          <w:color w:val="auto"/>
          <w:highlight w:val="none"/>
        </w:rPr>
      </w:pP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投诉书制作说明：</w:t>
      </w:r>
    </w:p>
    <w:p>
      <w:pPr>
        <w:widowControl/>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highlight w:val="none"/>
        </w:rPr>
        <w:t>1.投诉人提起投诉时，应当提交投诉书和必要的证明材料，并按照被投诉人和与投诉事项有关的供应商数量提供投诉书副本。</w:t>
      </w:r>
    </w:p>
    <w:p>
      <w:pPr>
        <w:widowControl/>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2.投诉人若委托代理人进行投诉的，投诉书应按照要求列明“授权代表”的有关内容，并在附件中提交由</w:t>
      </w:r>
      <w:r>
        <w:rPr>
          <w:rFonts w:hint="eastAsia" w:ascii="宋体" w:hAnsi="宋体" w:eastAsia="宋体" w:cs="宋体"/>
          <w:color w:val="auto"/>
          <w:kern w:val="0"/>
          <w:highlight w:val="none"/>
        </w:rPr>
        <w:t>投诉人签署的授权委托书。授权委托书应当载明代理人的姓名或者名称、代理事项、具体权限、期限和相关事项。</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3.投诉人若对项目的某一分包进行投诉，投诉书应列明具体分包号。</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4.投诉书应简要列明质疑事项，质疑函、质疑答复等作为附件材料提供。</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5.投诉书的投诉事项应具体、明确，并有必要的事实依据和法律依据。</w:t>
      </w:r>
    </w:p>
    <w:p>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6.投诉书的投诉请求应与投诉事项相关。</w:t>
      </w:r>
    </w:p>
    <w:p>
      <w:pPr>
        <w:widowControl/>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color w:val="auto"/>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pPr>
        <w:autoSpaceDE w:val="0"/>
        <w:autoSpaceDN w:val="0"/>
        <w:jc w:val="center"/>
        <w:outlineLvl w:val="2"/>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pPr>
        <w:spacing w:line="360" w:lineRule="auto"/>
        <w:rPr>
          <w:rFonts w:hint="eastAsia" w:ascii="宋体" w:hAnsi="宋体" w:eastAsia="宋体" w:cs="宋体"/>
          <w:color w:val="auto"/>
          <w:highlight w:val="none"/>
          <w:u w:val="singl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u w:val="single"/>
          <w:lang w:eastAsia="zh-CN"/>
        </w:rPr>
        <w:t>浙江理工大学</w:t>
      </w:r>
      <w:r>
        <w:rPr>
          <w:rFonts w:hint="eastAsia" w:ascii="宋体" w:hAnsi="宋体" w:eastAsia="宋体" w:cs="宋体"/>
          <w:color w:val="auto"/>
          <w:highlight w:val="none"/>
          <w:u w:val="single"/>
        </w:rPr>
        <w:t>、浙江国际招投标有限公司</w:t>
      </w:r>
      <w:r>
        <w:rPr>
          <w:rFonts w:hint="eastAsia" w:ascii="宋体" w:hAnsi="宋体" w:eastAsia="宋体" w:cs="宋体"/>
          <w:color w:val="auto"/>
          <w:highlight w:val="none"/>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lang w:val="zh-CN"/>
        </w:rPr>
        <w:t>我方</w:t>
      </w:r>
      <w:r>
        <w:rPr>
          <w:rFonts w:hint="eastAsia" w:ascii="宋体" w:hAnsi="宋体" w:eastAsia="宋体" w:cs="宋体"/>
          <w:color w:val="auto"/>
          <w:highlight w:val="none"/>
        </w:rPr>
        <w:t>(投标人全称)是中华人民共和国依法登记注册的合法企业，</w:t>
      </w:r>
      <w:r>
        <w:rPr>
          <w:rFonts w:hint="eastAsia" w:ascii="宋体" w:hAnsi="宋体" w:eastAsia="宋体" w:cs="宋体"/>
          <w:bCs/>
          <w:color w:val="auto"/>
          <w:highlight w:val="none"/>
        </w:rPr>
        <w:t>在参加</w:t>
      </w:r>
      <w:r>
        <w:rPr>
          <w:rFonts w:hint="eastAsia" w:ascii="宋体" w:hAnsi="宋体" w:eastAsia="宋体" w:cs="宋体"/>
          <w:color w:val="auto"/>
          <w:highlight w:val="none"/>
        </w:rPr>
        <w:t>你方组织的（项目名称）项目【招标编号：（采购编号）】</w:t>
      </w:r>
      <w:r>
        <w:rPr>
          <w:rFonts w:hint="eastAsia" w:ascii="宋体" w:hAnsi="宋体" w:eastAsia="宋体" w:cs="宋体"/>
          <w:bCs/>
          <w:color w:val="auto"/>
          <w:highlight w:val="none"/>
        </w:rPr>
        <w:t>投标活动中作如下说明：</w:t>
      </w:r>
      <w:r>
        <w:rPr>
          <w:rFonts w:hint="eastAsia" w:ascii="宋体" w:hAnsi="宋体" w:eastAsia="宋体" w:cs="宋体"/>
          <w:color w:val="auto"/>
          <w:highlight w:val="none"/>
        </w:rPr>
        <w:t>我方所使用的“XX专用章”与法定名称章具有同等的法律效力，对使用“XX专用章”的行为予以完全承认，并愿意承担相应责任。</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特此说明。</w:t>
      </w:r>
    </w:p>
    <w:p>
      <w:pPr>
        <w:spacing w:line="360" w:lineRule="auto"/>
        <w:ind w:firstLine="494"/>
        <w:rPr>
          <w:rFonts w:hint="eastAsia" w:ascii="宋体" w:hAnsi="宋体" w:eastAsia="宋体" w:cs="宋体"/>
          <w:color w:val="auto"/>
          <w:highlight w:val="none"/>
        </w:rPr>
      </w:pPr>
    </w:p>
    <w:p>
      <w:pPr>
        <w:spacing w:line="360" w:lineRule="auto"/>
        <w:ind w:firstLine="494"/>
        <w:rPr>
          <w:rFonts w:hint="eastAsia" w:ascii="宋体" w:hAnsi="宋体" w:eastAsia="宋体" w:cs="宋体"/>
          <w:color w:val="auto"/>
          <w:highlight w:val="none"/>
        </w:rPr>
      </w:pPr>
    </w:p>
    <w:p>
      <w:pPr>
        <w:spacing w:line="360" w:lineRule="auto"/>
        <w:ind w:firstLine="494"/>
        <w:rPr>
          <w:rFonts w:hint="eastAsia" w:ascii="宋体" w:hAnsi="宋体" w:eastAsia="宋体" w:cs="宋体"/>
          <w:color w:val="auto"/>
          <w:highlight w:val="none"/>
        </w:rPr>
      </w:pPr>
    </w:p>
    <w:p>
      <w:pPr>
        <w:spacing w:line="360" w:lineRule="auto"/>
        <w:ind w:firstLine="494"/>
        <w:rPr>
          <w:rFonts w:hint="eastAsia" w:ascii="宋体" w:hAnsi="宋体" w:eastAsia="宋体" w:cs="宋体"/>
          <w:color w:val="auto"/>
          <w:highlight w:val="none"/>
        </w:rPr>
      </w:pPr>
    </w:p>
    <w:p>
      <w:pPr>
        <w:spacing w:line="360" w:lineRule="auto"/>
        <w:ind w:right="480" w:firstLine="3570" w:firstLineChars="1700"/>
        <w:rPr>
          <w:rFonts w:hint="eastAsia" w:ascii="宋体" w:hAnsi="宋体" w:eastAsia="宋体" w:cs="宋体"/>
          <w:color w:val="auto"/>
          <w:highlight w:val="none"/>
        </w:rPr>
      </w:pPr>
      <w:r>
        <w:rPr>
          <w:rFonts w:hint="eastAsia" w:ascii="宋体" w:hAnsi="宋体" w:eastAsia="宋体" w:cs="宋体"/>
          <w:color w:val="auto"/>
          <w:highlight w:val="none"/>
        </w:rPr>
        <w:t>投标单位（法定名称章）：</w:t>
      </w:r>
    </w:p>
    <w:p>
      <w:pPr>
        <w:ind w:right="1440" w:firstLine="494"/>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日期：  年月日</w:t>
      </w:r>
    </w:p>
    <w:p>
      <w:pPr>
        <w:rPr>
          <w:rFonts w:hint="eastAsia" w:ascii="宋体" w:hAnsi="宋体" w:eastAsia="宋体" w:cs="宋体"/>
          <w:color w:val="auto"/>
          <w:highlight w:val="none"/>
        </w:rPr>
      </w:pPr>
      <w:r>
        <w:rPr>
          <w:rFonts w:hint="eastAsia" w:ascii="宋体" w:hAnsi="宋体" w:eastAsia="宋体" w:cs="宋体"/>
          <w:b/>
          <w:bCs/>
          <w:color w:val="auto"/>
          <w:highlight w:val="none"/>
        </w:rPr>
        <w:t>附：</w:t>
      </w:r>
    </w:p>
    <w:p>
      <w:pPr>
        <w:spacing w:line="360" w:lineRule="auto"/>
        <w:rPr>
          <w:rFonts w:hint="eastAsia" w:ascii="宋体" w:hAnsi="宋体" w:eastAsia="宋体" w:cs="宋体"/>
          <w:bCs/>
          <w:color w:val="auto"/>
          <w:highlight w:val="none"/>
        </w:rPr>
      </w:pPr>
      <w:r>
        <w:rPr>
          <w:rFonts w:hint="eastAsia" w:ascii="宋体" w:hAnsi="宋体" w:eastAsia="宋体" w:cs="宋体"/>
          <w:b/>
          <w:bCs/>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27"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kA8/2AAAAAoBAAAPAAAAAAAAAAEAIAAAACIAAABkcnMvZG93bnJldi54bWxQ&#10;SwECFAAUAAAACACHTuJAjo9RMzACAACDBAAADgAAAAAAAAABACAAAAAnAQAAZHJzL2Uyb0RvYy54&#10;bWxQSwUGAAAAAAYABgBZAQAAyQUAAAAA&#10;">
                <v:fill on="t" focussize="0,0"/>
                <v:stroke color="#000000" miterlimit="2" joinstyle="miter"/>
                <v:imagedata o:title=""/>
                <o:lock v:ext="edit" aspectratio="f"/>
              </v:rect>
            </w:pict>
          </mc:Fallback>
        </mc:AlternateContent>
      </w:r>
      <w:r>
        <w:rPr>
          <w:rFonts w:hint="eastAsia" w:ascii="宋体" w:hAnsi="宋体" w:eastAsia="宋体" w:cs="宋体"/>
          <w:b/>
          <w:bCs/>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28"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Q7eQjy8CAACD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Dt5CPLwIAAIM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color w:val="auto"/>
          <w:highlight w:val="none"/>
        </w:rPr>
        <w:t>投标单位法定名称章（印模）投标单位“XX专用章”（印模）</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rPr>
          <w:rFonts w:hint="eastAsia" w:ascii="宋体" w:hAnsi="宋体" w:eastAsia="宋体" w:cs="宋体"/>
          <w:b/>
          <w:color w:val="auto"/>
          <w:spacing w:val="6"/>
          <w:sz w:val="32"/>
          <w:szCs w:val="32"/>
          <w:highlight w:val="none"/>
        </w:rPr>
      </w:pPr>
    </w:p>
    <w:p>
      <w:pPr>
        <w:spacing w:line="360" w:lineRule="auto"/>
        <w:jc w:val="center"/>
        <w:outlineLvl w:val="2"/>
        <w:rPr>
          <w:rFonts w:hint="eastAsia" w:ascii="宋体" w:hAnsi="宋体" w:eastAsia="宋体" w:cs="宋体"/>
          <w:b/>
          <w:color w:val="auto"/>
          <w:kern w:val="0"/>
          <w:sz w:val="32"/>
          <w:szCs w:val="32"/>
          <w:highlight w:val="none"/>
        </w:rPr>
      </w:pPr>
      <w:r>
        <w:rPr>
          <w:rFonts w:hint="eastAsia" w:ascii="宋体" w:hAnsi="宋体" w:eastAsia="宋体" w:cs="宋体"/>
          <w:b/>
          <w:color w:val="auto"/>
          <w:spacing w:val="6"/>
          <w:sz w:val="32"/>
          <w:szCs w:val="32"/>
          <w:highlight w:val="none"/>
        </w:rPr>
        <w:br w:type="page"/>
      </w:r>
      <w:r>
        <w:rPr>
          <w:rFonts w:hint="eastAsia" w:ascii="宋体" w:hAnsi="宋体" w:eastAsia="宋体" w:cs="宋体"/>
          <w:b/>
          <w:color w:val="auto"/>
          <w:kern w:val="0"/>
          <w:sz w:val="32"/>
          <w:szCs w:val="32"/>
          <w:highlight w:val="none"/>
        </w:rPr>
        <w:t>附件5：联合协议</w:t>
      </w:r>
    </w:p>
    <w:p>
      <w:pPr>
        <w:widowControl/>
        <w:spacing w:line="360" w:lineRule="auto"/>
        <w:ind w:firstLine="422" w:firstLineChars="200"/>
        <w:jc w:val="left"/>
        <w:rPr>
          <w:rFonts w:hint="eastAsia" w:ascii="宋体" w:hAnsi="宋体" w:eastAsia="宋体" w:cs="宋体"/>
          <w:b/>
          <w:color w:val="auto"/>
          <w:highlight w:val="none"/>
        </w:rPr>
      </w:pPr>
      <w:r>
        <w:rPr>
          <w:rFonts w:hint="eastAsia" w:ascii="宋体" w:hAnsi="宋体" w:eastAsia="宋体" w:cs="宋体"/>
          <w:b/>
          <w:color w:val="auto"/>
          <w:highlight w:val="none"/>
        </w:rPr>
        <w:t>（以联合体形式投标的，提供联合协议；本项目不接受联合体投标或者投标人不以联合体形式投标的，则不需要提供）</w:t>
      </w:r>
    </w:p>
    <w:p>
      <w:pPr>
        <w:rPr>
          <w:rFonts w:hint="eastAsia" w:ascii="宋体" w:hAnsi="宋体" w:eastAsia="宋体" w:cs="宋体"/>
          <w:color w:val="auto"/>
          <w:highlight w:val="none"/>
        </w:rPr>
      </w:pP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u w:val="single"/>
        </w:rPr>
        <w:t>（联合体所有成员名称）</w:t>
      </w:r>
      <w:r>
        <w:rPr>
          <w:rFonts w:hint="eastAsia" w:ascii="宋体" w:hAnsi="宋体" w:eastAsia="宋体" w:cs="宋体"/>
          <w:color w:val="auto"/>
          <w:kern w:val="0"/>
          <w:highlight w:val="none"/>
        </w:rPr>
        <w:t>自愿</w:t>
      </w:r>
      <w:r>
        <w:rPr>
          <w:rFonts w:hint="eastAsia" w:ascii="宋体" w:hAnsi="宋体" w:eastAsia="宋体" w:cs="宋体"/>
          <w:color w:val="auto"/>
          <w:kern w:val="0"/>
          <w:highlight w:val="none"/>
          <w:lang w:val="zh-CN"/>
        </w:rPr>
        <w:t>组成一个联合体，以一个投标人的身份</w:t>
      </w:r>
      <w:r>
        <w:rPr>
          <w:rFonts w:hint="eastAsia" w:ascii="宋体" w:hAnsi="宋体" w:eastAsia="宋体" w:cs="宋体"/>
          <w:color w:val="auto"/>
          <w:kern w:val="0"/>
          <w:highlight w:val="none"/>
        </w:rPr>
        <w:t>参加</w:t>
      </w:r>
      <w:r>
        <w:rPr>
          <w:rFonts w:hint="eastAsia" w:ascii="宋体" w:hAnsi="宋体" w:eastAsia="宋体" w:cs="宋体"/>
          <w:color w:val="auto"/>
          <w:highlight w:val="none"/>
        </w:rPr>
        <w:t>（项目名称）【招标编号：（采购编号）】</w:t>
      </w:r>
      <w:r>
        <w:rPr>
          <w:rFonts w:hint="eastAsia" w:ascii="宋体" w:hAnsi="宋体" w:eastAsia="宋体" w:cs="宋体"/>
          <w:color w:val="auto"/>
          <w:kern w:val="0"/>
          <w:highlight w:val="none"/>
          <w:lang w:val="zh-CN"/>
        </w:rPr>
        <w:t xml:space="preserve">投标。 </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一、各方一致决定，</w:t>
      </w:r>
      <w:r>
        <w:rPr>
          <w:rFonts w:hint="eastAsia" w:ascii="宋体" w:hAnsi="宋体" w:eastAsia="宋体" w:cs="宋体"/>
          <w:color w:val="auto"/>
          <w:kern w:val="0"/>
          <w:highlight w:val="none"/>
          <w:u w:val="single"/>
        </w:rPr>
        <w:t>（某联合体成员名称）</w:t>
      </w:r>
      <w:r>
        <w:rPr>
          <w:rFonts w:hint="eastAsia" w:ascii="宋体" w:hAnsi="宋体" w:eastAsia="宋体" w:cs="宋体"/>
          <w:color w:val="auto"/>
          <w:kern w:val="0"/>
          <w:highlight w:val="none"/>
        </w:rPr>
        <w:t>为联合体</w:t>
      </w:r>
      <w:r>
        <w:rPr>
          <w:rFonts w:hint="eastAsia" w:ascii="宋体" w:hAnsi="宋体" w:eastAsia="宋体" w:cs="宋体"/>
          <w:color w:val="auto"/>
          <w:kern w:val="0"/>
          <w:highlight w:val="none"/>
          <w:lang w:val="zh-CN"/>
        </w:rPr>
        <w:t>牵头人</w:t>
      </w:r>
      <w:r>
        <w:rPr>
          <w:rFonts w:hint="eastAsia" w:ascii="宋体" w:hAnsi="宋体" w:eastAsia="宋体" w:cs="宋体"/>
          <w:color w:val="auto"/>
          <w:highlight w:val="none"/>
        </w:rPr>
        <w:t>，代表所有联合体成员负责投标和合同实施阶段的主办、协调工作</w:t>
      </w:r>
      <w:r>
        <w:rPr>
          <w:rFonts w:hint="eastAsia" w:ascii="宋体" w:hAnsi="宋体" w:eastAsia="宋体" w:cs="宋体"/>
          <w:color w:val="auto"/>
          <w:kern w:val="0"/>
          <w:highlight w:val="none"/>
          <w:lang w:val="zh-CN"/>
        </w:rPr>
        <w:t>。</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二、</w:t>
      </w:r>
      <w:r>
        <w:rPr>
          <w:rFonts w:hint="eastAsia" w:ascii="宋体" w:hAnsi="宋体" w:eastAsia="宋体" w:cs="宋体"/>
          <w:color w:val="auto"/>
          <w:highlight w:val="none"/>
        </w:rPr>
        <w:t>所有联合体成员各方签署授权书，授权书载明的</w:t>
      </w:r>
      <w:r>
        <w:rPr>
          <w:rFonts w:hint="eastAsia" w:ascii="宋体" w:hAnsi="宋体" w:eastAsia="宋体" w:cs="宋体"/>
          <w:color w:val="auto"/>
          <w:kern w:val="0"/>
          <w:highlight w:val="none"/>
          <w:lang w:val="zh-CN"/>
        </w:rPr>
        <w:t>授权代表根据招标文件规定及投标内容而对采购人、采购机构所作的任何合法承诺，包括书面澄清及相应等均对联合投标各方产生约束力。</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三、本次联合投标中，分工如下：</w:t>
      </w:r>
    </w:p>
    <w:p>
      <w:pPr>
        <w:spacing w:line="360" w:lineRule="auto"/>
        <w:ind w:firstLine="576"/>
        <w:rPr>
          <w:rFonts w:hint="eastAsia" w:ascii="宋体" w:hAnsi="宋体" w:eastAsia="宋体" w:cs="宋体"/>
          <w:color w:val="auto"/>
          <w:kern w:val="0"/>
          <w:highlight w:val="none"/>
          <w:lang w:val="zh-CN"/>
        </w:rPr>
      </w:pPr>
      <w:bookmarkStart w:id="43" w:name="_Hlk101134295"/>
      <w:r>
        <w:rPr>
          <w:rFonts w:hint="eastAsia" w:ascii="宋体" w:hAnsi="宋体" w:eastAsia="宋体" w:cs="宋体"/>
          <w:color w:val="auto"/>
          <w:kern w:val="0"/>
          <w:highlight w:val="none"/>
          <w:u w:val="single"/>
        </w:rPr>
        <w:t>（联合体成员1）</w:t>
      </w:r>
      <w:r>
        <w:rPr>
          <w:rFonts w:hint="eastAsia" w:ascii="宋体" w:hAnsi="宋体" w:eastAsia="宋体" w:cs="宋体"/>
          <w:color w:val="auto"/>
          <w:kern w:val="0"/>
          <w:highlight w:val="none"/>
          <w:lang w:val="zh-CN"/>
        </w:rPr>
        <w:t>承担的工作和义务为：；</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u w:val="single"/>
        </w:rPr>
        <w:t>（联合体成员2）</w:t>
      </w:r>
      <w:r>
        <w:rPr>
          <w:rFonts w:hint="eastAsia" w:ascii="宋体" w:hAnsi="宋体" w:eastAsia="宋体" w:cs="宋体"/>
          <w:color w:val="auto"/>
          <w:kern w:val="0"/>
          <w:highlight w:val="none"/>
          <w:lang w:val="zh-CN"/>
        </w:rPr>
        <w:t>承担的工作和义务为：；</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w:t>
      </w:r>
    </w:p>
    <w:bookmarkEnd w:id="43"/>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四、联合体成员中小企业合同份额。</w:t>
      </w:r>
    </w:p>
    <w:p>
      <w:pPr>
        <w:spacing w:line="360" w:lineRule="auto"/>
        <w:ind w:firstLine="576"/>
        <w:rPr>
          <w:rFonts w:hint="eastAsia" w:ascii="宋体" w:hAnsi="宋体" w:eastAsia="宋体" w:cs="宋体"/>
          <w:b/>
          <w:color w:val="auto"/>
          <w:kern w:val="0"/>
          <w:highlight w:val="none"/>
          <w:lang w:val="zh-CN"/>
        </w:rPr>
      </w:pPr>
      <w:r>
        <w:rPr>
          <w:rFonts w:hint="eastAsia" w:ascii="宋体" w:hAnsi="宋体" w:eastAsia="宋体" w:cs="宋体"/>
          <w:color w:val="auto"/>
          <w:kern w:val="0"/>
          <w:highlight w:val="none"/>
          <w:lang w:val="zh-CN"/>
        </w:rPr>
        <w:t>1、</w:t>
      </w:r>
      <w:r>
        <w:rPr>
          <w:rFonts w:hint="eastAsia" w:ascii="宋体" w:hAnsi="宋体" w:eastAsia="宋体" w:cs="宋体"/>
          <w:color w:val="auto"/>
          <w:kern w:val="0"/>
          <w:highlight w:val="none"/>
          <w:u w:val="single"/>
        </w:rPr>
        <w:t>（联合体成员X,……）</w:t>
      </w:r>
      <w:r>
        <w:rPr>
          <w:rFonts w:hint="eastAsia" w:ascii="宋体" w:hAnsi="宋体" w:eastAsia="宋体" w:cs="宋体"/>
          <w:color w:val="auto"/>
          <w:kern w:val="0"/>
          <w:highlight w:val="none"/>
        </w:rPr>
        <w:t>提供的全部货物由小微企业制造，其合同份额占到合同总金额</w:t>
      </w:r>
      <w:r>
        <w:rPr>
          <w:rFonts w:hint="eastAsia" w:ascii="宋体" w:hAnsi="宋体" w:eastAsia="宋体" w:cs="宋体"/>
          <w:color w:val="auto"/>
          <w:highlight w:val="none"/>
        </w:rPr>
        <w:t>_</w:t>
      </w:r>
      <w:r>
        <w:rPr>
          <w:rFonts w:hint="eastAsia" w:ascii="宋体" w:hAnsi="宋体" w:eastAsia="宋体" w:cs="宋体"/>
          <w:color w:val="auto"/>
          <w:kern w:val="0"/>
          <w:highlight w:val="none"/>
        </w:rPr>
        <w:t>%以上；</w:t>
      </w:r>
      <w:r>
        <w:rPr>
          <w:rFonts w:hint="eastAsia" w:ascii="宋体" w:hAnsi="宋体" w:eastAsia="宋体" w:cs="宋体"/>
          <w:color w:val="auto"/>
          <w:kern w:val="0"/>
          <w:highlight w:val="none"/>
          <w:lang w:val="zh-CN"/>
        </w:rPr>
        <w:t>……。</w:t>
      </w:r>
      <w:r>
        <w:rPr>
          <w:rFonts w:hint="eastAsia" w:ascii="宋体" w:hAnsi="宋体" w:eastAsia="宋体" w:cs="宋体"/>
          <w:b/>
          <w:color w:val="auto"/>
          <w:kern w:val="0"/>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highlight w:val="none"/>
        </w:rPr>
        <w:t>拟享受以上价格扣除政策的，填写有关内容。</w:t>
      </w:r>
      <w:r>
        <w:rPr>
          <w:rFonts w:hint="eastAsia" w:ascii="宋体" w:hAnsi="宋体" w:eastAsia="宋体" w:cs="宋体"/>
          <w:b/>
          <w:color w:val="auto"/>
          <w:kern w:val="0"/>
          <w:highlight w:val="none"/>
          <w:lang w:val="zh-CN"/>
        </w:rPr>
        <w:t>）</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highlight w:val="none"/>
        </w:rPr>
        <w:t>2、中小企业合同金额达到_%，小微企业合同金额达到_%</w:t>
      </w:r>
      <w:r>
        <w:rPr>
          <w:rFonts w:hint="eastAsia" w:ascii="宋体" w:hAnsi="宋体" w:eastAsia="宋体" w:cs="宋体"/>
          <w:color w:val="auto"/>
          <w:kern w:val="0"/>
          <w:highlight w:val="none"/>
          <w:lang w:val="zh-CN"/>
        </w:rPr>
        <w:t>。</w:t>
      </w:r>
      <w:r>
        <w:rPr>
          <w:rFonts w:hint="eastAsia" w:ascii="宋体" w:hAnsi="宋体" w:eastAsia="宋体" w:cs="宋体"/>
          <w:b/>
          <w:bCs/>
          <w:color w:val="auto"/>
          <w:kern w:val="0"/>
          <w:highlight w:val="none"/>
          <w:lang w:val="zh-CN"/>
        </w:rPr>
        <w:t>（</w:t>
      </w:r>
      <w:r>
        <w:rPr>
          <w:rFonts w:hint="eastAsia" w:ascii="宋体" w:hAnsi="宋体" w:eastAsia="宋体" w:cs="宋体"/>
          <w:b/>
          <w:bCs/>
          <w:color w:val="auto"/>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highlight w:val="none"/>
          <w:lang w:val="zh-CN"/>
        </w:rPr>
        <w:t>）</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五、如果中标，</w:t>
      </w:r>
      <w:r>
        <w:rPr>
          <w:rFonts w:hint="eastAsia" w:ascii="宋体" w:hAnsi="宋体" w:eastAsia="宋体" w:cs="宋体"/>
          <w:color w:val="auto"/>
          <w:highlight w:val="none"/>
        </w:rPr>
        <w:t>联合体各成员方共同与采购人签订合同，并就采购合同约定的事项对采购人承担连带责任。</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六、有关本次联合投标的其他事宜：</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1、联合体各方不再单独参加或者与其他供应商另外组成联合体参加同一合同项下的政府采购活动。</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2、联合体中有同类资质的各方按照联合体分工承担相同工作的，按照资质等级较低的供应商确定资质等级。</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3、本协议提交采购人、采购机构后，联合体各方不得以任何形式对上述内容进行修改或撤销。</w:t>
      </w:r>
    </w:p>
    <w:p>
      <w:pPr>
        <w:spacing w:line="360" w:lineRule="auto"/>
        <w:ind w:firstLine="4410" w:firstLineChars="21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联合体成员名称(电子签名/公章)：</w:t>
      </w:r>
    </w:p>
    <w:p>
      <w:pPr>
        <w:spacing w:line="360" w:lineRule="auto"/>
        <w:ind w:firstLine="4410" w:firstLineChars="21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联合体成员名称(电子签名/公章)：</w:t>
      </w:r>
    </w:p>
    <w:p>
      <w:pPr>
        <w:spacing w:line="360" w:lineRule="auto"/>
        <w:ind w:right="960"/>
        <w:jc w:val="center"/>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w:t>
      </w:r>
    </w:p>
    <w:p>
      <w:pPr>
        <w:spacing w:line="360" w:lineRule="auto"/>
        <w:jc w:val="righ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日期：  年  月   日</w:t>
      </w:r>
    </w:p>
    <w:p>
      <w:pPr>
        <w:spacing w:line="360" w:lineRule="auto"/>
        <w:ind w:right="420"/>
        <w:rPr>
          <w:rFonts w:hint="eastAsia" w:ascii="宋体" w:hAnsi="宋体" w:eastAsia="宋体" w:cs="宋体"/>
          <w:color w:val="auto"/>
          <w:highlight w:val="none"/>
        </w:rPr>
      </w:pPr>
      <w:r>
        <w:rPr>
          <w:rFonts w:hint="eastAsia" w:ascii="宋体" w:hAnsi="宋体" w:eastAsia="宋体" w:cs="宋体"/>
          <w:color w:val="auto"/>
          <w:highlight w:val="none"/>
        </w:rPr>
        <w:t>注：按本格式和要求提供。</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jc w:val="center"/>
        <w:outlineLvl w:val="2"/>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pPr>
        <w:widowControl/>
        <w:spacing w:line="360" w:lineRule="auto"/>
        <w:ind w:firstLine="105" w:firstLineChars="50"/>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
          <w:color w:val="auto"/>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highlight w:val="none"/>
        </w:rPr>
        <w:t>）</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u w:val="single"/>
        </w:rPr>
        <w:t>（投标人名称）</w:t>
      </w:r>
      <w:r>
        <w:rPr>
          <w:rFonts w:hint="eastAsia" w:ascii="宋体" w:hAnsi="宋体" w:eastAsia="宋体" w:cs="宋体"/>
          <w:color w:val="auto"/>
          <w:kern w:val="0"/>
          <w:highlight w:val="none"/>
          <w:lang w:val="zh-CN"/>
        </w:rPr>
        <w:t>若成为</w:t>
      </w:r>
      <w:r>
        <w:rPr>
          <w:rFonts w:hint="eastAsia" w:ascii="宋体" w:hAnsi="宋体" w:eastAsia="宋体" w:cs="宋体"/>
          <w:color w:val="auto"/>
          <w:highlight w:val="none"/>
        </w:rPr>
        <w:t>（项目名称）【招标编号：】</w:t>
      </w:r>
      <w:r>
        <w:rPr>
          <w:rFonts w:hint="eastAsia" w:ascii="宋体" w:hAnsi="宋体" w:eastAsia="宋体" w:cs="宋体"/>
          <w:color w:val="auto"/>
          <w:kern w:val="0"/>
          <w:highlight w:val="none"/>
          <w:lang w:val="zh-CN"/>
        </w:rPr>
        <w:t>的中标供应商，将依法采取分包方式履行合同。</w:t>
      </w:r>
      <w:r>
        <w:rPr>
          <w:rFonts w:hint="eastAsia" w:ascii="宋体" w:hAnsi="宋体" w:eastAsia="宋体" w:cs="宋体"/>
          <w:color w:val="auto"/>
          <w:kern w:val="0"/>
          <w:highlight w:val="none"/>
          <w:u w:val="single"/>
        </w:rPr>
        <w:t>（投标人名称）</w:t>
      </w:r>
      <w:r>
        <w:rPr>
          <w:rFonts w:hint="eastAsia" w:ascii="宋体" w:hAnsi="宋体" w:eastAsia="宋体" w:cs="宋体"/>
          <w:color w:val="auto"/>
          <w:kern w:val="0"/>
          <w:highlight w:val="none"/>
        </w:rPr>
        <w:t>与</w:t>
      </w:r>
      <w:r>
        <w:rPr>
          <w:rFonts w:hint="eastAsia" w:ascii="宋体" w:hAnsi="宋体" w:eastAsia="宋体" w:cs="宋体"/>
          <w:color w:val="auto"/>
          <w:kern w:val="0"/>
          <w:highlight w:val="none"/>
          <w:u w:val="single"/>
        </w:rPr>
        <w:t>（所有分包供应商名称）</w:t>
      </w:r>
      <w:r>
        <w:rPr>
          <w:rFonts w:hint="eastAsia" w:ascii="宋体" w:hAnsi="宋体" w:eastAsia="宋体" w:cs="宋体"/>
          <w:color w:val="auto"/>
          <w:kern w:val="0"/>
          <w:highlight w:val="none"/>
        </w:rPr>
        <w:t>达成分包意向协议</w:t>
      </w:r>
      <w:r>
        <w:rPr>
          <w:rFonts w:hint="eastAsia" w:ascii="宋体" w:hAnsi="宋体" w:eastAsia="宋体" w:cs="宋体"/>
          <w:color w:val="auto"/>
          <w:kern w:val="0"/>
          <w:highlight w:val="none"/>
          <w:lang w:val="zh-CN"/>
        </w:rPr>
        <w:t xml:space="preserve">。 </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一、分包标的及数量</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u w:val="single"/>
        </w:rPr>
        <w:t>（投标人名称）</w:t>
      </w:r>
      <w:r>
        <w:rPr>
          <w:rFonts w:hint="eastAsia" w:ascii="宋体" w:hAnsi="宋体" w:eastAsia="宋体" w:cs="宋体"/>
          <w:color w:val="auto"/>
          <w:kern w:val="0"/>
          <w:highlight w:val="none"/>
          <w:lang w:val="zh-CN"/>
        </w:rPr>
        <w:t>将</w:t>
      </w:r>
      <w:r>
        <w:rPr>
          <w:rFonts w:hint="eastAsia" w:ascii="宋体" w:hAnsi="宋体" w:eastAsia="宋体" w:cs="宋体"/>
          <w:color w:val="auto"/>
          <w:kern w:val="0"/>
          <w:highlight w:val="none"/>
          <w:u w:val="single"/>
        </w:rPr>
        <w:t xml:space="preserve">  XX工作内容   </w:t>
      </w:r>
      <w:r>
        <w:rPr>
          <w:rFonts w:hint="eastAsia" w:ascii="宋体" w:hAnsi="宋体" w:eastAsia="宋体" w:cs="宋体"/>
          <w:color w:val="auto"/>
          <w:highlight w:val="none"/>
        </w:rPr>
        <w:t>分包给</w:t>
      </w:r>
      <w:r>
        <w:rPr>
          <w:rFonts w:hint="eastAsia" w:ascii="宋体" w:hAnsi="宋体" w:eastAsia="宋体" w:cs="宋体"/>
          <w:color w:val="auto"/>
          <w:kern w:val="0"/>
          <w:highlight w:val="none"/>
          <w:u w:val="single"/>
        </w:rPr>
        <w:t>（分包供应商1名称）</w:t>
      </w:r>
      <w:r>
        <w:rPr>
          <w:rFonts w:hint="eastAsia" w:ascii="宋体" w:hAnsi="宋体" w:eastAsia="宋体" w:cs="宋体"/>
          <w:color w:val="auto"/>
          <w:kern w:val="0"/>
          <w:highlight w:val="none"/>
          <w:lang w:val="zh-CN"/>
        </w:rPr>
        <w:t>，</w:t>
      </w:r>
      <w:r>
        <w:rPr>
          <w:rFonts w:hint="eastAsia" w:ascii="宋体" w:hAnsi="宋体" w:eastAsia="宋体" w:cs="宋体"/>
          <w:color w:val="auto"/>
          <w:kern w:val="0"/>
          <w:highlight w:val="none"/>
          <w:u w:val="single"/>
        </w:rPr>
        <w:t>（分包供应商1名称），</w:t>
      </w:r>
      <w:r>
        <w:rPr>
          <w:rFonts w:hint="eastAsia" w:ascii="宋体" w:hAnsi="宋体" w:eastAsia="宋体" w:cs="宋体"/>
          <w:color w:val="auto"/>
          <w:kern w:val="0"/>
          <w:highlight w:val="none"/>
          <w:lang w:val="zh-CN"/>
        </w:rPr>
        <w:t>具备承</w:t>
      </w:r>
      <w:r>
        <w:rPr>
          <w:rFonts w:hint="eastAsia" w:ascii="宋体" w:hAnsi="宋体" w:eastAsia="宋体" w:cs="宋体"/>
          <w:color w:val="auto"/>
          <w:kern w:val="0"/>
          <w:highlight w:val="none"/>
        </w:rPr>
        <w:t>担</w:t>
      </w:r>
      <w:r>
        <w:rPr>
          <w:rFonts w:hint="eastAsia" w:ascii="宋体" w:hAnsi="宋体" w:eastAsia="宋体" w:cs="宋体"/>
          <w:color w:val="auto"/>
          <w:kern w:val="0"/>
          <w:highlight w:val="none"/>
          <w:u w:val="single"/>
          <w:lang w:val="zh-CN"/>
        </w:rPr>
        <w:t>XX工作内容</w:t>
      </w:r>
      <w:r>
        <w:rPr>
          <w:rFonts w:hint="eastAsia" w:ascii="宋体" w:hAnsi="宋体" w:eastAsia="宋体" w:cs="宋体"/>
          <w:color w:val="auto"/>
          <w:kern w:val="0"/>
          <w:highlight w:val="none"/>
          <w:lang w:val="zh-CN"/>
        </w:rPr>
        <w:t>相应资质条件且不得再次分包；</w:t>
      </w:r>
    </w:p>
    <w:p>
      <w:pPr>
        <w:rPr>
          <w:rFonts w:hint="eastAsia" w:ascii="宋体" w:hAnsi="宋体" w:eastAsia="宋体" w:cs="宋体"/>
          <w:color w:val="auto"/>
          <w:highlight w:val="none"/>
        </w:rPr>
      </w:pPr>
      <w:r>
        <w:rPr>
          <w:rFonts w:hint="eastAsia" w:ascii="宋体" w:hAnsi="宋体" w:eastAsia="宋体" w:cs="宋体"/>
          <w:color w:val="auto"/>
          <w:highlight w:val="none"/>
        </w:rPr>
        <w:t>……</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二、分包供应商中小企业合同份额</w:t>
      </w:r>
    </w:p>
    <w:p>
      <w:pPr>
        <w:spacing w:line="360" w:lineRule="auto"/>
        <w:ind w:firstLine="576"/>
        <w:rPr>
          <w:rFonts w:hint="eastAsia" w:ascii="宋体" w:hAnsi="宋体" w:eastAsia="宋体" w:cs="宋体"/>
          <w:b/>
          <w:color w:val="auto"/>
          <w:kern w:val="0"/>
          <w:highlight w:val="none"/>
          <w:lang w:val="zh-CN"/>
        </w:rPr>
      </w:pPr>
      <w:r>
        <w:rPr>
          <w:rFonts w:hint="eastAsia" w:ascii="宋体" w:hAnsi="宋体" w:eastAsia="宋体" w:cs="宋体"/>
          <w:color w:val="auto"/>
          <w:kern w:val="0"/>
          <w:highlight w:val="none"/>
        </w:rPr>
        <w:t>1、</w:t>
      </w:r>
      <w:r>
        <w:rPr>
          <w:rFonts w:hint="eastAsia" w:ascii="宋体" w:hAnsi="宋体" w:eastAsia="宋体" w:cs="宋体"/>
          <w:color w:val="auto"/>
          <w:kern w:val="0"/>
          <w:highlight w:val="none"/>
          <w:u w:val="single"/>
        </w:rPr>
        <w:t>（分包供应商X,……）提供的货物全部由小微企业制造，</w:t>
      </w:r>
      <w:r>
        <w:rPr>
          <w:rFonts w:hint="eastAsia" w:ascii="宋体" w:hAnsi="宋体" w:eastAsia="宋体" w:cs="宋体"/>
          <w:color w:val="auto"/>
          <w:kern w:val="0"/>
          <w:highlight w:val="none"/>
        </w:rPr>
        <w:t>其合同份额占到合同总金额__%以上</w:t>
      </w:r>
      <w:r>
        <w:rPr>
          <w:rFonts w:hint="eastAsia" w:ascii="宋体" w:hAnsi="宋体" w:eastAsia="宋体" w:cs="宋体"/>
          <w:color w:val="auto"/>
          <w:highlight w:val="none"/>
        </w:rPr>
        <w:t>。</w:t>
      </w:r>
      <w:r>
        <w:rPr>
          <w:rFonts w:hint="eastAsia" w:ascii="宋体" w:hAnsi="宋体" w:eastAsia="宋体" w:cs="宋体"/>
          <w:b/>
          <w:color w:val="auto"/>
          <w:kern w:val="0"/>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highlight w:val="none"/>
        </w:rPr>
        <w:t>拟享受以上价格扣除政策的，填写有关内容。</w:t>
      </w:r>
      <w:r>
        <w:rPr>
          <w:rFonts w:hint="eastAsia" w:ascii="宋体" w:hAnsi="宋体" w:eastAsia="宋体" w:cs="宋体"/>
          <w:b/>
          <w:color w:val="auto"/>
          <w:kern w:val="0"/>
          <w:highlight w:val="none"/>
          <w:lang w:val="zh-CN"/>
        </w:rPr>
        <w:t>）</w:t>
      </w:r>
    </w:p>
    <w:p>
      <w:pPr>
        <w:spacing w:line="360" w:lineRule="auto"/>
        <w:ind w:firstLine="420" w:firstLineChars="200"/>
        <w:rPr>
          <w:rFonts w:hint="eastAsia" w:ascii="宋体" w:hAnsi="宋体" w:eastAsia="宋体" w:cs="宋体"/>
          <w:b/>
          <w:bCs/>
          <w:color w:val="auto"/>
          <w:kern w:val="0"/>
          <w:highlight w:val="none"/>
          <w:lang w:val="zh-CN"/>
        </w:rPr>
      </w:pPr>
      <w:r>
        <w:rPr>
          <w:rFonts w:hint="eastAsia" w:ascii="宋体" w:hAnsi="宋体" w:eastAsia="宋体" w:cs="宋体"/>
          <w:color w:val="auto"/>
          <w:highlight w:val="none"/>
        </w:rPr>
        <w:t>2、</w:t>
      </w:r>
      <w:bookmarkStart w:id="44" w:name="_Hlk101133173"/>
      <w:r>
        <w:rPr>
          <w:rFonts w:hint="eastAsia" w:ascii="宋体" w:hAnsi="宋体" w:eastAsia="宋体" w:cs="宋体"/>
          <w:color w:val="auto"/>
          <w:highlight w:val="none"/>
        </w:rPr>
        <w:t>中小企业合同金额达到__%，小微企业合同金额达到__%</w:t>
      </w:r>
      <w:r>
        <w:rPr>
          <w:rFonts w:hint="eastAsia" w:ascii="宋体" w:hAnsi="宋体" w:eastAsia="宋体" w:cs="宋体"/>
          <w:color w:val="auto"/>
          <w:kern w:val="0"/>
          <w:highlight w:val="none"/>
          <w:lang w:val="zh-CN"/>
        </w:rPr>
        <w:t>。</w:t>
      </w:r>
      <w:r>
        <w:rPr>
          <w:rFonts w:hint="eastAsia" w:ascii="宋体" w:hAnsi="宋体" w:eastAsia="宋体" w:cs="宋体"/>
          <w:b/>
          <w:bCs/>
          <w:color w:val="auto"/>
          <w:kern w:val="0"/>
          <w:highlight w:val="none"/>
          <w:lang w:val="zh-CN"/>
        </w:rPr>
        <w:t>（</w:t>
      </w:r>
      <w:r>
        <w:rPr>
          <w:rFonts w:hint="eastAsia" w:ascii="宋体" w:hAnsi="宋体" w:eastAsia="宋体" w:cs="宋体"/>
          <w:b/>
          <w:bCs/>
          <w:color w:val="auto"/>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highlight w:val="none"/>
          <w:lang w:val="zh-CN"/>
        </w:rPr>
        <w:t>分包意向协议</w:t>
      </w:r>
      <w:r>
        <w:rPr>
          <w:rFonts w:hint="eastAsia" w:ascii="宋体" w:hAnsi="宋体" w:eastAsia="宋体" w:cs="宋体"/>
          <w:b/>
          <w:bCs/>
          <w:color w:val="auto"/>
          <w:highlight w:val="none"/>
        </w:rPr>
        <w:t>中中小企业、小微企业合同金额应当达到的比例要求填写。</w:t>
      </w:r>
      <w:r>
        <w:rPr>
          <w:rFonts w:hint="eastAsia" w:ascii="宋体" w:hAnsi="宋体" w:eastAsia="宋体" w:cs="宋体"/>
          <w:b/>
          <w:bCs/>
          <w:color w:val="auto"/>
          <w:kern w:val="0"/>
          <w:highlight w:val="none"/>
          <w:lang w:val="zh-CN"/>
        </w:rPr>
        <w:t>）</w:t>
      </w:r>
      <w:bookmarkEnd w:id="44"/>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三、分包工作履行期限、地点、方式</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四、质量</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五、价款或者报酬</w:t>
      </w:r>
    </w:p>
    <w:p>
      <w:pPr>
        <w:spacing w:line="360" w:lineRule="auto"/>
        <w:ind w:left="573" w:leftChars="273"/>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六、违约责任</w:t>
      </w:r>
    </w:p>
    <w:p>
      <w:pPr>
        <w:spacing w:line="360" w:lineRule="auto"/>
        <w:ind w:firstLine="576"/>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七、争议解决的办法</w:t>
      </w:r>
    </w:p>
    <w:p>
      <w:pPr>
        <w:spacing w:line="360" w:lineRule="auto"/>
        <w:ind w:left="5128" w:leftChars="342" w:hanging="4410" w:hangingChars="21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投标人名称(电子签名)：</w:t>
      </w:r>
    </w:p>
    <w:p>
      <w:pPr>
        <w:spacing w:line="360" w:lineRule="auto"/>
        <w:jc w:val="right"/>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分包供应商名称(电子签名/公章)：</w:t>
      </w:r>
    </w:p>
    <w:p>
      <w:pPr>
        <w:spacing w:line="360" w:lineRule="auto"/>
        <w:ind w:firstLine="5040" w:firstLineChars="2400"/>
        <w:rPr>
          <w:rFonts w:hint="eastAsia" w:ascii="宋体" w:hAnsi="宋体" w:eastAsia="宋体" w:cs="宋体"/>
          <w:color w:val="auto"/>
          <w:highlight w:val="none"/>
        </w:rPr>
      </w:pPr>
      <w:r>
        <w:rPr>
          <w:rFonts w:hint="eastAsia" w:ascii="宋体" w:hAnsi="宋体" w:eastAsia="宋体" w:cs="宋体"/>
          <w:color w:val="auto"/>
          <w:kern w:val="0"/>
          <w:highlight w:val="none"/>
          <w:lang w:val="zh-CN"/>
        </w:rPr>
        <w:t>……</w:t>
      </w:r>
    </w:p>
    <w:p>
      <w:pPr>
        <w:spacing w:line="360" w:lineRule="auto"/>
        <w:jc w:val="center"/>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日期：  年  月   日</w:t>
      </w:r>
    </w:p>
    <w:p>
      <w:pPr>
        <w:rPr>
          <w:rFonts w:hint="eastAsia" w:ascii="宋体" w:hAnsi="宋体" w:eastAsia="宋体" w:cs="宋体"/>
          <w:color w:val="auto"/>
          <w:highlight w:val="none"/>
        </w:rPr>
      </w:pPr>
      <w:r>
        <w:rPr>
          <w:rFonts w:hint="eastAsia" w:ascii="宋体" w:hAnsi="宋体" w:eastAsia="宋体" w:cs="宋体"/>
          <w:color w:val="auto"/>
          <w:highlight w:val="none"/>
        </w:rPr>
        <w:t>注：按本格式和要求提供。</w:t>
      </w:r>
    </w:p>
    <w:p>
      <w:pPr>
        <w:pageBreakBefore w:val="0"/>
        <w:kinsoku/>
        <w:overflowPunct/>
        <w:topLinePunct w:val="0"/>
        <w:bidi w:val="0"/>
        <w:adjustRightInd w:val="0"/>
        <w:snapToGrid w:val="0"/>
        <w:spacing w:line="336" w:lineRule="auto"/>
        <w:rPr>
          <w:rFonts w:hint="eastAsia" w:ascii="宋体" w:hAnsi="宋体" w:eastAsia="宋体" w:cs="宋体"/>
          <w:color w:val="auto"/>
          <w:szCs w:val="21"/>
          <w:highlight w:val="none"/>
        </w:rPr>
      </w:pPr>
    </w:p>
    <w:sectPr>
      <w:footerReference r:id="rId17" w:type="default"/>
      <w:pgSz w:w="11911" w:h="16838"/>
      <w:pgMar w:top="1417" w:right="1417" w:bottom="1134" w:left="1701" w:header="992"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MS Sans Serif">
    <w:altName w:val="Segoe Print"/>
    <w:panose1 w:val="00000000000000000000"/>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Arial Narrow">
    <w:altName w:val="Arial"/>
    <w:panose1 w:val="020B0606020202030204"/>
    <w:charset w:val="00"/>
    <w:family w:val="swiss"/>
    <w:pitch w:val="default"/>
    <w:sig w:usb0="00000000" w:usb1="00000000" w:usb2="00000000" w:usb3="00000000" w:csb0="2000009F" w:csb1="DFD70000"/>
  </w:font>
  <w:font w:name="_x000B__x000C_">
    <w:altName w:val="Times New Roman"/>
    <w:panose1 w:val="00000000000000000000"/>
    <w:charset w:val="00"/>
    <w:family w:val="roman"/>
    <w:pitch w:val="default"/>
    <w:sig w:usb0="00000000" w:usb1="00000000" w:usb2="00000000"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Arial Unicode MS">
    <w:altName w:val="Arial"/>
    <w:panose1 w:val="020B0604020202020204"/>
    <w:charset w:val="80"/>
    <w:family w:val="swiss"/>
    <w:pitch w:val="default"/>
    <w:sig w:usb0="00000000" w:usb1="00000000" w:usb2="0000003F" w:usb3="00000000" w:csb0="003F01FF"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0"/>
                          </w:pPr>
                          <w:r>
                            <w:fldChar w:fldCharType="begin"/>
                          </w:r>
                          <w:r>
                            <w:instrText xml:space="preserve"> PAGE  \* MERGEFORMAT </w:instrText>
                          </w:r>
                          <w:r>
                            <w:fldChar w:fldCharType="separate"/>
                          </w:r>
                          <w:r>
                            <w:t>55</w:t>
                          </w:r>
                          <w:r>
                            <w:fldChar w:fldCharType="end"/>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P8C3Xo&#10;AQAAygMAAA4AAAAAAAAAAQAgAAAAIgEAAGRycy9lMm9Eb2MueG1sUEsFBgAAAAAGAAYAWQEAAHwF&#10;AAAAAA==&#10;">
              <v:fill on="f" focussize="0,0"/>
              <v:stroke on="f" weight="1.25pt"/>
              <v:imagedata o:title=""/>
              <o:lock v:ext="edit" aspectratio="f"/>
              <v:textbox inset="0mm,0mm,0mm,0mm" style="mso-fit-shape-to-text:t;">
                <w:txbxContent>
                  <w:p>
                    <w:pPr>
                      <w:pStyle w:val="3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1" name="文本框 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pStyle w:val="30"/>
                          </w:pPr>
                          <w:r>
                            <w:fldChar w:fldCharType="begin"/>
                          </w:r>
                          <w:r>
                            <w:instrText xml:space="preserve"> PAGE  \* MERGEFORMAT </w:instrText>
                          </w:r>
                          <w:r>
                            <w:fldChar w:fldCharType="separate"/>
                          </w:r>
                          <w:r>
                            <w:t>0</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DMeA1AAAAAMBAAAPAAAAAAAAAAEAIAAA&#10;ACIAAABkcnMvZG93bnJldi54bWxQSwECFAAUAAAACACHTuJAIQQhhtcBAACiAwAADgAAAAAAAAAB&#10;ACAAAAAjAQAAZHJzL2Uyb0RvYy54bWxQSwUGAAAAAAYABgBZAQAAbAUAAAAA&#10;">
              <v:fill on="f" focussize="0,0"/>
              <v:stroke on="f" weight="1.25pt"/>
              <v:imagedata o:title=""/>
              <o:lock v:ext="edit" aspectratio="f"/>
              <v:textbox inset="0mm,0mm,0mm,0mm" style="mso-fit-shape-to-text:t;">
                <w:txbxContent>
                  <w:p>
                    <w:pPr>
                      <w:pStyle w:val="3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right" w:y="1"/>
      <w:rPr>
        <w:rStyle w:val="49"/>
      </w:rPr>
    </w:pPr>
    <w:r>
      <w:fldChar w:fldCharType="begin"/>
    </w:r>
    <w:r>
      <w:rPr>
        <w:rStyle w:val="49"/>
      </w:rPr>
      <w:instrText xml:space="preserve">PAGE  </w:instrText>
    </w:r>
    <w:r>
      <w:fldChar w:fldCharType="end"/>
    </w:r>
  </w:p>
  <w:p>
    <w:pPr>
      <w:pStyle w:val="3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bookmarkStart w:id="45" w:name="_Toc164085800"/>
    <w:bookmarkStart w:id="46" w:name="_Toc36110187"/>
    <w:bookmarkStart w:id="47" w:name="_Toc131845147"/>
    <w:bookmarkStart w:id="48" w:name="_Toc91899912"/>
    <w:r>
      <w:rPr>
        <w:rFonts w:hint="eastAsia" w:ascii="仿宋_GB2312" w:eastAsia="仿宋_GB2312"/>
        <w:kern w:val="0"/>
        <w:szCs w:val="21"/>
      </w:rPr>
      <w:t xml:space="preserve"> 页</w:t>
    </w:r>
    <w:bookmarkEnd w:id="45"/>
    <w:bookmarkEnd w:id="46"/>
    <w:bookmarkEnd w:id="47"/>
    <w:bookmarkEnd w:id="48"/>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900"/>
        <w:tab w:val="clear" w:pos="4153"/>
        <w:tab w:val="clear" w:pos="8306"/>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NT8NpTTAQAApQMAAA4AAAAAAAAAAQAgAAAA&#10;IgEAAGRycy9lMm9Eb2MueG1sUEsFBgAAAAAGAAYAWQEAAGcFAAAAAA==&#10;">
              <v:fill on="f" focussize="0,0"/>
              <v:stroke on="f" weight="1.25pt"/>
              <v:imagedata o:title=""/>
              <o:lock v:ext="edit" aspectratio="f"/>
              <v:textbox inset="0mm,0mm,0mm,0mm" style="mso-fit-shape-to-text:t;">
                <w:txbxContent>
                  <w:p>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9"/>
      </w:rPr>
    </w:pPr>
    <w:r>
      <w:fldChar w:fldCharType="begin"/>
    </w:r>
    <w:r>
      <w:rPr>
        <w:rStyle w:val="49"/>
      </w:rPr>
      <w:instrText xml:space="preserve">PAGE  </w:instrText>
    </w:r>
    <w:r>
      <w:fldChar w:fldCharType="separate"/>
    </w:r>
    <w: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4" w:space="0"/>
      </w:pBdr>
      <w:jc w:val="right"/>
      <w:rPr>
        <w:rFonts w:hint="eastAsia" w:ascii="宋体" w:hAnsi="宋体" w:eastAsia="宋体" w:cs="宋体"/>
        <w:lang w:eastAsia="zh-CN"/>
      </w:rPr>
    </w:pPr>
    <w:r>
      <w:rPr>
        <w:rFonts w:hint="eastAsia" w:ascii="宋体" w:hAnsi="宋体" w:cs="宋体"/>
        <w:color w:val="000000"/>
        <w:sz w:val="21"/>
        <w:szCs w:val="21"/>
      </w:rPr>
      <w:t>浙江理工大学</w:t>
    </w:r>
    <w:r>
      <w:rPr>
        <w:rFonts w:hint="eastAsia" w:ascii="宋体" w:hAnsi="宋体" w:cs="宋体"/>
        <w:color w:val="000000"/>
        <w:sz w:val="21"/>
        <w:szCs w:val="21"/>
        <w:lang w:eastAsia="zh-CN"/>
      </w:rPr>
      <w:t>智安校园平台建设项目招标文件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left w:val="none" w:color="auto" w:sz="0" w:space="4"/>
        <w:bottom w:val="none" w:color="auto" w:sz="0" w:space="1"/>
        <w:right w:val="none" w:color="auto" w:sz="0" w:space="4"/>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rFonts w:ascii="仿宋_GB2312" w:eastAsia="仿宋_GB2312"/>
        <w:b/>
        <w:i/>
        <w:iCs/>
        <w:u w:val="single"/>
      </w:rPr>
    </w:pPr>
    <w:r>
      <w:rPr>
        <w:rFonts w:hint="eastAsia"/>
        <w:lang w:eastAsia="zh-CN"/>
      </w:rPr>
      <w:t>浙江理工大学</w:t>
    </w:r>
    <w:r>
      <w:rPr>
        <w:rFonts w:hint="eastAsia"/>
      </w:rPr>
      <w:t>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hint="eastAsia" w:eastAsia="仿宋"/>
        <w:lang w:eastAsia="zh-CN"/>
      </w:rPr>
    </w:pPr>
    <w:r>
      <w:rPr>
        <w:rFonts w:hint="eastAsia"/>
        <w:lang w:eastAsia="zh-CN"/>
      </w:rPr>
      <w:t>浙江理工大学公开招标文件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FDA7D"/>
    <w:multiLevelType w:val="multilevel"/>
    <w:tmpl w:val="875FDA7D"/>
    <w:lvl w:ilvl="0" w:tentative="0">
      <w:start w:val="4"/>
      <w:numFmt w:val="decimal"/>
      <w:suff w:val="nothing"/>
      <w:lvlText w:val="%1."/>
      <w:lvlJc w:val="left"/>
      <w:pPr>
        <w:ind w:left="405" w:hanging="405"/>
      </w:pPr>
      <w:rPr>
        <w:rFonts w:hint="default" w:ascii="宋体" w:hAnsi="宋体" w:eastAsia="宋体" w:cs="宋体"/>
        <w:b/>
        <w:sz w:val="24"/>
      </w:rPr>
    </w:lvl>
    <w:lvl w:ilvl="1" w:tentative="0">
      <w:start w:val="1"/>
      <w:numFmt w:val="decimal"/>
      <w:suff w:val="nothing"/>
      <w:lvlText w:val="%1.%2."/>
      <w:lvlJc w:val="left"/>
      <w:pPr>
        <w:ind w:left="567" w:hanging="567"/>
      </w:pPr>
      <w:rPr>
        <w:rFonts w:hint="default"/>
        <w:b/>
        <w:sz w:val="24"/>
      </w:rPr>
    </w:lvl>
    <w:lvl w:ilvl="2" w:tentative="0">
      <w:start w:val="1"/>
      <w:numFmt w:val="decimal"/>
      <w:suff w:val="nothing"/>
      <w:lvlText w:val="%1.%2.%3."/>
      <w:lvlJc w:val="left"/>
      <w:pPr>
        <w:ind w:left="709" w:hanging="709"/>
      </w:pPr>
      <w:rPr>
        <w:rFonts w:hint="default" w:ascii="宋体" w:hAnsi="宋体" w:eastAsia="宋体" w:cs="宋体"/>
        <w:sz w:val="21"/>
        <w:szCs w:val="21"/>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9E58A0DC"/>
    <w:multiLevelType w:val="singleLevel"/>
    <w:tmpl w:val="9E58A0DC"/>
    <w:lvl w:ilvl="0" w:tentative="0">
      <w:start w:val="1"/>
      <w:numFmt w:val="chineseCounting"/>
      <w:suff w:val="nothing"/>
      <w:lvlText w:val="%1、"/>
      <w:lvlJc w:val="left"/>
      <w:pPr>
        <w:ind w:left="0" w:firstLine="420"/>
      </w:pPr>
      <w:rPr>
        <w:rFonts w:hint="eastAsia"/>
      </w:rPr>
    </w:lvl>
  </w:abstractNum>
  <w:abstractNum w:abstractNumId="2">
    <w:nsid w:val="A711461C"/>
    <w:multiLevelType w:val="singleLevel"/>
    <w:tmpl w:val="A711461C"/>
    <w:lvl w:ilvl="0" w:tentative="0">
      <w:start w:val="3"/>
      <w:numFmt w:val="chineseCounting"/>
      <w:suff w:val="space"/>
      <w:lvlText w:val="第%1部分"/>
      <w:lvlJc w:val="left"/>
      <w:rPr>
        <w:rFonts w:hint="eastAsia"/>
      </w:rPr>
    </w:lvl>
  </w:abstractNum>
  <w:abstractNum w:abstractNumId="3">
    <w:nsid w:val="B6ED5973"/>
    <w:multiLevelType w:val="singleLevel"/>
    <w:tmpl w:val="B6ED5973"/>
    <w:lvl w:ilvl="0" w:tentative="0">
      <w:start w:val="1"/>
      <w:numFmt w:val="decimal"/>
      <w:lvlText w:val="(%1)"/>
      <w:lvlJc w:val="left"/>
      <w:pPr>
        <w:ind w:left="425" w:hanging="425"/>
      </w:pPr>
      <w:rPr>
        <w:rFonts w:hint="default"/>
        <w:b w:val="0"/>
        <w:bCs w:val="0"/>
      </w:rPr>
    </w:lvl>
  </w:abstractNum>
  <w:abstractNum w:abstractNumId="4">
    <w:nsid w:val="D9EC99C5"/>
    <w:multiLevelType w:val="singleLevel"/>
    <w:tmpl w:val="D9EC99C5"/>
    <w:lvl w:ilvl="0" w:tentative="0">
      <w:start w:val="1"/>
      <w:numFmt w:val="decimal"/>
      <w:lvlText w:val="(%1)"/>
      <w:lvlJc w:val="left"/>
      <w:pPr>
        <w:ind w:left="425" w:hanging="425"/>
      </w:pPr>
      <w:rPr>
        <w:rFonts w:hint="default"/>
      </w:rPr>
    </w:lvl>
  </w:abstractNum>
  <w:abstractNum w:abstractNumId="5">
    <w:nsid w:val="F6CE8F93"/>
    <w:multiLevelType w:val="singleLevel"/>
    <w:tmpl w:val="F6CE8F93"/>
    <w:lvl w:ilvl="0" w:tentative="0">
      <w:start w:val="1"/>
      <w:numFmt w:val="decimalEnclosedCircleChinese"/>
      <w:suff w:val="nothing"/>
      <w:lvlText w:val="%1　"/>
      <w:lvlJc w:val="left"/>
      <w:pPr>
        <w:ind w:left="0" w:firstLine="400"/>
      </w:pPr>
      <w:rPr>
        <w:rFonts w:hint="eastAsia"/>
      </w:rPr>
    </w:lvl>
  </w:abstractNum>
  <w:abstractNum w:abstractNumId="6">
    <w:nsid w:val="FD71ACAF"/>
    <w:multiLevelType w:val="singleLevel"/>
    <w:tmpl w:val="FD71ACAF"/>
    <w:lvl w:ilvl="0" w:tentative="0">
      <w:start w:val="1"/>
      <w:numFmt w:val="decimal"/>
      <w:suff w:val="nothing"/>
      <w:lvlText w:val="%1）"/>
      <w:lvlJc w:val="left"/>
    </w:lvl>
  </w:abstractNum>
  <w:abstractNum w:abstractNumId="7">
    <w:nsid w:val="FD8902AC"/>
    <w:multiLevelType w:val="singleLevel"/>
    <w:tmpl w:val="FD8902AC"/>
    <w:lvl w:ilvl="0" w:tentative="0">
      <w:start w:val="1"/>
      <w:numFmt w:val="lowerLetter"/>
      <w:lvlText w:val="%1."/>
      <w:lvlJc w:val="left"/>
      <w:pPr>
        <w:ind w:left="425" w:hanging="425"/>
      </w:pPr>
      <w:rPr>
        <w:rFonts w:hint="default"/>
      </w:rPr>
    </w:lvl>
  </w:abstractNum>
  <w:abstractNum w:abstractNumId="8">
    <w:nsid w:val="1788E367"/>
    <w:multiLevelType w:val="multilevel"/>
    <w:tmpl w:val="1788E367"/>
    <w:lvl w:ilvl="0" w:tentative="0">
      <w:start w:val="3"/>
      <w:numFmt w:val="decimal"/>
      <w:lvlText w:val="%1."/>
      <w:lvlJc w:val="left"/>
      <w:pPr>
        <w:tabs>
          <w:tab w:val="left" w:pos="399"/>
        </w:tabs>
        <w:ind w:left="405" w:hanging="405"/>
      </w:pPr>
      <w:rPr>
        <w:rFonts w:hint="default" w:ascii="宋体" w:hAnsi="宋体" w:eastAsia="宋体" w:cs="宋体"/>
        <w:b/>
        <w:sz w:val="24"/>
      </w:rPr>
    </w:lvl>
    <w:lvl w:ilvl="1" w:tentative="0">
      <w:start w:val="1"/>
      <w:numFmt w:val="decimal"/>
      <w:suff w:val="nothing"/>
      <w:lvlText w:val="%1.%2."/>
      <w:lvlJc w:val="left"/>
      <w:pPr>
        <w:ind w:left="567" w:hanging="567"/>
      </w:pPr>
      <w:rPr>
        <w:rFonts w:hint="default" w:ascii="宋体" w:hAnsi="宋体" w:eastAsia="宋体" w:cs="宋体"/>
        <w:b/>
        <w:sz w:val="21"/>
        <w:szCs w:val="21"/>
      </w:rPr>
    </w:lvl>
    <w:lvl w:ilvl="2" w:tentative="0">
      <w:start w:val="1"/>
      <w:numFmt w:val="decimal"/>
      <w:suff w:val="nothing"/>
      <w:lvlText w:val="%1.%2.%3."/>
      <w:lvlJc w:val="left"/>
      <w:pPr>
        <w:ind w:left="709" w:hanging="709"/>
      </w:pPr>
      <w:rPr>
        <w:rFonts w:hint="default"/>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D27E5EC"/>
    <w:multiLevelType w:val="singleLevel"/>
    <w:tmpl w:val="1D27E5EC"/>
    <w:lvl w:ilvl="0" w:tentative="0">
      <w:start w:val="1"/>
      <w:numFmt w:val="decimal"/>
      <w:suff w:val="nothing"/>
      <w:lvlText w:val="%1、"/>
      <w:lvlJc w:val="left"/>
    </w:lvl>
  </w:abstractNum>
  <w:abstractNum w:abstractNumId="10">
    <w:nsid w:val="1F638A55"/>
    <w:multiLevelType w:val="singleLevel"/>
    <w:tmpl w:val="1F638A55"/>
    <w:lvl w:ilvl="0" w:tentative="0">
      <w:start w:val="1"/>
      <w:numFmt w:val="chineseCounting"/>
      <w:suff w:val="nothing"/>
      <w:lvlText w:val="（%1）"/>
      <w:lvlJc w:val="left"/>
      <w:rPr>
        <w:rFonts w:hint="eastAsia"/>
      </w:rPr>
    </w:lvl>
  </w:abstractNum>
  <w:abstractNum w:abstractNumId="11">
    <w:nsid w:val="26487954"/>
    <w:multiLevelType w:val="singleLevel"/>
    <w:tmpl w:val="26487954"/>
    <w:lvl w:ilvl="0" w:tentative="0">
      <w:start w:val="1"/>
      <w:numFmt w:val="decimal"/>
      <w:suff w:val="nothing"/>
      <w:lvlText w:val="%1）"/>
      <w:lvlJc w:val="left"/>
    </w:lvl>
  </w:abstractNum>
  <w:abstractNum w:abstractNumId="12">
    <w:nsid w:val="27BF1F1D"/>
    <w:multiLevelType w:val="multilevel"/>
    <w:tmpl w:val="27BF1F1D"/>
    <w:lvl w:ilvl="0" w:tentative="0">
      <w:start w:val="1"/>
      <w:numFmt w:val="decimal"/>
      <w:suff w:val="nothing"/>
      <w:lvlText w:val="%1."/>
      <w:lvlJc w:val="left"/>
      <w:pPr>
        <w:ind w:left="323" w:hanging="323"/>
      </w:pPr>
      <w:rPr>
        <w:rFonts w:hint="default"/>
      </w:rPr>
    </w:lvl>
    <w:lvl w:ilvl="1" w:tentative="0">
      <w:start w:val="1"/>
      <w:numFmt w:val="decimal"/>
      <w:suff w:val="nothing"/>
      <w:lvlText w:val="%1.%2."/>
      <w:lvlJc w:val="left"/>
      <w:pPr>
        <w:ind w:left="567" w:hanging="567"/>
      </w:pPr>
      <w:rPr>
        <w:rFonts w:hint="default" w:ascii="宋体" w:hAnsi="宋体" w:eastAsia="宋体" w:cs="宋体"/>
        <w:i w:val="0"/>
        <w:iCs w:val="0"/>
        <w:color w:val="000000" w:themeColor="text1"/>
        <w14:textFill>
          <w14:solidFill>
            <w14:schemeClr w14:val="tx1"/>
          </w14:solidFill>
        </w14:textFill>
      </w:rPr>
    </w:lvl>
    <w:lvl w:ilvl="2" w:tentative="0">
      <w:start w:val="1"/>
      <w:numFmt w:val="decimal"/>
      <w:suff w:val="nothing"/>
      <w:lvlText w:val="%1.%2.%3."/>
      <w:lvlJc w:val="left"/>
      <w:pPr>
        <w:ind w:left="850" w:hanging="850"/>
      </w:pPr>
      <w:rPr>
        <w:rFonts w:hint="default" w:ascii="宋体" w:hAnsi="宋体" w:eastAsia="宋体" w:cs="宋体"/>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2E78A3B2"/>
    <w:multiLevelType w:val="multilevel"/>
    <w:tmpl w:val="2E78A3B2"/>
    <w:lvl w:ilvl="0" w:tentative="0">
      <w:start w:val="7"/>
      <w:numFmt w:val="decimal"/>
      <w:lvlText w:val="%1."/>
      <w:lvlJc w:val="left"/>
      <w:pPr>
        <w:tabs>
          <w:tab w:val="left" w:pos="399"/>
        </w:tabs>
        <w:ind w:left="405" w:hanging="405"/>
      </w:pPr>
      <w:rPr>
        <w:rFonts w:hint="default" w:ascii="宋体" w:hAnsi="宋体" w:eastAsia="宋体" w:cs="宋体"/>
        <w:b w:val="0"/>
        <w:sz w:val="24"/>
      </w:rPr>
    </w:lvl>
    <w:lvl w:ilvl="1" w:tentative="0">
      <w:start w:val="1"/>
      <w:numFmt w:val="decimal"/>
      <w:suff w:val="nothing"/>
      <w:lvlText w:val="%1.%2."/>
      <w:lvlJc w:val="left"/>
      <w:pPr>
        <w:ind w:left="567" w:hanging="567"/>
      </w:pPr>
      <w:rPr>
        <w:rFonts w:hint="default" w:ascii="宋体" w:hAnsi="宋体" w:eastAsia="宋体" w:cs="宋体"/>
        <w:b w:val="0"/>
        <w:sz w:val="21"/>
        <w:szCs w:val="21"/>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4BA48971"/>
    <w:multiLevelType w:val="singleLevel"/>
    <w:tmpl w:val="4BA48971"/>
    <w:lvl w:ilvl="0" w:tentative="0">
      <w:start w:val="10"/>
      <w:numFmt w:val="decimal"/>
      <w:suff w:val="nothing"/>
      <w:lvlText w:val="%1）"/>
      <w:lvlJc w:val="left"/>
    </w:lvl>
  </w:abstractNum>
  <w:abstractNum w:abstractNumId="15">
    <w:nsid w:val="513F8985"/>
    <w:multiLevelType w:val="singleLevel"/>
    <w:tmpl w:val="513F8985"/>
    <w:lvl w:ilvl="0" w:tentative="0">
      <w:start w:val="1"/>
      <w:numFmt w:val="decimal"/>
      <w:lvlText w:val="(%1)"/>
      <w:lvlJc w:val="left"/>
      <w:pPr>
        <w:ind w:left="425" w:hanging="425"/>
      </w:pPr>
      <w:rPr>
        <w:rFonts w:hint="default"/>
      </w:rPr>
    </w:lvl>
  </w:abstractNum>
  <w:abstractNum w:abstractNumId="16">
    <w:nsid w:val="6670CA9D"/>
    <w:multiLevelType w:val="singleLevel"/>
    <w:tmpl w:val="6670CA9D"/>
    <w:lvl w:ilvl="0" w:tentative="0">
      <w:start w:val="3"/>
      <w:numFmt w:val="chineseCounting"/>
      <w:suff w:val="nothing"/>
      <w:lvlText w:val="%1、"/>
      <w:lvlJc w:val="left"/>
      <w:rPr>
        <w:rFonts w:hint="eastAsia"/>
      </w:rPr>
    </w:lvl>
  </w:abstractNum>
  <w:abstractNum w:abstractNumId="17">
    <w:nsid w:val="7C9A5BE5"/>
    <w:multiLevelType w:val="singleLevel"/>
    <w:tmpl w:val="7C9A5BE5"/>
    <w:lvl w:ilvl="0" w:tentative="0">
      <w:start w:val="1"/>
      <w:numFmt w:val="decimal"/>
      <w:suff w:val="nothing"/>
      <w:lvlText w:val="%1）"/>
      <w:lvlJc w:val="left"/>
    </w:lvl>
  </w:abstractNum>
  <w:abstractNum w:abstractNumId="18">
    <w:nsid w:val="7E36C941"/>
    <w:multiLevelType w:val="singleLevel"/>
    <w:tmpl w:val="7E36C941"/>
    <w:lvl w:ilvl="0" w:tentative="0">
      <w:start w:val="1"/>
      <w:numFmt w:val="decimal"/>
      <w:suff w:val="nothing"/>
      <w:lvlText w:val="%1、"/>
      <w:lvlJc w:val="left"/>
    </w:lvl>
  </w:abstractNum>
  <w:num w:numId="1">
    <w:abstractNumId w:val="3"/>
  </w:num>
  <w:num w:numId="2">
    <w:abstractNumId w:val="4"/>
  </w:num>
  <w:num w:numId="3">
    <w:abstractNumId w:val="12"/>
  </w:num>
  <w:num w:numId="4">
    <w:abstractNumId w:val="2"/>
  </w:num>
  <w:num w:numId="5">
    <w:abstractNumId w:val="16"/>
  </w:num>
  <w:num w:numId="6">
    <w:abstractNumId w:val="10"/>
  </w:num>
  <w:num w:numId="7">
    <w:abstractNumId w:val="11"/>
  </w:num>
  <w:num w:numId="8">
    <w:abstractNumId w:val="17"/>
  </w:num>
  <w:num w:numId="9">
    <w:abstractNumId w:val="6"/>
  </w:num>
  <w:num w:numId="10">
    <w:abstractNumId w:val="14"/>
  </w:num>
  <w:num w:numId="11">
    <w:abstractNumId w:val="1"/>
  </w:num>
  <w:num w:numId="12">
    <w:abstractNumId w:val="8"/>
  </w:num>
  <w:num w:numId="13">
    <w:abstractNumId w:val="0"/>
  </w:num>
  <w:num w:numId="14">
    <w:abstractNumId w:val="13"/>
  </w:num>
  <w:num w:numId="15">
    <w:abstractNumId w:val="7"/>
  </w:num>
  <w:num w:numId="16">
    <w:abstractNumId w:val="5"/>
  </w:num>
  <w:num w:numId="17">
    <w:abstractNumId w:val="15"/>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zOGI4ZjM5MTZmOWU4M2ZjMTBhMzJkYzhmYzkzNTAifQ=="/>
  </w:docVars>
  <w:rsids>
    <w:rsidRoot w:val="00172A27"/>
    <w:rsid w:val="00001E56"/>
    <w:rsid w:val="0000396E"/>
    <w:rsid w:val="00004478"/>
    <w:rsid w:val="000151EB"/>
    <w:rsid w:val="000173D9"/>
    <w:rsid w:val="00023C95"/>
    <w:rsid w:val="00033EE6"/>
    <w:rsid w:val="000364DE"/>
    <w:rsid w:val="00036535"/>
    <w:rsid w:val="000371E8"/>
    <w:rsid w:val="000445EB"/>
    <w:rsid w:val="00050BD9"/>
    <w:rsid w:val="00053E49"/>
    <w:rsid w:val="00056429"/>
    <w:rsid w:val="00063A1A"/>
    <w:rsid w:val="0006711B"/>
    <w:rsid w:val="0006742A"/>
    <w:rsid w:val="00067A80"/>
    <w:rsid w:val="00067D63"/>
    <w:rsid w:val="0007753E"/>
    <w:rsid w:val="0008108E"/>
    <w:rsid w:val="00082EC3"/>
    <w:rsid w:val="00091E58"/>
    <w:rsid w:val="00096A49"/>
    <w:rsid w:val="000A26A0"/>
    <w:rsid w:val="000A7899"/>
    <w:rsid w:val="000B0696"/>
    <w:rsid w:val="000B4C37"/>
    <w:rsid w:val="000B7C98"/>
    <w:rsid w:val="000C0241"/>
    <w:rsid w:val="000C296B"/>
    <w:rsid w:val="000C314E"/>
    <w:rsid w:val="000E072E"/>
    <w:rsid w:val="000E5537"/>
    <w:rsid w:val="00111DAF"/>
    <w:rsid w:val="0011283B"/>
    <w:rsid w:val="00112976"/>
    <w:rsid w:val="00114CF3"/>
    <w:rsid w:val="001236DA"/>
    <w:rsid w:val="001307EB"/>
    <w:rsid w:val="00132FF2"/>
    <w:rsid w:val="00140949"/>
    <w:rsid w:val="001474A4"/>
    <w:rsid w:val="001662B9"/>
    <w:rsid w:val="001A2705"/>
    <w:rsid w:val="001A3C11"/>
    <w:rsid w:val="001B3D36"/>
    <w:rsid w:val="001B666B"/>
    <w:rsid w:val="001C45D1"/>
    <w:rsid w:val="001C464B"/>
    <w:rsid w:val="001C5282"/>
    <w:rsid w:val="001D028B"/>
    <w:rsid w:val="001D0DE0"/>
    <w:rsid w:val="001E07E0"/>
    <w:rsid w:val="001F136F"/>
    <w:rsid w:val="001F4AAA"/>
    <w:rsid w:val="0020144A"/>
    <w:rsid w:val="00205FDC"/>
    <w:rsid w:val="002161CA"/>
    <w:rsid w:val="00244BE9"/>
    <w:rsid w:val="00252D74"/>
    <w:rsid w:val="00255979"/>
    <w:rsid w:val="00255D75"/>
    <w:rsid w:val="00260A47"/>
    <w:rsid w:val="00261C5B"/>
    <w:rsid w:val="00271A3C"/>
    <w:rsid w:val="00273D40"/>
    <w:rsid w:val="00280335"/>
    <w:rsid w:val="002851C3"/>
    <w:rsid w:val="002A0A4C"/>
    <w:rsid w:val="002A6597"/>
    <w:rsid w:val="002B06D1"/>
    <w:rsid w:val="002B7F8B"/>
    <w:rsid w:val="002C2B43"/>
    <w:rsid w:val="002C3E6B"/>
    <w:rsid w:val="002D3FEA"/>
    <w:rsid w:val="002D780C"/>
    <w:rsid w:val="002E4523"/>
    <w:rsid w:val="002E7540"/>
    <w:rsid w:val="002F5751"/>
    <w:rsid w:val="00301A3B"/>
    <w:rsid w:val="00312338"/>
    <w:rsid w:val="003167FF"/>
    <w:rsid w:val="0033728A"/>
    <w:rsid w:val="00340FBD"/>
    <w:rsid w:val="003458DD"/>
    <w:rsid w:val="00346FD6"/>
    <w:rsid w:val="0035269E"/>
    <w:rsid w:val="003577F6"/>
    <w:rsid w:val="00361C53"/>
    <w:rsid w:val="00371116"/>
    <w:rsid w:val="0037302D"/>
    <w:rsid w:val="00373E7F"/>
    <w:rsid w:val="00375001"/>
    <w:rsid w:val="00376577"/>
    <w:rsid w:val="00377D84"/>
    <w:rsid w:val="00380738"/>
    <w:rsid w:val="003846B2"/>
    <w:rsid w:val="00391928"/>
    <w:rsid w:val="003919E1"/>
    <w:rsid w:val="00392E3B"/>
    <w:rsid w:val="003A48E1"/>
    <w:rsid w:val="003B3663"/>
    <w:rsid w:val="003D0ACF"/>
    <w:rsid w:val="003D0F5F"/>
    <w:rsid w:val="003D4FE5"/>
    <w:rsid w:val="003D62AA"/>
    <w:rsid w:val="003E445D"/>
    <w:rsid w:val="003E4D6D"/>
    <w:rsid w:val="003E76A2"/>
    <w:rsid w:val="003F19B5"/>
    <w:rsid w:val="003F298D"/>
    <w:rsid w:val="004241E3"/>
    <w:rsid w:val="004278F1"/>
    <w:rsid w:val="0043095A"/>
    <w:rsid w:val="00431055"/>
    <w:rsid w:val="00433B4B"/>
    <w:rsid w:val="00437005"/>
    <w:rsid w:val="00450D76"/>
    <w:rsid w:val="004545CA"/>
    <w:rsid w:val="0046312D"/>
    <w:rsid w:val="004652D2"/>
    <w:rsid w:val="00471CFD"/>
    <w:rsid w:val="00474574"/>
    <w:rsid w:val="00480642"/>
    <w:rsid w:val="004A1324"/>
    <w:rsid w:val="004A3F59"/>
    <w:rsid w:val="004B212A"/>
    <w:rsid w:val="004B354D"/>
    <w:rsid w:val="004D09F0"/>
    <w:rsid w:val="004D1FE1"/>
    <w:rsid w:val="004D4196"/>
    <w:rsid w:val="004D4D0B"/>
    <w:rsid w:val="004E0815"/>
    <w:rsid w:val="004F220B"/>
    <w:rsid w:val="004F29EC"/>
    <w:rsid w:val="004F2FE1"/>
    <w:rsid w:val="004F3A58"/>
    <w:rsid w:val="004F54AA"/>
    <w:rsid w:val="004F550E"/>
    <w:rsid w:val="004F653D"/>
    <w:rsid w:val="00500F82"/>
    <w:rsid w:val="0052516E"/>
    <w:rsid w:val="00527F3E"/>
    <w:rsid w:val="00542801"/>
    <w:rsid w:val="0054542F"/>
    <w:rsid w:val="0055186A"/>
    <w:rsid w:val="00565B42"/>
    <w:rsid w:val="00566AEF"/>
    <w:rsid w:val="005923FB"/>
    <w:rsid w:val="0059694F"/>
    <w:rsid w:val="005A1025"/>
    <w:rsid w:val="005B020B"/>
    <w:rsid w:val="005D3123"/>
    <w:rsid w:val="005E181F"/>
    <w:rsid w:val="005E6149"/>
    <w:rsid w:val="005F4032"/>
    <w:rsid w:val="00600A3F"/>
    <w:rsid w:val="006358C5"/>
    <w:rsid w:val="00646EED"/>
    <w:rsid w:val="0066425D"/>
    <w:rsid w:val="006802A2"/>
    <w:rsid w:val="006907C1"/>
    <w:rsid w:val="006939FC"/>
    <w:rsid w:val="00697C01"/>
    <w:rsid w:val="006A232A"/>
    <w:rsid w:val="006A36D5"/>
    <w:rsid w:val="006A5767"/>
    <w:rsid w:val="006B55CD"/>
    <w:rsid w:val="006D3A10"/>
    <w:rsid w:val="006D753A"/>
    <w:rsid w:val="006E2A6C"/>
    <w:rsid w:val="006E3886"/>
    <w:rsid w:val="006F15FC"/>
    <w:rsid w:val="006F3E6E"/>
    <w:rsid w:val="00700BC8"/>
    <w:rsid w:val="007031BD"/>
    <w:rsid w:val="0071174F"/>
    <w:rsid w:val="0071519C"/>
    <w:rsid w:val="00720826"/>
    <w:rsid w:val="007239AA"/>
    <w:rsid w:val="00723BA4"/>
    <w:rsid w:val="007347A8"/>
    <w:rsid w:val="007524E0"/>
    <w:rsid w:val="007536BE"/>
    <w:rsid w:val="007704B1"/>
    <w:rsid w:val="00775D40"/>
    <w:rsid w:val="00781837"/>
    <w:rsid w:val="007823CF"/>
    <w:rsid w:val="00792D0A"/>
    <w:rsid w:val="0079652A"/>
    <w:rsid w:val="007C552C"/>
    <w:rsid w:val="007D3403"/>
    <w:rsid w:val="007F5CA2"/>
    <w:rsid w:val="0080136F"/>
    <w:rsid w:val="00806699"/>
    <w:rsid w:val="00807C1C"/>
    <w:rsid w:val="00811AE1"/>
    <w:rsid w:val="0082579B"/>
    <w:rsid w:val="00827882"/>
    <w:rsid w:val="00831073"/>
    <w:rsid w:val="008523D4"/>
    <w:rsid w:val="008561C8"/>
    <w:rsid w:val="00863B15"/>
    <w:rsid w:val="00864583"/>
    <w:rsid w:val="00870B19"/>
    <w:rsid w:val="00873832"/>
    <w:rsid w:val="00882251"/>
    <w:rsid w:val="0089426F"/>
    <w:rsid w:val="008A27A6"/>
    <w:rsid w:val="008B365F"/>
    <w:rsid w:val="008B6EF3"/>
    <w:rsid w:val="008C194F"/>
    <w:rsid w:val="008C4BC7"/>
    <w:rsid w:val="008C597D"/>
    <w:rsid w:val="008D0582"/>
    <w:rsid w:val="008D3C24"/>
    <w:rsid w:val="008E1AD7"/>
    <w:rsid w:val="008E637C"/>
    <w:rsid w:val="008F7D01"/>
    <w:rsid w:val="009072E5"/>
    <w:rsid w:val="00910F4C"/>
    <w:rsid w:val="00917B9E"/>
    <w:rsid w:val="00932BD4"/>
    <w:rsid w:val="0093363C"/>
    <w:rsid w:val="009506F2"/>
    <w:rsid w:val="009561E6"/>
    <w:rsid w:val="00971B09"/>
    <w:rsid w:val="00975676"/>
    <w:rsid w:val="009B2C10"/>
    <w:rsid w:val="009B59D2"/>
    <w:rsid w:val="009C0E6D"/>
    <w:rsid w:val="009C1567"/>
    <w:rsid w:val="009C5B37"/>
    <w:rsid w:val="009C67E9"/>
    <w:rsid w:val="009C797E"/>
    <w:rsid w:val="009D0543"/>
    <w:rsid w:val="009D0DDC"/>
    <w:rsid w:val="009D1220"/>
    <w:rsid w:val="009D25EA"/>
    <w:rsid w:val="009D7429"/>
    <w:rsid w:val="009D7EFB"/>
    <w:rsid w:val="009E29F7"/>
    <w:rsid w:val="009F206D"/>
    <w:rsid w:val="009F4908"/>
    <w:rsid w:val="009F557F"/>
    <w:rsid w:val="00A00775"/>
    <w:rsid w:val="00A02ABC"/>
    <w:rsid w:val="00A047AA"/>
    <w:rsid w:val="00A04A75"/>
    <w:rsid w:val="00A04F8F"/>
    <w:rsid w:val="00A06B32"/>
    <w:rsid w:val="00A10C7D"/>
    <w:rsid w:val="00A1343F"/>
    <w:rsid w:val="00A2501C"/>
    <w:rsid w:val="00A33491"/>
    <w:rsid w:val="00A34D63"/>
    <w:rsid w:val="00A34F2B"/>
    <w:rsid w:val="00A50C08"/>
    <w:rsid w:val="00A64A15"/>
    <w:rsid w:val="00A702A9"/>
    <w:rsid w:val="00A70D13"/>
    <w:rsid w:val="00A8066B"/>
    <w:rsid w:val="00A92FFB"/>
    <w:rsid w:val="00A93FC0"/>
    <w:rsid w:val="00A94D98"/>
    <w:rsid w:val="00A96107"/>
    <w:rsid w:val="00A97D06"/>
    <w:rsid w:val="00AA410D"/>
    <w:rsid w:val="00AA6793"/>
    <w:rsid w:val="00AA7912"/>
    <w:rsid w:val="00AA7C07"/>
    <w:rsid w:val="00AB1E3E"/>
    <w:rsid w:val="00AC0163"/>
    <w:rsid w:val="00AD5656"/>
    <w:rsid w:val="00AD77EE"/>
    <w:rsid w:val="00AE0282"/>
    <w:rsid w:val="00AE1A20"/>
    <w:rsid w:val="00AE4E6E"/>
    <w:rsid w:val="00AF341D"/>
    <w:rsid w:val="00B0444C"/>
    <w:rsid w:val="00B057FD"/>
    <w:rsid w:val="00B12E13"/>
    <w:rsid w:val="00B14E38"/>
    <w:rsid w:val="00B234C2"/>
    <w:rsid w:val="00B27BEF"/>
    <w:rsid w:val="00B27DD7"/>
    <w:rsid w:val="00B46D44"/>
    <w:rsid w:val="00B51E27"/>
    <w:rsid w:val="00B63DF2"/>
    <w:rsid w:val="00B750BD"/>
    <w:rsid w:val="00B8103A"/>
    <w:rsid w:val="00B878F6"/>
    <w:rsid w:val="00B96E56"/>
    <w:rsid w:val="00BA1E0D"/>
    <w:rsid w:val="00BA577A"/>
    <w:rsid w:val="00BA6208"/>
    <w:rsid w:val="00BA64EB"/>
    <w:rsid w:val="00BB2521"/>
    <w:rsid w:val="00BB6771"/>
    <w:rsid w:val="00BC170D"/>
    <w:rsid w:val="00BC46F3"/>
    <w:rsid w:val="00BD2D21"/>
    <w:rsid w:val="00BE136D"/>
    <w:rsid w:val="00BE4640"/>
    <w:rsid w:val="00BF40B3"/>
    <w:rsid w:val="00C022FB"/>
    <w:rsid w:val="00C06B0F"/>
    <w:rsid w:val="00C103FD"/>
    <w:rsid w:val="00C1372F"/>
    <w:rsid w:val="00C13CF4"/>
    <w:rsid w:val="00C146B3"/>
    <w:rsid w:val="00C15D7E"/>
    <w:rsid w:val="00C17F0A"/>
    <w:rsid w:val="00C239C7"/>
    <w:rsid w:val="00C36642"/>
    <w:rsid w:val="00C3672B"/>
    <w:rsid w:val="00C36CB6"/>
    <w:rsid w:val="00C37ACA"/>
    <w:rsid w:val="00C4636D"/>
    <w:rsid w:val="00C568C3"/>
    <w:rsid w:val="00C747A1"/>
    <w:rsid w:val="00C76B54"/>
    <w:rsid w:val="00C76F02"/>
    <w:rsid w:val="00C77444"/>
    <w:rsid w:val="00C80386"/>
    <w:rsid w:val="00C81CE0"/>
    <w:rsid w:val="00C83691"/>
    <w:rsid w:val="00C83733"/>
    <w:rsid w:val="00C839F9"/>
    <w:rsid w:val="00C90DED"/>
    <w:rsid w:val="00C95402"/>
    <w:rsid w:val="00CA4188"/>
    <w:rsid w:val="00CA4F76"/>
    <w:rsid w:val="00CB5D2B"/>
    <w:rsid w:val="00CB6394"/>
    <w:rsid w:val="00CC1307"/>
    <w:rsid w:val="00CC6586"/>
    <w:rsid w:val="00CC7090"/>
    <w:rsid w:val="00CD0199"/>
    <w:rsid w:val="00CD4ED5"/>
    <w:rsid w:val="00CE70F7"/>
    <w:rsid w:val="00CE78DD"/>
    <w:rsid w:val="00CF4CC8"/>
    <w:rsid w:val="00D027DA"/>
    <w:rsid w:val="00D05FAF"/>
    <w:rsid w:val="00D11F79"/>
    <w:rsid w:val="00D1761F"/>
    <w:rsid w:val="00D20019"/>
    <w:rsid w:val="00D2195C"/>
    <w:rsid w:val="00D227EA"/>
    <w:rsid w:val="00D2534B"/>
    <w:rsid w:val="00D31DA9"/>
    <w:rsid w:val="00D34B9F"/>
    <w:rsid w:val="00D35E8E"/>
    <w:rsid w:val="00D61159"/>
    <w:rsid w:val="00D61F52"/>
    <w:rsid w:val="00D65057"/>
    <w:rsid w:val="00D71BDF"/>
    <w:rsid w:val="00D71F9C"/>
    <w:rsid w:val="00D755AB"/>
    <w:rsid w:val="00D84C3F"/>
    <w:rsid w:val="00D96CCD"/>
    <w:rsid w:val="00DA2635"/>
    <w:rsid w:val="00DA692B"/>
    <w:rsid w:val="00DC2D9B"/>
    <w:rsid w:val="00DD1A81"/>
    <w:rsid w:val="00DE7222"/>
    <w:rsid w:val="00DF070C"/>
    <w:rsid w:val="00DF56AD"/>
    <w:rsid w:val="00DF5723"/>
    <w:rsid w:val="00E03064"/>
    <w:rsid w:val="00E169CF"/>
    <w:rsid w:val="00E16BA3"/>
    <w:rsid w:val="00E23444"/>
    <w:rsid w:val="00E25909"/>
    <w:rsid w:val="00E260E6"/>
    <w:rsid w:val="00E309C7"/>
    <w:rsid w:val="00E32D71"/>
    <w:rsid w:val="00E41D4E"/>
    <w:rsid w:val="00E438FF"/>
    <w:rsid w:val="00E43DC1"/>
    <w:rsid w:val="00E465CF"/>
    <w:rsid w:val="00E52CCA"/>
    <w:rsid w:val="00E53716"/>
    <w:rsid w:val="00E56245"/>
    <w:rsid w:val="00E568CF"/>
    <w:rsid w:val="00E76F26"/>
    <w:rsid w:val="00E901C8"/>
    <w:rsid w:val="00E94094"/>
    <w:rsid w:val="00E941BD"/>
    <w:rsid w:val="00EA0DAE"/>
    <w:rsid w:val="00EA55DA"/>
    <w:rsid w:val="00EB17DC"/>
    <w:rsid w:val="00EC4FF2"/>
    <w:rsid w:val="00ED0811"/>
    <w:rsid w:val="00ED23D6"/>
    <w:rsid w:val="00EF231F"/>
    <w:rsid w:val="00EF502F"/>
    <w:rsid w:val="00F050B6"/>
    <w:rsid w:val="00F057E6"/>
    <w:rsid w:val="00F11557"/>
    <w:rsid w:val="00F1486C"/>
    <w:rsid w:val="00F16532"/>
    <w:rsid w:val="00F17641"/>
    <w:rsid w:val="00F20DC4"/>
    <w:rsid w:val="00F222B2"/>
    <w:rsid w:val="00F251D9"/>
    <w:rsid w:val="00F263DC"/>
    <w:rsid w:val="00F32409"/>
    <w:rsid w:val="00F3248B"/>
    <w:rsid w:val="00F3307C"/>
    <w:rsid w:val="00F33F05"/>
    <w:rsid w:val="00F42052"/>
    <w:rsid w:val="00F52B2E"/>
    <w:rsid w:val="00F53CE7"/>
    <w:rsid w:val="00F548C4"/>
    <w:rsid w:val="00F64AA5"/>
    <w:rsid w:val="00F6554E"/>
    <w:rsid w:val="00F6671F"/>
    <w:rsid w:val="00F67079"/>
    <w:rsid w:val="00F723A9"/>
    <w:rsid w:val="00F8405C"/>
    <w:rsid w:val="00F86D16"/>
    <w:rsid w:val="00F93265"/>
    <w:rsid w:val="00F93EFE"/>
    <w:rsid w:val="00FA1C44"/>
    <w:rsid w:val="00FA3B25"/>
    <w:rsid w:val="00FC02BF"/>
    <w:rsid w:val="00FC1946"/>
    <w:rsid w:val="00FC43EC"/>
    <w:rsid w:val="00FC6360"/>
    <w:rsid w:val="00FD5426"/>
    <w:rsid w:val="00FE2BA1"/>
    <w:rsid w:val="00FE56AD"/>
    <w:rsid w:val="00FE6D09"/>
    <w:rsid w:val="00FF3F0D"/>
    <w:rsid w:val="00FF466A"/>
    <w:rsid w:val="01242C13"/>
    <w:rsid w:val="012E1A4A"/>
    <w:rsid w:val="01433A3C"/>
    <w:rsid w:val="016834AF"/>
    <w:rsid w:val="016A18BB"/>
    <w:rsid w:val="01794A21"/>
    <w:rsid w:val="01976229"/>
    <w:rsid w:val="01A026F0"/>
    <w:rsid w:val="01AC5842"/>
    <w:rsid w:val="01E572E6"/>
    <w:rsid w:val="02205968"/>
    <w:rsid w:val="02233F37"/>
    <w:rsid w:val="023D593B"/>
    <w:rsid w:val="02932217"/>
    <w:rsid w:val="02A92B78"/>
    <w:rsid w:val="02C00B3F"/>
    <w:rsid w:val="02E35069"/>
    <w:rsid w:val="02EE2462"/>
    <w:rsid w:val="02F25DD2"/>
    <w:rsid w:val="02FE4EAA"/>
    <w:rsid w:val="03217B69"/>
    <w:rsid w:val="033F29FA"/>
    <w:rsid w:val="033F7CB3"/>
    <w:rsid w:val="034F106A"/>
    <w:rsid w:val="03771E7F"/>
    <w:rsid w:val="038652C6"/>
    <w:rsid w:val="03936BB9"/>
    <w:rsid w:val="03A9328A"/>
    <w:rsid w:val="03B25314"/>
    <w:rsid w:val="03B870CA"/>
    <w:rsid w:val="03CE1E00"/>
    <w:rsid w:val="03D74731"/>
    <w:rsid w:val="03E502B0"/>
    <w:rsid w:val="04267CCB"/>
    <w:rsid w:val="042E2198"/>
    <w:rsid w:val="0434489F"/>
    <w:rsid w:val="044819E6"/>
    <w:rsid w:val="04510900"/>
    <w:rsid w:val="046532AA"/>
    <w:rsid w:val="04806B11"/>
    <w:rsid w:val="048B5BE2"/>
    <w:rsid w:val="04E13A54"/>
    <w:rsid w:val="04FC5702"/>
    <w:rsid w:val="05281726"/>
    <w:rsid w:val="053242B0"/>
    <w:rsid w:val="05732481"/>
    <w:rsid w:val="057E1781"/>
    <w:rsid w:val="05824075"/>
    <w:rsid w:val="05893817"/>
    <w:rsid w:val="05BA6749"/>
    <w:rsid w:val="05BC183A"/>
    <w:rsid w:val="05CC64B2"/>
    <w:rsid w:val="05CF5FA2"/>
    <w:rsid w:val="05D45367"/>
    <w:rsid w:val="05E11832"/>
    <w:rsid w:val="062E6B7B"/>
    <w:rsid w:val="063E3FF9"/>
    <w:rsid w:val="0677122A"/>
    <w:rsid w:val="06AB431A"/>
    <w:rsid w:val="06C66228"/>
    <w:rsid w:val="06D74D2C"/>
    <w:rsid w:val="07272FEF"/>
    <w:rsid w:val="075E33B7"/>
    <w:rsid w:val="075E47E1"/>
    <w:rsid w:val="07611FC2"/>
    <w:rsid w:val="077B67C3"/>
    <w:rsid w:val="07810992"/>
    <w:rsid w:val="07951EC6"/>
    <w:rsid w:val="07C766EF"/>
    <w:rsid w:val="07F6398C"/>
    <w:rsid w:val="07F81306"/>
    <w:rsid w:val="080F5EFD"/>
    <w:rsid w:val="084A4981"/>
    <w:rsid w:val="0869448C"/>
    <w:rsid w:val="08C67131"/>
    <w:rsid w:val="08D612E2"/>
    <w:rsid w:val="08DD1D65"/>
    <w:rsid w:val="08E30F4A"/>
    <w:rsid w:val="09023E0B"/>
    <w:rsid w:val="09497E1A"/>
    <w:rsid w:val="094D3FF6"/>
    <w:rsid w:val="094E5EB9"/>
    <w:rsid w:val="095011A8"/>
    <w:rsid w:val="09590CF0"/>
    <w:rsid w:val="09647A9E"/>
    <w:rsid w:val="097405D5"/>
    <w:rsid w:val="098826F0"/>
    <w:rsid w:val="099E2019"/>
    <w:rsid w:val="09BA5503"/>
    <w:rsid w:val="09C22DCB"/>
    <w:rsid w:val="09C37BCC"/>
    <w:rsid w:val="09F64B10"/>
    <w:rsid w:val="09FA2F0D"/>
    <w:rsid w:val="0A183D92"/>
    <w:rsid w:val="0A454A85"/>
    <w:rsid w:val="0A690634"/>
    <w:rsid w:val="0AA350C7"/>
    <w:rsid w:val="0AB16EAD"/>
    <w:rsid w:val="0AB821CD"/>
    <w:rsid w:val="0ABB39F6"/>
    <w:rsid w:val="0ADD5EFD"/>
    <w:rsid w:val="0AE565E1"/>
    <w:rsid w:val="0AE67C59"/>
    <w:rsid w:val="0AEB64A8"/>
    <w:rsid w:val="0AED3445"/>
    <w:rsid w:val="0B340228"/>
    <w:rsid w:val="0B472137"/>
    <w:rsid w:val="0B48684A"/>
    <w:rsid w:val="0B490B3B"/>
    <w:rsid w:val="0B533B29"/>
    <w:rsid w:val="0B631A54"/>
    <w:rsid w:val="0B6A19F7"/>
    <w:rsid w:val="0B860EB1"/>
    <w:rsid w:val="0BA61553"/>
    <w:rsid w:val="0BE0144B"/>
    <w:rsid w:val="0BE10566"/>
    <w:rsid w:val="0BE20687"/>
    <w:rsid w:val="0C14281A"/>
    <w:rsid w:val="0C2776DF"/>
    <w:rsid w:val="0C3236E7"/>
    <w:rsid w:val="0C5167DC"/>
    <w:rsid w:val="0C547201"/>
    <w:rsid w:val="0C6D3E1F"/>
    <w:rsid w:val="0C6D71DA"/>
    <w:rsid w:val="0C790A16"/>
    <w:rsid w:val="0CC13EA1"/>
    <w:rsid w:val="0CC31C91"/>
    <w:rsid w:val="0CC872A8"/>
    <w:rsid w:val="0CD07F38"/>
    <w:rsid w:val="0CD31EEE"/>
    <w:rsid w:val="0D4D1329"/>
    <w:rsid w:val="0D5864B2"/>
    <w:rsid w:val="0D6A1AC0"/>
    <w:rsid w:val="0D9A0057"/>
    <w:rsid w:val="0DF356B2"/>
    <w:rsid w:val="0E29085C"/>
    <w:rsid w:val="0E60507D"/>
    <w:rsid w:val="0E6676A8"/>
    <w:rsid w:val="0E7D0549"/>
    <w:rsid w:val="0E941A26"/>
    <w:rsid w:val="0EAA475B"/>
    <w:rsid w:val="0EC3240C"/>
    <w:rsid w:val="0EF426BB"/>
    <w:rsid w:val="0F29704D"/>
    <w:rsid w:val="0F39623B"/>
    <w:rsid w:val="0F607627"/>
    <w:rsid w:val="0F983903"/>
    <w:rsid w:val="0FCE2354"/>
    <w:rsid w:val="0FD41F31"/>
    <w:rsid w:val="0FE6547D"/>
    <w:rsid w:val="10463305"/>
    <w:rsid w:val="1051038C"/>
    <w:rsid w:val="106F4149"/>
    <w:rsid w:val="1074577C"/>
    <w:rsid w:val="1082485A"/>
    <w:rsid w:val="108D4AB0"/>
    <w:rsid w:val="10915F80"/>
    <w:rsid w:val="10990A55"/>
    <w:rsid w:val="109C580E"/>
    <w:rsid w:val="10AA5642"/>
    <w:rsid w:val="10AE074E"/>
    <w:rsid w:val="10AF4A06"/>
    <w:rsid w:val="10B65D95"/>
    <w:rsid w:val="10C74C95"/>
    <w:rsid w:val="10EC5B54"/>
    <w:rsid w:val="10F378F4"/>
    <w:rsid w:val="10F55783"/>
    <w:rsid w:val="1139494B"/>
    <w:rsid w:val="113B45F9"/>
    <w:rsid w:val="114306D4"/>
    <w:rsid w:val="11811A5F"/>
    <w:rsid w:val="1189308F"/>
    <w:rsid w:val="11B562D3"/>
    <w:rsid w:val="11D566EF"/>
    <w:rsid w:val="11E93F48"/>
    <w:rsid w:val="11EB1865"/>
    <w:rsid w:val="12544057"/>
    <w:rsid w:val="12A400B1"/>
    <w:rsid w:val="12B5207C"/>
    <w:rsid w:val="12D20075"/>
    <w:rsid w:val="12EB3628"/>
    <w:rsid w:val="12EB69CE"/>
    <w:rsid w:val="12F9584C"/>
    <w:rsid w:val="13465BC3"/>
    <w:rsid w:val="134B5AE0"/>
    <w:rsid w:val="1367781A"/>
    <w:rsid w:val="13733DC6"/>
    <w:rsid w:val="13785584"/>
    <w:rsid w:val="1379231B"/>
    <w:rsid w:val="13854144"/>
    <w:rsid w:val="139174B9"/>
    <w:rsid w:val="139E5A9A"/>
    <w:rsid w:val="13B82F7F"/>
    <w:rsid w:val="13BB084D"/>
    <w:rsid w:val="13C91735"/>
    <w:rsid w:val="13CA1266"/>
    <w:rsid w:val="13E8633B"/>
    <w:rsid w:val="13E94203"/>
    <w:rsid w:val="13EE5846"/>
    <w:rsid w:val="13F15346"/>
    <w:rsid w:val="14005579"/>
    <w:rsid w:val="140212F1"/>
    <w:rsid w:val="14351EC0"/>
    <w:rsid w:val="145B492E"/>
    <w:rsid w:val="148C0BDB"/>
    <w:rsid w:val="14961447"/>
    <w:rsid w:val="149C689C"/>
    <w:rsid w:val="14A64372"/>
    <w:rsid w:val="14AF52CE"/>
    <w:rsid w:val="14F93AF7"/>
    <w:rsid w:val="1504385E"/>
    <w:rsid w:val="15124CA8"/>
    <w:rsid w:val="15442C35"/>
    <w:rsid w:val="15511878"/>
    <w:rsid w:val="155D18F7"/>
    <w:rsid w:val="155E2E9F"/>
    <w:rsid w:val="15604361"/>
    <w:rsid w:val="15816A54"/>
    <w:rsid w:val="15842905"/>
    <w:rsid w:val="15B55363"/>
    <w:rsid w:val="15C169AC"/>
    <w:rsid w:val="16275A7D"/>
    <w:rsid w:val="162D348F"/>
    <w:rsid w:val="16445108"/>
    <w:rsid w:val="164C2F5B"/>
    <w:rsid w:val="16565CE9"/>
    <w:rsid w:val="16595D91"/>
    <w:rsid w:val="16725582"/>
    <w:rsid w:val="16AD3796"/>
    <w:rsid w:val="16E86EC4"/>
    <w:rsid w:val="176B0033"/>
    <w:rsid w:val="17A87B51"/>
    <w:rsid w:val="17B81F3B"/>
    <w:rsid w:val="17E23913"/>
    <w:rsid w:val="17ED243B"/>
    <w:rsid w:val="17F6116D"/>
    <w:rsid w:val="18110CF1"/>
    <w:rsid w:val="186164AA"/>
    <w:rsid w:val="188C77F1"/>
    <w:rsid w:val="18CC2AE1"/>
    <w:rsid w:val="18E77E0D"/>
    <w:rsid w:val="18E90CD1"/>
    <w:rsid w:val="1927222A"/>
    <w:rsid w:val="194962A4"/>
    <w:rsid w:val="19536845"/>
    <w:rsid w:val="19773E90"/>
    <w:rsid w:val="19936724"/>
    <w:rsid w:val="199902B4"/>
    <w:rsid w:val="19AC7816"/>
    <w:rsid w:val="19BC1F42"/>
    <w:rsid w:val="19BE2A18"/>
    <w:rsid w:val="19D27DA3"/>
    <w:rsid w:val="19E16A6A"/>
    <w:rsid w:val="19E26DAC"/>
    <w:rsid w:val="19F3005A"/>
    <w:rsid w:val="19F55BA5"/>
    <w:rsid w:val="19F94F44"/>
    <w:rsid w:val="1A233A8E"/>
    <w:rsid w:val="1A3641C6"/>
    <w:rsid w:val="1A6863C0"/>
    <w:rsid w:val="1A710D5C"/>
    <w:rsid w:val="1A7A7E33"/>
    <w:rsid w:val="1AB14235"/>
    <w:rsid w:val="1AC6675E"/>
    <w:rsid w:val="1AE62BF0"/>
    <w:rsid w:val="1AED7170"/>
    <w:rsid w:val="1B01545C"/>
    <w:rsid w:val="1B0A6A85"/>
    <w:rsid w:val="1B0E67CD"/>
    <w:rsid w:val="1B3A2711"/>
    <w:rsid w:val="1B3A477A"/>
    <w:rsid w:val="1B55025B"/>
    <w:rsid w:val="1B6B1E72"/>
    <w:rsid w:val="1B862808"/>
    <w:rsid w:val="1BA710FC"/>
    <w:rsid w:val="1BAF5235"/>
    <w:rsid w:val="1BC55301"/>
    <w:rsid w:val="1BE0016A"/>
    <w:rsid w:val="1C1E2754"/>
    <w:rsid w:val="1C225C02"/>
    <w:rsid w:val="1C3B2420"/>
    <w:rsid w:val="1C420E24"/>
    <w:rsid w:val="1C577B84"/>
    <w:rsid w:val="1C887545"/>
    <w:rsid w:val="1C8A6328"/>
    <w:rsid w:val="1CB11B06"/>
    <w:rsid w:val="1CD37CCF"/>
    <w:rsid w:val="1CD706C1"/>
    <w:rsid w:val="1CDC47D1"/>
    <w:rsid w:val="1D6203E3"/>
    <w:rsid w:val="1D767C76"/>
    <w:rsid w:val="1D816169"/>
    <w:rsid w:val="1D8B5D0F"/>
    <w:rsid w:val="1D8F2F1D"/>
    <w:rsid w:val="1D9236E6"/>
    <w:rsid w:val="1DB30A05"/>
    <w:rsid w:val="1DB4071F"/>
    <w:rsid w:val="1DC97D96"/>
    <w:rsid w:val="1DCC309C"/>
    <w:rsid w:val="1DF058A1"/>
    <w:rsid w:val="1E190DC5"/>
    <w:rsid w:val="1E214A6A"/>
    <w:rsid w:val="1E3113B5"/>
    <w:rsid w:val="1E4644CC"/>
    <w:rsid w:val="1E4A3FC0"/>
    <w:rsid w:val="1E4A7D9A"/>
    <w:rsid w:val="1E656650"/>
    <w:rsid w:val="1E7C7773"/>
    <w:rsid w:val="1EC870B0"/>
    <w:rsid w:val="1F262635"/>
    <w:rsid w:val="1F297403"/>
    <w:rsid w:val="1F562C75"/>
    <w:rsid w:val="1F6077D8"/>
    <w:rsid w:val="1F6A3BAE"/>
    <w:rsid w:val="1F7D3F22"/>
    <w:rsid w:val="1F813A12"/>
    <w:rsid w:val="1FA645C2"/>
    <w:rsid w:val="1FAB6CE1"/>
    <w:rsid w:val="1FAD0CAB"/>
    <w:rsid w:val="1FB3007D"/>
    <w:rsid w:val="1FC86FB2"/>
    <w:rsid w:val="1FD70CF1"/>
    <w:rsid w:val="20017C8D"/>
    <w:rsid w:val="201900EE"/>
    <w:rsid w:val="20625A14"/>
    <w:rsid w:val="20653333"/>
    <w:rsid w:val="208D5545"/>
    <w:rsid w:val="20D547AE"/>
    <w:rsid w:val="20D67D8D"/>
    <w:rsid w:val="20D91FEB"/>
    <w:rsid w:val="211E47B1"/>
    <w:rsid w:val="21221225"/>
    <w:rsid w:val="21277B96"/>
    <w:rsid w:val="213B0E23"/>
    <w:rsid w:val="214C438B"/>
    <w:rsid w:val="21611ED0"/>
    <w:rsid w:val="2188742E"/>
    <w:rsid w:val="21A34E14"/>
    <w:rsid w:val="21BF4CC5"/>
    <w:rsid w:val="21BF6859"/>
    <w:rsid w:val="21C27070"/>
    <w:rsid w:val="21D70261"/>
    <w:rsid w:val="21DB0BBB"/>
    <w:rsid w:val="22143E55"/>
    <w:rsid w:val="221C5C74"/>
    <w:rsid w:val="22273B8E"/>
    <w:rsid w:val="222A4EAF"/>
    <w:rsid w:val="222D26A8"/>
    <w:rsid w:val="224C7E9B"/>
    <w:rsid w:val="22743D02"/>
    <w:rsid w:val="228B768D"/>
    <w:rsid w:val="22912943"/>
    <w:rsid w:val="22A7378F"/>
    <w:rsid w:val="22AA1341"/>
    <w:rsid w:val="22B1623E"/>
    <w:rsid w:val="22D41146"/>
    <w:rsid w:val="22E047E0"/>
    <w:rsid w:val="22F77849"/>
    <w:rsid w:val="23061CAF"/>
    <w:rsid w:val="230963C7"/>
    <w:rsid w:val="232B1946"/>
    <w:rsid w:val="23460BD9"/>
    <w:rsid w:val="236D2C2B"/>
    <w:rsid w:val="2398002D"/>
    <w:rsid w:val="239937F7"/>
    <w:rsid w:val="23BC0851"/>
    <w:rsid w:val="23C04AC5"/>
    <w:rsid w:val="23CD36CA"/>
    <w:rsid w:val="23D52FF0"/>
    <w:rsid w:val="23E56285"/>
    <w:rsid w:val="23FD4CD6"/>
    <w:rsid w:val="23FE2357"/>
    <w:rsid w:val="24461297"/>
    <w:rsid w:val="247C4642"/>
    <w:rsid w:val="24977803"/>
    <w:rsid w:val="24B0233C"/>
    <w:rsid w:val="24C63A20"/>
    <w:rsid w:val="2508126E"/>
    <w:rsid w:val="250D59BB"/>
    <w:rsid w:val="251F3280"/>
    <w:rsid w:val="25416241"/>
    <w:rsid w:val="25436E5F"/>
    <w:rsid w:val="255303A0"/>
    <w:rsid w:val="25931026"/>
    <w:rsid w:val="25B4044A"/>
    <w:rsid w:val="25BC5CB5"/>
    <w:rsid w:val="25D30044"/>
    <w:rsid w:val="25DE44C9"/>
    <w:rsid w:val="26140373"/>
    <w:rsid w:val="261E299E"/>
    <w:rsid w:val="262523F6"/>
    <w:rsid w:val="266427D3"/>
    <w:rsid w:val="26644CF8"/>
    <w:rsid w:val="267267AA"/>
    <w:rsid w:val="2675674A"/>
    <w:rsid w:val="26846979"/>
    <w:rsid w:val="268B606C"/>
    <w:rsid w:val="26962499"/>
    <w:rsid w:val="26AA02F7"/>
    <w:rsid w:val="26C012C4"/>
    <w:rsid w:val="26F507CC"/>
    <w:rsid w:val="27051B6A"/>
    <w:rsid w:val="27B51B4D"/>
    <w:rsid w:val="27C1615F"/>
    <w:rsid w:val="27C36375"/>
    <w:rsid w:val="27D911AE"/>
    <w:rsid w:val="280C2F29"/>
    <w:rsid w:val="283F0E13"/>
    <w:rsid w:val="287B628F"/>
    <w:rsid w:val="289F2FF8"/>
    <w:rsid w:val="28B30360"/>
    <w:rsid w:val="28D76D98"/>
    <w:rsid w:val="28E0346E"/>
    <w:rsid w:val="28F93061"/>
    <w:rsid w:val="29197B2F"/>
    <w:rsid w:val="29385A89"/>
    <w:rsid w:val="293E708B"/>
    <w:rsid w:val="295143AA"/>
    <w:rsid w:val="296F2383"/>
    <w:rsid w:val="29950586"/>
    <w:rsid w:val="29AD3C4A"/>
    <w:rsid w:val="29BD120F"/>
    <w:rsid w:val="29C769C8"/>
    <w:rsid w:val="29D204FB"/>
    <w:rsid w:val="29F36D30"/>
    <w:rsid w:val="2A0C65CE"/>
    <w:rsid w:val="2A1D6494"/>
    <w:rsid w:val="2A5D4CB4"/>
    <w:rsid w:val="2AA333D6"/>
    <w:rsid w:val="2ABC49E6"/>
    <w:rsid w:val="2ACF5A8C"/>
    <w:rsid w:val="2ADF4AAE"/>
    <w:rsid w:val="2AF51552"/>
    <w:rsid w:val="2B1A435D"/>
    <w:rsid w:val="2B2362C5"/>
    <w:rsid w:val="2B242804"/>
    <w:rsid w:val="2B2621F1"/>
    <w:rsid w:val="2B312790"/>
    <w:rsid w:val="2B463C63"/>
    <w:rsid w:val="2B541291"/>
    <w:rsid w:val="2B833DCF"/>
    <w:rsid w:val="2B9C72A6"/>
    <w:rsid w:val="2BB60EE7"/>
    <w:rsid w:val="2C043A01"/>
    <w:rsid w:val="2C0E585C"/>
    <w:rsid w:val="2C3216DF"/>
    <w:rsid w:val="2C561360"/>
    <w:rsid w:val="2C621724"/>
    <w:rsid w:val="2C9863C0"/>
    <w:rsid w:val="2CB949F3"/>
    <w:rsid w:val="2CBA18BB"/>
    <w:rsid w:val="2CCD23B6"/>
    <w:rsid w:val="2D1C7470"/>
    <w:rsid w:val="2D364A89"/>
    <w:rsid w:val="2D962D8D"/>
    <w:rsid w:val="2DA46B3A"/>
    <w:rsid w:val="2DA65AC5"/>
    <w:rsid w:val="2DA76895"/>
    <w:rsid w:val="2DDC0D17"/>
    <w:rsid w:val="2DE01706"/>
    <w:rsid w:val="2DFF7667"/>
    <w:rsid w:val="2E072923"/>
    <w:rsid w:val="2E470321"/>
    <w:rsid w:val="2E4D76FE"/>
    <w:rsid w:val="2E9E1F5E"/>
    <w:rsid w:val="2EA955B3"/>
    <w:rsid w:val="2F104590"/>
    <w:rsid w:val="2F4F3167"/>
    <w:rsid w:val="2F6971AB"/>
    <w:rsid w:val="2F8816FD"/>
    <w:rsid w:val="2FC978DE"/>
    <w:rsid w:val="2FE23FCB"/>
    <w:rsid w:val="2FF400F4"/>
    <w:rsid w:val="2FF777E0"/>
    <w:rsid w:val="300C37CC"/>
    <w:rsid w:val="300D77D0"/>
    <w:rsid w:val="30387810"/>
    <w:rsid w:val="30424923"/>
    <w:rsid w:val="30766FE6"/>
    <w:rsid w:val="3083447C"/>
    <w:rsid w:val="30A43A04"/>
    <w:rsid w:val="30B441C3"/>
    <w:rsid w:val="30BE43E4"/>
    <w:rsid w:val="30E6582A"/>
    <w:rsid w:val="30EF1DD1"/>
    <w:rsid w:val="30FD4EC2"/>
    <w:rsid w:val="310B343B"/>
    <w:rsid w:val="310D28FD"/>
    <w:rsid w:val="311741D6"/>
    <w:rsid w:val="3118587F"/>
    <w:rsid w:val="312415B4"/>
    <w:rsid w:val="312622CD"/>
    <w:rsid w:val="313F54DB"/>
    <w:rsid w:val="316136A3"/>
    <w:rsid w:val="316B4522"/>
    <w:rsid w:val="31C132B8"/>
    <w:rsid w:val="31D40319"/>
    <w:rsid w:val="31F65A58"/>
    <w:rsid w:val="32263C46"/>
    <w:rsid w:val="32435C17"/>
    <w:rsid w:val="32485814"/>
    <w:rsid w:val="324A6858"/>
    <w:rsid w:val="327B225B"/>
    <w:rsid w:val="32A457A0"/>
    <w:rsid w:val="32A64FA9"/>
    <w:rsid w:val="330C460D"/>
    <w:rsid w:val="334603F1"/>
    <w:rsid w:val="33AB72DE"/>
    <w:rsid w:val="33C75B50"/>
    <w:rsid w:val="340D4047"/>
    <w:rsid w:val="341A06B8"/>
    <w:rsid w:val="34775185"/>
    <w:rsid w:val="34832720"/>
    <w:rsid w:val="34850D8A"/>
    <w:rsid w:val="34940253"/>
    <w:rsid w:val="34A913BC"/>
    <w:rsid w:val="34B955A4"/>
    <w:rsid w:val="34B96006"/>
    <w:rsid w:val="34BF2BBB"/>
    <w:rsid w:val="34D32B0A"/>
    <w:rsid w:val="34E16FD5"/>
    <w:rsid w:val="35386432"/>
    <w:rsid w:val="35852EE6"/>
    <w:rsid w:val="35D90520"/>
    <w:rsid w:val="35EA0E10"/>
    <w:rsid w:val="36280E49"/>
    <w:rsid w:val="36301CAE"/>
    <w:rsid w:val="364D7479"/>
    <w:rsid w:val="36525ABC"/>
    <w:rsid w:val="366B14B6"/>
    <w:rsid w:val="36A24CBE"/>
    <w:rsid w:val="36BC7D30"/>
    <w:rsid w:val="371C6A47"/>
    <w:rsid w:val="37294C73"/>
    <w:rsid w:val="37543839"/>
    <w:rsid w:val="37585C03"/>
    <w:rsid w:val="375E2E18"/>
    <w:rsid w:val="37650374"/>
    <w:rsid w:val="379007F5"/>
    <w:rsid w:val="37B71B23"/>
    <w:rsid w:val="37C404E8"/>
    <w:rsid w:val="37CE2251"/>
    <w:rsid w:val="37E1109A"/>
    <w:rsid w:val="37EF25FC"/>
    <w:rsid w:val="38134DDD"/>
    <w:rsid w:val="382D2531"/>
    <w:rsid w:val="38AB6509"/>
    <w:rsid w:val="38C67BAB"/>
    <w:rsid w:val="38CF0064"/>
    <w:rsid w:val="38DB20ED"/>
    <w:rsid w:val="38E4519F"/>
    <w:rsid w:val="390562A8"/>
    <w:rsid w:val="39243F17"/>
    <w:rsid w:val="394C66DD"/>
    <w:rsid w:val="39764D37"/>
    <w:rsid w:val="39BD1F51"/>
    <w:rsid w:val="39EB26A4"/>
    <w:rsid w:val="3A010479"/>
    <w:rsid w:val="3A0558D8"/>
    <w:rsid w:val="3A0F18D6"/>
    <w:rsid w:val="3A1C71C2"/>
    <w:rsid w:val="3A3B53FE"/>
    <w:rsid w:val="3A3C4CAD"/>
    <w:rsid w:val="3A490593"/>
    <w:rsid w:val="3A776BA4"/>
    <w:rsid w:val="3AA1007D"/>
    <w:rsid w:val="3AA36ADA"/>
    <w:rsid w:val="3ABE5C3A"/>
    <w:rsid w:val="3AC0768C"/>
    <w:rsid w:val="3ADF2D69"/>
    <w:rsid w:val="3AEA4709"/>
    <w:rsid w:val="3AFE50D2"/>
    <w:rsid w:val="3B3A743F"/>
    <w:rsid w:val="3B3D0765"/>
    <w:rsid w:val="3B802375"/>
    <w:rsid w:val="3B88488F"/>
    <w:rsid w:val="3BB13E90"/>
    <w:rsid w:val="3C0F6270"/>
    <w:rsid w:val="3C266052"/>
    <w:rsid w:val="3C822BF4"/>
    <w:rsid w:val="3CA40291"/>
    <w:rsid w:val="3D0E03A1"/>
    <w:rsid w:val="3D2364DC"/>
    <w:rsid w:val="3D29776B"/>
    <w:rsid w:val="3D3313E5"/>
    <w:rsid w:val="3D5A50C0"/>
    <w:rsid w:val="3D64203D"/>
    <w:rsid w:val="3D83329F"/>
    <w:rsid w:val="3D930B56"/>
    <w:rsid w:val="3D9D0729"/>
    <w:rsid w:val="3DAC39CF"/>
    <w:rsid w:val="3DAE434A"/>
    <w:rsid w:val="3DE80D41"/>
    <w:rsid w:val="3E234D34"/>
    <w:rsid w:val="3E304B29"/>
    <w:rsid w:val="3E3C34CE"/>
    <w:rsid w:val="3E424779"/>
    <w:rsid w:val="3E4B6981"/>
    <w:rsid w:val="3E67542E"/>
    <w:rsid w:val="3E772B6A"/>
    <w:rsid w:val="3E7B2675"/>
    <w:rsid w:val="3E7E1019"/>
    <w:rsid w:val="3E9308ED"/>
    <w:rsid w:val="3E9B2264"/>
    <w:rsid w:val="3E9C5D1B"/>
    <w:rsid w:val="3EBE084F"/>
    <w:rsid w:val="3EC32B74"/>
    <w:rsid w:val="3ED92825"/>
    <w:rsid w:val="3EDB7087"/>
    <w:rsid w:val="3F062266"/>
    <w:rsid w:val="3F326DBB"/>
    <w:rsid w:val="3F4E4B32"/>
    <w:rsid w:val="3F6C14C6"/>
    <w:rsid w:val="3F84208C"/>
    <w:rsid w:val="3FB455DD"/>
    <w:rsid w:val="3FBD1F0E"/>
    <w:rsid w:val="3FDA1D33"/>
    <w:rsid w:val="3FDD2A8F"/>
    <w:rsid w:val="3FE815EE"/>
    <w:rsid w:val="3FF87DC2"/>
    <w:rsid w:val="40BE687C"/>
    <w:rsid w:val="40DC05C4"/>
    <w:rsid w:val="40EC294D"/>
    <w:rsid w:val="40ED2DFA"/>
    <w:rsid w:val="41567FFC"/>
    <w:rsid w:val="416F3BBA"/>
    <w:rsid w:val="41856AC4"/>
    <w:rsid w:val="41883FA0"/>
    <w:rsid w:val="419F3437"/>
    <w:rsid w:val="41B415CD"/>
    <w:rsid w:val="41CC2DBB"/>
    <w:rsid w:val="41D57EC1"/>
    <w:rsid w:val="42007BC3"/>
    <w:rsid w:val="420C1364"/>
    <w:rsid w:val="422723C1"/>
    <w:rsid w:val="42277FF1"/>
    <w:rsid w:val="424A2BA7"/>
    <w:rsid w:val="42627E47"/>
    <w:rsid w:val="4269685C"/>
    <w:rsid w:val="426F381D"/>
    <w:rsid w:val="42797217"/>
    <w:rsid w:val="428C60A6"/>
    <w:rsid w:val="42AC1AFD"/>
    <w:rsid w:val="42C80099"/>
    <w:rsid w:val="42D03DF9"/>
    <w:rsid w:val="42F618F6"/>
    <w:rsid w:val="432675D2"/>
    <w:rsid w:val="4351111A"/>
    <w:rsid w:val="43804A43"/>
    <w:rsid w:val="43891467"/>
    <w:rsid w:val="438F3CEC"/>
    <w:rsid w:val="43A05748"/>
    <w:rsid w:val="43B8278B"/>
    <w:rsid w:val="43C7067F"/>
    <w:rsid w:val="43DC17D0"/>
    <w:rsid w:val="440A3726"/>
    <w:rsid w:val="441060A4"/>
    <w:rsid w:val="445C25FF"/>
    <w:rsid w:val="446374FE"/>
    <w:rsid w:val="447A08AC"/>
    <w:rsid w:val="44897E3F"/>
    <w:rsid w:val="449A179A"/>
    <w:rsid w:val="44BE5080"/>
    <w:rsid w:val="44CC6C2E"/>
    <w:rsid w:val="44E93611"/>
    <w:rsid w:val="4512328A"/>
    <w:rsid w:val="4517434D"/>
    <w:rsid w:val="45201CD0"/>
    <w:rsid w:val="45233189"/>
    <w:rsid w:val="453B4135"/>
    <w:rsid w:val="453B4205"/>
    <w:rsid w:val="45733321"/>
    <w:rsid w:val="45742C88"/>
    <w:rsid w:val="457971DE"/>
    <w:rsid w:val="457F3FEF"/>
    <w:rsid w:val="45896BC7"/>
    <w:rsid w:val="45A95584"/>
    <w:rsid w:val="45C231AD"/>
    <w:rsid w:val="45E16709"/>
    <w:rsid w:val="45FD6F20"/>
    <w:rsid w:val="46004DE1"/>
    <w:rsid w:val="46103030"/>
    <w:rsid w:val="461934A2"/>
    <w:rsid w:val="46366A55"/>
    <w:rsid w:val="46522C85"/>
    <w:rsid w:val="468F098D"/>
    <w:rsid w:val="46906CF6"/>
    <w:rsid w:val="46AF40F3"/>
    <w:rsid w:val="46B40B6B"/>
    <w:rsid w:val="46D64DD7"/>
    <w:rsid w:val="46DA7D28"/>
    <w:rsid w:val="46F43BD9"/>
    <w:rsid w:val="47136FD8"/>
    <w:rsid w:val="47147377"/>
    <w:rsid w:val="47176886"/>
    <w:rsid w:val="472C3214"/>
    <w:rsid w:val="4742208F"/>
    <w:rsid w:val="47516AE9"/>
    <w:rsid w:val="479003E6"/>
    <w:rsid w:val="47B95771"/>
    <w:rsid w:val="47F170D7"/>
    <w:rsid w:val="48164085"/>
    <w:rsid w:val="483B2A48"/>
    <w:rsid w:val="485D1EEC"/>
    <w:rsid w:val="486E4621"/>
    <w:rsid w:val="489625C8"/>
    <w:rsid w:val="48A279E5"/>
    <w:rsid w:val="48B22AFA"/>
    <w:rsid w:val="48C4659A"/>
    <w:rsid w:val="48CA1FE3"/>
    <w:rsid w:val="48CD24C3"/>
    <w:rsid w:val="48E83E7B"/>
    <w:rsid w:val="48EE1869"/>
    <w:rsid w:val="4906474A"/>
    <w:rsid w:val="49415E3C"/>
    <w:rsid w:val="4969386E"/>
    <w:rsid w:val="49AF27D4"/>
    <w:rsid w:val="49BA5C57"/>
    <w:rsid w:val="49BB4DFF"/>
    <w:rsid w:val="49BC6688"/>
    <w:rsid w:val="49CA3049"/>
    <w:rsid w:val="4A1A4EBA"/>
    <w:rsid w:val="4A87518D"/>
    <w:rsid w:val="4A890D0D"/>
    <w:rsid w:val="4AAB7AF7"/>
    <w:rsid w:val="4ABA6312"/>
    <w:rsid w:val="4AE9143A"/>
    <w:rsid w:val="4B072DB6"/>
    <w:rsid w:val="4B0C5FD6"/>
    <w:rsid w:val="4B3D4D2C"/>
    <w:rsid w:val="4B4734DA"/>
    <w:rsid w:val="4B660844"/>
    <w:rsid w:val="4B6D51D2"/>
    <w:rsid w:val="4B8A588A"/>
    <w:rsid w:val="4B92472D"/>
    <w:rsid w:val="4BA4796D"/>
    <w:rsid w:val="4BB15C21"/>
    <w:rsid w:val="4BD23B4D"/>
    <w:rsid w:val="4BEC4400"/>
    <w:rsid w:val="4C137A41"/>
    <w:rsid w:val="4C350CE3"/>
    <w:rsid w:val="4C43011D"/>
    <w:rsid w:val="4C615547"/>
    <w:rsid w:val="4C7A31D4"/>
    <w:rsid w:val="4C975D73"/>
    <w:rsid w:val="4D1A1400"/>
    <w:rsid w:val="4D1D5511"/>
    <w:rsid w:val="4D31541B"/>
    <w:rsid w:val="4D4F3090"/>
    <w:rsid w:val="4D510618"/>
    <w:rsid w:val="4D514AC7"/>
    <w:rsid w:val="4DC66910"/>
    <w:rsid w:val="4DCD57DE"/>
    <w:rsid w:val="4E093E48"/>
    <w:rsid w:val="4E3653FD"/>
    <w:rsid w:val="4E3D3DE0"/>
    <w:rsid w:val="4E473566"/>
    <w:rsid w:val="4E4F1F27"/>
    <w:rsid w:val="4E5972CA"/>
    <w:rsid w:val="4E5C4D9A"/>
    <w:rsid w:val="4E755F28"/>
    <w:rsid w:val="4E7E543D"/>
    <w:rsid w:val="4E8B47DA"/>
    <w:rsid w:val="4EA5389D"/>
    <w:rsid w:val="4EB733D6"/>
    <w:rsid w:val="4EBA5298"/>
    <w:rsid w:val="4ECE10F2"/>
    <w:rsid w:val="4EDD2163"/>
    <w:rsid w:val="4F2837C4"/>
    <w:rsid w:val="4F321DBF"/>
    <w:rsid w:val="4F326E51"/>
    <w:rsid w:val="4F396A11"/>
    <w:rsid w:val="4F416688"/>
    <w:rsid w:val="4F4D1362"/>
    <w:rsid w:val="4F747965"/>
    <w:rsid w:val="4FCD414D"/>
    <w:rsid w:val="500D05BC"/>
    <w:rsid w:val="501F416D"/>
    <w:rsid w:val="50250ED4"/>
    <w:rsid w:val="50744D60"/>
    <w:rsid w:val="50803083"/>
    <w:rsid w:val="509C05EE"/>
    <w:rsid w:val="50A76ECD"/>
    <w:rsid w:val="50AD68A1"/>
    <w:rsid w:val="50BE5FC4"/>
    <w:rsid w:val="512C5B05"/>
    <w:rsid w:val="51431745"/>
    <w:rsid w:val="51517CCA"/>
    <w:rsid w:val="5156469E"/>
    <w:rsid w:val="51722F47"/>
    <w:rsid w:val="517A638F"/>
    <w:rsid w:val="517D2127"/>
    <w:rsid w:val="51900C9D"/>
    <w:rsid w:val="51954F77"/>
    <w:rsid w:val="519D485E"/>
    <w:rsid w:val="519F7BA4"/>
    <w:rsid w:val="51AD19CD"/>
    <w:rsid w:val="51CB1DCC"/>
    <w:rsid w:val="51E54CE6"/>
    <w:rsid w:val="51F46B32"/>
    <w:rsid w:val="523C2CD5"/>
    <w:rsid w:val="524C3FFD"/>
    <w:rsid w:val="525E7A5F"/>
    <w:rsid w:val="52782D1F"/>
    <w:rsid w:val="5285772D"/>
    <w:rsid w:val="52992700"/>
    <w:rsid w:val="52A36D3A"/>
    <w:rsid w:val="52AA2CA4"/>
    <w:rsid w:val="52D27826"/>
    <w:rsid w:val="52D63A99"/>
    <w:rsid w:val="52D802AE"/>
    <w:rsid w:val="52DC2732"/>
    <w:rsid w:val="52E73B6C"/>
    <w:rsid w:val="53093E80"/>
    <w:rsid w:val="53185E60"/>
    <w:rsid w:val="531C6B04"/>
    <w:rsid w:val="53365130"/>
    <w:rsid w:val="533C3D72"/>
    <w:rsid w:val="53420E0D"/>
    <w:rsid w:val="5391323F"/>
    <w:rsid w:val="5395765E"/>
    <w:rsid w:val="53A44BF9"/>
    <w:rsid w:val="53FC752F"/>
    <w:rsid w:val="54583D83"/>
    <w:rsid w:val="54781EF5"/>
    <w:rsid w:val="5482443D"/>
    <w:rsid w:val="54890733"/>
    <w:rsid w:val="549608F9"/>
    <w:rsid w:val="54973867"/>
    <w:rsid w:val="54B8031D"/>
    <w:rsid w:val="54DB1C81"/>
    <w:rsid w:val="54EB3100"/>
    <w:rsid w:val="54F061D0"/>
    <w:rsid w:val="551D5901"/>
    <w:rsid w:val="552503C0"/>
    <w:rsid w:val="55787787"/>
    <w:rsid w:val="558D712C"/>
    <w:rsid w:val="55BF392A"/>
    <w:rsid w:val="55D903ED"/>
    <w:rsid w:val="55DA593A"/>
    <w:rsid w:val="56082C9C"/>
    <w:rsid w:val="560C7DD4"/>
    <w:rsid w:val="560E70A6"/>
    <w:rsid w:val="562770B6"/>
    <w:rsid w:val="56597310"/>
    <w:rsid w:val="568D1ECF"/>
    <w:rsid w:val="568E6439"/>
    <w:rsid w:val="56A81C1A"/>
    <w:rsid w:val="56AF7BB9"/>
    <w:rsid w:val="56B20379"/>
    <w:rsid w:val="56BB64F8"/>
    <w:rsid w:val="56D91D6D"/>
    <w:rsid w:val="56F544DF"/>
    <w:rsid w:val="571E77BD"/>
    <w:rsid w:val="57B43C7D"/>
    <w:rsid w:val="57BE5435"/>
    <w:rsid w:val="57CD79FB"/>
    <w:rsid w:val="57D17F4B"/>
    <w:rsid w:val="57EA58F1"/>
    <w:rsid w:val="57F534D0"/>
    <w:rsid w:val="57F934C0"/>
    <w:rsid w:val="58056A76"/>
    <w:rsid w:val="580E16BF"/>
    <w:rsid w:val="58273974"/>
    <w:rsid w:val="583F6838"/>
    <w:rsid w:val="586A7D56"/>
    <w:rsid w:val="58775304"/>
    <w:rsid w:val="587B395C"/>
    <w:rsid w:val="5887350A"/>
    <w:rsid w:val="58951C97"/>
    <w:rsid w:val="58B0410D"/>
    <w:rsid w:val="58C62C27"/>
    <w:rsid w:val="58C963C2"/>
    <w:rsid w:val="58CC2A45"/>
    <w:rsid w:val="58D77C23"/>
    <w:rsid w:val="58F00CE5"/>
    <w:rsid w:val="58FC5AEF"/>
    <w:rsid w:val="58FE722D"/>
    <w:rsid w:val="5901090D"/>
    <w:rsid w:val="591E45BB"/>
    <w:rsid w:val="59460892"/>
    <w:rsid w:val="595016A4"/>
    <w:rsid w:val="59637709"/>
    <w:rsid w:val="596379A9"/>
    <w:rsid w:val="59663F5E"/>
    <w:rsid w:val="597D0736"/>
    <w:rsid w:val="59965D30"/>
    <w:rsid w:val="59D17D75"/>
    <w:rsid w:val="59D471D7"/>
    <w:rsid w:val="59F14DF8"/>
    <w:rsid w:val="59FE4C01"/>
    <w:rsid w:val="5A054C64"/>
    <w:rsid w:val="5A366F84"/>
    <w:rsid w:val="5A3C3F0A"/>
    <w:rsid w:val="5A3F0176"/>
    <w:rsid w:val="5A513A05"/>
    <w:rsid w:val="5AE8322E"/>
    <w:rsid w:val="5AF727FF"/>
    <w:rsid w:val="5AFC6067"/>
    <w:rsid w:val="5AFE3B8D"/>
    <w:rsid w:val="5B0D7295"/>
    <w:rsid w:val="5B206399"/>
    <w:rsid w:val="5B5437AD"/>
    <w:rsid w:val="5B7E4CCE"/>
    <w:rsid w:val="5B931C9E"/>
    <w:rsid w:val="5BB43FD5"/>
    <w:rsid w:val="5BBD53BB"/>
    <w:rsid w:val="5BD133DF"/>
    <w:rsid w:val="5BD366A4"/>
    <w:rsid w:val="5C3E78DA"/>
    <w:rsid w:val="5C640E34"/>
    <w:rsid w:val="5C6D3417"/>
    <w:rsid w:val="5C7C0143"/>
    <w:rsid w:val="5CA20832"/>
    <w:rsid w:val="5CA42512"/>
    <w:rsid w:val="5CA72002"/>
    <w:rsid w:val="5CB07109"/>
    <w:rsid w:val="5CC11316"/>
    <w:rsid w:val="5CF211BB"/>
    <w:rsid w:val="5D1E7B16"/>
    <w:rsid w:val="5D281C87"/>
    <w:rsid w:val="5D5D0075"/>
    <w:rsid w:val="5D651182"/>
    <w:rsid w:val="5D8B3B5B"/>
    <w:rsid w:val="5DA17435"/>
    <w:rsid w:val="5DEC4171"/>
    <w:rsid w:val="5DED10A9"/>
    <w:rsid w:val="5E1F592C"/>
    <w:rsid w:val="5E3C350F"/>
    <w:rsid w:val="5E6E2DD8"/>
    <w:rsid w:val="5E7A0AB0"/>
    <w:rsid w:val="5E871518"/>
    <w:rsid w:val="5E934E20"/>
    <w:rsid w:val="5E9C0BE0"/>
    <w:rsid w:val="5EE267E4"/>
    <w:rsid w:val="5EFB7621"/>
    <w:rsid w:val="5EFF0ED2"/>
    <w:rsid w:val="5FB52C88"/>
    <w:rsid w:val="5FD73AA6"/>
    <w:rsid w:val="5FD85EAF"/>
    <w:rsid w:val="601670FF"/>
    <w:rsid w:val="602816AC"/>
    <w:rsid w:val="60606A01"/>
    <w:rsid w:val="60687CFB"/>
    <w:rsid w:val="608F1BD3"/>
    <w:rsid w:val="609E7AC4"/>
    <w:rsid w:val="60AA3E6F"/>
    <w:rsid w:val="60B30F76"/>
    <w:rsid w:val="60CB69BE"/>
    <w:rsid w:val="60EC63F1"/>
    <w:rsid w:val="613B5823"/>
    <w:rsid w:val="61871349"/>
    <w:rsid w:val="61C94415"/>
    <w:rsid w:val="61DA7A62"/>
    <w:rsid w:val="620F1DEC"/>
    <w:rsid w:val="62461BBC"/>
    <w:rsid w:val="6267321B"/>
    <w:rsid w:val="62685D90"/>
    <w:rsid w:val="628B5453"/>
    <w:rsid w:val="62983D63"/>
    <w:rsid w:val="62A34248"/>
    <w:rsid w:val="62D578C9"/>
    <w:rsid w:val="62DF39AC"/>
    <w:rsid w:val="63051831"/>
    <w:rsid w:val="637D5832"/>
    <w:rsid w:val="63A231B5"/>
    <w:rsid w:val="63AF2E7A"/>
    <w:rsid w:val="63B425DD"/>
    <w:rsid w:val="63BF2418"/>
    <w:rsid w:val="63CC1CCC"/>
    <w:rsid w:val="63CE2986"/>
    <w:rsid w:val="63D862F0"/>
    <w:rsid w:val="63FE569C"/>
    <w:rsid w:val="64160610"/>
    <w:rsid w:val="64191A38"/>
    <w:rsid w:val="641D655D"/>
    <w:rsid w:val="642B3919"/>
    <w:rsid w:val="644E2285"/>
    <w:rsid w:val="645A5BAC"/>
    <w:rsid w:val="646031C3"/>
    <w:rsid w:val="647452F7"/>
    <w:rsid w:val="647629E6"/>
    <w:rsid w:val="648F5723"/>
    <w:rsid w:val="649D444A"/>
    <w:rsid w:val="64A55079"/>
    <w:rsid w:val="64B0068F"/>
    <w:rsid w:val="64B0634B"/>
    <w:rsid w:val="64C60289"/>
    <w:rsid w:val="64D464F7"/>
    <w:rsid w:val="64D96DED"/>
    <w:rsid w:val="64DE64F9"/>
    <w:rsid w:val="650D6CA7"/>
    <w:rsid w:val="651B482C"/>
    <w:rsid w:val="6531045A"/>
    <w:rsid w:val="653F37FF"/>
    <w:rsid w:val="65691302"/>
    <w:rsid w:val="656D3AB0"/>
    <w:rsid w:val="6573450E"/>
    <w:rsid w:val="658F1D57"/>
    <w:rsid w:val="65A31661"/>
    <w:rsid w:val="65AD379D"/>
    <w:rsid w:val="65DD0D4C"/>
    <w:rsid w:val="65E6167B"/>
    <w:rsid w:val="6616777D"/>
    <w:rsid w:val="66290C46"/>
    <w:rsid w:val="663A1836"/>
    <w:rsid w:val="66456B14"/>
    <w:rsid w:val="66482D7B"/>
    <w:rsid w:val="664C0C25"/>
    <w:rsid w:val="664F5C5B"/>
    <w:rsid w:val="6654469E"/>
    <w:rsid w:val="66767732"/>
    <w:rsid w:val="66806FBB"/>
    <w:rsid w:val="66AE5E9B"/>
    <w:rsid w:val="66BC2840"/>
    <w:rsid w:val="66C01109"/>
    <w:rsid w:val="66DA149B"/>
    <w:rsid w:val="66F66984"/>
    <w:rsid w:val="66FB71D3"/>
    <w:rsid w:val="672A1A11"/>
    <w:rsid w:val="67420658"/>
    <w:rsid w:val="67515045"/>
    <w:rsid w:val="675178A4"/>
    <w:rsid w:val="67664CE6"/>
    <w:rsid w:val="67A50830"/>
    <w:rsid w:val="67B5211B"/>
    <w:rsid w:val="67B83180"/>
    <w:rsid w:val="68351A5C"/>
    <w:rsid w:val="68400AB2"/>
    <w:rsid w:val="686728A7"/>
    <w:rsid w:val="686E1C26"/>
    <w:rsid w:val="688A304F"/>
    <w:rsid w:val="689A44D2"/>
    <w:rsid w:val="68DC10E3"/>
    <w:rsid w:val="68DF451B"/>
    <w:rsid w:val="68E00D76"/>
    <w:rsid w:val="68E47A64"/>
    <w:rsid w:val="68E52AA5"/>
    <w:rsid w:val="68E94352"/>
    <w:rsid w:val="68E956DD"/>
    <w:rsid w:val="68F058E5"/>
    <w:rsid w:val="690618FD"/>
    <w:rsid w:val="695C3EA1"/>
    <w:rsid w:val="696778E1"/>
    <w:rsid w:val="69781887"/>
    <w:rsid w:val="69945F1A"/>
    <w:rsid w:val="69C356D6"/>
    <w:rsid w:val="69D152E0"/>
    <w:rsid w:val="69D57630"/>
    <w:rsid w:val="69DD1BB9"/>
    <w:rsid w:val="6A267199"/>
    <w:rsid w:val="6A5F7EB4"/>
    <w:rsid w:val="6A85006E"/>
    <w:rsid w:val="6AAD49F4"/>
    <w:rsid w:val="6AF93A8C"/>
    <w:rsid w:val="6B0B560C"/>
    <w:rsid w:val="6B144879"/>
    <w:rsid w:val="6B1F2B66"/>
    <w:rsid w:val="6B2E0537"/>
    <w:rsid w:val="6B353BDC"/>
    <w:rsid w:val="6B3966EF"/>
    <w:rsid w:val="6B421A04"/>
    <w:rsid w:val="6B56531F"/>
    <w:rsid w:val="6B580656"/>
    <w:rsid w:val="6B6E08BB"/>
    <w:rsid w:val="6B8428B4"/>
    <w:rsid w:val="6B8E7568"/>
    <w:rsid w:val="6B930322"/>
    <w:rsid w:val="6BA74CEA"/>
    <w:rsid w:val="6BA918F3"/>
    <w:rsid w:val="6BB7745C"/>
    <w:rsid w:val="6BC27ED8"/>
    <w:rsid w:val="6BCA73D5"/>
    <w:rsid w:val="6BCB4D1B"/>
    <w:rsid w:val="6BCD392F"/>
    <w:rsid w:val="6BEA3CBA"/>
    <w:rsid w:val="6BF372AD"/>
    <w:rsid w:val="6C267CEF"/>
    <w:rsid w:val="6C271424"/>
    <w:rsid w:val="6C3118E9"/>
    <w:rsid w:val="6C411B2C"/>
    <w:rsid w:val="6C4C61D1"/>
    <w:rsid w:val="6C7A3345"/>
    <w:rsid w:val="6C9E3F84"/>
    <w:rsid w:val="6CC61024"/>
    <w:rsid w:val="6CCB2A5C"/>
    <w:rsid w:val="6CCE109B"/>
    <w:rsid w:val="6CD45AAA"/>
    <w:rsid w:val="6CE47F86"/>
    <w:rsid w:val="6CEF474A"/>
    <w:rsid w:val="6CF1162C"/>
    <w:rsid w:val="6D005FF3"/>
    <w:rsid w:val="6D35161C"/>
    <w:rsid w:val="6D3A60CF"/>
    <w:rsid w:val="6D5B6C1D"/>
    <w:rsid w:val="6D652811"/>
    <w:rsid w:val="6D763A57"/>
    <w:rsid w:val="6D764AF8"/>
    <w:rsid w:val="6DCF3167"/>
    <w:rsid w:val="6DCF4F15"/>
    <w:rsid w:val="6DEF3963"/>
    <w:rsid w:val="6E35541C"/>
    <w:rsid w:val="6E451788"/>
    <w:rsid w:val="6E493180"/>
    <w:rsid w:val="6E541B46"/>
    <w:rsid w:val="6E924FE2"/>
    <w:rsid w:val="6EC553D5"/>
    <w:rsid w:val="6EDE4C77"/>
    <w:rsid w:val="6F021B69"/>
    <w:rsid w:val="6F074349"/>
    <w:rsid w:val="6F173F34"/>
    <w:rsid w:val="6F40256E"/>
    <w:rsid w:val="6F435E07"/>
    <w:rsid w:val="6F4B4A6F"/>
    <w:rsid w:val="6F550A04"/>
    <w:rsid w:val="6F6D70DC"/>
    <w:rsid w:val="6F941BA0"/>
    <w:rsid w:val="6FBA447B"/>
    <w:rsid w:val="6FC565D0"/>
    <w:rsid w:val="6FC844B0"/>
    <w:rsid w:val="6FC91D09"/>
    <w:rsid w:val="6FEA3F10"/>
    <w:rsid w:val="6FFB19DB"/>
    <w:rsid w:val="70027824"/>
    <w:rsid w:val="70430C64"/>
    <w:rsid w:val="705B6F34"/>
    <w:rsid w:val="706202C3"/>
    <w:rsid w:val="7080500F"/>
    <w:rsid w:val="708A562C"/>
    <w:rsid w:val="70935D5A"/>
    <w:rsid w:val="70BE54E1"/>
    <w:rsid w:val="70CE3CD6"/>
    <w:rsid w:val="71050DFC"/>
    <w:rsid w:val="71620FA6"/>
    <w:rsid w:val="7176061E"/>
    <w:rsid w:val="717D0F53"/>
    <w:rsid w:val="719B548F"/>
    <w:rsid w:val="71B23F18"/>
    <w:rsid w:val="71D821BD"/>
    <w:rsid w:val="71F03F73"/>
    <w:rsid w:val="71FC5ABC"/>
    <w:rsid w:val="72247F25"/>
    <w:rsid w:val="72254698"/>
    <w:rsid w:val="723F383C"/>
    <w:rsid w:val="725620A9"/>
    <w:rsid w:val="72C07522"/>
    <w:rsid w:val="72F40F30"/>
    <w:rsid w:val="731A6169"/>
    <w:rsid w:val="73223DF1"/>
    <w:rsid w:val="73627701"/>
    <w:rsid w:val="736631E1"/>
    <w:rsid w:val="73871026"/>
    <w:rsid w:val="738D0B84"/>
    <w:rsid w:val="73BE43FE"/>
    <w:rsid w:val="73EB5D7A"/>
    <w:rsid w:val="7417322E"/>
    <w:rsid w:val="74232A0F"/>
    <w:rsid w:val="74302ADE"/>
    <w:rsid w:val="74341F76"/>
    <w:rsid w:val="744F6468"/>
    <w:rsid w:val="74570B2B"/>
    <w:rsid w:val="74633D61"/>
    <w:rsid w:val="746F110A"/>
    <w:rsid w:val="74981804"/>
    <w:rsid w:val="74A62A32"/>
    <w:rsid w:val="74DA01CE"/>
    <w:rsid w:val="74E11CE7"/>
    <w:rsid w:val="74FA6D1C"/>
    <w:rsid w:val="750651B5"/>
    <w:rsid w:val="75234062"/>
    <w:rsid w:val="75285984"/>
    <w:rsid w:val="753D1077"/>
    <w:rsid w:val="756D24DF"/>
    <w:rsid w:val="757A24EA"/>
    <w:rsid w:val="757A4300"/>
    <w:rsid w:val="758510F8"/>
    <w:rsid w:val="75A156A2"/>
    <w:rsid w:val="75A60898"/>
    <w:rsid w:val="75A72A78"/>
    <w:rsid w:val="75E53387"/>
    <w:rsid w:val="760B2BCC"/>
    <w:rsid w:val="7629425B"/>
    <w:rsid w:val="764C61F3"/>
    <w:rsid w:val="76976535"/>
    <w:rsid w:val="769B0408"/>
    <w:rsid w:val="76C801CA"/>
    <w:rsid w:val="76FA1628"/>
    <w:rsid w:val="76FC7E62"/>
    <w:rsid w:val="77040325"/>
    <w:rsid w:val="77052BDB"/>
    <w:rsid w:val="772207AC"/>
    <w:rsid w:val="77406F1F"/>
    <w:rsid w:val="77451844"/>
    <w:rsid w:val="77571B2C"/>
    <w:rsid w:val="775920E8"/>
    <w:rsid w:val="776E6AB1"/>
    <w:rsid w:val="77813724"/>
    <w:rsid w:val="77995F0D"/>
    <w:rsid w:val="77B8461E"/>
    <w:rsid w:val="77F94EE5"/>
    <w:rsid w:val="78346968"/>
    <w:rsid w:val="783708A9"/>
    <w:rsid w:val="783E33C3"/>
    <w:rsid w:val="784F1296"/>
    <w:rsid w:val="785B5D23"/>
    <w:rsid w:val="78655389"/>
    <w:rsid w:val="78834278"/>
    <w:rsid w:val="789C1423"/>
    <w:rsid w:val="78AF7413"/>
    <w:rsid w:val="78C1101D"/>
    <w:rsid w:val="78D665EA"/>
    <w:rsid w:val="78E05ACF"/>
    <w:rsid w:val="78E9231B"/>
    <w:rsid w:val="78F97AF7"/>
    <w:rsid w:val="79183C14"/>
    <w:rsid w:val="791A21AC"/>
    <w:rsid w:val="791F2A74"/>
    <w:rsid w:val="792F31F7"/>
    <w:rsid w:val="79647BD1"/>
    <w:rsid w:val="796D2EB7"/>
    <w:rsid w:val="797A12D2"/>
    <w:rsid w:val="79821501"/>
    <w:rsid w:val="799A6E40"/>
    <w:rsid w:val="79A04E76"/>
    <w:rsid w:val="79A64908"/>
    <w:rsid w:val="79AE30B7"/>
    <w:rsid w:val="79BD656A"/>
    <w:rsid w:val="79D17055"/>
    <w:rsid w:val="79E93CD4"/>
    <w:rsid w:val="7A200FC6"/>
    <w:rsid w:val="7A262361"/>
    <w:rsid w:val="7A454EDD"/>
    <w:rsid w:val="7A67422A"/>
    <w:rsid w:val="7A821A65"/>
    <w:rsid w:val="7A9B02A0"/>
    <w:rsid w:val="7ABC4A73"/>
    <w:rsid w:val="7AF04140"/>
    <w:rsid w:val="7AFE4F2E"/>
    <w:rsid w:val="7B2E71D8"/>
    <w:rsid w:val="7B694BFB"/>
    <w:rsid w:val="7B6B203B"/>
    <w:rsid w:val="7BA83FCD"/>
    <w:rsid w:val="7BD15117"/>
    <w:rsid w:val="7C3946D8"/>
    <w:rsid w:val="7C41114A"/>
    <w:rsid w:val="7C4A59EF"/>
    <w:rsid w:val="7C5A528B"/>
    <w:rsid w:val="7C7959DF"/>
    <w:rsid w:val="7CA273D9"/>
    <w:rsid w:val="7CCE5944"/>
    <w:rsid w:val="7CD12A58"/>
    <w:rsid w:val="7CD93DFA"/>
    <w:rsid w:val="7D00503A"/>
    <w:rsid w:val="7D2E4828"/>
    <w:rsid w:val="7D893333"/>
    <w:rsid w:val="7DB130B8"/>
    <w:rsid w:val="7DBC38D5"/>
    <w:rsid w:val="7DD32800"/>
    <w:rsid w:val="7DDE2123"/>
    <w:rsid w:val="7DE37724"/>
    <w:rsid w:val="7DEE0D61"/>
    <w:rsid w:val="7E38629C"/>
    <w:rsid w:val="7E5A3003"/>
    <w:rsid w:val="7E6624AA"/>
    <w:rsid w:val="7E73447D"/>
    <w:rsid w:val="7E744576"/>
    <w:rsid w:val="7E926217"/>
    <w:rsid w:val="7E9703CF"/>
    <w:rsid w:val="7EE550A7"/>
    <w:rsid w:val="7F037115"/>
    <w:rsid w:val="7F093C4D"/>
    <w:rsid w:val="7F181840"/>
    <w:rsid w:val="7F275199"/>
    <w:rsid w:val="7F2D5F40"/>
    <w:rsid w:val="7F435763"/>
    <w:rsid w:val="7F92697D"/>
    <w:rsid w:val="7F942DB0"/>
    <w:rsid w:val="7FA82C2F"/>
    <w:rsid w:val="7FB73304"/>
    <w:rsid w:val="7FFE168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5"/>
    <w:autoRedefine/>
    <w:qFormat/>
    <w:uiPriority w:val="0"/>
    <w:pPr>
      <w:keepNext/>
      <w:keepLines/>
      <w:spacing w:before="340" w:beforeLines="0" w:after="330" w:afterLines="0" w:line="578" w:lineRule="auto"/>
      <w:outlineLvl w:val="0"/>
    </w:pPr>
    <w:rPr>
      <w:rFonts w:eastAsia="Century Gothic"/>
      <w:b/>
      <w:bCs/>
      <w:kern w:val="44"/>
      <w:sz w:val="44"/>
      <w:szCs w:val="44"/>
    </w:rPr>
  </w:style>
  <w:style w:type="paragraph" w:styleId="5">
    <w:name w:val="heading 2"/>
    <w:basedOn w:val="1"/>
    <w:next w:val="1"/>
    <w:autoRedefine/>
    <w:qFormat/>
    <w:uiPriority w:val="0"/>
    <w:pPr>
      <w:keepNext/>
      <w:keepLines/>
      <w:adjustRightInd w:val="0"/>
      <w:snapToGrid w:val="0"/>
      <w:spacing w:beforeLines="0" w:afterLines="0" w:line="336" w:lineRule="auto"/>
      <w:jc w:val="left"/>
      <w:outlineLvl w:val="1"/>
    </w:pPr>
    <w:rPr>
      <w:rFonts w:ascii="黑体" w:hAnsi="黑体" w:eastAsia="宋体"/>
      <w:b/>
      <w:bCs/>
      <w:sz w:val="32"/>
      <w:szCs w:val="32"/>
    </w:rPr>
  </w:style>
  <w:style w:type="paragraph" w:styleId="6">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7">
    <w:name w:val="heading 4"/>
    <w:basedOn w:val="1"/>
    <w:next w:val="1"/>
    <w:autoRedefine/>
    <w:qFormat/>
    <w:uiPriority w:val="0"/>
    <w:pPr>
      <w:keepNext/>
      <w:widowControl/>
      <w:jc w:val="center"/>
      <w:outlineLvl w:val="3"/>
    </w:pPr>
    <w:rPr>
      <w:rFonts w:ascii="MS Sans Serif" w:hAnsi="仿宋_GB2312" w:eastAsia="MS Sans Serif"/>
      <w:snapToGrid w:val="0"/>
      <w:kern w:val="0"/>
      <w:sz w:val="24"/>
      <w:szCs w:val="20"/>
    </w:rPr>
  </w:style>
  <w:style w:type="paragraph" w:styleId="8">
    <w:name w:val="heading 5"/>
    <w:basedOn w:val="1"/>
    <w:next w:val="1"/>
    <w:autoRedefine/>
    <w:qFormat/>
    <w:uiPriority w:val="0"/>
    <w:pPr>
      <w:widowControl/>
      <w:spacing w:before="240" w:beforeLines="0" w:after="60" w:afterLines="0"/>
      <w:jc w:val="left"/>
      <w:outlineLvl w:val="4"/>
    </w:pPr>
    <w:rPr>
      <w:rFonts w:ascii="MS Sans Serif" w:eastAsia="MS Sans Serif"/>
      <w:kern w:val="0"/>
      <w:sz w:val="24"/>
      <w:szCs w:val="20"/>
    </w:rPr>
  </w:style>
  <w:style w:type="paragraph" w:styleId="9">
    <w:name w:val="heading 6"/>
    <w:basedOn w:val="1"/>
    <w:next w:val="10"/>
    <w:autoRedefine/>
    <w:qFormat/>
    <w:uiPriority w:val="0"/>
    <w:pPr>
      <w:keepNext/>
      <w:keepLines/>
      <w:spacing w:before="240" w:beforeLines="0" w:after="64" w:afterLines="0" w:line="320" w:lineRule="auto"/>
      <w:outlineLvl w:val="5"/>
    </w:pPr>
    <w:rPr>
      <w:rFonts w:ascii="黑体" w:hAnsi="黑体" w:eastAsia="楷体"/>
      <w:b/>
      <w:sz w:val="24"/>
      <w:szCs w:val="20"/>
    </w:rPr>
  </w:style>
  <w:style w:type="paragraph" w:styleId="11">
    <w:name w:val="heading 7"/>
    <w:basedOn w:val="1"/>
    <w:next w:val="10"/>
    <w:autoRedefine/>
    <w:qFormat/>
    <w:uiPriority w:val="0"/>
    <w:pPr>
      <w:keepNext/>
      <w:keepLines/>
      <w:spacing w:before="240" w:beforeLines="0" w:after="64" w:afterLines="0" w:line="320" w:lineRule="auto"/>
      <w:outlineLvl w:val="6"/>
    </w:pPr>
    <w:rPr>
      <w:b/>
      <w:sz w:val="24"/>
      <w:szCs w:val="20"/>
    </w:rPr>
  </w:style>
  <w:style w:type="paragraph" w:styleId="12">
    <w:name w:val="heading 8"/>
    <w:basedOn w:val="1"/>
    <w:next w:val="10"/>
    <w:autoRedefine/>
    <w:qFormat/>
    <w:uiPriority w:val="0"/>
    <w:pPr>
      <w:keepNext/>
      <w:keepLines/>
      <w:spacing w:before="240" w:beforeLines="0" w:after="64" w:afterLines="0" w:line="320" w:lineRule="auto"/>
      <w:outlineLvl w:val="7"/>
    </w:pPr>
    <w:rPr>
      <w:rFonts w:ascii="黑体" w:hAnsi="黑体" w:eastAsia="楷体"/>
      <w:sz w:val="24"/>
      <w:szCs w:val="20"/>
    </w:rPr>
  </w:style>
  <w:style w:type="paragraph" w:styleId="13">
    <w:name w:val="heading 9"/>
    <w:basedOn w:val="1"/>
    <w:next w:val="10"/>
    <w:autoRedefine/>
    <w:qFormat/>
    <w:uiPriority w:val="0"/>
    <w:pPr>
      <w:keepNext/>
      <w:keepLines/>
      <w:spacing w:before="240" w:beforeLines="0" w:after="64" w:afterLines="0" w:line="320" w:lineRule="auto"/>
      <w:outlineLvl w:val="8"/>
    </w:pPr>
    <w:rPr>
      <w:rFonts w:ascii="黑体" w:hAnsi="黑体" w:eastAsia="楷体"/>
      <w:szCs w:val="20"/>
    </w:rPr>
  </w:style>
  <w:style w:type="character" w:default="1" w:styleId="47">
    <w:name w:val="Default Paragraph Font"/>
    <w:autoRedefine/>
    <w:semiHidden/>
    <w:qFormat/>
    <w:uiPriority w:val="0"/>
  </w:style>
  <w:style w:type="table" w:default="1" w:styleId="45">
    <w:name w:val="Normal Table"/>
    <w:autoRedefine/>
    <w:semiHidden/>
    <w:qFormat/>
    <w:uiPriority w:val="0"/>
    <w:tblPr>
      <w:tblCellMar>
        <w:top w:w="0" w:type="dxa"/>
        <w:left w:w="108" w:type="dxa"/>
        <w:bottom w:w="0" w:type="dxa"/>
        <w:right w:w="108" w:type="dxa"/>
      </w:tblCellMar>
    </w:tblPr>
  </w:style>
  <w:style w:type="paragraph" w:customStyle="1" w:styleId="2">
    <w:name w:val="Default"/>
    <w:next w:val="3"/>
    <w:autoRedefine/>
    <w:qFormat/>
    <w:uiPriority w:val="0"/>
    <w:pPr>
      <w:widowControl w:val="0"/>
      <w:autoSpaceDE w:val="0"/>
      <w:autoSpaceDN w:val="0"/>
      <w:adjustRightInd w:val="0"/>
    </w:pPr>
    <w:rPr>
      <w:rFonts w:ascii="楷体" w:hAnsi="Times New Roman" w:eastAsia="楷体" w:cs="Times New Roman"/>
      <w:color w:val="000000"/>
      <w:sz w:val="24"/>
      <w:szCs w:val="24"/>
      <w:lang w:val="en-US" w:eastAsia="zh-CN" w:bidi="ar-SA"/>
    </w:rPr>
  </w:style>
  <w:style w:type="paragraph" w:customStyle="1" w:styleId="3">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styleId="10">
    <w:name w:val="Normal Indent"/>
    <w:basedOn w:val="1"/>
    <w:link w:val="54"/>
    <w:autoRedefine/>
    <w:qFormat/>
    <w:uiPriority w:val="0"/>
    <w:pPr>
      <w:widowControl/>
      <w:ind w:firstLine="420"/>
      <w:jc w:val="left"/>
    </w:pPr>
    <w:rPr>
      <w:rFonts w:ascii="Arial" w:hAnsi="Arial" w:cs="Arial"/>
      <w:kern w:val="0"/>
      <w:sz w:val="20"/>
      <w:szCs w:val="20"/>
    </w:rPr>
  </w:style>
  <w:style w:type="paragraph" w:styleId="14">
    <w:name w:val="toc 7"/>
    <w:basedOn w:val="1"/>
    <w:next w:val="1"/>
    <w:autoRedefine/>
    <w:semiHidden/>
    <w:qFormat/>
    <w:uiPriority w:val="0"/>
    <w:pPr>
      <w:ind w:left="1260"/>
      <w:jc w:val="left"/>
    </w:pPr>
    <w:rPr>
      <w:sz w:val="18"/>
      <w:szCs w:val="18"/>
    </w:rPr>
  </w:style>
  <w:style w:type="paragraph" w:styleId="15">
    <w:name w:val="List Number"/>
    <w:basedOn w:val="1"/>
    <w:autoRedefine/>
    <w:qFormat/>
    <w:uiPriority w:val="0"/>
    <w:pPr>
      <w:widowControl/>
      <w:tabs>
        <w:tab w:val="left" w:pos="420"/>
        <w:tab w:val="left" w:pos="454"/>
      </w:tabs>
      <w:spacing w:after="156" w:afterLines="50"/>
      <w:ind w:left="454" w:hanging="284"/>
      <w:jc w:val="left"/>
    </w:pPr>
    <w:rPr>
      <w:kern w:val="0"/>
      <w:sz w:val="24"/>
      <w:szCs w:val="20"/>
    </w:rPr>
  </w:style>
  <w:style w:type="paragraph" w:styleId="16">
    <w:name w:val="caption"/>
    <w:basedOn w:val="1"/>
    <w:next w:val="1"/>
    <w:autoRedefine/>
    <w:qFormat/>
    <w:uiPriority w:val="0"/>
    <w:rPr>
      <w:rFonts w:ascii="黑体" w:hAnsi="黑体" w:eastAsia="楷体" w:cs="黑体"/>
      <w:sz w:val="20"/>
      <w:szCs w:val="20"/>
    </w:rPr>
  </w:style>
  <w:style w:type="paragraph" w:styleId="17">
    <w:name w:val="Document Map"/>
    <w:basedOn w:val="1"/>
    <w:autoRedefine/>
    <w:semiHidden/>
    <w:qFormat/>
    <w:uiPriority w:val="0"/>
    <w:pPr>
      <w:shd w:val="clear" w:color="auto" w:fill="000080"/>
    </w:pPr>
  </w:style>
  <w:style w:type="paragraph" w:styleId="18">
    <w:name w:val="annotation text"/>
    <w:basedOn w:val="1"/>
    <w:autoRedefine/>
    <w:semiHidden/>
    <w:qFormat/>
    <w:uiPriority w:val="0"/>
    <w:pPr>
      <w:jc w:val="left"/>
    </w:pPr>
  </w:style>
  <w:style w:type="paragraph" w:styleId="19">
    <w:name w:val="Body Text"/>
    <w:basedOn w:val="1"/>
    <w:next w:val="1"/>
    <w:autoRedefine/>
    <w:qFormat/>
    <w:uiPriority w:val="0"/>
    <w:pPr>
      <w:spacing w:after="120" w:afterLines="0"/>
    </w:pPr>
  </w:style>
  <w:style w:type="paragraph" w:styleId="20">
    <w:name w:val="Body Text Indent"/>
    <w:basedOn w:val="1"/>
    <w:next w:val="1"/>
    <w:link w:val="56"/>
    <w:autoRedefine/>
    <w:qFormat/>
    <w:uiPriority w:val="0"/>
    <w:pPr>
      <w:adjustRightInd w:val="0"/>
      <w:spacing w:line="360" w:lineRule="auto"/>
      <w:ind w:firstLine="490"/>
      <w:jc w:val="left"/>
    </w:pPr>
    <w:rPr>
      <w:rFonts w:ascii="Century Gothic" w:hAnsi="Century Gothic" w:eastAsia="Century Gothic"/>
      <w:sz w:val="24"/>
      <w:szCs w:val="20"/>
    </w:rPr>
  </w:style>
  <w:style w:type="paragraph" w:styleId="21">
    <w:name w:val="List Number 3"/>
    <w:basedOn w:val="1"/>
    <w:autoRedefine/>
    <w:qFormat/>
    <w:uiPriority w:val="0"/>
    <w:pPr>
      <w:widowControl/>
      <w:tabs>
        <w:tab w:val="left" w:pos="482"/>
        <w:tab w:val="left" w:pos="1157"/>
      </w:tabs>
      <w:spacing w:after="156" w:afterLines="50"/>
      <w:ind w:left="482" w:hanging="340"/>
      <w:jc w:val="left"/>
    </w:pPr>
    <w:rPr>
      <w:kern w:val="0"/>
      <w:sz w:val="24"/>
      <w:szCs w:val="20"/>
    </w:rPr>
  </w:style>
  <w:style w:type="paragraph" w:styleId="22">
    <w:name w:val="Block Text"/>
    <w:basedOn w:val="1"/>
    <w:autoRedefine/>
    <w:qFormat/>
    <w:uiPriority w:val="0"/>
    <w:pPr>
      <w:adjustRightInd w:val="0"/>
      <w:snapToGrid w:val="0"/>
      <w:spacing w:line="300" w:lineRule="auto"/>
      <w:ind w:left="958" w:rightChars="-120"/>
      <w:jc w:val="left"/>
    </w:pPr>
    <w:rPr>
      <w:rFonts w:hint="eastAsia" w:ascii="Century Gothic" w:hAnsi="Century Gothic"/>
      <w:sz w:val="28"/>
      <w:szCs w:val="20"/>
    </w:rPr>
  </w:style>
  <w:style w:type="paragraph" w:styleId="23">
    <w:name w:val="toc 5"/>
    <w:basedOn w:val="1"/>
    <w:next w:val="1"/>
    <w:autoRedefine/>
    <w:semiHidden/>
    <w:qFormat/>
    <w:uiPriority w:val="0"/>
    <w:pPr>
      <w:ind w:left="840"/>
      <w:jc w:val="left"/>
    </w:pPr>
    <w:rPr>
      <w:sz w:val="18"/>
      <w:szCs w:val="18"/>
    </w:rPr>
  </w:style>
  <w:style w:type="paragraph" w:styleId="24">
    <w:name w:val="toc 3"/>
    <w:basedOn w:val="1"/>
    <w:next w:val="1"/>
    <w:autoRedefine/>
    <w:semiHidden/>
    <w:qFormat/>
    <w:uiPriority w:val="0"/>
    <w:pPr>
      <w:ind w:left="420"/>
      <w:jc w:val="left"/>
    </w:pPr>
    <w:rPr>
      <w:i/>
      <w:iCs/>
      <w:sz w:val="20"/>
      <w:szCs w:val="20"/>
    </w:rPr>
  </w:style>
  <w:style w:type="paragraph" w:styleId="25">
    <w:name w:val="Plain Text"/>
    <w:basedOn w:val="1"/>
    <w:link w:val="57"/>
    <w:autoRedefine/>
    <w:qFormat/>
    <w:uiPriority w:val="0"/>
    <w:rPr>
      <w:rFonts w:ascii="Century Gothic" w:hAnsi="楷体_GB2312" w:eastAsia="Century Gothic" w:cs="楷体_GB2312"/>
      <w:szCs w:val="21"/>
    </w:rPr>
  </w:style>
  <w:style w:type="paragraph" w:styleId="26">
    <w:name w:val="toc 8"/>
    <w:basedOn w:val="1"/>
    <w:next w:val="1"/>
    <w:autoRedefine/>
    <w:semiHidden/>
    <w:qFormat/>
    <w:uiPriority w:val="0"/>
    <w:pPr>
      <w:ind w:left="1470"/>
      <w:jc w:val="left"/>
    </w:pPr>
    <w:rPr>
      <w:sz w:val="18"/>
      <w:szCs w:val="18"/>
    </w:rPr>
  </w:style>
  <w:style w:type="paragraph" w:styleId="27">
    <w:name w:val="Date"/>
    <w:basedOn w:val="1"/>
    <w:next w:val="1"/>
    <w:autoRedefine/>
    <w:qFormat/>
    <w:uiPriority w:val="0"/>
    <w:pPr>
      <w:ind w:left="100" w:leftChars="2500"/>
    </w:pPr>
  </w:style>
  <w:style w:type="paragraph" w:styleId="28">
    <w:name w:val="Body Text Indent 2"/>
    <w:basedOn w:val="1"/>
    <w:autoRedefine/>
    <w:qFormat/>
    <w:uiPriority w:val="0"/>
    <w:pPr>
      <w:adjustRightInd w:val="0"/>
      <w:spacing w:line="360" w:lineRule="auto"/>
      <w:ind w:firstLine="504" w:firstLineChars="210"/>
      <w:jc w:val="left"/>
    </w:pPr>
    <w:rPr>
      <w:rFonts w:hint="eastAsia" w:ascii="Century Gothic" w:hAnsi="Century Gothic"/>
      <w:sz w:val="24"/>
      <w:szCs w:val="20"/>
    </w:rPr>
  </w:style>
  <w:style w:type="paragraph" w:styleId="29">
    <w:name w:val="Balloon Text"/>
    <w:basedOn w:val="1"/>
    <w:autoRedefine/>
    <w:semiHidden/>
    <w:qFormat/>
    <w:uiPriority w:val="0"/>
    <w:rPr>
      <w:sz w:val="18"/>
      <w:szCs w:val="18"/>
    </w:rPr>
  </w:style>
  <w:style w:type="paragraph" w:styleId="30">
    <w:name w:val="footer"/>
    <w:basedOn w:val="1"/>
    <w:link w:val="58"/>
    <w:autoRedefine/>
    <w:qFormat/>
    <w:uiPriority w:val="0"/>
    <w:pPr>
      <w:tabs>
        <w:tab w:val="center" w:pos="4153"/>
        <w:tab w:val="right" w:pos="8306"/>
      </w:tabs>
      <w:adjustRightInd w:val="0"/>
      <w:jc w:val="left"/>
    </w:pPr>
    <w:rPr>
      <w:rFonts w:eastAsia="Century Gothic"/>
      <w:sz w:val="18"/>
      <w:szCs w:val="20"/>
    </w:rPr>
  </w:style>
  <w:style w:type="paragraph" w:styleId="31">
    <w:name w:val="header"/>
    <w:basedOn w:val="1"/>
    <w:autoRedefine/>
    <w:qFormat/>
    <w:uiPriority w:val="0"/>
    <w:pPr>
      <w:pBdr>
        <w:bottom w:val="single" w:color="auto" w:sz="6" w:space="1"/>
      </w:pBdr>
      <w:tabs>
        <w:tab w:val="center" w:pos="4153"/>
        <w:tab w:val="right" w:pos="8306"/>
      </w:tabs>
      <w:adjustRightInd w:val="0"/>
      <w:jc w:val="center"/>
    </w:pPr>
    <w:rPr>
      <w:sz w:val="18"/>
      <w:szCs w:val="20"/>
    </w:rPr>
  </w:style>
  <w:style w:type="paragraph" w:styleId="32">
    <w:name w:val="toc 1"/>
    <w:basedOn w:val="1"/>
    <w:next w:val="1"/>
    <w:autoRedefine/>
    <w:qFormat/>
    <w:uiPriority w:val="39"/>
    <w:pPr>
      <w:tabs>
        <w:tab w:val="right" w:leader="dot" w:pos="8720"/>
      </w:tabs>
      <w:spacing w:before="120" w:beforeLines="0" w:after="120" w:afterLines="0"/>
      <w:jc w:val="left"/>
    </w:pPr>
    <w:rPr>
      <w:rFonts w:ascii="Century Gothic" w:hAnsi="Century Gothic"/>
      <w:bCs/>
      <w:caps/>
      <w:sz w:val="20"/>
      <w:szCs w:val="20"/>
    </w:rPr>
  </w:style>
  <w:style w:type="paragraph" w:styleId="33">
    <w:name w:val="toc 4"/>
    <w:basedOn w:val="1"/>
    <w:next w:val="1"/>
    <w:autoRedefine/>
    <w:semiHidden/>
    <w:qFormat/>
    <w:uiPriority w:val="0"/>
    <w:pPr>
      <w:ind w:left="630"/>
      <w:jc w:val="left"/>
    </w:pPr>
    <w:rPr>
      <w:sz w:val="18"/>
      <w:szCs w:val="18"/>
    </w:rPr>
  </w:style>
  <w:style w:type="paragraph" w:styleId="34">
    <w:name w:val="toc 6"/>
    <w:basedOn w:val="1"/>
    <w:next w:val="1"/>
    <w:autoRedefine/>
    <w:semiHidden/>
    <w:qFormat/>
    <w:uiPriority w:val="0"/>
    <w:pPr>
      <w:ind w:left="1050"/>
      <w:jc w:val="left"/>
    </w:pPr>
    <w:rPr>
      <w:sz w:val="18"/>
      <w:szCs w:val="18"/>
    </w:rPr>
  </w:style>
  <w:style w:type="paragraph" w:styleId="35">
    <w:name w:val="List 5"/>
    <w:basedOn w:val="1"/>
    <w:autoRedefine/>
    <w:qFormat/>
    <w:uiPriority w:val="0"/>
    <w:pPr>
      <w:ind w:left="100" w:leftChars="800" w:hanging="200" w:hangingChars="200"/>
    </w:pPr>
    <w:rPr>
      <w:szCs w:val="20"/>
    </w:rPr>
  </w:style>
  <w:style w:type="paragraph" w:styleId="36">
    <w:name w:val="Body Text Indent 3"/>
    <w:basedOn w:val="1"/>
    <w:autoRedefine/>
    <w:qFormat/>
    <w:uiPriority w:val="0"/>
    <w:pPr>
      <w:spacing w:after="120" w:afterLines="0"/>
      <w:ind w:left="420" w:leftChars="200"/>
    </w:pPr>
    <w:rPr>
      <w:sz w:val="16"/>
      <w:szCs w:val="16"/>
    </w:rPr>
  </w:style>
  <w:style w:type="paragraph" w:styleId="37">
    <w:name w:val="toc 2"/>
    <w:basedOn w:val="1"/>
    <w:next w:val="1"/>
    <w:autoRedefine/>
    <w:qFormat/>
    <w:uiPriority w:val="39"/>
    <w:pPr>
      <w:tabs>
        <w:tab w:val="right" w:leader="dot" w:pos="8720"/>
      </w:tabs>
      <w:adjustRightInd w:val="0"/>
      <w:snapToGrid w:val="0"/>
      <w:jc w:val="left"/>
    </w:pPr>
    <w:rPr>
      <w:smallCaps/>
      <w:sz w:val="20"/>
      <w:szCs w:val="20"/>
    </w:rPr>
  </w:style>
  <w:style w:type="paragraph" w:styleId="38">
    <w:name w:val="toc 9"/>
    <w:basedOn w:val="1"/>
    <w:next w:val="1"/>
    <w:autoRedefine/>
    <w:semiHidden/>
    <w:qFormat/>
    <w:uiPriority w:val="0"/>
    <w:pPr>
      <w:ind w:left="1680"/>
      <w:jc w:val="left"/>
    </w:pPr>
    <w:rPr>
      <w:sz w:val="18"/>
      <w:szCs w:val="18"/>
    </w:rPr>
  </w:style>
  <w:style w:type="paragraph" w:styleId="39">
    <w:name w:val="Body Text 2"/>
    <w:basedOn w:val="1"/>
    <w:autoRedefine/>
    <w:qFormat/>
    <w:uiPriority w:val="0"/>
    <w:rPr>
      <w:sz w:val="24"/>
    </w:rPr>
  </w:style>
  <w:style w:type="paragraph" w:styleId="40">
    <w:name w:val="Normal (Web)"/>
    <w:basedOn w:val="1"/>
    <w:autoRedefine/>
    <w:qFormat/>
    <w:uiPriority w:val="0"/>
    <w:pPr>
      <w:widowControl/>
      <w:shd w:val="clear" w:color="auto" w:fill="FFFFFF"/>
      <w:spacing w:before="100" w:beforeLines="0" w:beforeAutospacing="1" w:after="100" w:afterLines="0" w:afterAutospacing="1"/>
      <w:jc w:val="left"/>
    </w:pPr>
    <w:rPr>
      <w:rFonts w:ascii="Century Gothic" w:hAnsi="Century Gothic"/>
      <w:kern w:val="0"/>
      <w:sz w:val="18"/>
      <w:szCs w:val="18"/>
    </w:rPr>
  </w:style>
  <w:style w:type="paragraph" w:styleId="41">
    <w:name w:val="Title"/>
    <w:basedOn w:val="1"/>
    <w:autoRedefine/>
    <w:qFormat/>
    <w:uiPriority w:val="0"/>
    <w:pPr>
      <w:tabs>
        <w:tab w:val="left" w:pos="1200"/>
      </w:tabs>
      <w:spacing w:after="624" w:afterLines="200"/>
      <w:ind w:left="1440" w:hanging="720"/>
      <w:jc w:val="center"/>
    </w:pPr>
    <w:rPr>
      <w:b/>
      <w:bCs/>
      <w:spacing w:val="60"/>
      <w:sz w:val="32"/>
    </w:rPr>
  </w:style>
  <w:style w:type="paragraph" w:styleId="42">
    <w:name w:val="annotation subject"/>
    <w:basedOn w:val="18"/>
    <w:next w:val="18"/>
    <w:autoRedefine/>
    <w:semiHidden/>
    <w:qFormat/>
    <w:uiPriority w:val="0"/>
    <w:rPr>
      <w:b/>
      <w:bCs/>
    </w:rPr>
  </w:style>
  <w:style w:type="paragraph" w:styleId="43">
    <w:name w:val="Body Text First Indent"/>
    <w:basedOn w:val="19"/>
    <w:autoRedefine/>
    <w:qFormat/>
    <w:uiPriority w:val="0"/>
    <w:pPr>
      <w:ind w:firstLine="420"/>
    </w:pPr>
  </w:style>
  <w:style w:type="paragraph" w:styleId="44">
    <w:name w:val="Body Text First Indent 2"/>
    <w:basedOn w:val="20"/>
    <w:next w:val="1"/>
    <w:autoRedefine/>
    <w:unhideWhenUsed/>
    <w:qFormat/>
    <w:uiPriority w:val="99"/>
    <w:pPr>
      <w:ind w:firstLine="420"/>
    </w:pPr>
  </w:style>
  <w:style w:type="table" w:styleId="46">
    <w:name w:val="Table Grid"/>
    <w:basedOn w:val="45"/>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autoRedefine/>
    <w:qFormat/>
    <w:uiPriority w:val="0"/>
    <w:rPr>
      <w:b/>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Hyperlink"/>
    <w:autoRedefine/>
    <w:qFormat/>
    <w:uiPriority w:val="0"/>
    <w:rPr>
      <w:color w:val="0000FF"/>
      <w:u w:val="single"/>
    </w:rPr>
  </w:style>
  <w:style w:type="character" w:styleId="52">
    <w:name w:val="annotation reference"/>
    <w:autoRedefine/>
    <w:semiHidden/>
    <w:qFormat/>
    <w:uiPriority w:val="0"/>
    <w:rPr>
      <w:sz w:val="21"/>
      <w:szCs w:val="21"/>
    </w:rPr>
  </w:style>
  <w:style w:type="paragraph" w:styleId="53">
    <w:name w:val="List Paragraph"/>
    <w:basedOn w:val="1"/>
    <w:autoRedefine/>
    <w:qFormat/>
    <w:uiPriority w:val="0"/>
    <w:pPr>
      <w:ind w:firstLine="420" w:firstLineChars="200"/>
    </w:pPr>
    <w:rPr>
      <w:rFonts w:ascii="Times New Roman" w:hAnsi="Times New Roman" w:cs="Times New Roman"/>
    </w:rPr>
  </w:style>
  <w:style w:type="character" w:customStyle="1" w:styleId="54">
    <w:name w:val="正文缩进 字符"/>
    <w:link w:val="10"/>
    <w:autoRedefine/>
    <w:qFormat/>
    <w:uiPriority w:val="0"/>
    <w:rPr>
      <w:rFonts w:ascii="Arial" w:hAnsi="Arial" w:eastAsia="宋体" w:cs="Arial"/>
      <w:lang w:val="en-US" w:eastAsia="zh-CN" w:bidi="ar-SA"/>
    </w:rPr>
  </w:style>
  <w:style w:type="character" w:customStyle="1" w:styleId="55">
    <w:name w:val="标题 1 字符"/>
    <w:link w:val="4"/>
    <w:autoRedefine/>
    <w:qFormat/>
    <w:uiPriority w:val="0"/>
    <w:rPr>
      <w:rFonts w:eastAsia="Century Gothic"/>
      <w:b/>
      <w:bCs/>
      <w:kern w:val="44"/>
      <w:sz w:val="44"/>
      <w:szCs w:val="44"/>
      <w:lang w:val="en-US" w:eastAsia="zh-CN" w:bidi="ar-SA"/>
    </w:rPr>
  </w:style>
  <w:style w:type="character" w:customStyle="1" w:styleId="56">
    <w:name w:val="正文文本缩进 字符"/>
    <w:link w:val="20"/>
    <w:autoRedefine/>
    <w:semiHidden/>
    <w:qFormat/>
    <w:uiPriority w:val="0"/>
    <w:rPr>
      <w:rFonts w:ascii="Century Gothic" w:hAnsi="Century Gothic" w:eastAsia="Century Gothic"/>
      <w:kern w:val="2"/>
      <w:sz w:val="24"/>
      <w:lang w:val="en-US" w:eastAsia="zh-CN" w:bidi="ar-SA"/>
    </w:rPr>
  </w:style>
  <w:style w:type="character" w:customStyle="1" w:styleId="57">
    <w:name w:val="纯文本 字符"/>
    <w:link w:val="25"/>
    <w:autoRedefine/>
    <w:qFormat/>
    <w:uiPriority w:val="0"/>
    <w:rPr>
      <w:rFonts w:ascii="Century Gothic" w:hAnsi="楷体_GB2312" w:eastAsia="Century Gothic" w:cs="楷体_GB2312"/>
      <w:kern w:val="2"/>
      <w:sz w:val="21"/>
      <w:szCs w:val="21"/>
      <w:lang w:val="en-US" w:eastAsia="zh-CN" w:bidi="ar-SA"/>
    </w:rPr>
  </w:style>
  <w:style w:type="character" w:customStyle="1" w:styleId="58">
    <w:name w:val="页脚 字符"/>
    <w:link w:val="30"/>
    <w:autoRedefine/>
    <w:qFormat/>
    <w:uiPriority w:val="0"/>
    <w:rPr>
      <w:rFonts w:eastAsia="Century Gothic"/>
      <w:kern w:val="2"/>
      <w:sz w:val="18"/>
      <w:lang w:val="en-US" w:eastAsia="zh-CN" w:bidi="ar-SA"/>
    </w:rPr>
  </w:style>
  <w:style w:type="paragraph" w:customStyle="1" w:styleId="59">
    <w:name w:val="DAS正文"/>
    <w:basedOn w:val="1"/>
    <w:autoRedefine/>
    <w:qFormat/>
    <w:uiPriority w:val="0"/>
    <w:pPr>
      <w:spacing w:line="360" w:lineRule="auto"/>
      <w:ind w:right="181" w:firstLine="480" w:firstLineChars="200"/>
    </w:pPr>
    <w:rPr>
      <w:rFonts w:ascii="Verdana" w:hAnsi="Verdana"/>
      <w:sz w:val="24"/>
    </w:rPr>
  </w:style>
  <w:style w:type="character" w:customStyle="1" w:styleId="60">
    <w:name w:val="正文2 Char"/>
    <w:link w:val="61"/>
    <w:autoRedefine/>
    <w:qFormat/>
    <w:uiPriority w:val="0"/>
    <w:rPr>
      <w:rFonts w:eastAsia="宋体"/>
      <w:kern w:val="2"/>
      <w:sz w:val="24"/>
      <w:lang w:val="en-US" w:eastAsia="zh-CN" w:bidi="ar-SA"/>
    </w:rPr>
  </w:style>
  <w:style w:type="paragraph" w:customStyle="1" w:styleId="61">
    <w:name w:val="正文2"/>
    <w:basedOn w:val="1"/>
    <w:link w:val="60"/>
    <w:autoRedefine/>
    <w:qFormat/>
    <w:uiPriority w:val="0"/>
    <w:pPr>
      <w:spacing w:before="156" w:beforeLines="0" w:line="360" w:lineRule="auto"/>
      <w:ind w:firstLine="510" w:firstLineChars="200"/>
    </w:pPr>
    <w:rPr>
      <w:sz w:val="24"/>
      <w:szCs w:val="20"/>
    </w:rPr>
  </w:style>
  <w:style w:type="character" w:customStyle="1" w:styleId="62">
    <w:name w:val=" Char Char"/>
    <w:autoRedefine/>
    <w:qFormat/>
    <w:uiPriority w:val="0"/>
    <w:rPr>
      <w:rFonts w:ascii="Courier New" w:eastAsia="Courier New"/>
      <w:color w:val="FF0000"/>
      <w:kern w:val="2"/>
      <w:sz w:val="24"/>
      <w:szCs w:val="24"/>
      <w:u w:val="single"/>
      <w:lang w:val="en-US" w:eastAsia="zh-CN" w:bidi="ar-SA"/>
    </w:rPr>
  </w:style>
  <w:style w:type="character" w:customStyle="1" w:styleId="63">
    <w:name w:val="font01"/>
    <w:autoRedefine/>
    <w:qFormat/>
    <w:uiPriority w:val="0"/>
    <w:rPr>
      <w:rFonts w:hint="eastAsia" w:ascii="仿宋" w:hAnsi="仿宋" w:eastAsia="仿宋" w:cs="仿宋"/>
      <w:color w:val="000000"/>
      <w:sz w:val="24"/>
      <w:szCs w:val="24"/>
      <w:u w:val="none"/>
    </w:rPr>
  </w:style>
  <w:style w:type="character" w:customStyle="1" w:styleId="64">
    <w:name w:val="标准文本 Char"/>
    <w:link w:val="65"/>
    <w:autoRedefine/>
    <w:qFormat/>
    <w:uiPriority w:val="0"/>
    <w:rPr>
      <w:rFonts w:eastAsia="宋体" w:cs="宋体"/>
      <w:kern w:val="2"/>
      <w:sz w:val="24"/>
      <w:lang w:val="en-US" w:eastAsia="zh-CN" w:bidi="ar-SA"/>
    </w:rPr>
  </w:style>
  <w:style w:type="paragraph" w:customStyle="1" w:styleId="65">
    <w:name w:val="标准文本"/>
    <w:basedOn w:val="1"/>
    <w:link w:val="64"/>
    <w:autoRedefine/>
    <w:qFormat/>
    <w:uiPriority w:val="0"/>
    <w:pPr>
      <w:spacing w:line="360" w:lineRule="auto"/>
      <w:ind w:firstLine="480" w:firstLineChars="200"/>
    </w:pPr>
    <w:rPr>
      <w:rFonts w:cs="宋体"/>
      <w:sz w:val="24"/>
      <w:szCs w:val="20"/>
    </w:rPr>
  </w:style>
  <w:style w:type="character" w:customStyle="1" w:styleId="66">
    <w:name w:val="zbggtop11 style5"/>
    <w:autoRedefine/>
    <w:qFormat/>
    <w:uiPriority w:val="0"/>
  </w:style>
  <w:style w:type="character" w:customStyle="1" w:styleId="67">
    <w:name w:val="bulletintext1"/>
    <w:autoRedefine/>
    <w:qFormat/>
    <w:uiPriority w:val="0"/>
    <w:rPr>
      <w:color w:val="000000"/>
      <w:sz w:val="18"/>
    </w:rPr>
  </w:style>
  <w:style w:type="character" w:customStyle="1" w:styleId="68">
    <w:name w:val="tpc_content1"/>
    <w:autoRedefine/>
    <w:qFormat/>
    <w:uiPriority w:val="0"/>
    <w:rPr>
      <w:sz w:val="20"/>
      <w:szCs w:val="20"/>
    </w:rPr>
  </w:style>
  <w:style w:type="character" w:customStyle="1" w:styleId="69">
    <w:name w:val="NormalCharacter"/>
    <w:autoRedefine/>
    <w:semiHidden/>
    <w:qFormat/>
    <w:uiPriority w:val="0"/>
    <w:rPr>
      <w:snapToGrid w:val="0"/>
      <w:sz w:val="21"/>
      <w:lang w:val="en-US" w:eastAsia="zh-CN" w:bidi="ar-SA"/>
    </w:rPr>
  </w:style>
  <w:style w:type="character" w:customStyle="1" w:styleId="70">
    <w:name w:val="font11"/>
    <w:autoRedefine/>
    <w:qFormat/>
    <w:uiPriority w:val="0"/>
    <w:rPr>
      <w:rFonts w:ascii="Calibri" w:hAnsi="Calibri" w:cs="Calibri"/>
      <w:color w:val="000000"/>
      <w:sz w:val="24"/>
      <w:szCs w:val="24"/>
      <w:u w:val="none"/>
    </w:rPr>
  </w:style>
  <w:style w:type="character" w:customStyle="1" w:styleId="71">
    <w:name w:val=" Char Char21"/>
    <w:autoRedefine/>
    <w:qFormat/>
    <w:uiPriority w:val="0"/>
    <w:rPr>
      <w:rFonts w:eastAsia="Century Gothic"/>
      <w:b/>
      <w:bCs/>
      <w:kern w:val="44"/>
      <w:sz w:val="32"/>
      <w:szCs w:val="44"/>
      <w:lang w:val="en-US" w:eastAsia="zh-CN" w:bidi="ar-SA"/>
    </w:rPr>
  </w:style>
  <w:style w:type="character" w:customStyle="1" w:styleId="72">
    <w:name w:val="style1"/>
    <w:autoRedefine/>
    <w:qFormat/>
    <w:uiPriority w:val="0"/>
  </w:style>
  <w:style w:type="character" w:customStyle="1" w:styleId="73">
    <w:name w:val=" Char Char12"/>
    <w:autoRedefine/>
    <w:qFormat/>
    <w:uiPriority w:val="0"/>
    <w:rPr>
      <w:rFonts w:ascii="Century Gothic" w:hAnsi="楷体_GB2312" w:eastAsia="Century Gothic" w:cs="楷体_GB2312"/>
      <w:kern w:val="2"/>
      <w:sz w:val="21"/>
      <w:szCs w:val="21"/>
      <w:lang w:val="en-US" w:eastAsia="zh-CN" w:bidi="ar-SA"/>
    </w:rPr>
  </w:style>
  <w:style w:type="character" w:customStyle="1" w:styleId="74">
    <w:name w:val="font81"/>
    <w:basedOn w:val="47"/>
    <w:autoRedefine/>
    <w:qFormat/>
    <w:uiPriority w:val="0"/>
    <w:rPr>
      <w:rFonts w:hint="eastAsia" w:ascii="宋体" w:hAnsi="宋体" w:eastAsia="宋体" w:cs="宋体"/>
      <w:color w:val="000000"/>
      <w:sz w:val="24"/>
      <w:szCs w:val="24"/>
      <w:u w:val="none"/>
    </w:rPr>
  </w:style>
  <w:style w:type="character" w:customStyle="1" w:styleId="75">
    <w:name w:val="zbggmain style9"/>
    <w:autoRedefine/>
    <w:qFormat/>
    <w:uiPriority w:val="0"/>
    <w:rPr>
      <w:rFonts w:ascii="Courier New" w:eastAsia="Courier New"/>
      <w:b/>
      <w:kern w:val="2"/>
      <w:sz w:val="32"/>
      <w:szCs w:val="32"/>
      <w:lang w:val="en-US" w:eastAsia="zh-CN" w:bidi="ar-SA"/>
    </w:rPr>
  </w:style>
  <w:style w:type="character" w:customStyle="1" w:styleId="76">
    <w:name w:val="普通文字 Char Char1"/>
    <w:autoRedefine/>
    <w:qFormat/>
    <w:uiPriority w:val="0"/>
    <w:rPr>
      <w:rFonts w:ascii="Century Gothic" w:hAnsi="楷体_GB2312" w:eastAsia="Century Gothic" w:cs="楷体_GB2312"/>
      <w:kern w:val="2"/>
      <w:sz w:val="21"/>
      <w:szCs w:val="21"/>
      <w:lang w:val="en-US" w:eastAsia="zh-CN" w:bidi="ar-SA"/>
    </w:rPr>
  </w:style>
  <w:style w:type="character" w:customStyle="1" w:styleId="77">
    <w:name w:val="font21"/>
    <w:autoRedefine/>
    <w:qFormat/>
    <w:uiPriority w:val="0"/>
    <w:rPr>
      <w:rFonts w:hint="eastAsia" w:ascii="仿宋" w:hAnsi="仿宋" w:eastAsia="仿宋" w:cs="仿宋"/>
      <w:color w:val="000000"/>
      <w:sz w:val="24"/>
      <w:szCs w:val="24"/>
      <w:u w:val="none"/>
    </w:rPr>
  </w:style>
  <w:style w:type="paragraph" w:customStyle="1" w:styleId="78">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79">
    <w:name w:val="内文正文"/>
    <w:autoRedefine/>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80">
    <w:name w:val=" Char1"/>
    <w:basedOn w:val="1"/>
    <w:autoRedefine/>
    <w:qFormat/>
    <w:uiPriority w:val="0"/>
    <w:pPr>
      <w:widowControl/>
      <w:spacing w:after="160" w:afterLines="0" w:line="240" w:lineRule="exact"/>
      <w:jc w:val="left"/>
    </w:pPr>
    <w:rPr>
      <w:szCs w:val="20"/>
    </w:rPr>
  </w:style>
  <w:style w:type="paragraph" w:customStyle="1" w:styleId="81">
    <w:name w:val="小节"/>
    <w:basedOn w:val="6"/>
    <w:autoRedefine/>
    <w:qFormat/>
    <w:uiPriority w:val="0"/>
    <w:pPr>
      <w:spacing w:before="200" w:beforeLines="0" w:after="200" w:afterLines="0" w:line="560" w:lineRule="exact"/>
      <w:jc w:val="left"/>
    </w:pPr>
    <w:rPr>
      <w:rFonts w:ascii="Century Gothic" w:hAnsi="Century Gothic"/>
      <w:bCs w:val="0"/>
      <w:color w:val="000000"/>
      <w:spacing w:val="10"/>
      <w:kern w:val="24"/>
      <w:sz w:val="28"/>
    </w:rPr>
  </w:style>
  <w:style w:type="paragraph" w:customStyle="1" w:styleId="82">
    <w:name w:val="font1"/>
    <w:basedOn w:val="1"/>
    <w:autoRedefine/>
    <w:qFormat/>
    <w:uiPriority w:val="0"/>
    <w:pPr>
      <w:widowControl/>
      <w:spacing w:before="100" w:beforeLines="0" w:beforeAutospacing="1" w:after="100" w:afterLines="0" w:afterAutospacing="1"/>
      <w:jc w:val="left"/>
    </w:pPr>
    <w:rPr>
      <w:rFonts w:ascii="Century Gothic" w:hAnsi="Century Gothic"/>
      <w:kern w:val="0"/>
      <w:sz w:val="24"/>
      <w:szCs w:val="20"/>
    </w:rPr>
  </w:style>
  <w:style w:type="paragraph" w:customStyle="1" w:styleId="83">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4">
    <w:name w:val="合同正文"/>
    <w:basedOn w:val="1"/>
    <w:autoRedefine/>
    <w:qFormat/>
    <w:uiPriority w:val="0"/>
    <w:pPr>
      <w:ind w:firstLine="586" w:firstLineChars="200"/>
    </w:pPr>
    <w:rPr>
      <w:rFonts w:ascii="仿宋_GB2312" w:hAnsi="宋体" w:eastAsia="仿宋_GB2312"/>
      <w:color w:val="2A2B2D"/>
      <w:w w:val="105"/>
      <w:sz w:val="28"/>
      <w:szCs w:val="28"/>
      <w:lang w:val="zh-CN" w:eastAsia="zh-CN"/>
    </w:rPr>
  </w:style>
  <w:style w:type="paragraph" w:customStyle="1" w:styleId="85">
    <w:name w:val="xl31"/>
    <w:basedOn w:val="1"/>
    <w:autoRedefine/>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86">
    <w:name w:val="_Style 83"/>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87">
    <w:name w:val="正文1"/>
    <w:basedOn w:val="24"/>
    <w:autoRedefine/>
    <w:qFormat/>
    <w:uiPriority w:val="0"/>
    <w:pPr>
      <w:tabs>
        <w:tab w:val="right" w:leader="dot" w:pos="8268"/>
      </w:tabs>
      <w:ind w:left="0" w:leftChars="0" w:firstLine="480" w:firstLineChars="200"/>
    </w:pPr>
    <w:rPr>
      <w:rFonts w:ascii="仿宋_GB2312" w:hAnsi="Courier New" w:eastAsia="仿宋_GB2312"/>
      <w:kern w:val="28"/>
      <w:sz w:val="24"/>
    </w:rPr>
  </w:style>
  <w:style w:type="paragraph" w:customStyle="1" w:styleId="88">
    <w:name w:val="标书标题3"/>
    <w:basedOn w:val="6"/>
    <w:autoRedefine/>
    <w:qFormat/>
    <w:uiPriority w:val="0"/>
    <w:pPr>
      <w:keepLines w:val="0"/>
      <w:widowControl/>
      <w:adjustRightInd w:val="0"/>
      <w:snapToGrid w:val="0"/>
      <w:spacing w:before="120" w:beforeLines="0" w:after="60" w:afterLines="0" w:line="300" w:lineRule="auto"/>
      <w:jc w:val="left"/>
    </w:pPr>
    <w:rPr>
      <w:rFonts w:ascii="_x000B__x000C_" w:hAnsi="_x000B__x000C_" w:eastAsia="Courier New"/>
      <w:b w:val="0"/>
      <w:bCs w:val="0"/>
      <w:color w:val="000000"/>
      <w:kern w:val="0"/>
      <w:sz w:val="28"/>
    </w:rPr>
  </w:style>
  <w:style w:type="paragraph" w:customStyle="1" w:styleId="89">
    <w:name w:val=" Char"/>
    <w:basedOn w:val="1"/>
    <w:autoRedefine/>
    <w:qFormat/>
    <w:uiPriority w:val="0"/>
    <w:rPr>
      <w:rFonts w:ascii="Courier New" w:eastAsia="Courier New"/>
      <w:b/>
      <w:sz w:val="32"/>
      <w:szCs w:val="32"/>
    </w:rPr>
  </w:style>
  <w:style w:type="paragraph" w:customStyle="1" w:styleId="90">
    <w:name w:val="xl32"/>
    <w:basedOn w:val="1"/>
    <w:autoRedefine/>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91">
    <w:name w:val="xl36"/>
    <w:basedOn w:val="1"/>
    <w:autoRedefine/>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92">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93">
    <w:name w:val="xl35"/>
    <w:basedOn w:val="1"/>
    <w:autoRedefine/>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94">
    <w:name w:val="xl30"/>
    <w:basedOn w:val="1"/>
    <w:autoRedefine/>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95">
    <w:name w:val=" Char3 Char Char Char"/>
    <w:basedOn w:val="1"/>
    <w:autoRedefine/>
    <w:qFormat/>
    <w:uiPriority w:val="0"/>
    <w:pPr>
      <w:widowControl/>
      <w:spacing w:after="160" w:afterLines="0" w:line="240" w:lineRule="exact"/>
      <w:jc w:val="left"/>
    </w:pPr>
    <w:rPr>
      <w:szCs w:val="20"/>
    </w:rPr>
  </w:style>
  <w:style w:type="paragraph" w:customStyle="1" w:styleId="96">
    <w:name w:val="表头"/>
    <w:basedOn w:val="1"/>
    <w:autoRedefine/>
    <w:qFormat/>
    <w:uiPriority w:val="0"/>
    <w:pPr>
      <w:adjustRightInd w:val="0"/>
      <w:spacing w:before="60" w:after="60" w:line="420" w:lineRule="atLeast"/>
      <w:jc w:val="left"/>
      <w:textAlignment w:val="baseline"/>
    </w:pPr>
    <w:rPr>
      <w:rFonts w:ascii="黑体" w:hAnsi="Times New Roman" w:eastAsia="黑体" w:cs="Times New Roman"/>
      <w:b/>
      <w:kern w:val="0"/>
      <w:szCs w:val="20"/>
    </w:rPr>
  </w:style>
  <w:style w:type="paragraph" w:customStyle="1" w:styleId="97">
    <w:name w:val="标书标题2"/>
    <w:basedOn w:val="5"/>
    <w:autoRedefine/>
    <w:qFormat/>
    <w:uiPriority w:val="0"/>
    <w:pPr>
      <w:keepLines w:val="0"/>
      <w:widowControl/>
      <w:tabs>
        <w:tab w:val="left" w:pos="1320"/>
      </w:tabs>
      <w:snapToGrid w:val="0"/>
      <w:spacing w:before="156" w:beforeLines="50" w:after="60" w:afterLines="0" w:line="300" w:lineRule="auto"/>
      <w:ind w:left="1320" w:hanging="420"/>
      <w:jc w:val="both"/>
    </w:pPr>
    <w:rPr>
      <w:rFonts w:ascii="_x000B__x000C_" w:hAnsi="_x000B__x000C_" w:eastAsia="Courier New"/>
      <w:color w:val="000000"/>
      <w:kern w:val="0"/>
      <w:sz w:val="28"/>
      <w:szCs w:val="20"/>
    </w:rPr>
  </w:style>
  <w:style w:type="paragraph" w:customStyle="1" w:styleId="98">
    <w:name w:val="xl27"/>
    <w:basedOn w:val="1"/>
    <w:autoRedefine/>
    <w:qFormat/>
    <w:uiPriority w:val="0"/>
    <w:pPr>
      <w:widowControl/>
      <w:pBdr>
        <w:bottom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36"/>
      <w:szCs w:val="36"/>
    </w:rPr>
  </w:style>
  <w:style w:type="paragraph" w:customStyle="1" w:styleId="99">
    <w:name w:val=" Char Char11 Char Char Char Char Char Char Char Char Char Char Char"/>
    <w:basedOn w:val="1"/>
    <w:autoRedefine/>
    <w:qFormat/>
    <w:uiPriority w:val="0"/>
    <w:pPr>
      <w:spacing w:line="360" w:lineRule="auto"/>
    </w:pPr>
    <w:rPr>
      <w:rFonts w:eastAsia="黑体"/>
      <w:snapToGrid w:val="0"/>
      <w:kern w:val="0"/>
      <w:szCs w:val="21"/>
    </w:rPr>
  </w:style>
  <w:style w:type="paragraph" w:customStyle="1" w:styleId="100">
    <w:name w:val="xl38"/>
    <w:basedOn w:val="1"/>
    <w:autoRedefine/>
    <w:qFormat/>
    <w:uiPriority w:val="0"/>
    <w:pPr>
      <w:widowControl/>
      <w:spacing w:before="100" w:beforeLines="0" w:beforeAutospacing="1" w:after="100" w:afterLines="0" w:afterAutospacing="1"/>
      <w:jc w:val="left"/>
    </w:pPr>
    <w:rPr>
      <w:rFonts w:ascii="Century Gothic" w:hAnsi="Century Gothic" w:cs="Century Gothic"/>
      <w:kern w:val="0"/>
      <w:sz w:val="18"/>
      <w:szCs w:val="18"/>
    </w:rPr>
  </w:style>
  <w:style w:type="paragraph" w:customStyle="1" w:styleId="101">
    <w:name w:val="xl29"/>
    <w:basedOn w:val="1"/>
    <w:autoRedefine/>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102">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103">
    <w:name w:val="font6"/>
    <w:basedOn w:val="1"/>
    <w:autoRedefine/>
    <w:qFormat/>
    <w:uiPriority w:val="0"/>
    <w:pPr>
      <w:widowControl/>
      <w:spacing w:before="100" w:beforeLines="0" w:beforeAutospacing="1" w:after="100" w:afterLines="0" w:afterAutospacing="1"/>
      <w:jc w:val="left"/>
    </w:pPr>
    <w:rPr>
      <w:kern w:val="0"/>
      <w:sz w:val="18"/>
      <w:szCs w:val="18"/>
    </w:rPr>
  </w:style>
  <w:style w:type="paragraph" w:customStyle="1" w:styleId="104">
    <w:name w:val="标书标题4"/>
    <w:basedOn w:val="7"/>
    <w:autoRedefine/>
    <w:qFormat/>
    <w:uiPriority w:val="0"/>
    <w:pPr>
      <w:widowControl w:val="0"/>
      <w:adjustRightInd w:val="0"/>
      <w:snapToGrid w:val="0"/>
      <w:spacing w:line="300" w:lineRule="auto"/>
      <w:jc w:val="both"/>
    </w:pPr>
    <w:rPr>
      <w:rFonts w:ascii="_x000B__x000C_" w:hAnsi="_x000B__x000C_" w:eastAsia="Courier New"/>
      <w:b/>
      <w:snapToGrid/>
      <w:color w:val="000000"/>
      <w:sz w:val="28"/>
      <w:szCs w:val="32"/>
    </w:rPr>
  </w:style>
  <w:style w:type="paragraph" w:customStyle="1" w:styleId="105">
    <w:name w:val="title11"/>
    <w:basedOn w:val="1"/>
    <w:autoRedefine/>
    <w:qFormat/>
    <w:uiPriority w:val="0"/>
    <w:pPr>
      <w:spacing w:before="150" w:beforeAutospacing="0" w:after="0" w:afterAutospacing="0"/>
      <w:ind w:left="0" w:right="0" w:firstLine="0"/>
      <w:jc w:val="left"/>
    </w:pPr>
    <w:rPr>
      <w:b/>
      <w:kern w:val="0"/>
      <w:lang w:val="en-US" w:eastAsia="zh-CN" w:bidi="ar"/>
    </w:rPr>
  </w:style>
  <w:style w:type="paragraph" w:customStyle="1" w:styleId="106">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07">
    <w:name w:val="No Spacing"/>
    <w:autoRedefine/>
    <w:qFormat/>
    <w:uiPriority w:val="0"/>
    <w:rPr>
      <w:rFonts w:ascii="Times New Roman" w:hAnsi="Times New Roman" w:eastAsia="宋体" w:cs="Times New Roman"/>
      <w:sz w:val="22"/>
      <w:szCs w:val="22"/>
      <w:lang w:val="en-US" w:eastAsia="en-US" w:bidi="ar-SA"/>
    </w:rPr>
  </w:style>
  <w:style w:type="paragraph" w:customStyle="1" w:styleId="108">
    <w:name w:val="Plain Text"/>
    <w:basedOn w:val="83"/>
    <w:autoRedefine/>
    <w:qFormat/>
    <w:uiPriority w:val="0"/>
    <w:pPr>
      <w:widowControl/>
      <w:jc w:val="left"/>
    </w:pPr>
    <w:rPr>
      <w:rFonts w:ascii="宋体" w:hAnsi="Courier New"/>
    </w:rPr>
  </w:style>
  <w:style w:type="paragraph" w:customStyle="1" w:styleId="109">
    <w:name w:val="样式5"/>
    <w:basedOn w:val="7"/>
    <w:autoRedefine/>
    <w:qFormat/>
    <w:uiPriority w:val="0"/>
    <w:pPr>
      <w:keepLines/>
      <w:widowControl w:val="0"/>
      <w:spacing w:before="280" w:beforeLines="0" w:after="290" w:afterLines="0" w:line="376" w:lineRule="auto"/>
    </w:pPr>
    <w:rPr>
      <w:rFonts w:ascii="Century Gothic" w:hAnsi="Century Gothic" w:eastAsia="Century Gothic"/>
      <w:b/>
      <w:bCs/>
      <w:snapToGrid/>
      <w:kern w:val="2"/>
      <w:sz w:val="32"/>
      <w:szCs w:val="32"/>
    </w:rPr>
  </w:style>
  <w:style w:type="paragraph" w:customStyle="1" w:styleId="110">
    <w:name w:val="p0"/>
    <w:basedOn w:val="1"/>
    <w:autoRedefine/>
    <w:unhideWhenUsed/>
    <w:qFormat/>
    <w:uiPriority w:val="0"/>
    <w:pPr>
      <w:widowControl/>
    </w:pPr>
    <w:rPr>
      <w:rFonts w:hint="eastAsia"/>
    </w:rPr>
  </w:style>
  <w:style w:type="paragraph" w:customStyle="1" w:styleId="111">
    <w:name w:val="[Normal]"/>
    <w:autoRedefine/>
    <w:qFormat/>
    <w:uiPriority w:val="0"/>
    <w:rPr>
      <w:rFonts w:ascii="宋体" w:hAnsi="宋体" w:eastAsia="宋体" w:cs="Times New Roman"/>
      <w:sz w:val="24"/>
      <w:szCs w:val="22"/>
      <w:lang w:val="zh-CN" w:eastAsia="zh-CN" w:bidi="ar-SA"/>
    </w:rPr>
  </w:style>
  <w:style w:type="paragraph" w:customStyle="1" w:styleId="112">
    <w:name w:val="List Paragraph1"/>
    <w:basedOn w:val="1"/>
    <w:autoRedefine/>
    <w:qFormat/>
    <w:uiPriority w:val="0"/>
    <w:pPr>
      <w:ind w:firstLine="420" w:firstLineChars="200"/>
    </w:pPr>
    <w:rPr>
      <w:szCs w:val="24"/>
    </w:rPr>
  </w:style>
  <w:style w:type="paragraph" w:customStyle="1" w:styleId="113">
    <w:name w:val="font5"/>
    <w:basedOn w:val="1"/>
    <w:autoRedefine/>
    <w:qFormat/>
    <w:uiPriority w:val="0"/>
    <w:pPr>
      <w:widowControl/>
      <w:spacing w:before="100" w:beforeLines="0" w:beforeAutospacing="1" w:after="100" w:afterLines="0" w:afterAutospacing="1"/>
      <w:jc w:val="left"/>
    </w:pPr>
    <w:rPr>
      <w:rFonts w:ascii="Century Gothic" w:hAnsi="Century Gothic" w:cs="Century Gothic"/>
      <w:kern w:val="0"/>
      <w:sz w:val="18"/>
      <w:szCs w:val="18"/>
    </w:rPr>
  </w:style>
  <w:style w:type="paragraph" w:customStyle="1" w:styleId="114">
    <w:name w:val=" Char Char Char Char Char Char Char Char"/>
    <w:basedOn w:val="1"/>
    <w:autoRedefine/>
    <w:qFormat/>
    <w:uiPriority w:val="0"/>
    <w:pPr>
      <w:tabs>
        <w:tab w:val="left" w:pos="360"/>
      </w:tabs>
    </w:pPr>
    <w:rPr>
      <w:rFonts w:ascii="Calibri" w:hAnsi="Calibri" w:cs="Times New Roman"/>
      <w:szCs w:val="20"/>
    </w:rPr>
  </w:style>
  <w:style w:type="paragraph" w:customStyle="1" w:styleId="115">
    <w:name w:val=" Char Char Char Char Char"/>
    <w:basedOn w:val="1"/>
    <w:autoRedefine/>
    <w:qFormat/>
    <w:uiPriority w:val="0"/>
    <w:pPr>
      <w:widowControl/>
      <w:spacing w:after="160" w:afterLines="0" w:line="240" w:lineRule="exact"/>
      <w:jc w:val="left"/>
    </w:pPr>
    <w:rPr>
      <w:rFonts w:ascii="Verdana" w:hAnsi="Verdana" w:eastAsia="华文细黑" w:cs="Times New Roman"/>
    </w:rPr>
  </w:style>
  <w:style w:type="paragraph" w:customStyle="1" w:styleId="116">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117">
    <w:name w:val="Body Text 2"/>
    <w:basedOn w:val="1"/>
    <w:autoRedefine/>
    <w:qFormat/>
    <w:uiPriority w:val="0"/>
    <w:pPr>
      <w:adjustRightInd w:val="0"/>
      <w:spacing w:line="300" w:lineRule="auto"/>
      <w:jc w:val="center"/>
    </w:pPr>
    <w:rPr>
      <w:rFonts w:hint="eastAsia" w:ascii="Century Gothic" w:hAnsi="Century Gothic"/>
      <w:sz w:val="24"/>
      <w:szCs w:val="20"/>
    </w:rPr>
  </w:style>
  <w:style w:type="paragraph" w:customStyle="1" w:styleId="118">
    <w:name w:val=" Char Char Char Char"/>
    <w:basedOn w:val="1"/>
    <w:autoRedefine/>
    <w:qFormat/>
    <w:uiPriority w:val="0"/>
    <w:rPr>
      <w:rFonts w:cs="Times New Roman"/>
      <w:szCs w:val="20"/>
    </w:rPr>
  </w:style>
  <w:style w:type="paragraph" w:customStyle="1" w:styleId="119">
    <w:name w:val="节"/>
    <w:basedOn w:val="5"/>
    <w:autoRedefine/>
    <w:qFormat/>
    <w:uiPriority w:val="0"/>
    <w:pPr>
      <w:adjustRightInd/>
      <w:spacing w:before="160" w:beforeLines="0" w:after="160" w:afterLines="0" w:line="720" w:lineRule="exact"/>
      <w:jc w:val="center"/>
    </w:pPr>
    <w:rPr>
      <w:rFonts w:ascii="Arial" w:hAnsi="Arial"/>
      <w:b w:val="0"/>
      <w:color w:val="000000"/>
      <w:spacing w:val="14"/>
      <w:kern w:val="24"/>
      <w:sz w:val="28"/>
      <w:szCs w:val="20"/>
    </w:rPr>
  </w:style>
  <w:style w:type="paragraph" w:customStyle="1" w:styleId="120">
    <w:name w:val="xl22"/>
    <w:basedOn w:val="1"/>
    <w:autoRedefine/>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Arial Unicode MS" w:hAnsi="Arial Unicode MS" w:eastAsia="Arial Unicode MS" w:cs="Times New Roman"/>
      <w:kern w:val="0"/>
      <w:sz w:val="24"/>
      <w:szCs w:val="20"/>
    </w:rPr>
  </w:style>
  <w:style w:type="paragraph" w:customStyle="1" w:styleId="121">
    <w:name w:val="xl33"/>
    <w:basedOn w:val="1"/>
    <w:autoRedefine/>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122">
    <w:name w:val="xl34"/>
    <w:basedOn w:val="1"/>
    <w:autoRedefine/>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12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124">
    <w:name w:val="首行缩进"/>
    <w:basedOn w:val="1"/>
    <w:autoRedefine/>
    <w:qFormat/>
    <w:uiPriority w:val="0"/>
    <w:pPr>
      <w:spacing w:line="360" w:lineRule="auto"/>
      <w:ind w:firstLine="480" w:firstLineChars="200"/>
    </w:pPr>
    <w:rPr>
      <w:rFonts w:hAnsi="宋体" w:cs="宋体"/>
      <w:sz w:val="24"/>
    </w:rPr>
  </w:style>
  <w:style w:type="paragraph" w:customStyle="1" w:styleId="125">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126">
    <w:name w:val="表格文字"/>
    <w:basedOn w:val="1"/>
    <w:next w:val="10"/>
    <w:autoRedefine/>
    <w:qFormat/>
    <w:uiPriority w:val="0"/>
    <w:pPr>
      <w:adjustRightInd/>
      <w:ind w:firstLine="200" w:firstLineChars="200"/>
    </w:pPr>
    <w:rPr>
      <w:rFonts w:ascii="Arial" w:hAnsi="Arial"/>
      <w:spacing w:val="-5"/>
      <w:kern w:val="0"/>
      <w:sz w:val="24"/>
      <w:szCs w:val="20"/>
    </w:rPr>
  </w:style>
  <w:style w:type="paragraph" w:customStyle="1" w:styleId="12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28">
    <w:name w:val="xl37"/>
    <w:basedOn w:val="1"/>
    <w:autoRedefine/>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Narrow" w:hAnsi="Century Gothic" w:eastAsia="Arial Narrow" w:cs="Century Gothic"/>
      <w:kern w:val="0"/>
      <w:sz w:val="24"/>
    </w:rPr>
  </w:style>
  <w:style w:type="paragraph" w:customStyle="1" w:styleId="129">
    <w:name w:val="Char"/>
    <w:basedOn w:val="1"/>
    <w:autoRedefine/>
    <w:qFormat/>
    <w:uiPriority w:val="0"/>
  </w:style>
  <w:style w:type="paragraph" w:customStyle="1" w:styleId="130">
    <w:name w:val="正文文字格式"/>
    <w:basedOn w:val="1"/>
    <w:autoRedefine/>
    <w:qFormat/>
    <w:uiPriority w:val="0"/>
    <w:pPr>
      <w:spacing w:line="460" w:lineRule="exact"/>
      <w:ind w:firstLine="505"/>
      <w:jc w:val="left"/>
    </w:pPr>
    <w:rPr>
      <w:rFonts w:ascii="Century Gothic"/>
      <w:kern w:val="24"/>
      <w:sz w:val="24"/>
      <w:szCs w:val="20"/>
    </w:rPr>
  </w:style>
  <w:style w:type="paragraph" w:customStyle="1" w:styleId="13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132">
    <w:name w:val="Table Paragraph"/>
    <w:basedOn w:val="1"/>
    <w:autoRedefine/>
    <w:qFormat/>
    <w:uiPriority w:val="1"/>
  </w:style>
  <w:style w:type="character" w:customStyle="1" w:styleId="133">
    <w:name w:val="font31"/>
    <w:autoRedefine/>
    <w:qFormat/>
    <w:uiPriority w:val="0"/>
    <w:rPr>
      <w:rFonts w:ascii="Arial" w:hAnsi="Arial" w:cs="Arial"/>
      <w:color w:val="333333"/>
      <w:sz w:val="20"/>
      <w:szCs w:val="20"/>
      <w:u w:val="none"/>
    </w:rPr>
  </w:style>
  <w:style w:type="character" w:customStyle="1" w:styleId="134">
    <w:name w:val="font41"/>
    <w:autoRedefine/>
    <w:qFormat/>
    <w:uiPriority w:val="0"/>
    <w:rPr>
      <w:rFonts w:hint="eastAsia" w:ascii="宋体" w:hAnsi="宋体" w:eastAsia="宋体" w:cs="宋体"/>
      <w:color w:val="333333"/>
      <w:sz w:val="20"/>
      <w:szCs w:val="20"/>
      <w:u w:val="none"/>
    </w:rPr>
  </w:style>
  <w:style w:type="character" w:customStyle="1" w:styleId="135">
    <w:name w:val="font51"/>
    <w:autoRedefine/>
    <w:qFormat/>
    <w:uiPriority w:val="0"/>
    <w:rPr>
      <w:rFonts w:hint="eastAsia" w:ascii="宋体" w:hAnsi="宋体" w:eastAsia="宋体" w:cs="宋体"/>
      <w:color w:val="000000"/>
      <w:sz w:val="24"/>
      <w:szCs w:val="24"/>
      <w:u w:val="none"/>
    </w:rPr>
  </w:style>
  <w:style w:type="paragraph" w:customStyle="1" w:styleId="136">
    <w:name w:val="正文格式"/>
    <w:autoRedefine/>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37">
    <w:name w:val="HIK图文"/>
    <w:autoRedefine/>
    <w:qFormat/>
    <w:uiPriority w:val="0"/>
    <w:pPr>
      <w:spacing w:line="360" w:lineRule="auto"/>
      <w:jc w:val="center"/>
    </w:pPr>
    <w:rPr>
      <w:rFonts w:ascii="Times New Roman" w:hAnsi="Times New Roman" w:eastAsia="仿宋" w:cs="Times New Roman"/>
      <w:kern w:val="2"/>
      <w:sz w:val="24"/>
      <w:szCs w:val="22"/>
      <w:lang w:val="en-US" w:eastAsia="zh-CN" w:bidi="ar-SA"/>
    </w:rPr>
  </w:style>
  <w:style w:type="paragraph" w:customStyle="1" w:styleId="138">
    <w:name w:val="*正文"/>
    <w:basedOn w:val="1"/>
    <w:autoRedefine/>
    <w:qFormat/>
    <w:uiPriority w:val="0"/>
    <w:pPr>
      <w:spacing w:line="300" w:lineRule="auto"/>
      <w:ind w:firstLine="480"/>
    </w:pPr>
    <w:rPr>
      <w:rFonts w:ascii="宋体" w:hAnsi="宋体" w:cs="仿宋_GB2312"/>
      <w:szCs w:val="24"/>
    </w:rPr>
  </w:style>
  <w:style w:type="character" w:customStyle="1" w:styleId="139">
    <w:name w:val="font61"/>
    <w:basedOn w:val="47"/>
    <w:autoRedefine/>
    <w:qFormat/>
    <w:uiPriority w:val="0"/>
    <w:rPr>
      <w:rFonts w:hint="eastAsia" w:ascii="微软雅黑" w:hAnsi="微软雅黑" w:eastAsia="微软雅黑" w:cs="微软雅黑"/>
      <w:color w:val="000000"/>
      <w:sz w:val="16"/>
      <w:szCs w:val="16"/>
      <w:u w:val="none"/>
    </w:rPr>
  </w:style>
  <w:style w:type="character" w:customStyle="1" w:styleId="140">
    <w:name w:val="font141"/>
    <w:basedOn w:val="47"/>
    <w:autoRedefine/>
    <w:qFormat/>
    <w:uiPriority w:val="0"/>
    <w:rPr>
      <w:rFonts w:hint="eastAsia" w:ascii="宋体" w:hAnsi="宋体" w:eastAsia="宋体" w:cs="宋体"/>
      <w:color w:val="000000"/>
      <w:sz w:val="16"/>
      <w:szCs w:val="16"/>
      <w:u w:val="none"/>
      <w:vertAlign w:val="superscript"/>
    </w:rPr>
  </w:style>
  <w:style w:type="character" w:customStyle="1" w:styleId="141">
    <w:name w:val="font101"/>
    <w:basedOn w:val="47"/>
    <w:autoRedefine/>
    <w:qFormat/>
    <w:uiPriority w:val="0"/>
    <w:rPr>
      <w:rFonts w:hint="default" w:ascii="Times New Roman" w:hAnsi="Times New Roman" w:cs="Times New Roman"/>
      <w:color w:val="000000"/>
      <w:sz w:val="16"/>
      <w:szCs w:val="16"/>
      <w:u w:val="none"/>
    </w:rPr>
  </w:style>
  <w:style w:type="paragraph" w:customStyle="1" w:styleId="142">
    <w:name w:val="纯文本_0_0"/>
    <w:basedOn w:val="143"/>
    <w:autoRedefine/>
    <w:qFormat/>
    <w:uiPriority w:val="0"/>
    <w:rPr>
      <w:rFonts w:ascii="宋体" w:hAnsi="Courier New"/>
      <w:szCs w:val="21"/>
    </w:rPr>
  </w:style>
  <w:style w:type="paragraph" w:customStyle="1" w:styleId="143">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54513</Words>
  <Characters>58036</Characters>
  <Lines>343</Lines>
  <Paragraphs>96</Paragraphs>
  <TotalTime>0</TotalTime>
  <ScaleCrop>false</ScaleCrop>
  <LinksUpToDate>false</LinksUpToDate>
  <CharactersWithSpaces>62338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2024-03-21T11:04:00Z</dcterms:created>
  <dc:creator>微软用户</dc:creator>
  <cp:lastModifiedBy>钱妍</cp:lastModifiedBy>
  <cp:lastPrinted>2022-07-15T05:03:00Z</cp:lastPrinted>
  <dcterms:modified xsi:type="dcterms:W3CDTF">2024-05-11T07:25:13Z</dcterms:modified>
  <dc:title>杭州下沙服务外包人才培训基地</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19DF10CDCE0B43C6843C64B205CBBBD4_13</vt:lpwstr>
  </property>
</Properties>
</file>