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360" w:lineRule="auto"/>
        <w:jc w:val="center"/>
        <w:textAlignment w:val="bottom"/>
        <w:rPr>
          <w:rFonts w:hint="eastAsia" w:ascii="宋体" w:hAnsi="宋体" w:eastAsia="宋体" w:cs="宋体"/>
          <w:b/>
          <w:sz w:val="40"/>
          <w:lang w:val="en-US" w:eastAsia="zh-CN"/>
        </w:rPr>
      </w:pPr>
      <w:r>
        <w:rPr>
          <w:rFonts w:hint="eastAsia" w:ascii="宋体" w:hAnsi="宋体" w:cs="宋体"/>
          <w:b/>
          <w:sz w:val="40"/>
          <w:lang w:val="en-US" w:eastAsia="zh-CN"/>
        </w:rPr>
        <w:t xml:space="preserve"> </w:t>
      </w:r>
    </w:p>
    <w:p>
      <w:pPr>
        <w:widowControl/>
        <w:autoSpaceDE w:val="0"/>
        <w:autoSpaceDN w:val="0"/>
        <w:spacing w:line="360" w:lineRule="auto"/>
        <w:jc w:val="center"/>
        <w:textAlignment w:val="bottom"/>
        <w:rPr>
          <w:rFonts w:hint="eastAsia" w:ascii="宋体" w:hAnsi="宋体" w:cs="宋体"/>
          <w:b/>
          <w:sz w:val="40"/>
        </w:rPr>
      </w:pPr>
    </w:p>
    <w:p>
      <w:pPr>
        <w:widowControl/>
        <w:autoSpaceDE w:val="0"/>
        <w:autoSpaceDN w:val="0"/>
        <w:spacing w:line="360" w:lineRule="auto"/>
        <w:jc w:val="center"/>
        <w:textAlignment w:val="bottom"/>
        <w:rPr>
          <w:rFonts w:hint="eastAsia" w:ascii="宋体" w:hAnsi="宋体" w:cs="宋体"/>
          <w:sz w:val="32"/>
          <w:lang w:val="de-DE"/>
        </w:rPr>
      </w:pPr>
      <w:r>
        <w:rPr>
          <w:rFonts w:hint="eastAsia" w:ascii="宋体" w:hAnsi="宋体" w:cs="宋体"/>
          <w:b/>
          <w:sz w:val="84"/>
        </w:rPr>
        <w:t>招标文件</w:t>
      </w:r>
      <w:r>
        <w:rPr>
          <w:rFonts w:hint="eastAsia" w:ascii="宋体" w:hAnsi="宋体" w:cs="宋体"/>
          <w:b/>
          <w:sz w:val="84"/>
        </w:rPr>
        <w:br w:type="textWrapping"/>
      </w:r>
      <w:r>
        <w:rPr>
          <w:rFonts w:hint="eastAsia" w:ascii="宋体" w:hAnsi="宋体" w:cs="宋体"/>
          <w:b/>
          <w:sz w:val="32"/>
        </w:rPr>
        <w:t>（</w:t>
      </w:r>
      <w:r>
        <w:rPr>
          <w:rFonts w:hint="eastAsia" w:ascii="宋体" w:hAnsi="宋体" w:cs="宋体"/>
          <w:b/>
          <w:sz w:val="32"/>
          <w:lang w:val="de-DE"/>
        </w:rPr>
        <w:t>国际招标）</w:t>
      </w:r>
    </w:p>
    <w:p>
      <w:pPr>
        <w:widowControl/>
        <w:autoSpaceDE w:val="0"/>
        <w:autoSpaceDN w:val="0"/>
        <w:spacing w:line="360" w:lineRule="auto"/>
        <w:textAlignment w:val="bottom"/>
        <w:rPr>
          <w:rFonts w:hint="eastAsia" w:ascii="宋体" w:hAnsi="宋体" w:cs="宋体"/>
          <w:sz w:val="32"/>
        </w:rPr>
      </w:pPr>
    </w:p>
    <w:p>
      <w:pPr>
        <w:widowControl/>
        <w:autoSpaceDE w:val="0"/>
        <w:autoSpaceDN w:val="0"/>
        <w:spacing w:line="360" w:lineRule="auto"/>
        <w:textAlignment w:val="bottom"/>
        <w:rPr>
          <w:rFonts w:hint="eastAsia" w:ascii="宋体" w:hAnsi="宋体" w:cs="宋体"/>
          <w:sz w:val="32"/>
        </w:rPr>
      </w:pPr>
    </w:p>
    <w:p>
      <w:pPr>
        <w:widowControl/>
        <w:autoSpaceDE w:val="0"/>
        <w:autoSpaceDN w:val="0"/>
        <w:spacing w:line="360" w:lineRule="auto"/>
        <w:textAlignment w:val="bottom"/>
        <w:rPr>
          <w:rFonts w:hint="eastAsia" w:ascii="宋体" w:hAnsi="宋体" w:cs="宋体"/>
          <w:sz w:val="32"/>
        </w:rPr>
      </w:pPr>
    </w:p>
    <w:p>
      <w:pPr>
        <w:widowControl/>
        <w:autoSpaceDE w:val="0"/>
        <w:autoSpaceDN w:val="0"/>
        <w:spacing w:line="360" w:lineRule="auto"/>
        <w:ind w:firstLine="1807" w:firstLineChars="500"/>
        <w:jc w:val="both"/>
        <w:textAlignment w:val="bottom"/>
        <w:rPr>
          <w:rFonts w:hint="eastAsia" w:ascii="宋体" w:hAnsi="宋体" w:eastAsia="宋体" w:cs="宋体"/>
          <w:b/>
          <w:sz w:val="36"/>
          <w:lang w:eastAsia="zh-CN"/>
        </w:rPr>
      </w:pPr>
      <w:r>
        <w:rPr>
          <w:rFonts w:hint="eastAsia" w:ascii="宋体" w:hAnsi="宋体" w:cs="宋体"/>
          <w:b/>
          <w:sz w:val="36"/>
        </w:rPr>
        <w:t>招标编号：</w:t>
      </w:r>
      <w:r>
        <w:rPr>
          <w:rFonts w:hint="eastAsia" w:ascii="宋体" w:hAnsi="宋体" w:cs="宋体"/>
          <w:b/>
          <w:sz w:val="36"/>
          <w:lang w:eastAsia="zh-CN"/>
        </w:rPr>
        <w:t>0801-214ZJ2132353</w:t>
      </w:r>
      <w:r>
        <w:rPr>
          <w:rFonts w:hint="eastAsia" w:ascii="宋体" w:hAnsi="宋体" w:cs="宋体"/>
          <w:b/>
          <w:sz w:val="36"/>
          <w:lang w:eastAsia="zh-CN"/>
        </w:rPr>
        <w:tab/>
      </w:r>
    </w:p>
    <w:p>
      <w:pPr>
        <w:widowControl/>
        <w:autoSpaceDE w:val="0"/>
        <w:autoSpaceDN w:val="0"/>
        <w:spacing w:line="360" w:lineRule="auto"/>
        <w:ind w:firstLine="1807" w:firstLineChars="500"/>
        <w:jc w:val="both"/>
        <w:textAlignment w:val="bottom"/>
        <w:rPr>
          <w:rFonts w:hint="eastAsia" w:ascii="宋体" w:hAnsi="宋体" w:eastAsia="宋体" w:cs="宋体"/>
          <w:b/>
          <w:sz w:val="36"/>
          <w:lang w:eastAsia="zh-CN"/>
        </w:rPr>
      </w:pPr>
      <w:r>
        <w:rPr>
          <w:rFonts w:hint="eastAsia" w:ascii="宋体" w:hAnsi="宋体" w:cs="宋体"/>
          <w:b/>
          <w:sz w:val="36"/>
        </w:rPr>
        <w:t>招标项目：</w:t>
      </w:r>
      <w:r>
        <w:rPr>
          <w:rFonts w:hint="eastAsia" w:ascii="宋体" w:hAnsi="宋体" w:cs="宋体"/>
          <w:b/>
          <w:sz w:val="36"/>
          <w:lang w:eastAsia="zh-CN"/>
        </w:rPr>
        <w:t>医用直线加速器</w:t>
      </w:r>
    </w:p>
    <w:p>
      <w:pPr>
        <w:widowControl/>
        <w:autoSpaceDE w:val="0"/>
        <w:autoSpaceDN w:val="0"/>
        <w:spacing w:line="360" w:lineRule="auto"/>
        <w:jc w:val="center"/>
        <w:textAlignment w:val="bottom"/>
        <w:rPr>
          <w:rFonts w:hint="eastAsia" w:ascii="宋体" w:hAnsi="宋体" w:cs="宋体"/>
          <w:b/>
          <w:sz w:val="44"/>
        </w:rPr>
      </w:pPr>
    </w:p>
    <w:p>
      <w:pPr>
        <w:widowControl/>
        <w:autoSpaceDE w:val="0"/>
        <w:autoSpaceDN w:val="0"/>
        <w:spacing w:line="360" w:lineRule="auto"/>
        <w:textAlignment w:val="bottom"/>
        <w:rPr>
          <w:rFonts w:hint="eastAsia" w:ascii="宋体" w:hAnsi="宋体" w:cs="宋体"/>
          <w:sz w:val="32"/>
        </w:rPr>
      </w:pPr>
    </w:p>
    <w:p>
      <w:pPr>
        <w:widowControl/>
        <w:autoSpaceDE w:val="0"/>
        <w:autoSpaceDN w:val="0"/>
        <w:spacing w:line="360" w:lineRule="auto"/>
        <w:textAlignment w:val="bottom"/>
        <w:rPr>
          <w:rFonts w:hint="eastAsia" w:ascii="宋体" w:hAnsi="宋体" w:cs="宋体"/>
          <w:sz w:val="32"/>
        </w:rPr>
      </w:pPr>
    </w:p>
    <w:p>
      <w:pPr>
        <w:widowControl/>
        <w:autoSpaceDE w:val="0"/>
        <w:autoSpaceDN w:val="0"/>
        <w:spacing w:line="360" w:lineRule="auto"/>
        <w:textAlignment w:val="bottom"/>
        <w:rPr>
          <w:rFonts w:hint="eastAsia" w:ascii="宋体" w:hAnsi="宋体" w:cs="宋体"/>
          <w:sz w:val="32"/>
        </w:rPr>
      </w:pPr>
    </w:p>
    <w:p>
      <w:pPr>
        <w:widowControl/>
        <w:autoSpaceDE w:val="0"/>
        <w:autoSpaceDN w:val="0"/>
        <w:spacing w:line="360" w:lineRule="auto"/>
        <w:textAlignment w:val="bottom"/>
        <w:rPr>
          <w:rFonts w:hint="eastAsia" w:ascii="宋体" w:hAnsi="宋体" w:cs="宋体"/>
          <w:sz w:val="32"/>
        </w:rPr>
      </w:pPr>
    </w:p>
    <w:p>
      <w:pPr>
        <w:widowControl/>
        <w:autoSpaceDE w:val="0"/>
        <w:autoSpaceDN w:val="0"/>
        <w:spacing w:line="360" w:lineRule="auto"/>
        <w:textAlignment w:val="bottom"/>
        <w:rPr>
          <w:rFonts w:hint="eastAsia" w:ascii="宋体" w:hAnsi="宋体" w:cs="宋体"/>
          <w:sz w:val="32"/>
        </w:rPr>
      </w:pPr>
    </w:p>
    <w:p>
      <w:pPr>
        <w:widowControl/>
        <w:autoSpaceDE w:val="0"/>
        <w:autoSpaceDN w:val="0"/>
        <w:spacing w:line="360" w:lineRule="auto"/>
        <w:jc w:val="center"/>
        <w:textAlignment w:val="bottom"/>
        <w:rPr>
          <w:rFonts w:hint="eastAsia" w:ascii="宋体" w:hAnsi="宋体" w:cs="宋体"/>
          <w:b/>
          <w:sz w:val="32"/>
        </w:rPr>
      </w:pPr>
      <w:r>
        <w:rPr>
          <w:rFonts w:hint="eastAsia" w:ascii="宋体" w:hAnsi="宋体" w:cs="宋体"/>
          <w:b/>
          <w:sz w:val="32"/>
        </w:rPr>
        <w:t>浙江国际招（投）标公司</w:t>
      </w:r>
    </w:p>
    <w:p>
      <w:pPr>
        <w:widowControl/>
        <w:autoSpaceDE w:val="0"/>
        <w:autoSpaceDN w:val="0"/>
        <w:spacing w:line="360" w:lineRule="auto"/>
        <w:jc w:val="center"/>
        <w:textAlignment w:val="bottom"/>
        <w:rPr>
          <w:rFonts w:hint="eastAsia" w:ascii="宋体" w:hAnsi="宋体" w:cs="宋体"/>
          <w:b/>
          <w:sz w:val="32"/>
        </w:rPr>
      </w:pPr>
      <w:r>
        <w:rPr>
          <w:rFonts w:hint="eastAsia" w:ascii="宋体" w:hAnsi="宋体" w:cs="宋体"/>
          <w:b/>
          <w:sz w:val="32"/>
          <w:lang w:eastAsia="zh-CN"/>
        </w:rPr>
        <w:t>2021年9月</w:t>
      </w:r>
      <w:r>
        <w:rPr>
          <w:rFonts w:hint="eastAsia" w:ascii="宋体" w:hAnsi="宋体" w:cs="宋体"/>
          <w:b/>
          <w:sz w:val="36"/>
        </w:rPr>
        <w:br w:type="page"/>
      </w:r>
      <w:r>
        <w:rPr>
          <w:rFonts w:hint="eastAsia" w:ascii="宋体" w:hAnsi="宋体" w:cs="宋体"/>
          <w:b/>
          <w:sz w:val="32"/>
          <w:szCs w:val="32"/>
        </w:rPr>
        <w:t>第五章  招标邀请</w:t>
      </w:r>
    </w:p>
    <w:p>
      <w:pPr>
        <w:spacing w:line="360" w:lineRule="auto"/>
        <w:rPr>
          <w:rFonts w:hint="eastAsia" w:ascii="宋体" w:hAnsi="宋体" w:cs="宋体"/>
        </w:rPr>
      </w:pPr>
    </w:p>
    <w:p>
      <w:pPr>
        <w:spacing w:line="360" w:lineRule="auto"/>
        <w:rPr>
          <w:rFonts w:hint="eastAsia" w:ascii="宋体" w:hAnsi="宋体" w:eastAsia="宋体" w:cs="宋体"/>
          <w:sz w:val="24"/>
          <w:lang w:eastAsia="zh-CN"/>
        </w:rPr>
      </w:pPr>
      <w:r>
        <w:rPr>
          <w:rFonts w:hint="eastAsia" w:ascii="宋体" w:hAnsi="宋体" w:cs="宋体"/>
          <w:sz w:val="24"/>
        </w:rPr>
        <w:t>日期：</w:t>
      </w:r>
      <w:r>
        <w:rPr>
          <w:rFonts w:hint="eastAsia" w:ascii="宋体" w:hAnsi="宋体" w:cs="宋体"/>
          <w:sz w:val="24"/>
          <w:lang w:eastAsia="zh-CN"/>
        </w:rPr>
        <w:t>2021年9月</w:t>
      </w:r>
    </w:p>
    <w:p>
      <w:pPr>
        <w:spacing w:line="360" w:lineRule="auto"/>
        <w:rPr>
          <w:rFonts w:hint="eastAsia" w:ascii="宋体" w:hAnsi="宋体" w:eastAsia="宋体" w:cs="宋体"/>
          <w:sz w:val="24"/>
          <w:lang w:eastAsia="zh-CN"/>
        </w:rPr>
      </w:pPr>
      <w:r>
        <w:rPr>
          <w:rFonts w:hint="eastAsia" w:ascii="宋体" w:hAnsi="宋体" w:cs="宋体"/>
          <w:sz w:val="24"/>
        </w:rPr>
        <w:t>招标编号：</w:t>
      </w:r>
      <w:r>
        <w:rPr>
          <w:rFonts w:hint="eastAsia" w:ascii="宋体" w:hAnsi="宋体" w:cs="宋体"/>
          <w:sz w:val="24"/>
          <w:lang w:eastAsia="zh-CN"/>
        </w:rPr>
        <w:t>0801-214ZJ2132353</w:t>
      </w:r>
      <w:r>
        <w:rPr>
          <w:rFonts w:hint="eastAsia" w:ascii="宋体" w:hAnsi="宋体" w:cs="宋体"/>
          <w:sz w:val="24"/>
          <w:lang w:eastAsia="zh-CN"/>
        </w:rPr>
        <w:tab/>
      </w:r>
    </w:p>
    <w:p>
      <w:pPr>
        <w:spacing w:line="360" w:lineRule="auto"/>
        <w:rPr>
          <w:rFonts w:hint="eastAsia" w:ascii="宋体" w:hAnsi="宋体" w:cs="宋体"/>
          <w:sz w:val="24"/>
        </w:rPr>
      </w:pPr>
    </w:p>
    <w:p>
      <w:pPr>
        <w:numPr>
          <w:ilvl w:val="0"/>
          <w:numId w:val="1"/>
        </w:numPr>
        <w:spacing w:line="360" w:lineRule="auto"/>
        <w:rPr>
          <w:rFonts w:hint="eastAsia" w:ascii="宋体" w:hAnsi="宋体" w:cs="宋体"/>
          <w:sz w:val="24"/>
        </w:rPr>
      </w:pPr>
      <w:r>
        <w:rPr>
          <w:rFonts w:hint="eastAsia" w:ascii="宋体" w:hAnsi="宋体" w:cs="宋体"/>
          <w:sz w:val="24"/>
        </w:rPr>
        <w:t>浙江国际招（投）标公司（以下简称“招标机构”）受买方委托，邀请合格投标人就采购</w:t>
      </w:r>
      <w:r>
        <w:rPr>
          <w:rFonts w:hint="eastAsia" w:ascii="宋体" w:hAnsi="宋体" w:cs="宋体"/>
          <w:sz w:val="24"/>
          <w:lang w:eastAsia="zh-CN"/>
        </w:rPr>
        <w:t>医用直线加速器</w:t>
      </w:r>
      <w:r>
        <w:rPr>
          <w:rFonts w:hint="eastAsia" w:ascii="宋体" w:hAnsi="宋体" w:cs="宋体"/>
          <w:sz w:val="24"/>
        </w:rPr>
        <w:t>项目的下列货物和有关服务提交密封投标。</w:t>
      </w:r>
    </w:p>
    <w:p>
      <w:pPr>
        <w:tabs>
          <w:tab w:val="right" w:pos="8504"/>
        </w:tabs>
        <w:spacing w:line="360" w:lineRule="auto"/>
        <w:ind w:left="720"/>
        <w:rPr>
          <w:rFonts w:hint="eastAsia" w:ascii="宋体" w:hAnsi="宋体" w:cs="宋体"/>
          <w:sz w:val="24"/>
        </w:rPr>
      </w:pPr>
      <w:r>
        <w:rPr>
          <w:rFonts w:hint="eastAsia" w:ascii="宋体" w:hAnsi="宋体" w:cs="宋体"/>
          <w:sz w:val="24"/>
        </w:rPr>
        <w:t>设备名称、数量及主要技术规格：</w:t>
      </w:r>
      <w:r>
        <w:rPr>
          <w:rFonts w:hint="eastAsia" w:ascii="宋体" w:hAnsi="宋体" w:cs="宋体"/>
          <w:sz w:val="24"/>
        </w:rPr>
        <w:tab/>
      </w:r>
    </w:p>
    <w:p>
      <w:pPr>
        <w:tabs>
          <w:tab w:val="right" w:pos="8504"/>
        </w:tabs>
        <w:spacing w:line="360" w:lineRule="auto"/>
        <w:ind w:firstLine="720" w:firstLineChars="300"/>
        <w:rPr>
          <w:rFonts w:hint="eastAsia" w:ascii="宋体" w:hAnsi="宋体" w:cs="宋体"/>
          <w:sz w:val="24"/>
        </w:rPr>
      </w:pPr>
      <w:r>
        <w:rPr>
          <w:rFonts w:hint="eastAsia" w:ascii="宋体" w:hAnsi="宋体" w:cs="宋体"/>
          <w:sz w:val="24"/>
          <w:lang w:eastAsia="zh-CN"/>
        </w:rPr>
        <w:t>医用直线加速器</w:t>
      </w:r>
      <w:r>
        <w:rPr>
          <w:rFonts w:hint="eastAsia" w:ascii="宋体" w:hAnsi="宋体" w:cs="宋体"/>
          <w:sz w:val="24"/>
        </w:rPr>
        <w:t>：1套</w:t>
      </w:r>
    </w:p>
    <w:p>
      <w:pPr>
        <w:tabs>
          <w:tab w:val="right" w:pos="8504"/>
        </w:tabs>
        <w:spacing w:line="360" w:lineRule="auto"/>
        <w:ind w:firstLine="720" w:firstLineChars="300"/>
        <w:rPr>
          <w:rFonts w:hint="eastAsia" w:ascii="宋体" w:hAnsi="宋体" w:cs="宋体"/>
          <w:sz w:val="24"/>
          <w:lang w:eastAsia="zh-CN"/>
        </w:rPr>
      </w:pPr>
      <w:r>
        <w:rPr>
          <w:rFonts w:hint="eastAsia" w:ascii="宋体" w:hAnsi="宋体" w:cs="宋体"/>
          <w:sz w:val="24"/>
          <w:lang w:val="en-US" w:eastAsia="zh-CN"/>
        </w:rPr>
        <w:t>加速管类型：行波/驻波</w:t>
      </w:r>
    </w:p>
    <w:p>
      <w:pPr>
        <w:spacing w:line="360" w:lineRule="auto"/>
        <w:ind w:left="720" w:hanging="72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有兴趣的合格投标人可在浙江国际招（投）标公司得到进一步的信息和查阅招标文件。</w:t>
      </w:r>
    </w:p>
    <w:p>
      <w:pPr>
        <w:spacing w:line="360" w:lineRule="auto"/>
        <w:ind w:left="720" w:hanging="72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有兴趣的投标人可从即日起每天(节假日除外)9时至16时（北京时间）在浙江国际招（投）标公司购买招标文件</w:t>
      </w:r>
    </w:p>
    <w:p>
      <w:pPr>
        <w:spacing w:line="360" w:lineRule="auto"/>
        <w:ind w:left="720" w:hanging="720"/>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所有投标书应于</w:t>
      </w:r>
      <w:r>
        <w:rPr>
          <w:rFonts w:hint="eastAsia" w:ascii="宋体" w:hAnsi="宋体" w:cs="宋体"/>
          <w:sz w:val="24"/>
          <w:lang w:eastAsia="zh-CN"/>
        </w:rPr>
        <w:t>2021年10月22日09：30</w:t>
      </w:r>
      <w:r>
        <w:rPr>
          <w:rFonts w:hint="eastAsia" w:ascii="宋体" w:hAnsi="宋体" w:cs="宋体"/>
          <w:sz w:val="24"/>
        </w:rPr>
        <w:t>时（北京时间）之前递交到浙江国际招（投）标公司</w:t>
      </w:r>
      <w:bookmarkStart w:id="2" w:name="_GoBack"/>
      <w:bookmarkEnd w:id="2"/>
      <w:r>
        <w:rPr>
          <w:rFonts w:hint="eastAsia" w:ascii="宋体" w:hAnsi="宋体" w:cs="宋体"/>
          <w:sz w:val="24"/>
          <w:lang w:eastAsia="zh-CN"/>
        </w:rPr>
        <w:t>304会议室</w:t>
      </w:r>
      <w:r>
        <w:rPr>
          <w:rFonts w:hint="eastAsia" w:ascii="宋体" w:hAnsi="宋体" w:cs="宋体"/>
          <w:sz w:val="24"/>
        </w:rPr>
        <w:t>。</w:t>
      </w:r>
    </w:p>
    <w:p>
      <w:pPr>
        <w:spacing w:line="360" w:lineRule="auto"/>
        <w:ind w:left="720" w:hanging="720"/>
        <w:rPr>
          <w:rFonts w:hint="eastAsia" w:ascii="宋体" w:hAnsi="宋体" w:cs="宋体"/>
          <w:sz w:val="24"/>
        </w:rPr>
      </w:pPr>
      <w:r>
        <w:rPr>
          <w:rFonts w:hint="eastAsia" w:ascii="宋体" w:hAnsi="宋体" w:cs="宋体"/>
          <w:sz w:val="24"/>
        </w:rPr>
        <w:t>5．   定于</w:t>
      </w:r>
      <w:r>
        <w:rPr>
          <w:rFonts w:hint="eastAsia" w:ascii="宋体" w:hAnsi="宋体" w:cs="宋体"/>
          <w:sz w:val="24"/>
          <w:lang w:eastAsia="zh-CN"/>
        </w:rPr>
        <w:t>2021年10月22日09：30</w:t>
      </w:r>
      <w:r>
        <w:rPr>
          <w:rFonts w:hint="eastAsia" w:ascii="宋体" w:hAnsi="宋体" w:cs="宋体"/>
          <w:sz w:val="24"/>
        </w:rPr>
        <w:t>时（北京时间）在浙江国际招（投）标公司</w:t>
      </w:r>
      <w:r>
        <w:rPr>
          <w:rFonts w:hint="eastAsia" w:ascii="宋体" w:hAnsi="宋体" w:cs="宋体"/>
          <w:sz w:val="24"/>
          <w:lang w:eastAsia="zh-CN"/>
        </w:rPr>
        <w:t>304会议室</w:t>
      </w:r>
      <w:r>
        <w:rPr>
          <w:rFonts w:hint="eastAsia" w:ascii="宋体" w:hAnsi="宋体" w:cs="宋体"/>
          <w:sz w:val="24"/>
        </w:rPr>
        <w:t>公开开标。届时请参加投标的代表出席开标大会。</w:t>
      </w:r>
    </w:p>
    <w:p>
      <w:pPr>
        <w:spacing w:line="360" w:lineRule="auto"/>
        <w:rPr>
          <w:rFonts w:hint="eastAsia" w:ascii="宋体" w:hAnsi="宋体" w:cs="宋体"/>
        </w:rPr>
      </w:pPr>
      <w:r>
        <w:rPr>
          <w:rFonts w:hint="eastAsia" w:ascii="宋体" w:hAnsi="宋体" w:cs="宋体"/>
          <w:sz w:val="24"/>
        </w:rPr>
        <w:t>6．   投标文件中开标一览表、分项报价表、主要技术部分要有中文。</w:t>
      </w:r>
    </w:p>
    <w:p>
      <w:pPr>
        <w:spacing w:line="312" w:lineRule="atLeast"/>
        <w:ind w:left="720"/>
        <w:rPr>
          <w:rFonts w:hint="eastAsia" w:ascii="宋体" w:hAnsi="宋体" w:cs="宋体"/>
          <w:sz w:val="24"/>
        </w:rPr>
      </w:pPr>
      <w:r>
        <w:rPr>
          <w:rFonts w:hint="eastAsia" w:ascii="宋体" w:hAnsi="宋体" w:cs="宋体"/>
          <w:sz w:val="24"/>
        </w:rPr>
        <w:t>招标机构名称：浙江国际招（投）标公司</w:t>
      </w:r>
    </w:p>
    <w:p>
      <w:pPr>
        <w:spacing w:line="360" w:lineRule="atLeast"/>
        <w:ind w:left="720"/>
        <w:rPr>
          <w:rFonts w:hint="eastAsia" w:ascii="宋体" w:hAnsi="宋体" w:eastAsia="宋体" w:cs="宋体"/>
          <w:sz w:val="24"/>
          <w:lang w:eastAsia="zh-CN"/>
        </w:rPr>
      </w:pPr>
      <w:r>
        <w:rPr>
          <w:rFonts w:hint="eastAsia" w:ascii="宋体" w:hAnsi="宋体" w:cs="宋体"/>
          <w:sz w:val="24"/>
        </w:rPr>
        <w:t>详细地址：杭州市文三路90号东部软件园</w:t>
      </w:r>
      <w:r>
        <w:rPr>
          <w:rFonts w:hint="eastAsia" w:ascii="宋体" w:hAnsi="宋体" w:cs="宋体"/>
          <w:sz w:val="24"/>
          <w:lang w:eastAsia="zh-CN"/>
        </w:rPr>
        <w:t>1号楼3楼</w:t>
      </w:r>
      <w:r>
        <w:rPr>
          <w:rFonts w:hint="eastAsia" w:ascii="宋体" w:hAnsi="宋体" w:cs="宋体"/>
          <w:sz w:val="24"/>
          <w:lang w:eastAsia="zh-CN"/>
        </w:rPr>
        <w:tab/>
      </w:r>
    </w:p>
    <w:p>
      <w:pPr>
        <w:spacing w:line="360" w:lineRule="atLeast"/>
        <w:ind w:left="720"/>
        <w:rPr>
          <w:rFonts w:hint="eastAsia" w:ascii="宋体" w:hAnsi="宋体" w:cs="宋体"/>
          <w:sz w:val="24"/>
        </w:rPr>
      </w:pPr>
      <w:r>
        <w:rPr>
          <w:rFonts w:hint="eastAsia" w:ascii="宋体" w:hAnsi="宋体" w:cs="宋体"/>
          <w:sz w:val="24"/>
        </w:rPr>
        <w:t>邮    编：310012</w:t>
      </w:r>
    </w:p>
    <w:p>
      <w:pPr>
        <w:spacing w:line="360" w:lineRule="atLeast"/>
        <w:ind w:left="720"/>
        <w:rPr>
          <w:rFonts w:hint="eastAsia" w:ascii="宋体" w:hAnsi="宋体" w:cs="宋体"/>
          <w:sz w:val="24"/>
        </w:rPr>
      </w:pPr>
      <w:r>
        <w:rPr>
          <w:rFonts w:hint="eastAsia" w:ascii="宋体" w:hAnsi="宋体" w:cs="宋体"/>
          <w:sz w:val="24"/>
        </w:rPr>
        <w:t>联 系 人：徐钱良</w:t>
      </w:r>
    </w:p>
    <w:p>
      <w:pPr>
        <w:spacing w:line="360" w:lineRule="atLeast"/>
        <w:ind w:left="720"/>
        <w:rPr>
          <w:rFonts w:hint="eastAsia" w:ascii="宋体" w:hAnsi="宋体" w:cs="宋体"/>
          <w:sz w:val="24"/>
        </w:rPr>
      </w:pPr>
      <w:r>
        <w:rPr>
          <w:rFonts w:hint="eastAsia" w:ascii="宋体" w:hAnsi="宋体" w:cs="宋体"/>
          <w:sz w:val="24"/>
        </w:rPr>
        <w:t>电    话：86-571-81061800</w:t>
      </w:r>
    </w:p>
    <w:p>
      <w:pPr>
        <w:spacing w:line="360" w:lineRule="atLeast"/>
        <w:ind w:left="720"/>
        <w:rPr>
          <w:rFonts w:hint="eastAsia" w:ascii="宋体" w:hAnsi="宋体" w:cs="宋体"/>
          <w:sz w:val="24"/>
        </w:rPr>
      </w:pPr>
      <w:r>
        <w:rPr>
          <w:rFonts w:hint="eastAsia" w:ascii="宋体" w:hAnsi="宋体" w:cs="宋体"/>
          <w:sz w:val="24"/>
        </w:rPr>
        <w:t>传    真：86-571-81061803</w:t>
      </w:r>
    </w:p>
    <w:p>
      <w:pPr>
        <w:spacing w:line="360" w:lineRule="atLeast"/>
        <w:ind w:left="720"/>
        <w:rPr>
          <w:rFonts w:hint="eastAsia" w:ascii="宋体" w:hAnsi="宋体" w:cs="宋体"/>
          <w:sz w:val="24"/>
        </w:rPr>
      </w:pPr>
      <w:r>
        <w:rPr>
          <w:rFonts w:hint="eastAsia" w:ascii="宋体" w:hAnsi="宋体" w:cs="宋体"/>
          <w:sz w:val="24"/>
        </w:rPr>
        <w:t>电子信箱：</w:t>
      </w:r>
      <w:r>
        <w:rPr>
          <w:rFonts w:hint="eastAsia" w:ascii="宋体" w:hAnsi="宋体" w:cs="宋体"/>
          <w:sz w:val="24"/>
          <w:lang w:val="en-US" w:eastAsia="zh-CN"/>
        </w:rPr>
        <w:t>526551115</w:t>
      </w:r>
      <w:r>
        <w:rPr>
          <w:rFonts w:hint="eastAsia" w:ascii="宋体" w:hAnsi="宋体" w:cs="宋体"/>
          <w:sz w:val="24"/>
        </w:rPr>
        <w:t>@qq.com</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jc w:val="center"/>
        <w:rPr>
          <w:rFonts w:hint="eastAsia" w:ascii="宋体" w:hAnsi="宋体" w:cs="宋体"/>
          <w:b/>
          <w:sz w:val="32"/>
        </w:rPr>
      </w:pPr>
    </w:p>
    <w:p>
      <w:pPr>
        <w:spacing w:line="360" w:lineRule="auto"/>
        <w:jc w:val="center"/>
        <w:rPr>
          <w:rFonts w:hint="eastAsia" w:ascii="宋体" w:hAnsi="宋体" w:cs="宋体"/>
          <w:b/>
          <w:sz w:val="32"/>
        </w:rPr>
      </w:pPr>
    </w:p>
    <w:p>
      <w:pPr>
        <w:spacing w:line="360" w:lineRule="auto"/>
        <w:jc w:val="center"/>
        <w:rPr>
          <w:rFonts w:hint="eastAsia" w:ascii="宋体" w:hAnsi="宋体" w:cs="宋体"/>
          <w:b/>
          <w:sz w:val="32"/>
        </w:rPr>
      </w:pPr>
    </w:p>
    <w:p>
      <w:pPr>
        <w:spacing w:line="360" w:lineRule="auto"/>
        <w:jc w:val="center"/>
        <w:rPr>
          <w:rFonts w:hint="eastAsia" w:ascii="宋体" w:hAnsi="宋体" w:cs="宋体"/>
          <w:b/>
          <w:sz w:val="32"/>
        </w:rPr>
      </w:pPr>
      <w:r>
        <w:rPr>
          <w:rFonts w:hint="eastAsia" w:ascii="宋体" w:hAnsi="宋体" w:cs="宋体"/>
          <w:b/>
          <w:sz w:val="32"/>
        </w:rPr>
        <w:t>第六章 投标资料表</w:t>
      </w:r>
    </w:p>
    <w:p>
      <w:pPr>
        <w:rPr>
          <w:rFonts w:hint="eastAsia" w:ascii="宋体" w:hAnsi="宋体" w:cs="宋体"/>
        </w:rPr>
      </w:pPr>
    </w:p>
    <w:p>
      <w:pPr>
        <w:rPr>
          <w:rFonts w:hint="eastAsia" w:ascii="宋体" w:hAnsi="宋体" w:cs="宋体"/>
          <w:szCs w:val="21"/>
        </w:rPr>
      </w:pPr>
      <w:r>
        <w:rPr>
          <w:rFonts w:hint="eastAsia" w:ascii="宋体" w:hAnsi="宋体" w:cs="宋体"/>
        </w:rPr>
        <w:t xml:space="preserve">  </w:t>
      </w:r>
      <w:r>
        <w:rPr>
          <w:rFonts w:hint="eastAsia" w:ascii="宋体" w:hAnsi="宋体" w:cs="宋体"/>
          <w:sz w:val="24"/>
        </w:rPr>
        <w:t xml:space="preserve">  </w:t>
      </w:r>
      <w:r>
        <w:rPr>
          <w:rFonts w:hint="eastAsia" w:ascii="宋体" w:hAnsi="宋体" w:cs="宋体"/>
          <w:szCs w:val="21"/>
        </w:rPr>
        <w:t>本表关于要采购的货物的具体资料是对投标人须知的具体补充和修改，如有矛盾，应以本资料表为准。</w:t>
      </w:r>
    </w:p>
    <w:tbl>
      <w:tblPr>
        <w:tblStyle w:val="1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696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条款号</w:t>
            </w:r>
          </w:p>
        </w:tc>
        <w:tc>
          <w:tcPr>
            <w:tcW w:w="6965" w:type="dxa"/>
            <w:noWrap w:val="0"/>
            <w:vAlign w:val="center"/>
          </w:tcPr>
          <w:p>
            <w:pPr>
              <w:jc w:val="center"/>
              <w:rPr>
                <w:rFonts w:hint="eastAsia" w:ascii="宋体" w:hAnsi="宋体" w:cs="宋体"/>
                <w:b/>
                <w:szCs w:val="21"/>
              </w:rPr>
            </w:pPr>
            <w:r>
              <w:rPr>
                <w:rFonts w:hint="eastAsia" w:ascii="宋体" w:hAnsi="宋体" w:cs="宋体"/>
                <w:b/>
                <w:szCs w:val="21"/>
              </w:rPr>
              <w:t>内       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5" w:type="dxa"/>
            <w:gridSpan w:val="2"/>
            <w:noWrap w:val="0"/>
            <w:vAlign w:val="center"/>
          </w:tcPr>
          <w:p>
            <w:pPr>
              <w:jc w:val="center"/>
              <w:rPr>
                <w:rFonts w:hint="eastAsia" w:ascii="宋体" w:hAnsi="宋体" w:cs="宋体"/>
                <w:b/>
                <w:szCs w:val="21"/>
              </w:rPr>
            </w:pPr>
            <w:r>
              <w:rPr>
                <w:rFonts w:hint="eastAsia" w:ascii="宋体" w:hAnsi="宋体" w:cs="宋体"/>
                <w:b/>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1.2</w:t>
            </w:r>
          </w:p>
        </w:tc>
        <w:tc>
          <w:tcPr>
            <w:tcW w:w="6965" w:type="dxa"/>
            <w:noWrap w:val="0"/>
            <w:vAlign w:val="center"/>
          </w:tcPr>
          <w:p>
            <w:pPr>
              <w:rPr>
                <w:rFonts w:hint="eastAsia" w:ascii="宋体" w:hAnsi="宋体" w:cs="宋体"/>
                <w:szCs w:val="21"/>
              </w:rPr>
            </w:pPr>
            <w:r>
              <w:rPr>
                <w:rFonts w:hint="eastAsia" w:ascii="宋体" w:hAnsi="宋体" w:cs="宋体"/>
                <w:szCs w:val="21"/>
              </w:rPr>
              <w:t>招标人名称：浙江省肿瘤医院</w:t>
            </w:r>
          </w:p>
          <w:p>
            <w:pPr>
              <w:rPr>
                <w:rFonts w:hint="eastAsia" w:ascii="宋体" w:hAnsi="宋体" w:cs="宋体"/>
                <w:szCs w:val="21"/>
              </w:rPr>
            </w:pPr>
            <w:r>
              <w:rPr>
                <w:rFonts w:hint="eastAsia" w:ascii="宋体" w:hAnsi="宋体" w:cs="宋体"/>
                <w:szCs w:val="21"/>
              </w:rPr>
              <w:t>招标人地址：</w:t>
            </w:r>
            <w:r>
              <w:rPr>
                <w:rFonts w:hint="eastAsia" w:ascii="宋体" w:hAnsi="宋体" w:cs="宋体"/>
                <w:szCs w:val="21"/>
                <w:shd w:val="clear" w:color="auto" w:fill="FFFFFF"/>
              </w:rPr>
              <w:t>杭州市拱墅区半山东路1号</w:t>
            </w:r>
          </w:p>
          <w:p>
            <w:pPr>
              <w:tabs>
                <w:tab w:val="center" w:pos="4153"/>
                <w:tab w:val="right" w:pos="8306"/>
              </w:tabs>
              <w:snapToGrid w:val="0"/>
              <w:rPr>
                <w:rFonts w:hint="eastAsia" w:ascii="宋体" w:hAnsi="宋体" w:cs="宋体"/>
                <w:szCs w:val="21"/>
              </w:rPr>
            </w:pPr>
            <w:r>
              <w:rPr>
                <w:rFonts w:hint="eastAsia" w:ascii="宋体" w:hAnsi="宋体" w:cs="宋体"/>
                <w:szCs w:val="21"/>
              </w:rPr>
              <w:t>邮编：</w:t>
            </w:r>
            <w:r>
              <w:rPr>
                <w:rFonts w:hint="eastAsia" w:ascii="宋体" w:hAnsi="宋体" w:cs="宋体"/>
              </w:rPr>
              <w:t>310000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1.2</w:t>
            </w:r>
          </w:p>
        </w:tc>
        <w:tc>
          <w:tcPr>
            <w:tcW w:w="6965" w:type="dxa"/>
            <w:noWrap w:val="0"/>
            <w:vAlign w:val="center"/>
          </w:tcPr>
          <w:p>
            <w:pPr>
              <w:rPr>
                <w:rFonts w:hint="eastAsia" w:ascii="宋体" w:hAnsi="宋体" w:cs="宋体"/>
              </w:rPr>
            </w:pPr>
            <w:r>
              <w:rPr>
                <w:rFonts w:hint="eastAsia" w:ascii="宋体" w:hAnsi="宋体" w:cs="宋体"/>
              </w:rPr>
              <w:t>招标机构名称：浙江国际招（投）标公司</w:t>
            </w:r>
          </w:p>
          <w:p>
            <w:pPr>
              <w:rPr>
                <w:rFonts w:hint="eastAsia" w:ascii="宋体" w:hAnsi="宋体" w:eastAsia="宋体" w:cs="宋体"/>
                <w:lang w:eastAsia="zh-CN"/>
              </w:rPr>
            </w:pPr>
            <w:r>
              <w:rPr>
                <w:rFonts w:hint="eastAsia" w:ascii="宋体" w:hAnsi="宋体" w:cs="宋体"/>
              </w:rPr>
              <w:t>招标单位地址：杭州市文三路90号东部软件园</w:t>
            </w:r>
            <w:r>
              <w:rPr>
                <w:rFonts w:hint="eastAsia" w:ascii="宋体" w:hAnsi="宋体" w:cs="宋体"/>
                <w:lang w:eastAsia="zh-CN"/>
              </w:rPr>
              <w:t>1号楼3楼</w:t>
            </w:r>
            <w:r>
              <w:rPr>
                <w:rFonts w:hint="eastAsia" w:ascii="宋体" w:hAnsi="宋体" w:cs="宋体"/>
                <w:lang w:eastAsia="zh-CN"/>
              </w:rPr>
              <w:tab/>
            </w:r>
          </w:p>
          <w:p>
            <w:pPr>
              <w:rPr>
                <w:rStyle w:val="16"/>
                <w:rFonts w:hint="eastAsia" w:ascii="宋体" w:hAnsi="宋体" w:cs="宋体"/>
              </w:rPr>
            </w:pPr>
            <w:r>
              <w:rPr>
                <w:rStyle w:val="16"/>
                <w:rFonts w:hint="eastAsia" w:ascii="宋体" w:hAnsi="宋体" w:cs="宋体"/>
              </w:rPr>
              <w:t>邮编：310012</w:t>
            </w:r>
          </w:p>
          <w:p>
            <w:pPr>
              <w:rPr>
                <w:rFonts w:hint="eastAsia" w:ascii="宋体" w:hAnsi="宋体" w:cs="宋体"/>
              </w:rPr>
            </w:pPr>
            <w:r>
              <w:rPr>
                <w:rFonts w:hint="eastAsia" w:ascii="宋体" w:hAnsi="宋体" w:cs="宋体"/>
              </w:rPr>
              <w:t>电话：86-571-81061800</w:t>
            </w:r>
          </w:p>
          <w:p>
            <w:pPr>
              <w:rPr>
                <w:rFonts w:hint="eastAsia" w:ascii="宋体" w:hAnsi="宋体" w:cs="宋体"/>
                <w:szCs w:val="21"/>
              </w:rPr>
            </w:pPr>
            <w:r>
              <w:rPr>
                <w:rFonts w:hint="eastAsia" w:ascii="宋体" w:hAnsi="宋体" w:cs="宋体"/>
              </w:rPr>
              <w:t>传真：86-571-81061803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1.3</w:t>
            </w:r>
          </w:p>
        </w:tc>
        <w:tc>
          <w:tcPr>
            <w:tcW w:w="6965" w:type="dxa"/>
            <w:noWrap w:val="0"/>
            <w:vAlign w:val="center"/>
          </w:tcPr>
          <w:p>
            <w:pPr>
              <w:rPr>
                <w:rFonts w:hint="eastAsia" w:ascii="宋体" w:hAnsi="宋体" w:cs="宋体"/>
                <w:szCs w:val="21"/>
              </w:rPr>
            </w:pPr>
            <w:r>
              <w:rPr>
                <w:rFonts w:hint="eastAsia" w:ascii="宋体" w:hAnsi="宋体" w:cs="宋体"/>
                <w:szCs w:val="21"/>
              </w:rPr>
              <w:t>合同名称：</w:t>
            </w:r>
            <w:r>
              <w:rPr>
                <w:rFonts w:hint="eastAsia" w:ascii="宋体" w:hAnsi="宋体" w:cs="宋体"/>
                <w:szCs w:val="21"/>
                <w:lang w:eastAsia="zh-CN"/>
              </w:rPr>
              <w:t>医用直线加速器</w:t>
            </w:r>
            <w:r>
              <w:rPr>
                <w:rFonts w:hint="eastAsia" w:ascii="宋体" w:hAnsi="宋体" w:cs="宋体"/>
                <w:szCs w:val="21"/>
              </w:rPr>
              <w:t>采购合同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2.2</w:t>
            </w:r>
          </w:p>
        </w:tc>
        <w:tc>
          <w:tcPr>
            <w:tcW w:w="6965" w:type="dxa"/>
            <w:noWrap w:val="0"/>
            <w:vAlign w:val="center"/>
          </w:tcPr>
          <w:p>
            <w:pPr>
              <w:rPr>
                <w:rFonts w:hint="eastAsia" w:ascii="宋体" w:hAnsi="宋体" w:cs="宋体"/>
              </w:rPr>
            </w:pPr>
            <w:r>
              <w:rPr>
                <w:rFonts w:hint="eastAsia" w:ascii="宋体" w:hAnsi="宋体" w:cs="宋体"/>
              </w:rPr>
              <w:t>合格货源国限制：凡是来自中华人民共和国或是与中华人民共和国有正常贸易往来的国家和地区的投标人均可投标。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8.</w:t>
            </w:r>
          </w:p>
        </w:tc>
        <w:tc>
          <w:tcPr>
            <w:tcW w:w="6965" w:type="dxa"/>
            <w:noWrap w:val="0"/>
            <w:vAlign w:val="center"/>
          </w:tcPr>
          <w:p>
            <w:pPr>
              <w:rPr>
                <w:rFonts w:hint="eastAsia" w:ascii="宋体" w:hAnsi="宋体" w:cs="宋体"/>
                <w:szCs w:val="21"/>
                <w:lang w:val="de-DE"/>
              </w:rPr>
            </w:pPr>
            <w:r>
              <w:rPr>
                <w:rFonts w:hint="eastAsia" w:ascii="宋体" w:hAnsi="宋体" w:cs="宋体"/>
                <w:szCs w:val="21"/>
              </w:rPr>
              <w:t>投标语言：中文和/或英文，如有冲突，以英文为准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5" w:type="dxa"/>
            <w:gridSpan w:val="2"/>
            <w:noWrap w:val="0"/>
            <w:vAlign w:val="center"/>
          </w:tcPr>
          <w:p>
            <w:pPr>
              <w:jc w:val="center"/>
              <w:rPr>
                <w:rFonts w:hint="eastAsia" w:ascii="宋体" w:hAnsi="宋体" w:cs="宋体"/>
                <w:b/>
                <w:szCs w:val="21"/>
              </w:rPr>
            </w:pPr>
            <w:r>
              <w:rPr>
                <w:rFonts w:hint="eastAsia" w:ascii="宋体" w:hAnsi="宋体" w:cs="宋体"/>
                <w:b/>
                <w:szCs w:val="21"/>
              </w:rPr>
              <w:t>投  标  报  价  和  货  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11.6.1</w:t>
            </w:r>
          </w:p>
        </w:tc>
        <w:tc>
          <w:tcPr>
            <w:tcW w:w="6965" w:type="dxa"/>
            <w:noWrap w:val="0"/>
            <w:vAlign w:val="top"/>
          </w:tcPr>
          <w:p>
            <w:pPr>
              <w:rPr>
                <w:rFonts w:hint="eastAsia" w:ascii="宋体" w:hAnsi="宋体" w:cs="宋体"/>
                <w:szCs w:val="21"/>
              </w:rPr>
            </w:pPr>
            <w:r>
              <w:rPr>
                <w:rFonts w:hint="eastAsia" w:ascii="宋体" w:hAnsi="宋体" w:cs="宋体"/>
                <w:szCs w:val="21"/>
              </w:rPr>
              <w:t>投标报价：</w:t>
            </w:r>
          </w:p>
          <w:p>
            <w:pPr>
              <w:rPr>
                <w:rFonts w:hint="eastAsia" w:ascii="宋体" w:hAnsi="宋体" w:cs="宋体"/>
                <w:szCs w:val="21"/>
              </w:rPr>
            </w:pPr>
            <w:r>
              <w:rPr>
                <w:rFonts w:hint="eastAsia" w:ascii="宋体" w:hAnsi="宋体" w:cs="宋体"/>
                <w:szCs w:val="21"/>
              </w:rPr>
              <w:t xml:space="preserve">中华人民共和国关境内制造的货物： </w:t>
            </w:r>
          </w:p>
          <w:p>
            <w:pPr>
              <w:rPr>
                <w:rFonts w:hint="eastAsia" w:ascii="宋体" w:hAnsi="宋体" w:cs="宋体"/>
                <w:szCs w:val="21"/>
              </w:rPr>
            </w:pPr>
            <w:r>
              <w:rPr>
                <w:rFonts w:hint="eastAsia" w:ascii="宋体" w:hAnsi="宋体" w:cs="宋体"/>
                <w:szCs w:val="21"/>
              </w:rPr>
              <w:t xml:space="preserve">1）投标报价：货到医院人民币价 </w:t>
            </w:r>
          </w:p>
          <w:p>
            <w:pPr>
              <w:rPr>
                <w:rFonts w:hint="eastAsia" w:ascii="宋体" w:hAnsi="宋体" w:cs="宋体"/>
                <w:szCs w:val="21"/>
              </w:rPr>
            </w:pPr>
            <w:r>
              <w:rPr>
                <w:rFonts w:hint="eastAsia" w:ascii="宋体" w:hAnsi="宋体" w:cs="宋体"/>
                <w:szCs w:val="21"/>
              </w:rPr>
              <w:t>2）相关费用：报价需包含设备的安装、调试、验收等费用</w:t>
            </w:r>
          </w:p>
          <w:p>
            <w:pPr>
              <w:rPr>
                <w:rFonts w:hint="eastAsia" w:ascii="宋体" w:hAnsi="宋体" w:cs="宋体"/>
                <w:szCs w:val="21"/>
              </w:rPr>
            </w:pPr>
            <w:r>
              <w:rPr>
                <w:rFonts w:hint="eastAsia" w:ascii="宋体" w:hAnsi="宋体" w:cs="宋体"/>
                <w:szCs w:val="21"/>
              </w:rPr>
              <w:t>投标截止时间前已经进口的货物：</w:t>
            </w:r>
          </w:p>
          <w:p>
            <w:pPr>
              <w:rPr>
                <w:rFonts w:hint="eastAsia" w:ascii="宋体" w:hAnsi="宋体" w:cs="宋体"/>
                <w:szCs w:val="21"/>
              </w:rPr>
            </w:pPr>
            <w:r>
              <w:rPr>
                <w:rFonts w:hint="eastAsia" w:ascii="宋体" w:hAnsi="宋体" w:cs="宋体"/>
                <w:szCs w:val="21"/>
              </w:rPr>
              <w:t>1）投标报价：货到医院人民币价</w:t>
            </w:r>
          </w:p>
          <w:p>
            <w:pPr>
              <w:rPr>
                <w:rFonts w:hint="eastAsia" w:ascii="宋体" w:hAnsi="宋体" w:cs="宋体"/>
                <w:szCs w:val="21"/>
              </w:rPr>
            </w:pPr>
            <w:r>
              <w:rPr>
                <w:rFonts w:hint="eastAsia" w:ascii="宋体" w:hAnsi="宋体" w:cs="宋体"/>
                <w:szCs w:val="21"/>
              </w:rPr>
              <w:t>2）相关费用：报价需包含设备的安装、调试、验收等费用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11.6.2</w:t>
            </w:r>
          </w:p>
        </w:tc>
        <w:tc>
          <w:tcPr>
            <w:tcW w:w="6965" w:type="dxa"/>
            <w:noWrap w:val="0"/>
            <w:vAlign w:val="top"/>
          </w:tcPr>
          <w:p>
            <w:pPr>
              <w:rPr>
                <w:rFonts w:hint="eastAsia" w:ascii="宋体" w:hAnsi="宋体" w:cs="宋体"/>
                <w:szCs w:val="21"/>
              </w:rPr>
            </w:pPr>
            <w:r>
              <w:rPr>
                <w:rFonts w:hint="eastAsia" w:ascii="宋体" w:hAnsi="宋体" w:cs="宋体"/>
                <w:szCs w:val="21"/>
              </w:rPr>
              <w:t>投标报价：</w:t>
            </w:r>
          </w:p>
          <w:p>
            <w:pPr>
              <w:rPr>
                <w:rFonts w:hint="eastAsia" w:ascii="宋体" w:hAnsi="宋体" w:cs="宋体"/>
                <w:szCs w:val="21"/>
              </w:rPr>
            </w:pPr>
            <w:r>
              <w:rPr>
                <w:rFonts w:hint="eastAsia" w:ascii="宋体" w:hAnsi="宋体" w:cs="宋体"/>
                <w:szCs w:val="21"/>
              </w:rPr>
              <w:t>1、中华人民共和国关境外提供的货物：</w:t>
            </w:r>
          </w:p>
          <w:p>
            <w:pPr>
              <w:rPr>
                <w:rFonts w:hint="eastAsia" w:ascii="宋体" w:hAnsi="宋体" w:cs="宋体"/>
                <w:szCs w:val="21"/>
              </w:rPr>
            </w:pPr>
            <w:r>
              <w:rPr>
                <w:rFonts w:hint="eastAsia" w:ascii="宋体" w:hAnsi="宋体" w:cs="宋体"/>
                <w:szCs w:val="21"/>
              </w:rPr>
              <w:t>1）投标报价：DDP（货到医院人民币价）或CIP医院（美元或国际主要结算货币）</w:t>
            </w:r>
          </w:p>
          <w:p>
            <w:pPr>
              <w:rPr>
                <w:rFonts w:hint="eastAsia" w:ascii="宋体" w:hAnsi="宋体" w:cs="宋体"/>
                <w:szCs w:val="21"/>
              </w:rPr>
            </w:pPr>
            <w:r>
              <w:rPr>
                <w:rFonts w:hint="eastAsia" w:ascii="宋体" w:hAnsi="宋体" w:cs="宋体"/>
                <w:szCs w:val="21"/>
              </w:rPr>
              <w:t>2）相关费用：报价需包含设备的安装、调试、验收等费用。（人民币报价还需包含关税、增值税等各种税费）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12.1</w:t>
            </w:r>
          </w:p>
        </w:tc>
        <w:tc>
          <w:tcPr>
            <w:tcW w:w="6965" w:type="dxa"/>
            <w:noWrap w:val="0"/>
            <w:vAlign w:val="center"/>
          </w:tcPr>
          <w:p>
            <w:pPr>
              <w:rPr>
                <w:rFonts w:hint="eastAsia" w:ascii="宋体" w:hAnsi="宋体" w:cs="宋体"/>
                <w:szCs w:val="21"/>
              </w:rPr>
            </w:pPr>
            <w:r>
              <w:rPr>
                <w:rFonts w:hint="eastAsia" w:ascii="宋体" w:hAnsi="宋体" w:cs="宋体"/>
                <w:szCs w:val="21"/>
              </w:rPr>
              <w:t>从国内供货：</w:t>
            </w:r>
          </w:p>
          <w:p>
            <w:pPr>
              <w:rPr>
                <w:rFonts w:hint="eastAsia" w:ascii="宋体" w:hAnsi="宋体" w:cs="宋体"/>
                <w:szCs w:val="21"/>
              </w:rPr>
            </w:pPr>
            <w:r>
              <w:rPr>
                <w:rFonts w:hint="eastAsia" w:ascii="宋体" w:hAnsi="宋体" w:cs="宋体"/>
                <w:szCs w:val="21"/>
              </w:rPr>
              <w:t>投标货币：人民币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12.2</w:t>
            </w:r>
          </w:p>
        </w:tc>
        <w:tc>
          <w:tcPr>
            <w:tcW w:w="6965" w:type="dxa"/>
            <w:noWrap w:val="0"/>
            <w:vAlign w:val="center"/>
          </w:tcPr>
          <w:p>
            <w:pPr>
              <w:rPr>
                <w:rFonts w:hint="eastAsia" w:ascii="宋体" w:hAnsi="宋体" w:cs="宋体"/>
                <w:szCs w:val="21"/>
              </w:rPr>
            </w:pPr>
            <w:r>
              <w:rPr>
                <w:rFonts w:hint="eastAsia" w:ascii="宋体" w:hAnsi="宋体" w:cs="宋体"/>
                <w:szCs w:val="21"/>
              </w:rPr>
              <w:t>从国外供货：</w:t>
            </w:r>
          </w:p>
          <w:p>
            <w:pPr>
              <w:rPr>
                <w:rFonts w:hint="eastAsia" w:ascii="宋体" w:hAnsi="宋体" w:cs="宋体"/>
                <w:szCs w:val="21"/>
                <w:u w:val="single"/>
              </w:rPr>
            </w:pPr>
            <w:r>
              <w:rPr>
                <w:rFonts w:hint="eastAsia" w:ascii="宋体" w:hAnsi="宋体" w:cs="宋体"/>
                <w:szCs w:val="21"/>
              </w:rPr>
              <w:t>投标货币：人民币、美元或国际主要结算货币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5" w:type="dxa"/>
            <w:gridSpan w:val="2"/>
            <w:noWrap w:val="0"/>
            <w:vAlign w:val="center"/>
          </w:tcPr>
          <w:p>
            <w:pPr>
              <w:jc w:val="center"/>
              <w:rPr>
                <w:rFonts w:hint="eastAsia" w:ascii="宋体" w:hAnsi="宋体" w:cs="宋体"/>
                <w:b/>
                <w:szCs w:val="21"/>
              </w:rPr>
            </w:pPr>
            <w:r>
              <w:rPr>
                <w:rFonts w:hint="eastAsia" w:ascii="宋体" w:hAnsi="宋体" w:cs="宋体"/>
                <w:b/>
                <w:szCs w:val="21"/>
              </w:rPr>
              <w:t>投 标 文 件 的 编 制 和 递 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13.</w:t>
            </w:r>
          </w:p>
        </w:tc>
        <w:tc>
          <w:tcPr>
            <w:tcW w:w="6965" w:type="dxa"/>
            <w:noWrap w:val="0"/>
            <w:vAlign w:val="center"/>
          </w:tcPr>
          <w:p>
            <w:pPr>
              <w:rPr>
                <w:rFonts w:hint="eastAsia" w:ascii="宋体" w:hAnsi="宋体" w:cs="宋体"/>
                <w:szCs w:val="21"/>
              </w:rPr>
            </w:pPr>
            <w:r>
              <w:rPr>
                <w:rFonts w:hint="eastAsia" w:ascii="宋体" w:hAnsi="宋体" w:cs="宋体"/>
                <w:szCs w:val="21"/>
              </w:rPr>
              <w:t>*资格标准：</w:t>
            </w:r>
          </w:p>
          <w:p>
            <w:pPr>
              <w:ind w:left="105" w:leftChars="50"/>
              <w:rPr>
                <w:rFonts w:hint="eastAsia" w:ascii="宋体" w:hAnsi="宋体" w:cs="宋体"/>
                <w:kern w:val="0"/>
                <w:szCs w:val="21"/>
              </w:rPr>
            </w:pPr>
            <w:r>
              <w:rPr>
                <w:rFonts w:hint="eastAsia" w:ascii="宋体" w:hAnsi="宋体" w:cs="宋体"/>
                <w:szCs w:val="21"/>
              </w:rPr>
              <w:t>提供</w:t>
            </w:r>
            <w:r>
              <w:rPr>
                <w:rFonts w:hint="eastAsia" w:ascii="宋体" w:hAnsi="宋体" w:cs="宋体"/>
                <w:kern w:val="0"/>
                <w:szCs w:val="21"/>
                <w:lang w:eastAsia="zh-CN"/>
              </w:rPr>
              <w:t>医用直线加速器</w:t>
            </w:r>
            <w:r>
              <w:rPr>
                <w:rFonts w:hint="eastAsia" w:ascii="宋体" w:hAnsi="宋体" w:cs="宋体"/>
                <w:kern w:val="0"/>
                <w:szCs w:val="21"/>
              </w:rPr>
              <w:t>医疗器械注册证书复印件</w:t>
            </w:r>
          </w:p>
          <w:p>
            <w:pPr>
              <w:ind w:left="105" w:leftChars="50"/>
              <w:rPr>
                <w:rFonts w:hint="eastAsia" w:ascii="宋体" w:hAnsi="宋体" w:cs="宋体"/>
                <w:kern w:val="0"/>
                <w:szCs w:val="21"/>
              </w:rPr>
            </w:pPr>
            <w:r>
              <w:rPr>
                <w:rFonts w:hint="eastAsia" w:ascii="宋体" w:hAnsi="宋体" w:cs="宋体"/>
                <w:szCs w:val="21"/>
              </w:rPr>
              <w:t>提供</w:t>
            </w:r>
            <w:r>
              <w:rPr>
                <w:rFonts w:hint="eastAsia" w:ascii="宋体" w:hAnsi="宋体" w:cs="宋体"/>
                <w:kern w:val="0"/>
                <w:szCs w:val="21"/>
                <w:lang w:eastAsia="zh-CN"/>
              </w:rPr>
              <w:t>医用直线加速器</w:t>
            </w:r>
            <w:r>
              <w:rPr>
                <w:rFonts w:hint="eastAsia" w:ascii="宋体" w:hAnsi="宋体" w:cs="宋体"/>
                <w:szCs w:val="21"/>
              </w:rPr>
              <w:t>原厂DATASHEET复印件</w:t>
            </w:r>
          </w:p>
          <w:p>
            <w:pPr>
              <w:ind w:left="105" w:leftChars="50"/>
              <w:rPr>
                <w:rFonts w:hint="eastAsia" w:ascii="宋体" w:hAnsi="宋体" w:cs="宋体"/>
                <w:szCs w:val="21"/>
              </w:rPr>
            </w:pPr>
            <w:r>
              <w:rPr>
                <w:rFonts w:hint="eastAsia" w:ascii="宋体" w:hAnsi="宋体" w:cs="宋体"/>
                <w:szCs w:val="21"/>
              </w:rPr>
              <w:t>提供</w:t>
            </w:r>
            <w:r>
              <w:rPr>
                <w:rFonts w:hint="eastAsia" w:ascii="宋体" w:hAnsi="宋体" w:cs="宋体"/>
                <w:kern w:val="0"/>
                <w:szCs w:val="21"/>
                <w:lang w:eastAsia="zh-CN"/>
              </w:rPr>
              <w:t>医用直线加速器</w:t>
            </w:r>
            <w:r>
              <w:rPr>
                <w:rFonts w:hint="eastAsia" w:ascii="宋体" w:hAnsi="宋体" w:cs="宋体"/>
                <w:kern w:val="0"/>
                <w:szCs w:val="21"/>
              </w:rPr>
              <w:t>制造商出具的授权书</w:t>
            </w:r>
          </w:p>
          <w:p>
            <w:pPr>
              <w:ind w:firstLine="210" w:firstLineChars="100"/>
              <w:rPr>
                <w:rFonts w:hint="eastAsia" w:ascii="宋体" w:hAnsi="宋体" w:cs="宋体"/>
                <w:szCs w:val="21"/>
              </w:rPr>
            </w:pPr>
            <w:r>
              <w:rPr>
                <w:rFonts w:hint="eastAsia" w:ascii="宋体" w:hAnsi="宋体" w:cs="宋体"/>
                <w:szCs w:val="21"/>
              </w:rPr>
              <w:t>第一分册规定的其他资质文件</w:t>
            </w:r>
          </w:p>
          <w:p>
            <w:pPr>
              <w:ind w:left="210" w:leftChars="100"/>
              <w:rPr>
                <w:rFonts w:hint="eastAsia" w:ascii="宋体" w:hAnsi="宋体" w:cs="宋体"/>
                <w:szCs w:val="21"/>
              </w:rPr>
            </w:pPr>
            <w:r>
              <w:rPr>
                <w:rFonts w:hint="eastAsia" w:ascii="宋体" w:hAnsi="宋体" w:cs="宋体"/>
                <w:szCs w:val="21"/>
              </w:rPr>
              <w:t>资格证明文件必须由出具单位负责人签字并加盖单位公章（境外出具单位无印章的，由单位负责人签字）</w:t>
            </w:r>
          </w:p>
          <w:p>
            <w:pPr>
              <w:ind w:left="210" w:leftChars="100"/>
              <w:rPr>
                <w:rFonts w:hint="eastAsia" w:ascii="宋体" w:hAnsi="宋体" w:cs="宋体"/>
                <w:szCs w:val="21"/>
              </w:rPr>
            </w:pPr>
            <w:r>
              <w:rPr>
                <w:rFonts w:hint="eastAsia" w:ascii="宋体" w:hAnsi="宋体" w:cs="宋体"/>
                <w:szCs w:val="21"/>
              </w:rPr>
              <w:t>资格证明文件应按招标文件第一册规定的格式以及投标资料表规定的语言和份数提交。作为代理的投标人，必须提供制造商资格声明和制造商出具的授权函。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14.3（2）</w:t>
            </w:r>
          </w:p>
        </w:tc>
        <w:tc>
          <w:tcPr>
            <w:tcW w:w="6965" w:type="dxa"/>
            <w:noWrap w:val="0"/>
            <w:vAlign w:val="center"/>
          </w:tcPr>
          <w:p>
            <w:pPr>
              <w:rPr>
                <w:rFonts w:hint="eastAsia" w:ascii="宋体" w:hAnsi="宋体" w:cs="宋体"/>
              </w:rPr>
            </w:pPr>
            <w:r>
              <w:rPr>
                <w:rFonts w:hint="eastAsia" w:ascii="宋体" w:hAnsi="宋体" w:cs="宋体"/>
              </w:rPr>
              <w:t>货物验收后运行所需的备件：保修期内由卖方负责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spacing w:line="300" w:lineRule="auto"/>
              <w:jc w:val="center"/>
              <w:rPr>
                <w:rFonts w:hint="eastAsia" w:ascii="宋体" w:hAnsi="宋体" w:cs="宋体"/>
              </w:rPr>
            </w:pPr>
            <w:r>
              <w:rPr>
                <w:rFonts w:hint="eastAsia" w:ascii="宋体" w:hAnsi="宋体" w:cs="宋体"/>
              </w:rPr>
              <w:t>15.1</w:t>
            </w:r>
          </w:p>
        </w:tc>
        <w:tc>
          <w:tcPr>
            <w:tcW w:w="6965" w:type="dxa"/>
            <w:noWrap w:val="0"/>
            <w:vAlign w:val="center"/>
          </w:tcPr>
          <w:p>
            <w:pPr>
              <w:rPr>
                <w:rFonts w:hint="eastAsia" w:ascii="宋体" w:hAnsi="宋体" w:cs="宋体"/>
              </w:rPr>
            </w:pPr>
            <w:r>
              <w:rPr>
                <w:rFonts w:hint="eastAsia" w:ascii="宋体" w:hAnsi="宋体" w:cs="宋体"/>
              </w:rPr>
              <w:t>投标保证金金额：无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spacing w:line="300" w:lineRule="auto"/>
              <w:jc w:val="center"/>
              <w:rPr>
                <w:rFonts w:hint="eastAsia" w:ascii="宋体" w:hAnsi="宋体" w:cs="宋体"/>
              </w:rPr>
            </w:pPr>
            <w:r>
              <w:rPr>
                <w:rFonts w:hint="eastAsia" w:ascii="宋体" w:hAnsi="宋体" w:cs="宋体"/>
              </w:rPr>
              <w:t>15.3</w:t>
            </w:r>
          </w:p>
        </w:tc>
        <w:tc>
          <w:tcPr>
            <w:tcW w:w="6965" w:type="dxa"/>
            <w:noWrap w:val="0"/>
            <w:vAlign w:val="center"/>
          </w:tcPr>
          <w:p>
            <w:pPr>
              <w:rPr>
                <w:rFonts w:hint="eastAsia" w:ascii="宋体" w:hAnsi="宋体" w:cs="宋体"/>
              </w:rPr>
            </w:pPr>
            <w:r>
              <w:rPr>
                <w:rFonts w:hint="eastAsia" w:ascii="宋体" w:hAnsi="宋体" w:cs="宋体"/>
              </w:rPr>
              <w:t>投标保证金有效期：不适用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16.1</w:t>
            </w:r>
          </w:p>
        </w:tc>
        <w:tc>
          <w:tcPr>
            <w:tcW w:w="6965" w:type="dxa"/>
            <w:noWrap w:val="0"/>
            <w:vAlign w:val="center"/>
          </w:tcPr>
          <w:p>
            <w:pPr>
              <w:rPr>
                <w:rFonts w:hint="eastAsia" w:ascii="宋体" w:hAnsi="宋体" w:cs="宋体"/>
                <w:i/>
                <w:szCs w:val="21"/>
              </w:rPr>
            </w:pPr>
            <w:r>
              <w:rPr>
                <w:rFonts w:hint="eastAsia" w:ascii="宋体" w:hAnsi="宋体" w:cs="宋体"/>
                <w:szCs w:val="21"/>
              </w:rPr>
              <w:t>投标有效期：90天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17.1</w:t>
            </w:r>
          </w:p>
        </w:tc>
        <w:tc>
          <w:tcPr>
            <w:tcW w:w="6965" w:type="dxa"/>
            <w:noWrap w:val="0"/>
            <w:vAlign w:val="center"/>
          </w:tcPr>
          <w:p>
            <w:pPr>
              <w:rPr>
                <w:rFonts w:hint="eastAsia" w:ascii="宋体" w:hAnsi="宋体" w:cs="宋体"/>
                <w:szCs w:val="21"/>
              </w:rPr>
            </w:pPr>
            <w:r>
              <w:rPr>
                <w:rFonts w:hint="eastAsia" w:ascii="宋体" w:hAnsi="宋体" w:cs="宋体"/>
                <w:szCs w:val="21"/>
              </w:rPr>
              <w:t>副本的份数：6份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17.2</w:t>
            </w:r>
          </w:p>
        </w:tc>
        <w:tc>
          <w:tcPr>
            <w:tcW w:w="6965" w:type="dxa"/>
            <w:noWrap w:val="0"/>
            <w:vAlign w:val="center"/>
          </w:tcPr>
          <w:p>
            <w:pPr>
              <w:rPr>
                <w:rFonts w:hint="eastAsia" w:ascii="宋体" w:hAnsi="宋体" w:cs="宋体"/>
                <w:szCs w:val="21"/>
              </w:rPr>
            </w:pPr>
            <w:r>
              <w:rPr>
                <w:rFonts w:hint="eastAsia" w:ascii="宋体" w:hAnsi="宋体" w:cs="宋体"/>
                <w:szCs w:val="21"/>
              </w:rPr>
              <w:t>*必须由法定代表人或经其正式授权的代表进行逐页签字，否则废标。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18.2</w:t>
            </w:r>
          </w:p>
        </w:tc>
        <w:tc>
          <w:tcPr>
            <w:tcW w:w="6965" w:type="dxa"/>
            <w:noWrap w:val="0"/>
            <w:vAlign w:val="center"/>
          </w:tcPr>
          <w:p>
            <w:pPr>
              <w:rPr>
                <w:rFonts w:hint="eastAsia" w:ascii="宋体" w:hAnsi="宋体" w:eastAsia="宋体" w:cs="宋体"/>
                <w:szCs w:val="21"/>
                <w:lang w:eastAsia="zh-CN"/>
              </w:rPr>
            </w:pPr>
            <w:r>
              <w:rPr>
                <w:rFonts w:hint="eastAsia" w:ascii="宋体" w:hAnsi="宋体" w:cs="宋体"/>
                <w:szCs w:val="21"/>
              </w:rPr>
              <w:t>投标书递交至：浙江国际招（投）标公司</w:t>
            </w:r>
            <w:r>
              <w:rPr>
                <w:rFonts w:hint="eastAsia" w:ascii="宋体" w:hAnsi="宋体" w:cs="宋体"/>
                <w:szCs w:val="21"/>
                <w:lang w:eastAsia="zh-CN"/>
              </w:rPr>
              <w:t>304会议室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18.2</w:t>
            </w:r>
          </w:p>
        </w:tc>
        <w:tc>
          <w:tcPr>
            <w:tcW w:w="6965" w:type="dxa"/>
            <w:noWrap w:val="0"/>
            <w:vAlign w:val="center"/>
          </w:tcPr>
          <w:p>
            <w:pPr>
              <w:rPr>
                <w:rFonts w:hint="eastAsia" w:ascii="宋体" w:hAnsi="宋体" w:eastAsia="宋体" w:cs="宋体"/>
                <w:szCs w:val="21"/>
                <w:lang w:eastAsia="zh-CN"/>
              </w:rPr>
            </w:pPr>
            <w:r>
              <w:rPr>
                <w:rFonts w:hint="eastAsia" w:ascii="宋体" w:hAnsi="宋体" w:cs="宋体"/>
              </w:rPr>
              <w:t>项目</w:t>
            </w:r>
            <w:r>
              <w:rPr>
                <w:rFonts w:hint="eastAsia" w:ascii="宋体" w:hAnsi="宋体" w:cs="宋体"/>
                <w:szCs w:val="21"/>
              </w:rPr>
              <w:t>名称：采购</w:t>
            </w:r>
            <w:r>
              <w:rPr>
                <w:rFonts w:hint="eastAsia" w:ascii="宋体" w:hAnsi="宋体" w:cs="宋体"/>
                <w:szCs w:val="21"/>
                <w:lang w:eastAsia="zh-CN"/>
              </w:rPr>
              <w:t>医用直线加速器</w:t>
            </w:r>
          </w:p>
          <w:p>
            <w:pPr>
              <w:rPr>
                <w:rFonts w:hint="eastAsia" w:ascii="宋体" w:hAnsi="宋体" w:eastAsia="宋体" w:cs="宋体"/>
                <w:lang w:eastAsia="zh-CN"/>
              </w:rPr>
            </w:pPr>
            <w:r>
              <w:rPr>
                <w:rFonts w:hint="eastAsia" w:ascii="宋体" w:hAnsi="宋体" w:cs="宋体"/>
                <w:szCs w:val="21"/>
              </w:rPr>
              <w:t>招标邀请编号：</w:t>
            </w:r>
            <w:r>
              <w:rPr>
                <w:rFonts w:hint="eastAsia" w:ascii="宋体" w:hAnsi="宋体" w:cs="宋体"/>
                <w:szCs w:val="21"/>
                <w:lang w:eastAsia="zh-CN"/>
              </w:rPr>
              <w:t>0801-214ZJ2132353</w:t>
            </w:r>
            <w:r>
              <w:rPr>
                <w:rFonts w:hint="eastAsia" w:ascii="宋体" w:hAnsi="宋体" w:cs="宋体"/>
                <w:szCs w:val="21"/>
                <w:lang w:eastAsia="zh-CN"/>
              </w:rPr>
              <w:tab/>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19.1</w:t>
            </w:r>
          </w:p>
        </w:tc>
        <w:tc>
          <w:tcPr>
            <w:tcW w:w="6965" w:type="dxa"/>
            <w:noWrap w:val="0"/>
            <w:vAlign w:val="center"/>
          </w:tcPr>
          <w:p>
            <w:pPr>
              <w:rPr>
                <w:rFonts w:hint="eastAsia" w:ascii="宋体" w:hAnsi="宋体" w:cs="宋体"/>
                <w:szCs w:val="21"/>
              </w:rPr>
            </w:pPr>
            <w:r>
              <w:rPr>
                <w:rFonts w:hint="eastAsia" w:ascii="宋体" w:hAnsi="宋体" w:cs="宋体"/>
                <w:szCs w:val="21"/>
              </w:rPr>
              <w:t>投标截止期：</w:t>
            </w:r>
            <w:r>
              <w:rPr>
                <w:rFonts w:hint="eastAsia" w:ascii="宋体" w:hAnsi="宋体" w:cs="宋体"/>
                <w:szCs w:val="21"/>
                <w:lang w:eastAsia="zh-CN"/>
              </w:rPr>
              <w:t>2021年10月22日09：30</w:t>
            </w:r>
            <w:r>
              <w:rPr>
                <w:rFonts w:hint="eastAsia" w:ascii="宋体" w:hAnsi="宋体" w:cs="宋体"/>
                <w:szCs w:val="21"/>
              </w:rPr>
              <w:t>时（北京时间）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22.1</w:t>
            </w:r>
          </w:p>
        </w:tc>
        <w:tc>
          <w:tcPr>
            <w:tcW w:w="6965" w:type="dxa"/>
            <w:noWrap w:val="0"/>
            <w:vAlign w:val="center"/>
          </w:tcPr>
          <w:p>
            <w:pPr>
              <w:rPr>
                <w:rFonts w:hint="eastAsia" w:ascii="宋体" w:hAnsi="宋体" w:cs="宋体"/>
                <w:szCs w:val="21"/>
              </w:rPr>
            </w:pPr>
            <w:r>
              <w:rPr>
                <w:rFonts w:hint="eastAsia" w:ascii="宋体" w:hAnsi="宋体" w:cs="宋体"/>
                <w:szCs w:val="21"/>
              </w:rPr>
              <w:t>开标时间：</w:t>
            </w:r>
            <w:r>
              <w:rPr>
                <w:rFonts w:hint="eastAsia" w:ascii="宋体" w:hAnsi="宋体" w:cs="宋体"/>
                <w:szCs w:val="21"/>
                <w:lang w:eastAsia="zh-CN"/>
              </w:rPr>
              <w:t>2021年10月22日09：30</w:t>
            </w:r>
            <w:r>
              <w:rPr>
                <w:rFonts w:hint="eastAsia" w:ascii="宋体" w:hAnsi="宋体" w:cs="宋体"/>
                <w:szCs w:val="21"/>
              </w:rPr>
              <w:t>时（北京时间）</w:t>
            </w:r>
          </w:p>
          <w:p>
            <w:pPr>
              <w:rPr>
                <w:rFonts w:hint="eastAsia" w:ascii="宋体" w:hAnsi="宋体" w:eastAsia="宋体" w:cs="宋体"/>
                <w:szCs w:val="21"/>
                <w:lang w:eastAsia="zh-CN"/>
              </w:rPr>
            </w:pPr>
            <w:r>
              <w:rPr>
                <w:rFonts w:hint="eastAsia" w:ascii="宋体" w:hAnsi="宋体" w:cs="宋体"/>
                <w:szCs w:val="21"/>
              </w:rPr>
              <w:t>地    点：浙江国际招（投）标公司</w:t>
            </w:r>
            <w:r>
              <w:rPr>
                <w:rFonts w:hint="eastAsia" w:ascii="宋体" w:hAnsi="宋体" w:cs="宋体"/>
                <w:szCs w:val="21"/>
                <w:lang w:eastAsia="zh-CN"/>
              </w:rPr>
              <w:t>304会议室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5" w:type="dxa"/>
            <w:gridSpan w:val="2"/>
            <w:noWrap w:val="0"/>
            <w:vAlign w:val="center"/>
          </w:tcPr>
          <w:p>
            <w:pPr>
              <w:jc w:val="center"/>
              <w:rPr>
                <w:rFonts w:hint="eastAsia" w:ascii="宋体" w:hAnsi="宋体" w:cs="宋体"/>
                <w:szCs w:val="21"/>
              </w:rPr>
            </w:pPr>
            <w:r>
              <w:rPr>
                <w:rFonts w:hint="eastAsia" w:ascii="宋体" w:hAnsi="宋体" w:cs="宋体"/>
                <w:b/>
                <w:szCs w:val="21"/>
              </w:rPr>
              <w:t>评          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23.1</w:t>
            </w:r>
          </w:p>
        </w:tc>
        <w:tc>
          <w:tcPr>
            <w:tcW w:w="6965" w:type="dxa"/>
            <w:noWrap w:val="0"/>
            <w:vAlign w:val="center"/>
          </w:tcPr>
          <w:p>
            <w:pPr>
              <w:rPr>
                <w:rFonts w:hint="eastAsia" w:ascii="宋体" w:hAnsi="宋体" w:cs="宋体"/>
                <w:szCs w:val="21"/>
              </w:rPr>
            </w:pPr>
            <w:r>
              <w:rPr>
                <w:rFonts w:hint="eastAsia" w:ascii="宋体" w:hAnsi="宋体" w:cs="宋体"/>
                <w:szCs w:val="21"/>
              </w:rPr>
              <w:t>评标办法：综合评价法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25.1</w:t>
            </w:r>
          </w:p>
        </w:tc>
        <w:tc>
          <w:tcPr>
            <w:tcW w:w="6965" w:type="dxa"/>
            <w:noWrap w:val="0"/>
            <w:vAlign w:val="center"/>
          </w:tcPr>
          <w:p>
            <w:pPr>
              <w:rPr>
                <w:rFonts w:hint="eastAsia" w:ascii="宋体" w:hAnsi="宋体" w:cs="宋体"/>
                <w:szCs w:val="21"/>
              </w:rPr>
            </w:pPr>
            <w:r>
              <w:rPr>
                <w:rFonts w:hint="eastAsia" w:ascii="宋体" w:hAnsi="宋体" w:cs="宋体"/>
                <w:szCs w:val="21"/>
              </w:rPr>
              <w:t>评标货币：美元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27.1</w:t>
            </w:r>
          </w:p>
        </w:tc>
        <w:tc>
          <w:tcPr>
            <w:tcW w:w="6965" w:type="dxa"/>
            <w:noWrap w:val="0"/>
            <w:vAlign w:val="center"/>
          </w:tcPr>
          <w:p>
            <w:pPr>
              <w:rPr>
                <w:rFonts w:hint="eastAsia" w:ascii="宋体" w:hAnsi="宋体" w:cs="宋体"/>
                <w:szCs w:val="21"/>
              </w:rPr>
            </w:pPr>
            <w:r>
              <w:rPr>
                <w:rFonts w:hint="eastAsia" w:ascii="宋体" w:hAnsi="宋体" w:cs="宋体"/>
                <w:szCs w:val="21"/>
              </w:rPr>
              <w:t>评标办法详见附件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27.4</w:t>
            </w:r>
          </w:p>
        </w:tc>
        <w:tc>
          <w:tcPr>
            <w:tcW w:w="6965" w:type="dxa"/>
            <w:noWrap w:val="0"/>
            <w:vAlign w:val="center"/>
          </w:tcPr>
          <w:p>
            <w:pPr>
              <w:ind w:left="315" w:hanging="315" w:hangingChars="150"/>
              <w:rPr>
                <w:rFonts w:hint="eastAsia" w:ascii="宋体" w:hAnsi="宋体" w:cs="宋体"/>
                <w:szCs w:val="21"/>
              </w:rPr>
            </w:pPr>
            <w:r>
              <w:rPr>
                <w:rFonts w:hint="eastAsia" w:ascii="宋体" w:hAnsi="宋体" w:cs="宋体"/>
                <w:szCs w:val="21"/>
              </w:rPr>
              <w:t>商务因素的评价详见评标办法</w:t>
            </w:r>
            <w:r>
              <w:rPr>
                <w:rFonts w:hint="eastAsia" w:ascii="宋体" w:hAnsi="宋体" w:cs="宋体"/>
                <w:i/>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27.5</w:t>
            </w:r>
          </w:p>
        </w:tc>
        <w:tc>
          <w:tcPr>
            <w:tcW w:w="6965" w:type="dxa"/>
            <w:noWrap w:val="0"/>
            <w:vAlign w:val="center"/>
          </w:tcPr>
          <w:p>
            <w:pPr>
              <w:rPr>
                <w:rFonts w:hint="eastAsia" w:ascii="宋体" w:hAnsi="宋体" w:cs="宋体"/>
                <w:szCs w:val="21"/>
              </w:rPr>
            </w:pPr>
            <w:r>
              <w:rPr>
                <w:rFonts w:hint="eastAsia" w:ascii="宋体" w:hAnsi="宋体" w:cs="宋体"/>
                <w:szCs w:val="21"/>
              </w:rPr>
              <w:t>技术因素的评价详见评标办法，招标文件设备技术要求及主要性能参数中标注“*”号的条款为关键条款，对这些条款的偏离将导致废标。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27.6</w:t>
            </w:r>
          </w:p>
        </w:tc>
        <w:tc>
          <w:tcPr>
            <w:tcW w:w="6965" w:type="dxa"/>
            <w:noWrap w:val="0"/>
            <w:vAlign w:val="center"/>
          </w:tcPr>
          <w:p>
            <w:pPr>
              <w:rPr>
                <w:rFonts w:hint="eastAsia" w:ascii="宋体" w:hAnsi="宋体" w:cs="宋体"/>
                <w:i/>
                <w:szCs w:val="21"/>
              </w:rPr>
            </w:pPr>
            <w:r>
              <w:rPr>
                <w:rFonts w:hint="eastAsia" w:ascii="宋体" w:hAnsi="宋体" w:cs="宋体"/>
                <w:szCs w:val="21"/>
              </w:rPr>
              <w:t>服务因素的评价详见评标办法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jc w:val="center"/>
              <w:rPr>
                <w:rFonts w:hint="eastAsia" w:ascii="宋体" w:hAnsi="宋体" w:cs="宋体"/>
                <w:szCs w:val="21"/>
              </w:rPr>
            </w:pPr>
            <w:r>
              <w:rPr>
                <w:rFonts w:hint="eastAsia" w:ascii="宋体" w:hAnsi="宋体" w:cs="宋体"/>
                <w:szCs w:val="21"/>
              </w:rPr>
              <w:t>27.8</w:t>
            </w:r>
          </w:p>
        </w:tc>
        <w:tc>
          <w:tcPr>
            <w:tcW w:w="6965" w:type="dxa"/>
            <w:noWrap w:val="0"/>
            <w:vAlign w:val="center"/>
          </w:tcPr>
          <w:p>
            <w:pPr>
              <w:rPr>
                <w:rFonts w:hint="eastAsia" w:ascii="宋体" w:hAnsi="宋体" w:cs="宋体"/>
                <w:szCs w:val="21"/>
              </w:rPr>
            </w:pPr>
            <w:r>
              <w:rPr>
                <w:rFonts w:hint="eastAsia" w:ascii="宋体" w:hAnsi="宋体" w:cs="宋体"/>
                <w:szCs w:val="21"/>
              </w:rPr>
              <w:t>综合评价最优者（即综合得分最高者）为排名第一的中标候选人。中标候选人数量：1名。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5" w:type="dxa"/>
            <w:gridSpan w:val="2"/>
            <w:noWrap w:val="0"/>
            <w:vAlign w:val="center"/>
          </w:tcPr>
          <w:p>
            <w:pPr>
              <w:jc w:val="center"/>
              <w:rPr>
                <w:rFonts w:hint="eastAsia" w:ascii="宋体" w:hAnsi="宋体" w:cs="宋体"/>
                <w:szCs w:val="21"/>
              </w:rPr>
            </w:pPr>
            <w:r>
              <w:rPr>
                <w:rFonts w:hint="eastAsia" w:ascii="宋体" w:hAnsi="宋体" w:cs="宋体"/>
                <w:b/>
                <w:szCs w:val="21"/>
              </w:rPr>
              <w:t>授  予  合  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40" w:type="dxa"/>
            <w:noWrap w:val="0"/>
            <w:vAlign w:val="center"/>
          </w:tcPr>
          <w:p>
            <w:pPr>
              <w:spacing w:line="300" w:lineRule="auto"/>
              <w:jc w:val="center"/>
              <w:rPr>
                <w:rFonts w:hint="eastAsia" w:ascii="宋体" w:hAnsi="宋体" w:cs="宋体"/>
                <w:caps/>
              </w:rPr>
            </w:pPr>
            <w:r>
              <w:rPr>
                <w:rFonts w:hint="eastAsia" w:ascii="宋体" w:hAnsi="宋体" w:cs="宋体"/>
                <w:caps/>
              </w:rPr>
              <w:t>36</w:t>
            </w:r>
          </w:p>
        </w:tc>
        <w:tc>
          <w:tcPr>
            <w:tcW w:w="6965" w:type="dxa"/>
            <w:noWrap w:val="0"/>
            <w:vAlign w:val="center"/>
          </w:tcPr>
          <w:p>
            <w:pPr>
              <w:rPr>
                <w:rFonts w:hint="eastAsia" w:ascii="宋体" w:hAnsi="宋体" w:cs="宋体"/>
              </w:rPr>
            </w:pPr>
            <w:r>
              <w:rPr>
                <w:rFonts w:hint="eastAsia" w:ascii="宋体" w:hAnsi="宋体" w:cs="宋体"/>
                <w:b/>
              </w:rPr>
              <w:t>关于中标服务费的规定：</w:t>
            </w:r>
          </w:p>
          <w:p>
            <w:pPr>
              <w:rPr>
                <w:rFonts w:hint="eastAsia" w:ascii="宋体" w:hAnsi="宋体" w:cs="宋体"/>
              </w:rPr>
            </w:pPr>
            <w:r>
              <w:rPr>
                <w:rFonts w:hint="eastAsia" w:ascii="宋体" w:hAnsi="宋体" w:cs="宋体"/>
              </w:rPr>
              <w:t>中标方须向浙江国际招（投）标公司按如下标准和规定交纳中标服务费：</w:t>
            </w:r>
          </w:p>
          <w:p>
            <w:pPr>
              <w:rPr>
                <w:rFonts w:hint="eastAsia" w:ascii="宋体" w:hAnsi="宋体" w:cs="宋体"/>
              </w:rPr>
            </w:pPr>
            <w:r>
              <w:rPr>
                <w:rFonts w:hint="eastAsia" w:ascii="宋体" w:hAnsi="宋体" w:cs="宋体"/>
              </w:rPr>
              <w:t>a. 中标服务费按国家计委计价格[2002]1980号文件规定标准收取。</w:t>
            </w:r>
          </w:p>
          <w:p>
            <w:pPr>
              <w:rPr>
                <w:rFonts w:hint="eastAsia" w:ascii="宋体" w:hAnsi="宋体" w:cs="宋体"/>
              </w:rPr>
            </w:pPr>
            <w:r>
              <w:rPr>
                <w:rFonts w:hint="eastAsia" w:ascii="宋体" w:hAnsi="宋体" w:cs="宋体"/>
              </w:rPr>
              <w:t>b. 中标服务费的交纳方式：</w:t>
            </w:r>
          </w:p>
          <w:p>
            <w:pPr>
              <w:rPr>
                <w:rFonts w:hint="eastAsia" w:ascii="宋体" w:hAnsi="宋体" w:cs="宋体"/>
              </w:rPr>
            </w:pPr>
            <w:r>
              <w:rPr>
                <w:rFonts w:hint="eastAsia" w:ascii="宋体" w:hAnsi="宋体" w:cs="宋体"/>
              </w:rPr>
              <w:t xml:space="preserve">  （a）在收到中标通知后；或</w:t>
            </w:r>
          </w:p>
          <w:p>
            <w:pPr>
              <w:ind w:left="630" w:hanging="630" w:hangingChars="300"/>
              <w:rPr>
                <w:rFonts w:hint="eastAsia" w:ascii="宋体" w:hAnsi="宋体" w:cs="宋体"/>
              </w:rPr>
            </w:pPr>
            <w:r>
              <w:rPr>
                <w:rFonts w:hint="eastAsia" w:ascii="宋体" w:hAnsi="宋体" w:cs="宋体"/>
              </w:rPr>
              <w:t xml:space="preserve">  （b）在合同生效后30日内，可用支票、汇票、电汇</w:t>
            </w:r>
            <w:r>
              <w:rPr>
                <w:rFonts w:hint="eastAsia" w:ascii="宋体" w:hAnsi="宋体" w:cs="宋体"/>
                <w:szCs w:val="21"/>
              </w:rPr>
              <w:t>等非现金形式</w:t>
            </w:r>
            <w:r>
              <w:rPr>
                <w:rFonts w:hint="eastAsia" w:ascii="宋体" w:hAnsi="宋体" w:cs="宋体"/>
              </w:rPr>
              <w:t>付款方式，按上述规定的标准，一次性向浙江国际招（投）标公司直接缴清中标服务费。</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开户名称：浙江国际招（投）标公司</w:t>
            </w:r>
          </w:p>
          <w:p>
            <w:pPr>
              <w:rPr>
                <w:rFonts w:hint="eastAsia" w:ascii="宋体" w:hAnsi="宋体" w:cs="宋体"/>
                <w:szCs w:val="21"/>
              </w:rPr>
            </w:pPr>
            <w:r>
              <w:rPr>
                <w:rFonts w:hint="eastAsia" w:ascii="宋体" w:hAnsi="宋体" w:cs="宋体"/>
                <w:szCs w:val="21"/>
              </w:rPr>
              <w:t>美元开户银行：中国工商银行杭州武林支行</w:t>
            </w:r>
          </w:p>
          <w:p>
            <w:pPr>
              <w:rPr>
                <w:rFonts w:hint="eastAsia" w:ascii="宋体" w:hAnsi="宋体" w:cs="宋体"/>
                <w:szCs w:val="21"/>
              </w:rPr>
            </w:pPr>
            <w:r>
              <w:rPr>
                <w:rFonts w:hint="eastAsia" w:ascii="宋体" w:hAnsi="宋体" w:cs="宋体"/>
                <w:szCs w:val="21"/>
              </w:rPr>
              <w:t>帐    号：1202021209814500205</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人民币开户银行：中国工商银行杭州武林支行</w:t>
            </w:r>
          </w:p>
          <w:p>
            <w:pPr>
              <w:rPr>
                <w:rFonts w:hint="eastAsia" w:ascii="宋体" w:hAnsi="宋体" w:cs="宋体"/>
              </w:rPr>
            </w:pPr>
            <w:r>
              <w:rPr>
                <w:rFonts w:hint="eastAsia" w:ascii="宋体" w:hAnsi="宋体" w:cs="宋体"/>
                <w:szCs w:val="21"/>
              </w:rPr>
              <w:t>帐    号：1202021209906782015</w:t>
            </w:r>
          </w:p>
        </w:tc>
      </w:tr>
    </w:tbl>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r>
        <w:rPr>
          <w:rFonts w:hint="eastAsia" w:ascii="宋体" w:hAnsi="宋体" w:cs="宋体"/>
          <w:szCs w:val="21"/>
        </w:rPr>
        <w:t>附件：</w:t>
      </w:r>
    </w:p>
    <w:p>
      <w:pPr>
        <w:spacing w:line="360" w:lineRule="auto"/>
        <w:jc w:val="center"/>
        <w:rPr>
          <w:rFonts w:hint="eastAsia" w:ascii="宋体" w:hAnsi="宋体" w:cs="宋体"/>
          <w:b/>
          <w:szCs w:val="21"/>
        </w:rPr>
      </w:pPr>
      <w:r>
        <w:rPr>
          <w:rFonts w:hint="eastAsia" w:ascii="宋体" w:hAnsi="宋体" w:cs="宋体"/>
          <w:b/>
          <w:szCs w:val="21"/>
        </w:rPr>
        <w:t>评标办法</w:t>
      </w:r>
    </w:p>
    <w:p>
      <w:pPr>
        <w:spacing w:line="360" w:lineRule="auto"/>
        <w:rPr>
          <w:rFonts w:hint="eastAsia" w:ascii="宋体" w:hAnsi="宋体" w:cs="宋体"/>
          <w:szCs w:val="21"/>
        </w:rPr>
      </w:pPr>
    </w:p>
    <w:p>
      <w:pPr>
        <w:spacing w:line="360" w:lineRule="auto"/>
        <w:rPr>
          <w:rFonts w:hint="eastAsia" w:ascii="宋体" w:hAnsi="宋体" w:cs="宋体"/>
          <w:szCs w:val="21"/>
        </w:rPr>
      </w:pPr>
      <w:bookmarkStart w:id="0" w:name="_Toc26100902"/>
      <w:r>
        <w:rPr>
          <w:rFonts w:hint="eastAsia" w:ascii="宋体" w:hAnsi="宋体" w:cs="宋体"/>
          <w:szCs w:val="21"/>
        </w:rPr>
        <w:t>1．符合性检查</w:t>
      </w:r>
      <w:bookmarkEnd w:id="0"/>
    </w:p>
    <w:p>
      <w:pPr>
        <w:spacing w:line="360" w:lineRule="auto"/>
        <w:ind w:firstLine="420" w:firstLineChars="200"/>
        <w:rPr>
          <w:rFonts w:hint="eastAsia" w:ascii="宋体" w:hAnsi="宋体" w:cs="宋体"/>
          <w:szCs w:val="21"/>
        </w:rPr>
      </w:pPr>
      <w:r>
        <w:rPr>
          <w:rFonts w:hint="eastAsia" w:ascii="宋体" w:hAnsi="宋体" w:cs="宋体"/>
          <w:szCs w:val="21"/>
        </w:rPr>
        <w:t>评标委员会首先对所有文件做符合性检查，主要检查各投标人是否提供了满足符合性检查要求的合格文件，包括投标书、法人授权书、资格证明文件、技术文件、投标分项报价表等。</w:t>
      </w:r>
    </w:p>
    <w:p>
      <w:pPr>
        <w:spacing w:line="360" w:lineRule="auto"/>
        <w:rPr>
          <w:rFonts w:hint="eastAsia" w:ascii="宋体" w:hAnsi="宋体" w:cs="宋体"/>
          <w:szCs w:val="21"/>
        </w:rPr>
      </w:pPr>
      <w:bookmarkStart w:id="1" w:name="_Toc26100904"/>
      <w:r>
        <w:rPr>
          <w:rFonts w:hint="eastAsia" w:ascii="宋体" w:hAnsi="宋体" w:cs="宋体"/>
          <w:szCs w:val="21"/>
        </w:rPr>
        <w:t>2．商务评议</w:t>
      </w:r>
      <w:bookmarkEnd w:id="1"/>
    </w:p>
    <w:p>
      <w:pPr>
        <w:spacing w:line="360" w:lineRule="auto"/>
        <w:ind w:firstLine="420" w:firstLineChars="200"/>
        <w:rPr>
          <w:rFonts w:hint="eastAsia" w:ascii="宋体" w:hAnsi="宋体" w:cs="宋体"/>
          <w:szCs w:val="21"/>
        </w:rPr>
      </w:pPr>
      <w:r>
        <w:rPr>
          <w:rFonts w:hint="eastAsia" w:ascii="宋体" w:hAnsi="宋体" w:cs="宋体"/>
          <w:szCs w:val="21"/>
        </w:rPr>
        <w:t>对通过符合性检查的投标人进行商务评议，主要根据招标文件的要求，对投标人的交货期、经营范围、资格证明、销售业绩、投标有效期、投标文件的有效性等进行评审。</w:t>
      </w:r>
    </w:p>
    <w:p>
      <w:pPr>
        <w:spacing w:line="360" w:lineRule="auto"/>
        <w:rPr>
          <w:rFonts w:hint="eastAsia" w:ascii="宋体" w:hAnsi="宋体" w:cs="宋体"/>
          <w:szCs w:val="21"/>
        </w:rPr>
      </w:pPr>
      <w:r>
        <w:rPr>
          <w:rFonts w:hint="eastAsia" w:ascii="宋体" w:hAnsi="宋体" w:cs="宋体"/>
          <w:szCs w:val="21"/>
        </w:rPr>
        <w:t>3. 技术评议</w:t>
      </w:r>
    </w:p>
    <w:p>
      <w:pPr>
        <w:spacing w:line="360" w:lineRule="auto"/>
        <w:ind w:firstLine="420" w:firstLineChars="200"/>
        <w:rPr>
          <w:rFonts w:hint="eastAsia" w:ascii="宋体" w:hAnsi="宋体" w:cs="宋体"/>
          <w:szCs w:val="21"/>
        </w:rPr>
      </w:pPr>
      <w:r>
        <w:rPr>
          <w:rFonts w:hint="eastAsia" w:ascii="宋体" w:hAnsi="宋体" w:cs="宋体"/>
          <w:szCs w:val="21"/>
        </w:rPr>
        <w:t>技术评议主要是检查所有通过商务评议的投标文件是否对招标文件的规定做出了实质性的响应，投标文件的响应与招标文件技术部分的规定有无实质性偏差，以确定其是否为有效的投标文件。</w:t>
      </w:r>
    </w:p>
    <w:p>
      <w:pPr>
        <w:spacing w:line="360" w:lineRule="auto"/>
        <w:rPr>
          <w:rFonts w:hint="eastAsia" w:ascii="宋体" w:hAnsi="宋体" w:cs="宋体"/>
          <w:szCs w:val="21"/>
        </w:rPr>
      </w:pPr>
      <w:r>
        <w:rPr>
          <w:rFonts w:hint="eastAsia" w:ascii="宋体" w:hAnsi="宋体" w:cs="宋体"/>
          <w:szCs w:val="21"/>
        </w:rPr>
        <w:t>4.废标情形</w:t>
      </w:r>
    </w:p>
    <w:p>
      <w:pPr>
        <w:spacing w:line="360" w:lineRule="auto"/>
        <w:ind w:firstLine="420" w:firstLineChars="200"/>
        <w:rPr>
          <w:rFonts w:hint="eastAsia" w:ascii="宋体" w:hAnsi="宋体" w:cs="宋体"/>
          <w:szCs w:val="21"/>
        </w:rPr>
      </w:pPr>
      <w:r>
        <w:rPr>
          <w:rFonts w:hint="eastAsia" w:ascii="宋体" w:hAnsi="宋体" w:cs="宋体"/>
          <w:szCs w:val="21"/>
        </w:rPr>
        <w:t>在上述检查评审过程中，如发现下列情况之一的，将视为未实质性响应招标文件的要求，其投标将被拒绝：</w:t>
      </w:r>
    </w:p>
    <w:p>
      <w:pPr>
        <w:adjustRightInd w:val="0"/>
        <w:snapToGrid w:val="0"/>
        <w:spacing w:line="360" w:lineRule="auto"/>
        <w:rPr>
          <w:rFonts w:hint="eastAsia" w:ascii="宋体" w:hAnsi="宋体" w:cs="宋体"/>
          <w:szCs w:val="21"/>
        </w:rPr>
      </w:pPr>
      <w:r>
        <w:rPr>
          <w:rFonts w:hint="eastAsia" w:ascii="宋体" w:hAnsi="宋体" w:cs="宋体"/>
          <w:szCs w:val="21"/>
        </w:rPr>
        <w:t>（1）投标书或资格证明文件未提供或不符合招标文件要求的；</w:t>
      </w:r>
    </w:p>
    <w:p>
      <w:pPr>
        <w:adjustRightInd w:val="0"/>
        <w:snapToGrid w:val="0"/>
        <w:spacing w:line="360" w:lineRule="auto"/>
        <w:rPr>
          <w:rFonts w:hint="eastAsia" w:ascii="宋体" w:hAnsi="宋体" w:cs="宋体"/>
          <w:szCs w:val="21"/>
        </w:rPr>
      </w:pPr>
      <w:r>
        <w:rPr>
          <w:rFonts w:hint="eastAsia" w:ascii="宋体" w:hAnsi="宋体" w:cs="宋体"/>
          <w:szCs w:val="21"/>
        </w:rPr>
        <w:t>（2）投标文件未按照要求签署的，如未逐页小签的、无法定代表人签字的、签字人无法定代表人有效授权书的；</w:t>
      </w:r>
    </w:p>
    <w:p>
      <w:pPr>
        <w:adjustRightInd w:val="0"/>
        <w:snapToGrid w:val="0"/>
        <w:spacing w:line="360" w:lineRule="auto"/>
        <w:rPr>
          <w:rFonts w:hint="eastAsia" w:ascii="宋体" w:hAnsi="宋体" w:cs="宋体"/>
          <w:szCs w:val="21"/>
        </w:rPr>
      </w:pPr>
      <w:r>
        <w:rPr>
          <w:rFonts w:hint="eastAsia" w:ascii="宋体" w:hAnsi="宋体" w:cs="宋体"/>
          <w:szCs w:val="21"/>
        </w:rPr>
        <w:t>（3）投标有效期不足的；</w:t>
      </w:r>
    </w:p>
    <w:p>
      <w:pPr>
        <w:adjustRightInd w:val="0"/>
        <w:snapToGrid w:val="0"/>
        <w:spacing w:line="360" w:lineRule="auto"/>
        <w:rPr>
          <w:rFonts w:hint="eastAsia" w:ascii="宋体" w:hAnsi="宋体" w:cs="宋体"/>
          <w:szCs w:val="21"/>
        </w:rPr>
      </w:pPr>
      <w:r>
        <w:rPr>
          <w:rFonts w:hint="eastAsia" w:ascii="宋体" w:hAnsi="宋体" w:cs="宋体"/>
          <w:szCs w:val="21"/>
        </w:rPr>
        <w:t>（4）投标报价或分项报价不符合要求的，如在同一份投标文件中，对同一招标货物报有两个或多个报价的；</w:t>
      </w:r>
    </w:p>
    <w:p>
      <w:pPr>
        <w:adjustRightInd w:val="0"/>
        <w:snapToGrid w:val="0"/>
        <w:spacing w:line="360" w:lineRule="auto"/>
        <w:rPr>
          <w:rFonts w:hint="eastAsia" w:ascii="宋体" w:hAnsi="宋体" w:cs="宋体"/>
          <w:szCs w:val="21"/>
        </w:rPr>
      </w:pPr>
      <w:r>
        <w:rPr>
          <w:rFonts w:hint="eastAsia" w:ascii="宋体" w:hAnsi="宋体" w:cs="宋体"/>
          <w:szCs w:val="21"/>
        </w:rPr>
        <w:t>（5）不满足招标文件第八章“设备技术要求及主要性能参数”中加注*号的主要参数要求或加注*号的主要参数无技术资料支持的；</w:t>
      </w:r>
    </w:p>
    <w:p>
      <w:pPr>
        <w:adjustRightInd w:val="0"/>
        <w:snapToGrid w:val="0"/>
        <w:spacing w:line="360" w:lineRule="auto"/>
        <w:rPr>
          <w:rFonts w:hint="eastAsia" w:ascii="宋体" w:hAnsi="宋体" w:cs="宋体"/>
          <w:szCs w:val="21"/>
        </w:rPr>
      </w:pPr>
      <w:r>
        <w:rPr>
          <w:rFonts w:hint="eastAsia" w:ascii="宋体" w:hAnsi="宋体" w:cs="宋体"/>
          <w:szCs w:val="21"/>
        </w:rPr>
        <w:t>（6）投标货物及服务有实质性遗漏的，或非实质性的遗漏部分超过招标文件规定的；</w:t>
      </w:r>
    </w:p>
    <w:p>
      <w:pPr>
        <w:adjustRightInd w:val="0"/>
        <w:snapToGrid w:val="0"/>
        <w:spacing w:line="360" w:lineRule="auto"/>
        <w:rPr>
          <w:rFonts w:hint="eastAsia" w:ascii="宋体" w:hAnsi="宋体" w:cs="宋体"/>
          <w:szCs w:val="21"/>
        </w:rPr>
      </w:pPr>
      <w:r>
        <w:rPr>
          <w:rFonts w:hint="eastAsia" w:ascii="宋体" w:hAnsi="宋体" w:cs="宋体"/>
          <w:szCs w:val="21"/>
        </w:rPr>
        <w:t>（7）投标报价超过预算的；</w:t>
      </w:r>
    </w:p>
    <w:p>
      <w:pPr>
        <w:adjustRightInd w:val="0"/>
        <w:snapToGrid w:val="0"/>
        <w:spacing w:line="360" w:lineRule="auto"/>
        <w:rPr>
          <w:rFonts w:hint="eastAsia" w:ascii="宋体" w:hAnsi="宋体" w:cs="宋体"/>
          <w:szCs w:val="21"/>
        </w:rPr>
      </w:pPr>
      <w:r>
        <w:rPr>
          <w:rFonts w:hint="eastAsia" w:ascii="宋体" w:hAnsi="宋体" w:cs="宋体"/>
          <w:szCs w:val="21"/>
        </w:rPr>
        <w:t>（8）未能提供招标文件要求的制造商授权书的；</w:t>
      </w:r>
    </w:p>
    <w:p>
      <w:pPr>
        <w:adjustRightInd w:val="0"/>
        <w:snapToGrid w:val="0"/>
        <w:spacing w:line="360" w:lineRule="auto"/>
        <w:rPr>
          <w:rFonts w:hint="eastAsia" w:ascii="宋体" w:hAnsi="宋体" w:cs="宋体"/>
          <w:szCs w:val="21"/>
        </w:rPr>
      </w:pPr>
      <w:r>
        <w:rPr>
          <w:rFonts w:hint="eastAsia" w:ascii="宋体" w:hAnsi="宋体" w:cs="宋体"/>
          <w:szCs w:val="21"/>
        </w:rPr>
        <w:t>（9）符合招标文件规定废标的其他技术和/或商务条件的；</w:t>
      </w:r>
    </w:p>
    <w:p>
      <w:pPr>
        <w:adjustRightInd w:val="0"/>
        <w:snapToGrid w:val="0"/>
        <w:spacing w:line="360" w:lineRule="auto"/>
        <w:rPr>
          <w:rFonts w:hint="eastAsia" w:ascii="宋体" w:hAnsi="宋体" w:cs="宋体"/>
          <w:szCs w:val="21"/>
        </w:rPr>
      </w:pPr>
      <w:r>
        <w:rPr>
          <w:rFonts w:hint="eastAsia" w:ascii="宋体" w:hAnsi="宋体" w:cs="宋体"/>
          <w:szCs w:val="21"/>
        </w:rPr>
        <w:t>（10）在投标文件中提供虚假文件和/或资料的，或附有招标方不能接受的条件的；</w:t>
      </w:r>
    </w:p>
    <w:p>
      <w:pPr>
        <w:adjustRightInd w:val="0"/>
        <w:snapToGrid w:val="0"/>
        <w:spacing w:line="360" w:lineRule="auto"/>
        <w:rPr>
          <w:rFonts w:hint="eastAsia" w:ascii="宋体" w:hAnsi="宋体" w:cs="宋体"/>
          <w:szCs w:val="21"/>
        </w:rPr>
      </w:pPr>
      <w:r>
        <w:rPr>
          <w:rFonts w:hint="eastAsia" w:ascii="宋体" w:hAnsi="宋体" w:cs="宋体"/>
          <w:szCs w:val="21"/>
        </w:rPr>
        <w:t>5.上述评审过程中，对招标文件做出实质响应的供应商不足三家，本项目将导致废标。</w:t>
      </w:r>
    </w:p>
    <w:p>
      <w:pPr>
        <w:adjustRightInd w:val="0"/>
        <w:snapToGrid w:val="0"/>
        <w:spacing w:line="360" w:lineRule="auto"/>
        <w:rPr>
          <w:rFonts w:hint="eastAsia" w:ascii="宋体" w:hAnsi="宋体" w:cs="宋体"/>
          <w:szCs w:val="21"/>
        </w:rPr>
      </w:pPr>
      <w:r>
        <w:rPr>
          <w:rFonts w:hint="eastAsia" w:ascii="宋体" w:hAnsi="宋体" w:cs="宋体"/>
          <w:szCs w:val="21"/>
        </w:rPr>
        <w:t>6.评审细则：</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对通过以上检查评审的投标文件进行综合评分，满分100分（评分细则详见下表）。评标委员会成员根据评分细则在分值范围内独立打分，小数点后保留一位小数。每个投标人的最终得分为评标委员会打分汇总后的算术平均值（小数点后保留二位小数，第三位四舍五入）。综合评价最优者（即综合得分最高者）为排名第一的中标候选人。</w:t>
      </w:r>
    </w:p>
    <w:tbl>
      <w:tblPr>
        <w:tblStyle w:val="11"/>
        <w:tblW w:w="8505"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609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55" w:type="dxa"/>
            <w:noWrap w:val="0"/>
            <w:vAlign w:val="center"/>
          </w:tcPr>
          <w:p>
            <w:pPr>
              <w:widowControl/>
              <w:rPr>
                <w:rFonts w:hint="eastAsia" w:ascii="宋体" w:hAnsi="宋体" w:cs="宋体"/>
                <w:kern w:val="0"/>
                <w:szCs w:val="21"/>
              </w:rPr>
            </w:pPr>
            <w:r>
              <w:rPr>
                <w:rFonts w:hint="eastAsia" w:ascii="宋体" w:hAnsi="宋体" w:cs="宋体"/>
                <w:kern w:val="0"/>
                <w:szCs w:val="21"/>
              </w:rPr>
              <w:t>评标因素</w:t>
            </w:r>
          </w:p>
        </w:tc>
        <w:tc>
          <w:tcPr>
            <w:tcW w:w="6090" w:type="dxa"/>
            <w:noWrap w:val="0"/>
            <w:vAlign w:val="center"/>
          </w:tcPr>
          <w:p>
            <w:pPr>
              <w:widowControl/>
              <w:rPr>
                <w:rFonts w:hint="eastAsia" w:ascii="宋体" w:hAnsi="宋体" w:cs="宋体"/>
                <w:kern w:val="0"/>
                <w:szCs w:val="21"/>
              </w:rPr>
            </w:pPr>
            <w:r>
              <w:rPr>
                <w:rFonts w:hint="eastAsia" w:ascii="宋体" w:hAnsi="宋体" w:cs="宋体"/>
                <w:kern w:val="0"/>
                <w:szCs w:val="21"/>
              </w:rPr>
              <w:t>评标内容</w:t>
            </w:r>
          </w:p>
        </w:tc>
        <w:tc>
          <w:tcPr>
            <w:tcW w:w="126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满分分值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55" w:type="dxa"/>
            <w:noWrap w:val="0"/>
            <w:vAlign w:val="center"/>
          </w:tcPr>
          <w:p>
            <w:pPr>
              <w:rPr>
                <w:rFonts w:hint="eastAsia" w:ascii="宋体" w:hAnsi="宋体" w:cs="宋体"/>
                <w:kern w:val="0"/>
                <w:szCs w:val="21"/>
              </w:rPr>
            </w:pPr>
            <w:r>
              <w:rPr>
                <w:rFonts w:hint="eastAsia" w:ascii="宋体" w:hAnsi="宋体" w:cs="宋体"/>
                <w:szCs w:val="21"/>
              </w:rPr>
              <w:t>技术分</w:t>
            </w:r>
          </w:p>
        </w:tc>
        <w:tc>
          <w:tcPr>
            <w:tcW w:w="6090" w:type="dxa"/>
            <w:noWrap w:val="0"/>
            <w:vAlign w:val="center"/>
          </w:tcPr>
          <w:p>
            <w:pPr>
              <w:snapToGrid w:val="0"/>
              <w:rPr>
                <w:rFonts w:hint="eastAsia" w:ascii="宋体" w:hAnsi="宋体" w:cs="宋体"/>
                <w:bCs/>
                <w:kern w:val="0"/>
                <w:szCs w:val="21"/>
              </w:rPr>
            </w:pPr>
            <w:r>
              <w:rPr>
                <w:rFonts w:hint="eastAsia" w:ascii="宋体" w:hAnsi="宋体" w:cs="宋体"/>
                <w:kern w:val="0"/>
                <w:szCs w:val="21"/>
              </w:rPr>
              <w:t>对应于招标文件第八章“三、设备技术要求及主要性能参数”的偏离度：每</w:t>
            </w:r>
            <w:r>
              <w:rPr>
                <w:rFonts w:hint="eastAsia" w:ascii="宋体" w:hAnsi="宋体" w:cs="宋体"/>
              </w:rPr>
              <w:t>1条</w:t>
            </w:r>
            <w:r>
              <w:rPr>
                <w:rFonts w:hint="eastAsia" w:ascii="宋体" w:hAnsi="宋体" w:cs="宋体"/>
                <w:lang w:eastAsia="zh-CN"/>
              </w:rPr>
              <w:t>“</w:t>
            </w:r>
            <w:r>
              <w:rPr>
                <w:rFonts w:hint="eastAsia" w:ascii="宋体" w:hAnsi="宋体" w:cs="宋体"/>
                <w:kern w:val="2"/>
                <w:sz w:val="21"/>
                <w:szCs w:val="21"/>
                <w:lang w:val="en-US" w:eastAsia="zh-CN" w:bidi="ar-SA"/>
              </w:rPr>
              <w:t>Δ</w:t>
            </w:r>
            <w:r>
              <w:rPr>
                <w:rFonts w:hint="eastAsia" w:ascii="宋体" w:hAnsi="宋体" w:cs="宋体"/>
                <w:lang w:eastAsia="zh-CN"/>
              </w:rPr>
              <w:t>”</w:t>
            </w:r>
            <w:r>
              <w:rPr>
                <w:rFonts w:hint="eastAsia" w:ascii="宋体" w:hAnsi="宋体" w:cs="宋体"/>
              </w:rPr>
              <w:t>条款不能满足采购文件要求</w:t>
            </w:r>
            <w:r>
              <w:rPr>
                <w:rFonts w:hint="eastAsia" w:ascii="宋体" w:hAnsi="宋体" w:cs="宋体"/>
                <w:lang w:val="en-US" w:eastAsia="zh-CN"/>
              </w:rPr>
              <w:t>2</w:t>
            </w:r>
            <w:r>
              <w:rPr>
                <w:rFonts w:hint="eastAsia" w:ascii="宋体" w:hAnsi="宋体" w:cs="宋体"/>
              </w:rPr>
              <w:t>分</w:t>
            </w:r>
            <w:r>
              <w:rPr>
                <w:rFonts w:hint="eastAsia" w:ascii="宋体" w:hAnsi="宋体" w:cs="宋体"/>
                <w:lang w:eastAsia="zh-CN"/>
              </w:rPr>
              <w:t>；</w:t>
            </w:r>
            <w:r>
              <w:rPr>
                <w:rFonts w:hint="eastAsia" w:ascii="宋体" w:hAnsi="宋体" w:cs="宋体"/>
                <w:kern w:val="0"/>
                <w:szCs w:val="21"/>
              </w:rPr>
              <w:t>每</w:t>
            </w:r>
            <w:r>
              <w:rPr>
                <w:rFonts w:hint="eastAsia" w:ascii="宋体" w:hAnsi="宋体" w:cs="宋体"/>
              </w:rPr>
              <w:t>1条一般条款不能满足采购文件要求1分，扣完为止。</w:t>
            </w:r>
          </w:p>
        </w:tc>
        <w:tc>
          <w:tcPr>
            <w:tcW w:w="1260"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56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55" w:type="dxa"/>
            <w:vMerge w:val="restart"/>
            <w:noWrap w:val="0"/>
            <w:vAlign w:val="center"/>
          </w:tcPr>
          <w:p>
            <w:pPr>
              <w:rPr>
                <w:rFonts w:hint="eastAsia" w:ascii="宋体" w:hAnsi="宋体" w:cs="宋体"/>
                <w:kern w:val="0"/>
                <w:szCs w:val="21"/>
              </w:rPr>
            </w:pPr>
            <w:r>
              <w:rPr>
                <w:rFonts w:hint="eastAsia" w:ascii="宋体" w:hAnsi="宋体" w:cs="宋体"/>
                <w:kern w:val="0"/>
                <w:szCs w:val="21"/>
              </w:rPr>
              <w:t>服务分</w:t>
            </w:r>
          </w:p>
        </w:tc>
        <w:tc>
          <w:tcPr>
            <w:tcW w:w="6090" w:type="dxa"/>
            <w:noWrap w:val="0"/>
            <w:vAlign w:val="center"/>
          </w:tcPr>
          <w:p>
            <w:pPr>
              <w:rPr>
                <w:rFonts w:hint="eastAsia" w:ascii="宋体" w:hAnsi="宋体" w:cs="宋体"/>
                <w:bCs/>
                <w:kern w:val="0"/>
                <w:szCs w:val="21"/>
              </w:rPr>
            </w:pPr>
            <w:r>
              <w:rPr>
                <w:rFonts w:hint="eastAsia" w:ascii="宋体" w:hAnsi="宋体" w:cs="宋体"/>
                <w:kern w:val="0"/>
                <w:szCs w:val="21"/>
              </w:rPr>
              <w:t>投标文件中提供安装、调试、验收的方案和措施给3分，否则不得分。</w:t>
            </w:r>
          </w:p>
        </w:tc>
        <w:tc>
          <w:tcPr>
            <w:tcW w:w="1260"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55" w:type="dxa"/>
            <w:vMerge w:val="continue"/>
            <w:noWrap w:val="0"/>
            <w:vAlign w:val="center"/>
          </w:tcPr>
          <w:p>
            <w:pPr>
              <w:rPr>
                <w:rFonts w:hint="eastAsia" w:ascii="宋体" w:hAnsi="宋体" w:cs="宋体"/>
                <w:kern w:val="0"/>
                <w:szCs w:val="21"/>
              </w:rPr>
            </w:pPr>
          </w:p>
        </w:tc>
        <w:tc>
          <w:tcPr>
            <w:tcW w:w="6090" w:type="dxa"/>
            <w:noWrap w:val="0"/>
            <w:vAlign w:val="center"/>
          </w:tcPr>
          <w:p>
            <w:pPr>
              <w:rPr>
                <w:rFonts w:hint="eastAsia" w:ascii="宋体" w:hAnsi="宋体" w:cs="宋体"/>
                <w:bCs/>
                <w:kern w:val="0"/>
                <w:szCs w:val="21"/>
              </w:rPr>
            </w:pPr>
            <w:r>
              <w:rPr>
                <w:rFonts w:hint="eastAsia" w:ascii="宋体" w:hAnsi="宋体" w:cs="宋体"/>
                <w:bCs/>
                <w:kern w:val="0"/>
                <w:szCs w:val="21"/>
              </w:rPr>
              <w:t>投标文件中提供培训方案，提供详细次数、方式、培训内容得3分，否则不得分。</w:t>
            </w:r>
          </w:p>
        </w:tc>
        <w:tc>
          <w:tcPr>
            <w:tcW w:w="1260"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55" w:type="dxa"/>
            <w:vMerge w:val="continue"/>
            <w:noWrap w:val="0"/>
            <w:vAlign w:val="center"/>
          </w:tcPr>
          <w:p>
            <w:pPr>
              <w:rPr>
                <w:rFonts w:hint="eastAsia" w:ascii="宋体" w:hAnsi="宋体" w:cs="宋体"/>
                <w:kern w:val="0"/>
                <w:szCs w:val="21"/>
              </w:rPr>
            </w:pPr>
          </w:p>
        </w:tc>
        <w:tc>
          <w:tcPr>
            <w:tcW w:w="6090" w:type="dxa"/>
            <w:noWrap w:val="0"/>
            <w:vAlign w:val="center"/>
          </w:tcPr>
          <w:p>
            <w:pPr>
              <w:rPr>
                <w:rFonts w:hint="eastAsia" w:ascii="宋体" w:hAnsi="宋体" w:cs="宋体"/>
                <w:szCs w:val="21"/>
              </w:rPr>
            </w:pPr>
            <w:r>
              <w:rPr>
                <w:rFonts w:hint="eastAsia" w:ascii="宋体" w:hAnsi="宋体" w:cs="宋体"/>
                <w:szCs w:val="21"/>
              </w:rPr>
              <w:t>提供制造商国内售后服务机构出具的售后服务承诺书得2分。</w:t>
            </w:r>
          </w:p>
          <w:p>
            <w:pPr>
              <w:rPr>
                <w:rFonts w:hint="eastAsia" w:ascii="宋体" w:hAnsi="宋体" w:cs="宋体"/>
                <w:bCs/>
                <w:kern w:val="0"/>
                <w:szCs w:val="21"/>
              </w:rPr>
            </w:pPr>
            <w:r>
              <w:rPr>
                <w:rFonts w:hint="eastAsia" w:ascii="宋体" w:hAnsi="宋体" w:cs="宋体"/>
                <w:szCs w:val="21"/>
              </w:rPr>
              <w:t>售后服务承诺书内容符合招标文件要求加2分，否则不加分。</w:t>
            </w:r>
          </w:p>
        </w:tc>
        <w:tc>
          <w:tcPr>
            <w:tcW w:w="1260"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55" w:type="dxa"/>
            <w:vMerge w:val="restart"/>
            <w:noWrap w:val="0"/>
            <w:vAlign w:val="center"/>
          </w:tcPr>
          <w:p>
            <w:pPr>
              <w:rPr>
                <w:rFonts w:hint="eastAsia" w:ascii="宋体" w:hAnsi="宋体" w:cs="宋体"/>
                <w:kern w:val="0"/>
                <w:szCs w:val="21"/>
              </w:rPr>
            </w:pPr>
            <w:r>
              <w:rPr>
                <w:rFonts w:hint="eastAsia" w:ascii="宋体" w:hAnsi="宋体" w:cs="宋体"/>
                <w:kern w:val="0"/>
                <w:szCs w:val="21"/>
              </w:rPr>
              <w:t>商务分</w:t>
            </w:r>
          </w:p>
        </w:tc>
        <w:tc>
          <w:tcPr>
            <w:tcW w:w="6090" w:type="dxa"/>
            <w:noWrap w:val="0"/>
            <w:vAlign w:val="center"/>
          </w:tcPr>
          <w:p>
            <w:pPr>
              <w:rPr>
                <w:rFonts w:hint="eastAsia" w:ascii="宋体" w:hAnsi="宋体" w:cs="宋体"/>
                <w:bCs/>
                <w:kern w:val="0"/>
                <w:szCs w:val="21"/>
              </w:rPr>
            </w:pPr>
            <w:r>
              <w:rPr>
                <w:rFonts w:hint="eastAsia" w:ascii="宋体" w:hAnsi="宋体" w:cs="宋体"/>
                <w:bCs/>
                <w:kern w:val="0"/>
                <w:szCs w:val="21"/>
              </w:rPr>
              <w:t>交货期满足采购文件要求得2分，不满足不得分</w:t>
            </w:r>
          </w:p>
        </w:tc>
        <w:tc>
          <w:tcPr>
            <w:tcW w:w="1260"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55" w:type="dxa"/>
            <w:vMerge w:val="continue"/>
            <w:noWrap w:val="0"/>
            <w:vAlign w:val="center"/>
          </w:tcPr>
          <w:p>
            <w:pPr>
              <w:rPr>
                <w:rFonts w:hint="eastAsia" w:ascii="宋体" w:hAnsi="宋体" w:cs="宋体"/>
                <w:kern w:val="0"/>
                <w:szCs w:val="21"/>
              </w:rPr>
            </w:pPr>
          </w:p>
        </w:tc>
        <w:tc>
          <w:tcPr>
            <w:tcW w:w="6090" w:type="dxa"/>
            <w:noWrap w:val="0"/>
            <w:vAlign w:val="center"/>
          </w:tcPr>
          <w:p>
            <w:pPr>
              <w:rPr>
                <w:rFonts w:hint="eastAsia" w:ascii="宋体" w:hAnsi="宋体" w:cs="宋体"/>
                <w:bCs/>
                <w:kern w:val="0"/>
                <w:szCs w:val="21"/>
              </w:rPr>
            </w:pPr>
            <w:r>
              <w:rPr>
                <w:rFonts w:hint="eastAsia" w:ascii="宋体" w:hAnsi="宋体" w:cs="宋体"/>
                <w:bCs/>
                <w:kern w:val="0"/>
                <w:szCs w:val="21"/>
              </w:rPr>
              <w:t>付款方式满足采购文件要求得2分，不满足不得分</w:t>
            </w:r>
          </w:p>
        </w:tc>
        <w:tc>
          <w:tcPr>
            <w:tcW w:w="1260"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155" w:type="dxa"/>
            <w:noWrap w:val="0"/>
            <w:vAlign w:val="center"/>
          </w:tcPr>
          <w:p>
            <w:pPr>
              <w:widowControl/>
              <w:rPr>
                <w:rFonts w:hint="eastAsia" w:ascii="宋体" w:hAnsi="宋体" w:cs="宋体"/>
                <w:kern w:val="0"/>
                <w:szCs w:val="21"/>
              </w:rPr>
            </w:pPr>
            <w:r>
              <w:rPr>
                <w:rFonts w:hint="eastAsia" w:ascii="宋体" w:hAnsi="宋体" w:cs="宋体"/>
                <w:bCs/>
                <w:kern w:val="0"/>
                <w:szCs w:val="21"/>
              </w:rPr>
              <w:t>价格分</w:t>
            </w:r>
          </w:p>
        </w:tc>
        <w:tc>
          <w:tcPr>
            <w:tcW w:w="6090" w:type="dxa"/>
            <w:noWrap w:val="0"/>
            <w:vAlign w:val="center"/>
          </w:tcPr>
          <w:p>
            <w:pPr>
              <w:widowControl/>
              <w:rPr>
                <w:rFonts w:hint="eastAsia" w:ascii="宋体" w:hAnsi="宋体" w:cs="宋体"/>
                <w:kern w:val="0"/>
                <w:szCs w:val="21"/>
              </w:rPr>
            </w:pPr>
            <w:r>
              <w:rPr>
                <w:rFonts w:hint="eastAsia" w:ascii="宋体" w:hAnsi="宋体" w:cs="宋体"/>
                <w:kern w:val="0"/>
                <w:szCs w:val="21"/>
              </w:rPr>
              <w:t>以满足招标文件要求，且投标价格最低的投标报价为评标基准价，价格分=评标基准价/投标价×30；超出招标文件要求的优惠条件，在计算价格分时，不能从投标价中扣除。</w:t>
            </w:r>
          </w:p>
        </w:tc>
        <w:tc>
          <w:tcPr>
            <w:tcW w:w="1260"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30</w:t>
            </w:r>
          </w:p>
        </w:tc>
      </w:tr>
    </w:tbl>
    <w:p>
      <w:pPr>
        <w:adjustRightInd w:val="0"/>
        <w:snapToGrid w:val="0"/>
        <w:spacing w:line="360" w:lineRule="auto"/>
        <w:rPr>
          <w:rFonts w:hint="eastAsia" w:ascii="宋体" w:hAnsi="宋体" w:cs="宋体"/>
        </w:rPr>
      </w:pPr>
    </w:p>
    <w:p>
      <w:pPr>
        <w:adjustRightInd w:val="0"/>
        <w:snapToGrid w:val="0"/>
        <w:spacing w:line="360" w:lineRule="auto"/>
        <w:jc w:val="center"/>
        <w:rPr>
          <w:rFonts w:hint="eastAsia" w:ascii="宋体" w:hAnsi="宋体" w:cs="宋体"/>
          <w:szCs w:val="21"/>
        </w:rPr>
      </w:pPr>
      <w:r>
        <w:rPr>
          <w:rFonts w:hint="eastAsia" w:ascii="宋体" w:hAnsi="宋体" w:cs="宋体"/>
        </w:rPr>
        <w:br w:type="page"/>
      </w:r>
      <w:r>
        <w:rPr>
          <w:rFonts w:hint="eastAsia" w:ascii="宋体" w:hAnsi="宋体" w:cs="宋体"/>
          <w:b/>
          <w:spacing w:val="2"/>
          <w:sz w:val="32"/>
        </w:rPr>
        <w:t>第七章合同条款资料表</w:t>
      </w:r>
    </w:p>
    <w:tbl>
      <w:tblPr>
        <w:tblStyle w:val="1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0"/>
        <w:gridCol w:w="766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caps/>
                <w:spacing w:val="2"/>
                <w:szCs w:val="21"/>
              </w:rPr>
            </w:pPr>
            <w:r>
              <w:rPr>
                <w:rFonts w:hint="eastAsia" w:ascii="宋体" w:hAnsi="宋体" w:cs="宋体"/>
                <w:caps/>
                <w:spacing w:val="2"/>
                <w:szCs w:val="21"/>
              </w:rPr>
              <w:t>条款号</w:t>
            </w:r>
          </w:p>
        </w:tc>
        <w:tc>
          <w:tcPr>
            <w:tcW w:w="7665" w:type="dxa"/>
            <w:noWrap w:val="0"/>
            <w:vAlign w:val="center"/>
          </w:tcPr>
          <w:p>
            <w:pPr>
              <w:spacing w:after="120" w:afterLines="50"/>
              <w:jc w:val="center"/>
              <w:rPr>
                <w:rFonts w:hint="eastAsia" w:ascii="宋体" w:hAnsi="宋体" w:cs="宋体"/>
                <w:caps/>
                <w:spacing w:val="2"/>
                <w:szCs w:val="21"/>
              </w:rPr>
            </w:pPr>
            <w:r>
              <w:rPr>
                <w:rFonts w:hint="eastAsia" w:ascii="宋体" w:hAnsi="宋体" w:cs="宋体"/>
                <w:caps/>
                <w:spacing w:val="2"/>
                <w:szCs w:val="21"/>
              </w:rPr>
              <w:t>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1</w:t>
            </w:r>
          </w:p>
        </w:tc>
        <w:tc>
          <w:tcPr>
            <w:tcW w:w="7665" w:type="dxa"/>
            <w:noWrap w:val="0"/>
            <w:vAlign w:val="center"/>
          </w:tcPr>
          <w:p>
            <w:pPr>
              <w:spacing w:after="120" w:afterLines="50"/>
              <w:rPr>
                <w:rFonts w:hint="eastAsia" w:ascii="宋体" w:hAnsi="宋体" w:cs="宋体"/>
                <w:spacing w:val="2"/>
                <w:szCs w:val="21"/>
              </w:rPr>
            </w:pPr>
            <w:r>
              <w:rPr>
                <w:rFonts w:hint="eastAsia" w:ascii="宋体" w:hAnsi="宋体" w:cs="宋体"/>
                <w:spacing w:val="2"/>
                <w:szCs w:val="21"/>
              </w:rPr>
              <w:t>买方名称、地址：</w:t>
            </w:r>
          </w:p>
          <w:p>
            <w:pPr>
              <w:spacing w:after="120" w:afterLines="50"/>
              <w:rPr>
                <w:rFonts w:hint="eastAsia" w:ascii="宋体" w:hAnsi="宋体" w:cs="宋体"/>
                <w:spacing w:val="2"/>
                <w:szCs w:val="21"/>
              </w:rPr>
            </w:pPr>
            <w:r>
              <w:rPr>
                <w:rFonts w:hint="eastAsia" w:ascii="宋体" w:hAnsi="宋体" w:cs="宋体"/>
                <w:spacing w:val="2"/>
                <w:szCs w:val="21"/>
              </w:rPr>
              <w:t>卖方名称、地址：未定</w:t>
            </w:r>
          </w:p>
          <w:p>
            <w:pPr>
              <w:spacing w:after="120" w:afterLines="50"/>
              <w:rPr>
                <w:rFonts w:hint="eastAsia" w:ascii="宋体" w:hAnsi="宋体" w:cs="宋体"/>
                <w:spacing w:val="2"/>
                <w:szCs w:val="21"/>
              </w:rPr>
            </w:pPr>
            <w:r>
              <w:rPr>
                <w:rFonts w:hint="eastAsia" w:ascii="宋体" w:hAnsi="宋体" w:cs="宋体"/>
                <w:spacing w:val="2"/>
                <w:szCs w:val="21"/>
              </w:rPr>
              <w:t>项目现场名称：浙江省肿瘤医院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7</w:t>
            </w:r>
          </w:p>
        </w:tc>
        <w:tc>
          <w:tcPr>
            <w:tcW w:w="7665" w:type="dxa"/>
            <w:noWrap w:val="0"/>
            <w:vAlign w:val="center"/>
          </w:tcPr>
          <w:p>
            <w:pPr>
              <w:spacing w:after="120" w:afterLines="50"/>
              <w:rPr>
                <w:rFonts w:hint="eastAsia" w:ascii="宋体" w:hAnsi="宋体" w:cs="宋体"/>
                <w:spacing w:val="2"/>
                <w:szCs w:val="21"/>
              </w:rPr>
            </w:pPr>
            <w:r>
              <w:rPr>
                <w:rFonts w:hint="eastAsia" w:ascii="宋体" w:hAnsi="宋体" w:cs="宋体"/>
                <w:spacing w:val="2"/>
                <w:szCs w:val="21"/>
              </w:rPr>
              <w:t>履约保证金金额：不适用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16</w:t>
            </w:r>
          </w:p>
        </w:tc>
        <w:tc>
          <w:tcPr>
            <w:tcW w:w="7665" w:type="dxa"/>
            <w:noWrap w:val="0"/>
            <w:vAlign w:val="center"/>
          </w:tcPr>
          <w:p>
            <w:pPr>
              <w:spacing w:after="120" w:afterLines="50"/>
              <w:rPr>
                <w:rFonts w:hint="eastAsia" w:ascii="宋体" w:hAnsi="宋体" w:cs="宋体"/>
                <w:spacing w:val="2"/>
                <w:szCs w:val="21"/>
              </w:rPr>
            </w:pPr>
            <w:r>
              <w:rPr>
                <w:rFonts w:hint="eastAsia" w:ascii="宋体" w:hAnsi="宋体" w:cs="宋体"/>
                <w:spacing w:val="2"/>
                <w:szCs w:val="21"/>
              </w:rPr>
              <w:t>应提供的伴随服务有：16.1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17</w:t>
            </w:r>
          </w:p>
        </w:tc>
        <w:tc>
          <w:tcPr>
            <w:tcW w:w="7665" w:type="dxa"/>
            <w:noWrap w:val="0"/>
            <w:vAlign w:val="center"/>
          </w:tcPr>
          <w:p>
            <w:pPr>
              <w:spacing w:after="120" w:afterLines="50"/>
              <w:rPr>
                <w:rFonts w:hint="eastAsia" w:ascii="宋体" w:hAnsi="宋体" w:cs="宋体"/>
                <w:spacing w:val="2"/>
                <w:szCs w:val="21"/>
              </w:rPr>
            </w:pPr>
            <w:r>
              <w:rPr>
                <w:rFonts w:hint="eastAsia" w:ascii="宋体" w:hAnsi="宋体" w:cs="宋体"/>
                <w:spacing w:val="2"/>
                <w:szCs w:val="21"/>
              </w:rPr>
              <w:t>要求的备件有：17.1(1)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18.4</w:t>
            </w:r>
          </w:p>
        </w:tc>
        <w:tc>
          <w:tcPr>
            <w:tcW w:w="7665" w:type="dxa"/>
            <w:noWrap w:val="0"/>
            <w:vAlign w:val="center"/>
          </w:tcPr>
          <w:p>
            <w:pPr>
              <w:spacing w:after="120" w:afterLines="50"/>
              <w:rPr>
                <w:rFonts w:hint="eastAsia" w:ascii="宋体" w:hAnsi="宋体" w:cs="宋体"/>
                <w:spacing w:val="2"/>
                <w:szCs w:val="21"/>
              </w:rPr>
            </w:pPr>
            <w:r>
              <w:rPr>
                <w:rFonts w:hint="eastAsia" w:ascii="宋体" w:hAnsi="宋体" w:cs="宋体"/>
                <w:spacing w:val="2"/>
                <w:szCs w:val="21"/>
              </w:rPr>
              <w:t>免费维修的期限为卖方收到买方通知后：1天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color w:val="auto"/>
                <w:spacing w:val="2"/>
                <w:sz w:val="21"/>
                <w:szCs w:val="21"/>
              </w:rPr>
            </w:pPr>
            <w:r>
              <w:rPr>
                <w:rFonts w:hint="eastAsia" w:ascii="宋体" w:hAnsi="宋体" w:cs="宋体"/>
                <w:color w:val="auto"/>
                <w:spacing w:val="2"/>
                <w:sz w:val="21"/>
                <w:szCs w:val="21"/>
              </w:rPr>
              <w:t>20</w:t>
            </w:r>
          </w:p>
        </w:tc>
        <w:tc>
          <w:tcPr>
            <w:tcW w:w="7665" w:type="dxa"/>
            <w:noWrap w:val="0"/>
            <w:vAlign w:val="center"/>
          </w:tcPr>
          <w:p>
            <w:pPr>
              <w:spacing w:after="120" w:afterLines="50"/>
              <w:rPr>
                <w:rFonts w:hint="eastAsia" w:ascii="宋体" w:hAnsi="宋体" w:cs="宋体"/>
                <w:color w:val="auto"/>
                <w:spacing w:val="2"/>
                <w:sz w:val="21"/>
                <w:szCs w:val="21"/>
              </w:rPr>
            </w:pPr>
            <w:r>
              <w:rPr>
                <w:rFonts w:hint="eastAsia" w:ascii="宋体" w:hAnsi="宋体" w:cs="宋体"/>
                <w:color w:val="auto"/>
                <w:spacing w:val="2"/>
                <w:sz w:val="21"/>
                <w:szCs w:val="21"/>
              </w:rPr>
              <w:t>付款方法和条件为：</w:t>
            </w:r>
            <w:r>
              <w:rPr>
                <w:rStyle w:val="21"/>
                <w:rFonts w:hint="eastAsia" w:ascii="宋体" w:hAnsi="宋体" w:cs="宋体"/>
                <w:color w:val="auto"/>
                <w:sz w:val="21"/>
                <w:szCs w:val="21"/>
              </w:rPr>
              <w:t>货到医院后支付合同金额的90%，整机验收合格后三个月内支付合同金额的10%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21</w:t>
            </w:r>
          </w:p>
        </w:tc>
        <w:tc>
          <w:tcPr>
            <w:tcW w:w="7665" w:type="dxa"/>
            <w:noWrap w:val="0"/>
            <w:vAlign w:val="center"/>
          </w:tcPr>
          <w:p>
            <w:pPr>
              <w:spacing w:after="120" w:afterLines="50"/>
              <w:rPr>
                <w:rFonts w:hint="eastAsia" w:ascii="宋体" w:hAnsi="宋体" w:cs="宋体"/>
                <w:spacing w:val="2"/>
                <w:szCs w:val="21"/>
              </w:rPr>
            </w:pPr>
            <w:r>
              <w:rPr>
                <w:rFonts w:hint="eastAsia" w:ascii="宋体" w:hAnsi="宋体" w:cs="宋体"/>
                <w:spacing w:val="2"/>
                <w:szCs w:val="21"/>
              </w:rPr>
              <w:t>合同价和分项价格：主机价格，附件价格，运费，保险费，安装调试费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36</w:t>
            </w:r>
          </w:p>
        </w:tc>
        <w:tc>
          <w:tcPr>
            <w:tcW w:w="7665" w:type="dxa"/>
            <w:noWrap w:val="0"/>
            <w:vAlign w:val="center"/>
          </w:tcPr>
          <w:p>
            <w:pPr>
              <w:spacing w:after="120" w:afterLines="50"/>
              <w:rPr>
                <w:rFonts w:hint="eastAsia" w:ascii="宋体" w:hAnsi="宋体" w:cs="宋体"/>
                <w:spacing w:val="2"/>
                <w:szCs w:val="21"/>
              </w:rPr>
            </w:pPr>
            <w:r>
              <w:rPr>
                <w:rFonts w:hint="eastAsia" w:ascii="宋体" w:hAnsi="宋体" w:cs="宋体"/>
                <w:spacing w:val="2"/>
                <w:szCs w:val="21"/>
              </w:rPr>
              <w:t>互惠协议的标题是“中华人民共和国和（未定）政府关于所得税和财产税避免双重征税和防止偷漏税的协定”。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40" w:type="dxa"/>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其</w:t>
            </w:r>
          </w:p>
          <w:p>
            <w:pPr>
              <w:spacing w:after="120" w:afterLines="50"/>
              <w:jc w:val="center"/>
              <w:rPr>
                <w:rFonts w:hint="eastAsia" w:ascii="宋体" w:hAnsi="宋体" w:cs="宋体"/>
                <w:spacing w:val="2"/>
                <w:szCs w:val="21"/>
              </w:rPr>
            </w:pPr>
            <w:r>
              <w:rPr>
                <w:rFonts w:hint="eastAsia" w:ascii="宋体" w:hAnsi="宋体" w:cs="宋体"/>
                <w:spacing w:val="2"/>
                <w:szCs w:val="21"/>
              </w:rPr>
              <w:t>它</w:t>
            </w:r>
          </w:p>
          <w:p>
            <w:pPr>
              <w:spacing w:after="120" w:afterLines="50"/>
              <w:jc w:val="center"/>
              <w:rPr>
                <w:rFonts w:hint="eastAsia" w:ascii="宋体" w:hAnsi="宋体" w:cs="宋体"/>
                <w:spacing w:val="2"/>
                <w:szCs w:val="21"/>
              </w:rPr>
            </w:pPr>
            <w:r>
              <w:rPr>
                <w:rFonts w:hint="eastAsia" w:ascii="宋体" w:hAnsi="宋体" w:cs="宋体"/>
                <w:spacing w:val="2"/>
                <w:szCs w:val="21"/>
              </w:rPr>
              <w:t>条</w:t>
            </w:r>
          </w:p>
          <w:p>
            <w:pPr>
              <w:spacing w:after="120" w:afterLines="50"/>
              <w:jc w:val="center"/>
              <w:rPr>
                <w:rFonts w:hint="eastAsia" w:ascii="宋体" w:hAnsi="宋体" w:cs="宋体"/>
                <w:spacing w:val="2"/>
                <w:szCs w:val="21"/>
              </w:rPr>
            </w:pPr>
            <w:r>
              <w:rPr>
                <w:rFonts w:hint="eastAsia" w:ascii="宋体" w:hAnsi="宋体" w:cs="宋体"/>
                <w:spacing w:val="2"/>
                <w:szCs w:val="21"/>
              </w:rPr>
              <w:t>款</w:t>
            </w:r>
          </w:p>
        </w:tc>
        <w:tc>
          <w:tcPr>
            <w:tcW w:w="7665" w:type="dxa"/>
            <w:noWrap w:val="0"/>
            <w:vAlign w:val="center"/>
          </w:tcPr>
          <w:p>
            <w:pPr>
              <w:widowControl/>
              <w:numPr>
                <w:ilvl w:val="0"/>
                <w:numId w:val="2"/>
              </w:numPr>
              <w:autoSpaceDE w:val="0"/>
              <w:autoSpaceDN w:val="0"/>
              <w:spacing w:after="120" w:afterLines="50"/>
              <w:textAlignment w:val="bottom"/>
              <w:rPr>
                <w:rFonts w:hint="eastAsia" w:ascii="宋体" w:hAnsi="宋体" w:cs="宋体"/>
                <w:szCs w:val="21"/>
              </w:rPr>
            </w:pPr>
            <w:r>
              <w:rPr>
                <w:rFonts w:hint="eastAsia" w:ascii="宋体" w:hAnsi="宋体" w:cs="宋体"/>
                <w:szCs w:val="21"/>
              </w:rPr>
              <w:t>保修期</w:t>
            </w:r>
          </w:p>
          <w:p>
            <w:pPr>
              <w:widowControl/>
              <w:numPr>
                <w:ilvl w:val="1"/>
                <w:numId w:val="3"/>
              </w:numPr>
              <w:autoSpaceDE w:val="0"/>
              <w:autoSpaceDN w:val="0"/>
              <w:spacing w:after="120" w:afterLines="50"/>
              <w:textAlignment w:val="bottom"/>
              <w:rPr>
                <w:rFonts w:hint="eastAsia" w:ascii="宋体" w:hAnsi="宋体" w:cs="宋体"/>
                <w:szCs w:val="21"/>
              </w:rPr>
            </w:pPr>
            <w:r>
              <w:rPr>
                <w:rFonts w:hint="eastAsia" w:ascii="宋体" w:hAnsi="宋体" w:cs="宋体"/>
                <w:szCs w:val="21"/>
              </w:rPr>
              <w:t>质保期：整套系统（含标书要求提供的设备的所有配置和附件）保修≥</w:t>
            </w:r>
            <w:r>
              <w:rPr>
                <w:rFonts w:hint="eastAsia" w:ascii="宋体" w:hAnsi="宋体" w:cs="宋体"/>
                <w:szCs w:val="21"/>
                <w:lang w:val="en-US" w:eastAsia="zh-CN"/>
              </w:rPr>
              <w:t>1</w:t>
            </w:r>
            <w:r>
              <w:rPr>
                <w:rFonts w:hint="eastAsia" w:ascii="宋体" w:hAnsi="宋体" w:cs="宋体"/>
                <w:szCs w:val="21"/>
              </w:rPr>
              <w:t>年，并提供相应保修时间的原厂书面承诺。保证零配件供应</w:t>
            </w:r>
            <w:r>
              <w:rPr>
                <w:rFonts w:hint="eastAsia" w:ascii="宋体" w:hAnsi="宋体" w:cs="宋体"/>
                <w:szCs w:val="21"/>
                <w:lang w:val="en-US" w:eastAsia="zh-CN"/>
              </w:rPr>
              <w:t>10</w:t>
            </w:r>
            <w:r>
              <w:rPr>
                <w:rFonts w:hint="eastAsia" w:ascii="宋体" w:hAnsi="宋体" w:cs="宋体"/>
                <w:szCs w:val="21"/>
              </w:rPr>
              <w:t>年以上，质保期后不收任何维修费、差旅费等，仅收取配件费，终身维护，软件终身免费升级。如保修期内因设备本身缺陷造成各种故障应由卖方免费技术服务和维修，并在投标文件中说明在保修期内提供的服务计划。</w:t>
            </w:r>
          </w:p>
          <w:p>
            <w:pPr>
              <w:widowControl/>
              <w:numPr>
                <w:ilvl w:val="1"/>
                <w:numId w:val="3"/>
              </w:numPr>
              <w:autoSpaceDE w:val="0"/>
              <w:autoSpaceDN w:val="0"/>
              <w:spacing w:after="120" w:afterLines="50"/>
              <w:textAlignment w:val="bottom"/>
              <w:rPr>
                <w:rFonts w:hint="eastAsia" w:ascii="宋体" w:hAnsi="宋体" w:cs="宋体"/>
                <w:szCs w:val="21"/>
              </w:rPr>
            </w:pPr>
            <w:r>
              <w:rPr>
                <w:rFonts w:hint="eastAsia" w:ascii="宋体" w:hAnsi="宋体" w:cs="宋体"/>
                <w:szCs w:val="21"/>
              </w:rPr>
              <w:t>提供出保后每年整机保修单价（含所有原厂和第三方软硬件）。</w:t>
            </w:r>
          </w:p>
          <w:p>
            <w:pPr>
              <w:widowControl/>
              <w:autoSpaceDE w:val="0"/>
              <w:autoSpaceDN w:val="0"/>
              <w:spacing w:after="120" w:afterLines="50"/>
              <w:textAlignment w:val="bottom"/>
              <w:rPr>
                <w:rFonts w:hint="eastAsia" w:ascii="宋体" w:hAnsi="宋体" w:cs="宋体"/>
                <w:szCs w:val="21"/>
              </w:rPr>
            </w:pPr>
            <w:r>
              <w:rPr>
                <w:rFonts w:hint="eastAsia" w:ascii="宋体" w:hAnsi="宋体" w:cs="宋体"/>
                <w:szCs w:val="21"/>
              </w:rPr>
              <w:t>2、售后服务</w:t>
            </w:r>
          </w:p>
          <w:p>
            <w:pPr>
              <w:widowControl/>
              <w:numPr>
                <w:ilvl w:val="1"/>
                <w:numId w:val="4"/>
              </w:numPr>
              <w:autoSpaceDE w:val="0"/>
              <w:autoSpaceDN w:val="0"/>
              <w:spacing w:after="120" w:afterLines="50"/>
              <w:textAlignment w:val="bottom"/>
              <w:rPr>
                <w:rFonts w:hint="eastAsia" w:ascii="宋体" w:hAnsi="宋体" w:cs="宋体"/>
                <w:szCs w:val="21"/>
              </w:rPr>
            </w:pPr>
            <w:r>
              <w:rPr>
                <w:rFonts w:hint="eastAsia" w:ascii="宋体" w:hAnsi="宋体" w:cs="宋体"/>
                <w:szCs w:val="21"/>
              </w:rPr>
              <w:t>在设备整个使用期内，卖方应确保设备的正常使用。24小时内维修人员到达现场（包括节假日）。保证零配件供应时间≥</w:t>
            </w:r>
            <w:r>
              <w:rPr>
                <w:rFonts w:hint="eastAsia" w:ascii="宋体" w:hAnsi="宋体" w:cs="宋体"/>
                <w:szCs w:val="21"/>
                <w:lang w:val="en-US" w:eastAsia="zh-CN"/>
              </w:rPr>
              <w:t>10</w:t>
            </w:r>
            <w:r>
              <w:rPr>
                <w:rFonts w:hint="eastAsia" w:ascii="宋体" w:hAnsi="宋体" w:cs="宋体"/>
                <w:szCs w:val="21"/>
              </w:rPr>
              <w:t>年。故障最长修复时间在5个工作日之内。</w:t>
            </w:r>
          </w:p>
          <w:p>
            <w:pPr>
              <w:widowControl/>
              <w:numPr>
                <w:ilvl w:val="1"/>
                <w:numId w:val="4"/>
              </w:numPr>
              <w:autoSpaceDE w:val="0"/>
              <w:autoSpaceDN w:val="0"/>
              <w:spacing w:after="120" w:afterLines="50"/>
              <w:textAlignment w:val="bottom"/>
              <w:rPr>
                <w:rFonts w:hint="eastAsia" w:ascii="宋体" w:hAnsi="宋体" w:cs="宋体"/>
                <w:szCs w:val="21"/>
              </w:rPr>
            </w:pPr>
            <w:r>
              <w:rPr>
                <w:rFonts w:hint="eastAsia" w:ascii="宋体" w:hAnsi="宋体" w:cs="宋体"/>
                <w:szCs w:val="21"/>
              </w:rPr>
              <w:t>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w:t>
            </w:r>
          </w:p>
          <w:p>
            <w:pPr>
              <w:widowControl/>
              <w:numPr>
                <w:ilvl w:val="1"/>
                <w:numId w:val="4"/>
              </w:numPr>
              <w:autoSpaceDE w:val="0"/>
              <w:autoSpaceDN w:val="0"/>
              <w:spacing w:after="120" w:afterLines="50"/>
              <w:textAlignment w:val="bottom"/>
              <w:rPr>
                <w:rFonts w:hint="eastAsia" w:ascii="宋体" w:hAnsi="宋体" w:cs="宋体"/>
                <w:szCs w:val="21"/>
              </w:rPr>
            </w:pPr>
            <w:r>
              <w:rPr>
                <w:rFonts w:hint="eastAsia" w:ascii="宋体" w:hAnsi="宋体" w:cs="宋体"/>
                <w:szCs w:val="21"/>
              </w:rPr>
              <w:t>对维修工程师的要求：维修前应将用户存储的扫描程序备份，维修结束后恢复原状。</w:t>
            </w:r>
          </w:p>
          <w:p>
            <w:pPr>
              <w:widowControl/>
              <w:autoSpaceDE w:val="0"/>
              <w:autoSpaceDN w:val="0"/>
              <w:spacing w:after="120" w:afterLines="50"/>
              <w:ind w:left="630" w:hanging="630" w:hangingChars="300"/>
              <w:textAlignment w:val="bottom"/>
              <w:rPr>
                <w:rFonts w:hint="eastAsia" w:ascii="宋体" w:hAnsi="宋体" w:cs="宋体"/>
                <w:szCs w:val="21"/>
              </w:rPr>
            </w:pPr>
            <w:r>
              <w:rPr>
                <w:rFonts w:hint="eastAsia" w:ascii="宋体" w:hAnsi="宋体" w:cs="宋体"/>
                <w:szCs w:val="21"/>
              </w:rPr>
              <w:t xml:space="preserve">2.5  </w:t>
            </w:r>
            <w:r>
              <w:rPr>
                <w:rFonts w:hint="eastAsia" w:ascii="宋体" w:hAnsi="宋体" w:cs="宋体"/>
                <w:bCs/>
                <w:kern w:val="0"/>
                <w:szCs w:val="21"/>
              </w:rPr>
              <w:t>提供制造商国内售后服务机构出具的售后服务承诺书。</w:t>
            </w:r>
          </w:p>
          <w:p>
            <w:pPr>
              <w:widowControl/>
              <w:autoSpaceDE w:val="0"/>
              <w:autoSpaceDN w:val="0"/>
              <w:spacing w:after="120" w:afterLines="50"/>
              <w:textAlignment w:val="bottom"/>
              <w:rPr>
                <w:rFonts w:hint="eastAsia" w:ascii="宋体" w:hAnsi="宋体" w:cs="宋体"/>
                <w:szCs w:val="21"/>
              </w:rPr>
            </w:pPr>
            <w:r>
              <w:rPr>
                <w:rFonts w:hint="eastAsia" w:ascii="宋体" w:hAnsi="宋体" w:cs="宋体"/>
                <w:szCs w:val="21"/>
              </w:rPr>
              <w:t>3、技术支持</w:t>
            </w:r>
          </w:p>
          <w:p>
            <w:pPr>
              <w:widowControl/>
              <w:numPr>
                <w:ilvl w:val="1"/>
                <w:numId w:val="5"/>
              </w:numPr>
              <w:tabs>
                <w:tab w:val="center" w:pos="4153"/>
                <w:tab w:val="right" w:pos="8306"/>
              </w:tabs>
              <w:autoSpaceDE w:val="0"/>
              <w:autoSpaceDN w:val="0"/>
              <w:snapToGrid w:val="0"/>
              <w:spacing w:after="120" w:afterLines="50"/>
              <w:textAlignment w:val="bottom"/>
              <w:rPr>
                <w:rFonts w:hint="eastAsia" w:ascii="宋体" w:hAnsi="宋体" w:cs="宋体"/>
                <w:szCs w:val="21"/>
              </w:rPr>
            </w:pPr>
            <w:r>
              <w:rPr>
                <w:rFonts w:hint="eastAsia" w:ascii="宋体" w:hAnsi="宋体" w:cs="宋体"/>
                <w:szCs w:val="21"/>
              </w:rPr>
              <w:t>中标商应免费提供软件升级，并及时提供设备新功能和临床应用的资料。</w:t>
            </w:r>
          </w:p>
          <w:p>
            <w:pPr>
              <w:widowControl/>
              <w:numPr>
                <w:ilvl w:val="1"/>
                <w:numId w:val="5"/>
              </w:numPr>
              <w:tabs>
                <w:tab w:val="center" w:pos="4153"/>
                <w:tab w:val="right" w:pos="8306"/>
              </w:tabs>
              <w:autoSpaceDE w:val="0"/>
              <w:autoSpaceDN w:val="0"/>
              <w:snapToGrid w:val="0"/>
              <w:spacing w:after="120" w:afterLines="50"/>
              <w:textAlignment w:val="bottom"/>
              <w:rPr>
                <w:rFonts w:hint="eastAsia" w:ascii="宋体" w:hAnsi="宋体" w:cs="宋体"/>
                <w:szCs w:val="21"/>
              </w:rPr>
            </w:pPr>
            <w:r>
              <w:rPr>
                <w:rFonts w:hint="eastAsia" w:ascii="宋体" w:hAnsi="宋体" w:cs="宋体"/>
                <w:szCs w:val="21"/>
              </w:rPr>
              <w:t>每台设备都应提供完整的中英文技术资料，包括操作手册2套、维修手册1套、软件手册1套和附件使用手册1套等，同时应提供原厂的出厂配置清单、设备出厂检验报告和质量合格证书等及电子版的操作规程，如系进口产品，还应提供报关证明及商检报告。</w:t>
            </w:r>
          </w:p>
          <w:p>
            <w:pPr>
              <w:widowControl/>
              <w:tabs>
                <w:tab w:val="center" w:pos="4153"/>
                <w:tab w:val="right" w:pos="8306"/>
              </w:tabs>
              <w:autoSpaceDE w:val="0"/>
              <w:autoSpaceDN w:val="0"/>
              <w:snapToGrid w:val="0"/>
              <w:spacing w:after="120" w:afterLines="50"/>
              <w:textAlignment w:val="bottom"/>
              <w:rPr>
                <w:rFonts w:hint="eastAsia" w:ascii="宋体" w:hAnsi="宋体" w:cs="宋体"/>
                <w:szCs w:val="21"/>
              </w:rPr>
            </w:pPr>
            <w:r>
              <w:rPr>
                <w:rFonts w:hint="eastAsia" w:ascii="宋体" w:hAnsi="宋体" w:cs="宋体"/>
                <w:szCs w:val="21"/>
              </w:rPr>
              <w:t>*3.3 若设备有信息系统接口，则全部免费开放</w:t>
            </w:r>
          </w:p>
          <w:p>
            <w:pPr>
              <w:widowControl/>
              <w:tabs>
                <w:tab w:val="center" w:pos="4153"/>
                <w:tab w:val="right" w:pos="8306"/>
              </w:tabs>
              <w:autoSpaceDE w:val="0"/>
              <w:autoSpaceDN w:val="0"/>
              <w:snapToGrid w:val="0"/>
              <w:spacing w:after="120" w:afterLines="50"/>
              <w:textAlignment w:val="bottom"/>
              <w:rPr>
                <w:rFonts w:hint="eastAsia" w:ascii="宋体" w:hAnsi="宋体" w:cs="宋体"/>
                <w:szCs w:val="21"/>
              </w:rPr>
            </w:pPr>
            <w:r>
              <w:rPr>
                <w:rFonts w:hint="eastAsia" w:ascii="宋体" w:hAnsi="宋体" w:cs="宋体"/>
                <w:szCs w:val="21"/>
              </w:rPr>
              <w:t xml:space="preserve">*3.4 </w:t>
            </w:r>
            <w:r>
              <w:rPr>
                <w:rFonts w:hint="eastAsia" w:ascii="宋体" w:hAnsi="宋体" w:cs="宋体"/>
                <w:kern w:val="0"/>
                <w:szCs w:val="21"/>
              </w:rPr>
              <w:t>设备端口可连入医院现有的医疗信息网络系统。</w:t>
            </w:r>
          </w:p>
          <w:p>
            <w:pPr>
              <w:widowControl/>
              <w:numPr>
                <w:ilvl w:val="0"/>
                <w:numId w:val="6"/>
              </w:numPr>
              <w:autoSpaceDE w:val="0"/>
              <w:autoSpaceDN w:val="0"/>
              <w:spacing w:after="120" w:afterLines="50"/>
              <w:textAlignment w:val="bottom"/>
              <w:rPr>
                <w:rFonts w:hint="eastAsia" w:ascii="宋体" w:hAnsi="宋体" w:cs="宋体"/>
                <w:szCs w:val="21"/>
              </w:rPr>
            </w:pPr>
            <w:r>
              <w:rPr>
                <w:rFonts w:hint="eastAsia" w:ascii="宋体" w:hAnsi="宋体" w:cs="宋体"/>
                <w:szCs w:val="21"/>
              </w:rPr>
              <w:t>考察和培训</w:t>
            </w:r>
          </w:p>
          <w:p>
            <w:pPr>
              <w:widowControl/>
              <w:numPr>
                <w:ilvl w:val="1"/>
                <w:numId w:val="7"/>
              </w:numPr>
              <w:autoSpaceDE w:val="0"/>
              <w:autoSpaceDN w:val="0"/>
              <w:spacing w:after="120" w:afterLines="50"/>
              <w:textAlignment w:val="bottom"/>
              <w:rPr>
                <w:rFonts w:hint="eastAsia" w:ascii="宋体" w:hAnsi="宋体" w:cs="宋体"/>
                <w:szCs w:val="21"/>
              </w:rPr>
            </w:pPr>
            <w:r>
              <w:rPr>
                <w:rFonts w:hint="eastAsia" w:ascii="宋体" w:hAnsi="宋体" w:cs="宋体"/>
                <w:szCs w:val="21"/>
              </w:rPr>
              <w:t>中标方应对用户的维修人员进行培训并承担所有费用，使其能对设备进行日常的维护保养及能对一般故障进行维修，并向培训人员提供详细的技术维修及调试参数资料。中标方应对用户的操作人员进行技术操作培训并提供详细的操作手册及全套维修手册。附培训、考核资料。验收完成后对设备科工程师进行基础维护与保养培训，包括课件及现场培训。</w:t>
            </w:r>
          </w:p>
          <w:p>
            <w:pPr>
              <w:widowControl/>
              <w:numPr>
                <w:ilvl w:val="1"/>
                <w:numId w:val="7"/>
              </w:numPr>
              <w:autoSpaceDE w:val="0"/>
              <w:autoSpaceDN w:val="0"/>
              <w:spacing w:after="120" w:afterLines="50"/>
              <w:textAlignment w:val="bottom"/>
              <w:rPr>
                <w:rFonts w:hint="eastAsia" w:ascii="宋体" w:hAnsi="宋体" w:cs="宋体"/>
                <w:szCs w:val="21"/>
              </w:rPr>
            </w:pPr>
            <w:r>
              <w:rPr>
                <w:rFonts w:hint="eastAsia" w:ascii="宋体" w:hAnsi="宋体" w:cs="宋体"/>
                <w:szCs w:val="21"/>
              </w:rPr>
              <w:t>提供现场培训与原厂教育中心培训，现场培训应包括</w:t>
            </w:r>
            <w:r>
              <w:rPr>
                <w:rFonts w:hint="eastAsia" w:ascii="宋体" w:hAnsi="宋体" w:cs="宋体"/>
                <w:szCs w:val="21"/>
                <w:lang w:eastAsia="zh-CN"/>
              </w:rPr>
              <w:t>医用直线加速器</w:t>
            </w:r>
            <w:r>
              <w:rPr>
                <w:rFonts w:hint="eastAsia" w:ascii="宋体" w:hAnsi="宋体" w:cs="宋体"/>
                <w:szCs w:val="21"/>
              </w:rPr>
              <w:t>，治疗计划系统放疗专用网络，以及设备工程师的培训。提供详细培训安排。</w:t>
            </w:r>
          </w:p>
          <w:p>
            <w:pPr>
              <w:widowControl/>
              <w:numPr>
                <w:ilvl w:val="1"/>
                <w:numId w:val="7"/>
              </w:numPr>
              <w:autoSpaceDE w:val="0"/>
              <w:autoSpaceDN w:val="0"/>
              <w:spacing w:after="120" w:afterLines="50"/>
              <w:textAlignment w:val="bottom"/>
              <w:rPr>
                <w:rFonts w:hint="eastAsia" w:ascii="宋体" w:hAnsi="宋体" w:cs="宋体"/>
                <w:szCs w:val="21"/>
              </w:rPr>
            </w:pPr>
            <w:r>
              <w:rPr>
                <w:rFonts w:hint="eastAsia" w:ascii="宋体" w:hAnsi="宋体" w:cs="宋体"/>
                <w:szCs w:val="21"/>
              </w:rPr>
              <w:t>使用手册2份，维修手册1份。纸质操作规程维护保养流程一份。</w:t>
            </w:r>
          </w:p>
          <w:p>
            <w:pPr>
              <w:widowControl/>
              <w:numPr>
                <w:ilvl w:val="1"/>
                <w:numId w:val="7"/>
              </w:numPr>
              <w:autoSpaceDE w:val="0"/>
              <w:autoSpaceDN w:val="0"/>
              <w:spacing w:after="120" w:afterLines="50"/>
              <w:textAlignment w:val="bottom"/>
              <w:rPr>
                <w:rFonts w:hint="eastAsia" w:ascii="宋体" w:hAnsi="宋体" w:cs="宋体"/>
                <w:szCs w:val="21"/>
              </w:rPr>
            </w:pPr>
            <w:r>
              <w:rPr>
                <w:rFonts w:hint="eastAsia" w:ascii="宋体" w:hAnsi="宋体" w:cs="宋体"/>
                <w:szCs w:val="21"/>
              </w:rPr>
              <w:t>上述培训的培训方式、地点、人数、时间投标商应在投标文件中详细说明。</w:t>
            </w:r>
          </w:p>
          <w:p>
            <w:pPr>
              <w:widowControl/>
              <w:numPr>
                <w:ilvl w:val="0"/>
                <w:numId w:val="6"/>
              </w:numPr>
              <w:autoSpaceDE w:val="0"/>
              <w:autoSpaceDN w:val="0"/>
              <w:spacing w:after="120" w:afterLines="50"/>
              <w:textAlignment w:val="bottom"/>
              <w:rPr>
                <w:rFonts w:hint="eastAsia" w:ascii="宋体" w:hAnsi="宋体" w:cs="宋体"/>
                <w:szCs w:val="21"/>
              </w:rPr>
            </w:pPr>
            <w:r>
              <w:rPr>
                <w:rFonts w:hint="eastAsia" w:ascii="宋体" w:hAnsi="宋体" w:cs="宋体"/>
                <w:szCs w:val="21"/>
              </w:rPr>
              <w:t>安装调试</w:t>
            </w:r>
          </w:p>
          <w:p>
            <w:pPr>
              <w:widowControl/>
              <w:numPr>
                <w:ilvl w:val="1"/>
                <w:numId w:val="8"/>
              </w:numPr>
              <w:autoSpaceDE w:val="0"/>
              <w:autoSpaceDN w:val="0"/>
              <w:spacing w:after="120" w:afterLines="50"/>
              <w:textAlignment w:val="bottom"/>
              <w:rPr>
                <w:rFonts w:hint="eastAsia" w:ascii="宋体" w:hAnsi="宋体" w:cs="宋体"/>
                <w:szCs w:val="21"/>
              </w:rPr>
            </w:pPr>
            <w:r>
              <w:rPr>
                <w:rFonts w:hint="eastAsia" w:ascii="宋体" w:hAnsi="宋体" w:cs="宋体"/>
                <w:szCs w:val="21"/>
              </w:rPr>
              <w:t>安装地点：浙江省肿瘤医院</w:t>
            </w:r>
          </w:p>
          <w:p>
            <w:pPr>
              <w:widowControl/>
              <w:numPr>
                <w:ilvl w:val="1"/>
                <w:numId w:val="8"/>
              </w:numPr>
              <w:autoSpaceDE w:val="0"/>
              <w:autoSpaceDN w:val="0"/>
              <w:spacing w:after="120" w:afterLines="50"/>
              <w:textAlignment w:val="bottom"/>
              <w:rPr>
                <w:rFonts w:hint="eastAsia" w:ascii="宋体" w:hAnsi="宋体" w:cs="宋体"/>
                <w:szCs w:val="21"/>
              </w:rPr>
            </w:pPr>
            <w:r>
              <w:rPr>
                <w:rFonts w:hint="eastAsia" w:ascii="宋体" w:hAnsi="宋体" w:cs="宋体"/>
                <w:szCs w:val="21"/>
              </w:rPr>
              <w:t>安装完成时间：到货合同签订后3关于内进行设备安装、调试和验收，仪器到达用户现场并且安装条件合格后，在接到用户通知后安排工程技术人员在90日内进行安装调试，如果超出上述期限，投标商将负责由此给用户造成的所有损失。</w:t>
            </w:r>
          </w:p>
          <w:p>
            <w:pPr>
              <w:widowControl/>
              <w:numPr>
                <w:ilvl w:val="1"/>
                <w:numId w:val="8"/>
              </w:numPr>
              <w:autoSpaceDE w:val="0"/>
              <w:autoSpaceDN w:val="0"/>
              <w:spacing w:after="120" w:afterLines="50"/>
              <w:textAlignment w:val="bottom"/>
              <w:rPr>
                <w:rFonts w:hint="eastAsia" w:ascii="宋体" w:hAnsi="宋体" w:cs="宋体"/>
                <w:szCs w:val="21"/>
              </w:rPr>
            </w:pPr>
            <w:r>
              <w:rPr>
                <w:rFonts w:hint="eastAsia" w:ascii="宋体" w:hAnsi="宋体" w:cs="宋体"/>
                <w:szCs w:val="21"/>
              </w:rPr>
              <w:t>安装标准：符合我国国家有关技术规范要求和技术标准。到货时随机提供产品合格证明材料（计量设备需提供计量检定证书）。</w:t>
            </w:r>
          </w:p>
          <w:p>
            <w:pPr>
              <w:widowControl/>
              <w:numPr>
                <w:ilvl w:val="1"/>
                <w:numId w:val="8"/>
              </w:numPr>
              <w:autoSpaceDE w:val="0"/>
              <w:autoSpaceDN w:val="0"/>
              <w:spacing w:after="120" w:afterLines="50"/>
              <w:textAlignment w:val="bottom"/>
              <w:rPr>
                <w:rFonts w:hint="eastAsia" w:ascii="宋体" w:hAnsi="宋体" w:cs="宋体"/>
                <w:szCs w:val="21"/>
              </w:rPr>
            </w:pPr>
            <w:r>
              <w:rPr>
                <w:rFonts w:hint="eastAsia" w:ascii="宋体" w:hAnsi="宋体" w:cs="宋体"/>
                <w:szCs w:val="21"/>
              </w:rPr>
              <w:t>安装过程中发生的费用由卖方负责。投标商应在投标文件中提供其安装调试计划和对安装场地和环境的要求。提供对机房及电源的要求。</w:t>
            </w:r>
          </w:p>
          <w:p>
            <w:pPr>
              <w:widowControl/>
              <w:numPr>
                <w:ilvl w:val="1"/>
                <w:numId w:val="8"/>
              </w:numPr>
              <w:autoSpaceDE w:val="0"/>
              <w:autoSpaceDN w:val="0"/>
              <w:spacing w:after="120" w:afterLines="50"/>
              <w:textAlignment w:val="bottom"/>
              <w:rPr>
                <w:rFonts w:hint="eastAsia" w:ascii="宋体" w:hAnsi="宋体" w:cs="宋体"/>
                <w:szCs w:val="21"/>
              </w:rPr>
            </w:pPr>
            <w:r>
              <w:rPr>
                <w:rFonts w:hint="eastAsia" w:ascii="宋体" w:hAnsi="宋体" w:cs="宋体"/>
                <w:szCs w:val="21"/>
              </w:rPr>
              <w:t>卖方负责用户的机房设计，费用由卖方负责。</w:t>
            </w:r>
          </w:p>
          <w:p>
            <w:pPr>
              <w:widowControl/>
              <w:numPr>
                <w:ilvl w:val="1"/>
                <w:numId w:val="8"/>
              </w:numPr>
              <w:autoSpaceDE w:val="0"/>
              <w:autoSpaceDN w:val="0"/>
              <w:spacing w:after="120" w:afterLines="50"/>
              <w:textAlignment w:val="bottom"/>
              <w:rPr>
                <w:rFonts w:hint="eastAsia" w:ascii="宋体" w:hAnsi="宋体" w:cs="宋体"/>
                <w:szCs w:val="21"/>
              </w:rPr>
            </w:pPr>
            <w:r>
              <w:rPr>
                <w:rFonts w:hint="eastAsia" w:ascii="宋体" w:hAnsi="宋体" w:cs="宋体"/>
                <w:szCs w:val="21"/>
              </w:rPr>
              <w:t>提供详细安装调试方案</w:t>
            </w:r>
          </w:p>
          <w:p>
            <w:pPr>
              <w:widowControl/>
              <w:numPr>
                <w:ilvl w:val="0"/>
                <w:numId w:val="6"/>
              </w:numPr>
              <w:autoSpaceDE w:val="0"/>
              <w:autoSpaceDN w:val="0"/>
              <w:spacing w:after="120" w:afterLines="50"/>
              <w:textAlignment w:val="bottom"/>
              <w:rPr>
                <w:rFonts w:hint="eastAsia" w:ascii="宋体" w:hAnsi="宋体" w:cs="宋体"/>
                <w:szCs w:val="21"/>
              </w:rPr>
            </w:pPr>
            <w:r>
              <w:rPr>
                <w:rFonts w:hint="eastAsia" w:ascii="宋体" w:hAnsi="宋体" w:cs="宋体"/>
                <w:szCs w:val="21"/>
              </w:rPr>
              <w:t>验收</w:t>
            </w:r>
          </w:p>
          <w:p>
            <w:pPr>
              <w:widowControl/>
              <w:numPr>
                <w:ilvl w:val="1"/>
                <w:numId w:val="9"/>
              </w:numPr>
              <w:autoSpaceDE w:val="0"/>
              <w:autoSpaceDN w:val="0"/>
              <w:spacing w:after="120" w:afterLines="50"/>
              <w:textAlignment w:val="bottom"/>
              <w:rPr>
                <w:rFonts w:hint="eastAsia" w:ascii="宋体" w:hAnsi="宋体" w:cs="宋体"/>
                <w:szCs w:val="21"/>
              </w:rPr>
            </w:pPr>
            <w:r>
              <w:rPr>
                <w:rFonts w:hint="eastAsia" w:ascii="宋体" w:hAnsi="宋体" w:cs="宋体"/>
                <w:szCs w:val="21"/>
              </w:rPr>
              <w:t>供货方应提供设备的有效检验文件（包括检测内容和检测方法），经买方认可后，与合同的性能指标、功能要求一起作为设备验收标准。买方对设备验收合格后，双方共同签署验收合格证书。验收中发现设备达不到验收标准或合同的规定，卖方必须更换有关部件，使设备最终达到规定的性能指标和功能要求，并且赔偿由此给用户造成的损失。</w:t>
            </w:r>
          </w:p>
          <w:p>
            <w:pPr>
              <w:widowControl/>
              <w:numPr>
                <w:ilvl w:val="0"/>
                <w:numId w:val="6"/>
              </w:numPr>
              <w:autoSpaceDE w:val="0"/>
              <w:autoSpaceDN w:val="0"/>
              <w:spacing w:after="120" w:afterLines="50"/>
              <w:textAlignment w:val="bottom"/>
              <w:rPr>
                <w:rFonts w:hint="eastAsia" w:ascii="宋体" w:hAnsi="宋体" w:cs="宋体"/>
                <w:szCs w:val="21"/>
              </w:rPr>
            </w:pPr>
            <w:r>
              <w:rPr>
                <w:rFonts w:hint="eastAsia" w:ascii="宋体" w:hAnsi="宋体" w:cs="宋体"/>
                <w:szCs w:val="21"/>
              </w:rPr>
              <w:t>交货</w:t>
            </w:r>
          </w:p>
          <w:p>
            <w:pPr>
              <w:widowControl/>
              <w:numPr>
                <w:ilvl w:val="1"/>
                <w:numId w:val="10"/>
              </w:numPr>
              <w:autoSpaceDE w:val="0"/>
              <w:autoSpaceDN w:val="0"/>
              <w:spacing w:after="120" w:afterLines="50"/>
              <w:textAlignment w:val="bottom"/>
              <w:rPr>
                <w:rFonts w:hint="eastAsia" w:ascii="宋体" w:hAnsi="宋体" w:cs="宋体"/>
                <w:szCs w:val="21"/>
              </w:rPr>
            </w:pPr>
            <w:r>
              <w:rPr>
                <w:rFonts w:hint="eastAsia" w:ascii="宋体" w:hAnsi="宋体" w:cs="宋体"/>
                <w:szCs w:val="21"/>
              </w:rPr>
              <w:t>交货期：合同签定后三个月内</w:t>
            </w:r>
          </w:p>
          <w:p>
            <w:pPr>
              <w:widowControl/>
              <w:numPr>
                <w:ilvl w:val="1"/>
                <w:numId w:val="10"/>
              </w:numPr>
              <w:autoSpaceDE w:val="0"/>
              <w:autoSpaceDN w:val="0"/>
              <w:spacing w:after="120" w:afterLines="50"/>
              <w:textAlignment w:val="bottom"/>
              <w:rPr>
                <w:rFonts w:hint="eastAsia" w:ascii="宋体" w:hAnsi="宋体" w:cs="宋体"/>
                <w:szCs w:val="21"/>
              </w:rPr>
            </w:pPr>
            <w:r>
              <w:rPr>
                <w:rFonts w:hint="eastAsia" w:ascii="宋体" w:hAnsi="宋体" w:cs="宋体"/>
                <w:szCs w:val="21"/>
              </w:rPr>
              <w:t>交货地点：</w:t>
            </w:r>
            <w:r>
              <w:rPr>
                <w:rFonts w:hint="eastAsia" w:ascii="宋体" w:hAnsi="宋体" w:cs="宋体"/>
                <w:spacing w:val="2"/>
                <w:szCs w:val="21"/>
              </w:rPr>
              <w:t>浙江省肿瘤医院</w:t>
            </w:r>
          </w:p>
          <w:p>
            <w:pPr>
              <w:numPr>
                <w:ilvl w:val="0"/>
                <w:numId w:val="6"/>
              </w:numPr>
              <w:spacing w:after="120" w:afterLines="50"/>
              <w:rPr>
                <w:rFonts w:hint="eastAsia" w:ascii="宋体" w:hAnsi="宋体" w:cs="宋体"/>
                <w:szCs w:val="21"/>
              </w:rPr>
            </w:pPr>
            <w:r>
              <w:rPr>
                <w:rFonts w:hint="eastAsia" w:ascii="宋体" w:hAnsi="宋体" w:cs="宋体"/>
                <w:szCs w:val="21"/>
              </w:rPr>
              <w:t>报价方式</w:t>
            </w:r>
          </w:p>
          <w:p>
            <w:pPr>
              <w:numPr>
                <w:ilvl w:val="1"/>
                <w:numId w:val="11"/>
              </w:numPr>
              <w:spacing w:after="120" w:afterLines="50"/>
              <w:rPr>
                <w:rFonts w:hint="eastAsia" w:ascii="宋体" w:hAnsi="宋体" w:cs="宋体"/>
                <w:szCs w:val="21"/>
              </w:rPr>
            </w:pPr>
            <w:r>
              <w:rPr>
                <w:rFonts w:hint="eastAsia" w:ascii="宋体" w:hAnsi="宋体" w:cs="宋体"/>
                <w:szCs w:val="21"/>
              </w:rPr>
              <w:t>对其所提供的设备报到医院总价及进行分项报价。质保期后的维保费单独报价（不包括在投标价中），选购件单独分项报价（不包括在投标价中）。</w:t>
            </w:r>
          </w:p>
          <w:p>
            <w:pPr>
              <w:numPr>
                <w:ilvl w:val="1"/>
                <w:numId w:val="11"/>
              </w:numPr>
              <w:spacing w:after="120" w:afterLines="50"/>
              <w:rPr>
                <w:rFonts w:hint="eastAsia" w:ascii="宋体" w:hAnsi="宋体" w:cs="宋体"/>
                <w:spacing w:val="2"/>
                <w:szCs w:val="21"/>
              </w:rPr>
            </w:pPr>
            <w:r>
              <w:rPr>
                <w:rFonts w:hint="eastAsia" w:ascii="宋体" w:hAnsi="宋体" w:cs="宋体"/>
                <w:szCs w:val="21"/>
              </w:rPr>
              <w:t>投标时标明所有的易耗品及维修备件的清单和供货价。请提供最优惠报价，此项作为评标重要依据。如未列明则默认为日后日常使用中免费提供。</w:t>
            </w:r>
          </w:p>
          <w:p>
            <w:pPr>
              <w:spacing w:after="120" w:afterLines="50"/>
              <w:rPr>
                <w:rFonts w:hint="eastAsia" w:ascii="宋体" w:hAnsi="宋体" w:cs="宋体"/>
              </w:rPr>
            </w:pPr>
            <w:r>
              <w:rPr>
                <w:rFonts w:hint="eastAsia" w:ascii="宋体" w:hAnsi="宋体" w:cs="宋体"/>
              </w:rPr>
              <w:t>*8.3  本项目预算：</w:t>
            </w:r>
            <w:r>
              <w:rPr>
                <w:rFonts w:hint="eastAsia" w:ascii="宋体" w:hAnsi="宋体" w:cs="宋体"/>
                <w:lang w:val="en-US" w:eastAsia="zh-CN"/>
              </w:rPr>
              <w:t>30</w:t>
            </w:r>
            <w:r>
              <w:rPr>
                <w:rFonts w:hint="eastAsia" w:ascii="宋体" w:hAnsi="宋体" w:cs="宋体"/>
              </w:rPr>
              <w:t>00万元人民币。</w:t>
            </w:r>
          </w:p>
          <w:p>
            <w:pPr>
              <w:numPr>
                <w:ilvl w:val="0"/>
                <w:numId w:val="6"/>
              </w:numPr>
              <w:spacing w:after="120" w:afterLines="50"/>
              <w:rPr>
                <w:rFonts w:hint="eastAsia" w:ascii="宋体" w:hAnsi="宋体" w:cs="宋体"/>
                <w:spacing w:val="2"/>
                <w:szCs w:val="21"/>
              </w:rPr>
            </w:pPr>
            <w:r>
              <w:rPr>
                <w:rFonts w:hint="eastAsia" w:ascii="宋体" w:hAnsi="宋体" w:cs="宋体"/>
                <w:szCs w:val="21"/>
              </w:rPr>
              <w:t>其它：</w:t>
            </w:r>
          </w:p>
          <w:p>
            <w:pPr>
              <w:numPr>
                <w:ilvl w:val="1"/>
                <w:numId w:val="12"/>
              </w:numPr>
              <w:spacing w:after="120" w:afterLines="50"/>
              <w:rPr>
                <w:rFonts w:hint="eastAsia" w:ascii="宋体" w:hAnsi="宋体" w:cs="宋体"/>
                <w:spacing w:val="2"/>
                <w:szCs w:val="21"/>
              </w:rPr>
            </w:pPr>
            <w:r>
              <w:rPr>
                <w:rFonts w:hint="eastAsia" w:ascii="宋体" w:hAnsi="宋体" w:cs="宋体"/>
                <w:spacing w:val="2"/>
                <w:szCs w:val="21"/>
              </w:rPr>
              <w:t>投标商应提供由制造厂印制的原始的技术数据表。</w:t>
            </w:r>
          </w:p>
          <w:p>
            <w:pPr>
              <w:numPr>
                <w:ilvl w:val="1"/>
                <w:numId w:val="12"/>
              </w:numPr>
              <w:spacing w:after="120" w:afterLines="50"/>
              <w:rPr>
                <w:rFonts w:hint="eastAsia" w:ascii="宋体" w:hAnsi="宋体" w:cs="宋体"/>
                <w:spacing w:val="2"/>
                <w:szCs w:val="21"/>
              </w:rPr>
            </w:pPr>
            <w:r>
              <w:rPr>
                <w:rFonts w:hint="eastAsia" w:ascii="宋体" w:hAnsi="宋体" w:cs="宋体"/>
                <w:spacing w:val="2"/>
                <w:szCs w:val="21"/>
              </w:rPr>
              <w:t>提供投标机型销售合同复印件。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5" w:type="dxa"/>
            <w:gridSpan w:val="2"/>
            <w:noWrap w:val="0"/>
            <w:vAlign w:val="center"/>
          </w:tcPr>
          <w:p>
            <w:pPr>
              <w:spacing w:after="120" w:afterLines="50"/>
              <w:jc w:val="center"/>
              <w:rPr>
                <w:rFonts w:hint="eastAsia" w:ascii="宋体" w:hAnsi="宋体" w:cs="宋体"/>
                <w:spacing w:val="2"/>
                <w:szCs w:val="21"/>
              </w:rPr>
            </w:pPr>
            <w:r>
              <w:rPr>
                <w:rFonts w:hint="eastAsia" w:ascii="宋体" w:hAnsi="宋体" w:cs="宋体"/>
                <w:spacing w:val="2"/>
                <w:szCs w:val="21"/>
              </w:rPr>
              <w:t>适用于本合同的额外变动：不适用</w:t>
            </w:r>
          </w:p>
        </w:tc>
      </w:tr>
    </w:tbl>
    <w:p>
      <w:pPr>
        <w:rPr>
          <w:rFonts w:hint="eastAsia" w:ascii="宋体" w:hAnsi="宋体" w:cs="宋体"/>
        </w:rPr>
      </w:pPr>
    </w:p>
    <w:p>
      <w:pPr>
        <w:spacing w:line="360" w:lineRule="auto"/>
        <w:ind w:left="720"/>
        <w:rPr>
          <w:rFonts w:hint="eastAsia" w:ascii="宋体" w:hAnsi="宋体" w:cs="宋体"/>
        </w:rPr>
        <w:sectPr>
          <w:headerReference r:id="rId3" w:type="default"/>
          <w:footerReference r:id="rId4" w:type="default"/>
          <w:footerReference r:id="rId5" w:type="even"/>
          <w:pgSz w:w="11907" w:h="16834"/>
          <w:pgMar w:top="1418" w:right="1701" w:bottom="1418" w:left="1701" w:header="851" w:footer="992" w:gutter="0"/>
          <w:pgBorders>
            <w:top w:val="none" w:sz="0" w:space="0"/>
            <w:left w:val="none" w:sz="0" w:space="0"/>
            <w:bottom w:val="none" w:sz="0" w:space="0"/>
            <w:right w:val="none" w:sz="0" w:space="0"/>
          </w:pgBorders>
          <w:pgNumType w:start="1"/>
          <w:cols w:space="720" w:num="1"/>
          <w:titlePg/>
          <w:docGrid w:linePitch="285" w:charSpace="0"/>
        </w:sectPr>
      </w:pPr>
    </w:p>
    <w:p>
      <w:pPr>
        <w:spacing w:line="360" w:lineRule="auto"/>
        <w:jc w:val="center"/>
        <w:rPr>
          <w:rFonts w:hint="eastAsia" w:ascii="宋体" w:hAnsi="宋体" w:cs="宋体"/>
          <w:b/>
          <w:sz w:val="32"/>
          <w:szCs w:val="32"/>
        </w:rPr>
      </w:pPr>
      <w:r>
        <w:rPr>
          <w:rFonts w:hint="eastAsia" w:ascii="宋体" w:hAnsi="宋体" w:cs="宋体"/>
          <w:b/>
          <w:sz w:val="32"/>
          <w:szCs w:val="32"/>
        </w:rPr>
        <w:t>第八章  货物需求一览表及技术规格</w:t>
      </w:r>
    </w:p>
    <w:p>
      <w:pPr>
        <w:spacing w:line="336" w:lineRule="auto"/>
        <w:rPr>
          <w:rFonts w:hint="eastAsia" w:ascii="宋体" w:hAnsi="宋体" w:cs="宋体"/>
          <w:szCs w:val="21"/>
        </w:rPr>
      </w:pPr>
    </w:p>
    <w:p>
      <w:pPr>
        <w:spacing w:line="336" w:lineRule="auto"/>
        <w:jc w:val="center"/>
        <w:rPr>
          <w:rFonts w:hint="eastAsia" w:ascii="宋体" w:hAnsi="宋体" w:cs="宋体"/>
          <w:b/>
          <w:sz w:val="28"/>
        </w:rPr>
      </w:pPr>
      <w:r>
        <w:rPr>
          <w:rFonts w:hint="eastAsia" w:ascii="宋体" w:hAnsi="宋体" w:cs="宋体"/>
          <w:b/>
          <w:sz w:val="28"/>
        </w:rPr>
        <w:t>一、概述</w:t>
      </w:r>
    </w:p>
    <w:p>
      <w:pPr>
        <w:spacing w:line="336" w:lineRule="auto"/>
        <w:ind w:firstLine="420" w:firstLineChars="200"/>
        <w:rPr>
          <w:rFonts w:hint="eastAsia" w:ascii="宋体" w:hAnsi="宋体" w:cs="宋体"/>
          <w:szCs w:val="21"/>
        </w:rPr>
      </w:pPr>
      <w:r>
        <w:rPr>
          <w:rFonts w:hint="eastAsia" w:ascii="宋体" w:hAnsi="宋体" w:cs="宋体"/>
          <w:szCs w:val="21"/>
        </w:rPr>
        <w:t>本次招标采购设备为</w:t>
      </w:r>
      <w:r>
        <w:rPr>
          <w:rFonts w:hint="eastAsia" w:ascii="宋体" w:hAnsi="宋体" w:cs="宋体"/>
          <w:szCs w:val="21"/>
          <w:lang w:eastAsia="zh-CN"/>
        </w:rPr>
        <w:t>医用直线加速器</w:t>
      </w:r>
      <w:r>
        <w:rPr>
          <w:rFonts w:hint="eastAsia" w:ascii="宋体" w:hAnsi="宋体" w:cs="宋体"/>
          <w:szCs w:val="21"/>
        </w:rPr>
        <w:t>，投标方应根据招标文件所提出的设备技术规格、产品、产量和服务要求，综合考虑设备的适应性，选择具有最佳性能价格比的设备前来投标。希望投标方以精良的设备、优良的服务和优惠的价格，充分显示贵公司的竞争实力。</w:t>
      </w:r>
    </w:p>
    <w:p>
      <w:pPr>
        <w:spacing w:line="336" w:lineRule="auto"/>
        <w:ind w:firstLine="560"/>
        <w:rPr>
          <w:rFonts w:hint="eastAsia" w:ascii="宋体" w:hAnsi="宋体" w:cs="宋体"/>
          <w:szCs w:val="21"/>
        </w:rPr>
      </w:pPr>
    </w:p>
    <w:p>
      <w:pPr>
        <w:numPr>
          <w:ilvl w:val="0"/>
          <w:numId w:val="13"/>
        </w:numPr>
        <w:spacing w:line="360" w:lineRule="auto"/>
        <w:jc w:val="center"/>
        <w:rPr>
          <w:rFonts w:hint="eastAsia" w:ascii="宋体" w:hAnsi="宋体" w:cs="宋体"/>
          <w:b/>
          <w:bCs/>
          <w:sz w:val="28"/>
        </w:rPr>
      </w:pPr>
      <w:r>
        <w:rPr>
          <w:rFonts w:hint="eastAsia" w:ascii="宋体" w:hAnsi="宋体" w:cs="宋体"/>
          <w:b/>
          <w:bCs/>
          <w:sz w:val="28"/>
        </w:rPr>
        <w:t>招标货物一览表</w:t>
      </w:r>
    </w:p>
    <w:tbl>
      <w:tblPr>
        <w:tblStyle w:val="1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1784"/>
        <w:gridCol w:w="900"/>
        <w:gridCol w:w="2040"/>
        <w:gridCol w:w="1646"/>
        <w:gridCol w:w="15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0" w:type="dxa"/>
            <w:noWrap w:val="0"/>
            <w:vAlign w:val="center"/>
          </w:tcPr>
          <w:p>
            <w:pPr>
              <w:jc w:val="center"/>
              <w:rPr>
                <w:szCs w:val="21"/>
              </w:rPr>
            </w:pPr>
            <w:r>
              <w:rPr>
                <w:szCs w:val="21"/>
              </w:rPr>
              <w:t>序号</w:t>
            </w:r>
          </w:p>
        </w:tc>
        <w:tc>
          <w:tcPr>
            <w:tcW w:w="1784" w:type="dxa"/>
            <w:noWrap w:val="0"/>
            <w:vAlign w:val="center"/>
          </w:tcPr>
          <w:p>
            <w:pPr>
              <w:jc w:val="center"/>
              <w:rPr>
                <w:szCs w:val="21"/>
              </w:rPr>
            </w:pPr>
            <w:r>
              <w:rPr>
                <w:szCs w:val="21"/>
              </w:rPr>
              <w:t>货物名称</w:t>
            </w:r>
          </w:p>
        </w:tc>
        <w:tc>
          <w:tcPr>
            <w:tcW w:w="900" w:type="dxa"/>
            <w:noWrap w:val="0"/>
            <w:vAlign w:val="center"/>
          </w:tcPr>
          <w:p>
            <w:pPr>
              <w:jc w:val="center"/>
              <w:rPr>
                <w:szCs w:val="21"/>
              </w:rPr>
            </w:pPr>
            <w:r>
              <w:rPr>
                <w:szCs w:val="21"/>
              </w:rPr>
              <w:t>数量</w:t>
            </w:r>
          </w:p>
        </w:tc>
        <w:tc>
          <w:tcPr>
            <w:tcW w:w="2040" w:type="dxa"/>
            <w:noWrap w:val="0"/>
            <w:vAlign w:val="center"/>
          </w:tcPr>
          <w:p>
            <w:pPr>
              <w:jc w:val="center"/>
              <w:rPr>
                <w:szCs w:val="21"/>
              </w:rPr>
            </w:pPr>
            <w:r>
              <w:rPr>
                <w:szCs w:val="21"/>
              </w:rPr>
              <w:t>主要技术规格</w:t>
            </w:r>
          </w:p>
        </w:tc>
        <w:tc>
          <w:tcPr>
            <w:tcW w:w="1646" w:type="dxa"/>
            <w:noWrap w:val="0"/>
            <w:vAlign w:val="center"/>
          </w:tcPr>
          <w:p>
            <w:pPr>
              <w:jc w:val="center"/>
              <w:rPr>
                <w:szCs w:val="21"/>
              </w:rPr>
            </w:pPr>
            <w:r>
              <w:rPr>
                <w:szCs w:val="21"/>
              </w:rPr>
              <w:t>交货期</w:t>
            </w:r>
          </w:p>
        </w:tc>
        <w:tc>
          <w:tcPr>
            <w:tcW w:w="1501" w:type="dxa"/>
            <w:noWrap w:val="0"/>
            <w:vAlign w:val="center"/>
          </w:tcPr>
          <w:p>
            <w:pPr>
              <w:jc w:val="center"/>
              <w:rPr>
                <w:szCs w:val="21"/>
              </w:rPr>
            </w:pPr>
            <w:r>
              <w:rPr>
                <w:szCs w:val="21"/>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720" w:type="dxa"/>
            <w:noWrap w:val="0"/>
            <w:vAlign w:val="center"/>
          </w:tcPr>
          <w:p>
            <w:pPr>
              <w:jc w:val="center"/>
              <w:rPr>
                <w:szCs w:val="21"/>
              </w:rPr>
            </w:pPr>
            <w:r>
              <w:rPr>
                <w:szCs w:val="21"/>
              </w:rPr>
              <w:t>1.</w:t>
            </w:r>
          </w:p>
        </w:tc>
        <w:tc>
          <w:tcPr>
            <w:tcW w:w="1784" w:type="dxa"/>
            <w:noWrap w:val="0"/>
            <w:vAlign w:val="center"/>
          </w:tcPr>
          <w:p>
            <w:pPr>
              <w:jc w:val="center"/>
              <w:rPr>
                <w:rFonts w:hint="eastAsia"/>
                <w:szCs w:val="21"/>
              </w:rPr>
            </w:pPr>
            <w:r>
              <w:rPr>
                <w:rFonts w:hint="eastAsia" w:ascii="宋体" w:hAnsi="宋体" w:cs="宋体"/>
                <w:kern w:val="2"/>
                <w:sz w:val="21"/>
                <w:szCs w:val="21"/>
                <w:lang w:val="en-US" w:eastAsia="zh-CN" w:bidi="ar-SA"/>
              </w:rPr>
              <w:t>医用直线加速器</w:t>
            </w:r>
          </w:p>
        </w:tc>
        <w:tc>
          <w:tcPr>
            <w:tcW w:w="900" w:type="dxa"/>
            <w:noWrap w:val="0"/>
            <w:vAlign w:val="center"/>
          </w:tcPr>
          <w:p>
            <w:pPr>
              <w:jc w:val="center"/>
              <w:rPr>
                <w:szCs w:val="21"/>
              </w:rPr>
            </w:pPr>
            <w:r>
              <w:rPr>
                <w:rFonts w:hint="eastAsia"/>
                <w:szCs w:val="21"/>
              </w:rPr>
              <w:t>1套</w:t>
            </w:r>
          </w:p>
        </w:tc>
        <w:tc>
          <w:tcPr>
            <w:tcW w:w="2040" w:type="dxa"/>
            <w:noWrap w:val="0"/>
            <w:vAlign w:val="center"/>
          </w:tcPr>
          <w:p>
            <w:pPr>
              <w:jc w:val="center"/>
              <w:rPr>
                <w:rFonts w:hint="eastAsia"/>
                <w:szCs w:val="21"/>
              </w:rPr>
            </w:pPr>
            <w:r>
              <w:rPr>
                <w:rFonts w:hint="eastAsia" w:ascii="宋体" w:hAnsi="宋体" w:cs="宋体"/>
                <w:kern w:val="2"/>
                <w:sz w:val="21"/>
                <w:szCs w:val="21"/>
                <w:lang w:val="en-US" w:eastAsia="zh-CN" w:bidi="ar-SA"/>
              </w:rPr>
              <w:t>加速管类型：行波/驻波</w:t>
            </w:r>
          </w:p>
        </w:tc>
        <w:tc>
          <w:tcPr>
            <w:tcW w:w="1646" w:type="dxa"/>
            <w:vMerge w:val="restart"/>
            <w:noWrap w:val="0"/>
            <w:vAlign w:val="center"/>
          </w:tcPr>
          <w:p>
            <w:pPr>
              <w:jc w:val="center"/>
              <w:rPr>
                <w:szCs w:val="21"/>
              </w:rPr>
            </w:pPr>
            <w:r>
              <w:rPr>
                <w:rFonts w:hint="eastAsia"/>
                <w:szCs w:val="21"/>
              </w:rPr>
              <w:t>合同签订后3个月内</w:t>
            </w:r>
          </w:p>
        </w:tc>
        <w:tc>
          <w:tcPr>
            <w:tcW w:w="1501" w:type="dxa"/>
            <w:vMerge w:val="restart"/>
            <w:noWrap w:val="0"/>
            <w:vAlign w:val="center"/>
          </w:tcPr>
          <w:p>
            <w:pPr>
              <w:jc w:val="center"/>
              <w:rPr>
                <w:rFonts w:hint="eastAsia" w:eastAsia="宋体"/>
                <w:szCs w:val="21"/>
                <w:lang w:eastAsia="zh-CN"/>
              </w:rPr>
            </w:pPr>
            <w:r>
              <w:rPr>
                <w:rFonts w:hint="eastAsia"/>
                <w:szCs w:val="21"/>
                <w:lang w:eastAsia="zh-CN"/>
              </w:rPr>
              <w:t>浙江省肿瘤医院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720" w:type="dxa"/>
            <w:noWrap w:val="0"/>
            <w:vAlign w:val="center"/>
          </w:tcPr>
          <w:p>
            <w:pPr>
              <w:jc w:val="center"/>
              <w:rPr>
                <w:szCs w:val="21"/>
              </w:rPr>
            </w:pPr>
            <w:r>
              <w:rPr>
                <w:rFonts w:hint="eastAsia"/>
                <w:szCs w:val="21"/>
              </w:rPr>
              <w:t>2.</w:t>
            </w:r>
          </w:p>
        </w:tc>
        <w:tc>
          <w:tcPr>
            <w:tcW w:w="1784" w:type="dxa"/>
            <w:noWrap w:val="0"/>
            <w:vAlign w:val="center"/>
          </w:tcPr>
          <w:p>
            <w:pPr>
              <w:jc w:val="center"/>
              <w:rPr>
                <w:szCs w:val="21"/>
              </w:rPr>
            </w:pPr>
            <w:r>
              <w:rPr>
                <w:szCs w:val="21"/>
              </w:rPr>
              <w:t>技术资料</w:t>
            </w:r>
          </w:p>
        </w:tc>
        <w:tc>
          <w:tcPr>
            <w:tcW w:w="900" w:type="dxa"/>
            <w:noWrap w:val="0"/>
            <w:vAlign w:val="center"/>
          </w:tcPr>
          <w:p>
            <w:pPr>
              <w:jc w:val="center"/>
              <w:rPr>
                <w:szCs w:val="21"/>
              </w:rPr>
            </w:pPr>
            <w:r>
              <w:rPr>
                <w:szCs w:val="21"/>
              </w:rPr>
              <w:t>全套</w:t>
            </w:r>
          </w:p>
        </w:tc>
        <w:tc>
          <w:tcPr>
            <w:tcW w:w="2040" w:type="dxa"/>
            <w:tcBorders>
              <w:bottom w:val="single" w:color="auto" w:sz="4" w:space="0"/>
            </w:tcBorders>
            <w:noWrap w:val="0"/>
            <w:vAlign w:val="center"/>
          </w:tcPr>
          <w:p>
            <w:pPr>
              <w:jc w:val="center"/>
              <w:rPr>
                <w:szCs w:val="21"/>
              </w:rPr>
            </w:pPr>
            <w:r>
              <w:rPr>
                <w:rFonts w:hAnsi="宋体"/>
                <w:szCs w:val="21"/>
              </w:rPr>
              <w:t>提供</w:t>
            </w:r>
          </w:p>
        </w:tc>
        <w:tc>
          <w:tcPr>
            <w:tcW w:w="1646" w:type="dxa"/>
            <w:vMerge w:val="continue"/>
            <w:noWrap w:val="0"/>
            <w:vAlign w:val="center"/>
          </w:tcPr>
          <w:p>
            <w:pPr>
              <w:jc w:val="center"/>
              <w:rPr>
                <w:szCs w:val="21"/>
              </w:rPr>
            </w:pPr>
          </w:p>
        </w:tc>
        <w:tc>
          <w:tcPr>
            <w:tcW w:w="1501" w:type="dxa"/>
            <w:vMerge w:val="continue"/>
            <w:noWrap w:val="0"/>
            <w:vAlign w:val="center"/>
          </w:tcPr>
          <w:p>
            <w:pPr>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720" w:type="dxa"/>
            <w:noWrap w:val="0"/>
            <w:vAlign w:val="center"/>
          </w:tcPr>
          <w:p>
            <w:pPr>
              <w:jc w:val="center"/>
              <w:rPr>
                <w:szCs w:val="21"/>
              </w:rPr>
            </w:pPr>
            <w:r>
              <w:rPr>
                <w:rFonts w:hint="eastAsia"/>
                <w:szCs w:val="21"/>
              </w:rPr>
              <w:t>3.</w:t>
            </w:r>
          </w:p>
        </w:tc>
        <w:tc>
          <w:tcPr>
            <w:tcW w:w="2684" w:type="dxa"/>
            <w:gridSpan w:val="2"/>
            <w:noWrap w:val="0"/>
            <w:vAlign w:val="center"/>
          </w:tcPr>
          <w:p>
            <w:pPr>
              <w:jc w:val="center"/>
              <w:rPr>
                <w:szCs w:val="21"/>
              </w:rPr>
            </w:pPr>
            <w:r>
              <w:rPr>
                <w:szCs w:val="21"/>
              </w:rPr>
              <w:t>投标方认为必须提供的其他货物</w:t>
            </w:r>
          </w:p>
        </w:tc>
        <w:tc>
          <w:tcPr>
            <w:tcW w:w="2040" w:type="dxa"/>
            <w:tcBorders>
              <w:top w:val="single" w:color="auto" w:sz="4" w:space="0"/>
            </w:tcBorders>
            <w:noWrap w:val="0"/>
            <w:vAlign w:val="center"/>
          </w:tcPr>
          <w:p>
            <w:pPr>
              <w:jc w:val="center"/>
              <w:rPr>
                <w:szCs w:val="21"/>
              </w:rPr>
            </w:pPr>
            <w:r>
              <w:rPr>
                <w:szCs w:val="21"/>
              </w:rPr>
              <w:t>提供</w:t>
            </w:r>
          </w:p>
        </w:tc>
        <w:tc>
          <w:tcPr>
            <w:tcW w:w="1646" w:type="dxa"/>
            <w:vMerge w:val="continue"/>
            <w:noWrap w:val="0"/>
            <w:vAlign w:val="center"/>
          </w:tcPr>
          <w:p>
            <w:pPr>
              <w:jc w:val="center"/>
              <w:rPr>
                <w:szCs w:val="21"/>
              </w:rPr>
            </w:pPr>
          </w:p>
        </w:tc>
        <w:tc>
          <w:tcPr>
            <w:tcW w:w="1501" w:type="dxa"/>
            <w:vMerge w:val="continue"/>
            <w:noWrap w:val="0"/>
            <w:vAlign w:val="center"/>
          </w:tcPr>
          <w:p>
            <w:pPr>
              <w:jc w:val="center"/>
              <w:rPr>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rPr>
      </w:pPr>
      <w:r>
        <w:rPr>
          <w:rFonts w:hint="eastAsia" w:ascii="宋体" w:hAnsi="宋体" w:cs="宋体"/>
          <w:b/>
          <w:sz w:val="28"/>
          <w:szCs w:val="28"/>
        </w:rPr>
        <w:t>设备技术要求及主要性能参数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lang w:eastAsia="zh-CN"/>
        </w:rPr>
      </w:pPr>
      <w:r>
        <w:rPr>
          <w:rFonts w:hint="eastAsia" w:ascii="宋体" w:hAnsi="宋体" w:cs="宋体"/>
          <w:szCs w:val="21"/>
          <w:lang w:eastAsia="zh-CN"/>
        </w:rPr>
        <w:t>设备配置一览表</w:t>
      </w:r>
    </w:p>
    <w:tbl>
      <w:tblPr>
        <w:tblStyle w:val="12"/>
        <w:tblW w:w="8703" w:type="dxa"/>
        <w:tblInd w:w="-105"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3920"/>
        <w:gridCol w:w="370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rPr>
            </w:pPr>
            <w:r>
              <w:rPr>
                <w:rFonts w:hint="eastAsia" w:ascii="宋体" w:hAnsi="宋体" w:eastAsia="宋体" w:cs="宋体"/>
                <w:szCs w:val="21"/>
              </w:rPr>
              <w:t>序号</w:t>
            </w:r>
          </w:p>
        </w:tc>
        <w:tc>
          <w:tcPr>
            <w:tcW w:w="3920" w:type="dxa"/>
            <w:shd w:val="clear" w:color="auto" w:fill="auto"/>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系统配置要求</w:t>
            </w:r>
          </w:p>
        </w:tc>
        <w:tc>
          <w:tcPr>
            <w:tcW w:w="3706" w:type="dxa"/>
            <w:shd w:val="clear" w:color="auto" w:fill="auto"/>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数量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（一）</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医用直线加速器</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（二）</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FFF高剂量率能量模块</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（三）</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多叶光栅系统</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（四）</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电子射野影像系统（EPID）</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（五）</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KV-CBCT三维影像引导系统</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（六）</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四维影像引导系统</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（七）</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呼吸协调控制系统</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（八）</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高精度患者摆位系统</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（九）</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容积旋转调强功能</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（十）</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治疗计划系统</w:t>
            </w:r>
          </w:p>
        </w:tc>
        <w:tc>
          <w:tcPr>
            <w:tcW w:w="3706" w:type="dxa"/>
            <w:shd w:val="clear" w:color="auto" w:fill="auto"/>
            <w:noWrap w:val="0"/>
            <w:vAlign w:val="center"/>
          </w:tcPr>
          <w:p>
            <w:pPr>
              <w:rPr>
                <w:rFonts w:hint="eastAsia" w:ascii="宋体" w:hAnsi="宋体" w:eastAsia="宋体" w:cs="宋体"/>
                <w:szCs w:val="21"/>
              </w:rPr>
            </w:pPr>
            <w:r>
              <w:rPr>
                <w:rFonts w:hint="eastAsia" w:ascii="宋体" w:hAnsi="宋体" w:eastAsia="宋体" w:cs="宋体"/>
                <w:szCs w:val="21"/>
              </w:rPr>
              <w:t>2台物理师工作站</w:t>
            </w:r>
          </w:p>
          <w:p>
            <w:pPr>
              <w:rPr>
                <w:rFonts w:hint="eastAsia" w:ascii="宋体" w:hAnsi="宋体" w:eastAsia="宋体" w:cs="宋体"/>
                <w:szCs w:val="21"/>
                <w:lang w:val="en-US" w:eastAsia="zh-CN"/>
              </w:rPr>
            </w:pPr>
            <w:r>
              <w:rPr>
                <w:rFonts w:hint="eastAsia" w:ascii="宋体" w:hAnsi="宋体" w:eastAsia="宋体" w:cs="宋体"/>
                <w:szCs w:val="21"/>
              </w:rPr>
              <w:t>4台医生工作站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077"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（十一）</w:t>
            </w:r>
          </w:p>
        </w:tc>
        <w:tc>
          <w:tcPr>
            <w:tcW w:w="3920"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肿瘤信息管理系统</w:t>
            </w:r>
          </w:p>
        </w:tc>
        <w:tc>
          <w:tcPr>
            <w:tcW w:w="3706" w:type="dxa"/>
            <w:shd w:val="clear" w:color="auto" w:fill="auto"/>
            <w:noWrap w:val="0"/>
            <w:vAlign w:val="center"/>
          </w:tcPr>
          <w:p>
            <w:pPr>
              <w:rPr>
                <w:rFonts w:hint="eastAsia" w:ascii="宋体" w:hAnsi="宋体" w:eastAsia="宋体" w:cs="宋体"/>
                <w:szCs w:val="21"/>
                <w:lang w:val="en-US" w:eastAsia="zh-CN"/>
              </w:rPr>
            </w:pPr>
            <w:r>
              <w:rPr>
                <w:rFonts w:hint="eastAsia" w:ascii="宋体" w:hAnsi="宋体" w:eastAsia="宋体" w:cs="宋体"/>
                <w:szCs w:val="21"/>
              </w:rPr>
              <w:t>1套</w:t>
            </w:r>
          </w:p>
        </w:tc>
      </w:tr>
    </w:tbl>
    <w:p>
      <w:pPr>
        <w:rPr>
          <w:rFonts w:hint="eastAsia" w:ascii="宋体" w:hAnsi="宋体" w:cs="宋体"/>
          <w:szCs w:val="21"/>
          <w:lang w:eastAsia="zh-CN"/>
        </w:rPr>
      </w:pPr>
    </w:p>
    <w:p>
      <w:pPr>
        <w:rPr>
          <w:rFonts w:hint="eastAsia" w:ascii="宋体" w:hAnsi="宋体" w:cs="宋体"/>
          <w:szCs w:val="21"/>
          <w:lang w:eastAsia="zh-CN"/>
        </w:rPr>
      </w:pPr>
    </w:p>
    <w:p>
      <w:pPr>
        <w:rPr>
          <w:rFonts w:hint="eastAsia" w:ascii="宋体" w:hAnsi="宋体" w:cs="宋体"/>
          <w:szCs w:val="21"/>
          <w:lang w:eastAsia="zh-CN"/>
        </w:rPr>
      </w:pPr>
      <w:r>
        <w:rPr>
          <w:rFonts w:hint="eastAsia" w:ascii="宋体" w:hAnsi="宋体" w:cs="宋体"/>
          <w:szCs w:val="21"/>
          <w:lang w:eastAsia="zh-CN"/>
        </w:rPr>
        <w:t>技术要求</w:t>
      </w:r>
    </w:p>
    <w:tbl>
      <w:tblPr>
        <w:tblStyle w:val="11"/>
        <w:tblW w:w="0" w:type="auto"/>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70"/>
        <w:gridCol w:w="6525"/>
        <w:gridCol w:w="111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招标要求</w:t>
            </w:r>
          </w:p>
        </w:tc>
        <w:tc>
          <w:tcPr>
            <w:tcW w:w="111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投标响应</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医用直线加速器</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核心结构：所投设备必须为全数字化直线加速器，具备千伏级四维锥形束X射线（CBCT）成像功能及容积旋转调强功能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加速管类型：行波/驻波</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Δ1.2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加速管保用年限≥10年（提供原厂售后服务承诺书并加盖公章）</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微波功率源：磁控管或速调管</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微波功率源的最大输出功率≤5MW</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电子枪：支持单独拆卸，便于维修。</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束流磁偏转系统：滑雪式偏转方式/270°偏转方式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剂量系统结构：开放式/密闭式电离室结构</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楔形过滤板：自动楔形板0度-60度每度连续可调楔形角</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楔形照射野尺寸：在所有X射能量时，楔形方向≥30cm，非楔形方向≥40cm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计算机控制系统全数字化，并可实时提供所有机器运行参数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所投设备必须为智能全数字化医用直线加速器</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应具有临床应用模式、维修模式和自定义特殊模式。投标厂商应提供进入维修模式的密码</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自动摆位功能：当按下治疗室或控制室内自动摆位相应的按钮后，机架角、照射头角、照射野尺寸会自动被设置成与治疗单的一致，系统精度可达 0.5°和 0.5mm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联网功能：具有DICOM RT接口,可与网络系统，治疗计划系统和其它第三方放射治疗产品相联接</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在治疗室内应安装有2个数据显示器，治疗时可显示治疗参数包括机械参数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治疗模式：具有源皮距治疗、等中心治疗、适形治疗、调强治疗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安全连锁：具有独有的防碰撞连锁系统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射线束特性</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X射线</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X线能量：配备常规均整的6MV、10MV两档 X射线</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束流击靶点尺寸：不超过2mm直径的圆点（典型值）</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X线射野尺寸，0.5x0.5cm至40x40cm (SSD=100cm)连续可调</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X线平坦度≤1.06</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X线对称性≤1.03</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光野与射野的一致性，对于射野面积小于20cm x 20cm，≤1mm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电子线</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r>
              <w:rPr>
                <w:rStyle w:val="34"/>
                <w:rFonts w:hint="default" w:ascii="Times New Roman" w:hAnsi="Times New Roman" w:cs="Times New Roman"/>
                <w:sz w:val="21"/>
                <w:szCs w:val="21"/>
                <w:lang w:val="en-US" w:eastAsia="zh-CN" w:bidi="ar"/>
              </w:rPr>
              <w:t>2.2.1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电子线能量规格：提供五档电子线能量，请详述能量档</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电子线平坦度≤10mm（参考IEC标准）</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电子线对称性≤1.03</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电子线的X线污染≤5%</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要求提供五个限光筒，请说明尺寸</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有安全机械连锁防碰装置</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使用限光筒时光野始终可见</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当加速器安装有多叶准直器时，能自动移动准直器到适当的位置，最大程度地限制额外辐射</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剂量率</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常规均整X线最大剂量率≥600MU/min</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剂量率变化档：≥255档可调或连续可调</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机械运动系统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机架旋转角度范围：≥ ±185°</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机架旋转速度应连续可调</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TAD距离：100 +/- 0.2cm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束流及影像综合等中心精度≤0.75mm半径球体</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等中心高度≤125cm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准直器系统旋转可旋转范围≥360度</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未均整X线FFF高剂量率能量模式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未均整的X线FFF高剂量率能量模式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r>
              <w:rPr>
                <w:rStyle w:val="34"/>
                <w:rFonts w:hint="default" w:ascii="Times New Roman" w:hAnsi="Times New Roman" w:cs="Times New Roman"/>
                <w:sz w:val="21"/>
                <w:szCs w:val="21"/>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具备1档X射线FFF高剂量率能量模式，6MV FFF</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射野尺寸：0.5×0.5cm至40×40cm连续可调（SSD=100cm）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高剂量率模式X射线最小剂量率≤200MU/min</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高剂量率模式X射线最大剂量率：6MV FFF≥1400MU/min</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X射线最大剂量建成深度（水下10cm，10×10cm射野）6MV FFF：1.5±0.2cm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X射线百分深度剂量（水下10cm,SSD=100cm，10×10cm射野）：6MV FFF：67.5%±1.0%（与设备所配常规剂量率X射线能量一致，保证能量准确性）</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高剂量率能量与常规剂量能量应可以进行匹配，并用于临床治疗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多叶光栅系统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叶片移动距离≥35cm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叶片过中线距离≥15cm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相邻叶片的最大端面距离≥20cm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所有叶片在等中心平面的最大投影宽度不得超过5mm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叶片数量≥1</w:t>
            </w:r>
            <w:r>
              <w:rPr>
                <w:rStyle w:val="34"/>
                <w:rFonts w:hint="default" w:ascii="Times New Roman" w:hAnsi="Times New Roman" w:cs="Times New Roman"/>
                <w:sz w:val="21"/>
                <w:szCs w:val="21"/>
                <w:lang w:val="en-US" w:eastAsia="zh-CN" w:bidi="ar"/>
              </w:rPr>
              <w:t>20片</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叶片高度≥8cm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叶片透射率≤0.5％ （不含独立准直器）</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等中心处叶片最大移动速度≥5.5cm/s</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钨门最大运动速度≥9cm/s</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钨门过中线距离≥12cm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MLC最大射野≥40×40cm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射野半影：≤5.5mm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叶片具有“插指”功能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电子射野影像系统（EPID）</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电子射野影像系统（EPID）的硬件要求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探测器类型：采用“非晶态硅”的平板型直接数字化成像检测器</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探测器面积≥4</w:t>
            </w:r>
            <w:r>
              <w:rPr>
                <w:rStyle w:val="34"/>
                <w:rFonts w:hint="default" w:ascii="Times New Roman" w:hAnsi="Times New Roman" w:cs="Times New Roman"/>
                <w:sz w:val="21"/>
                <w:szCs w:val="21"/>
                <w:lang w:val="en-US" w:eastAsia="zh-CN" w:bidi="ar"/>
              </w:rPr>
              <w:t>2cm×42cm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空间分辨率不小于1024X1024像素</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像素空间分辨率不大于0.25mmX0.25mm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像素灰度分辨率≥16bit/pixel</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图像采集自动进行双次曝光,可进行透视成像（电影拍摄和回放方式）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具有防碰撞连锁功能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电子射野影像系统（EPID）软件的系统要求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可在实时影像系统的用户界面上同时察看实时成像和对比参考图像（模拟定位图像，或DRR图像），以及其他图像；即使在采集图像时，也能显示参考图像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可在图像上覆盖显示多叶准直器的照射野形状</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图像采集后自动进行图像增强处理</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具有先进的图像增强显示算法，有效分离靶区和周围正常组织和器官</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图像采集后自动关闭加速器的射线输出</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自动/手动调节窗宽/窗位</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图像放大/缩小显示</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包括大小、翻转、旋转</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距离，面积，角度</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栅格覆盖显示</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自动照射野边界搜索和显示</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统计直方图的计算和显示</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可回放运动图像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可进行文字标注</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定位匹配功能：可对参考图像和实时成像进行照射野边界和解剖结构的定位匹配的检测，并可进行位移的测量，从而确定照射野的摆位误差</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具有DICOM-3，DICOM-RT网络功能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KV-CBCT三维影像引导系统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配置要求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KV级X线球管和发生器，及滤线板：1 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非晶硅影像探测板：1 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X线容积影像软件系统：1套。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高性能影像重建与处理工作站：1台。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技术规格及量化指标</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系统基本结构：整套系统集成于加速器上，与加速器共用同一旋转机架。</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高压发生器：≥40kW,射线能量70～150kVp。</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双焦点尺寸：小焦点≤0.4mm，大焦点≤0.8mm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滤线器：提供至少4种型号，并可编码。</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机械臂：可以伸缩，不用时可以收回。</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KV级影像扫描孔径：≥90cm。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非晶硅影像数字化板</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KV级影像探测器面积：≥40×</w:t>
            </w:r>
            <w:r>
              <w:rPr>
                <w:rStyle w:val="34"/>
                <w:rFonts w:hint="default" w:ascii="Times New Roman" w:hAnsi="Times New Roman" w:cs="Times New Roman"/>
                <w:sz w:val="21"/>
                <w:szCs w:val="21"/>
                <w:lang w:val="en-US" w:eastAsia="zh-CN" w:bidi="ar"/>
              </w:rPr>
              <w:t>30cm。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成像方式：支持X光拍片，透视，和容积影像（锥形束CT）模式，四维容积影像模式。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图像软件系统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系统接口</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与加速器的接口：当加速器上选定病人时，影像系统上也同时指向同一病人。</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Dicom RT接口：可以接收从TPS传来的计划影像和射野、轮廓数据，并可以将修正后的数据回传给TPS。</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与治疗床接口：可将治疗床摆位修正矢量传送到治疗床，并可以在控制台自动控制床位置。</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二维X线图像：支持拍摄/处理静态kV级X线图像。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支持kV线X线透视功能。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三维X线容积图像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图像采集：机架旋转360°,采集图像并同步完成图像重建，并可以用不到360°的旋转快速完成X线容积图像(CBCT)。</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机架一次旋转z轴（头脚方向）可采集图像最大长度：≥25cm。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图像处理功能：有图像显示工具，窗宽/窗位调节，缩放显示等。</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床移动矢量：图像配准后,可自动生成治疗床的移动矢量；包括三维平移矢量和三维转动量。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床相对零位：可以在加速器控制室内设定床相对零位,记录、显示并行床相对移动矢量。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CBCT图像质量要求。　</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图像空间分辨率：≥10LP/cm。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CBCT重建图像分辨率：≥1024×1024</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CBCT重建图像灰度值≥16bits</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六</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四维影像引导系统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eastAsia="zh-CN"/>
              </w:rPr>
              <w:t>（</w:t>
            </w:r>
            <w:r>
              <w:rPr>
                <w:rFonts w:hint="default" w:ascii="Times New Roman" w:hAnsi="Times New Roman" w:cs="Times New Roman"/>
                <w:i w:val="0"/>
                <w:color w:val="000000"/>
                <w:sz w:val="21"/>
                <w:szCs w:val="21"/>
                <w:u w:val="none"/>
                <w:lang w:val="en-US" w:eastAsia="zh-CN"/>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四维CBCT影像引导系统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实现患者自由呼吸情况下，用CBCT影像追踪体内肿瘤靶区的临床目的</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在操作工作台上直接显示治疗前的四维靶区运动影像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本系统支持运动4D CBCT影像采集，并可进行on-line在线的匹配、校准。</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在操作工作台上可以显示横断面、冠状面和矢状面的四维CT影像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四维影像引导系统可依序将每个投影按照时相归类；通过每个投影图像中观察解剖结构的运动来确定排序归类的时相，并从体内解剖结构的运动中直接计算出呼吸曲线。</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eastAsia="zh-CN"/>
              </w:rPr>
              <w:t>（</w:t>
            </w:r>
            <w:r>
              <w:rPr>
                <w:rFonts w:hint="default" w:ascii="Times New Roman" w:hAnsi="Times New Roman" w:cs="Times New Roman"/>
                <w:i w:val="0"/>
                <w:color w:val="000000"/>
                <w:sz w:val="21"/>
                <w:szCs w:val="21"/>
                <w:u w:val="none"/>
                <w:lang w:val="en-US" w:eastAsia="zh-CN"/>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分次内2D实时影像引导系统（提供分次内2D实时影像引导功能或触发影像功能或其它能实现类似功能的产品）</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支持分次内2D影像功能，可在治疗中实时采集患者2D影像，用于监测治疗过程中的治疗误差</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MV级治疗束流与KV级影像射束可同步，且互不干扰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eastAsia="zh-CN"/>
              </w:rPr>
              <w:t>（</w:t>
            </w:r>
            <w:r>
              <w:rPr>
                <w:rFonts w:hint="default" w:ascii="Times New Roman" w:hAnsi="Times New Roman" w:cs="Times New Roman"/>
                <w:i w:val="0"/>
                <w:color w:val="000000"/>
                <w:sz w:val="21"/>
                <w:szCs w:val="21"/>
                <w:u w:val="none"/>
                <w:lang w:val="en-US" w:eastAsia="zh-CN"/>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支持分次内3D成像功能，可在治疗中实时采集患者3D影像，用于监测治疗过程中的治疗误差</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Δ（4）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分次内4D-CBCT实时影像引导系统（提供分次内4D实时影像引导功能或磁导航追踪系统或其它能实现类似功能的产品）</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结构组成</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分次内千伏级X射线成像系统集成于加速器上，与加速器共用同一旋转机架 或 采用信号标记物使用方式：直接植入患者肿瘤部位或固定于皮肤表面。</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功能要求：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支持分次内4D影像功能，可在治疗中实时采集患者4D影像，用于监测治疗过程中的治疗误差 或 信号标记物可以发出三维位置信号，由定位系统识别，用以实时监测解剖结构的运动情况。</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实现患者自由呼吸治疗情况下，用CBCT影像追踪体内肿瘤靶区的临床目的 或 电磁信标位置定位方法。</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在操作工作台上直线显示治疗过程中的四维靶区运动影像，同时可以显示靶区轮廓线，用于监控治疗过程中的运动靶区 或 信号读出系统要与加速器连接，利用标记物位置信息可以自动控制加速器的束流和治疗床的运动。在靶区偏离量达到设定值时自动切断束流，并让治疗床进行肿瘤位置误差纠正，然后自动恢复照射。</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所有时相4D图像配准均能得到三方位线性及三方位旋转偏差结果 或 标记物可以在CT、MRI等影像设备上显影，并能在进行治疗计划时被识别和定位。。</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MV级治疗束流治疗与KV级影像射束可同步采集，且互不干扰 或信号标记物可以同时植入3个</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*七</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呼吸协调控制系统</w:t>
            </w:r>
          </w:p>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（提供ABC主动呼吸协调控制功能或RPM呼吸门控系统+DIBH功能或其它能实现类似功能的产品）</w:t>
            </w:r>
          </w:p>
        </w:tc>
        <w:tc>
          <w:tcPr>
            <w:tcW w:w="1110" w:type="dxa"/>
            <w:vMerge w:val="restart"/>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呼吸门控系统硬件，可用于加速器端和定位CT端</w:t>
            </w:r>
          </w:p>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一套完整系统，包括具有呼吸控制通用接口（与加速器、模拟定位CT的硬件接口），门控系统的控制与数据分析的计算机（主流的高档品牌机）及外设</w:t>
            </w:r>
          </w:p>
        </w:tc>
        <w:tc>
          <w:tcPr>
            <w:tcW w:w="1110" w:type="dxa"/>
            <w:vMerge w:val="restart"/>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呼吸门控软件</w:t>
            </w:r>
          </w:p>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应用软件，包括呼吸数据采集的分析软件和评估软件</w:t>
            </w:r>
          </w:p>
        </w:tc>
        <w:tc>
          <w:tcPr>
            <w:tcW w:w="1110" w:type="dxa"/>
            <w:vMerge w:val="restart"/>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数据显示</w:t>
            </w:r>
          </w:p>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有控制室和治疗室内显示屏，同步显示呼吸曲线，有病人同步观察自己呼吸曲线的装置</w:t>
            </w:r>
          </w:p>
        </w:tc>
        <w:tc>
          <w:tcPr>
            <w:tcW w:w="1110" w:type="dxa"/>
            <w:vMerge w:val="restart"/>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安全连锁</w:t>
            </w:r>
          </w:p>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具备，通过计算机控制</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八</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高精度患者摆位系统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运动控制：应有调速电机控制，可调速运动</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最大负载能力：≥200Kg</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垂直移动范围：≥110cm。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前后移动范围：≥100cm，误差≤±0.2cm。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左右移动范围：≥49cm，误差≤±0.2cm。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治疗床的等中心旋转+/-95度、旋转精度为：≤0.5°</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治疗床面可在6个自由度进行平移和旋转，可用于自动摆位，以及便于IGRT的自动摆位校正</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6D床的运动范围和精度：XYZ平移：≥±3cm，精度：≤0.5mm，3轴旋转：≥±3°，精度：≤0.2°</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6D床的控制系统与IGRT系统的自动连接：经IGRT系统识别摆位误差后，自动将床体的修正参数发送到6D床</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床体固定性：在治疗床任意位置锁定后，前后、左右的可移动范围不得大于0.5mm，可旋转的范围不得大于0.5°</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提供专用于IGRT,IMRT治疗的全碳纤维治疗床面板</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九</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容积旋转调强功能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容积调制旋转调强放疗模式：大幅减少常规IMRT治疗时的MU消耗、减少对病人的辐射泄露、同时大幅缩短治疗时间。</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控制因素，可以对下列因素进行同步控制：机架旋转运动、MLC叶片移动、准直器机头旋转运动、剂量率变化。</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剂量率变化档：≥255档, 连续自由跳跃改变。</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运动弧变化，“全智能弧”技术：运动弧方向顺时针，逆时针方向自由运动改变并且旋转弧度自由可选，根据临床病例需要自适应治疗。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旋转调强治疗模式：能进行单轴多弧度容积旋转调强的计划和执行。</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容积旋转调强治疗运行要求：单弧，多弧和分段多弧。</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弧方向性选择：能进行共面，非共面弧治疗。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高度调制能力（控制点数可达1024），可处理容积旋转调强弧形射野的许多变量（机架速度可变、剂量率可变、MLC运动速度可变），变量越多方可完成复杂的剂量要求、提高计划质量和执行效率；</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十</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三维调强放射治疗计划系统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系统用途</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本系统用于设计制定三维适形以及调强放射治疗计划设计。</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该三维放疗计划系统要求具备CT模拟功能，能融合多种影像以准确确定靶区及其它组织；计算模型要求为基于业界金标准的蒙特卡罗算法；并具有基于放射生物原理的计划优化。</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提供2套计划系统物理师工作站，能够支持3D/IMRT/容积旋转调强技术。</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提供4套医生工作站，用于靶区勾画和计划评估。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提供医院现有同品牌计划系统的软硬件升级以实现互联互通和功能同质化</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auto"/>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系统运行环境要求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招标范围包含：计算机硬件，操作系统，应用软件和外设。</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系统能进行CT模拟、全自动影像融合与配准、头颈部及体部肿瘤高精度放射治疗，能够进行逆向调强治疗计划设计。</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系统应完全遵从DICOM标准，以实现医学影像共享。</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计划系统软件要求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中标单位负责对本次新购置直线加速器特殊蒙卡算法的线束数据的采集、拟合和输入。</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轮廓勾画须具备如下功能：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具备边缘自动探测和重要器官自动规避的功能。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支持基于PET SUV值的轮廓自动勾画。</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要求物理师工作站以及放疗医生工作站均可支持在4DCT上进行靶区勾画。</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可将4DCT图像序列合并生成特殊影像（最大密度投影MIP， 最小密度投影MinIP， 平均密度投影 Average），可快速定义受呼吸运动影响的靶区体积。</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适形计划要求：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可以在BEV图像上，对MLC的位置或挡铅形状、大小进行编辑。</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支持正向调强计划</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该软件系统的调强计划功能要求如下：</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具有物理剂量学和生物剂量学两种目标函数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可无需勾画辅助器官，仅通过目标函数本身定义剂量过渡区。</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多标准优化：在优化过程中通过严格遵守优化的约束条件来，当满足第一目标后自动寻找下一个更严格的目标，以更好地满足正常器官</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高灵敏度分析工具：能优化出各个器官之间的剂量影响关系从而快速的完成计划制作</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可直接进行子野（MLC形状）优化。</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计算方式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Δ3.5.1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提供光子线蒙卡算法或类蒙卡精度算法（须提供技术白皮书等证明材料）</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支持Dicom plan 再计算功能，可将其他算法的计划导入到新计划系统中，采用蒙特卡洛算法重新进行精确计算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CT模拟与图像配准：</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DRR可在任意方向平面生成</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鼠标可控制射野角度和准直器方向，MLC和射野窗随射野变化而更新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支持CT、MRI以及PET图像配准</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支持点配准、手动配准以及自动配准</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能在融合配准后的影像上同步勾画器官轮廓</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计划评估功能要求：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DVH统计分辨率为：最小统计剂量≤1cGy；最小统计范围≤0.1cm</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REV(Room's-Eye-View )视觉观，可虚拟显示患者在机房治疗时的位置，与机架、治疗床、和光野的关系，用以治疗时验证患者；</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具有对多个计划进行比较、相加、相减多模态评估功能。</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容积旋转调强计划功能要求如下</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支持容积旋转调强技术，自动优化的参数至少包括机架旋转速度，剂量率和MLC叶片位置。</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单个计划设置当中，能实现多弧设计，而并不是通过多个单弧计划合成出来的设计。</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可进行单弧、多弧特别是非共面多弧的计划设计和自动优化。</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支持智能非等分角度容积调强技术</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售后服务及技术支持</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供应商负责进行数据采集和拟合。</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供应商应安排系统制造商原厂常驻中国的售后物理师及系统工程师对院方物理师、系统操作人员及医生进行应用培训并协助完成临床前测试。</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十一</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肿瘤放射治疗管理系统</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配置要求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肿瘤信息管理系统：1套。支持对本次所购置放射治疗设备的实时记录、验证。</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网络工作站：≥3台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用户授权：≥3个用户终端授权。</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联网要求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连接本次购置加速器,能执行自动放疗程序和记录加速器实际运行情况。</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加速器接入：支持主流医科达、瓦里安、西门子直线加速器接入</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治疗计划系统接入：要求放疗网络能接受TPS的治疗计划处方、射野参数和计划参数</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多叶准直器系统（MLC）：支持本次新加速器所附带的MLC，要求放疗网络实现MLC参数设置、记录、验证</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十二</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放疗第三方产品一批</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实时在线测量验证系统  一套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配套硬件要求</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1.1.1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穿透式电离室矩阵</w:t>
            </w:r>
          </w:p>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电离室数量：≥1500只</w:t>
            </w:r>
          </w:p>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测量面积：≥40×40cm2</w:t>
            </w:r>
          </w:p>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最短测量时间：≤20ms</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auto"/>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探头排列：从中心点沿着横向，纵向，和对角线的方向都有排布； 在中央区域的15×15平方厘米范围内探头的中心距离是5mm；在外围区域探头之间的间距为10mm的距离</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内置温度传感器</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内置气压传感器</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无线数据传输，使用电池供电。</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能够快速方便地安装到直线加速器的机头</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验证软件</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基本功能：集TPS计划验证和实测验证于一体的2合1的的解决方案，可以基于VMAT中的弧或控制点的验证基于间接测量到的通量和先进的CCC(collapsed cone)算法，可以重建出基于病人CT影像上的三维剂量。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能利用获取信息,通过自身独立剂量运算引擎计算剂量分布,并同计划系统(TPS)计算结果进行比较。</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具备DVH的分析方式</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四维运动模体一套</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半导体探头   两个</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射线剂量报警仪    10个</w:t>
            </w:r>
          </w:p>
        </w:tc>
        <w:tc>
          <w:tcPr>
            <w:tcW w:w="1110" w:type="dxa"/>
            <w:tcBorders>
              <w:tl2br w:val="nil"/>
              <w:tr2bl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静电计+0.6cc电离探头   1套</w:t>
            </w:r>
          </w:p>
        </w:tc>
        <w:tc>
          <w:tcPr>
            <w:tcW w:w="1110" w:type="dxa"/>
            <w:tcBorders>
              <w:tl2br w:val="nil"/>
              <w:tr2bl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6</w:t>
            </w:r>
          </w:p>
        </w:tc>
        <w:tc>
          <w:tcPr>
            <w:tcW w:w="65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激光定位灯系统 1套</w:t>
            </w:r>
          </w:p>
        </w:tc>
        <w:tc>
          <w:tcPr>
            <w:tcW w:w="1110" w:type="dxa"/>
            <w:tcBorders>
              <w:tl2br w:val="nil"/>
              <w:tr2bl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bl>
    <w:p>
      <w:pPr>
        <w:rPr>
          <w:rFonts w:hint="eastAsia" w:ascii="宋体" w:hAnsi="宋体" w:cs="宋体"/>
          <w:szCs w:val="21"/>
          <w:lang w:eastAsia="zh-CN"/>
        </w:rPr>
      </w:pPr>
    </w:p>
    <w:p>
      <w:pPr>
        <w:jc w:val="center"/>
        <w:rPr>
          <w:rFonts w:hint="eastAsia" w:ascii="宋体" w:hAnsi="宋体" w:cs="宋体"/>
        </w:rPr>
      </w:pPr>
    </w:p>
    <w:sectPr>
      <w:pgSz w:w="11906" w:h="16838"/>
      <w:pgMar w:top="1418" w:right="1701" w:bottom="1418" w:left="1701" w:header="851" w:footer="56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28F"/>
    <w:multiLevelType w:val="multilevel"/>
    <w:tmpl w:val="0145528F"/>
    <w:lvl w:ilvl="0" w:tentative="0">
      <w:start w:val="4"/>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3A45760"/>
    <w:multiLevelType w:val="multilevel"/>
    <w:tmpl w:val="03A45760"/>
    <w:lvl w:ilvl="0" w:tentative="0">
      <w:start w:val="7"/>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2A3C7158"/>
    <w:multiLevelType w:val="multilevel"/>
    <w:tmpl w:val="2A3C7158"/>
    <w:lvl w:ilvl="0" w:tentative="0">
      <w:start w:val="1"/>
      <w:numFmt w:val="decimal"/>
      <w:lvlText w:val="%1、"/>
      <w:lvlJc w:val="left"/>
      <w:pPr>
        <w:tabs>
          <w:tab w:val="left" w:pos="360"/>
        </w:tabs>
        <w:ind w:left="360" w:hanging="360"/>
      </w:pPr>
      <w:rPr>
        <w:rFonts w:hint="default" w:asci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4970F6"/>
    <w:multiLevelType w:val="multilevel"/>
    <w:tmpl w:val="354970F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430018C1"/>
    <w:multiLevelType w:val="multilevel"/>
    <w:tmpl w:val="430018C1"/>
    <w:lvl w:ilvl="0" w:tentative="0">
      <w:start w:val="5"/>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446F0666"/>
    <w:multiLevelType w:val="multilevel"/>
    <w:tmpl w:val="446F0666"/>
    <w:lvl w:ilvl="0" w:tentative="0">
      <w:start w:val="8"/>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6B916BD8"/>
    <w:multiLevelType w:val="singleLevel"/>
    <w:tmpl w:val="6B916BD8"/>
    <w:lvl w:ilvl="0" w:tentative="0">
      <w:start w:val="1"/>
      <w:numFmt w:val="decimal"/>
      <w:lvlText w:val="%1．"/>
      <w:lvlJc w:val="left"/>
      <w:pPr>
        <w:tabs>
          <w:tab w:val="left" w:pos="720"/>
        </w:tabs>
        <w:ind w:left="720" w:hanging="720"/>
      </w:pPr>
    </w:lvl>
  </w:abstractNum>
  <w:abstractNum w:abstractNumId="7">
    <w:nsid w:val="6BDC2DF3"/>
    <w:multiLevelType w:val="multilevel"/>
    <w:tmpl w:val="6BDC2DF3"/>
    <w:lvl w:ilvl="0" w:tentative="0">
      <w:start w:val="4"/>
      <w:numFmt w:val="decimal"/>
      <w:lvlText w:val="%1、"/>
      <w:lvlJc w:val="left"/>
      <w:pPr>
        <w:tabs>
          <w:tab w:val="left" w:pos="360"/>
        </w:tabs>
        <w:ind w:left="360" w:hanging="360"/>
      </w:pPr>
      <w:rPr>
        <w:rFonts w:hint="default" w:asci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D24A7CA"/>
    <w:multiLevelType w:val="singleLevel"/>
    <w:tmpl w:val="6D24A7CA"/>
    <w:lvl w:ilvl="0" w:tentative="0">
      <w:start w:val="2"/>
      <w:numFmt w:val="chineseCounting"/>
      <w:suff w:val="nothing"/>
      <w:lvlText w:val="%1、"/>
      <w:lvlJc w:val="left"/>
      <w:rPr>
        <w:rFonts w:hint="eastAsia"/>
      </w:rPr>
    </w:lvl>
  </w:abstractNum>
  <w:abstractNum w:abstractNumId="9">
    <w:nsid w:val="6F0902A8"/>
    <w:multiLevelType w:val="multilevel"/>
    <w:tmpl w:val="6F0902A8"/>
    <w:lvl w:ilvl="0" w:tentative="0">
      <w:start w:val="6"/>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6F613B8E"/>
    <w:multiLevelType w:val="multilevel"/>
    <w:tmpl w:val="6F613B8E"/>
    <w:lvl w:ilvl="0" w:tentative="0">
      <w:start w:val="2"/>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6FDF20E8"/>
    <w:multiLevelType w:val="multilevel"/>
    <w:tmpl w:val="6FDF20E8"/>
    <w:lvl w:ilvl="0" w:tentative="0">
      <w:start w:val="3"/>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default" w:ascii="Times New Roman" w:hAnsi="Times New Roman" w:eastAsia="宋体" w:cs="Times New Roman"/>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7C2162D3"/>
    <w:multiLevelType w:val="multilevel"/>
    <w:tmpl w:val="7C2162D3"/>
    <w:lvl w:ilvl="0" w:tentative="0">
      <w:start w:val="7"/>
      <w:numFmt w:val="decimal"/>
      <w:lvlText w:val="%1."/>
      <w:lvlJc w:val="left"/>
      <w:pPr>
        <w:tabs>
          <w:tab w:val="left" w:pos="425"/>
        </w:tabs>
        <w:ind w:left="425" w:hanging="425"/>
      </w:pPr>
      <w:rPr>
        <w:rFonts w:hint="eastAsia"/>
      </w:rPr>
    </w:lvl>
    <w:lvl w:ilvl="1" w:tentative="0">
      <w:start w:val="1"/>
      <w:numFmt w:val="decimal"/>
      <w:lvlText w:val="9.%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6"/>
  </w:num>
  <w:num w:numId="2">
    <w:abstractNumId w:val="2"/>
  </w:num>
  <w:num w:numId="3">
    <w:abstractNumId w:val="3"/>
  </w:num>
  <w:num w:numId="4">
    <w:abstractNumId w:val="10"/>
  </w:num>
  <w:num w:numId="5">
    <w:abstractNumId w:val="11"/>
  </w:num>
  <w:num w:numId="6">
    <w:abstractNumId w:val="7"/>
  </w:num>
  <w:num w:numId="7">
    <w:abstractNumId w:val="0"/>
  </w:num>
  <w:num w:numId="8">
    <w:abstractNumId w:val="4"/>
  </w:num>
  <w:num w:numId="9">
    <w:abstractNumId w:val="9"/>
  </w:num>
  <w:num w:numId="10">
    <w:abstractNumId w:val="1"/>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1F"/>
    <w:rsid w:val="00000B38"/>
    <w:rsid w:val="00001255"/>
    <w:rsid w:val="0000204D"/>
    <w:rsid w:val="00005E59"/>
    <w:rsid w:val="00007B30"/>
    <w:rsid w:val="000214A8"/>
    <w:rsid w:val="00025454"/>
    <w:rsid w:val="00026C18"/>
    <w:rsid w:val="00027650"/>
    <w:rsid w:val="00030EEE"/>
    <w:rsid w:val="000321DB"/>
    <w:rsid w:val="00032589"/>
    <w:rsid w:val="00041F0E"/>
    <w:rsid w:val="00043581"/>
    <w:rsid w:val="000444ED"/>
    <w:rsid w:val="00047556"/>
    <w:rsid w:val="000600E7"/>
    <w:rsid w:val="00060333"/>
    <w:rsid w:val="000605AE"/>
    <w:rsid w:val="00060B9A"/>
    <w:rsid w:val="0006418A"/>
    <w:rsid w:val="0006485C"/>
    <w:rsid w:val="00064D65"/>
    <w:rsid w:val="00066391"/>
    <w:rsid w:val="000707CC"/>
    <w:rsid w:val="00073D93"/>
    <w:rsid w:val="00076D7A"/>
    <w:rsid w:val="00080E5A"/>
    <w:rsid w:val="0008717C"/>
    <w:rsid w:val="00090305"/>
    <w:rsid w:val="00094796"/>
    <w:rsid w:val="00095309"/>
    <w:rsid w:val="0009686A"/>
    <w:rsid w:val="00097417"/>
    <w:rsid w:val="000A14F6"/>
    <w:rsid w:val="000A158D"/>
    <w:rsid w:val="000A21BE"/>
    <w:rsid w:val="000A2282"/>
    <w:rsid w:val="000A2A50"/>
    <w:rsid w:val="000A2AC4"/>
    <w:rsid w:val="000B3316"/>
    <w:rsid w:val="000C184C"/>
    <w:rsid w:val="000C1BDB"/>
    <w:rsid w:val="000D3205"/>
    <w:rsid w:val="000D46AB"/>
    <w:rsid w:val="000D6B13"/>
    <w:rsid w:val="000E0746"/>
    <w:rsid w:val="000E1542"/>
    <w:rsid w:val="000E15AF"/>
    <w:rsid w:val="000E73B3"/>
    <w:rsid w:val="000F1285"/>
    <w:rsid w:val="000F1BE5"/>
    <w:rsid w:val="000F1D23"/>
    <w:rsid w:val="00102948"/>
    <w:rsid w:val="001034E9"/>
    <w:rsid w:val="0011460B"/>
    <w:rsid w:val="001157D1"/>
    <w:rsid w:val="001168A8"/>
    <w:rsid w:val="00122418"/>
    <w:rsid w:val="00122F6B"/>
    <w:rsid w:val="00126908"/>
    <w:rsid w:val="00126A66"/>
    <w:rsid w:val="00126CA8"/>
    <w:rsid w:val="00133949"/>
    <w:rsid w:val="0014260E"/>
    <w:rsid w:val="00146F9E"/>
    <w:rsid w:val="0015119A"/>
    <w:rsid w:val="00151FC1"/>
    <w:rsid w:val="00153956"/>
    <w:rsid w:val="00157E3B"/>
    <w:rsid w:val="00162C9B"/>
    <w:rsid w:val="001649C4"/>
    <w:rsid w:val="001714C6"/>
    <w:rsid w:val="00182A96"/>
    <w:rsid w:val="00182AD0"/>
    <w:rsid w:val="00182B7E"/>
    <w:rsid w:val="0018424A"/>
    <w:rsid w:val="0019421C"/>
    <w:rsid w:val="001962CC"/>
    <w:rsid w:val="001A09CF"/>
    <w:rsid w:val="001A3700"/>
    <w:rsid w:val="001A71EB"/>
    <w:rsid w:val="001B0687"/>
    <w:rsid w:val="001B2420"/>
    <w:rsid w:val="001B47B0"/>
    <w:rsid w:val="001B57D8"/>
    <w:rsid w:val="001B6186"/>
    <w:rsid w:val="001B7DD3"/>
    <w:rsid w:val="001C1CE7"/>
    <w:rsid w:val="001C33B9"/>
    <w:rsid w:val="001D13B2"/>
    <w:rsid w:val="001D259B"/>
    <w:rsid w:val="001D3397"/>
    <w:rsid w:val="001D35C4"/>
    <w:rsid w:val="001D767D"/>
    <w:rsid w:val="001D7CDB"/>
    <w:rsid w:val="001E23BA"/>
    <w:rsid w:val="001E2D6A"/>
    <w:rsid w:val="001E4774"/>
    <w:rsid w:val="001E4DAF"/>
    <w:rsid w:val="001E75BF"/>
    <w:rsid w:val="001F073B"/>
    <w:rsid w:val="001F20B6"/>
    <w:rsid w:val="001F4AE7"/>
    <w:rsid w:val="002000FE"/>
    <w:rsid w:val="00200344"/>
    <w:rsid w:val="00204FD9"/>
    <w:rsid w:val="00207D80"/>
    <w:rsid w:val="00211A9C"/>
    <w:rsid w:val="00212997"/>
    <w:rsid w:val="002141D9"/>
    <w:rsid w:val="002201E7"/>
    <w:rsid w:val="00222429"/>
    <w:rsid w:val="002227CD"/>
    <w:rsid w:val="002237CF"/>
    <w:rsid w:val="00224228"/>
    <w:rsid w:val="00226460"/>
    <w:rsid w:val="002279ED"/>
    <w:rsid w:val="0023074B"/>
    <w:rsid w:val="00236B7E"/>
    <w:rsid w:val="00236E99"/>
    <w:rsid w:val="00240C62"/>
    <w:rsid w:val="00242902"/>
    <w:rsid w:val="00246804"/>
    <w:rsid w:val="002478B7"/>
    <w:rsid w:val="00250B33"/>
    <w:rsid w:val="00250F21"/>
    <w:rsid w:val="00252F16"/>
    <w:rsid w:val="002536F7"/>
    <w:rsid w:val="00256F3D"/>
    <w:rsid w:val="00260080"/>
    <w:rsid w:val="00261925"/>
    <w:rsid w:val="00262992"/>
    <w:rsid w:val="00266B42"/>
    <w:rsid w:val="00267658"/>
    <w:rsid w:val="002709BB"/>
    <w:rsid w:val="00271EB0"/>
    <w:rsid w:val="00272576"/>
    <w:rsid w:val="002769E0"/>
    <w:rsid w:val="0028343A"/>
    <w:rsid w:val="00284A14"/>
    <w:rsid w:val="00286CF6"/>
    <w:rsid w:val="0029193C"/>
    <w:rsid w:val="00293310"/>
    <w:rsid w:val="00296E78"/>
    <w:rsid w:val="00297D86"/>
    <w:rsid w:val="002A382E"/>
    <w:rsid w:val="002B158C"/>
    <w:rsid w:val="002B17CF"/>
    <w:rsid w:val="002C40F5"/>
    <w:rsid w:val="002D12AC"/>
    <w:rsid w:val="002D305D"/>
    <w:rsid w:val="002D3C8E"/>
    <w:rsid w:val="002D40F5"/>
    <w:rsid w:val="002E5621"/>
    <w:rsid w:val="002E7349"/>
    <w:rsid w:val="002F5392"/>
    <w:rsid w:val="003066DE"/>
    <w:rsid w:val="00306B04"/>
    <w:rsid w:val="00310741"/>
    <w:rsid w:val="00310A3B"/>
    <w:rsid w:val="00311F37"/>
    <w:rsid w:val="00312867"/>
    <w:rsid w:val="00317091"/>
    <w:rsid w:val="00325949"/>
    <w:rsid w:val="003263CB"/>
    <w:rsid w:val="0033143C"/>
    <w:rsid w:val="00335401"/>
    <w:rsid w:val="0034074D"/>
    <w:rsid w:val="0034532E"/>
    <w:rsid w:val="00345688"/>
    <w:rsid w:val="00346F58"/>
    <w:rsid w:val="00356C84"/>
    <w:rsid w:val="00357C42"/>
    <w:rsid w:val="00362A46"/>
    <w:rsid w:val="00365496"/>
    <w:rsid w:val="003665D0"/>
    <w:rsid w:val="00375102"/>
    <w:rsid w:val="0037581F"/>
    <w:rsid w:val="0038154C"/>
    <w:rsid w:val="00386023"/>
    <w:rsid w:val="0038717C"/>
    <w:rsid w:val="00392F61"/>
    <w:rsid w:val="003973DF"/>
    <w:rsid w:val="003A00CA"/>
    <w:rsid w:val="003A2C42"/>
    <w:rsid w:val="003A3B7D"/>
    <w:rsid w:val="003A512C"/>
    <w:rsid w:val="003A7279"/>
    <w:rsid w:val="003B0128"/>
    <w:rsid w:val="003B32F7"/>
    <w:rsid w:val="003B52CA"/>
    <w:rsid w:val="003B5EFF"/>
    <w:rsid w:val="003B6298"/>
    <w:rsid w:val="003B6975"/>
    <w:rsid w:val="003C0020"/>
    <w:rsid w:val="003C1D7A"/>
    <w:rsid w:val="003C1F06"/>
    <w:rsid w:val="003C2DC7"/>
    <w:rsid w:val="003D1DD3"/>
    <w:rsid w:val="003D6929"/>
    <w:rsid w:val="003E087A"/>
    <w:rsid w:val="003E1D23"/>
    <w:rsid w:val="003E47D4"/>
    <w:rsid w:val="003F18A1"/>
    <w:rsid w:val="00403144"/>
    <w:rsid w:val="004051EF"/>
    <w:rsid w:val="0040667D"/>
    <w:rsid w:val="00406792"/>
    <w:rsid w:val="004072C7"/>
    <w:rsid w:val="00412A58"/>
    <w:rsid w:val="00416620"/>
    <w:rsid w:val="004178CD"/>
    <w:rsid w:val="004270BD"/>
    <w:rsid w:val="00427C21"/>
    <w:rsid w:val="00427CCD"/>
    <w:rsid w:val="00431CCC"/>
    <w:rsid w:val="004324BA"/>
    <w:rsid w:val="00432DC8"/>
    <w:rsid w:val="00433089"/>
    <w:rsid w:val="004367ED"/>
    <w:rsid w:val="00440DA9"/>
    <w:rsid w:val="004433CE"/>
    <w:rsid w:val="00445841"/>
    <w:rsid w:val="00452BF5"/>
    <w:rsid w:val="0046082E"/>
    <w:rsid w:val="00461221"/>
    <w:rsid w:val="00464E13"/>
    <w:rsid w:val="00465FF3"/>
    <w:rsid w:val="004668B7"/>
    <w:rsid w:val="00467548"/>
    <w:rsid w:val="00470FF5"/>
    <w:rsid w:val="00472DFE"/>
    <w:rsid w:val="00482726"/>
    <w:rsid w:val="00486EC6"/>
    <w:rsid w:val="00487959"/>
    <w:rsid w:val="004932F9"/>
    <w:rsid w:val="00495CB4"/>
    <w:rsid w:val="004A0E95"/>
    <w:rsid w:val="004A227F"/>
    <w:rsid w:val="004A38D9"/>
    <w:rsid w:val="004A3D07"/>
    <w:rsid w:val="004A4EFB"/>
    <w:rsid w:val="004A6F08"/>
    <w:rsid w:val="004B2C9F"/>
    <w:rsid w:val="004B4DA5"/>
    <w:rsid w:val="004B714D"/>
    <w:rsid w:val="004B7540"/>
    <w:rsid w:val="004C1CD6"/>
    <w:rsid w:val="004C4306"/>
    <w:rsid w:val="004D721F"/>
    <w:rsid w:val="004D7519"/>
    <w:rsid w:val="004E05D6"/>
    <w:rsid w:val="004E0D59"/>
    <w:rsid w:val="004E2095"/>
    <w:rsid w:val="004E3CA9"/>
    <w:rsid w:val="004E4B41"/>
    <w:rsid w:val="004F6846"/>
    <w:rsid w:val="004F72EE"/>
    <w:rsid w:val="00502467"/>
    <w:rsid w:val="00503055"/>
    <w:rsid w:val="0050642E"/>
    <w:rsid w:val="0050716D"/>
    <w:rsid w:val="00515A8F"/>
    <w:rsid w:val="00525C89"/>
    <w:rsid w:val="005262F2"/>
    <w:rsid w:val="00527376"/>
    <w:rsid w:val="005276D9"/>
    <w:rsid w:val="005348C3"/>
    <w:rsid w:val="00536786"/>
    <w:rsid w:val="005459BE"/>
    <w:rsid w:val="00545A7F"/>
    <w:rsid w:val="0055001D"/>
    <w:rsid w:val="00551D2D"/>
    <w:rsid w:val="00553759"/>
    <w:rsid w:val="005636C9"/>
    <w:rsid w:val="00563C54"/>
    <w:rsid w:val="005673FC"/>
    <w:rsid w:val="00567515"/>
    <w:rsid w:val="0056755D"/>
    <w:rsid w:val="00572618"/>
    <w:rsid w:val="00575CFB"/>
    <w:rsid w:val="00577A62"/>
    <w:rsid w:val="0058442F"/>
    <w:rsid w:val="00592D1B"/>
    <w:rsid w:val="00593AB3"/>
    <w:rsid w:val="0059689B"/>
    <w:rsid w:val="00597D55"/>
    <w:rsid w:val="005A3452"/>
    <w:rsid w:val="005A7AE5"/>
    <w:rsid w:val="005B1228"/>
    <w:rsid w:val="005B2208"/>
    <w:rsid w:val="005B493F"/>
    <w:rsid w:val="005C2A85"/>
    <w:rsid w:val="005C4EA0"/>
    <w:rsid w:val="005C52EF"/>
    <w:rsid w:val="005D3289"/>
    <w:rsid w:val="005D5424"/>
    <w:rsid w:val="005D6FBC"/>
    <w:rsid w:val="005D723E"/>
    <w:rsid w:val="005D7E95"/>
    <w:rsid w:val="005E57EB"/>
    <w:rsid w:val="005E7190"/>
    <w:rsid w:val="005E7624"/>
    <w:rsid w:val="005E7917"/>
    <w:rsid w:val="005F216E"/>
    <w:rsid w:val="005F3705"/>
    <w:rsid w:val="005F5BBA"/>
    <w:rsid w:val="005F6E16"/>
    <w:rsid w:val="00603B02"/>
    <w:rsid w:val="00610DDE"/>
    <w:rsid w:val="00610E5F"/>
    <w:rsid w:val="00611BBE"/>
    <w:rsid w:val="00611E29"/>
    <w:rsid w:val="00611F40"/>
    <w:rsid w:val="00612C7A"/>
    <w:rsid w:val="0061343B"/>
    <w:rsid w:val="0062787A"/>
    <w:rsid w:val="00630F5E"/>
    <w:rsid w:val="006317F9"/>
    <w:rsid w:val="0063207E"/>
    <w:rsid w:val="00633EF6"/>
    <w:rsid w:val="00636223"/>
    <w:rsid w:val="0063683A"/>
    <w:rsid w:val="006446E1"/>
    <w:rsid w:val="00644A59"/>
    <w:rsid w:val="00650868"/>
    <w:rsid w:val="006513DD"/>
    <w:rsid w:val="006521AB"/>
    <w:rsid w:val="00655080"/>
    <w:rsid w:val="0065733B"/>
    <w:rsid w:val="006573C4"/>
    <w:rsid w:val="00660E9C"/>
    <w:rsid w:val="00661BB8"/>
    <w:rsid w:val="006727ED"/>
    <w:rsid w:val="006739E1"/>
    <w:rsid w:val="0067579F"/>
    <w:rsid w:val="00676306"/>
    <w:rsid w:val="00677AC5"/>
    <w:rsid w:val="0068002F"/>
    <w:rsid w:val="00681CB0"/>
    <w:rsid w:val="00682264"/>
    <w:rsid w:val="00683D68"/>
    <w:rsid w:val="00685289"/>
    <w:rsid w:val="00685A8B"/>
    <w:rsid w:val="00690D67"/>
    <w:rsid w:val="0069128F"/>
    <w:rsid w:val="00695475"/>
    <w:rsid w:val="006A1728"/>
    <w:rsid w:val="006B7AD4"/>
    <w:rsid w:val="006C0118"/>
    <w:rsid w:val="006C0431"/>
    <w:rsid w:val="006C3E4B"/>
    <w:rsid w:val="006C535A"/>
    <w:rsid w:val="006D3480"/>
    <w:rsid w:val="006D4A39"/>
    <w:rsid w:val="006D4E9C"/>
    <w:rsid w:val="006D5EC2"/>
    <w:rsid w:val="006E51EA"/>
    <w:rsid w:val="006F5008"/>
    <w:rsid w:val="006F6059"/>
    <w:rsid w:val="00702FEA"/>
    <w:rsid w:val="00703448"/>
    <w:rsid w:val="00704A48"/>
    <w:rsid w:val="00704AB4"/>
    <w:rsid w:val="00711011"/>
    <w:rsid w:val="00712060"/>
    <w:rsid w:val="00713858"/>
    <w:rsid w:val="00720698"/>
    <w:rsid w:val="00723215"/>
    <w:rsid w:val="00736809"/>
    <w:rsid w:val="0074115F"/>
    <w:rsid w:val="007445E3"/>
    <w:rsid w:val="00744E23"/>
    <w:rsid w:val="00751AAC"/>
    <w:rsid w:val="007541D2"/>
    <w:rsid w:val="0075625B"/>
    <w:rsid w:val="007574CC"/>
    <w:rsid w:val="0076038D"/>
    <w:rsid w:val="00760EED"/>
    <w:rsid w:val="00762998"/>
    <w:rsid w:val="00780B5B"/>
    <w:rsid w:val="007841B2"/>
    <w:rsid w:val="00785E86"/>
    <w:rsid w:val="00786FA0"/>
    <w:rsid w:val="00792725"/>
    <w:rsid w:val="00793464"/>
    <w:rsid w:val="0079466F"/>
    <w:rsid w:val="007946A5"/>
    <w:rsid w:val="00794C64"/>
    <w:rsid w:val="00796758"/>
    <w:rsid w:val="00796F45"/>
    <w:rsid w:val="007972CF"/>
    <w:rsid w:val="007979C3"/>
    <w:rsid w:val="007A0409"/>
    <w:rsid w:val="007A1EB7"/>
    <w:rsid w:val="007A2298"/>
    <w:rsid w:val="007A4AB9"/>
    <w:rsid w:val="007A56DF"/>
    <w:rsid w:val="007A6890"/>
    <w:rsid w:val="007A7630"/>
    <w:rsid w:val="007B441A"/>
    <w:rsid w:val="007B49CE"/>
    <w:rsid w:val="007B50A5"/>
    <w:rsid w:val="007C0CA7"/>
    <w:rsid w:val="007E2677"/>
    <w:rsid w:val="007E2A2F"/>
    <w:rsid w:val="007E6B32"/>
    <w:rsid w:val="007E7517"/>
    <w:rsid w:val="007F1F1B"/>
    <w:rsid w:val="007F2E78"/>
    <w:rsid w:val="008048AA"/>
    <w:rsid w:val="0080523D"/>
    <w:rsid w:val="00805933"/>
    <w:rsid w:val="008075B3"/>
    <w:rsid w:val="008160E9"/>
    <w:rsid w:val="0082038B"/>
    <w:rsid w:val="00825506"/>
    <w:rsid w:val="00825FA4"/>
    <w:rsid w:val="00827170"/>
    <w:rsid w:val="008306D5"/>
    <w:rsid w:val="0083380E"/>
    <w:rsid w:val="00834642"/>
    <w:rsid w:val="0083698E"/>
    <w:rsid w:val="00840196"/>
    <w:rsid w:val="008422A8"/>
    <w:rsid w:val="00843DA1"/>
    <w:rsid w:val="00844F29"/>
    <w:rsid w:val="00845FD2"/>
    <w:rsid w:val="0084721E"/>
    <w:rsid w:val="00860C59"/>
    <w:rsid w:val="00861DF0"/>
    <w:rsid w:val="00862380"/>
    <w:rsid w:val="00870F06"/>
    <w:rsid w:val="008712AF"/>
    <w:rsid w:val="008762E0"/>
    <w:rsid w:val="00882402"/>
    <w:rsid w:val="008836F0"/>
    <w:rsid w:val="0088439E"/>
    <w:rsid w:val="008844FE"/>
    <w:rsid w:val="008856E9"/>
    <w:rsid w:val="00886588"/>
    <w:rsid w:val="00887107"/>
    <w:rsid w:val="00895C1C"/>
    <w:rsid w:val="00897762"/>
    <w:rsid w:val="008A1182"/>
    <w:rsid w:val="008A33E5"/>
    <w:rsid w:val="008A3598"/>
    <w:rsid w:val="008A4D9C"/>
    <w:rsid w:val="008A66D7"/>
    <w:rsid w:val="008B01A1"/>
    <w:rsid w:val="008B390B"/>
    <w:rsid w:val="008B47BD"/>
    <w:rsid w:val="008C391F"/>
    <w:rsid w:val="008C54B8"/>
    <w:rsid w:val="008C7384"/>
    <w:rsid w:val="008D5F8E"/>
    <w:rsid w:val="008E30C3"/>
    <w:rsid w:val="008E3360"/>
    <w:rsid w:val="008E7751"/>
    <w:rsid w:val="008F0F6F"/>
    <w:rsid w:val="008F271E"/>
    <w:rsid w:val="008F42A8"/>
    <w:rsid w:val="008F6DC6"/>
    <w:rsid w:val="00904ABF"/>
    <w:rsid w:val="009056D3"/>
    <w:rsid w:val="009067A3"/>
    <w:rsid w:val="0090690B"/>
    <w:rsid w:val="009120F5"/>
    <w:rsid w:val="00913498"/>
    <w:rsid w:val="00913E39"/>
    <w:rsid w:val="00916DA6"/>
    <w:rsid w:val="00922606"/>
    <w:rsid w:val="00922B4E"/>
    <w:rsid w:val="0092468A"/>
    <w:rsid w:val="0093281F"/>
    <w:rsid w:val="0094056C"/>
    <w:rsid w:val="00941C21"/>
    <w:rsid w:val="0094499E"/>
    <w:rsid w:val="00946FDA"/>
    <w:rsid w:val="00947BBF"/>
    <w:rsid w:val="009510F8"/>
    <w:rsid w:val="00952C0A"/>
    <w:rsid w:val="009555F7"/>
    <w:rsid w:val="00955EF0"/>
    <w:rsid w:val="0095680A"/>
    <w:rsid w:val="0096078F"/>
    <w:rsid w:val="00961042"/>
    <w:rsid w:val="00965E71"/>
    <w:rsid w:val="009720E5"/>
    <w:rsid w:val="00972E1E"/>
    <w:rsid w:val="00977447"/>
    <w:rsid w:val="00982496"/>
    <w:rsid w:val="0098581E"/>
    <w:rsid w:val="00986F30"/>
    <w:rsid w:val="00987FF3"/>
    <w:rsid w:val="0099246D"/>
    <w:rsid w:val="00992629"/>
    <w:rsid w:val="0099480D"/>
    <w:rsid w:val="009A03DD"/>
    <w:rsid w:val="009A2CEC"/>
    <w:rsid w:val="009A78D1"/>
    <w:rsid w:val="009B5C48"/>
    <w:rsid w:val="009B6085"/>
    <w:rsid w:val="009C1374"/>
    <w:rsid w:val="009C4050"/>
    <w:rsid w:val="009C4909"/>
    <w:rsid w:val="009C4EC3"/>
    <w:rsid w:val="009D136D"/>
    <w:rsid w:val="009D2BEB"/>
    <w:rsid w:val="009E0783"/>
    <w:rsid w:val="009E08CC"/>
    <w:rsid w:val="009E3EEB"/>
    <w:rsid w:val="009F1CD2"/>
    <w:rsid w:val="009F469E"/>
    <w:rsid w:val="009F588E"/>
    <w:rsid w:val="009F7024"/>
    <w:rsid w:val="009F7E53"/>
    <w:rsid w:val="00A01266"/>
    <w:rsid w:val="00A03168"/>
    <w:rsid w:val="00A032B2"/>
    <w:rsid w:val="00A04F77"/>
    <w:rsid w:val="00A067F4"/>
    <w:rsid w:val="00A0746D"/>
    <w:rsid w:val="00A076C5"/>
    <w:rsid w:val="00A120A7"/>
    <w:rsid w:val="00A1348D"/>
    <w:rsid w:val="00A16C7D"/>
    <w:rsid w:val="00A243F6"/>
    <w:rsid w:val="00A24700"/>
    <w:rsid w:val="00A2594C"/>
    <w:rsid w:val="00A27012"/>
    <w:rsid w:val="00A31F3B"/>
    <w:rsid w:val="00A32869"/>
    <w:rsid w:val="00A40199"/>
    <w:rsid w:val="00A415BA"/>
    <w:rsid w:val="00A423D2"/>
    <w:rsid w:val="00A43A50"/>
    <w:rsid w:val="00A43E74"/>
    <w:rsid w:val="00A4677D"/>
    <w:rsid w:val="00A46DBB"/>
    <w:rsid w:val="00A53A22"/>
    <w:rsid w:val="00A55D72"/>
    <w:rsid w:val="00A56423"/>
    <w:rsid w:val="00A6436E"/>
    <w:rsid w:val="00A668B9"/>
    <w:rsid w:val="00A71171"/>
    <w:rsid w:val="00A75798"/>
    <w:rsid w:val="00A76C1F"/>
    <w:rsid w:val="00A837BD"/>
    <w:rsid w:val="00A842AE"/>
    <w:rsid w:val="00A865F2"/>
    <w:rsid w:val="00A86BD6"/>
    <w:rsid w:val="00AB3604"/>
    <w:rsid w:val="00AB5E45"/>
    <w:rsid w:val="00AB7C71"/>
    <w:rsid w:val="00AC0B7E"/>
    <w:rsid w:val="00AC0E0E"/>
    <w:rsid w:val="00AC19BB"/>
    <w:rsid w:val="00AC622B"/>
    <w:rsid w:val="00AC6BF4"/>
    <w:rsid w:val="00AC79BF"/>
    <w:rsid w:val="00AD226F"/>
    <w:rsid w:val="00AD275C"/>
    <w:rsid w:val="00AD3393"/>
    <w:rsid w:val="00AE260B"/>
    <w:rsid w:val="00AE3090"/>
    <w:rsid w:val="00AE6378"/>
    <w:rsid w:val="00AF00F8"/>
    <w:rsid w:val="00AF4768"/>
    <w:rsid w:val="00AF567D"/>
    <w:rsid w:val="00AF705A"/>
    <w:rsid w:val="00B05643"/>
    <w:rsid w:val="00B07CDE"/>
    <w:rsid w:val="00B1369B"/>
    <w:rsid w:val="00B13D91"/>
    <w:rsid w:val="00B145B0"/>
    <w:rsid w:val="00B14868"/>
    <w:rsid w:val="00B179C0"/>
    <w:rsid w:val="00B23E36"/>
    <w:rsid w:val="00B256F6"/>
    <w:rsid w:val="00B27578"/>
    <w:rsid w:val="00B303D6"/>
    <w:rsid w:val="00B30BF4"/>
    <w:rsid w:val="00B3232F"/>
    <w:rsid w:val="00B33EE0"/>
    <w:rsid w:val="00B34A95"/>
    <w:rsid w:val="00B3523C"/>
    <w:rsid w:val="00B40490"/>
    <w:rsid w:val="00B40F80"/>
    <w:rsid w:val="00B41B2E"/>
    <w:rsid w:val="00B427E7"/>
    <w:rsid w:val="00B431D2"/>
    <w:rsid w:val="00B43FA8"/>
    <w:rsid w:val="00B50902"/>
    <w:rsid w:val="00B53101"/>
    <w:rsid w:val="00B535F0"/>
    <w:rsid w:val="00B63097"/>
    <w:rsid w:val="00B6789B"/>
    <w:rsid w:val="00B701FD"/>
    <w:rsid w:val="00B70FFC"/>
    <w:rsid w:val="00B72500"/>
    <w:rsid w:val="00B7478A"/>
    <w:rsid w:val="00B77BA0"/>
    <w:rsid w:val="00B808F2"/>
    <w:rsid w:val="00B84269"/>
    <w:rsid w:val="00B848D6"/>
    <w:rsid w:val="00B938B7"/>
    <w:rsid w:val="00B9449D"/>
    <w:rsid w:val="00B96B5B"/>
    <w:rsid w:val="00BA086B"/>
    <w:rsid w:val="00BA20EC"/>
    <w:rsid w:val="00BB13B2"/>
    <w:rsid w:val="00BB2BDF"/>
    <w:rsid w:val="00BB2CBD"/>
    <w:rsid w:val="00BB3878"/>
    <w:rsid w:val="00BB4A30"/>
    <w:rsid w:val="00BC1576"/>
    <w:rsid w:val="00BC5DCF"/>
    <w:rsid w:val="00BC6F09"/>
    <w:rsid w:val="00BD01C0"/>
    <w:rsid w:val="00BD1D7D"/>
    <w:rsid w:val="00BD425F"/>
    <w:rsid w:val="00BE1570"/>
    <w:rsid w:val="00BE4780"/>
    <w:rsid w:val="00BE4AB7"/>
    <w:rsid w:val="00BE5502"/>
    <w:rsid w:val="00BE7671"/>
    <w:rsid w:val="00BF0A7A"/>
    <w:rsid w:val="00BF0E70"/>
    <w:rsid w:val="00BF3B13"/>
    <w:rsid w:val="00BF7BCC"/>
    <w:rsid w:val="00BF7F39"/>
    <w:rsid w:val="00C02CFF"/>
    <w:rsid w:val="00C1131D"/>
    <w:rsid w:val="00C17896"/>
    <w:rsid w:val="00C235D6"/>
    <w:rsid w:val="00C3005C"/>
    <w:rsid w:val="00C30858"/>
    <w:rsid w:val="00C30C19"/>
    <w:rsid w:val="00C312A2"/>
    <w:rsid w:val="00C4041F"/>
    <w:rsid w:val="00C40B47"/>
    <w:rsid w:val="00C44C0B"/>
    <w:rsid w:val="00C53AFE"/>
    <w:rsid w:val="00C53EC9"/>
    <w:rsid w:val="00C626AB"/>
    <w:rsid w:val="00C6434D"/>
    <w:rsid w:val="00C676A3"/>
    <w:rsid w:val="00C70E7E"/>
    <w:rsid w:val="00C70F10"/>
    <w:rsid w:val="00C750CE"/>
    <w:rsid w:val="00C775E2"/>
    <w:rsid w:val="00C80F3A"/>
    <w:rsid w:val="00C81752"/>
    <w:rsid w:val="00C82CD3"/>
    <w:rsid w:val="00C834C1"/>
    <w:rsid w:val="00C87775"/>
    <w:rsid w:val="00CA07CF"/>
    <w:rsid w:val="00CA1E3A"/>
    <w:rsid w:val="00CA3130"/>
    <w:rsid w:val="00CB0426"/>
    <w:rsid w:val="00CB09AA"/>
    <w:rsid w:val="00CB6987"/>
    <w:rsid w:val="00CC0836"/>
    <w:rsid w:val="00CC2CC1"/>
    <w:rsid w:val="00CC6B03"/>
    <w:rsid w:val="00CD407E"/>
    <w:rsid w:val="00CE180C"/>
    <w:rsid w:val="00CE1873"/>
    <w:rsid w:val="00CE588F"/>
    <w:rsid w:val="00CE5A16"/>
    <w:rsid w:val="00CF1DE7"/>
    <w:rsid w:val="00D00328"/>
    <w:rsid w:val="00D025DA"/>
    <w:rsid w:val="00D03085"/>
    <w:rsid w:val="00D0615C"/>
    <w:rsid w:val="00D066C7"/>
    <w:rsid w:val="00D06DDC"/>
    <w:rsid w:val="00D11342"/>
    <w:rsid w:val="00D16BBB"/>
    <w:rsid w:val="00D213F5"/>
    <w:rsid w:val="00D22D98"/>
    <w:rsid w:val="00D25DC7"/>
    <w:rsid w:val="00D26B39"/>
    <w:rsid w:val="00D2755A"/>
    <w:rsid w:val="00D31527"/>
    <w:rsid w:val="00D315DE"/>
    <w:rsid w:val="00D319A4"/>
    <w:rsid w:val="00D32A5B"/>
    <w:rsid w:val="00D32B75"/>
    <w:rsid w:val="00D36FB1"/>
    <w:rsid w:val="00D375E8"/>
    <w:rsid w:val="00D42B39"/>
    <w:rsid w:val="00D42C6E"/>
    <w:rsid w:val="00D4414A"/>
    <w:rsid w:val="00D450C4"/>
    <w:rsid w:val="00D45388"/>
    <w:rsid w:val="00D45B25"/>
    <w:rsid w:val="00D52D82"/>
    <w:rsid w:val="00D56ED7"/>
    <w:rsid w:val="00D57302"/>
    <w:rsid w:val="00D64B5F"/>
    <w:rsid w:val="00D6590D"/>
    <w:rsid w:val="00D65A03"/>
    <w:rsid w:val="00D66DBC"/>
    <w:rsid w:val="00D71683"/>
    <w:rsid w:val="00D71BA3"/>
    <w:rsid w:val="00D7765A"/>
    <w:rsid w:val="00D829D9"/>
    <w:rsid w:val="00D9291C"/>
    <w:rsid w:val="00D93BE2"/>
    <w:rsid w:val="00D94421"/>
    <w:rsid w:val="00D9561D"/>
    <w:rsid w:val="00D959CA"/>
    <w:rsid w:val="00D9623E"/>
    <w:rsid w:val="00DA1506"/>
    <w:rsid w:val="00DA197A"/>
    <w:rsid w:val="00DA6E98"/>
    <w:rsid w:val="00DB72DF"/>
    <w:rsid w:val="00DB7CA7"/>
    <w:rsid w:val="00DC21B9"/>
    <w:rsid w:val="00DC2434"/>
    <w:rsid w:val="00DC4298"/>
    <w:rsid w:val="00DC7686"/>
    <w:rsid w:val="00DD0778"/>
    <w:rsid w:val="00DD326C"/>
    <w:rsid w:val="00DD4153"/>
    <w:rsid w:val="00DD5A44"/>
    <w:rsid w:val="00DD65EE"/>
    <w:rsid w:val="00DE2959"/>
    <w:rsid w:val="00DE3F61"/>
    <w:rsid w:val="00DE5956"/>
    <w:rsid w:val="00DE6274"/>
    <w:rsid w:val="00DE7B3C"/>
    <w:rsid w:val="00E005BA"/>
    <w:rsid w:val="00E00E47"/>
    <w:rsid w:val="00E01B12"/>
    <w:rsid w:val="00E117B2"/>
    <w:rsid w:val="00E14F3F"/>
    <w:rsid w:val="00E24093"/>
    <w:rsid w:val="00E250BE"/>
    <w:rsid w:val="00E30FB4"/>
    <w:rsid w:val="00E32B90"/>
    <w:rsid w:val="00E37317"/>
    <w:rsid w:val="00E432F5"/>
    <w:rsid w:val="00E435C0"/>
    <w:rsid w:val="00E4683B"/>
    <w:rsid w:val="00E50790"/>
    <w:rsid w:val="00E5198F"/>
    <w:rsid w:val="00E537DA"/>
    <w:rsid w:val="00E538A1"/>
    <w:rsid w:val="00E542C1"/>
    <w:rsid w:val="00E61B7B"/>
    <w:rsid w:val="00E6407D"/>
    <w:rsid w:val="00E65B9D"/>
    <w:rsid w:val="00E70C2B"/>
    <w:rsid w:val="00E71C75"/>
    <w:rsid w:val="00E71E1B"/>
    <w:rsid w:val="00E8251F"/>
    <w:rsid w:val="00E87326"/>
    <w:rsid w:val="00E87A92"/>
    <w:rsid w:val="00E87DF1"/>
    <w:rsid w:val="00E96038"/>
    <w:rsid w:val="00EA38AB"/>
    <w:rsid w:val="00EA5592"/>
    <w:rsid w:val="00EB4159"/>
    <w:rsid w:val="00EB5409"/>
    <w:rsid w:val="00EB5DB6"/>
    <w:rsid w:val="00EB6610"/>
    <w:rsid w:val="00EB6F0F"/>
    <w:rsid w:val="00EC2E42"/>
    <w:rsid w:val="00EC468E"/>
    <w:rsid w:val="00EC6A37"/>
    <w:rsid w:val="00EC7F28"/>
    <w:rsid w:val="00ED16A5"/>
    <w:rsid w:val="00ED2E1C"/>
    <w:rsid w:val="00ED628E"/>
    <w:rsid w:val="00ED6474"/>
    <w:rsid w:val="00EE1308"/>
    <w:rsid w:val="00EE2B43"/>
    <w:rsid w:val="00EE3C83"/>
    <w:rsid w:val="00EE7281"/>
    <w:rsid w:val="00EF4514"/>
    <w:rsid w:val="00EF4B3F"/>
    <w:rsid w:val="00F01E47"/>
    <w:rsid w:val="00F023A0"/>
    <w:rsid w:val="00F037BA"/>
    <w:rsid w:val="00F0509C"/>
    <w:rsid w:val="00F06346"/>
    <w:rsid w:val="00F07063"/>
    <w:rsid w:val="00F07DA9"/>
    <w:rsid w:val="00F102C5"/>
    <w:rsid w:val="00F11C00"/>
    <w:rsid w:val="00F14EDC"/>
    <w:rsid w:val="00F20DA3"/>
    <w:rsid w:val="00F20F8A"/>
    <w:rsid w:val="00F265F3"/>
    <w:rsid w:val="00F30DC3"/>
    <w:rsid w:val="00F30E92"/>
    <w:rsid w:val="00F32990"/>
    <w:rsid w:val="00F334B6"/>
    <w:rsid w:val="00F33F4C"/>
    <w:rsid w:val="00F37FB2"/>
    <w:rsid w:val="00F50F8F"/>
    <w:rsid w:val="00F56462"/>
    <w:rsid w:val="00F5686C"/>
    <w:rsid w:val="00F568D9"/>
    <w:rsid w:val="00F62B16"/>
    <w:rsid w:val="00F65522"/>
    <w:rsid w:val="00F768D5"/>
    <w:rsid w:val="00F775B4"/>
    <w:rsid w:val="00F829E7"/>
    <w:rsid w:val="00F868CF"/>
    <w:rsid w:val="00F87D8B"/>
    <w:rsid w:val="00F90C4E"/>
    <w:rsid w:val="00F914B8"/>
    <w:rsid w:val="00F9268B"/>
    <w:rsid w:val="00F934F7"/>
    <w:rsid w:val="00F9677C"/>
    <w:rsid w:val="00FA0063"/>
    <w:rsid w:val="00FA2EA5"/>
    <w:rsid w:val="00FA2F8A"/>
    <w:rsid w:val="00FA7464"/>
    <w:rsid w:val="00FB01D0"/>
    <w:rsid w:val="00FB1733"/>
    <w:rsid w:val="00FB24A3"/>
    <w:rsid w:val="00FB2D5A"/>
    <w:rsid w:val="00FB7978"/>
    <w:rsid w:val="00FC0963"/>
    <w:rsid w:val="00FC2952"/>
    <w:rsid w:val="00FC34B1"/>
    <w:rsid w:val="00FC4394"/>
    <w:rsid w:val="00FC4BF2"/>
    <w:rsid w:val="00FC6DFB"/>
    <w:rsid w:val="00FD1C5E"/>
    <w:rsid w:val="00FD2EFF"/>
    <w:rsid w:val="00FD4C20"/>
    <w:rsid w:val="00FE037D"/>
    <w:rsid w:val="00FE2AC3"/>
    <w:rsid w:val="00FE46CB"/>
    <w:rsid w:val="00FE6236"/>
    <w:rsid w:val="00FE7B14"/>
    <w:rsid w:val="00FF24DC"/>
    <w:rsid w:val="08AF1800"/>
    <w:rsid w:val="092C67FE"/>
    <w:rsid w:val="09D366DC"/>
    <w:rsid w:val="0C037549"/>
    <w:rsid w:val="0CE32D35"/>
    <w:rsid w:val="10283A5D"/>
    <w:rsid w:val="11092EF9"/>
    <w:rsid w:val="1338304D"/>
    <w:rsid w:val="13AF6350"/>
    <w:rsid w:val="15073B95"/>
    <w:rsid w:val="153B775A"/>
    <w:rsid w:val="17EE4D71"/>
    <w:rsid w:val="195A7E6F"/>
    <w:rsid w:val="19AF5431"/>
    <w:rsid w:val="1CC768DC"/>
    <w:rsid w:val="1DC020E2"/>
    <w:rsid w:val="1F47475D"/>
    <w:rsid w:val="2029291E"/>
    <w:rsid w:val="21DE3A10"/>
    <w:rsid w:val="225C68A2"/>
    <w:rsid w:val="24A93D89"/>
    <w:rsid w:val="250D7108"/>
    <w:rsid w:val="2B5C0427"/>
    <w:rsid w:val="2FED67A2"/>
    <w:rsid w:val="324E4717"/>
    <w:rsid w:val="33EE2B33"/>
    <w:rsid w:val="36646CBC"/>
    <w:rsid w:val="3ABD65A6"/>
    <w:rsid w:val="3E040F4F"/>
    <w:rsid w:val="3F0C2D71"/>
    <w:rsid w:val="43BF24D7"/>
    <w:rsid w:val="44FD72F5"/>
    <w:rsid w:val="46AB29D6"/>
    <w:rsid w:val="46AC7326"/>
    <w:rsid w:val="4AFB1253"/>
    <w:rsid w:val="4CB503F0"/>
    <w:rsid w:val="4CE421A8"/>
    <w:rsid w:val="4E2C61E3"/>
    <w:rsid w:val="500D4F14"/>
    <w:rsid w:val="50D614D4"/>
    <w:rsid w:val="50D86BE2"/>
    <w:rsid w:val="578B7D84"/>
    <w:rsid w:val="580402A6"/>
    <w:rsid w:val="58CA05A9"/>
    <w:rsid w:val="5B164869"/>
    <w:rsid w:val="5D870662"/>
    <w:rsid w:val="5DDB4B89"/>
    <w:rsid w:val="64EF7774"/>
    <w:rsid w:val="68D25705"/>
    <w:rsid w:val="69AE4137"/>
    <w:rsid w:val="69EC1ABC"/>
    <w:rsid w:val="6A071840"/>
    <w:rsid w:val="6B213BD1"/>
    <w:rsid w:val="6CD867E6"/>
    <w:rsid w:val="6D233574"/>
    <w:rsid w:val="6D5667FB"/>
    <w:rsid w:val="70EB7B21"/>
    <w:rsid w:val="72F22262"/>
    <w:rsid w:val="73565E1D"/>
    <w:rsid w:val="75265912"/>
    <w:rsid w:val="76701315"/>
    <w:rsid w:val="784554E7"/>
    <w:rsid w:val="78F25D51"/>
    <w:rsid w:val="7B2D5058"/>
    <w:rsid w:val="7BA33931"/>
    <w:rsid w:val="7EBA4F1F"/>
    <w:rsid w:val="7ED05D27"/>
    <w:rsid w:val="7F7A7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Indent"/>
    <w:basedOn w:val="1"/>
    <w:qFormat/>
    <w:uiPriority w:val="0"/>
    <w:pPr>
      <w:spacing w:line="400" w:lineRule="exact"/>
      <w:ind w:firstLine="480"/>
      <w:jc w:val="left"/>
    </w:pPr>
    <w:rPr>
      <w:rFonts w:ascii="宋体"/>
      <w:sz w:val="24"/>
    </w:rPr>
  </w:style>
  <w:style w:type="paragraph" w:styleId="4">
    <w:name w:val="Plain Text"/>
    <w:basedOn w:val="1"/>
    <w:link w:val="19"/>
    <w:qFormat/>
    <w:uiPriority w:val="0"/>
    <w:rPr>
      <w:rFonts w:ascii="宋体" w:hAnsi="Courier New" w:cs="宋体"/>
      <w:szCs w:val="21"/>
    </w:rPr>
  </w:style>
  <w:style w:type="paragraph" w:styleId="5">
    <w:name w:val="Date"/>
    <w:basedOn w:val="1"/>
    <w:next w:val="1"/>
    <w:qFormat/>
    <w:uiPriority w:val="0"/>
    <w:pPr>
      <w:widowControl/>
      <w:overflowPunct w:val="0"/>
      <w:autoSpaceDE w:val="0"/>
      <w:autoSpaceDN w:val="0"/>
      <w:adjustRightInd w:val="0"/>
      <w:textAlignment w:val="baseline"/>
    </w:pPr>
    <w:rPr>
      <w:rFonts w:eastAsia="仿宋_GB2312"/>
      <w:kern w:val="0"/>
      <w:sz w:val="24"/>
      <w:szCs w:val="20"/>
    </w:rPr>
  </w:style>
  <w:style w:type="paragraph" w:styleId="6">
    <w:name w:val="Balloon Text"/>
    <w:basedOn w:val="1"/>
    <w:semiHidden/>
    <w:qFormat/>
    <w:uiPriority w:val="0"/>
    <w:rPr>
      <w:sz w:val="18"/>
      <w:szCs w:val="18"/>
    </w:rPr>
  </w:style>
  <w:style w:type="paragraph" w:styleId="7">
    <w:name w:val="footer"/>
    <w:basedOn w:val="1"/>
    <w:link w:val="24"/>
    <w:uiPriority w:val="0"/>
    <w:pPr>
      <w:tabs>
        <w:tab w:val="center" w:pos="4153"/>
        <w:tab w:val="right" w:pos="8306"/>
      </w:tabs>
      <w:snapToGrid w:val="0"/>
      <w:jc w:val="left"/>
    </w:pPr>
    <w:rPr>
      <w:sz w:val="18"/>
      <w:szCs w:val="20"/>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8"/>
    <w:qFormat/>
    <w:uiPriority w:val="0"/>
    <w:pPr>
      <w:autoSpaceDE w:val="0"/>
      <w:autoSpaceDN w:val="0"/>
      <w:spacing w:line="400" w:lineRule="atLeast"/>
      <w:ind w:firstLine="443" w:firstLineChars="200"/>
      <w:textAlignment w:val="bottom"/>
    </w:pPr>
    <w:rPr>
      <w:rFonts w:eastAsia="黑体"/>
      <w:color w:val="000000"/>
      <w:sz w:val="24"/>
    </w:rPr>
  </w:style>
  <w:style w:type="paragraph" w:styleId="10">
    <w:name w:val="annotation subject"/>
    <w:basedOn w:val="2"/>
    <w:next w:val="2"/>
    <w:semiHidden/>
    <w:qFormat/>
    <w:uiPriority w:val="0"/>
    <w:rPr>
      <w:b/>
      <w:bCs/>
    </w:rPr>
  </w:style>
  <w:style w:type="table" w:styleId="12">
    <w:name w:val="Table Elegant"/>
    <w:basedOn w:val="1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semiHidden/>
    <w:qFormat/>
    <w:uiPriority w:val="0"/>
    <w:rPr>
      <w:sz w:val="21"/>
      <w:szCs w:val="21"/>
    </w:rPr>
  </w:style>
  <w:style w:type="character" w:customStyle="1" w:styleId="17">
    <w:name w:val="Header Char"/>
    <w:semiHidden/>
    <w:qFormat/>
    <w:locked/>
    <w:uiPriority w:val="0"/>
    <w:rPr>
      <w:sz w:val="18"/>
    </w:rPr>
  </w:style>
  <w:style w:type="character" w:customStyle="1" w:styleId="18">
    <w:name w:val=" Char Char13"/>
    <w:link w:val="9"/>
    <w:qFormat/>
    <w:locked/>
    <w:uiPriority w:val="0"/>
    <w:rPr>
      <w:rFonts w:eastAsia="黑体"/>
      <w:color w:val="000000"/>
      <w:kern w:val="2"/>
      <w:sz w:val="24"/>
      <w:szCs w:val="24"/>
      <w:lang w:bidi="ar-SA"/>
    </w:rPr>
  </w:style>
  <w:style w:type="character" w:customStyle="1" w:styleId="19">
    <w:name w:val=" Char Char"/>
    <w:basedOn w:val="13"/>
    <w:link w:val="4"/>
    <w:qFormat/>
    <w:locked/>
    <w:uiPriority w:val="0"/>
    <w:rPr>
      <w:rFonts w:ascii="宋体" w:hAnsi="Courier New" w:eastAsia="宋体" w:cs="宋体"/>
      <w:kern w:val="2"/>
      <w:sz w:val="21"/>
      <w:szCs w:val="21"/>
      <w:lang w:val="en-US" w:eastAsia="zh-CN" w:bidi="ar-SA"/>
    </w:rPr>
  </w:style>
  <w:style w:type="character" w:customStyle="1" w:styleId="20">
    <w:name w:val=" Char Char1"/>
    <w:basedOn w:val="13"/>
    <w:link w:val="8"/>
    <w:qFormat/>
    <w:uiPriority w:val="0"/>
    <w:rPr>
      <w:rFonts w:eastAsia="宋体"/>
      <w:kern w:val="2"/>
      <w:sz w:val="18"/>
      <w:szCs w:val="18"/>
      <w:lang w:val="en-US" w:eastAsia="zh-CN" w:bidi="ar-SA"/>
    </w:rPr>
  </w:style>
  <w:style w:type="character" w:customStyle="1" w:styleId="21">
    <w:name w:val="NormalCharacter"/>
    <w:semiHidden/>
    <w:qFormat/>
    <w:uiPriority w:val="0"/>
  </w:style>
  <w:style w:type="character" w:customStyle="1" w:styleId="22">
    <w:name w:val=" Char Char3"/>
    <w:qFormat/>
    <w:uiPriority w:val="0"/>
    <w:rPr>
      <w:rFonts w:ascii="宋体" w:hAnsi="Courier New" w:eastAsia="宋体" w:cs="宋体"/>
      <w:szCs w:val="21"/>
    </w:rPr>
  </w:style>
  <w:style w:type="character" w:customStyle="1" w:styleId="23">
    <w:name w:val="apple-converted-space"/>
    <w:basedOn w:val="13"/>
    <w:qFormat/>
    <w:uiPriority w:val="0"/>
  </w:style>
  <w:style w:type="character" w:customStyle="1" w:styleId="24">
    <w:name w:val=" Char Char2"/>
    <w:basedOn w:val="13"/>
    <w:link w:val="7"/>
    <w:semiHidden/>
    <w:qFormat/>
    <w:uiPriority w:val="0"/>
    <w:rPr>
      <w:rFonts w:eastAsia="宋体"/>
      <w:kern w:val="2"/>
      <w:sz w:val="18"/>
      <w:lang w:val="en-US" w:eastAsia="zh-CN" w:bidi="ar-SA"/>
    </w:rPr>
  </w:style>
  <w:style w:type="character" w:customStyle="1" w:styleId="25">
    <w:name w:val="样式1 Char Char"/>
    <w:link w:val="26"/>
    <w:qFormat/>
    <w:uiPriority w:val="0"/>
    <w:rPr>
      <w:rFonts w:ascii="Arial" w:hAnsi="Arial"/>
      <w:kern w:val="2"/>
      <w:sz w:val="21"/>
      <w:szCs w:val="24"/>
      <w:lang w:bidi="ar-SA"/>
    </w:rPr>
  </w:style>
  <w:style w:type="paragraph" w:customStyle="1" w:styleId="26">
    <w:name w:val="样式1"/>
    <w:basedOn w:val="1"/>
    <w:link w:val="25"/>
    <w:qFormat/>
    <w:uiPriority w:val="0"/>
    <w:pPr>
      <w:spacing w:line="360" w:lineRule="exact"/>
      <w:ind w:firstLine="200" w:firstLineChars="200"/>
    </w:pPr>
    <w:rPr>
      <w:rFonts w:ascii="Arial" w:hAnsi="Arial" w:eastAsia="Times New Roman"/>
    </w:rPr>
  </w:style>
  <w:style w:type="paragraph" w:customStyle="1" w:styleId="27">
    <w:name w:val="无间隔1"/>
    <w:qFormat/>
    <w:uiPriority w:val="0"/>
    <w:rPr>
      <w:rFonts w:ascii="Calibri" w:hAnsi="Calibri" w:eastAsia="宋体" w:cs="Times New Roman"/>
      <w:sz w:val="22"/>
      <w:szCs w:val="22"/>
      <w:lang w:val="en-US" w:eastAsia="zh-CN" w:bidi="ar-SA"/>
    </w:rPr>
  </w:style>
  <w:style w:type="paragraph" w:customStyle="1" w:styleId="28">
    <w:name w:val="H-TextFormat"/>
    <w:basedOn w:val="1"/>
    <w:qFormat/>
    <w:uiPriority w:val="0"/>
    <w:pPr>
      <w:widowControl/>
      <w:autoSpaceDE w:val="0"/>
      <w:autoSpaceDN w:val="0"/>
      <w:adjustRightInd w:val="0"/>
      <w:jc w:val="left"/>
    </w:pPr>
    <w:rPr>
      <w:rFonts w:ascii="Arial" w:hAnsi="Arial" w:cs="Arial"/>
      <w:kern w:val="0"/>
      <w:sz w:val="22"/>
      <w:szCs w:val="22"/>
      <w:lang w:eastAsia="de-DE"/>
    </w:rPr>
  </w:style>
  <w:style w:type="paragraph" w:customStyle="1" w:styleId="29">
    <w:name w:val="Table Paragraph"/>
    <w:basedOn w:val="1"/>
    <w:qFormat/>
    <w:uiPriority w:val="0"/>
    <w:pPr>
      <w:spacing w:line="240" w:lineRule="exact"/>
      <w:ind w:left="103"/>
    </w:pPr>
    <w:rPr>
      <w:rFonts w:ascii="宋体" w:hAnsi="宋体" w:cs="宋体"/>
      <w:szCs w:val="21"/>
    </w:rPr>
  </w:style>
  <w:style w:type="paragraph" w:customStyle="1" w:styleId="30">
    <w:name w:val="列出段落"/>
    <w:basedOn w:val="1"/>
    <w:qFormat/>
    <w:uiPriority w:val="0"/>
    <w:pPr>
      <w:ind w:firstLine="420" w:firstLineChars="200"/>
    </w:pPr>
    <w:rPr>
      <w:rFonts w:ascii="Calibri" w:hAnsi="Calibri"/>
      <w:szCs w:val="22"/>
    </w:rPr>
  </w:style>
  <w:style w:type="paragraph" w:customStyle="1" w:styleId="31">
    <w:name w:val="List Paragraph"/>
    <w:basedOn w:val="1"/>
    <w:qFormat/>
    <w:uiPriority w:val="0"/>
    <w:pPr>
      <w:ind w:firstLine="420" w:firstLineChars="200"/>
    </w:pPr>
    <w:rPr>
      <w:rFonts w:ascii="Calibri" w:hAnsi="Calibri" w:cs="Calibri"/>
      <w:szCs w:val="21"/>
    </w:rPr>
  </w:style>
  <w:style w:type="paragraph" w:customStyle="1" w:styleId="32">
    <w:name w:val=" Char Char Char Char Char Char"/>
    <w:basedOn w:val="1"/>
    <w:qFormat/>
    <w:uiPriority w:val="0"/>
    <w:rPr>
      <w:rFonts w:ascii="仿宋_GB2312" w:eastAsia="仿宋_GB2312"/>
      <w:b/>
      <w:sz w:val="32"/>
      <w:szCs w:val="32"/>
    </w:rPr>
  </w:style>
  <w:style w:type="paragraph" w:customStyle="1" w:styleId="33">
    <w:name w:val=" Char Char Char Char Char Char Char"/>
    <w:basedOn w:val="1"/>
    <w:qFormat/>
    <w:uiPriority w:val="0"/>
    <w:rPr>
      <w:kern w:val="0"/>
    </w:rPr>
  </w:style>
  <w:style w:type="character" w:customStyle="1" w:styleId="34">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浙江国际招（投）标公司</Company>
  <Pages>1</Pages>
  <Words>3268</Words>
  <Characters>18630</Characters>
  <Lines>155</Lines>
  <Paragraphs>43</Paragraphs>
  <TotalTime>21</TotalTime>
  <ScaleCrop>false</ScaleCrop>
  <LinksUpToDate>false</LinksUpToDate>
  <CharactersWithSpaces>21855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2013-01-31T05:50:00Z</dcterms:created>
  <dc:creator>张域</dc:creator>
  <cp:lastModifiedBy>呀哈哈哈</cp:lastModifiedBy>
  <cp:lastPrinted>2015-05-08T00:35:00Z</cp:lastPrinted>
  <dcterms:modified xsi:type="dcterms:W3CDTF">2021-09-28T11:05:55Z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599A60E46ACA4BF8BE2A53FC047E76D4</vt:lpwstr>
  </property>
</Properties>
</file>