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adjustRightInd/>
        <w:spacing w:line="360" w:lineRule="auto"/>
        <w:jc w:val="both"/>
        <w:rPr>
          <w:rFonts w:ascii="宋体" w:hAnsi="宋体" w:cs="宋体"/>
          <w:b/>
          <w:color w:val="auto"/>
          <w:sz w:val="48"/>
          <w:szCs w:val="48"/>
        </w:rPr>
      </w:pPr>
    </w:p>
    <w:p>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浙江省杭州市自然灾害应急能力提升工程基层防灾项目（舟艇）</w:t>
      </w:r>
    </w:p>
    <w:p>
      <w:pPr>
        <w:adjustRightInd/>
        <w:spacing w:line="360" w:lineRule="auto"/>
        <w:ind w:firstLine="0" w:firstLineChars="0"/>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0" w:firstLineChars="0"/>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ZJXL-HZYJ-202404</w:t>
      </w:r>
    </w:p>
    <w:p>
      <w:pPr>
        <w:pStyle w:val="3"/>
        <w:ind w:firstLine="0" w:firstLineChars="0"/>
        <w:jc w:val="center"/>
        <w:rPr>
          <w:rFonts w:hint="eastAsia" w:hAnsi="宋体" w:eastAsia="宋体" w:cs="宋体"/>
          <w:color w:val="auto"/>
          <w:sz w:val="30"/>
          <w:szCs w:val="30"/>
          <w:lang w:eastAsia="zh-CN"/>
        </w:rPr>
      </w:pPr>
      <w:r>
        <w:rPr>
          <w:rFonts w:hint="eastAsia" w:ascii="宋体" w:hAnsi="宋体" w:cs="宋体"/>
          <w:color w:val="auto"/>
          <w:sz w:val="30"/>
          <w:szCs w:val="30"/>
        </w:rPr>
        <w:t>确认书号：</w:t>
      </w:r>
      <w:r>
        <w:rPr>
          <w:rFonts w:hint="eastAsia" w:hAnsi="宋体" w:cs="宋体"/>
          <w:color w:val="auto"/>
          <w:sz w:val="30"/>
          <w:szCs w:val="30"/>
          <w:lang w:val="en-US" w:eastAsia="zh-CN"/>
        </w:rPr>
        <w:t>临[2024]5939号</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ind w:left="0" w:leftChars="0" w:firstLine="0" w:firstLineChars="0"/>
        <w:jc w:val="both"/>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杭州市应急管理局</w:t>
      </w:r>
    </w:p>
    <w:p>
      <w:pPr>
        <w:snapToGrid w:val="0"/>
        <w:spacing w:line="360" w:lineRule="auto"/>
        <w:ind w:firstLine="0" w:firstLineChars="0"/>
        <w:jc w:val="center"/>
        <w:rPr>
          <w:rFonts w:hint="eastAsia" w:ascii="宋体" w:hAnsi="宋体" w:cs="宋体"/>
          <w:bCs/>
          <w:color w:val="auto"/>
          <w:sz w:val="32"/>
          <w:szCs w:val="32"/>
          <w:lang w:eastAsia="zh-CN"/>
        </w:rPr>
      </w:pPr>
      <w:r>
        <w:rPr>
          <w:rFonts w:hint="eastAsia" w:ascii="宋体" w:hAnsi="宋体" w:cs="宋体"/>
          <w:bCs/>
          <w:color w:val="auto"/>
          <w:sz w:val="32"/>
          <w:szCs w:val="32"/>
          <w:lang w:eastAsia="zh-CN"/>
        </w:rPr>
        <w:t>浙江信镧建设工程咨询有限公司</w:t>
      </w:r>
    </w:p>
    <w:p>
      <w:pPr>
        <w:snapToGrid w:val="0"/>
        <w:spacing w:line="360" w:lineRule="auto"/>
        <w:ind w:firstLine="0" w:firstLineChars="0"/>
        <w:jc w:val="center"/>
        <w:rPr>
          <w:rFonts w:hint="eastAsia" w:ascii="宋体" w:hAnsi="宋体" w:cs="宋体"/>
          <w:bCs/>
          <w:color w:val="auto"/>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p>
    <w:p>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pPr>
        <w:bidi w:val="0"/>
        <w:rPr>
          <w:rFonts w:hint="eastAsia"/>
          <w:color w:val="auto"/>
        </w:rPr>
      </w:pPr>
      <w:r>
        <w:rPr>
          <w:rFonts w:hint="eastAsia"/>
          <w:color w:val="auto"/>
          <w:lang w:val="en-US" w:eastAsia="zh-CN"/>
        </w:rPr>
        <w:t>7、</w:t>
      </w:r>
      <w:r>
        <w:rPr>
          <w:rFonts w:hint="eastAsia"/>
          <w:color w:val="auto"/>
        </w:rPr>
        <w:t>不提供招标文件纸质版；</w:t>
      </w:r>
    </w:p>
    <w:p>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color w:val="auto"/>
          <w:lang w:val="en-US" w:eastAsia="zh-CN"/>
        </w:rPr>
        <w:t>▲</w:t>
      </w:r>
      <w:r>
        <w:rPr>
          <w:rFonts w:hint="eastAsia"/>
          <w:color w:val="auto"/>
        </w:rPr>
        <w:t>投标人仅提交备份投标文件，未在电子交易平台传输递交投标文件的，投标无效；</w:t>
      </w:r>
    </w:p>
    <w:p>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4"/>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_Toc16232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4</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_Toc1863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8</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_Toc28450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32</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_Toc18837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71</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_Toc21217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78</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_Toc16642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89</w:t>
      </w:r>
      <w:r>
        <w:rPr>
          <w:b/>
          <w:bCs/>
        </w:rPr>
        <w:fldChar w:fldCharType="end"/>
      </w:r>
      <w:r>
        <w:rPr>
          <w:rFonts w:ascii="宋体" w:hAnsi="宋体" w:cs="宋体"/>
          <w:b/>
          <w:bCs/>
          <w:szCs w:val="32"/>
        </w:rPr>
        <w:fldChar w:fldCharType="end"/>
      </w:r>
    </w:p>
    <w:p>
      <w:pPr>
        <w:spacing w:line="360" w:lineRule="auto"/>
        <w:rPr>
          <w:rFonts w:ascii="宋体" w:hAnsi="宋体" w:cs="宋体"/>
          <w:sz w:val="32"/>
          <w:szCs w:val="32"/>
        </w:rPr>
      </w:pPr>
      <w:r>
        <w:rPr>
          <w:rFonts w:ascii="宋体" w:hAnsi="宋体" w:cs="宋体"/>
          <w:b/>
          <w:bCs/>
          <w:szCs w:val="32"/>
        </w:rPr>
        <w:fldChar w:fldCharType="end"/>
      </w:r>
    </w:p>
    <w:p>
      <w:pPr>
        <w:spacing w:line="360" w:lineRule="auto"/>
        <w:outlineLvl w:val="0"/>
        <w:rPr>
          <w:rFonts w:ascii="宋体" w:hAnsi="宋体" w:cs="宋体"/>
          <w:sz w:val="32"/>
          <w:szCs w:val="32"/>
        </w:rPr>
      </w:pP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pStyle w:val="5"/>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5" w:name="_Hlt74649545"/>
      <w:bookmarkEnd w:id="5"/>
      <w:bookmarkStart w:id="6" w:name="_Hlt74707423"/>
      <w:bookmarkEnd w:id="6"/>
      <w:bookmarkStart w:id="7" w:name="_Hlt74728647"/>
      <w:bookmarkEnd w:id="7"/>
      <w:bookmarkStart w:id="8" w:name="_Hlt74729822"/>
      <w:bookmarkEnd w:id="8"/>
      <w:bookmarkStart w:id="9" w:name="_Toc19410"/>
      <w:bookmarkStart w:id="10" w:name="_Toc26969"/>
      <w:bookmarkStart w:id="11" w:name="第二部分"/>
      <w:bookmarkStart w:id="12" w:name="_Toc91899870"/>
      <w:bookmarkStart w:id="13" w:name="_Toc91899871"/>
    </w:p>
    <w:p>
      <w:pPr>
        <w:pStyle w:val="5"/>
        <w:bidi w:val="0"/>
        <w:rPr>
          <w:rFonts w:ascii="宋体" w:hAnsi="宋体" w:cs="宋体"/>
          <w:b/>
          <w:sz w:val="36"/>
          <w:szCs w:val="20"/>
        </w:rPr>
      </w:pPr>
      <w:bookmarkStart w:id="14" w:name="_Toc16232"/>
      <w:r>
        <w:rPr>
          <w:rFonts w:hint="eastAsia" w:ascii="宋体" w:hAnsi="宋体" w:cs="宋体"/>
          <w:b/>
          <w:sz w:val="36"/>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color w:val="auto"/>
          <w:sz w:val="24"/>
        </w:rPr>
      </w:pPr>
      <w:r>
        <w:rPr>
          <w:rFonts w:hint="eastAsia" w:ascii="宋体" w:hAnsi="宋体" w:cs="宋体"/>
          <w:b/>
          <w:bCs/>
          <w:sz w:val="24"/>
        </w:rPr>
        <w:t>项目</w:t>
      </w:r>
      <w:r>
        <w:rPr>
          <w:rFonts w:hint="eastAsia" w:ascii="宋体" w:hAnsi="宋体" w:cs="宋体"/>
          <w:b/>
          <w:bCs/>
          <w:color w:val="auto"/>
          <w:sz w:val="24"/>
        </w:rPr>
        <w:t>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浙江省杭州市自然灾害应急能力提升工程基层防灾项目（舟艇）</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bidi w:val="0"/>
        <w:rPr>
          <w:rFonts w:hint="eastAsia"/>
          <w:color w:val="auto"/>
        </w:rPr>
      </w:pPr>
    </w:p>
    <w:p>
      <w:pPr>
        <w:pStyle w:val="7"/>
        <w:rPr>
          <w:color w:val="auto"/>
        </w:rPr>
      </w:pPr>
      <w:r>
        <w:rPr>
          <w:rFonts w:hint="eastAsia"/>
          <w:color w:val="auto"/>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ZJXL-HZYJ-202404</w:t>
      </w:r>
    </w:p>
    <w:p>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浙江省杭州市自然灾害应急能力提升工程基层防灾项目（舟艇）</w:t>
      </w:r>
    </w:p>
    <w:p>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3703000</w:t>
      </w:r>
      <w:r>
        <w:rPr>
          <w:rFonts w:hint="eastAsia" w:ascii="宋体" w:hAnsi="宋体" w:cs="宋体"/>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3703000</w:t>
      </w:r>
      <w:bookmarkStart w:id="628" w:name="_GoBack"/>
      <w:bookmarkEnd w:id="628"/>
    </w:p>
    <w:p>
      <w:pPr>
        <w:pStyle w:val="18"/>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3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3"/>
        <w:gridCol w:w="1810"/>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23" w:type="dxa"/>
            <w:vAlign w:val="center"/>
          </w:tcPr>
          <w:p>
            <w:pPr>
              <w:pStyle w:val="144"/>
              <w:widowControl w:val="0"/>
              <w:rPr>
                <w:color w:val="auto"/>
              </w:rPr>
            </w:pPr>
            <w:r>
              <w:rPr>
                <w:rFonts w:hint="eastAsia"/>
                <w:color w:val="auto"/>
              </w:rPr>
              <w:t>标项号</w:t>
            </w:r>
          </w:p>
        </w:tc>
        <w:tc>
          <w:tcPr>
            <w:tcW w:w="1810" w:type="dxa"/>
            <w:vAlign w:val="center"/>
          </w:tcPr>
          <w:p>
            <w:pPr>
              <w:pStyle w:val="144"/>
              <w:widowControl w:val="0"/>
              <w:rPr>
                <w:color w:val="auto"/>
              </w:rPr>
            </w:pPr>
            <w:r>
              <w:rPr>
                <w:rFonts w:hint="eastAsia"/>
                <w:color w:val="auto"/>
              </w:rPr>
              <w:t>标项名称</w:t>
            </w:r>
          </w:p>
        </w:tc>
        <w:tc>
          <w:tcPr>
            <w:tcW w:w="799" w:type="dxa"/>
            <w:vAlign w:val="center"/>
          </w:tcPr>
          <w:p>
            <w:pPr>
              <w:pStyle w:val="144"/>
              <w:widowControl w:val="0"/>
              <w:rPr>
                <w:color w:val="auto"/>
              </w:rPr>
            </w:pPr>
            <w:r>
              <w:rPr>
                <w:rFonts w:hint="eastAsia"/>
                <w:color w:val="auto"/>
              </w:rPr>
              <w:t>数量</w:t>
            </w:r>
          </w:p>
        </w:tc>
        <w:tc>
          <w:tcPr>
            <w:tcW w:w="1317" w:type="dxa"/>
            <w:vAlign w:val="center"/>
          </w:tcPr>
          <w:p>
            <w:pPr>
              <w:pStyle w:val="144"/>
              <w:widowControl w:val="0"/>
              <w:rPr>
                <w:rFonts w:hint="eastAsia"/>
                <w:color w:val="auto"/>
                <w:lang w:val="en-US" w:eastAsia="zh-CN"/>
              </w:rPr>
            </w:pPr>
            <w:r>
              <w:rPr>
                <w:rFonts w:hint="eastAsia"/>
                <w:color w:val="auto"/>
                <w:lang w:val="en-US" w:eastAsia="zh-CN"/>
              </w:rPr>
              <w:t>预算金额（元）</w:t>
            </w:r>
          </w:p>
        </w:tc>
        <w:tc>
          <w:tcPr>
            <w:tcW w:w="3224" w:type="dxa"/>
            <w:vAlign w:val="center"/>
          </w:tcPr>
          <w:p>
            <w:pPr>
              <w:pStyle w:val="144"/>
              <w:widowControl w:val="0"/>
              <w:rPr>
                <w:color w:val="auto"/>
              </w:rPr>
            </w:pPr>
            <w:r>
              <w:rPr>
                <w:color w:val="auto"/>
              </w:rPr>
              <w:t>简要规格描述或项目基本概况介绍、用途：</w:t>
            </w:r>
          </w:p>
        </w:tc>
        <w:tc>
          <w:tcPr>
            <w:tcW w:w="1241" w:type="dxa"/>
            <w:vAlign w:val="center"/>
          </w:tcPr>
          <w:p>
            <w:pPr>
              <w:pStyle w:val="144"/>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23" w:type="dxa"/>
            <w:vAlign w:val="center"/>
          </w:tcPr>
          <w:p>
            <w:pPr>
              <w:pStyle w:val="144"/>
              <w:widowControl w:val="0"/>
              <w:rPr>
                <w:color w:val="auto"/>
              </w:rPr>
            </w:pPr>
            <w:r>
              <w:rPr>
                <w:rFonts w:hint="eastAsia"/>
                <w:color w:val="auto"/>
              </w:rPr>
              <w:t>1</w:t>
            </w:r>
          </w:p>
        </w:tc>
        <w:tc>
          <w:tcPr>
            <w:tcW w:w="1810" w:type="dxa"/>
            <w:vAlign w:val="center"/>
          </w:tcPr>
          <w:p>
            <w:pPr>
              <w:pStyle w:val="144"/>
              <w:widowControl w:val="0"/>
              <w:rPr>
                <w:rFonts w:hint="eastAsia"/>
                <w:color w:val="auto"/>
                <w:lang w:eastAsia="zh-CN"/>
              </w:rPr>
            </w:pPr>
            <w:r>
              <w:rPr>
                <w:rFonts w:hint="eastAsia"/>
                <w:color w:val="auto"/>
                <w:lang w:eastAsia="zh-CN"/>
              </w:rPr>
              <w:t>浙江省杭州市自然灾害应急能力提升工程基层防灾项目（舟艇）</w:t>
            </w:r>
          </w:p>
        </w:tc>
        <w:tc>
          <w:tcPr>
            <w:tcW w:w="799" w:type="dxa"/>
            <w:vAlign w:val="center"/>
          </w:tcPr>
          <w:p>
            <w:pPr>
              <w:pStyle w:val="144"/>
              <w:widowControl w:val="0"/>
              <w:rPr>
                <w:rFonts w:hint="default"/>
                <w:color w:val="auto"/>
                <w:lang w:val="en-US" w:eastAsia="zh-CN"/>
              </w:rPr>
            </w:pPr>
            <w:r>
              <w:rPr>
                <w:rFonts w:hint="eastAsia"/>
                <w:color w:val="auto"/>
                <w:lang w:val="en-US" w:eastAsia="zh-CN"/>
              </w:rPr>
              <w:t>1批</w:t>
            </w:r>
          </w:p>
        </w:tc>
        <w:tc>
          <w:tcPr>
            <w:tcW w:w="1317" w:type="dxa"/>
            <w:vAlign w:val="center"/>
          </w:tcPr>
          <w:p>
            <w:pPr>
              <w:pStyle w:val="144"/>
              <w:widowControl w:val="0"/>
              <w:rPr>
                <w:rFonts w:hint="eastAsia"/>
                <w:color w:val="auto"/>
              </w:rPr>
            </w:pPr>
            <w:r>
              <w:rPr>
                <w:rFonts w:hint="eastAsia" w:ascii="宋体" w:hAnsi="宋体" w:cs="宋体"/>
                <w:b/>
                <w:color w:val="auto"/>
                <w:sz w:val="24"/>
                <w:lang w:val="en-US" w:eastAsia="zh-CN"/>
              </w:rPr>
              <w:t>3703000</w:t>
            </w:r>
          </w:p>
        </w:tc>
        <w:tc>
          <w:tcPr>
            <w:tcW w:w="3224" w:type="dxa"/>
            <w:vAlign w:val="center"/>
          </w:tcPr>
          <w:p>
            <w:pPr>
              <w:pStyle w:val="144"/>
              <w:widowControl w:val="0"/>
              <w:rPr>
                <w:color w:val="auto"/>
              </w:rPr>
            </w:pPr>
            <w:r>
              <w:rPr>
                <w:rFonts w:hint="eastAsia"/>
                <w:color w:val="auto"/>
                <w:lang w:eastAsia="zh-CN"/>
              </w:rPr>
              <w:t>舟艇</w:t>
            </w:r>
            <w:r>
              <w:rPr>
                <w:rFonts w:hint="eastAsia"/>
                <w:color w:val="auto"/>
                <w:lang w:val="en-US" w:eastAsia="zh-CN"/>
              </w:rPr>
              <w:t>采购</w:t>
            </w:r>
            <w:r>
              <w:rPr>
                <w:rFonts w:hint="eastAsia"/>
                <w:color w:val="auto"/>
              </w:rPr>
              <w:t>，详见招标文件第三部分采购需求。</w:t>
            </w:r>
          </w:p>
        </w:tc>
        <w:tc>
          <w:tcPr>
            <w:tcW w:w="1241" w:type="dxa"/>
            <w:vAlign w:val="center"/>
          </w:tcPr>
          <w:p>
            <w:pPr>
              <w:pStyle w:val="144"/>
              <w:widowControl w:val="0"/>
              <w:rPr>
                <w:rFonts w:hint="eastAsia"/>
                <w:color w:val="auto"/>
                <w:lang w:eastAsia="zh-CN"/>
              </w:rPr>
            </w:pPr>
          </w:p>
        </w:tc>
      </w:tr>
    </w:tbl>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宋体" w:hAnsi="宋体" w:eastAsia="宋体" w:cs="宋体"/>
          <w:b/>
          <w:color w:val="auto"/>
          <w:lang w:val="en-US"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color w:val="auto"/>
          <w:lang w:val="en-US" w:eastAsia="zh-CN"/>
        </w:rPr>
        <w:t>详见采购文件要求</w:t>
      </w:r>
    </w:p>
    <w:p>
      <w:pPr>
        <w:pStyle w:val="18"/>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7"/>
      </w:pPr>
      <w:r>
        <w:rPr>
          <w:rFonts w:hint="eastAsia"/>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color w:val="auto"/>
          <w:highlight w:val="none"/>
        </w:rPr>
      </w:pPr>
      <w:sdt>
        <w:sdtPr>
          <w:rPr>
            <w:rFonts w:hint="eastAsia" w:cs="Arial" w:asciiTheme="minorEastAsia" w:hAnsiTheme="minorEastAsia" w:eastAsiaTheme="minorEastAsia"/>
            <w:kern w:val="0"/>
            <w:highlight w:val="none"/>
          </w:rPr>
          <w:id w:val="1259492708"/>
        </w:sdtPr>
        <w:sdtEndPr>
          <w:rPr>
            <w:rFonts w:hint="eastAsia" w:cs="Arial" w:asciiTheme="minorEastAsia" w:hAnsiTheme="minorEastAsia" w:eastAsiaTheme="minorEastAsia"/>
            <w:color w:val="auto"/>
            <w:kern w:val="0"/>
            <w:highlight w:val="none"/>
          </w:rPr>
        </w:sdtEndPr>
        <w:sdtContent>
          <w:r>
            <w:rPr>
              <w:rFonts w:hint="eastAsia" w:ascii="宋体" w:hAnsi="宋体" w:cs="宋体"/>
              <w:color w:val="auto"/>
              <w:kern w:val="0"/>
              <w:highlight w:val="none"/>
            </w:rPr>
            <w:sym w:font="Wingdings" w:char="00FE"/>
          </w:r>
        </w:sdtContent>
      </w:sdt>
      <w:r>
        <w:rPr>
          <w:rFonts w:hint="eastAsia" w:cs="仿宋_GB2312" w:asciiTheme="minorEastAsia" w:hAnsiTheme="minorEastAsia" w:eastAsiaTheme="minorEastAsia"/>
          <w:color w:val="auto"/>
          <w:kern w:val="28"/>
          <w:szCs w:val="20"/>
          <w:highlight w:val="none"/>
        </w:rPr>
        <w:t>无；</w:t>
      </w:r>
    </w:p>
    <w:p>
      <w:pPr>
        <w:spacing w:line="360" w:lineRule="auto"/>
        <w:ind w:firstLine="480" w:firstLineChars="200"/>
        <w:rPr>
          <w:rFonts w:asciiTheme="minorEastAsia" w:hAnsiTheme="minorEastAsia" w:eastAsiaTheme="minorEastAsia"/>
          <w:color w:val="auto"/>
          <w:highlight w:val="none"/>
        </w:rPr>
      </w:pPr>
      <w:sdt>
        <w:sdtPr>
          <w:rPr>
            <w:rFonts w:hint="eastAsia" w:ascii="宋体" w:hAnsi="宋体" w:cs="宋体"/>
            <w:color w:val="auto"/>
            <w:kern w:val="0"/>
            <w:highlight w:val="none"/>
          </w:rPr>
          <w:id w:val="6"/>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A8"/>
          </w:r>
        </w:sdtContent>
      </w:sdt>
      <w:r>
        <w:rPr>
          <w:rFonts w:hint="eastAsia" w:cs="Arial" w:asciiTheme="minorEastAsia" w:hAnsiTheme="minorEastAsia" w:eastAsiaTheme="minorEastAsia"/>
          <w:color w:val="auto"/>
          <w:kern w:val="0"/>
          <w:highlight w:val="none"/>
        </w:rPr>
        <w:t>专</w:t>
      </w:r>
      <w:r>
        <w:rPr>
          <w:rFonts w:hint="eastAsia" w:asciiTheme="minorEastAsia" w:hAnsiTheme="minorEastAsia" w:eastAsiaTheme="minorEastAsia"/>
          <w:color w:val="auto"/>
          <w:highlight w:val="none"/>
        </w:rPr>
        <w:t>门面向中小企业</w:t>
      </w:r>
    </w:p>
    <w:p>
      <w:pPr>
        <w:spacing w:line="360" w:lineRule="auto"/>
        <w:ind w:firstLine="897" w:firstLineChars="374"/>
        <w:rPr>
          <w:rFonts w:asciiTheme="minorEastAsia" w:hAnsiTheme="minorEastAsia" w:eastAsiaTheme="minorEastAsia"/>
          <w:color w:val="auto"/>
          <w:highlight w:val="none"/>
        </w:rPr>
      </w:pPr>
      <w:sdt>
        <w:sdtPr>
          <w:rPr>
            <w:rFonts w:hint="eastAsia" w:ascii="宋体" w:hAnsi="宋体" w:cs="宋体"/>
            <w:color w:val="auto"/>
            <w:kern w:val="0"/>
            <w:highlight w:val="none"/>
          </w:rPr>
          <w:id w:val="7"/>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A8"/>
          </w:r>
        </w:sdtContent>
      </w:sdt>
      <w:r>
        <w:rPr>
          <w:rFonts w:hint="eastAsia" w:asciiTheme="minorEastAsia" w:hAnsiTheme="minorEastAsia" w:eastAsiaTheme="minorEastAsia"/>
          <w:color w:val="auto"/>
          <w:highlight w:val="none"/>
        </w:rPr>
        <w:t>货物全部由符合政策要求的中小企业制造，提供中小企业声明函；</w:t>
      </w:r>
    </w:p>
    <w:p>
      <w:pPr>
        <w:spacing w:line="360" w:lineRule="auto"/>
        <w:ind w:firstLine="897" w:firstLineChars="374"/>
        <w:rPr>
          <w:rFonts w:ascii="宋体" w:hAnsi="宋体" w:cs="宋体"/>
          <w:color w:val="FF0000"/>
          <w:sz w:val="24"/>
        </w:rPr>
      </w:pPr>
      <w:sdt>
        <w:sdtPr>
          <w:rPr>
            <w:rFonts w:hint="eastAsia" w:ascii="宋体" w:hAnsi="宋体" w:cs="宋体"/>
            <w:color w:val="auto"/>
            <w:kern w:val="0"/>
            <w:highlight w:val="none"/>
          </w:rPr>
          <w:id w:val="8"/>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A8"/>
          </w:r>
        </w:sdtContent>
      </w:sdt>
      <w:r>
        <w:rPr>
          <w:rFonts w:hint="eastAsia" w:asciiTheme="minorEastAsia" w:hAnsiTheme="minorEastAsia" w:eastAsiaTheme="minorEastAsia"/>
          <w:color w:val="auto"/>
          <w:highlight w:val="none"/>
        </w:rPr>
        <w:t>货物全部由符合政策要求的小微企业制造，提供中小企业声明函；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pStyle w:val="7"/>
      </w:pPr>
      <w:r>
        <w:rPr>
          <w:rFonts w:hint="eastAsia"/>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7"/>
      </w:pPr>
      <w:r>
        <w:rPr>
          <w:rFonts w:hint="eastAsia"/>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FF0000"/>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0070C0"/>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7"/>
      </w:pPr>
      <w:r>
        <w:rPr>
          <w:rFonts w:hint="eastAsia"/>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7"/>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color w:val="auto"/>
          <w:sz w:val="24"/>
        </w:rPr>
      </w:pPr>
      <w:r>
        <w:rPr>
          <w:rFonts w:hint="eastAsia" w:ascii="宋体" w:hAnsi="宋体" w:cs="宋体"/>
          <w:sz w:val="24"/>
        </w:rPr>
        <w:t>4.其</w:t>
      </w:r>
      <w:r>
        <w:rPr>
          <w:rFonts w:hint="eastAsia" w:ascii="宋体" w:hAnsi="宋体" w:cs="宋体"/>
          <w:color w:val="auto"/>
          <w:sz w:val="24"/>
        </w:rPr>
        <w:t>他事项：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（1）需要落实的政府采购政策：包括节约资源、保护环境、支持创新、促进中小企业发展等</w:t>
      </w:r>
      <w:r>
        <w:rPr>
          <w:rFonts w:hint="eastAsia" w:ascii="宋体" w:hAnsi="宋体" w:cs="宋体"/>
          <w:color w:val="auto"/>
          <w:sz w:val="24"/>
          <w:lang w:eastAsia="zh-CN"/>
        </w:rPr>
        <w:t>，具体</w:t>
      </w:r>
      <w:r>
        <w:rPr>
          <w:rFonts w:hint="eastAsia" w:ascii="宋体" w:hAnsi="宋体" w:cs="宋体"/>
          <w:color w:val="auto"/>
          <w:sz w:val="24"/>
        </w:rPr>
        <w:t>详见招标文件。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ind w:left="0"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w:t>
      </w:r>
      <w:r>
        <w:rPr>
          <w:rFonts w:hint="eastAsia" w:ascii="宋体" w:hAnsi="宋体" w:cs="宋体"/>
          <w:color w:val="auto"/>
          <w:sz w:val="24"/>
          <w:highlight w:val="none"/>
        </w:rPr>
        <w:t>存在直接控股、管理关系的不同供应商，不得参加同一合同项下的政府采购活动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电子交易平台运营机构，以及与该机构有直接控股或者管理关系可能影响采购公正性的任何单位和个人，不得在该平台进行的政府采购项目电子交易中投标、响应和代理政府采购项目。</w:t>
      </w:r>
    </w:p>
    <w:p>
      <w:pPr>
        <w:ind w:left="0" w:leftChars="0" w:firstLine="480" w:firstLineChars="200"/>
        <w:rPr>
          <w:color w:val="auto"/>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为采购项目提供整体设计、规范编制或</w:t>
      </w:r>
      <w:r>
        <w:rPr>
          <w:rFonts w:hint="eastAsia" w:ascii="宋体" w:hAnsi="宋体" w:cs="宋体"/>
          <w:color w:val="auto"/>
          <w:sz w:val="24"/>
        </w:rPr>
        <w:t>者项目管理、监理、检测等服务后不得再参加该采购项目的其他采购活动。</w:t>
      </w:r>
    </w:p>
    <w:p>
      <w:pPr>
        <w:pStyle w:val="7"/>
      </w:pPr>
      <w:r>
        <w:rPr>
          <w:rFonts w:hint="eastAsia"/>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杭州市应急管理局</w:t>
      </w:r>
    </w:p>
    <w:p>
      <w:pPr>
        <w:spacing w:line="360" w:lineRule="auto"/>
        <w:rPr>
          <w:rFonts w:ascii="宋体" w:hAnsi="宋体" w:cs="宋体"/>
          <w:sz w:val="24"/>
        </w:rPr>
      </w:pPr>
      <w:r>
        <w:rPr>
          <w:rFonts w:hint="eastAsia" w:ascii="宋体" w:hAnsi="宋体" w:cs="宋体"/>
          <w:sz w:val="24"/>
        </w:rPr>
        <w:t xml:space="preserve">  地    址：</w:t>
      </w:r>
      <w:r>
        <w:rPr>
          <w:rFonts w:hint="eastAsia" w:cs="仿宋_GB2312" w:asciiTheme="minorEastAsia" w:hAnsiTheme="minorEastAsia" w:eastAsiaTheme="minorEastAsia"/>
          <w:sz w:val="24"/>
          <w:lang w:eastAsia="zh-CN"/>
        </w:rPr>
        <w:t>杭州市上城区解放东路18号市民中心A座26楼</w:t>
      </w:r>
      <w:r>
        <w:rPr>
          <w:rFonts w:hint="eastAsia" w:ascii="宋体" w:hAnsi="宋体" w:cs="宋体"/>
          <w:sz w:val="24"/>
        </w:rPr>
        <w:t xml:space="preserve">       </w:t>
      </w:r>
    </w:p>
    <w:p>
      <w:pPr>
        <w:spacing w:line="360" w:lineRule="auto"/>
        <w:ind w:firstLine="720" w:firstLineChars="300"/>
        <w:rPr>
          <w:rFonts w:ascii="宋体" w:hAnsi="宋体" w:cs="宋体"/>
          <w:sz w:val="24"/>
        </w:rPr>
      </w:pPr>
      <w:r>
        <w:rPr>
          <w:rFonts w:hint="eastAsia" w:ascii="宋体" w:hAnsi="宋体" w:cs="宋体"/>
          <w:sz w:val="24"/>
        </w:rPr>
        <w:t>传    真： /</w:t>
      </w:r>
    </w:p>
    <w:p>
      <w:pPr>
        <w:spacing w:line="360" w:lineRule="auto"/>
        <w:ind w:firstLine="720" w:firstLineChars="3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黄先生</w:t>
      </w:r>
      <w:r>
        <w:rPr>
          <w:rFonts w:hint="eastAsia" w:ascii="宋体" w:hAnsi="宋体" w:cs="宋体"/>
          <w:color w:val="auto"/>
          <w:sz w:val="24"/>
          <w:lang w:val="en-US" w:eastAsia="zh-CN"/>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项目联系方式（询问）：0571-85259645</w:t>
      </w:r>
      <w:r>
        <w:rPr>
          <w:rFonts w:hint="eastAsia" w:ascii="宋体" w:hAnsi="宋体" w:cs="宋体"/>
          <w:color w:val="auto"/>
          <w:sz w:val="24"/>
          <w:lang w:val="en-US" w:eastAsia="zh-CN"/>
        </w:rPr>
        <w:t xml:space="preserve"> </w:t>
      </w:r>
      <w:r>
        <w:rPr>
          <w:rFonts w:hint="eastAsia" w:ascii="宋体" w:hAnsi="宋体" w:cs="宋体"/>
          <w:sz w:val="24"/>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cs="仿宋_GB2312" w:asciiTheme="minorEastAsia" w:hAnsiTheme="minorEastAsia" w:eastAsiaTheme="minorEastAsia"/>
          <w:color w:val="auto"/>
          <w:highlight w:val="none"/>
          <w:lang w:val="en-US" w:eastAsia="zh-CN"/>
        </w:rPr>
        <w:t xml:space="preserve"> 楼先生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质疑联系方式：0571-85259603</w:t>
      </w:r>
    </w:p>
    <w:p>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传    真：0571-85024997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曹威、赵峰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项目联系方式（询问）：0571-87967630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质疑联系方式：0571-87967630 </w:t>
      </w:r>
    </w:p>
    <w:p>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color w:val="auto"/>
          <w:sz w:val="24"/>
        </w:rPr>
        <w:t>杭州市财政局政府采购监管处、浙江省政府采购行政裁决服务中心（杭州）</w:t>
      </w:r>
      <w:r>
        <w:rPr>
          <w:rFonts w:hint="eastAsia" w:ascii="宋体" w:hAnsi="宋体" w:cs="宋体"/>
          <w:sz w:val="24"/>
        </w:rPr>
        <w:t> </w:t>
      </w:r>
    </w:p>
    <w:p>
      <w:pPr>
        <w:spacing w:line="360" w:lineRule="auto"/>
        <w:rPr>
          <w:rFonts w:ascii="宋体" w:hAnsi="宋体" w:cs="宋体"/>
          <w:color w:val="0000FF"/>
          <w:sz w:val="24"/>
        </w:rPr>
      </w:pPr>
      <w:r>
        <w:rPr>
          <w:rFonts w:hint="eastAsia" w:ascii="宋体" w:hAnsi="宋体" w:cs="宋体"/>
          <w:sz w:val="24"/>
        </w:rPr>
        <w:t xml:space="preserve">  地    址：杭州市上城</w:t>
      </w:r>
      <w:r>
        <w:rPr>
          <w:rFonts w:hint="eastAsia" w:ascii="宋体" w:hAnsi="宋体" w:cs="宋体"/>
          <w:color w:val="auto"/>
          <w:sz w:val="24"/>
        </w:rPr>
        <w:t>区四季青街道新业路市民之家G03办公室（快递仅限ems或顺丰）</w:t>
      </w:r>
    </w:p>
    <w:p>
      <w:pPr>
        <w:spacing w:line="360" w:lineRule="auto"/>
        <w:ind w:firstLine="240" w:firstLineChars="1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传    真： /</w:t>
      </w:r>
    </w:p>
    <w:p>
      <w:pPr>
        <w:spacing w:line="360" w:lineRule="auto"/>
        <w:rPr>
          <w:rFonts w:hint="eastAsia" w:ascii="宋体" w:hAnsi="宋体" w:cs="宋体"/>
          <w:sz w:val="24"/>
        </w:rPr>
      </w:pPr>
      <w:r>
        <w:rPr>
          <w:rFonts w:hint="eastAsia" w:ascii="宋体" w:hAnsi="宋体" w:cs="宋体"/>
          <w:sz w:val="24"/>
        </w:rPr>
        <w:t xml:space="preserve">  联系人 ：朱女士、王女士     </w:t>
      </w:r>
    </w:p>
    <w:p>
      <w:pPr>
        <w:spacing w:line="360" w:lineRule="auto"/>
        <w:ind w:firstLine="720" w:firstLineChars="300"/>
        <w:rPr>
          <w:rFonts w:hint="eastAsia" w:ascii="宋体" w:hAnsi="宋体" w:cs="宋体"/>
          <w:sz w:val="24"/>
        </w:rPr>
      </w:pPr>
      <w:r>
        <w:rPr>
          <w:rFonts w:hint="eastAsia" w:ascii="宋体" w:hAnsi="宋体" w:cs="宋体"/>
          <w:sz w:val="24"/>
        </w:rPr>
        <w:t xml:space="preserve">监督投诉电话：0571-85252453 </w:t>
      </w:r>
    </w:p>
    <w:p>
      <w:pPr>
        <w:pStyle w:val="34"/>
        <w:spacing w:line="360" w:lineRule="auto"/>
        <w:rPr>
          <w:rFonts w:hint="eastAsia" w:hAnsi="宋体" w:cs="宋体"/>
          <w:sz w:val="24"/>
        </w:rPr>
      </w:pPr>
    </w:p>
    <w:p>
      <w:pPr>
        <w:pStyle w:val="34"/>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4"/>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pPr>
        <w:pStyle w:val="34"/>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                       </w:t>
      </w:r>
    </w:p>
    <w:p>
      <w:pPr>
        <w:pStyle w:val="5"/>
        <w:bidi w:val="0"/>
      </w:pPr>
      <w:bookmarkStart w:id="15" w:name="_Toc21996"/>
      <w:bookmarkStart w:id="16" w:name="_Toc1863"/>
      <w:bookmarkStart w:id="17" w:name="_Toc26813"/>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序号</w:t>
            </w:r>
          </w:p>
        </w:tc>
        <w:tc>
          <w:tcPr>
            <w:tcW w:w="2206" w:type="dxa"/>
            <w:vAlign w:val="center"/>
          </w:tcPr>
          <w:p>
            <w:pPr>
              <w:pStyle w:val="144"/>
              <w:widowControl w:val="0"/>
              <w:rPr>
                <w:b/>
                <w:bCs/>
              </w:rPr>
            </w:pPr>
            <w:r>
              <w:rPr>
                <w:rFonts w:hint="eastAsia"/>
                <w:b/>
                <w:bCs/>
              </w:rPr>
              <w:t>事项</w:t>
            </w:r>
          </w:p>
        </w:tc>
        <w:tc>
          <w:tcPr>
            <w:tcW w:w="5901" w:type="dxa"/>
            <w:vAlign w:val="center"/>
          </w:tcPr>
          <w:p>
            <w:pPr>
              <w:snapToGrid w:val="0"/>
              <w:spacing w:line="360" w:lineRule="auto"/>
              <w:ind w:firstLine="0" w:firstLineChars="0"/>
              <w:jc w:val="center"/>
              <w:rPr>
                <w:vertAlign w:val="baseline"/>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1</w:t>
            </w:r>
          </w:p>
        </w:tc>
        <w:tc>
          <w:tcPr>
            <w:tcW w:w="2206" w:type="dxa"/>
            <w:vAlign w:val="center"/>
          </w:tcPr>
          <w:p>
            <w:pPr>
              <w:pStyle w:val="144"/>
              <w:widowControl w:val="0"/>
              <w:rPr>
                <w:b/>
                <w:bCs/>
              </w:rPr>
            </w:pPr>
            <w:r>
              <w:rPr>
                <w:rFonts w:hint="eastAsia"/>
                <w:b/>
                <w:bCs/>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eastAsia"/>
                <w:b/>
                <w:bCs/>
                <w:color w:val="auto"/>
                <w:highlight w:val="none"/>
                <w:lang w:val="en-US" w:eastAsia="zh-CN"/>
              </w:rPr>
            </w:pPr>
            <w:r>
              <w:rPr>
                <w:rFonts w:hint="eastAsia"/>
                <w:b/>
                <w:bCs/>
                <w:color w:val="auto"/>
                <w:highlight w:val="none"/>
                <w:lang w:val="en-US" w:eastAsia="zh-CN"/>
              </w:rPr>
              <w:t>2</w:t>
            </w:r>
          </w:p>
        </w:tc>
        <w:tc>
          <w:tcPr>
            <w:tcW w:w="2206" w:type="dxa"/>
            <w:vAlign w:val="center"/>
          </w:tcPr>
          <w:p>
            <w:pPr>
              <w:pStyle w:val="144"/>
              <w:widowControl w:val="0"/>
              <w:rPr>
                <w:rFonts w:hint="eastAsia"/>
                <w:b/>
                <w:bCs/>
                <w:color w:val="auto"/>
                <w:highlight w:val="none"/>
              </w:rPr>
            </w:pPr>
            <w:r>
              <w:rPr>
                <w:rFonts w:hint="eastAsia"/>
                <w:b/>
                <w:bCs/>
                <w:color w:val="auto"/>
                <w:highlight w:val="none"/>
              </w:rPr>
              <w:t>核心产品</w:t>
            </w:r>
          </w:p>
        </w:tc>
        <w:tc>
          <w:tcPr>
            <w:tcW w:w="5901" w:type="dxa"/>
            <w:vAlign w:val="center"/>
          </w:tcPr>
          <w:p>
            <w:pPr>
              <w:snapToGrid w:val="0"/>
              <w:spacing w:line="360" w:lineRule="auto"/>
              <w:ind w:left="0" w:leftChars="0" w:firstLine="240" w:firstLineChars="100"/>
              <w:jc w:val="left"/>
              <w:rPr>
                <w:rFonts w:hint="eastAsia" w:ascii="宋体" w:hAnsi="宋体" w:cs="宋体"/>
                <w:b w:val="0"/>
                <w:bCs w:val="0"/>
                <w:color w:val="auto"/>
                <w:kern w:val="0"/>
                <w:sz w:val="24"/>
                <w:highlight w:val="none"/>
                <w:lang w:eastAsia="zh-CN"/>
              </w:rPr>
            </w:pPr>
            <w:r>
              <w:rPr>
                <w:rFonts w:hint="eastAsia"/>
                <w:b w:val="0"/>
                <w:bCs w:val="0"/>
                <w:color w:val="auto"/>
                <w:highlight w:val="none"/>
              </w:rPr>
              <w:t>核心产品</w:t>
            </w:r>
            <w:r>
              <w:rPr>
                <w:rFonts w:hint="eastAsia"/>
                <w:b w:val="0"/>
                <w:bCs w:val="0"/>
                <w:color w:val="auto"/>
                <w:highlight w:val="none"/>
                <w:lang w:eastAsia="zh-CN"/>
              </w:rPr>
              <w:t>：</w:t>
            </w:r>
            <w:r>
              <w:rPr>
                <w:rFonts w:hint="eastAsia"/>
                <w:b w:val="0"/>
                <w:bCs w:val="0"/>
                <w:color w:val="auto"/>
                <w:highlight w:val="none"/>
                <w:u w:val="single"/>
                <w:lang w:val="en-US" w:eastAsia="zh-CN"/>
              </w:rPr>
              <w:t xml:space="preserve">  救援舟艇组合（橡皮舟）  </w:t>
            </w:r>
            <w:r>
              <w:rPr>
                <w:rFonts w:hint="eastAsia" w:ascii="宋体" w:hAnsi="宋体" w:cs="宋体"/>
                <w:b w:val="0"/>
                <w:bCs w:val="0"/>
                <w:color w:val="auto"/>
                <w:kern w:val="0"/>
                <w:sz w:val="24"/>
                <w:highlight w:val="none"/>
                <w:lang w:eastAsia="zh-CN"/>
              </w:rPr>
              <w:t>；</w:t>
            </w:r>
          </w:p>
          <w:p>
            <w:pPr>
              <w:snapToGrid w:val="0"/>
              <w:spacing w:line="360" w:lineRule="auto"/>
              <w:ind w:left="0" w:leftChars="0" w:firstLine="240" w:firstLineChars="100"/>
              <w:jc w:val="left"/>
              <w:rPr>
                <w:rFonts w:hint="eastAsia" w:ascii="宋体" w:hAnsi="宋体" w:eastAsia="宋体" w:cs="宋体"/>
                <w:color w:val="auto"/>
                <w:kern w:val="0"/>
                <w:sz w:val="24"/>
                <w:highlight w:val="none"/>
                <w:lang w:eastAsia="zh-CN"/>
              </w:rPr>
            </w:pPr>
            <w:r>
              <w:rPr>
                <w:rFonts w:hint="eastAsia" w:ascii="宋体" w:hAnsi="宋体" w:cs="宋体"/>
                <w:b w:val="0"/>
                <w:bCs w:val="0"/>
                <w:color w:val="auto"/>
                <w:kern w:val="0"/>
                <w:sz w:val="24"/>
                <w:highlight w:val="none"/>
              </w:rPr>
              <w:t>多家投标人提供相同品牌产品</w:t>
            </w:r>
            <w:r>
              <w:rPr>
                <w:rFonts w:hint="eastAsia" w:ascii="宋体" w:hAnsi="宋体" w:cs="宋体"/>
                <w:b w:val="0"/>
                <w:bCs w:val="0"/>
                <w:color w:val="auto"/>
                <w:kern w:val="0"/>
                <w:sz w:val="24"/>
                <w:highlight w:val="none"/>
                <w:lang w:eastAsia="zh-CN"/>
              </w:rPr>
              <w:t>的认定详见第四部分评标办法。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highlight w:val="none"/>
              </w:rPr>
            </w:pPr>
            <w:r>
              <w:rPr>
                <w:rFonts w:hint="eastAsia"/>
                <w:b/>
                <w:bCs/>
                <w:highlight w:val="none"/>
                <w:lang w:val="en-US" w:eastAsia="zh-CN"/>
              </w:rPr>
              <w:t>3</w:t>
            </w:r>
          </w:p>
        </w:tc>
        <w:tc>
          <w:tcPr>
            <w:tcW w:w="2206" w:type="dxa"/>
            <w:vAlign w:val="center"/>
          </w:tcPr>
          <w:p>
            <w:pPr>
              <w:pStyle w:val="144"/>
              <w:widowControl w:val="0"/>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采购标的及其对应的中小企业划分标准所属行业</w:t>
            </w:r>
          </w:p>
        </w:tc>
        <w:tc>
          <w:tcPr>
            <w:tcW w:w="5901" w:type="dxa"/>
            <w:vAlign w:val="center"/>
          </w:tcPr>
          <w:p>
            <w:pPr>
              <w:pStyle w:val="144"/>
              <w:widowControl w:val="0"/>
              <w:ind w:firstLine="480" w:firstLineChars="200"/>
              <w:jc w:val="left"/>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color w:val="auto"/>
                <w:kern w:val="2"/>
                <w:sz w:val="24"/>
                <w:szCs w:val="24"/>
                <w:highlight w:val="none"/>
                <w:u w:val="none"/>
                <w:lang w:val="en-US" w:eastAsia="zh-CN"/>
              </w:rPr>
              <w:t>1、</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标的：救援舟艇组合（冲锋舟），</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pPr>
              <w:pStyle w:val="144"/>
              <w:widowControl w:val="0"/>
              <w:ind w:firstLine="480" w:firstLineChars="200"/>
              <w:jc w:val="left"/>
              <w:rPr>
                <w:rFonts w:hint="eastAsia" w:ascii="宋体" w:hAnsi="宋体" w:eastAsia="宋体" w:cs="宋体"/>
                <w:b w:val="0"/>
                <w:bCs w:val="0"/>
                <w:color w:val="auto"/>
                <w:kern w:val="2"/>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rPr>
              <w:t>2、</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标的：救援舟艇组合（橡皮舟），</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pPr>
              <w:pStyle w:val="144"/>
              <w:widowControl w:val="0"/>
              <w:ind w:firstLine="480" w:firstLineChars="200"/>
              <w:jc w:val="left"/>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color w:val="auto"/>
                <w:kern w:val="2"/>
                <w:sz w:val="24"/>
                <w:szCs w:val="24"/>
                <w:highlight w:val="none"/>
                <w:u w:val="none"/>
                <w:lang w:val="en-US" w:eastAsia="zh-CN"/>
              </w:rPr>
              <w:t>3、</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标的：救援浮桥，</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pPr>
              <w:pStyle w:val="144"/>
              <w:widowControl w:val="0"/>
              <w:ind w:firstLine="480" w:firstLineChars="200"/>
              <w:jc w:val="left"/>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color w:val="auto"/>
                <w:kern w:val="2"/>
                <w:sz w:val="24"/>
                <w:szCs w:val="24"/>
                <w:highlight w:val="none"/>
                <w:u w:val="none"/>
                <w:lang w:val="en-US" w:eastAsia="zh-CN"/>
              </w:rPr>
              <w:t>4、</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标的：弦外机，</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pPr>
              <w:pStyle w:val="144"/>
              <w:widowControl w:val="0"/>
              <w:ind w:firstLine="480" w:firstLineChars="200"/>
              <w:jc w:val="left"/>
              <w:rPr>
                <w:rFonts w:hint="eastAsia" w:ascii="Times New Roman" w:hAnsi="Times New Roman" w:eastAsia="宋体"/>
                <w:b/>
                <w:bCs/>
                <w:color w:val="auto"/>
                <w:highlight w:val="none"/>
                <w:vertAlign w:val="baseline"/>
              </w:rPr>
            </w:pPr>
            <w:r>
              <w:rPr>
                <w:rFonts w:hint="eastAsia" w:ascii="宋体" w:hAnsi="宋体" w:cs="宋体"/>
                <w:b w:val="0"/>
                <w:bCs w:val="0"/>
                <w:color w:val="auto"/>
                <w:kern w:val="2"/>
                <w:sz w:val="24"/>
                <w:szCs w:val="24"/>
                <w:highlight w:val="none"/>
                <w:u w:val="none"/>
                <w:lang w:val="en-US" w:eastAsia="zh-CN"/>
              </w:rPr>
              <w:t>注：工业行业中小微企业划分：</w:t>
            </w:r>
            <w:r>
              <w:rPr>
                <w:rFonts w:hint="eastAsia" w:ascii="宋体" w:hAnsi="宋体" w:eastAsia="宋体" w:cs="宋体"/>
                <w:b w:val="0"/>
                <w:bCs w:val="0"/>
                <w:color w:val="auto"/>
                <w:kern w:val="2"/>
                <w:sz w:val="24"/>
                <w:szCs w:val="24"/>
                <w:highlight w:val="none"/>
                <w:u w:val="none"/>
              </w:rPr>
              <w:t>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eastAsia"/>
                <w:b/>
                <w:bCs/>
                <w:lang w:eastAsia="zh-CN"/>
              </w:rPr>
            </w:pPr>
            <w:r>
              <w:rPr>
                <w:rFonts w:hint="eastAsia"/>
                <w:b/>
                <w:bCs/>
                <w:lang w:val="en-US" w:eastAsia="zh-CN"/>
              </w:rPr>
              <w:t>4</w:t>
            </w:r>
          </w:p>
        </w:tc>
        <w:tc>
          <w:tcPr>
            <w:tcW w:w="2206" w:type="dxa"/>
            <w:vAlign w:val="center"/>
          </w:tcPr>
          <w:p>
            <w:pPr>
              <w:pStyle w:val="144"/>
              <w:widowControl w:val="0"/>
              <w:rPr>
                <w:b/>
                <w:bCs/>
              </w:rPr>
            </w:pPr>
            <w:r>
              <w:rPr>
                <w:rFonts w:hint="eastAsia"/>
                <w:b/>
                <w:bCs/>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eastAsia"/>
                <w:b/>
                <w:bCs/>
                <w:lang w:eastAsia="zh-CN"/>
              </w:rPr>
            </w:pPr>
            <w:r>
              <w:rPr>
                <w:rFonts w:hint="eastAsia"/>
                <w:b/>
                <w:bCs/>
                <w:lang w:val="en-US" w:eastAsia="zh-CN"/>
              </w:rPr>
              <w:t>5</w:t>
            </w:r>
          </w:p>
        </w:tc>
        <w:tc>
          <w:tcPr>
            <w:tcW w:w="2206" w:type="dxa"/>
            <w:vAlign w:val="center"/>
          </w:tcPr>
          <w:p>
            <w:pPr>
              <w:pStyle w:val="144"/>
              <w:widowControl w:val="0"/>
              <w:rPr>
                <w:b/>
                <w:bCs/>
              </w:rPr>
            </w:pPr>
            <w:r>
              <w:rPr>
                <w:rFonts w:hint="eastAsia"/>
                <w:b/>
                <w:bCs/>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728692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货物运输</w:t>
            </w:r>
            <w:r>
              <w:rPr>
                <w:rFonts w:hint="eastAsia" w:ascii="宋体" w:hAnsi="宋体" w:cs="宋体"/>
                <w:color w:val="auto"/>
                <w:sz w:val="24"/>
              </w:rPr>
              <w:t>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7286927"/>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eastAsia"/>
                <w:b/>
                <w:bCs/>
                <w:lang w:val="en-US" w:eastAsia="zh-CN"/>
              </w:rPr>
            </w:pPr>
            <w:r>
              <w:rPr>
                <w:rFonts w:hint="eastAsia"/>
                <w:b/>
                <w:bCs/>
                <w:lang w:val="en-US" w:eastAsia="zh-CN"/>
              </w:rPr>
              <w:t>6</w:t>
            </w:r>
          </w:p>
        </w:tc>
        <w:tc>
          <w:tcPr>
            <w:tcW w:w="2206" w:type="dxa"/>
            <w:vAlign w:val="center"/>
          </w:tcPr>
          <w:p>
            <w:pPr>
              <w:pStyle w:val="144"/>
              <w:widowControl w:val="0"/>
              <w:rPr>
                <w:rFonts w:hint="eastAsia"/>
                <w:b/>
                <w:bCs/>
              </w:rPr>
            </w:pPr>
            <w:r>
              <w:rPr>
                <w:rFonts w:hint="eastAsia"/>
                <w:b/>
                <w:bCs/>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eastAsia"/>
                <w:b/>
                <w:bCs/>
                <w:lang w:eastAsia="zh-CN"/>
              </w:rPr>
            </w:pPr>
            <w:r>
              <w:rPr>
                <w:rFonts w:hint="eastAsia"/>
                <w:b/>
                <w:bCs/>
                <w:lang w:val="en-US" w:eastAsia="zh-CN"/>
              </w:rPr>
              <w:t>7</w:t>
            </w:r>
          </w:p>
        </w:tc>
        <w:tc>
          <w:tcPr>
            <w:tcW w:w="2206" w:type="dxa"/>
            <w:vAlign w:val="center"/>
          </w:tcPr>
          <w:p>
            <w:pPr>
              <w:pStyle w:val="144"/>
              <w:widowControl w:val="0"/>
              <w:rPr>
                <w:b/>
                <w:bCs/>
              </w:rPr>
            </w:pPr>
            <w:r>
              <w:rPr>
                <w:rFonts w:hint="eastAsia"/>
                <w:b/>
                <w:bCs/>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snapToGrid w:val="0"/>
                <w:color w:val="auto"/>
                <w:kern w:val="28"/>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lang w:val="en-US" w:eastAsia="zh-CN"/>
              </w:rPr>
              <w:t>提交样品前请提前联系代理机构</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val="en-US" w:eastAsia="zh-CN"/>
              </w:rPr>
              <w:t>胡校芳</w:t>
            </w:r>
            <w:r>
              <w:rPr>
                <w:rFonts w:hint="eastAsia" w:ascii="宋体" w:hAnsi="宋体" w:cs="Helvetica"/>
                <w:b w:val="0"/>
                <w:bCs w:val="0"/>
                <w:kern w:val="0"/>
              </w:rPr>
              <w:t>，联系电话：</w:t>
            </w:r>
            <w:r>
              <w:rPr>
                <w:rFonts w:hint="eastAsia" w:ascii="宋体" w:hAnsi="宋体" w:cs="Helvetica"/>
                <w:b w:val="0"/>
                <w:bCs w:val="0"/>
                <w:kern w:val="0"/>
                <w:lang w:val="en-US" w:eastAsia="zh-CN"/>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(6)采购活动结束后，对于未中标人提供的样品，请未中标人在成交结果公示结束后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eastAsia"/>
                <w:b/>
                <w:bCs/>
                <w:lang w:eastAsia="zh-CN"/>
              </w:rPr>
            </w:pPr>
            <w:r>
              <w:rPr>
                <w:rFonts w:hint="eastAsia"/>
                <w:b/>
                <w:bCs/>
                <w:lang w:val="en-US" w:eastAsia="zh-CN"/>
              </w:rPr>
              <w:t>8</w:t>
            </w:r>
          </w:p>
        </w:tc>
        <w:tc>
          <w:tcPr>
            <w:tcW w:w="2206" w:type="dxa"/>
            <w:vAlign w:val="center"/>
          </w:tcPr>
          <w:p>
            <w:pPr>
              <w:pStyle w:val="144"/>
              <w:widowControl w:val="0"/>
              <w:rPr>
                <w:b/>
                <w:bCs/>
                <w:highlight w:val="none"/>
              </w:rPr>
            </w:pPr>
            <w:r>
              <w:rPr>
                <w:rFonts w:hint="eastAsia"/>
                <w:b/>
                <w:bCs/>
                <w:highlight w:val="none"/>
              </w:rPr>
              <w:t>方案讲解演示</w:t>
            </w:r>
          </w:p>
        </w:tc>
        <w:tc>
          <w:tcPr>
            <w:tcW w:w="5901" w:type="dxa"/>
            <w:vAlign w:val="center"/>
          </w:tcPr>
          <w:p>
            <w:pPr>
              <w:spacing w:line="360" w:lineRule="auto"/>
              <w:jc w:val="left"/>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napToGrid w:val="0"/>
              <w:spacing w:line="360" w:lineRule="auto"/>
              <w:ind w:firstLine="480" w:firstLineChars="200"/>
              <w:jc w:val="left"/>
              <w:rPr>
                <w:highlight w:val="none"/>
                <w:vertAlign w:val="baseli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4"/>
              <w:widowControl w:val="0"/>
              <w:rPr>
                <w:rFonts w:hint="eastAsia"/>
                <w:b/>
                <w:bCs/>
                <w:lang w:eastAsia="zh-CN"/>
              </w:rPr>
            </w:pPr>
            <w:r>
              <w:rPr>
                <w:rFonts w:hint="eastAsia"/>
                <w:b/>
                <w:bCs/>
                <w:lang w:val="en-US" w:eastAsia="zh-CN"/>
              </w:rPr>
              <w:t>9</w:t>
            </w:r>
          </w:p>
        </w:tc>
        <w:tc>
          <w:tcPr>
            <w:tcW w:w="2206" w:type="dxa"/>
            <w:vMerge w:val="restart"/>
            <w:vAlign w:val="center"/>
          </w:tcPr>
          <w:p>
            <w:pPr>
              <w:pStyle w:val="144"/>
              <w:widowControl w:val="0"/>
              <w:rPr>
                <w:b/>
                <w:bCs/>
                <w:highlight w:val="none"/>
              </w:rPr>
            </w:pPr>
            <w:r>
              <w:rPr>
                <w:rFonts w:hint="eastAsia"/>
                <w:b/>
                <w:bCs/>
                <w:highlight w:val="none"/>
              </w:rPr>
              <w:t>投标人应当提供的资格证明文件</w:t>
            </w:r>
            <w:r>
              <w:rPr>
                <w:rFonts w:hint="eastAsia"/>
                <w:b/>
                <w:bCs/>
                <w:highlight w:val="none"/>
                <w:lang w:eastAsia="zh-CN"/>
              </w:rPr>
              <w:t>、</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tc>
        <w:tc>
          <w:tcPr>
            <w:tcW w:w="5901" w:type="dxa"/>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w:t>
            </w:r>
            <w:r>
              <w:rPr>
                <w:rFonts w:hint="eastAsia" w:ascii="宋体" w:hAnsi="宋体" w:cs="宋体"/>
                <w:sz w:val="24"/>
                <w:highlight w:val="none"/>
                <w:lang w:val="en-US" w:eastAsia="zh-CN"/>
              </w:rPr>
              <w:t>11.1</w:t>
            </w:r>
            <w:r>
              <w:rPr>
                <w:rFonts w:hint="eastAsia" w:ascii="宋体" w:hAnsi="宋体" w:cs="宋体"/>
                <w:sz w:val="24"/>
                <w:highlight w:val="none"/>
              </w:rPr>
              <w:t>。</w:t>
            </w:r>
          </w:p>
          <w:p>
            <w:pPr>
              <w:spacing w:line="360" w:lineRule="auto"/>
              <w:rPr>
                <w:highlight w:val="none"/>
                <w:vertAlign w:val="baseline"/>
              </w:rPr>
            </w:pP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4"/>
              <w:widowControl w:val="0"/>
              <w:rPr>
                <w:b/>
                <w:bCs/>
              </w:rPr>
            </w:pPr>
          </w:p>
        </w:tc>
        <w:tc>
          <w:tcPr>
            <w:tcW w:w="2206" w:type="dxa"/>
            <w:vMerge w:val="continue"/>
            <w:vAlign w:val="center"/>
          </w:tcPr>
          <w:p>
            <w:pPr>
              <w:pStyle w:val="144"/>
              <w:widowControl w:val="0"/>
              <w:rPr>
                <w:b/>
                <w:bCs/>
                <w:highlight w:val="none"/>
              </w:rPr>
            </w:pPr>
          </w:p>
        </w:tc>
        <w:tc>
          <w:tcPr>
            <w:tcW w:w="5901" w:type="dxa"/>
            <w:vAlign w:val="center"/>
          </w:tcPr>
          <w:p>
            <w:pPr>
              <w:spacing w:line="360" w:lineRule="auto"/>
              <w:rPr>
                <w:highlight w:val="none"/>
                <w:vertAlign w:val="baseline"/>
              </w:rPr>
            </w:pPr>
            <w:r>
              <w:rPr>
                <w:rFonts w:hint="eastAsia" w:ascii="宋体" w:hAnsi="宋体" w:cs="宋体"/>
                <w:sz w:val="24"/>
                <w:highlight w:val="none"/>
              </w:rPr>
              <w:t>（2）</w:t>
            </w:r>
            <w:r>
              <w:rPr>
                <w:rFonts w:hint="eastAsia" w:ascii="宋体" w:hAnsi="宋体" w:cs="宋体"/>
                <w:b/>
                <w:bCs/>
                <w:color w:val="auto"/>
                <w:sz w:val="24"/>
                <w:highlight w:val="none"/>
              </w:rPr>
              <w:t>商务技术</w:t>
            </w:r>
            <w:r>
              <w:rPr>
                <w:rFonts w:hint="eastAsia" w:ascii="宋体" w:hAnsi="宋体" w:cs="宋体"/>
                <w:sz w:val="24"/>
                <w:highlight w:val="none"/>
              </w:rPr>
              <w:t>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default"/>
                <w:b/>
                <w:bCs/>
                <w:lang w:val="en-US" w:eastAsia="zh-CN"/>
              </w:rPr>
            </w:pPr>
            <w:r>
              <w:rPr>
                <w:rFonts w:hint="eastAsia"/>
                <w:b/>
                <w:bCs/>
                <w:lang w:val="en-US" w:eastAsia="zh-CN"/>
              </w:rPr>
              <w:t>10</w:t>
            </w:r>
          </w:p>
        </w:tc>
        <w:tc>
          <w:tcPr>
            <w:tcW w:w="2206" w:type="dxa"/>
            <w:vAlign w:val="center"/>
          </w:tcPr>
          <w:p>
            <w:pPr>
              <w:pStyle w:val="144"/>
              <w:widowControl w:val="0"/>
              <w:rPr>
                <w:b/>
                <w:bCs/>
              </w:rPr>
            </w:pPr>
            <w:r>
              <w:rPr>
                <w:rFonts w:hint="eastAsia"/>
                <w:b/>
                <w:bCs/>
              </w:rPr>
              <w:t>节能产品、环境标志产品</w:t>
            </w:r>
          </w:p>
        </w:tc>
        <w:tc>
          <w:tcPr>
            <w:tcW w:w="5901" w:type="dxa"/>
            <w:vAlign w:val="center"/>
          </w:tcPr>
          <w:p>
            <w:pPr>
              <w:snapToGrid w:val="0"/>
              <w:spacing w:line="360" w:lineRule="auto"/>
              <w:jc w:val="left"/>
              <w:rPr>
                <w:vertAlign w:val="baseline"/>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default"/>
                <w:b/>
                <w:bCs/>
                <w:lang w:val="en-US" w:eastAsia="zh-CN"/>
              </w:rPr>
            </w:pPr>
            <w:r>
              <w:rPr>
                <w:rFonts w:hint="eastAsia"/>
                <w:b/>
                <w:bCs/>
                <w:lang w:val="en-US" w:eastAsia="zh-CN"/>
              </w:rPr>
              <w:t>11</w:t>
            </w:r>
          </w:p>
        </w:tc>
        <w:tc>
          <w:tcPr>
            <w:tcW w:w="2206" w:type="dxa"/>
            <w:vAlign w:val="center"/>
          </w:tcPr>
          <w:p>
            <w:pPr>
              <w:pStyle w:val="144"/>
              <w:widowControl w:val="0"/>
              <w:rPr>
                <w:b/>
                <w:bCs/>
              </w:rPr>
            </w:pPr>
            <w:r>
              <w:rPr>
                <w:rFonts w:hint="eastAsia"/>
                <w:b/>
                <w:bCs/>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jc w:val="left"/>
              <w:rPr>
                <w:b/>
                <w:bCs/>
                <w:lang w:val="zh-CN"/>
              </w:rPr>
            </w:pPr>
            <w:r>
              <w:rPr>
                <w:rFonts w:hint="eastAsia"/>
                <w:b/>
                <w:bCs/>
                <w:lang w:val="en-US" w:eastAsia="zh-CN"/>
              </w:rPr>
              <w:t>▲</w:t>
            </w: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80"/>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4"/>
              <w:widowControl w:val="0"/>
              <w:rPr>
                <w:rFonts w:hint="default"/>
                <w:b/>
                <w:bCs/>
                <w:lang w:val="en-US" w:eastAsia="zh-CN"/>
              </w:rPr>
            </w:pPr>
            <w:r>
              <w:rPr>
                <w:rFonts w:hint="eastAsia"/>
                <w:b/>
                <w:bCs/>
                <w:lang w:val="en-US" w:eastAsia="zh-CN"/>
              </w:rPr>
              <w:t>12</w:t>
            </w:r>
          </w:p>
        </w:tc>
        <w:tc>
          <w:tcPr>
            <w:tcW w:w="2206" w:type="dxa"/>
            <w:vAlign w:val="center"/>
          </w:tcPr>
          <w:p>
            <w:pPr>
              <w:pStyle w:val="144"/>
              <w:widowControl w:val="0"/>
              <w:rPr>
                <w:b/>
                <w:bCs/>
              </w:rPr>
            </w:pPr>
            <w:r>
              <w:rPr>
                <w:rFonts w:hint="eastAsia"/>
                <w:b/>
                <w:bCs/>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default"/>
                <w:b/>
                <w:bCs/>
                <w:lang w:val="en-US" w:eastAsia="zh-CN"/>
              </w:rPr>
            </w:pPr>
            <w:r>
              <w:rPr>
                <w:rFonts w:hint="eastAsia"/>
                <w:b/>
                <w:bCs/>
                <w:lang w:val="en-US" w:eastAsia="zh-CN"/>
              </w:rPr>
              <w:t>13</w:t>
            </w:r>
          </w:p>
        </w:tc>
        <w:tc>
          <w:tcPr>
            <w:tcW w:w="2206" w:type="dxa"/>
            <w:vAlign w:val="center"/>
          </w:tcPr>
          <w:p>
            <w:pPr>
              <w:pStyle w:val="144"/>
              <w:widowControl w:val="0"/>
              <w:rPr>
                <w:b/>
                <w:bCs/>
              </w:rPr>
            </w:pPr>
            <w:r>
              <w:rPr>
                <w:rFonts w:hint="eastAsia"/>
                <w:b/>
                <w:bCs/>
              </w:rPr>
              <w:t>备份投标文件送达地点和签收人员</w:t>
            </w:r>
          </w:p>
        </w:tc>
        <w:tc>
          <w:tcPr>
            <w:tcW w:w="5901" w:type="dxa"/>
            <w:vAlign w:val="center"/>
          </w:tcPr>
          <w:p>
            <w:pPr>
              <w:pStyle w:val="34"/>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7"/>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吕俊峰</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4"/>
              <w:widowControl w:val="0"/>
              <w:rPr>
                <w:rFonts w:hint="default"/>
                <w:b/>
                <w:bCs/>
                <w:lang w:val="en-US" w:eastAsia="zh-CN"/>
              </w:rPr>
            </w:pPr>
            <w:r>
              <w:rPr>
                <w:rFonts w:hint="eastAsia"/>
                <w:b/>
                <w:bCs/>
                <w:lang w:val="en-US" w:eastAsia="zh-CN"/>
              </w:rPr>
              <w:t>14</w:t>
            </w:r>
          </w:p>
        </w:tc>
        <w:tc>
          <w:tcPr>
            <w:tcW w:w="2206" w:type="dxa"/>
            <w:vMerge w:val="restart"/>
            <w:vAlign w:val="center"/>
          </w:tcPr>
          <w:p>
            <w:pPr>
              <w:pStyle w:val="144"/>
              <w:widowControl w:val="0"/>
              <w:rPr>
                <w:b/>
                <w:bCs/>
              </w:rPr>
            </w:pPr>
            <w:r>
              <w:rPr>
                <w:rFonts w:hint="eastAsia"/>
                <w:b/>
                <w:bCs/>
              </w:rPr>
              <w:t>特别说明</w:t>
            </w:r>
          </w:p>
        </w:tc>
        <w:tc>
          <w:tcPr>
            <w:tcW w:w="5901" w:type="dxa"/>
            <w:vAlign w:val="center"/>
          </w:tcPr>
          <w:p>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4"/>
              <w:widowControl w:val="0"/>
              <w:rPr>
                <w:rFonts w:hint="eastAsia"/>
                <w:b/>
                <w:bCs/>
                <w:lang w:val="en-US" w:eastAsia="zh-CN"/>
              </w:rPr>
            </w:pPr>
          </w:p>
        </w:tc>
        <w:tc>
          <w:tcPr>
            <w:tcW w:w="2206" w:type="dxa"/>
            <w:vMerge w:val="continue"/>
            <w:vAlign w:val="center"/>
          </w:tcPr>
          <w:p>
            <w:pPr>
              <w:pStyle w:val="144"/>
              <w:widowControl w:val="0"/>
              <w:rPr>
                <w:rFonts w:hint="eastAsia"/>
                <w:b/>
                <w:bCs/>
              </w:rPr>
            </w:pPr>
          </w:p>
        </w:tc>
        <w:tc>
          <w:tcPr>
            <w:tcW w:w="5901" w:type="dxa"/>
            <w:vAlign w:val="center"/>
          </w:tcPr>
          <w:p>
            <w:pPr>
              <w:bidi w:val="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pPr>
              <w:pStyle w:val="144"/>
              <w:widowControl w:val="0"/>
              <w:rPr>
                <w:b/>
                <w:bCs/>
              </w:rPr>
            </w:pPr>
          </w:p>
        </w:tc>
        <w:tc>
          <w:tcPr>
            <w:tcW w:w="2206" w:type="dxa"/>
            <w:vMerge w:val="continue"/>
            <w:vAlign w:val="center"/>
          </w:tcPr>
          <w:p>
            <w:pPr>
              <w:pStyle w:val="144"/>
              <w:widowControl w:val="0"/>
              <w:rPr>
                <w:b/>
                <w:bCs/>
              </w:rPr>
            </w:pPr>
          </w:p>
        </w:tc>
        <w:tc>
          <w:tcPr>
            <w:tcW w:w="5901" w:type="dxa"/>
            <w:vAlign w:val="center"/>
          </w:tcPr>
          <w:p>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pPr>
              <w:pStyle w:val="144"/>
              <w:widowControl w:val="0"/>
              <w:rPr>
                <w:b/>
                <w:bCs/>
              </w:rPr>
            </w:pPr>
            <w:bookmarkStart w:id="20" w:name="第三部分"/>
            <w:bookmarkStart w:id="21" w:name="_Toc164416483"/>
          </w:p>
        </w:tc>
        <w:tc>
          <w:tcPr>
            <w:tcW w:w="2206" w:type="dxa"/>
            <w:vMerge w:val="continue"/>
            <w:vAlign w:val="center"/>
          </w:tcPr>
          <w:p>
            <w:pPr>
              <w:pStyle w:val="144"/>
              <w:widowControl w:val="0"/>
              <w:rPr>
                <w:b/>
                <w:bCs/>
              </w:rPr>
            </w:pPr>
          </w:p>
        </w:tc>
        <w:tc>
          <w:tcPr>
            <w:tcW w:w="5901" w:type="dxa"/>
            <w:vAlign w:val="center"/>
          </w:tcPr>
          <w:p>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default"/>
                <w:b/>
                <w:bCs/>
                <w:lang w:val="en-US" w:eastAsia="zh-CN"/>
              </w:rPr>
            </w:pPr>
            <w:r>
              <w:rPr>
                <w:rFonts w:hint="eastAsia"/>
                <w:b/>
                <w:bCs/>
                <w:lang w:val="en-US" w:eastAsia="zh-CN"/>
              </w:rPr>
              <w:t>15</w:t>
            </w:r>
          </w:p>
        </w:tc>
        <w:tc>
          <w:tcPr>
            <w:tcW w:w="2206" w:type="dxa"/>
            <w:vAlign w:val="center"/>
          </w:tcPr>
          <w:p>
            <w:pPr>
              <w:pStyle w:val="144"/>
              <w:widowControl w:val="0"/>
              <w:rPr>
                <w:b/>
                <w:bCs/>
              </w:rPr>
            </w:pPr>
            <w:r>
              <w:rPr>
                <w:rFonts w:hint="eastAsia"/>
                <w:b/>
                <w:bCs/>
              </w:rPr>
              <w:t>采购代理服务费</w:t>
            </w:r>
          </w:p>
        </w:tc>
        <w:tc>
          <w:tcPr>
            <w:tcW w:w="5901" w:type="dxa"/>
            <w:vAlign w:val="center"/>
          </w:tcPr>
          <w:p>
            <w:pPr>
              <w:spacing w:line="360" w:lineRule="auto"/>
              <w:rPr>
                <w:rFonts w:ascii="宋体" w:hAnsi="宋体" w:cs="宋体"/>
                <w:kern w:val="0"/>
                <w:sz w:val="24"/>
                <w:szCs w:val="24"/>
              </w:rPr>
            </w:pPr>
            <w:r>
              <w:rPr>
                <w:rFonts w:hint="eastAsia" w:ascii="宋体" w:hAnsi="宋体" w:cs="宋体"/>
                <w:kern w:val="0"/>
                <w:sz w:val="24"/>
                <w:szCs w:val="24"/>
              </w:rPr>
              <w:t>本项目的采购代理服务费为：</w:t>
            </w:r>
          </w:p>
          <w:p>
            <w:pPr>
              <w:spacing w:line="360" w:lineRule="auto"/>
              <w:ind w:firstLine="420"/>
              <w:rPr>
                <w:rFonts w:ascii="宋体" w:hAnsi="宋体" w:cs="宋体"/>
                <w:kern w:val="0"/>
                <w:sz w:val="24"/>
                <w:szCs w:val="24"/>
              </w:rPr>
            </w:pPr>
            <w:r>
              <w:rPr>
                <w:rFonts w:hint="eastAsia" w:ascii="宋体" w:hAnsi="宋体" w:cs="宋体"/>
                <w:kern w:val="0"/>
                <w:sz w:val="24"/>
                <w:szCs w:val="24"/>
              </w:rPr>
              <w:t>（1）采购代理服务收费采用差额定率累进计费方式，以</w:t>
            </w:r>
            <w:r>
              <w:rPr>
                <w:rFonts w:hint="eastAsia" w:ascii="宋体" w:hAnsi="宋体" w:cs="宋体"/>
                <w:kern w:val="0"/>
                <w:sz w:val="24"/>
                <w:szCs w:val="24"/>
                <w:lang w:val="en-US" w:eastAsia="zh-CN"/>
              </w:rPr>
              <w:t>中标总额</w:t>
            </w:r>
            <w:r>
              <w:rPr>
                <w:rFonts w:hint="eastAsia" w:ascii="宋体" w:hAnsi="宋体" w:cs="宋体"/>
                <w:kern w:val="0"/>
                <w:sz w:val="24"/>
                <w:szCs w:val="24"/>
              </w:rPr>
              <w:t>为计算基数。</w:t>
            </w:r>
          </w:p>
          <w:p>
            <w:pPr>
              <w:spacing w:line="360" w:lineRule="auto"/>
              <w:ind w:firstLine="420"/>
              <w:rPr>
                <w:rFonts w:ascii="宋体" w:hAnsi="宋体" w:cs="宋体"/>
                <w:kern w:val="0"/>
                <w:sz w:val="24"/>
                <w:szCs w:val="24"/>
              </w:rPr>
            </w:pPr>
            <w:r>
              <w:rPr>
                <w:rFonts w:hint="eastAsia" w:ascii="宋体" w:hAnsi="宋体" w:cs="宋体"/>
                <w:kern w:val="0"/>
                <w:sz w:val="24"/>
                <w:szCs w:val="24"/>
              </w:rPr>
              <w:t>（2）各区段具体收费标准如下：</w:t>
            </w:r>
          </w:p>
          <w:p>
            <w:pPr>
              <w:spacing w:line="360" w:lineRule="auto"/>
              <w:ind w:firstLine="420"/>
              <w:rPr>
                <w:rFonts w:ascii="宋体" w:hAnsi="宋体" w:cs="宋体"/>
                <w:kern w:val="0"/>
                <w:sz w:val="24"/>
                <w:szCs w:val="24"/>
              </w:rPr>
            </w:pPr>
            <w:r>
              <w:rPr>
                <w:rFonts w:hint="eastAsia" w:ascii="宋体" w:hAnsi="宋体" w:cs="宋体"/>
                <w:kern w:val="0"/>
                <w:sz w:val="24"/>
                <w:szCs w:val="24"/>
              </w:rPr>
              <w:t>成交金额              费率</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 xml:space="preserve">100万元以下          </w:t>
            </w:r>
            <w:r>
              <w:rPr>
                <w:rFonts w:hint="eastAsia" w:ascii="宋体" w:hAnsi="宋体" w:cs="宋体"/>
                <w:color w:val="auto"/>
                <w:kern w:val="0"/>
                <w:sz w:val="24"/>
                <w:szCs w:val="24"/>
                <w:lang w:val="en-US" w:eastAsia="zh-CN"/>
              </w:rPr>
              <w:t>0.525</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0.385</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00-</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0.28</w:t>
            </w:r>
            <w:r>
              <w:rPr>
                <w:rFonts w:hint="eastAsia" w:ascii="宋体" w:hAnsi="宋体" w:cs="宋体"/>
                <w:color w:val="auto"/>
                <w:kern w:val="0"/>
                <w:sz w:val="24"/>
                <w:szCs w:val="24"/>
              </w:rPr>
              <w:t>%</w:t>
            </w:r>
          </w:p>
          <w:p>
            <w:pPr>
              <w:spacing w:line="360" w:lineRule="auto"/>
              <w:ind w:firstLine="420"/>
              <w:rPr>
                <w:rFonts w:hint="default"/>
                <w:lang w:val="en-US" w:eastAsia="zh-CN"/>
              </w:rPr>
            </w:pPr>
            <w:r>
              <w:rPr>
                <w:rFonts w:hint="eastAsia" w:ascii="宋体" w:hAnsi="宋体" w:cs="宋体"/>
                <w:color w:val="auto"/>
                <w:kern w:val="0"/>
                <w:sz w:val="24"/>
                <w:szCs w:val="24"/>
                <w:lang w:val="en-US" w:eastAsia="zh-CN"/>
              </w:rPr>
              <w:t>1000</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0.175</w:t>
            </w:r>
            <w:r>
              <w:rPr>
                <w:rFonts w:hint="eastAsia" w:ascii="宋体" w:hAnsi="宋体" w:cs="宋体"/>
                <w:color w:val="auto"/>
                <w:kern w:val="0"/>
                <w:sz w:val="24"/>
                <w:szCs w:val="24"/>
              </w:rPr>
              <w:t>%</w:t>
            </w:r>
          </w:p>
          <w:p>
            <w:pPr>
              <w:spacing w:line="360" w:lineRule="auto"/>
              <w:ind w:firstLine="420"/>
              <w:rPr>
                <w:rFonts w:hint="eastAsia" w:ascii="宋体" w:hAnsi="宋体" w:eastAsia="宋体" w:cs="宋体"/>
                <w:b/>
                <w:bCs/>
                <w:color w:val="auto"/>
                <w:kern w:val="0"/>
                <w:sz w:val="24"/>
                <w:szCs w:val="24"/>
                <w:highlight w:val="none"/>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w:t>
            </w:r>
            <w:r>
              <w:rPr>
                <w:rFonts w:ascii="Times New Roman" w:hAnsi="宋体"/>
                <w:color w:val="auto"/>
                <w:sz w:val="24"/>
                <w:highlight w:val="none"/>
              </w:rPr>
              <w:t>发布之日起</w:t>
            </w:r>
            <w:r>
              <w:rPr>
                <w:rFonts w:ascii="Times New Roman" w:hAnsi="Times New Roman"/>
                <w:color w:val="auto"/>
                <w:sz w:val="24"/>
                <w:highlight w:val="none"/>
              </w:rPr>
              <w:t>5</w:t>
            </w:r>
            <w:r>
              <w:rPr>
                <w:rFonts w:ascii="Times New Roman" w:hAnsi="宋体"/>
                <w:color w:val="auto"/>
                <w:sz w:val="24"/>
                <w:highlight w:val="none"/>
              </w:rPr>
              <w:t>个工作日</w:t>
            </w:r>
            <w:r>
              <w:rPr>
                <w:rFonts w:hint="eastAsia" w:ascii="宋体" w:hAnsi="宋体" w:cs="宋体"/>
                <w:color w:val="auto"/>
                <w:kern w:val="0"/>
                <w:sz w:val="24"/>
                <w:szCs w:val="24"/>
                <w:highlight w:val="none"/>
              </w:rPr>
              <w:t>内，向采购代理机构</w:t>
            </w:r>
            <w:r>
              <w:rPr>
                <w:rFonts w:hint="eastAsia" w:ascii="宋体" w:hAnsi="宋体" w:cs="宋体"/>
                <w:color w:val="auto"/>
                <w:kern w:val="0"/>
                <w:sz w:val="24"/>
                <w:szCs w:val="24"/>
                <w:highlight w:val="none"/>
                <w:lang w:eastAsia="zh-CN"/>
              </w:rPr>
              <w:t>一次性</w:t>
            </w:r>
            <w:r>
              <w:rPr>
                <w:rFonts w:hint="eastAsia" w:ascii="宋体" w:hAnsi="宋体" w:cs="宋体"/>
                <w:color w:val="auto"/>
                <w:kern w:val="0"/>
                <w:sz w:val="24"/>
                <w:szCs w:val="24"/>
                <w:highlight w:val="none"/>
              </w:rPr>
              <w:t>交纳</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代理服务费。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中标人逾期支付采购代理服务费，须承担采购代理服务费每日利率万分之五的违约金，逾期十日未支付的，采购代理机构有权向杭州仲裁委员会对中标人提起仲裁，仲裁费用（包括仲裁受理费和仲裁处理费）均由中标人承担。</w:t>
            </w:r>
          </w:p>
          <w:p>
            <w:pPr>
              <w:spacing w:line="360" w:lineRule="auto"/>
              <w:ind w:firstLine="420"/>
              <w:rPr>
                <w:rFonts w:ascii="宋体" w:hAnsi="宋体" w:cs="宋体"/>
                <w:color w:val="auto"/>
                <w:sz w:val="24"/>
                <w:szCs w:val="24"/>
                <w:highlight w:val="none"/>
              </w:rPr>
            </w:pPr>
            <w:r>
              <w:rPr>
                <w:rFonts w:hint="eastAsia" w:ascii="宋体" w:hAnsi="宋体" w:cs="宋体"/>
                <w:color w:val="auto"/>
                <w:kern w:val="0"/>
                <w:sz w:val="24"/>
                <w:szCs w:val="24"/>
                <w:highlight w:val="none"/>
              </w:rPr>
              <w:t>收款</w:t>
            </w:r>
            <w:r>
              <w:rPr>
                <w:rFonts w:hint="eastAsia" w:ascii="宋体" w:hAnsi="宋体" w:cs="宋体"/>
                <w:color w:val="auto"/>
                <w:sz w:val="24"/>
                <w:szCs w:val="24"/>
                <w:highlight w:val="none"/>
              </w:rPr>
              <w:t>账号：</w:t>
            </w:r>
          </w:p>
          <w:p>
            <w:pPr>
              <w:spacing w:line="360" w:lineRule="auto"/>
              <w:ind w:firstLine="420"/>
              <w:rPr>
                <w:rFonts w:ascii="宋体" w:hAnsi="宋体" w:cs="宋体"/>
                <w:kern w:val="0"/>
                <w:sz w:val="24"/>
                <w:szCs w:val="24"/>
              </w:rPr>
            </w:pPr>
            <w:r>
              <w:rPr>
                <w:rFonts w:hint="eastAsia" w:ascii="宋体" w:hAnsi="宋体" w:cs="宋体"/>
                <w:color w:val="auto"/>
                <w:kern w:val="0"/>
                <w:sz w:val="24"/>
                <w:szCs w:val="24"/>
              </w:rPr>
              <w:t>收款单位（户名）：浙江信镧</w:t>
            </w:r>
            <w:r>
              <w:rPr>
                <w:rFonts w:hint="eastAsia" w:ascii="宋体" w:hAnsi="宋体" w:cs="宋体"/>
                <w:kern w:val="0"/>
                <w:sz w:val="24"/>
                <w:szCs w:val="24"/>
              </w:rPr>
              <w:t>建设工程咨询有限公司</w:t>
            </w:r>
          </w:p>
          <w:p>
            <w:pPr>
              <w:spacing w:line="360" w:lineRule="auto"/>
              <w:ind w:firstLine="420"/>
              <w:rPr>
                <w:rFonts w:ascii="宋体" w:hAnsi="宋体" w:cs="宋体"/>
                <w:kern w:val="0"/>
                <w:sz w:val="24"/>
                <w:szCs w:val="24"/>
              </w:rPr>
            </w:pPr>
            <w:r>
              <w:rPr>
                <w:rFonts w:hint="eastAsia" w:ascii="宋体" w:hAnsi="宋体" w:cs="宋体"/>
                <w:kern w:val="0"/>
                <w:sz w:val="24"/>
                <w:szCs w:val="24"/>
              </w:rPr>
              <w:t>开户银行：交通银行杭州华浙广场支行</w:t>
            </w:r>
          </w:p>
          <w:p>
            <w:pPr>
              <w:spacing w:line="360" w:lineRule="auto"/>
              <w:ind w:firstLine="463" w:firstLineChars="193"/>
              <w:rPr>
                <w:rFonts w:hint="eastAsia" w:ascii="宋体" w:hAnsi="宋体" w:cs="宋体"/>
                <w:sz w:val="24"/>
                <w:szCs w:val="24"/>
              </w:rPr>
            </w:pPr>
            <w:r>
              <w:rPr>
                <w:rFonts w:hint="eastAsia" w:ascii="宋体" w:hAnsi="宋体" w:cs="宋体"/>
                <w:kern w:val="0"/>
                <w:sz w:val="24"/>
                <w:szCs w:val="24"/>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4"/>
              <w:widowControl w:val="0"/>
              <w:rPr>
                <w:rFonts w:hint="default"/>
                <w:b/>
                <w:bCs/>
                <w:lang w:val="en-US" w:eastAsia="zh-CN"/>
              </w:rPr>
            </w:pPr>
            <w:r>
              <w:rPr>
                <w:rFonts w:hint="eastAsia"/>
                <w:b/>
                <w:bCs/>
                <w:lang w:val="en-US" w:eastAsia="zh-CN"/>
              </w:rPr>
              <w:t>16</w:t>
            </w:r>
          </w:p>
        </w:tc>
        <w:tc>
          <w:tcPr>
            <w:tcW w:w="2206" w:type="dxa"/>
            <w:vMerge w:val="restart"/>
            <w:vAlign w:val="center"/>
          </w:tcPr>
          <w:p>
            <w:pPr>
              <w:pStyle w:val="144"/>
              <w:widowControl w:val="0"/>
              <w:rPr>
                <w:rFonts w:hint="default"/>
                <w:b/>
                <w:bCs/>
                <w:lang w:val="en-US" w:eastAsia="zh-CN"/>
              </w:rPr>
            </w:pPr>
            <w:r>
              <w:rPr>
                <w:rFonts w:hint="eastAsia"/>
                <w:b/>
                <w:bCs/>
              </w:rPr>
              <w:t>其他注意事项</w:t>
            </w:r>
          </w:p>
        </w:tc>
        <w:tc>
          <w:tcPr>
            <w:tcW w:w="5901" w:type="dxa"/>
            <w:vAlign w:val="center"/>
          </w:tcPr>
          <w:p>
            <w:pPr>
              <w:pStyle w:val="726"/>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4"/>
              <w:widowControl w:val="0"/>
              <w:rPr>
                <w:rFonts w:hint="eastAsia"/>
                <w:b/>
                <w:bCs/>
                <w:lang w:val="en-US" w:eastAsia="zh-CN"/>
              </w:rPr>
            </w:pPr>
          </w:p>
        </w:tc>
        <w:tc>
          <w:tcPr>
            <w:tcW w:w="2206" w:type="dxa"/>
            <w:vMerge w:val="continue"/>
            <w:vAlign w:val="center"/>
          </w:tcPr>
          <w:p>
            <w:pPr>
              <w:pStyle w:val="144"/>
              <w:widowControl w:val="0"/>
              <w:rPr>
                <w:rFonts w:hint="eastAsia"/>
                <w:b/>
                <w:bCs/>
              </w:rPr>
            </w:pPr>
          </w:p>
        </w:tc>
        <w:tc>
          <w:tcPr>
            <w:tcW w:w="5901" w:type="dxa"/>
            <w:vAlign w:val="center"/>
          </w:tcPr>
          <w:p>
            <w:pPr>
              <w:pStyle w:val="726"/>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rFonts w:hint="default"/>
                <w:b/>
                <w:bCs/>
                <w:lang w:val="en-US" w:eastAsia="zh-CN"/>
              </w:rPr>
            </w:pPr>
            <w:r>
              <w:rPr>
                <w:rFonts w:hint="eastAsia"/>
                <w:b/>
                <w:bCs/>
                <w:lang w:val="en-US" w:eastAsia="zh-CN"/>
              </w:rPr>
              <w:t>17</w:t>
            </w:r>
          </w:p>
        </w:tc>
        <w:tc>
          <w:tcPr>
            <w:tcW w:w="2206" w:type="dxa"/>
            <w:vAlign w:val="center"/>
          </w:tcPr>
          <w:p>
            <w:pPr>
              <w:pStyle w:val="144"/>
              <w:widowControl w:val="0"/>
              <w:rPr>
                <w:rFonts w:hint="eastAsia"/>
                <w:b/>
                <w:bCs/>
              </w:rPr>
            </w:pPr>
            <w:bookmarkStart w:id="22" w:name="_Toc20235"/>
            <w:bookmarkStart w:id="23" w:name="_Toc26773"/>
            <w:r>
              <w:rPr>
                <w:rFonts w:hint="eastAsia"/>
                <w:b/>
                <w:bCs/>
              </w:rPr>
              <w:t>解释权</w:t>
            </w:r>
            <w:bookmarkEnd w:id="22"/>
            <w:bookmarkEnd w:id="23"/>
          </w:p>
        </w:tc>
        <w:tc>
          <w:tcPr>
            <w:tcW w:w="5901" w:type="dxa"/>
            <w:vAlign w:val="center"/>
          </w:tcPr>
          <w:p>
            <w:pPr>
              <w:rPr>
                <w:rFonts w:hint="eastAsia"/>
              </w:rPr>
            </w:pPr>
            <w:bookmarkStart w:id="24" w:name="_Toc27891"/>
            <w:bookmarkStart w:id="25" w:name="_Toc13944"/>
            <w:r>
              <w:rPr>
                <w:rFonts w:hint="eastAsia"/>
              </w:rPr>
              <w:t>本招标文件的解释权属于</w:t>
            </w:r>
            <w:r>
              <w:rPr>
                <w:rFonts w:hint="eastAsia"/>
                <w:lang w:eastAsia="zh-CN"/>
              </w:rPr>
              <w:t>浙江信镧建设工程咨询有限公司</w:t>
            </w:r>
            <w:r>
              <w:rPr>
                <w:rFonts w:hint="eastAsia"/>
              </w:rPr>
              <w:t>。</w:t>
            </w:r>
            <w:bookmarkEnd w:id="24"/>
            <w:bookmarkEnd w:id="25"/>
          </w:p>
        </w:tc>
      </w:tr>
      <w:bookmarkEnd w:id="13"/>
    </w:tbl>
    <w:p>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pPr>
      <w:bookmarkStart w:id="26" w:name="_Toc3424"/>
      <w:bookmarkStart w:id="27" w:name="_Toc2518"/>
      <w:r>
        <w:rPr>
          <w:rFonts w:hint="eastAsia"/>
        </w:rPr>
        <w:t>一、总则</w:t>
      </w:r>
      <w:bookmarkEnd w:id="26"/>
      <w:bookmarkEnd w:id="27"/>
    </w:p>
    <w:p>
      <w:pPr>
        <w:pStyle w:val="7"/>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7"/>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7"/>
      </w:pPr>
      <w:r>
        <w:rPr>
          <w:rFonts w:hint="eastAsia"/>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sz w:val="24"/>
        </w:rPr>
      </w:pPr>
      <w:r>
        <w:rPr>
          <w:rFonts w:hint="eastAsia" w:ascii="宋体" w:hAnsi="宋体" w:cs="宋体"/>
          <w:b/>
          <w:bCs/>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pPr>
        <w:bidi w:val="0"/>
        <w:ind w:firstLine="480" w:firstLineChars="200"/>
        <w:rPr>
          <w:rFonts w:hint="eastAsia"/>
        </w:rPr>
      </w:pPr>
      <w:r>
        <w:rPr>
          <w:rFonts w:hint="eastAsia"/>
        </w:rPr>
        <w:t>平等对待内外资企业和符合条件的破产重整企业，切实保障企业公平竞争，平等维护企业的合法利益。</w:t>
      </w:r>
    </w:p>
    <w:p>
      <w:pPr>
        <w:pStyle w:val="7"/>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8"/>
        <w:bidi w:val="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
        <w:bidi w:val="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8"/>
        <w:bidi w:val="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4"/>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8"/>
        <w:bidi w:val="0"/>
      </w:pPr>
      <w:r>
        <w:rPr>
          <w:rFonts w:hint="eastAsia"/>
        </w:rPr>
        <w:t>4.</w:t>
      </w:r>
      <w:r>
        <w:rPr>
          <w:rFonts w:hint="eastAsia"/>
          <w:lang w:val="en-US" w:eastAsia="zh-CN"/>
        </w:rPr>
        <w:t>4</w:t>
      </w:r>
      <w:r>
        <w:rPr>
          <w:rFonts w:hint="eastAsia"/>
        </w:rPr>
        <w:t>供应商投诉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4"/>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34"/>
        <w:spacing w:line="360" w:lineRule="auto"/>
        <w:ind w:firstLine="480" w:firstLineChars="200"/>
        <w:rPr>
          <w:rFonts w:hint="eastAsia" w:ascii="宋体" w:hAnsi="宋体" w:eastAsia="宋体"/>
          <w:sz w:val="24"/>
          <w:lang w:val="zh-CN" w:eastAsia="zh-CN"/>
        </w:rPr>
      </w:pPr>
    </w:p>
    <w:p>
      <w:pPr>
        <w:pStyle w:val="891"/>
        <w:shd w:val="clear" w:color="auto" w:fill="FFFFFF"/>
        <w:snapToGrid w:val="0"/>
        <w:spacing w:after="240" w:afterAutospacing="0" w:line="360" w:lineRule="auto"/>
        <w:ind w:firstLine="400"/>
        <w:contextualSpacing/>
      </w:pPr>
    </w:p>
    <w:p>
      <w:pPr>
        <w:pStyle w:val="135"/>
        <w:snapToGrid w:val="0"/>
        <w:spacing w:before="0"/>
        <w:ind w:firstLine="360"/>
        <w:rPr>
          <w:rFonts w:ascii="宋体" w:hAnsi="宋体" w:cs="宋体"/>
          <w:sz w:val="18"/>
          <w:szCs w:val="18"/>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pPr>
      <w:bookmarkStart w:id="28" w:name="_Toc6417"/>
      <w:bookmarkStart w:id="29" w:name="_Toc2155"/>
      <w:r>
        <w:rPr>
          <w:rFonts w:hint="eastAsia"/>
        </w:rPr>
        <w:t>二、招标文件的构成、澄清、修改</w:t>
      </w:r>
      <w:bookmarkEnd w:id="28"/>
      <w:bookmarkEnd w:id="29"/>
    </w:p>
    <w:p>
      <w:pPr>
        <w:pStyle w:val="7"/>
        <w:bidi w:val="0"/>
      </w:pPr>
      <w:r>
        <w:rPr>
          <w:rFonts w:hint="eastAsia"/>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7"/>
        <w:bidi w:val="0"/>
      </w:pPr>
      <w:r>
        <w:rPr>
          <w:rFonts w:hint="eastAsia"/>
        </w:rPr>
        <w:t>6. 招标文件的澄清、修改</w:t>
      </w:r>
    </w:p>
    <w:p>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5"/>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pPr>
      <w:bookmarkStart w:id="30" w:name="_Toc21343"/>
      <w:bookmarkStart w:id="31" w:name="_Toc23795"/>
      <w:r>
        <w:rPr>
          <w:rFonts w:hint="eastAsia"/>
        </w:rPr>
        <w:t>三、投标</w:t>
      </w:r>
      <w:bookmarkEnd w:id="30"/>
      <w:bookmarkEnd w:id="31"/>
    </w:p>
    <w:p>
      <w:pPr>
        <w:pStyle w:val="7"/>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7"/>
        <w:bidi w:val="0"/>
      </w:pPr>
      <w:r>
        <w:rPr>
          <w:rFonts w:hint="eastAsia"/>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7"/>
        <w:bidi w:val="0"/>
      </w:pPr>
      <w:r>
        <w:rPr>
          <w:rFonts w:hint="eastAsia"/>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7"/>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7"/>
        <w:bidi w:val="0"/>
      </w:pPr>
      <w:r>
        <w:rPr>
          <w:rFonts w:hint="eastAsia"/>
        </w:rPr>
        <w:t>11.投标文件的组成</w:t>
      </w:r>
    </w:p>
    <w:p>
      <w:pPr>
        <w:pStyle w:val="8"/>
        <w:bidi w:val="0"/>
      </w:pPr>
      <w:r>
        <w:rPr>
          <w:rFonts w:hint="eastAsia"/>
          <w:lang w:val="en-US" w:eastAsia="zh-CN"/>
        </w:rPr>
        <w:t>▲</w:t>
      </w:r>
      <w:r>
        <w:rPr>
          <w:rFonts w:hint="eastAsia"/>
        </w:rPr>
        <w:t>11.1资格文件</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11.1.3落实政府采购政策需满足的资格要求（如有</w:t>
      </w:r>
      <w:r>
        <w:rPr>
          <w:rFonts w:hint="eastAsia" w:ascii="宋体" w:hAnsi="宋体" w:eastAsia="宋体" w:cs="宋体"/>
          <w:sz w:val="24"/>
          <w:lang w:eastAsia="zh-CN"/>
        </w:rPr>
        <w:t>要求</w:t>
      </w:r>
      <w:r>
        <w:rPr>
          <w:rFonts w:hint="eastAsia" w:ascii="宋体" w:hAnsi="宋体" w:eastAsia="宋体" w:cs="宋体"/>
          <w:sz w:val="24"/>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pPr>
        <w:pStyle w:val="8"/>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rPr>
          <w:rFonts w:hint="eastAsia" w:ascii="宋体" w:hAnsi="宋体" w:cs="宋体"/>
          <w:sz w:val="24"/>
        </w:rPr>
      </w:pPr>
      <w:r>
        <w:rPr>
          <w:rFonts w:hint="eastAsia" w:ascii="宋体" w:hAnsi="宋体" w:cs="宋体"/>
          <w:sz w:val="24"/>
          <w:lang w:val="en-US" w:eastAsia="zh-CN"/>
        </w:rPr>
        <w:t>11.2.6投标标的清单；</w:t>
      </w:r>
    </w:p>
    <w:p>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11.2.7</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rPr>
          <w:rFonts w:hint="eastAsia" w:ascii="宋体" w:hAnsi="宋体" w:cs="宋体"/>
          <w:sz w:val="24"/>
        </w:rPr>
      </w:pPr>
      <w:r>
        <w:rPr>
          <w:rFonts w:hint="eastAsia" w:ascii="宋体" w:hAnsi="宋体" w:cs="宋体"/>
          <w:sz w:val="24"/>
          <w:lang w:val="en-US" w:eastAsia="zh-CN"/>
        </w:rPr>
        <w:t>11.2.8</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9</w:t>
      </w:r>
      <w:r>
        <w:rPr>
          <w:rFonts w:hint="eastAsia" w:ascii="宋体" w:hAnsi="宋体" w:eastAsia="宋体" w:cs="宋体"/>
          <w:sz w:val="24"/>
          <w:lang w:val="zh-CN"/>
        </w:rPr>
        <w:t>政府采购供应商廉洁自律承诺书；</w:t>
      </w:r>
    </w:p>
    <w:p>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sz w:val="24"/>
          <w:lang w:val="en-US" w:eastAsia="zh-CN"/>
        </w:rPr>
        <w:t>11.2.10采购</w:t>
      </w:r>
      <w:r>
        <w:rPr>
          <w:rFonts w:hint="eastAsia" w:ascii="宋体" w:hAnsi="宋体" w:eastAsia="宋体" w:cs="宋体"/>
          <w:sz w:val="24"/>
          <w:lang w:val="zh-CN" w:eastAsia="zh-CN"/>
        </w:rPr>
        <w:t>代理服务费支</w:t>
      </w:r>
      <w:r>
        <w:rPr>
          <w:rFonts w:hint="eastAsia" w:ascii="宋体" w:hAnsi="宋体" w:eastAsia="宋体" w:cs="宋体"/>
          <w:color w:val="auto"/>
          <w:sz w:val="24"/>
          <w:lang w:val="zh-CN" w:eastAsia="zh-CN"/>
        </w:rPr>
        <w:t>付承诺书。（本项不作为无效标评审内容）</w:t>
      </w:r>
    </w:p>
    <w:p>
      <w:pPr>
        <w:pStyle w:val="8"/>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pPr>
        <w:spacing w:line="360" w:lineRule="auto"/>
        <w:rPr>
          <w:rFonts w:ascii="宋体" w:hAnsi="宋体" w:cs="宋体"/>
          <w:b/>
          <w:sz w:val="24"/>
        </w:rPr>
      </w:pPr>
      <w:r>
        <w:rPr>
          <w:rFonts w:hint="eastAsia" w:ascii="宋体" w:hAnsi="宋体" w:cs="宋体"/>
          <w:b/>
          <w:sz w:val="24"/>
          <w:lang w:val="en-US" w:eastAsia="zh-CN"/>
        </w:rPr>
        <w:t>▲</w:t>
      </w:r>
      <w:r>
        <w:rPr>
          <w:rFonts w:hint="eastAsia" w:ascii="宋体" w:hAnsi="宋体" w:cs="宋体"/>
          <w:b/>
          <w:sz w:val="24"/>
        </w:rPr>
        <w:t>投标文件含有采购人不能接受的附加条件的，投标无效；</w:t>
      </w:r>
    </w:p>
    <w:p>
      <w:pPr>
        <w:spacing w:line="360" w:lineRule="auto"/>
        <w:rPr>
          <w:rFonts w:ascii="宋体" w:hAnsi="宋体" w:cs="宋体"/>
          <w:b/>
          <w:sz w:val="24"/>
          <w:szCs w:val="21"/>
        </w:rPr>
      </w:pPr>
      <w:r>
        <w:rPr>
          <w:rFonts w:hint="eastAsia" w:ascii="宋体" w:hAnsi="宋体" w:cs="宋体"/>
          <w:b/>
          <w:sz w:val="24"/>
          <w:lang w:val="en-US" w:eastAsia="zh-CN"/>
        </w:rPr>
        <w:t>▲</w:t>
      </w:r>
      <w:r>
        <w:rPr>
          <w:rFonts w:hint="eastAsia" w:ascii="宋体" w:hAnsi="宋体" w:cs="宋体"/>
          <w:b/>
          <w:sz w:val="24"/>
        </w:rPr>
        <w:t>投标人提供虚假材料投标的，投标无效。</w:t>
      </w:r>
    </w:p>
    <w:p>
      <w:pPr>
        <w:pStyle w:val="7"/>
        <w:bidi w:val="0"/>
      </w:pPr>
      <w:r>
        <w:rPr>
          <w:rFonts w:hint="eastAsia"/>
        </w:rPr>
        <w:t>12</w:t>
      </w:r>
      <w:r>
        <w:rPr>
          <w:rFonts w:hint="eastAsia"/>
          <w:lang w:val="zh-CN"/>
        </w:rPr>
        <w:t xml:space="preserve">. </w:t>
      </w:r>
      <w:r>
        <w:rPr>
          <w:rFonts w:hint="eastAsia"/>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7"/>
        <w:bidi w:val="0"/>
      </w:pPr>
      <w:r>
        <w:rPr>
          <w:rFonts w:hint="eastAsia"/>
        </w:rPr>
        <w:t>13.投标文件的签署、盖章</w:t>
      </w:r>
    </w:p>
    <w:p>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7"/>
        <w:bidi w:val="0"/>
      </w:pPr>
      <w:r>
        <w:rPr>
          <w:rFonts w:hint="eastAsia"/>
        </w:rPr>
        <w:t>14. 投标文件的提交、补充、修改、撤回</w:t>
      </w:r>
    </w:p>
    <w:p>
      <w:pPr>
        <w:pStyle w:val="135"/>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lang w:val="en-US" w:eastAsia="zh-CN"/>
        </w:rPr>
        <w:t>▲</w:t>
      </w:r>
      <w:r>
        <w:rPr>
          <w:rFonts w:hint="eastAsia" w:ascii="宋体" w:hAnsi="宋体" w:eastAsia="宋体" w:cs="宋体"/>
        </w:rPr>
        <w:t>投标截止时间前未完成传输的，视为撤回投标文件。投标截止时间后递交的投标文件，电子交易平台将拒收。</w:t>
      </w:r>
    </w:p>
    <w:p>
      <w:pPr>
        <w:pStyle w:val="135"/>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5"/>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pPr>
        <w:pStyle w:val="7"/>
        <w:bidi w:val="0"/>
      </w:pPr>
      <w:r>
        <w:rPr>
          <w:rFonts w:hint="eastAsia"/>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lang w:val="en-US" w:eastAsia="zh-CN"/>
        </w:rPr>
        <w:t>▲</w:t>
      </w:r>
      <w:r>
        <w:rPr>
          <w:rFonts w:hint="eastAsia" w:hAnsi="宋体" w:cs="宋体"/>
          <w:b/>
          <w:sz w:val="24"/>
          <w:szCs w:val="24"/>
        </w:rPr>
        <w:t>15.5投标人仅提交备份投标文件，未在电子交易平台传输递交投标文件的，投标无效。</w:t>
      </w:r>
    </w:p>
    <w:p>
      <w:pPr>
        <w:pStyle w:val="7"/>
        <w:bidi w:val="0"/>
      </w:pPr>
      <w:r>
        <w:rPr>
          <w:rFonts w:hint="eastAsia"/>
        </w:rPr>
        <w:t>16.投标文件的无效处理</w:t>
      </w:r>
    </w:p>
    <w:p>
      <w:pPr>
        <w:pStyle w:val="26"/>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7"/>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5"/>
        <w:spacing w:before="0"/>
        <w:ind w:firstLine="480"/>
        <w:rPr>
          <w:rFonts w:ascii="宋体" w:hAnsi="宋体" w:cs="宋体"/>
        </w:rPr>
      </w:pPr>
      <w:r>
        <w:rPr>
          <w:rFonts w:hint="eastAsia" w:ascii="宋体" w:hAnsi="宋体" w:cs="宋体"/>
          <w:lang w:val="en-US" w:eastAsia="zh-CN"/>
        </w:rPr>
        <w:t>▲</w:t>
      </w:r>
      <w:r>
        <w:rPr>
          <w:rFonts w:hint="eastAsia" w:ascii="宋体" w:hAnsi="宋体" w:cs="宋体"/>
        </w:rPr>
        <w:t>17.2投标文件合格投递后，自投标截止日期起，在投标有效期内有效。</w:t>
      </w:r>
    </w:p>
    <w:p>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w:t>
      </w:r>
      <w:r>
        <w:rPr>
          <w:rFonts w:hint="eastAsia" w:ascii="宋体" w:hAnsi="宋体" w:cs="宋体"/>
          <w:lang w:val="en-US" w:eastAsia="zh-CN"/>
        </w:rPr>
        <w:t>▲</w:t>
      </w:r>
      <w:r>
        <w:rPr>
          <w:rFonts w:hint="eastAsia" w:ascii="宋体" w:hAnsi="宋体" w:cs="宋体"/>
        </w:rPr>
        <w:t>投标人拒绝延长的，其投标无效。</w:t>
      </w:r>
    </w:p>
    <w:p>
      <w:pPr>
        <w:pStyle w:val="135"/>
        <w:spacing w:before="0"/>
        <w:ind w:firstLine="643"/>
        <w:rPr>
          <w:rFonts w:ascii="宋体" w:hAnsi="宋体" w:cs="宋体"/>
          <w:b/>
          <w:sz w:val="32"/>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pPr>
      <w:bookmarkStart w:id="32" w:name="_Toc2842"/>
      <w:bookmarkStart w:id="33" w:name="_Toc21464"/>
      <w:r>
        <w:rPr>
          <w:rFonts w:hint="eastAsia"/>
        </w:rPr>
        <w:t>四、开标、资格审查与信用信息查询</w:t>
      </w:r>
      <w:bookmarkEnd w:id="32"/>
      <w:bookmarkEnd w:id="33"/>
    </w:p>
    <w:p>
      <w:pPr>
        <w:pStyle w:val="7"/>
        <w:bidi w:val="0"/>
      </w:pPr>
      <w:r>
        <w:rPr>
          <w:rFonts w:hint="eastAsia"/>
        </w:rPr>
        <w:t xml:space="preserve">18.开标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w:t>
      </w:r>
      <w:r>
        <w:rPr>
          <w:rFonts w:hint="eastAsia" w:ascii="宋体" w:hAnsi="宋体" w:cs="宋体"/>
          <w:sz w:val="24"/>
          <w:lang w:val="en-US" w:eastAsia="zh-CN"/>
        </w:rPr>
        <w:t>▲</w:t>
      </w: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7"/>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5"/>
        <w:spacing w:before="0"/>
        <w:ind w:firstLine="480"/>
        <w:rPr>
          <w:rFonts w:ascii="宋体" w:hAnsi="宋体" w:cs="宋体"/>
        </w:rPr>
      </w:pPr>
      <w:r>
        <w:rPr>
          <w:rFonts w:hint="eastAsia" w:ascii="宋体" w:hAnsi="宋体" w:cs="宋体"/>
          <w:kern w:val="0"/>
          <w:szCs w:val="24"/>
          <w:lang w:val="en-US" w:eastAsia="zh-CN"/>
        </w:rPr>
        <w:t>▲</w:t>
      </w: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7"/>
        <w:bidi w:val="0"/>
        <w:rPr>
          <w:color w:val="auto"/>
        </w:rPr>
      </w:pPr>
      <w:r>
        <w:rPr>
          <w:rFonts w:hint="eastAsia"/>
        </w:rPr>
        <w:t>20</w:t>
      </w:r>
      <w:r>
        <w:rPr>
          <w:rFonts w:hint="eastAsia"/>
          <w:color w:val="auto"/>
          <w:lang w:val="en-US" w:eastAsia="zh-CN"/>
        </w:rPr>
        <w:t>.</w:t>
      </w:r>
      <w:r>
        <w:rPr>
          <w:rFonts w:hint="eastAsia"/>
          <w:color w:val="auto"/>
        </w:rPr>
        <w:t>信用信息查询</w:t>
      </w:r>
    </w:p>
    <w:p>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6"/>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6"/>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5"/>
        <w:spacing w:before="0"/>
        <w:ind w:firstLine="480"/>
        <w:rPr>
          <w:rFonts w:ascii="宋体" w:hAnsi="宋体" w:cs="宋体"/>
          <w:highlight w:val="none"/>
        </w:rPr>
      </w:pPr>
    </w:p>
    <w:p>
      <w:pPr>
        <w:pStyle w:val="135"/>
        <w:spacing w:before="0"/>
        <w:ind w:firstLine="0" w:firstLineChars="0"/>
        <w:rPr>
          <w:rFonts w:ascii="宋体" w:hAnsi="宋体" w:cs="宋体"/>
          <w:kern w:val="0"/>
          <w:szCs w:val="24"/>
          <w:highlight w:val="none"/>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pPr>
      <w:bookmarkStart w:id="34" w:name="_Toc313"/>
      <w:bookmarkStart w:id="35" w:name="_Toc5142"/>
      <w:r>
        <w:rPr>
          <w:rFonts w:hint="eastAsia"/>
        </w:rPr>
        <w:t>五、评标</w:t>
      </w:r>
      <w:bookmarkEnd w:id="34"/>
      <w:bookmarkEnd w:id="35"/>
    </w:p>
    <w:p>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pPr>
      <w:bookmarkStart w:id="37" w:name="_Toc15047"/>
      <w:bookmarkStart w:id="38" w:name="_Toc30166"/>
      <w:r>
        <w:rPr>
          <w:rFonts w:hint="eastAsia"/>
        </w:rPr>
        <w:t>六、定 标</w:t>
      </w:r>
      <w:bookmarkEnd w:id="37"/>
      <w:bookmarkEnd w:id="38"/>
    </w:p>
    <w:p>
      <w:pPr>
        <w:pStyle w:val="7"/>
        <w:bidi w:val="0"/>
      </w:pPr>
      <w:r>
        <w:rPr>
          <w:rFonts w:hint="eastAsia"/>
        </w:rPr>
        <w:t>22. 确定中标供应商</w:t>
      </w:r>
    </w:p>
    <w:p>
      <w:pPr>
        <w:pStyle w:val="135"/>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7"/>
        <w:bidi w:val="0"/>
      </w:pPr>
      <w:r>
        <w:rPr>
          <w:rFonts w:hint="eastAsia"/>
        </w:rPr>
        <w:t>23. 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2" w:firstLineChars="150"/>
        <w:jc w:val="center"/>
        <w:rPr>
          <w:rFonts w:ascii="宋体" w:hAnsi="宋体" w:cs="宋体"/>
          <w:b/>
          <w:sz w:val="32"/>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pPr>
      <w:bookmarkStart w:id="39" w:name="_Toc19257"/>
      <w:bookmarkStart w:id="40" w:name="_Toc18672"/>
      <w:r>
        <w:rPr>
          <w:rFonts w:hint="eastAsia"/>
        </w:rPr>
        <w:t>七、合同授予</w:t>
      </w:r>
      <w:bookmarkEnd w:id="39"/>
      <w:bookmarkEnd w:id="40"/>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7"/>
        <w:bidi w:val="0"/>
      </w:pPr>
      <w:r>
        <w:rPr>
          <w:rFonts w:hint="eastAsia"/>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w:t>
      </w:r>
      <w:r>
        <w:rPr>
          <w:rFonts w:hint="eastAsia" w:ascii="宋体" w:hAnsi="宋体"/>
          <w:bCs/>
          <w:color w:val="auto"/>
          <w:sz w:val="24"/>
          <w:highlight w:val="none"/>
        </w:rPr>
        <w:t>（鼓励有条件的缩短至10个工作日）</w:t>
      </w:r>
      <w:r>
        <w:rPr>
          <w:rFonts w:hint="eastAsia" w:ascii="宋体" w:hAnsi="宋体" w:cs="宋体"/>
          <w:kern w:val="0"/>
          <w:sz w:val="24"/>
        </w:rPr>
        <w:t>，按照招标文件确定的事项签订政府采购合同，并在签订之日起2个工作日内将政府采购合同在浙江政府采购网上公告。</w:t>
      </w:r>
    </w:p>
    <w:p>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color w:val="auto"/>
        </w:rPr>
      </w:pPr>
      <w:r>
        <w:rPr>
          <w:rFonts w:hint="eastAsia" w:ascii="宋体" w:hAnsi="宋体" w:cs="宋体"/>
        </w:rPr>
        <w:t>25.3如签订合同并生效后，供应商无故拒</w:t>
      </w:r>
      <w:r>
        <w:rPr>
          <w:rFonts w:hint="eastAsia" w:ascii="宋体" w:hAnsi="宋体" w:cs="宋体"/>
          <w:color w:val="auto"/>
        </w:rPr>
        <w:t>绝或延期，除按照合同条款处理外，列入不良行为记录一次，并给予通报。</w:t>
      </w:r>
    </w:p>
    <w:p>
      <w:pPr>
        <w:pStyle w:val="135"/>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7"/>
        <w:bidi w:val="0"/>
      </w:pPr>
      <w:r>
        <w:rPr>
          <w:rFonts w:hint="eastAsia"/>
        </w:rPr>
        <w:t>26. 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bidi w:val="0"/>
      </w:pPr>
      <w:bookmarkStart w:id="41" w:name="_Toc1857"/>
      <w:bookmarkStart w:id="42" w:name="_Toc28676"/>
      <w:r>
        <w:rPr>
          <w:rFonts w:hint="eastAsia"/>
        </w:rPr>
        <w:t>八、电子交易活动的中止</w:t>
      </w:r>
      <w:bookmarkEnd w:id="41"/>
      <w:bookmarkEnd w:id="42"/>
    </w:p>
    <w:p>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5"/>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5"/>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5"/>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5"/>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5"/>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pPr>
      <w:bookmarkStart w:id="43" w:name="_Toc1567"/>
      <w:bookmarkStart w:id="44" w:name="_Toc5169"/>
      <w:r>
        <w:rPr>
          <w:rFonts w:hint="eastAsia"/>
        </w:rPr>
        <w:t>九、验收</w:t>
      </w:r>
      <w:bookmarkEnd w:id="43"/>
      <w:bookmarkEnd w:id="44"/>
    </w:p>
    <w:p>
      <w:pPr>
        <w:pStyle w:val="7"/>
        <w:bidi w:val="0"/>
      </w:pPr>
      <w:r>
        <w:rPr>
          <w:rFonts w:hint="eastAsia"/>
        </w:rPr>
        <w:t>29.验收</w:t>
      </w:r>
    </w:p>
    <w:bookmarkEnd w:id="20"/>
    <w:bookmarkEnd w:id="21"/>
    <w:bookmarkEnd w:id="36"/>
    <w:p>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5"/>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pStyle w:val="5"/>
        <w:bidi w:val="0"/>
      </w:pPr>
      <w:bookmarkStart w:id="46" w:name="_Toc28975"/>
      <w:bookmarkStart w:id="47" w:name="_Toc31241"/>
      <w:bookmarkStart w:id="48" w:name="_Toc28450"/>
      <w:r>
        <w:rPr>
          <w:rFonts w:hint="eastAsia"/>
        </w:rPr>
        <w:t>第三部分 采购需求</w:t>
      </w:r>
      <w:bookmarkEnd w:id="46"/>
      <w:bookmarkEnd w:id="47"/>
      <w:bookmarkEnd w:id="48"/>
    </w:p>
    <w:p>
      <w:pPr>
        <w:pStyle w:val="6"/>
        <w:jc w:val="both"/>
        <w:rPr>
          <w:rFonts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lang w:val="en-US" w:eastAsia="zh-CN"/>
        </w:rPr>
        <w:t>一</w:t>
      </w:r>
      <w:r>
        <w:rPr>
          <w:rFonts w:hint="eastAsia" w:ascii="宋体" w:hAnsi="宋体" w:eastAsia="宋体" w:cs="宋体"/>
          <w:sz w:val="24"/>
          <w:szCs w:val="24"/>
          <w:lang w:val="en-US"/>
        </w:rPr>
        <w:t>、</w:t>
      </w:r>
      <w:r>
        <w:rPr>
          <w:rFonts w:hint="eastAsia" w:ascii="宋体" w:hAnsi="宋体" w:eastAsia="宋体" w:cs="宋体"/>
          <w:sz w:val="24"/>
          <w:szCs w:val="24"/>
        </w:rPr>
        <w:t>采购需求一览表</w:t>
      </w:r>
    </w:p>
    <w:tbl>
      <w:tblPr>
        <w:tblStyle w:val="62"/>
        <w:tblW w:w="53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3340"/>
        <w:gridCol w:w="1115"/>
        <w:gridCol w:w="1693"/>
        <w:gridCol w:w="968"/>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名称</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分项</w:t>
            </w:r>
            <w:r>
              <w:rPr>
                <w:rFonts w:hint="eastAsia" w:ascii="宋体" w:hAnsi="宋体" w:eastAsia="宋体" w:cs="宋体"/>
                <w:i w:val="0"/>
                <w:iCs w:val="0"/>
                <w:color w:val="000000"/>
                <w:kern w:val="0"/>
                <w:sz w:val="24"/>
                <w:szCs w:val="24"/>
                <w:u w:val="none"/>
                <w:lang w:val="en-US" w:eastAsia="zh-CN" w:bidi="ar"/>
              </w:rPr>
              <w:t>项目预算（万元）</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分项</w:t>
            </w:r>
            <w:r>
              <w:rPr>
                <w:rFonts w:hint="eastAsia" w:ascii="宋体" w:hAnsi="宋体" w:eastAsia="宋体" w:cs="宋体"/>
                <w:i w:val="0"/>
                <w:iCs w:val="0"/>
                <w:color w:val="000000"/>
                <w:kern w:val="0"/>
                <w:sz w:val="24"/>
                <w:szCs w:val="24"/>
                <w:u w:val="none"/>
                <w:lang w:val="en-US" w:eastAsia="zh-CN" w:bidi="ar"/>
              </w:rPr>
              <w:t>最高限价</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ascii="Calibri" w:hAnsi="Calibri" w:eastAsia="宋体" w:cs="Calibri"/>
                <w:kern w:val="2"/>
                <w:sz w:val="24"/>
                <w:szCs w:val="24"/>
                <w:lang w:val="en-US" w:eastAsia="zh-CN" w:bidi="ar-SA"/>
              </w:rPr>
            </w:pPr>
            <w:r>
              <w:rPr>
                <w:rFonts w:hint="eastAsia" w:ascii="Calibri" w:hAnsi="Calibri" w:cs="Calibri"/>
                <w:sz w:val="24"/>
                <w:lang w:val="en-US" w:eastAsia="zh-CN"/>
              </w:rPr>
              <w:t>进口/国产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救援舟艇组合（冲锋舟）</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救援舟艇组合（橡皮舟）</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救援浮桥</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弦外机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bl>
    <w:p>
      <w:pPr>
        <w:tabs>
          <w:tab w:val="left" w:pos="0"/>
        </w:tabs>
        <w:spacing w:line="360" w:lineRule="auto"/>
        <w:ind w:firstLine="0" w:firstLineChars="0"/>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投标单位投标报价时各</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报价均不得超过该</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的预算及最高限价，否则按无效投标处理。</w:t>
      </w:r>
    </w:p>
    <w:p>
      <w:pPr>
        <w:widowControl/>
        <w:ind w:firstLine="720" w:firstLineChars="300"/>
        <w:jc w:val="left"/>
        <w:rPr>
          <w:rFonts w:hint="eastAsia" w:ascii="宋体" w:hAnsi="宋体" w:cs="宋体"/>
          <w:bCs/>
          <w:color w:val="auto"/>
          <w:sz w:val="24"/>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widowControl/>
        <w:numPr>
          <w:ilvl w:val="0"/>
          <w:numId w:val="0"/>
        </w:numPr>
        <w:ind w:firstLine="0" w:firstLineChars="0"/>
        <w:jc w:val="left"/>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二、</w:t>
      </w:r>
      <w:r>
        <w:rPr>
          <w:rFonts w:hint="eastAsia" w:ascii="宋体" w:hAnsi="宋体" w:cs="宋体"/>
          <w:b/>
          <w:bCs w:val="0"/>
          <w:color w:val="auto"/>
          <w:sz w:val="24"/>
          <w:highlight w:val="none"/>
        </w:rPr>
        <w:t>技术要求</w:t>
      </w:r>
    </w:p>
    <w:tbl>
      <w:tblPr>
        <w:tblStyle w:val="62"/>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800"/>
        <w:gridCol w:w="6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救援舟艇组合（冲锋舟）</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总长≥5.75m；</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u w:val="none"/>
                <w:lang w:val="en-US" w:eastAsia="zh-CN" w:bidi="ar"/>
              </w:rPr>
              <w:t>★船长*船宽≥5.3*1.8m</w:t>
            </w:r>
            <w:r>
              <w:rPr>
                <w:rFonts w:hint="eastAsia" w:ascii="宋体" w:hAnsi="宋体" w:eastAsia="宋体" w:cs="宋体"/>
                <w:i w:val="0"/>
                <w:iCs w:val="0"/>
                <w:strike w:val="0"/>
                <w:color w:val="000000"/>
                <w:kern w:val="0"/>
                <w:sz w:val="24"/>
                <w:szCs w:val="24"/>
                <w:u w:val="none"/>
                <w:lang w:val="en-US" w:eastAsia="zh-CN" w:bidi="ar"/>
              </w:rPr>
              <w:t>（</w:t>
            </w:r>
            <w:r>
              <w:rPr>
                <w:rFonts w:hint="eastAsia"/>
                <w:strike w:val="0"/>
                <w:lang w:val="en-US" w:eastAsia="zh-CN"/>
              </w:rPr>
              <w:t>投标时提供设计图纸为佐证</w:t>
            </w:r>
            <w:r>
              <w:rPr>
                <w:rFonts w:hint="eastAsia" w:ascii="宋体" w:hAnsi="宋体" w:eastAsia="宋体" w:cs="宋体"/>
                <w:i w:val="0"/>
                <w:iCs w:val="0"/>
                <w:strike w:val="0"/>
                <w:color w:val="000000"/>
                <w:kern w:val="0"/>
                <w:sz w:val="24"/>
                <w:szCs w:val="24"/>
                <w:u w:val="none"/>
                <w:lang w:val="en-US" w:eastAsia="zh-CN" w:bidi="ar"/>
              </w:rPr>
              <w:t>）</w:t>
            </w:r>
            <w:r>
              <w:rPr>
                <w:rFonts w:hint="eastAsia" w:ascii="宋体" w:hAnsi="宋体" w:cs="宋体"/>
                <w:i w:val="0"/>
                <w:iCs w:val="0"/>
                <w:strike w:val="0"/>
                <w:color w:val="000000"/>
                <w:kern w:val="0"/>
                <w:sz w:val="24"/>
                <w:szCs w:val="24"/>
                <w:u w:val="none"/>
                <w:lang w:val="en-US" w:eastAsia="zh-CN" w:bidi="ar"/>
              </w:rPr>
              <w:t>；</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3、</w:t>
            </w:r>
            <w:r>
              <w:rPr>
                <w:rFonts w:hint="eastAsia" w:ascii="宋体" w:hAnsi="宋体" w:eastAsia="宋体" w:cs="宋体"/>
                <w:i w:val="0"/>
                <w:iCs w:val="0"/>
                <w:color w:val="000000"/>
                <w:kern w:val="0"/>
                <w:sz w:val="24"/>
                <w:szCs w:val="24"/>
                <w:u w:val="none"/>
                <w:lang w:val="en-US" w:eastAsia="zh-CN" w:bidi="ar"/>
              </w:rPr>
              <w:t>型深≥0.78m；</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4、</w:t>
            </w:r>
            <w:r>
              <w:rPr>
                <w:rFonts w:hint="eastAsia" w:ascii="宋体" w:hAnsi="宋体" w:eastAsia="宋体" w:cs="宋体"/>
                <w:i w:val="0"/>
                <w:iCs w:val="0"/>
                <w:color w:val="000000"/>
                <w:kern w:val="0"/>
                <w:sz w:val="24"/>
                <w:szCs w:val="24"/>
                <w:u w:val="none"/>
                <w:lang w:val="en-US" w:eastAsia="zh-CN" w:bidi="ar"/>
              </w:rPr>
              <w:t>▲船身材质：铝合金；</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5、</w:t>
            </w:r>
            <w:r>
              <w:rPr>
                <w:rFonts w:hint="eastAsia" w:ascii="宋体" w:hAnsi="宋体" w:eastAsia="宋体" w:cs="宋体"/>
                <w:i w:val="0"/>
                <w:iCs w:val="0"/>
                <w:color w:val="000000"/>
                <w:kern w:val="0"/>
                <w:sz w:val="24"/>
                <w:szCs w:val="24"/>
                <w:u w:val="none"/>
                <w:lang w:val="en-US" w:eastAsia="zh-CN" w:bidi="ar"/>
              </w:rPr>
              <w:t>排水量：≥1.68T；</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6、</w:t>
            </w:r>
            <w:r>
              <w:rPr>
                <w:rFonts w:hint="eastAsia" w:ascii="宋体" w:hAnsi="宋体" w:eastAsia="宋体" w:cs="宋体"/>
                <w:i w:val="0"/>
                <w:iCs w:val="0"/>
                <w:color w:val="000000"/>
                <w:kern w:val="0"/>
                <w:sz w:val="24"/>
                <w:szCs w:val="24"/>
                <w:u w:val="none"/>
                <w:lang w:val="en-US" w:eastAsia="zh-CN" w:bidi="ar"/>
              </w:rPr>
              <w:t>航区：河内B级；</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7、</w:t>
            </w:r>
            <w:r>
              <w:rPr>
                <w:rFonts w:hint="eastAsia" w:ascii="宋体" w:hAnsi="宋体" w:eastAsia="宋体" w:cs="宋体"/>
                <w:i w:val="0"/>
                <w:iCs w:val="0"/>
                <w:color w:val="000000"/>
                <w:kern w:val="0"/>
                <w:sz w:val="24"/>
                <w:szCs w:val="24"/>
                <w:u w:val="none"/>
                <w:lang w:val="en-US" w:eastAsia="zh-CN" w:bidi="ar"/>
              </w:rPr>
              <w:t>乘员数量≥8人；</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8、</w:t>
            </w:r>
            <w:r>
              <w:rPr>
                <w:rFonts w:hint="eastAsia" w:ascii="宋体" w:hAnsi="宋体" w:eastAsia="宋体" w:cs="宋体"/>
                <w:i w:val="0"/>
                <w:iCs w:val="0"/>
                <w:color w:val="000000"/>
                <w:kern w:val="0"/>
                <w:sz w:val="24"/>
                <w:szCs w:val="24"/>
                <w:u w:val="none"/>
                <w:lang w:val="en-US" w:eastAsia="zh-CN" w:bidi="ar"/>
              </w:rPr>
              <w:t>重量≤400kg；</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9、</w:t>
            </w:r>
            <w:r>
              <w:rPr>
                <w:rFonts w:hint="eastAsia" w:ascii="宋体" w:hAnsi="宋体" w:eastAsia="宋体" w:cs="宋体"/>
                <w:i w:val="0"/>
                <w:iCs w:val="0"/>
                <w:color w:val="000000"/>
                <w:kern w:val="0"/>
                <w:sz w:val="24"/>
                <w:szCs w:val="24"/>
                <w:u w:val="none"/>
                <w:lang w:val="en-US" w:eastAsia="zh-CN" w:bidi="ar"/>
              </w:rPr>
              <w:t>航速≥45km/h；</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10、</w:t>
            </w:r>
            <w:r>
              <w:rPr>
                <w:rFonts w:hint="eastAsia" w:ascii="宋体" w:hAnsi="宋体" w:eastAsia="宋体" w:cs="宋体"/>
                <w:i w:val="0"/>
                <w:iCs w:val="0"/>
                <w:color w:val="000000"/>
                <w:kern w:val="0"/>
                <w:sz w:val="24"/>
                <w:szCs w:val="24"/>
                <w:u w:val="none"/>
                <w:lang w:val="en-US" w:eastAsia="zh-CN" w:bidi="ar"/>
              </w:rPr>
              <w:t>座椅数量：6座椅+1长排凳；</w:t>
            </w:r>
          </w:p>
          <w:p>
            <w:pPr>
              <w:numPr>
                <w:ilvl w:val="0"/>
                <w:numId w:val="0"/>
              </w:numPr>
              <w:spacing w:line="360" w:lineRule="auto"/>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lang w:val="en-US" w:eastAsia="zh-CN" w:bidi="ar"/>
              </w:rPr>
              <w:t>11、</w:t>
            </w:r>
            <w:r>
              <w:rPr>
                <w:rFonts w:hint="eastAsia" w:ascii="宋体" w:hAnsi="宋体" w:eastAsia="宋体" w:cs="宋体"/>
                <w:i w:val="0"/>
                <w:iCs w:val="0"/>
                <w:color w:val="000000"/>
                <w:kern w:val="0"/>
                <w:sz w:val="24"/>
                <w:szCs w:val="24"/>
                <w:highlight w:val="none"/>
                <w:u w:val="none"/>
                <w:lang w:val="en-US" w:eastAsia="zh-CN" w:bidi="ar"/>
              </w:rPr>
              <w:t>★船尾搭载长条形警示灯，警示灯具有频闪、报警等功能，长度大于120cm；船头搭载两个不小于100W的照明灯。投标文件中需提供安装警示灯、照明灯后的设计图纸、渲染图或实物图片等材料，要求造型美观，整体比例协调，且不影响内部人员行动。</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12、</w:t>
            </w:r>
            <w:r>
              <w:rPr>
                <w:rFonts w:hint="eastAsia" w:ascii="宋体" w:hAnsi="宋体" w:eastAsia="宋体" w:cs="宋体"/>
                <w:i w:val="0"/>
                <w:iCs w:val="0"/>
                <w:color w:val="000000"/>
                <w:kern w:val="0"/>
                <w:sz w:val="24"/>
                <w:szCs w:val="24"/>
                <w:u w:val="none"/>
                <w:lang w:val="en-US" w:eastAsia="zh-CN" w:bidi="ar"/>
              </w:rPr>
              <w:t>船外机</w:t>
            </w:r>
          </w:p>
          <w:p>
            <w:pPr>
              <w:widowControl/>
              <w:numPr>
                <w:ilvl w:val="0"/>
                <w:numId w:val="0"/>
              </w:numPr>
              <w:spacing w:line="360" w:lineRule="auto"/>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12.1基本规格：</w:t>
            </w:r>
            <w:r>
              <w:rPr>
                <w:rFonts w:hint="default" w:ascii="宋体" w:hAnsi="宋体" w:eastAsia="宋体" w:cs="宋体"/>
                <w:i w:val="0"/>
                <w:iCs w:val="0"/>
                <w:color w:val="000000"/>
                <w:kern w:val="0"/>
                <w:sz w:val="24"/>
                <w:szCs w:val="24"/>
                <w:u w:val="none"/>
                <w:lang w:val="en-US" w:eastAsia="zh-CN" w:bidi="ar"/>
              </w:rPr>
              <w:t>2冲程</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气缸数：</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3</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r>
              <w:rPr>
                <w:rFonts w:hint="default" w:ascii="宋体" w:hAnsi="宋体" w:eastAsia="宋体" w:cs="宋体"/>
                <w:i w:val="0"/>
                <w:iCs w:val="0"/>
                <w:color w:val="000000"/>
                <w:kern w:val="0"/>
                <w:sz w:val="24"/>
                <w:szCs w:val="24"/>
                <w:u w:val="none"/>
                <w:lang w:val="en-US" w:eastAsia="zh-CN" w:bidi="ar"/>
              </w:rPr>
              <w:t>额定功率：≥44KW</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r>
              <w:rPr>
                <w:rFonts w:hint="default" w:ascii="宋体" w:hAnsi="宋体" w:eastAsia="宋体" w:cs="宋体"/>
                <w:i w:val="0"/>
                <w:iCs w:val="0"/>
                <w:color w:val="000000"/>
                <w:kern w:val="0"/>
                <w:sz w:val="24"/>
                <w:szCs w:val="24"/>
                <w:u w:val="none"/>
                <w:lang w:val="en-US" w:eastAsia="zh-CN" w:bidi="ar"/>
              </w:rPr>
              <w:t>额定转速：≥5400rpm</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r>
              <w:rPr>
                <w:rFonts w:hint="default" w:ascii="宋体" w:hAnsi="宋体" w:eastAsia="宋体" w:cs="宋体"/>
                <w:i w:val="0"/>
                <w:iCs w:val="0"/>
                <w:color w:val="000000"/>
                <w:kern w:val="0"/>
                <w:sz w:val="24"/>
                <w:szCs w:val="24"/>
                <w:u w:val="none"/>
                <w:lang w:val="en-US" w:eastAsia="zh-CN" w:bidi="ar"/>
              </w:rPr>
              <w:t>排气量 ：≥849cc</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r>
              <w:rPr>
                <w:rFonts w:hint="default" w:ascii="宋体" w:hAnsi="宋体" w:eastAsia="宋体" w:cs="宋体"/>
                <w:i w:val="0"/>
                <w:iCs w:val="0"/>
                <w:color w:val="000000"/>
                <w:kern w:val="0"/>
                <w:sz w:val="24"/>
                <w:szCs w:val="24"/>
                <w:u w:val="none"/>
                <w:lang w:val="en-US" w:eastAsia="zh-CN" w:bidi="ar"/>
              </w:rPr>
              <w:t>启动方式：手动</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r>
              <w:rPr>
                <w:rFonts w:hint="default" w:ascii="宋体" w:hAnsi="宋体" w:eastAsia="宋体" w:cs="宋体"/>
                <w:i w:val="0"/>
                <w:iCs w:val="0"/>
                <w:color w:val="000000"/>
                <w:kern w:val="0"/>
                <w:sz w:val="24"/>
                <w:szCs w:val="24"/>
                <w:u w:val="none"/>
                <w:lang w:val="en-US" w:eastAsia="zh-CN" w:bidi="ar"/>
              </w:rPr>
              <w:t>燃油 ：无铅汽油</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r>
              <w:rPr>
                <w:rFonts w:hint="default" w:ascii="宋体" w:hAnsi="宋体" w:eastAsia="宋体" w:cs="宋体"/>
                <w:i w:val="0"/>
                <w:iCs w:val="0"/>
                <w:color w:val="000000"/>
                <w:kern w:val="0"/>
                <w:sz w:val="24"/>
                <w:szCs w:val="24"/>
                <w:u w:val="none"/>
                <w:lang w:val="en-US" w:eastAsia="zh-CN" w:bidi="ar"/>
              </w:rPr>
              <w:t>冷确系统：水冷</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r>
              <w:rPr>
                <w:rFonts w:hint="default" w:ascii="宋体" w:hAnsi="宋体" w:eastAsia="宋体" w:cs="宋体"/>
                <w:i w:val="0"/>
                <w:iCs w:val="0"/>
                <w:color w:val="000000"/>
                <w:kern w:val="0"/>
                <w:sz w:val="24"/>
                <w:szCs w:val="24"/>
                <w:u w:val="none"/>
                <w:lang w:val="en-US" w:eastAsia="zh-CN" w:bidi="ar"/>
              </w:rPr>
              <w:t>净重：≤105KG</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r>
              <w:rPr>
                <w:rFonts w:hint="default" w:ascii="宋体" w:hAnsi="宋体" w:eastAsia="宋体" w:cs="宋体"/>
                <w:i w:val="0"/>
                <w:iCs w:val="0"/>
                <w:color w:val="000000"/>
                <w:kern w:val="0"/>
                <w:sz w:val="24"/>
                <w:szCs w:val="24"/>
                <w:u w:val="none"/>
                <w:lang w:val="en-US" w:eastAsia="zh-CN" w:bidi="ar"/>
              </w:rPr>
              <w:t xml:space="preserve">最大转数（RPM）：≥4500  </w:t>
            </w:r>
          </w:p>
          <w:p>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13、照明系统供电电源：</w:t>
            </w:r>
          </w:p>
          <w:p>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13.1标称电压：12-24V；</w:t>
            </w:r>
          </w:p>
          <w:p>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13.2容量：≥100AH；</w:t>
            </w:r>
          </w:p>
          <w:p>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13.3带负载能力:≥2400W；</w:t>
            </w:r>
          </w:p>
          <w:p>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13.4使用寿命:≥1000次；</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13.5防尘防水等级：≥IP68</w:t>
            </w:r>
          </w:p>
          <w:p>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13.6快拆或者独立设计，方便取下充电。</w:t>
            </w:r>
          </w:p>
          <w:p>
            <w:pPr>
              <w:numPr>
                <w:ilvl w:val="0"/>
                <w:numId w:val="0"/>
              </w:numPr>
              <w:spacing w:line="360" w:lineRule="auto"/>
              <w:ind w:left="0" w:leftChars="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14、</w:t>
            </w:r>
            <w:r>
              <w:rPr>
                <w:rFonts w:hint="eastAsia" w:ascii="宋体" w:hAnsi="宋体" w:eastAsia="宋体" w:cs="宋体"/>
                <w:i w:val="0"/>
                <w:iCs w:val="0"/>
                <w:color w:val="000000"/>
                <w:kern w:val="0"/>
                <w:sz w:val="24"/>
                <w:szCs w:val="24"/>
                <w:u w:val="none"/>
                <w:lang w:val="en-US" w:eastAsia="zh-CN" w:bidi="ar"/>
              </w:rPr>
              <w:t>船内照明系统</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14.1</w:t>
            </w:r>
            <w:r>
              <w:rPr>
                <w:rFonts w:hint="eastAsia" w:ascii="宋体" w:hAnsi="宋体" w:eastAsia="宋体" w:cs="宋体"/>
                <w:color w:val="000000"/>
                <w:kern w:val="0"/>
                <w:u w:val="none"/>
                <w:lang w:eastAsia="zh-CN" w:bidi="ar"/>
              </w:rPr>
              <w:t>★光源类型：LED、白激光光源；</w:t>
            </w:r>
            <w:r>
              <w:rPr>
                <w:rFonts w:hint="eastAsia" w:ascii="宋体" w:hAnsi="宋体" w:cs="宋体"/>
                <w:color w:val="000000"/>
                <w:kern w:val="0"/>
                <w:u w:val="none"/>
                <w:lang w:bidi="ar"/>
              </w:rPr>
              <w:t>（投标时提供第三方具有国家认可资质的机构出具的检测报告为佐证）</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14.2</w:t>
            </w:r>
            <w:r>
              <w:rPr>
                <w:rFonts w:hint="eastAsia" w:ascii="宋体" w:hAnsi="宋体" w:eastAsia="宋体" w:cs="宋体"/>
                <w:color w:val="000000"/>
                <w:kern w:val="0"/>
                <w:u w:val="none"/>
                <w:lang w:eastAsia="zh-CN" w:bidi="ar"/>
              </w:rPr>
              <w:t>照明功率：</w:t>
            </w:r>
            <w:r>
              <w:rPr>
                <w:rFonts w:hint="eastAsia" w:ascii="宋体" w:hAnsi="宋体" w:cs="宋体"/>
                <w:color w:val="000000"/>
                <w:kern w:val="0"/>
                <w:u w:val="none"/>
                <w:lang w:val="en-US" w:eastAsia="zh-CN" w:bidi="ar"/>
              </w:rPr>
              <w:t>≥</w:t>
            </w:r>
            <w:r>
              <w:rPr>
                <w:rFonts w:hint="eastAsia" w:ascii="宋体" w:hAnsi="宋体" w:eastAsia="宋体" w:cs="宋体"/>
                <w:color w:val="000000"/>
                <w:kern w:val="0"/>
                <w:u w:val="none"/>
                <w:lang w:eastAsia="zh-CN" w:bidi="ar"/>
              </w:rPr>
              <w:t>15W；</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14.3</w:t>
            </w:r>
            <w:r>
              <w:rPr>
                <w:rFonts w:hint="eastAsia" w:ascii="宋体" w:hAnsi="宋体" w:eastAsia="宋体" w:cs="宋体"/>
                <w:color w:val="000000"/>
                <w:kern w:val="0"/>
                <w:u w:val="none"/>
                <w:lang w:eastAsia="zh-CN" w:bidi="ar"/>
              </w:rPr>
              <w:t>重量：≤1.6 kg；</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14.4</w:t>
            </w:r>
            <w:r>
              <w:rPr>
                <w:rFonts w:hint="eastAsia" w:ascii="宋体" w:hAnsi="宋体" w:eastAsia="宋体" w:cs="宋体"/>
                <w:color w:val="000000"/>
                <w:kern w:val="0"/>
                <w:u w:val="none"/>
                <w:lang w:eastAsia="zh-CN" w:bidi="ar"/>
              </w:rPr>
              <w:t>配光角度：≤5°</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14.5</w:t>
            </w:r>
            <w:r>
              <w:rPr>
                <w:rFonts w:hint="eastAsia" w:ascii="宋体" w:hAnsi="宋体" w:eastAsia="宋体" w:cs="宋体"/>
                <w:color w:val="000000"/>
                <w:kern w:val="0"/>
                <w:u w:val="none"/>
                <w:lang w:eastAsia="zh-CN" w:bidi="ar"/>
              </w:rPr>
              <w:t>清晰可视距离：≥2000米，</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14.6</w:t>
            </w:r>
            <w:r>
              <w:rPr>
                <w:rFonts w:hint="eastAsia" w:ascii="宋体" w:hAnsi="宋体" w:eastAsia="宋体" w:cs="宋体"/>
                <w:color w:val="000000"/>
                <w:kern w:val="0"/>
                <w:u w:val="none"/>
                <w:lang w:eastAsia="zh-CN" w:bidi="ar"/>
              </w:rPr>
              <w:t>光强：≥500万坎德拉，</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14.7</w:t>
            </w:r>
            <w:r>
              <w:rPr>
                <w:rFonts w:hint="eastAsia" w:ascii="宋体" w:hAnsi="宋体" w:eastAsia="宋体" w:cs="宋体"/>
                <w:color w:val="000000"/>
                <w:kern w:val="0"/>
                <w:u w:val="none"/>
                <w:lang w:eastAsia="zh-CN" w:bidi="ar"/>
              </w:rPr>
              <w:t>★10米处照度≥10000 lx，40米处≥1000 lx，1000米处≥5 lx</w:t>
            </w:r>
            <w:r>
              <w:rPr>
                <w:rFonts w:hint="eastAsia" w:ascii="宋体" w:hAnsi="宋体" w:eastAsia="宋体" w:cs="宋体"/>
                <w:color w:val="000000"/>
                <w:kern w:val="0"/>
                <w:u w:val="none"/>
                <w:lang w:val="en-US" w:eastAsia="zh-CN" w:bidi="ar"/>
              </w:rPr>
              <w:t>（投标时提供第三方具有国家认可资质的机构出具的检测报告为佐证）</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14.8</w:t>
            </w:r>
            <w:r>
              <w:rPr>
                <w:rFonts w:hint="eastAsia" w:ascii="宋体" w:hAnsi="宋体" w:eastAsia="宋体" w:cs="宋体"/>
                <w:color w:val="000000"/>
                <w:kern w:val="0"/>
                <w:u w:val="none"/>
                <w:lang w:eastAsia="zh-CN" w:bidi="ar"/>
              </w:rPr>
              <w:t>可单独开启聚光、泛光光源，满足多场景照明需求；</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14.9</w:t>
            </w:r>
            <w:r>
              <w:rPr>
                <w:rFonts w:hint="eastAsia" w:ascii="宋体" w:hAnsi="宋体" w:eastAsia="宋体" w:cs="宋体"/>
                <w:color w:val="000000"/>
                <w:kern w:val="0"/>
                <w:u w:val="none"/>
                <w:lang w:eastAsia="zh-CN" w:bidi="ar"/>
              </w:rPr>
              <w:t>★照明功能：具备聚光、泛光及聚泛光强弱可调节功能。具备爆闪、红蓝警示灯功能。</w:t>
            </w:r>
            <w:r>
              <w:rPr>
                <w:rFonts w:hint="eastAsia" w:ascii="宋体" w:hAnsi="宋体" w:eastAsia="宋体" w:cs="宋体"/>
                <w:color w:val="000000"/>
                <w:kern w:val="0"/>
                <w:u w:val="none"/>
                <w:lang w:val="en-US" w:eastAsia="zh-CN" w:bidi="ar"/>
              </w:rPr>
              <w:t>（投标时提供第三方具有国家认可资质的机构出具的检测报告为佐证）</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14.10</w:t>
            </w:r>
            <w:r>
              <w:rPr>
                <w:rFonts w:hint="eastAsia" w:ascii="宋体" w:hAnsi="宋体" w:eastAsia="宋体" w:cs="宋体"/>
                <w:color w:val="000000"/>
                <w:kern w:val="0"/>
                <w:u w:val="none"/>
                <w:lang w:eastAsia="zh-CN" w:bidi="ar"/>
              </w:rPr>
              <w:t>具备电量指示功能</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14.11</w:t>
            </w:r>
            <w:r>
              <w:rPr>
                <w:rFonts w:hint="eastAsia" w:ascii="宋体" w:hAnsi="宋体" w:eastAsia="宋体" w:cs="宋体"/>
                <w:color w:val="000000"/>
                <w:kern w:val="0"/>
                <w:u w:val="none"/>
                <w:lang w:eastAsia="zh-CN" w:bidi="ar"/>
              </w:rPr>
              <w:t>工作时间强光≥10h，工作光≥20h；</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14.12</w:t>
            </w:r>
            <w:r>
              <w:rPr>
                <w:rFonts w:hint="eastAsia" w:ascii="宋体" w:hAnsi="宋体" w:eastAsia="宋体" w:cs="宋体"/>
                <w:color w:val="000000"/>
                <w:kern w:val="0"/>
                <w:u w:val="none"/>
                <w:lang w:eastAsia="zh-CN" w:bidi="ar"/>
              </w:rPr>
              <w:t>工作温度：-20℃ ～+50℃，</w:t>
            </w:r>
            <w:r>
              <w:rPr>
                <w:rFonts w:hint="eastAsia" w:ascii="宋体" w:hAnsi="宋体" w:eastAsia="宋体" w:cs="宋体"/>
                <w:color w:val="000000"/>
                <w:kern w:val="0"/>
                <w:u w:val="none"/>
                <w:lang w:val="en-US" w:eastAsia="zh-CN" w:bidi="ar"/>
              </w:rPr>
              <w:t>投标时提供</w:t>
            </w:r>
            <w:r>
              <w:rPr>
                <w:rFonts w:hint="eastAsia" w:ascii="宋体" w:hAnsi="宋体" w:eastAsia="宋体" w:cs="宋体"/>
                <w:color w:val="000000"/>
                <w:kern w:val="0"/>
                <w:u w:val="none"/>
                <w:lang w:eastAsia="zh-CN" w:bidi="ar"/>
              </w:rPr>
              <w:t>防爆合格证</w:t>
            </w:r>
            <w:r>
              <w:rPr>
                <w:rFonts w:hint="eastAsia" w:ascii="宋体" w:hAnsi="宋体" w:eastAsia="宋体" w:cs="宋体"/>
                <w:color w:val="000000"/>
                <w:kern w:val="0"/>
                <w:u w:val="none"/>
                <w:lang w:val="en-US" w:eastAsia="zh-CN" w:bidi="ar"/>
              </w:rPr>
              <w:t>作为佐证</w:t>
            </w:r>
            <w:r>
              <w:rPr>
                <w:rFonts w:hint="eastAsia" w:ascii="宋体" w:hAnsi="宋体" w:eastAsia="宋体" w:cs="宋体"/>
                <w:color w:val="000000"/>
                <w:kern w:val="0"/>
                <w:u w:val="none"/>
                <w:lang w:eastAsia="zh-CN" w:bidi="ar"/>
              </w:rPr>
              <w:t>；</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14.13</w:t>
            </w:r>
            <w:r>
              <w:rPr>
                <w:rFonts w:hint="eastAsia" w:ascii="宋体" w:hAnsi="宋体" w:eastAsia="宋体" w:cs="宋体"/>
                <w:color w:val="000000"/>
                <w:kern w:val="0"/>
                <w:u w:val="none"/>
                <w:lang w:eastAsia="zh-CN" w:bidi="ar"/>
              </w:rPr>
              <w:t>防爆等级：具备气体\粉尘防爆认证，防爆标记：Ex d ia mb IIC T6 Gb，Ex tD A21 IP68 T80℃；</w:t>
            </w:r>
          </w:p>
          <w:p>
            <w:pPr>
              <w:numPr>
                <w:ilvl w:val="0"/>
                <w:numId w:val="0"/>
              </w:numPr>
              <w:spacing w:line="360" w:lineRule="auto"/>
              <w:rPr>
                <w:rFonts w:hint="eastAsia" w:ascii="宋体" w:hAnsi="宋体" w:eastAsia="宋体" w:cs="宋体"/>
                <w:color w:val="000000"/>
                <w:kern w:val="0"/>
                <w:u w:val="none"/>
                <w:lang w:eastAsia="zh-CN" w:bidi="ar"/>
              </w:rPr>
            </w:pPr>
            <w:r>
              <w:rPr>
                <w:rFonts w:hint="eastAsia" w:ascii="宋体" w:hAnsi="宋体" w:cs="宋体"/>
                <w:color w:val="000000"/>
                <w:kern w:val="0"/>
                <w:u w:val="none"/>
                <w:lang w:val="en-US" w:eastAsia="zh-CN" w:bidi="ar"/>
              </w:rPr>
              <w:t>14.14</w:t>
            </w:r>
            <w:r>
              <w:rPr>
                <w:rFonts w:hint="eastAsia" w:ascii="宋体" w:hAnsi="宋体" w:eastAsia="宋体" w:cs="宋体"/>
                <w:color w:val="000000"/>
                <w:kern w:val="0"/>
                <w:u w:val="none"/>
                <w:lang w:eastAsia="zh-CN" w:bidi="ar"/>
              </w:rPr>
              <w:t>防护等级IP68，</w:t>
            </w:r>
            <w:r>
              <w:rPr>
                <w:rFonts w:hint="eastAsia" w:ascii="宋体" w:hAnsi="宋体" w:eastAsia="宋体" w:cs="宋体"/>
                <w:color w:val="000000"/>
                <w:kern w:val="0"/>
                <w:u w:val="none"/>
                <w:lang w:val="en-US" w:eastAsia="zh-CN" w:bidi="ar"/>
              </w:rPr>
              <w:t>投标时提供</w:t>
            </w:r>
            <w:r>
              <w:rPr>
                <w:rFonts w:hint="eastAsia" w:ascii="宋体" w:hAnsi="宋体" w:eastAsia="宋体" w:cs="宋体"/>
                <w:color w:val="000000"/>
                <w:kern w:val="0"/>
                <w:u w:val="none"/>
                <w:lang w:eastAsia="zh-CN" w:bidi="ar"/>
              </w:rPr>
              <w:t>防爆合格证</w:t>
            </w:r>
            <w:r>
              <w:rPr>
                <w:rFonts w:hint="eastAsia" w:ascii="宋体" w:hAnsi="宋体" w:eastAsia="宋体" w:cs="宋体"/>
                <w:color w:val="000000"/>
                <w:kern w:val="0"/>
                <w:u w:val="none"/>
                <w:lang w:val="en-US" w:eastAsia="zh-CN" w:bidi="ar"/>
              </w:rPr>
              <w:t>作为佐证</w:t>
            </w:r>
            <w:r>
              <w:rPr>
                <w:rFonts w:hint="eastAsia" w:ascii="宋体" w:hAnsi="宋体" w:eastAsia="宋体" w:cs="宋体"/>
                <w:color w:val="000000"/>
                <w:kern w:val="0"/>
                <w:u w:val="none"/>
                <w:lang w:eastAsia="zh-CN" w:bidi="ar"/>
              </w:rPr>
              <w:t>；</w:t>
            </w:r>
          </w:p>
          <w:p>
            <w:pPr>
              <w:keepNext w:val="0"/>
              <w:keepLines w:val="0"/>
              <w:widowControl/>
              <w:numPr>
                <w:ilvl w:val="0"/>
                <w:numId w:val="0"/>
              </w:numPr>
              <w:suppressLineNumbers w:val="0"/>
              <w:spacing w:line="360" w:lineRule="auto"/>
              <w:ind w:firstLine="0" w:firstLineChars="0"/>
              <w:jc w:val="left"/>
              <w:textAlignment w:val="auto"/>
              <w:rPr>
                <w:rFonts w:hint="eastAsia" w:ascii="宋体" w:hAnsi="宋体" w:eastAsia="宋体" w:cs="宋体"/>
                <w:i w:val="0"/>
                <w:iCs w:val="0"/>
                <w:color w:val="auto"/>
                <w:sz w:val="24"/>
                <w:szCs w:val="24"/>
                <w:highlight w:val="none"/>
                <w:u w:val="none"/>
              </w:rPr>
            </w:pPr>
            <w:r>
              <w:rPr>
                <w:rFonts w:hint="eastAsia" w:ascii="宋体" w:hAnsi="宋体" w:cs="宋体"/>
                <w:color w:val="000000"/>
                <w:kern w:val="0"/>
                <w:u w:val="none"/>
                <w:lang w:val="en-US" w:eastAsia="zh-CN" w:bidi="ar"/>
              </w:rPr>
              <w:t>14.15</w:t>
            </w:r>
            <w:r>
              <w:rPr>
                <w:rFonts w:hint="eastAsia" w:ascii="宋体" w:hAnsi="宋体" w:eastAsia="宋体" w:cs="宋体"/>
                <w:color w:val="000000"/>
                <w:kern w:val="0"/>
                <w:u w:val="none"/>
                <w:lang w:eastAsia="zh-CN" w:bidi="ar"/>
              </w:rPr>
              <w:t>外壳耐冲击性能：外壳能耐≥7焦耳冲击，透明件耐≥4焦耳冲击不损坏。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救援舟艇组合（橡皮舟）</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1、外形尺寸：长*宽*高*型深≥4200mm*1900mm*600mm440mm；</w:t>
            </w:r>
          </w:p>
          <w:p>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2、气室≥5个</w:t>
            </w:r>
          </w:p>
          <w:p>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3、承重≥750KG、核载人数:≥8人。  </w:t>
            </w:r>
          </w:p>
          <w:p>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4、★船身设有外置控制单元，充气前打开使各气室连通，一次充满，无需各个气室单独充气，减少充气时间。充气完成后关闭，使各气室又相互独立。每条船艇配备一个气瓶充气转接口，充气时间≤90s（气瓶）</w:t>
            </w:r>
          </w:p>
          <w:p>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5、船体挂机艉板为可更换式艉板，即便于长短轴发动机交替使用，又便于破损后快速维修更换。</w:t>
            </w:r>
          </w:p>
          <w:p>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6、材质：采用优质PVC加网材质，厚度≥0.9mm，具有耐油、耐磨损、耐盐碱的优点及优越的抗腐蚀,抗高温，抗紫外线性能。</w:t>
            </w:r>
          </w:p>
          <w:p>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7、船底结构：船底附加防护装甲，增加底板耐磨性与防穿刺强度。</w:t>
            </w:r>
          </w:p>
          <w:p>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8、配置要求：铝合金船桨2支，手动气泵1个，船包1个，维修工具1套（气阀扳手1个、胶水1支，维修材料2张）</w:t>
            </w:r>
          </w:p>
          <w:p>
            <w:pPr>
              <w:numPr>
                <w:ilvl w:val="0"/>
                <w:numId w:val="0"/>
              </w:numPr>
              <w:spacing w:line="360" w:lineRule="auto"/>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9、船外机</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r>
              <w:rPr>
                <w:rFonts w:hint="default" w:ascii="宋体" w:hAnsi="宋体" w:eastAsia="宋体" w:cs="宋体"/>
                <w:i w:val="0"/>
                <w:iCs w:val="0"/>
                <w:color w:val="000000"/>
                <w:kern w:val="0"/>
                <w:sz w:val="24"/>
                <w:szCs w:val="24"/>
                <w:u w:val="none"/>
                <w:lang w:val="en-US" w:eastAsia="zh-CN" w:bidi="ar"/>
              </w:rPr>
              <w:t>产品为2冲程，气缸数：</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2</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r>
              <w:rPr>
                <w:rFonts w:hint="default" w:ascii="宋体" w:hAnsi="宋体" w:eastAsia="宋体" w:cs="宋体"/>
                <w:i w:val="0"/>
                <w:iCs w:val="0"/>
                <w:color w:val="000000"/>
                <w:kern w:val="0"/>
                <w:sz w:val="24"/>
                <w:szCs w:val="24"/>
                <w:u w:val="none"/>
                <w:lang w:val="en-US" w:eastAsia="zh-CN" w:bidi="ar"/>
              </w:rPr>
              <w:t>额定功率： ≥22kw</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r>
              <w:rPr>
                <w:rFonts w:hint="default" w:ascii="宋体" w:hAnsi="宋体" w:eastAsia="宋体" w:cs="宋体"/>
                <w:i w:val="0"/>
                <w:iCs w:val="0"/>
                <w:color w:val="000000"/>
                <w:kern w:val="0"/>
                <w:sz w:val="24"/>
                <w:szCs w:val="24"/>
                <w:u w:val="none"/>
                <w:lang w:val="en-US" w:eastAsia="zh-CN" w:bidi="ar"/>
              </w:rPr>
              <w:t>排气量 ：≥</w:t>
            </w:r>
            <w:r>
              <w:rPr>
                <w:rFonts w:hint="eastAsia" w:ascii="宋体" w:hAnsi="宋体" w:eastAsia="宋体" w:cs="宋体"/>
                <w:i w:val="0"/>
                <w:iCs w:val="0"/>
                <w:color w:val="000000"/>
                <w:kern w:val="0"/>
                <w:sz w:val="24"/>
                <w:szCs w:val="24"/>
                <w:u w:val="none"/>
                <w:lang w:val="en-US" w:eastAsia="zh-CN" w:bidi="ar"/>
              </w:rPr>
              <w:t>496</w:t>
            </w:r>
            <w:r>
              <w:rPr>
                <w:rFonts w:hint="default" w:ascii="宋体" w:hAnsi="宋体" w:eastAsia="宋体" w:cs="宋体"/>
                <w:i w:val="0"/>
                <w:iCs w:val="0"/>
                <w:color w:val="000000"/>
                <w:kern w:val="0"/>
                <w:sz w:val="24"/>
                <w:szCs w:val="24"/>
                <w:u w:val="none"/>
                <w:lang w:val="en-US" w:eastAsia="zh-CN" w:bidi="ar"/>
              </w:rPr>
              <w:t>cc</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r>
              <w:rPr>
                <w:rFonts w:hint="default" w:ascii="宋体" w:hAnsi="宋体" w:eastAsia="宋体" w:cs="宋体"/>
                <w:i w:val="0"/>
                <w:iCs w:val="0"/>
                <w:color w:val="000000"/>
                <w:kern w:val="0"/>
                <w:sz w:val="24"/>
                <w:szCs w:val="24"/>
                <w:u w:val="none"/>
                <w:lang w:val="en-US" w:eastAsia="zh-CN" w:bidi="ar"/>
              </w:rPr>
              <w:t>启动方式：手动</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r>
              <w:rPr>
                <w:rFonts w:hint="default" w:ascii="宋体" w:hAnsi="宋体" w:eastAsia="宋体" w:cs="宋体"/>
                <w:i w:val="0"/>
                <w:iCs w:val="0"/>
                <w:color w:val="000000"/>
                <w:kern w:val="0"/>
                <w:sz w:val="24"/>
                <w:szCs w:val="24"/>
                <w:u w:val="none"/>
                <w:lang w:val="en-US" w:eastAsia="zh-CN" w:bidi="ar"/>
              </w:rPr>
              <w:t>操作方式：后操</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r>
              <w:rPr>
                <w:rFonts w:hint="default" w:ascii="宋体" w:hAnsi="宋体" w:eastAsia="宋体" w:cs="宋体"/>
                <w:i w:val="0"/>
                <w:iCs w:val="0"/>
                <w:color w:val="000000"/>
                <w:kern w:val="0"/>
                <w:sz w:val="24"/>
                <w:szCs w:val="24"/>
                <w:u w:val="none"/>
                <w:lang w:val="en-US" w:eastAsia="zh-CN" w:bidi="ar"/>
              </w:rPr>
              <w:t>燃油 ：汽油</w:t>
            </w:r>
          </w:p>
          <w:p>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r>
              <w:rPr>
                <w:rFonts w:hint="default" w:ascii="宋体" w:hAnsi="宋体" w:eastAsia="宋体" w:cs="宋体"/>
                <w:i w:val="0"/>
                <w:iCs w:val="0"/>
                <w:color w:val="000000"/>
                <w:kern w:val="0"/>
                <w:sz w:val="24"/>
                <w:szCs w:val="24"/>
                <w:u w:val="none"/>
                <w:lang w:val="en-US" w:eastAsia="zh-CN" w:bidi="ar"/>
              </w:rPr>
              <w:t>冷确系统：水冷</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9.8缸径*行程：≥72*61mm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救援浮桥</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rPr>
              <w:t>1</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救援浮桥主体采用高强拉丝气垫，底面增设耐磨材料，正面增设可快速拆卸及更换的防滑材料。前端圆形设计减少在水中的行驶阻力。救生浮台底部设计的两条龙骨，可减少水中前行的阻力。充气展开后可通过前后、横向搭接的方式，迅速建立水面、冰面、泥地、沼泽、湿地和其他不稳定地形的救援平台和浮动码头。可利用牵引钩环在其他机动船艇后拖拽前行，更加适合人员及物资的快速转运。采用国际先进粘合技术保证气密性，具有耐老化、防紫外线等卓</w:t>
            </w:r>
            <w:r>
              <w:rPr>
                <w:rFonts w:hint="eastAsia" w:ascii="宋体" w:hAnsi="宋体" w:eastAsia="宋体" w:cs="宋体"/>
                <w:i w:val="0"/>
                <w:iCs w:val="0"/>
                <w:color w:val="auto"/>
                <w:sz w:val="24"/>
                <w:szCs w:val="24"/>
                <w:u w:val="none"/>
              </w:rPr>
              <w:t>越性能。充排气阀带有自锁功能，低压操作安全可靠。救生浮台周围 有反光条，在黑暗环境下便于识别。两边有救生绳索，前后及左右设有柔性连接固定带便于搭接。</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w:t>
            </w:r>
            <w:r>
              <w:rPr>
                <w:rFonts w:hint="eastAsia" w:ascii="宋体" w:hAnsi="宋体" w:eastAsia="宋体" w:cs="宋体"/>
                <w:i w:val="0"/>
                <w:iCs w:val="0"/>
                <w:color w:val="auto"/>
                <w:sz w:val="24"/>
                <w:szCs w:val="24"/>
                <w:u w:val="none"/>
                <w:lang w:eastAsia="zh-CN"/>
              </w:rPr>
              <w:t>、</w:t>
            </w:r>
            <w:r>
              <w:rPr>
                <w:rFonts w:hint="eastAsia" w:ascii="宋体" w:hAnsi="宋体" w:eastAsia="宋体" w:cs="宋体"/>
                <w:i w:val="0"/>
                <w:iCs w:val="0"/>
                <w:color w:val="auto"/>
                <w:sz w:val="24"/>
                <w:szCs w:val="24"/>
                <w:u w:val="none"/>
              </w:rPr>
              <w:t>单个救援平台参数：</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2.1</w:t>
            </w:r>
            <w:r>
              <w:rPr>
                <w:rFonts w:hint="eastAsia" w:ascii="宋体" w:hAnsi="宋体" w:eastAsia="宋体" w:cs="宋体"/>
                <w:i w:val="0"/>
                <w:iCs w:val="0"/>
                <w:color w:val="auto"/>
                <w:sz w:val="24"/>
                <w:szCs w:val="24"/>
                <w:u w:val="none"/>
              </w:rPr>
              <w:t>长</w:t>
            </w:r>
            <w:r>
              <w:rPr>
                <w:rFonts w:hint="eastAsia" w:ascii="宋体" w:hAnsi="宋体" w:cs="宋体"/>
                <w:i w:val="0"/>
                <w:iCs w:val="0"/>
                <w:color w:val="auto"/>
                <w:sz w:val="24"/>
                <w:szCs w:val="24"/>
                <w:u w:val="none"/>
                <w:lang w:val="en-US" w:eastAsia="zh-CN"/>
              </w:rPr>
              <w:t>*宽*高</w:t>
            </w:r>
            <w:r>
              <w:rPr>
                <w:rFonts w:hint="eastAsia" w:ascii="宋体" w:hAnsi="宋体" w:eastAsia="宋体" w:cs="宋体"/>
                <w:i w:val="0"/>
                <w:iCs w:val="0"/>
                <w:color w:val="auto"/>
                <w:sz w:val="24"/>
                <w:szCs w:val="24"/>
                <w:u w:val="none"/>
              </w:rPr>
              <w:t>≥5000</w:t>
            </w:r>
            <w:r>
              <w:rPr>
                <w:rFonts w:hint="eastAsia" w:ascii="宋体" w:hAnsi="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1200</w:t>
            </w:r>
            <w:r>
              <w:rPr>
                <w:rFonts w:hint="eastAsia" w:ascii="宋体" w:hAnsi="宋体" w:cs="宋体"/>
                <w:i w:val="0"/>
                <w:iCs w:val="0"/>
                <w:color w:val="auto"/>
                <w:sz w:val="24"/>
                <w:szCs w:val="24"/>
                <w:u w:val="none"/>
                <w:lang w:val="en-US" w:eastAsia="zh-CN"/>
              </w:rPr>
              <w:t>*150</w:t>
            </w:r>
            <w:r>
              <w:rPr>
                <w:rFonts w:hint="eastAsia" w:ascii="宋体" w:hAnsi="宋体" w:eastAsia="宋体" w:cs="宋体"/>
                <w:i w:val="0"/>
                <w:iCs w:val="0"/>
                <w:color w:val="auto"/>
                <w:sz w:val="24"/>
                <w:szCs w:val="24"/>
                <w:u w:val="none"/>
              </w:rPr>
              <w:t>mm</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2.2</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sz w:val="24"/>
                <w:szCs w:val="24"/>
                <w:u w:val="none"/>
              </w:rPr>
              <w:t>增强浮高≥150mm</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2.3</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sz w:val="24"/>
                <w:szCs w:val="24"/>
                <w:u w:val="none"/>
              </w:rPr>
              <w:t>承重≥580KG</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2.4</w:t>
            </w:r>
            <w:r>
              <w:rPr>
                <w:rFonts w:hint="eastAsia" w:ascii="宋体" w:hAnsi="宋体" w:eastAsia="宋体" w:cs="宋体"/>
                <w:i w:val="0"/>
                <w:iCs w:val="0"/>
                <w:color w:val="auto"/>
                <w:sz w:val="24"/>
                <w:szCs w:val="24"/>
                <w:u w:val="none"/>
              </w:rPr>
              <w:t>空气需求量(升)≤900L</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2.5</w:t>
            </w:r>
            <w:r>
              <w:rPr>
                <w:rFonts w:hint="eastAsia" w:ascii="宋体" w:hAnsi="宋体" w:eastAsia="宋体" w:cs="宋体"/>
                <w:i w:val="0"/>
                <w:iCs w:val="0"/>
                <w:color w:val="auto"/>
                <w:sz w:val="24"/>
                <w:szCs w:val="24"/>
                <w:u w:val="none"/>
              </w:rPr>
              <w:t>工作压力(巴)≤0.75bar</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2.6</w:t>
            </w:r>
            <w:r>
              <w:rPr>
                <w:rFonts w:hint="eastAsia" w:ascii="宋体" w:hAnsi="宋体" w:eastAsia="宋体" w:cs="宋体"/>
                <w:i w:val="0"/>
                <w:iCs w:val="0"/>
                <w:color w:val="000000"/>
                <w:sz w:val="24"/>
                <w:szCs w:val="24"/>
                <w:u w:val="none"/>
              </w:rPr>
              <w:t>耐低温≤-40℃</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耐高温≥+70℃</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u w:val="none"/>
                <w:lang w:val="en-US" w:eastAsia="zh-CN"/>
              </w:rPr>
              <w:t>2.7</w:t>
            </w:r>
            <w:r>
              <w:rPr>
                <w:rFonts w:hint="eastAsia" w:ascii="宋体" w:hAnsi="宋体" w:eastAsia="宋体" w:cs="宋体"/>
                <w:i w:val="0"/>
                <w:iCs w:val="0"/>
                <w:color w:val="000000"/>
                <w:sz w:val="24"/>
                <w:szCs w:val="24"/>
                <w:u w:val="none"/>
              </w:rPr>
              <w:t>安全阀：气压大于 0.75 巴时自动泄压，避免过度充气，使用 6.8L气</w:t>
            </w:r>
            <w:r>
              <w:rPr>
                <w:rFonts w:hint="eastAsia" w:ascii="宋体" w:hAnsi="宋体" w:eastAsia="宋体" w:cs="宋体"/>
                <w:i w:val="0"/>
                <w:iCs w:val="0"/>
                <w:color w:val="000000"/>
                <w:sz w:val="24"/>
                <w:szCs w:val="24"/>
                <w:highlight w:val="none"/>
                <w:u w:val="none"/>
              </w:rPr>
              <w:t>瓶实现快速充气，单套充气时间控制在</w:t>
            </w:r>
            <w:r>
              <w:rPr>
                <w:rFonts w:hint="eastAsia" w:ascii="宋体" w:hAnsi="宋体" w:eastAsia="宋体" w:cs="宋体"/>
                <w:i w:val="0"/>
                <w:iCs w:val="0"/>
                <w:color w:val="000000"/>
                <w:sz w:val="24"/>
                <w:szCs w:val="24"/>
                <w:highlight w:val="none"/>
                <w:u w:val="none"/>
                <w:lang w:val="en-US" w:eastAsia="zh-CN"/>
              </w:rPr>
              <w:t>不超过</w:t>
            </w:r>
            <w:r>
              <w:rPr>
                <w:rFonts w:hint="eastAsia" w:ascii="宋体" w:hAnsi="宋体" w:eastAsia="宋体" w:cs="宋体"/>
                <w:i w:val="0"/>
                <w:iCs w:val="0"/>
                <w:color w:val="000000"/>
                <w:sz w:val="24"/>
                <w:szCs w:val="24"/>
                <w:highlight w:val="none"/>
                <w:u w:val="none"/>
              </w:rPr>
              <w:t>5分钟。</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2.8</w:t>
            </w:r>
            <w:r>
              <w:rPr>
                <w:rFonts w:hint="eastAsia" w:ascii="宋体" w:hAnsi="宋体" w:eastAsia="宋体" w:cs="宋体"/>
                <w:i w:val="0"/>
                <w:iCs w:val="0"/>
                <w:color w:val="000000"/>
                <w:sz w:val="24"/>
                <w:szCs w:val="24"/>
                <w:highlight w:val="none"/>
                <w:u w:val="none"/>
              </w:rPr>
              <w:t>救生绳:直径</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4"/>
                <w:szCs w:val="24"/>
                <w:highlight w:val="none"/>
                <w:u w:val="none"/>
              </w:rPr>
              <w:t>15 mm，灰色涤纶材料制成</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highlight w:val="none"/>
                <w:u w:val="none"/>
                <w:lang w:val="en-US" w:eastAsia="zh-CN"/>
              </w:rPr>
              <w:t>2.9</w:t>
            </w:r>
            <w:r>
              <w:rPr>
                <w:rFonts w:hint="eastAsia" w:ascii="宋体" w:hAnsi="宋体" w:eastAsia="宋体" w:cs="宋体"/>
                <w:i w:val="0"/>
                <w:iCs w:val="0"/>
                <w:color w:val="000000"/>
                <w:kern w:val="0"/>
                <w:sz w:val="24"/>
                <w:szCs w:val="24"/>
                <w:u w:val="none"/>
                <w:lang w:val="en-US" w:eastAsia="zh-CN" w:bidi="ar"/>
              </w:rPr>
              <w:t>浮桥</w:t>
            </w:r>
            <w:r>
              <w:rPr>
                <w:rFonts w:hint="eastAsia" w:ascii="宋体" w:hAnsi="宋体" w:eastAsia="宋体" w:cs="宋体"/>
                <w:i w:val="0"/>
                <w:iCs w:val="0"/>
                <w:color w:val="000000"/>
                <w:sz w:val="24"/>
                <w:szCs w:val="24"/>
                <w:highlight w:val="none"/>
                <w:u w:val="none"/>
              </w:rPr>
              <w:t>重量：≥45公斤(单个)</w:t>
            </w:r>
            <w:r>
              <w:rPr>
                <w:rFonts w:hint="eastAsia" w:ascii="宋体" w:hAnsi="宋体" w:cs="宋体"/>
                <w:i w:val="0"/>
                <w:iCs w:val="0"/>
                <w:color w:val="000000"/>
                <w:sz w:val="24"/>
                <w:szCs w:val="24"/>
                <w:highlight w:val="none"/>
                <w:u w:val="none"/>
                <w:lang w:eastAsia="zh-CN"/>
              </w:rPr>
              <w:t>，</w:t>
            </w:r>
            <w:r>
              <w:rPr>
                <w:rFonts w:hint="eastAsia" w:ascii="宋体" w:hAnsi="宋体" w:eastAsia="宋体" w:cs="宋体"/>
                <w:i w:val="0"/>
                <w:iCs w:val="0"/>
                <w:color w:val="000000"/>
                <w:sz w:val="24"/>
                <w:szCs w:val="24"/>
                <w:u w:val="none"/>
              </w:rPr>
              <w:t>侧边连接带：2条</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侧边连接环：2个</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尾部连接带：2条</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尾部连接环：2个</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面料经向破断强力≥3400N，纬向破断强力≥3900N。每套救援浮桥配有≥10个安全钩，可实现救援浮桥拼接形成大面积可跨河桥段从而转移被困人员或转移物资。浮桥设有平稳设计，确保救援人员在浮桥上行走，浮桥不易侧翻，不易倾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弦外机</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1、最大功率(千瓦):≥22KW</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2、转速(转/分):4500-5500</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3、冲程：≥2</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4、缸体：≥2</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5、排气量(立方厘米): ≥496</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6、缸径x行程(毫米): ≥72x61±5</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7、重量:≤54KG</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8、档位:前进 – 空档 – 倒档</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9、点火系统:CDI</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10、冷却系统: 水冷</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11、启动系统: 手动 </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12、操控系统: 操舵 </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13、润滑系统:汽油&amp;机油</w:t>
            </w:r>
          </w:p>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14、标准配置油箱（升）≥24L</w:t>
            </w:r>
          </w:p>
        </w:tc>
      </w:tr>
    </w:tbl>
    <w:p>
      <w:pPr>
        <w:widowControl/>
        <w:numPr>
          <w:ilvl w:val="-1"/>
          <w:numId w:val="0"/>
        </w:numPr>
        <w:ind w:firstLine="0" w:firstLineChars="0"/>
        <w:jc w:val="left"/>
        <w:rPr>
          <w:rFonts w:hint="eastAsia" w:ascii="宋体" w:hAnsi="宋体" w:eastAsia="宋体" w:cs="宋体"/>
          <w:bCs/>
          <w:color w:val="auto"/>
          <w:sz w:val="24"/>
          <w:highlight w:val="none"/>
        </w:rPr>
      </w:pPr>
    </w:p>
    <w:p>
      <w:pPr>
        <w:rPr>
          <w:rFonts w:ascii="宋体" w:hAnsi="宋体" w:cs="宋体"/>
          <w:snapToGrid w:val="0"/>
          <w:color w:val="auto"/>
          <w:kern w:val="0"/>
          <w:sz w:val="24"/>
          <w:highlight w:val="none"/>
        </w:rPr>
      </w:pPr>
    </w:p>
    <w:p>
      <w:pPr>
        <w:pStyle w:val="2"/>
        <w:rPr>
          <w:rFonts w:ascii="宋体" w:hAnsi="宋体" w:cs="宋体"/>
          <w:snapToGrid w:val="0"/>
          <w:color w:val="auto"/>
          <w:kern w:val="0"/>
          <w:sz w:val="24"/>
          <w:highlight w:val="none"/>
        </w:rPr>
      </w:pPr>
    </w:p>
    <w:p>
      <w:pPr>
        <w:pStyle w:val="4"/>
        <w:rPr>
          <w:rFonts w:ascii="宋体" w:hAnsi="宋体" w:cs="宋体"/>
          <w:snapToGrid w:val="0"/>
          <w:color w:val="auto"/>
          <w:kern w:val="0"/>
          <w:sz w:val="24"/>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numPr>
          <w:ilvl w:val="-1"/>
          <w:numId w:val="0"/>
        </w:numPr>
        <w:ind w:firstLine="0" w:firstLineChars="0"/>
        <w:rPr>
          <w:rFonts w:hint="eastAsia"/>
          <w:b/>
          <w:bCs/>
          <w:lang w:val="en-US" w:eastAsia="zh-CN"/>
        </w:rPr>
      </w:pPr>
      <w:r>
        <w:rPr>
          <w:rFonts w:hint="eastAsia"/>
          <w:b/>
          <w:bCs/>
          <w:lang w:val="en-US" w:eastAsia="zh-CN"/>
        </w:rPr>
        <w:t>三、商务条款</w:t>
      </w:r>
    </w:p>
    <w:p>
      <w:pPr>
        <w:numPr>
          <w:ilvl w:val="0"/>
          <w:numId w:val="0"/>
        </w:numPr>
        <w:spacing w:line="360" w:lineRule="auto"/>
        <w:ind w:firstLine="480" w:firstLineChars="200"/>
        <w:jc w:val="both"/>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1、服务要求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 售中服务</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1.1 包括运输、保险、卸货到采购人指定地点、保管、开箱验收（箱体外观无人为损坏情况下）、安装调试、检测、试运行、检验、权威部门检定、最终验收并交付；</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 xml:space="preserve">1.2 </w:t>
      </w:r>
      <w:r>
        <w:rPr>
          <w:rFonts w:hint="eastAsia" w:ascii="宋体" w:hAnsi="宋体" w:cs="宋体"/>
          <w:sz w:val="24"/>
          <w:u w:val="none"/>
          <w:lang w:val="en-US" w:eastAsia="zh-CN"/>
        </w:rPr>
        <w:t>产品需根据采购人要求绘制标识图案。</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1.3 到货地点：采购人指定地点；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1.4 交货方式：现场交货；</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w:t>
      </w:r>
      <w:r>
        <w:rPr>
          <w:rFonts w:hint="eastAsia" w:ascii="宋体" w:hAnsi="宋体" w:eastAsia="宋体" w:cs="宋体"/>
          <w:sz w:val="24"/>
          <w:u w:val="none"/>
          <w:lang w:val="en-US" w:eastAsia="zh-CN"/>
        </w:rPr>
        <w:t>5</w:t>
      </w:r>
      <w:r>
        <w:rPr>
          <w:rFonts w:hint="eastAsia" w:ascii="宋体" w:hAnsi="宋体" w:eastAsia="宋体" w:cs="宋体"/>
          <w:sz w:val="24"/>
          <w:u w:val="none"/>
          <w:lang w:eastAsia="zh-CN"/>
        </w:rPr>
        <w:t xml:space="preserve"> 安装地点：采购人指定地点；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w:t>
      </w:r>
      <w:r>
        <w:rPr>
          <w:rFonts w:hint="eastAsia" w:ascii="宋体" w:hAnsi="宋体" w:eastAsia="宋体" w:cs="宋体"/>
          <w:sz w:val="24"/>
          <w:u w:val="none"/>
          <w:lang w:val="en-US" w:eastAsia="zh-CN"/>
        </w:rPr>
        <w:t>6</w:t>
      </w:r>
      <w:r>
        <w:rPr>
          <w:rFonts w:hint="eastAsia" w:ascii="宋体" w:hAnsi="宋体" w:eastAsia="宋体" w:cs="宋体"/>
          <w:sz w:val="24"/>
          <w:u w:val="none"/>
          <w:lang w:eastAsia="zh-CN"/>
        </w:rPr>
        <w:t xml:space="preserve"> 如在规定的时间内由于乙方的原因不能完成安装和调试，乙方应承担由此给采购人造成的损失</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w:t>
      </w:r>
      <w:r>
        <w:rPr>
          <w:rFonts w:hint="eastAsia" w:ascii="宋体" w:hAnsi="宋体" w:eastAsia="宋体" w:cs="宋体"/>
          <w:sz w:val="24"/>
          <w:u w:val="none"/>
          <w:lang w:val="en-US" w:eastAsia="zh-CN"/>
        </w:rPr>
        <w:t>7</w:t>
      </w:r>
      <w:r>
        <w:rPr>
          <w:rFonts w:hint="eastAsia" w:ascii="宋体" w:hAnsi="宋体" w:eastAsia="宋体" w:cs="宋体"/>
          <w:sz w:val="24"/>
          <w:u w:val="none"/>
          <w:lang w:eastAsia="zh-CN"/>
        </w:rPr>
        <w:t xml:space="preserve"> 安装标准：符合有关技术规范要求和技术标准。</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cs="宋体"/>
          <w:sz w:val="24"/>
          <w:u w:val="none"/>
          <w:lang w:val="en-US" w:eastAsia="zh-CN"/>
        </w:rPr>
        <w:t xml:space="preserve">1.8 </w:t>
      </w:r>
      <w:r>
        <w:rPr>
          <w:rFonts w:hint="eastAsia" w:ascii="宋体" w:hAnsi="宋体" w:eastAsia="宋体" w:cs="宋体"/>
          <w:sz w:val="24"/>
          <w:u w:val="none"/>
          <w:lang w:eastAsia="zh-CN"/>
        </w:rPr>
        <w:t>安装过程中发生的费用由乙方负责。投标人在投标文件中提供其安装调试过程中需采购人配合的内容。</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val="en-US" w:eastAsia="zh-CN"/>
        </w:rPr>
        <w:t>2</w:t>
      </w:r>
      <w:r>
        <w:rPr>
          <w:rFonts w:hint="eastAsia" w:ascii="宋体" w:hAnsi="宋体" w:eastAsia="宋体" w:cs="宋体"/>
          <w:sz w:val="24"/>
          <w:u w:val="none"/>
          <w:lang w:eastAsia="zh-CN"/>
        </w:rPr>
        <w:t>. 培训</w:t>
      </w:r>
    </w:p>
    <w:p>
      <w:pPr>
        <w:pStyle w:val="2"/>
        <w:rPr>
          <w:rFonts w:hint="default"/>
          <w:lang w:val="en-US" w:eastAsia="zh-CN"/>
        </w:rPr>
      </w:pPr>
      <w:r>
        <w:rPr>
          <w:rFonts w:hint="eastAsia" w:ascii="宋体" w:hAnsi="宋体" w:eastAsia="宋体" w:cs="宋体"/>
          <w:sz w:val="24"/>
          <w:u w:val="none"/>
          <w:lang w:eastAsia="zh-CN"/>
        </w:rPr>
        <w:t>为使用户能正确使用</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，供应商将派遣有丰富经验的高水平技术人员前往进行</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的安装调试、现场培训操作人员及</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相关的应用维护，随时对用户提出的问题进行解答，并进行指导。提供培训（</w:t>
      </w:r>
      <w:r>
        <w:rPr>
          <w:rFonts w:hint="eastAsia" w:ascii="宋体" w:hAnsi="宋体" w:eastAsia="宋体" w:cs="宋体"/>
          <w:sz w:val="24"/>
          <w:u w:val="none"/>
          <w:lang w:val="en-US" w:eastAsia="zh-CN"/>
        </w:rPr>
        <w:t>费用含在投标总价中</w:t>
      </w:r>
      <w:r>
        <w:rPr>
          <w:rFonts w:hint="eastAsia" w:ascii="宋体" w:hAnsi="宋体" w:eastAsia="宋体" w:cs="宋体"/>
          <w:sz w:val="24"/>
          <w:u w:val="none"/>
          <w:lang w:eastAsia="zh-CN"/>
        </w:rPr>
        <w:t>），内容包括</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的基本原理、操作、日常维护及上机操作等；</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安装调试结束后，提供现场技术培训。</w:t>
      </w:r>
    </w:p>
    <w:p>
      <w:pPr>
        <w:pStyle w:val="2"/>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3.</w:t>
      </w:r>
      <w:r>
        <w:rPr>
          <w:rFonts w:hint="default" w:ascii="宋体" w:hAnsi="宋体" w:eastAsia="宋体" w:cs="宋体"/>
          <w:sz w:val="24"/>
          <w:highlight w:val="none"/>
          <w:u w:val="none"/>
          <w:lang w:eastAsia="zh-CN"/>
        </w:rPr>
        <w:t>交付（实施）的时间（期限）</w:t>
      </w:r>
      <w:r>
        <w:rPr>
          <w:rFonts w:hint="eastAsia" w:ascii="宋体" w:hAnsi="宋体" w:eastAsia="宋体" w:cs="宋体"/>
          <w:sz w:val="24"/>
          <w:highlight w:val="none"/>
          <w:u w:val="none"/>
          <w:lang w:val="en-US" w:eastAsia="zh-CN"/>
        </w:rPr>
        <w:t>及地点：</w:t>
      </w:r>
    </w:p>
    <w:p>
      <w:pPr>
        <w:pStyle w:val="2"/>
        <w:rPr>
          <w:rFonts w:hint="eastAsia" w:ascii="宋体" w:hAnsi="宋体" w:eastAsia="宋体" w:cs="宋体"/>
          <w:sz w:val="24"/>
          <w:highlight w:val="yellow"/>
          <w:u w:val="none"/>
          <w:lang w:val="en-US" w:eastAsia="zh-CN"/>
        </w:rPr>
      </w:pPr>
      <w:r>
        <w:rPr>
          <w:rFonts w:hint="default" w:ascii="宋体" w:hAnsi="宋体" w:eastAsia="宋体" w:cs="宋体"/>
          <w:sz w:val="24"/>
          <w:highlight w:val="none"/>
          <w:u w:val="none"/>
          <w:lang w:val="en-US" w:eastAsia="zh-CN"/>
        </w:rPr>
        <w:t xml:space="preserve">从合同签订之日起 </w:t>
      </w:r>
      <w:r>
        <w:rPr>
          <w:rFonts w:hint="eastAsia" w:hAnsi="宋体" w:cs="宋体"/>
          <w:sz w:val="24"/>
          <w:highlight w:val="none"/>
          <w:u w:val="none"/>
          <w:lang w:val="en-US" w:eastAsia="zh-CN"/>
        </w:rPr>
        <w:t>6</w:t>
      </w:r>
      <w:r>
        <w:rPr>
          <w:rFonts w:hint="default" w:ascii="宋体" w:hAnsi="宋体" w:eastAsia="宋体" w:cs="宋体"/>
          <w:sz w:val="24"/>
          <w:highlight w:val="none"/>
          <w:u w:val="none"/>
          <w:lang w:val="en-US" w:eastAsia="zh-CN"/>
        </w:rPr>
        <w:t>0日历日内完成安装调试</w:t>
      </w:r>
      <w:r>
        <w:rPr>
          <w:rFonts w:hint="eastAsia" w:ascii="宋体" w:hAnsi="宋体" w:eastAsia="宋体" w:cs="宋体"/>
          <w:sz w:val="24"/>
          <w:highlight w:val="none"/>
          <w:u w:val="none"/>
          <w:lang w:val="en-US" w:eastAsia="zh-CN"/>
        </w:rPr>
        <w:t>，到货地点：采购人指定地点</w:t>
      </w:r>
      <w:r>
        <w:rPr>
          <w:rFonts w:hint="eastAsia" w:hAnsi="宋体" w:cs="宋体"/>
          <w:sz w:val="24"/>
          <w:highlight w:val="none"/>
          <w:u w:val="none"/>
          <w:lang w:val="en-US" w:eastAsia="zh-CN"/>
        </w:rPr>
        <w:t>（杭州市）</w:t>
      </w:r>
      <w:r>
        <w:rPr>
          <w:rFonts w:hint="eastAsia" w:ascii="宋体" w:hAnsi="宋体" w:eastAsia="宋体" w:cs="宋体"/>
          <w:sz w:val="24"/>
          <w:highlight w:val="none"/>
          <w:u w:val="none"/>
          <w:lang w:val="en-US" w:eastAsia="zh-CN"/>
        </w:rPr>
        <w:t>；交货方式：现场交货；安装地点：采购人指定地点。</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4.</w:t>
      </w:r>
      <w:r>
        <w:rPr>
          <w:rFonts w:hint="default" w:ascii="宋体" w:hAnsi="宋体" w:eastAsia="宋体" w:cs="宋体"/>
          <w:sz w:val="24"/>
          <w:u w:val="none"/>
          <w:lang w:val="en-US" w:eastAsia="zh-CN"/>
        </w:rPr>
        <w:t>付款条件（进度和方式）</w:t>
      </w:r>
    </w:p>
    <w:tbl>
      <w:tblPr>
        <w:tblStyle w:val="62"/>
        <w:tblW w:w="4581" w:type="pct"/>
        <w:tblInd w:w="35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02"/>
        <w:gridCol w:w="1522"/>
        <w:gridCol w:w="1514"/>
        <w:gridCol w:w="397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Calibri" w:hAnsi="Calibri" w:eastAsia="宋体" w:cs="Calibri"/>
                <w:sz w:val="24"/>
              </w:rPr>
            </w:pPr>
            <w:r>
              <w:rPr>
                <w:rFonts w:hint="default" w:ascii="Calibri" w:hAnsi="Calibri" w:eastAsia="宋体" w:cs="Calibri"/>
                <w:sz w:val="24"/>
              </w:rPr>
              <w:t>序号</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Calibri" w:hAnsi="Calibri" w:eastAsia="宋体" w:cs="Calibri"/>
                <w:kern w:val="2"/>
                <w:sz w:val="24"/>
                <w:szCs w:val="24"/>
                <w:lang w:val="en-US" w:eastAsia="zh-CN" w:bidi="ar-SA"/>
              </w:rPr>
            </w:pPr>
            <w:r>
              <w:rPr>
                <w:rFonts w:hint="eastAsia" w:ascii="Calibri" w:hAnsi="Calibri" w:cs="Calibri"/>
                <w:sz w:val="24"/>
                <w:lang w:val="en-US" w:eastAsia="zh-CN"/>
              </w:rPr>
              <w:t>付款节点考核</w:t>
            </w:r>
          </w:p>
        </w:tc>
        <w:tc>
          <w:tcPr>
            <w:tcW w:w="2180"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rPr>
              <w:t>付款比例（%）</w:t>
            </w:r>
          </w:p>
        </w:tc>
        <w:tc>
          <w:tcPr>
            <w:tcW w:w="7355"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Calibri" w:hAnsi="Calibri" w:eastAsia="宋体" w:cs="Calibri"/>
                <w:sz w:val="24"/>
              </w:rPr>
            </w:pPr>
          </w:p>
        </w:tc>
        <w:tc>
          <w:tcPr>
            <w:tcW w:w="2622" w:type="dxa"/>
            <w:shd w:val="clear" w:color="auto" w:fill="auto"/>
            <w:vAlign w:val="center"/>
          </w:tcPr>
          <w:p>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lang w:val="en-US" w:eastAsia="zh-CN"/>
              </w:rPr>
            </w:pPr>
            <w:r>
              <w:rPr>
                <w:rFonts w:ascii="Calibri" w:hAnsi="Calibri" w:cs="Calibri"/>
                <w:sz w:val="24"/>
              </w:rPr>
              <w:t>合同生效之日</w:t>
            </w:r>
          </w:p>
        </w:tc>
        <w:tc>
          <w:tcPr>
            <w:tcW w:w="2180" w:type="dxa"/>
            <w:tcBorders>
              <w:right w:val="single" w:color="auto" w:sz="4" w:space="0"/>
            </w:tcBorders>
            <w:shd w:val="clear" w:color="auto" w:fill="auto"/>
            <w:vAlign w:val="center"/>
          </w:tcPr>
          <w:p>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rPr>
            </w:pPr>
            <w:r>
              <w:rPr>
                <w:rFonts w:hint="eastAsia" w:ascii="Calibri" w:hAnsi="Calibri" w:cs="Calibri"/>
                <w:sz w:val="24"/>
                <w:lang w:val="en-US" w:eastAsia="zh-CN"/>
              </w:rPr>
              <w:t>4</w:t>
            </w:r>
            <w:r>
              <w:rPr>
                <w:rFonts w:ascii="Calibri" w:hAnsi="Calibri" w:cs="Calibri"/>
                <w:sz w:val="24"/>
              </w:rPr>
              <w:t>0</w:t>
            </w:r>
            <w:r>
              <w:rPr>
                <w:rFonts w:hint="eastAsia" w:ascii="Calibri" w:hAnsi="Calibri" w:cs="Calibri"/>
                <w:sz w:val="24"/>
              </w:rPr>
              <w:t>%</w:t>
            </w:r>
          </w:p>
        </w:tc>
        <w:tc>
          <w:tcPr>
            <w:tcW w:w="7355" w:type="dxa"/>
            <w:tcBorders>
              <w:left w:val="single" w:color="auto" w:sz="4" w:space="0"/>
            </w:tcBorders>
            <w:shd w:val="clear" w:color="auto" w:fill="auto"/>
            <w:vAlign w:val="center"/>
          </w:tcPr>
          <w:p>
            <w:pPr>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Calibri" w:hAnsi="Calibri" w:eastAsia="宋体" w:cs="Calibri"/>
                <w:sz w:val="24"/>
                <w:lang w:val="en-US" w:eastAsia="zh-CN"/>
              </w:rPr>
            </w:pPr>
            <w:r>
              <w:rPr>
                <w:rFonts w:hint="eastAsia" w:ascii="Calibri" w:hAnsi="Calibri" w:cs="Calibri"/>
                <w:sz w:val="24"/>
              </w:rPr>
              <w:t>满足合同约定支付条件，甲方收到乙方提供的同等金额的正规发票或收据后</w:t>
            </w:r>
            <w:r>
              <w:rPr>
                <w:rFonts w:ascii="Calibri" w:hAnsi="Calibri" w:cs="Calibri"/>
                <w:sz w:val="24"/>
              </w:rPr>
              <w:t>7</w:t>
            </w:r>
            <w:r>
              <w:rPr>
                <w:rFonts w:hint="eastAsia" w:ascii="Calibri" w:hAnsi="Calibri" w:cs="Calibri"/>
                <w:sz w:val="24"/>
              </w:rPr>
              <w:t>个工作日内支付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Calibri" w:hAnsi="Calibri" w:eastAsia="宋体" w:cs="Calibri"/>
                <w:sz w:val="24"/>
              </w:rPr>
            </w:pPr>
          </w:p>
        </w:tc>
        <w:tc>
          <w:tcPr>
            <w:tcW w:w="2622" w:type="dxa"/>
            <w:shd w:val="clear" w:color="auto" w:fill="auto"/>
            <w:vAlign w:val="center"/>
          </w:tcPr>
          <w:p>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lang w:val="en-US" w:eastAsia="zh-CN"/>
              </w:rPr>
            </w:pPr>
            <w:r>
              <w:rPr>
                <w:rFonts w:ascii="Calibri" w:hAnsi="Calibri" w:cs="Calibri"/>
                <w:sz w:val="24"/>
              </w:rPr>
              <w:t>项目验收合格后</w:t>
            </w:r>
          </w:p>
        </w:tc>
        <w:tc>
          <w:tcPr>
            <w:tcW w:w="2180" w:type="dxa"/>
            <w:tcBorders>
              <w:right w:val="single" w:color="auto" w:sz="4" w:space="0"/>
            </w:tcBorders>
            <w:shd w:val="clear" w:color="auto" w:fill="auto"/>
            <w:vAlign w:val="center"/>
          </w:tcPr>
          <w:p>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rPr>
            </w:pPr>
            <w:r>
              <w:rPr>
                <w:rFonts w:hint="eastAsia" w:ascii="Calibri" w:hAnsi="Calibri" w:cs="Calibri"/>
                <w:sz w:val="24"/>
                <w:lang w:val="en-US" w:eastAsia="zh-CN"/>
              </w:rPr>
              <w:t>6</w:t>
            </w:r>
            <w:r>
              <w:rPr>
                <w:rFonts w:ascii="Calibri" w:hAnsi="Calibri" w:cs="Calibri"/>
                <w:sz w:val="24"/>
              </w:rPr>
              <w:t>0</w:t>
            </w:r>
            <w:r>
              <w:rPr>
                <w:rFonts w:hint="eastAsia" w:ascii="Calibri" w:hAnsi="Calibri" w:cs="Calibri"/>
                <w:sz w:val="24"/>
              </w:rPr>
              <w:t>%</w:t>
            </w:r>
          </w:p>
        </w:tc>
        <w:tc>
          <w:tcPr>
            <w:tcW w:w="7355" w:type="dxa"/>
            <w:tcBorders>
              <w:left w:val="single" w:color="auto" w:sz="4" w:space="0"/>
            </w:tcBorders>
            <w:shd w:val="clear" w:color="auto" w:fill="auto"/>
            <w:vAlign w:val="center"/>
          </w:tcPr>
          <w:p>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rPr>
            </w:pPr>
            <w:r>
              <w:rPr>
                <w:rFonts w:hint="eastAsia" w:ascii="宋体" w:hAnsi="宋体" w:cs="宋体"/>
                <w:i w:val="0"/>
                <w:iCs w:val="0"/>
                <w:color w:val="000000"/>
                <w:kern w:val="0"/>
                <w:sz w:val="24"/>
                <w:szCs w:val="24"/>
                <w:u w:val="none"/>
                <w:lang w:val="en-US" w:eastAsia="zh-CN" w:bidi="ar"/>
              </w:rPr>
              <w:t>产品</w:t>
            </w:r>
            <w:r>
              <w:rPr>
                <w:rFonts w:hint="eastAsia" w:ascii="Calibri" w:hAnsi="Calibri" w:cs="Calibri"/>
                <w:sz w:val="24"/>
              </w:rPr>
              <w:t>到货签收确认，安装调试完毕，双方签署验收报告后，甲方收到乙方提供的同等金额的正规发票后</w:t>
            </w:r>
            <w:r>
              <w:rPr>
                <w:rFonts w:ascii="Calibri" w:hAnsi="Calibri" w:cs="Calibri"/>
                <w:sz w:val="24"/>
              </w:rPr>
              <w:t>7</w:t>
            </w:r>
            <w:r>
              <w:rPr>
                <w:rFonts w:hint="eastAsia" w:ascii="Calibri" w:hAnsi="Calibri" w:cs="Calibri"/>
                <w:sz w:val="24"/>
              </w:rPr>
              <w:t>个工作日内支付</w:t>
            </w:r>
          </w:p>
        </w:tc>
      </w:tr>
    </w:tbl>
    <w:p>
      <w:pPr>
        <w:pStyle w:val="2"/>
        <w:keepNext w:val="0"/>
        <w:keepLines w:val="0"/>
        <w:pageBreakBefore w:val="0"/>
        <w:widowControl w:val="0"/>
        <w:numPr>
          <w:ilvl w:val="0"/>
          <w:numId w:val="0"/>
        </w:numPr>
        <w:kinsoku/>
        <w:wordWrap/>
        <w:overflowPunct/>
        <w:topLinePunct w:val="0"/>
        <w:bidi w:val="0"/>
        <w:snapToGrid w:val="0"/>
        <w:spacing w:line="360" w:lineRule="auto"/>
        <w:ind w:leftChars="0" w:firstLine="480" w:firstLineChars="200"/>
        <w:textAlignment w:val="auto"/>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注：本项目为杭州市应急管理局统一招标，由杭州市各县区与供应商签订合同并支付相关货款。</w:t>
      </w:r>
    </w:p>
    <w:p>
      <w:pPr>
        <w:pStyle w:val="2"/>
        <w:keepNext w:val="0"/>
        <w:keepLines w:val="0"/>
        <w:pageBreakBefore w:val="0"/>
        <w:widowControl w:val="0"/>
        <w:numPr>
          <w:ilvl w:val="0"/>
          <w:numId w:val="0"/>
        </w:numPr>
        <w:kinsoku/>
        <w:wordWrap/>
        <w:overflowPunct/>
        <w:topLinePunct w:val="0"/>
        <w:bidi w:val="0"/>
        <w:snapToGrid w:val="0"/>
        <w:spacing w:line="360" w:lineRule="auto"/>
        <w:ind w:leftChars="0" w:firstLine="480" w:firstLineChars="200"/>
        <w:textAlignment w:val="auto"/>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5.售后服务要求：</w:t>
      </w:r>
    </w:p>
    <w:p>
      <w:pPr>
        <w:pStyle w:val="2"/>
        <w:numPr>
          <w:ilvl w:val="0"/>
          <w:numId w:val="0"/>
        </w:numPr>
        <w:ind w:leftChars="0" w:firstLine="480" w:firstLineChars="200"/>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w:t>
      </w:r>
      <w:r>
        <w:rPr>
          <w:rFonts w:hint="default" w:ascii="宋体" w:hAnsi="宋体" w:eastAsia="宋体" w:cs="宋体"/>
          <w:sz w:val="24"/>
          <w:highlight w:val="none"/>
          <w:u w:val="none"/>
          <w:lang w:val="en-US" w:eastAsia="zh-CN"/>
        </w:rPr>
        <w:t>.1 保修期：</w:t>
      </w:r>
      <w:r>
        <w:rPr>
          <w:rFonts w:hint="eastAsia" w:hAnsi="宋体" w:cs="宋体"/>
          <w:sz w:val="24"/>
          <w:highlight w:val="none"/>
          <w:u w:val="none"/>
          <w:lang w:val="en-US" w:eastAsia="zh-CN"/>
        </w:rPr>
        <w:t>1</w:t>
      </w:r>
      <w:r>
        <w:rPr>
          <w:rFonts w:hint="default" w:ascii="宋体" w:hAnsi="宋体" w:eastAsia="宋体" w:cs="宋体"/>
          <w:sz w:val="24"/>
          <w:highlight w:val="none"/>
          <w:u w:val="none"/>
          <w:lang w:val="en-US" w:eastAsia="zh-CN"/>
        </w:rPr>
        <w:t>年</w:t>
      </w:r>
      <w:r>
        <w:rPr>
          <w:rFonts w:hint="eastAsia" w:ascii="宋体" w:hAnsi="宋体" w:eastAsia="宋体" w:cs="宋体"/>
          <w:sz w:val="24"/>
          <w:highlight w:val="none"/>
          <w:u w:val="none"/>
          <w:lang w:val="en-US" w:eastAsia="zh-CN"/>
        </w:rPr>
        <w:t>（有特殊要求的按特殊要求）</w:t>
      </w:r>
      <w:r>
        <w:rPr>
          <w:rFonts w:hint="default" w:ascii="宋体" w:hAnsi="宋体" w:eastAsia="宋体" w:cs="宋体"/>
          <w:sz w:val="24"/>
          <w:highlight w:val="none"/>
          <w:u w:val="none"/>
          <w:lang w:val="en-US" w:eastAsia="zh-CN"/>
        </w:rPr>
        <w:t>，从采购人验收合格之日起开始计算，若原厂质保时间大于保修期的按原厂质保期执行</w:t>
      </w:r>
      <w:r>
        <w:rPr>
          <w:rFonts w:hint="default" w:ascii="宋体" w:hAnsi="宋体" w:eastAsia="宋体" w:cs="宋体"/>
          <w:sz w:val="24"/>
          <w:highlight w:val="none"/>
          <w:u w:val="none"/>
          <w:lang w:val="en-US" w:eastAsia="zh-CN"/>
        </w:rPr>
        <w:t>。</w:t>
      </w:r>
    </w:p>
    <w:p>
      <w:pPr>
        <w:pStyle w:val="2"/>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w:t>
      </w:r>
      <w:r>
        <w:rPr>
          <w:rFonts w:hint="default" w:ascii="宋体" w:hAnsi="宋体" w:eastAsia="宋体" w:cs="宋体"/>
          <w:sz w:val="24"/>
          <w:highlight w:val="none"/>
          <w:u w:val="none"/>
          <w:lang w:val="en-US" w:eastAsia="zh-CN"/>
        </w:rPr>
        <w:t>.2 售后服务机构</w:t>
      </w:r>
    </w:p>
    <w:p>
      <w:pPr>
        <w:pStyle w:val="2"/>
        <w:rPr>
          <w:rFonts w:hint="default" w:ascii="宋体" w:hAnsi="宋体" w:eastAsia="宋体" w:cs="宋体"/>
          <w:sz w:val="24"/>
          <w:highlight w:val="none"/>
          <w:u w:val="none"/>
          <w:lang w:val="en-US" w:eastAsia="zh-CN"/>
        </w:rPr>
      </w:pPr>
      <w:r>
        <w:rPr>
          <w:rFonts w:hint="default" w:ascii="宋体" w:hAnsi="宋体" w:eastAsia="宋体" w:cs="宋体"/>
          <w:sz w:val="24"/>
          <w:highlight w:val="none"/>
          <w:u w:val="none"/>
          <w:lang w:val="en-US" w:eastAsia="zh-CN"/>
        </w:rPr>
        <w:t>乙方在中华人民共和国国内应设有维修中心，维修中心应能提供快捷、周到、规范的服务。</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5.</w:t>
      </w:r>
      <w:r>
        <w:rPr>
          <w:rFonts w:hint="default" w:ascii="宋体" w:hAnsi="宋体" w:eastAsia="宋体" w:cs="宋体"/>
          <w:sz w:val="24"/>
          <w:u w:val="none"/>
          <w:lang w:val="en-US" w:eastAsia="zh-CN"/>
        </w:rPr>
        <w:t>3 售后服务响应</w:t>
      </w:r>
    </w:p>
    <w:p>
      <w:pPr>
        <w:pStyle w:val="2"/>
        <w:rPr>
          <w:rFonts w:hint="default" w:ascii="宋体" w:hAnsi="宋体" w:eastAsia="宋体" w:cs="宋体"/>
          <w:sz w:val="24"/>
          <w:highlight w:val="none"/>
          <w:u w:val="none"/>
          <w:lang w:val="en-US" w:eastAsia="zh-CN"/>
        </w:rPr>
      </w:pPr>
      <w:r>
        <w:rPr>
          <w:rFonts w:hint="default" w:ascii="宋体" w:hAnsi="宋体" w:eastAsia="宋体" w:cs="宋体"/>
          <w:sz w:val="24"/>
          <w:u w:val="none"/>
          <w:lang w:val="en-US" w:eastAsia="zh-CN"/>
        </w:rPr>
        <w:t>乙方在接到使用单位维修及技术服务要求后应在 4 小时之内作出响应，3 日内派维修人员到达用</w:t>
      </w:r>
      <w:r>
        <w:rPr>
          <w:rFonts w:hint="default" w:ascii="宋体" w:hAnsi="宋体" w:eastAsia="宋体" w:cs="宋体"/>
          <w:sz w:val="24"/>
          <w:highlight w:val="none"/>
          <w:u w:val="none"/>
          <w:lang w:val="en-US" w:eastAsia="zh-CN"/>
        </w:rPr>
        <w:t>户现场维修，故障必须在 7 天内修复或提供备用仪器。</w:t>
      </w:r>
    </w:p>
    <w:p>
      <w:pPr>
        <w:pStyle w:val="2"/>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w:t>
      </w:r>
      <w:r>
        <w:rPr>
          <w:rFonts w:hint="default" w:ascii="宋体" w:hAnsi="宋体" w:eastAsia="宋体" w:cs="宋体"/>
          <w:sz w:val="24"/>
          <w:highlight w:val="none"/>
          <w:u w:val="none"/>
          <w:lang w:val="en-US" w:eastAsia="zh-CN"/>
        </w:rPr>
        <w:t>.4 售后服务内容</w:t>
      </w:r>
    </w:p>
    <w:p>
      <w:pPr>
        <w:pStyle w:val="2"/>
        <w:rPr>
          <w:rFonts w:hint="default" w:ascii="宋体" w:hAnsi="宋体" w:eastAsia="宋体" w:cs="宋体"/>
          <w:sz w:val="24"/>
          <w:highlight w:val="none"/>
          <w:u w:val="none"/>
          <w:lang w:val="en-US" w:eastAsia="zh-CN"/>
        </w:rPr>
      </w:pPr>
      <w:r>
        <w:rPr>
          <w:rFonts w:hint="default" w:ascii="宋体" w:hAnsi="宋体" w:eastAsia="宋体" w:cs="宋体"/>
          <w:sz w:val="24"/>
          <w:highlight w:val="none"/>
          <w:u w:val="none"/>
          <w:lang w:val="en-US" w:eastAsia="zh-CN"/>
        </w:rPr>
        <w:t xml:space="preserve">在保修期内，乙方应提供正常保养服务，因产品制造质量不良而产生损坏或不能正常工作，乙方应提供免费维修直至更换。费用由乙方承担（包括返厂维修）。 </w:t>
      </w:r>
    </w:p>
    <w:p>
      <w:pPr>
        <w:pStyle w:val="2"/>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w:t>
      </w:r>
      <w:r>
        <w:rPr>
          <w:rFonts w:hint="default" w:ascii="宋体" w:hAnsi="宋体" w:eastAsia="宋体" w:cs="宋体"/>
          <w:sz w:val="24"/>
          <w:highlight w:val="none"/>
          <w:u w:val="none"/>
          <w:lang w:val="en-US" w:eastAsia="zh-CN"/>
        </w:rPr>
        <w:t>.5 售后服务收费</w:t>
      </w:r>
    </w:p>
    <w:p>
      <w:pPr>
        <w:pStyle w:val="2"/>
        <w:rPr>
          <w:rFonts w:hint="default" w:ascii="宋体" w:hAnsi="宋体" w:eastAsia="宋体" w:cs="宋体"/>
          <w:sz w:val="24"/>
          <w:u w:val="none"/>
          <w:lang w:val="en-US" w:eastAsia="zh-CN"/>
        </w:rPr>
      </w:pPr>
      <w:r>
        <w:rPr>
          <w:rFonts w:hint="default" w:ascii="宋体" w:hAnsi="宋体" w:eastAsia="宋体" w:cs="宋体"/>
          <w:sz w:val="24"/>
          <w:highlight w:val="none"/>
          <w:u w:val="none"/>
          <w:lang w:val="en-US" w:eastAsia="zh-CN"/>
        </w:rPr>
        <w:t>保修期内乙方应每季度巡检，且在台风等应急阶段进行全面巡检，解决检测出的问题，并向甲方提供整个书面报</w:t>
      </w:r>
      <w:r>
        <w:rPr>
          <w:rFonts w:hint="default" w:ascii="宋体" w:hAnsi="宋体" w:eastAsia="宋体" w:cs="宋体"/>
          <w:sz w:val="24"/>
          <w:u w:val="none"/>
          <w:lang w:val="en-US" w:eastAsia="zh-CN"/>
        </w:rPr>
        <w:t>告。费用包含在报价中。</w:t>
      </w:r>
    </w:p>
    <w:p>
      <w:pPr>
        <w:pStyle w:val="2"/>
        <w:numPr>
          <w:ilvl w:val="0"/>
          <w:numId w:val="0"/>
        </w:numPr>
        <w:ind w:leftChars="0" w:firstLine="480" w:firstLineChars="200"/>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6.包装和运输、保险等：</w:t>
      </w:r>
    </w:p>
    <w:p>
      <w:pPr>
        <w:pStyle w:val="2"/>
        <w:numPr>
          <w:ilvl w:val="0"/>
          <w:numId w:val="0"/>
        </w:numPr>
        <w:ind w:leftChars="0" w:firstLine="480" w:firstLineChars="200"/>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6.1</w:t>
      </w:r>
      <w:r>
        <w:rPr>
          <w:rFonts w:hint="default" w:ascii="宋体" w:hAnsi="宋体" w:eastAsia="宋体" w:cs="宋体"/>
          <w:sz w:val="24"/>
          <w:u w:val="none"/>
          <w:lang w:val="en-US" w:eastAsia="zh-CN"/>
        </w:rPr>
        <w:t>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6.2</w:t>
      </w:r>
      <w:r>
        <w:rPr>
          <w:rFonts w:hint="default" w:ascii="宋体" w:hAnsi="宋体" w:eastAsia="宋体" w:cs="宋体"/>
          <w:sz w:val="24"/>
          <w:u w:val="none"/>
          <w:lang w:val="en-US" w:eastAsia="zh-CN"/>
        </w:rPr>
        <w:t>每件包装箱内应附一份详细装箱单和质量合格证。</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7.服务人员要求：投标单位需针对本项目委派专业团队</w:t>
      </w:r>
    </w:p>
    <w:p>
      <w:pPr>
        <w:pStyle w:val="2"/>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8</w:t>
      </w:r>
      <w:r>
        <w:rPr>
          <w:rFonts w:hint="default" w:ascii="宋体" w:hAnsi="宋体" w:eastAsia="宋体" w:cs="宋体"/>
          <w:sz w:val="24"/>
          <w:u w:val="none"/>
          <w:lang w:val="en-US" w:eastAsia="zh-CN"/>
        </w:rPr>
        <w:t>.其他商务要求</w:t>
      </w:r>
      <w:r>
        <w:rPr>
          <w:rFonts w:hint="eastAsia" w:ascii="宋体" w:hAnsi="宋体" w:eastAsia="宋体" w:cs="宋体"/>
          <w:sz w:val="24"/>
          <w:u w:val="none"/>
          <w:lang w:val="en-US" w:eastAsia="zh-CN"/>
        </w:rPr>
        <w:t>：</w:t>
      </w:r>
    </w:p>
    <w:p>
      <w:pPr>
        <w:pStyle w:val="2"/>
        <w:rPr>
          <w:rFonts w:hint="default" w:ascii="宋体" w:hAnsi="宋体" w:eastAsia="宋体" w:cs="宋体"/>
          <w:sz w:val="24"/>
          <w:u w:val="none"/>
          <w:lang w:val="en-US" w:eastAsia="zh-CN"/>
        </w:rPr>
      </w:pPr>
      <w:r>
        <w:rPr>
          <w:rFonts w:hint="default" w:ascii="宋体" w:hAnsi="宋体" w:eastAsia="宋体" w:cs="宋体"/>
          <w:sz w:val="24"/>
          <w:u w:val="none"/>
          <w:lang w:val="en-US" w:eastAsia="zh-CN"/>
        </w:rPr>
        <w:t>项目结束时验收不合格或解除合同，乙方应在收到甲方通知后 5 日内退还甲方已支付的合同款，逾期退还合同款的，每日按未退还金额的 0.5 %支付违约金。</w:t>
      </w:r>
    </w:p>
    <w:p>
      <w:pPr>
        <w:pStyle w:val="2"/>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9.</w:t>
      </w:r>
      <w:r>
        <w:rPr>
          <w:rFonts w:hint="default" w:ascii="宋体" w:hAnsi="宋体" w:eastAsia="宋体" w:cs="宋体"/>
          <w:sz w:val="24"/>
          <w:u w:val="none"/>
          <w:lang w:val="en-US" w:eastAsia="zh-CN"/>
        </w:rPr>
        <w:t>验收、交付标准和方法</w:t>
      </w:r>
      <w:r>
        <w:rPr>
          <w:rFonts w:hint="eastAsia" w:ascii="宋体" w:hAnsi="宋体" w:eastAsia="宋体" w:cs="宋体"/>
          <w:sz w:val="24"/>
          <w:u w:val="none"/>
          <w:lang w:val="en-US" w:eastAsia="zh-CN"/>
        </w:rPr>
        <w:t>：</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9.1</w:t>
      </w:r>
      <w:r>
        <w:rPr>
          <w:rFonts w:hint="default" w:ascii="宋体" w:hAnsi="宋体" w:eastAsia="宋体" w:cs="宋体"/>
          <w:sz w:val="24"/>
          <w:u w:val="none"/>
          <w:lang w:val="en-US" w:eastAsia="zh-CN"/>
        </w:rPr>
        <w:t>乙方应提供产品的有效检验文件及供货清单，经甲方认可后，与合同的性能指标一起作为产品验收标准。甲方对产品验收合格后，双方共同签署验收合格证书。验收中发现产品达不到验收标准或合同规定的性能指标，乙方必须更换相关零部件，甚至于更换产品。并且赔偿由此给用户造成的损失。</w:t>
      </w:r>
    </w:p>
    <w:p>
      <w:pPr>
        <w:pStyle w:val="2"/>
        <w:rPr>
          <w:rFonts w:hint="default" w:ascii="宋体" w:hAnsi="宋体" w:eastAsia="宋体" w:cs="宋体"/>
          <w:sz w:val="24"/>
          <w:u w:val="none"/>
          <w:lang w:val="en-US" w:eastAsia="zh-CN"/>
        </w:rPr>
      </w:pPr>
      <w:r>
        <w:rPr>
          <w:rFonts w:hint="default" w:ascii="宋体" w:hAnsi="宋体" w:eastAsia="宋体" w:cs="宋体"/>
          <w:sz w:val="24"/>
          <w:u w:val="none"/>
          <w:lang w:val="en-US" w:eastAsia="zh-CN"/>
        </w:rPr>
        <w:t>验收合格条件：运行结果及使用效果符合招标要求及国家相关标准；在进行测试和验收运行过程中发生的故障和发现的问题已被排除，并得到采购人的认可；所有合同中规定的</w:t>
      </w:r>
      <w:r>
        <w:rPr>
          <w:rFonts w:hint="eastAsia" w:ascii="宋体" w:hAnsi="宋体" w:cs="宋体"/>
          <w:i w:val="0"/>
          <w:iCs w:val="0"/>
          <w:color w:val="000000"/>
          <w:kern w:val="0"/>
          <w:sz w:val="24"/>
          <w:szCs w:val="24"/>
          <w:u w:val="none"/>
          <w:lang w:val="en-US" w:eastAsia="zh-CN" w:bidi="ar"/>
        </w:rPr>
        <w:t>产品</w:t>
      </w:r>
      <w:r>
        <w:rPr>
          <w:rFonts w:hint="default" w:ascii="宋体" w:hAnsi="宋体" w:eastAsia="宋体" w:cs="宋体"/>
          <w:sz w:val="24"/>
          <w:u w:val="none"/>
          <w:lang w:val="en-US" w:eastAsia="zh-CN"/>
        </w:rPr>
        <w:t>、备品备件和资料都已提交并得到接受。</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质量保修范围和保修期</w:t>
      </w:r>
      <w:r>
        <w:rPr>
          <w:rFonts w:hint="default" w:ascii="宋体" w:hAnsi="宋体" w:eastAsia="宋体" w:cs="宋体"/>
          <w:sz w:val="24"/>
          <w:u w:val="none"/>
          <w:lang w:val="en-US" w:eastAsia="zh-CN"/>
        </w:rPr>
        <w:t>：1</w:t>
      </w:r>
      <w:r>
        <w:rPr>
          <w:rFonts w:hint="eastAsia" w:ascii="宋体" w:hAnsi="宋体" w:eastAsia="宋体" w:cs="宋体"/>
          <w:sz w:val="24"/>
          <w:u w:val="none"/>
          <w:lang w:val="en-US" w:eastAsia="zh-CN"/>
        </w:rPr>
        <w:t>.</w:t>
      </w:r>
      <w:r>
        <w:rPr>
          <w:rFonts w:hint="default" w:ascii="宋体" w:hAnsi="宋体" w:eastAsia="宋体" w:cs="宋体"/>
          <w:sz w:val="24"/>
          <w:u w:val="none"/>
          <w:lang w:val="en-US" w:eastAsia="zh-CN"/>
        </w:rPr>
        <w:t>乙方须保证标的物是全新、未使用过的，并完全符合强制性的国家技术质量规范和合同规定的质量、规格、性能和技术规范等的要求。</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9.2</w:t>
      </w:r>
      <w:r>
        <w:rPr>
          <w:rFonts w:hint="default" w:ascii="宋体" w:hAnsi="宋体" w:eastAsia="宋体" w:cs="宋体"/>
          <w:sz w:val="24"/>
          <w:u w:val="none"/>
          <w:lang w:val="en-US" w:eastAsia="zh-CN"/>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9.3</w:t>
      </w:r>
      <w:r>
        <w:rPr>
          <w:rFonts w:hint="default" w:ascii="宋体" w:hAnsi="宋体" w:eastAsia="宋体" w:cs="宋体"/>
          <w:sz w:val="24"/>
          <w:u w:val="none"/>
          <w:lang w:val="en-US" w:eastAsia="zh-CN"/>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9.4</w:t>
      </w:r>
      <w:r>
        <w:rPr>
          <w:rFonts w:hint="default" w:ascii="宋体" w:hAnsi="宋体" w:eastAsia="宋体" w:cs="宋体"/>
          <w:sz w:val="24"/>
          <w:u w:val="none"/>
          <w:lang w:val="en-US" w:eastAsia="zh-CN"/>
        </w:rPr>
        <w:t>如果乙方在收到通知后约定时间内没有弥补缺陷，甲方可采取必要的补救措施，但由此引发的风险和费用将由乙方承担。</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9.5</w:t>
      </w:r>
      <w:r>
        <w:rPr>
          <w:rFonts w:hint="default" w:ascii="宋体" w:hAnsi="宋体" w:eastAsia="宋体" w:cs="宋体"/>
          <w:sz w:val="24"/>
          <w:u w:val="none"/>
          <w:lang w:val="en-US" w:eastAsia="zh-CN"/>
        </w:rPr>
        <w:t>合同项下标的物的质量保证期为自标的物通过最终验收起计算，具体期限在合同特殊条款中约定。</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w:t>
      </w:r>
      <w:r>
        <w:rPr>
          <w:rFonts w:hint="eastAsia" w:hAnsi="宋体" w:cs="宋体"/>
          <w:sz w:val="24"/>
          <w:u w:val="none"/>
          <w:lang w:val="en-US" w:eastAsia="zh-CN"/>
        </w:rPr>
        <w:t>6</w:t>
      </w:r>
      <w:r>
        <w:rPr>
          <w:rFonts w:hint="default" w:ascii="宋体" w:hAnsi="宋体" w:eastAsia="宋体" w:cs="宋体"/>
          <w:sz w:val="24"/>
          <w:u w:val="none"/>
          <w:lang w:val="en-US" w:eastAsia="zh-CN"/>
        </w:rPr>
        <w:t>知识产权归属、处理方式：乙方应保证甲方在使用该标的物或其任何一部分时不受第三方提出的侵犯专利权、 著作权、商标权和工业设计权等的起诉。如果任何第三方提出侵权指控，乙方须与第三方交涉并承担由此发生的一切责任、费用和经济赔偿（包括但不限于诉讼费、律师费、担保费、担保公司费用、差旅费、公证费等费用）。</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w:t>
      </w:r>
      <w:r>
        <w:rPr>
          <w:rFonts w:hint="eastAsia" w:hAnsi="宋体" w:cs="宋体"/>
          <w:sz w:val="24"/>
          <w:u w:val="none"/>
          <w:lang w:val="en-US" w:eastAsia="zh-CN"/>
        </w:rPr>
        <w:t>7</w:t>
      </w:r>
      <w:r>
        <w:rPr>
          <w:rFonts w:hint="default" w:ascii="宋体" w:hAnsi="宋体" w:eastAsia="宋体" w:cs="宋体"/>
          <w:sz w:val="24"/>
          <w:u w:val="none"/>
          <w:lang w:val="en-US" w:eastAsia="zh-CN"/>
        </w:rPr>
        <w:t>成本补偿、风险分担约定：</w:t>
      </w:r>
      <w:r>
        <w:rPr>
          <w:rFonts w:hint="eastAsia" w:ascii="宋体" w:hAnsi="宋体" w:eastAsia="宋体" w:cs="宋体"/>
          <w:sz w:val="24"/>
          <w:u w:val="none"/>
          <w:lang w:val="en-US" w:eastAsia="zh-CN"/>
        </w:rPr>
        <w:t>除规定的</w:t>
      </w:r>
      <w:r>
        <w:rPr>
          <w:rFonts w:hint="default" w:ascii="宋体" w:hAnsi="宋体" w:eastAsia="宋体" w:cs="宋体"/>
          <w:sz w:val="24"/>
          <w:u w:val="none"/>
          <w:lang w:val="en-US" w:eastAsia="zh-CN"/>
        </w:rPr>
        <w:t>不可抗力</w:t>
      </w:r>
      <w:r>
        <w:rPr>
          <w:rFonts w:hint="eastAsia" w:ascii="宋体" w:hAnsi="宋体" w:eastAsia="宋体" w:cs="宋体"/>
          <w:sz w:val="24"/>
          <w:u w:val="none"/>
          <w:lang w:val="en-US" w:eastAsia="zh-CN"/>
        </w:rPr>
        <w:t>外，</w:t>
      </w:r>
      <w:r>
        <w:rPr>
          <w:rFonts w:hint="default" w:ascii="宋体" w:hAnsi="宋体" w:eastAsia="宋体" w:cs="宋体"/>
          <w:sz w:val="24"/>
          <w:u w:val="none"/>
          <w:lang w:val="en-US" w:eastAsia="zh-CN"/>
        </w:rPr>
        <w:t>乙方没有按照合同规定的时间交货和提供服务，甲方可要求乙方支付违约金。违约金按每周合同款的 0.5%计收。但违约金的最高限额为合同价的 5%。一周按 7 天计算，不足 7 天按一周计算。如果达到最高限额，甲方有权解除合同。</w:t>
      </w:r>
    </w:p>
    <w:p>
      <w:pPr>
        <w:pStyle w:val="2"/>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w:t>
      </w:r>
      <w:r>
        <w:rPr>
          <w:rFonts w:hint="eastAsia" w:hAnsi="宋体" w:cs="宋体"/>
          <w:sz w:val="24"/>
          <w:u w:val="none"/>
          <w:lang w:val="en-US" w:eastAsia="zh-CN"/>
        </w:rPr>
        <w:t>8</w:t>
      </w:r>
      <w:r>
        <w:rPr>
          <w:rFonts w:hint="default" w:ascii="宋体" w:hAnsi="宋体" w:eastAsia="宋体" w:cs="宋体"/>
          <w:sz w:val="24"/>
          <w:u w:val="none"/>
          <w:lang w:val="en-US" w:eastAsia="zh-CN"/>
        </w:rPr>
        <w:t>违约责任与解决争议的方法：</w:t>
      </w:r>
    </w:p>
    <w:p>
      <w:pPr>
        <w:pStyle w:val="2"/>
        <w:ind w:left="0" w:leftChars="0" w:firstLine="480" w:firstLineChars="200"/>
        <w:rPr>
          <w:rFonts w:hint="default" w:ascii="宋体" w:hAnsi="宋体" w:eastAsia="宋体" w:cs="宋体"/>
          <w:sz w:val="24"/>
          <w:u w:val="none"/>
          <w:lang w:val="en-US" w:eastAsia="zh-CN"/>
        </w:rPr>
      </w:pPr>
      <w:r>
        <w:rPr>
          <w:rFonts w:hint="eastAsia" w:hAnsi="宋体" w:cs="宋体"/>
          <w:sz w:val="24"/>
          <w:u w:val="none"/>
          <w:lang w:val="en-US" w:eastAsia="zh-CN"/>
        </w:rPr>
        <w:t>（1）</w:t>
      </w:r>
      <w:r>
        <w:rPr>
          <w:rFonts w:hint="default" w:ascii="宋体" w:hAnsi="宋体" w:eastAsia="宋体" w:cs="宋体"/>
          <w:sz w:val="24"/>
          <w:u w:val="none"/>
          <w:lang w:val="en-US" w:eastAsia="zh-CN"/>
        </w:rPr>
        <w:t>因合同履行中发生的争议，可通过合同当事人双方友好协商解决。如自协商开始之起 15 日内得不到解决，双方应将争议提交政府采购监管部门调解。调解不成的，可申请/仲裁委员会进行仲裁或向甲方所在区人民法院提起诉讼。</w:t>
      </w:r>
    </w:p>
    <w:p>
      <w:pPr>
        <w:pStyle w:val="2"/>
        <w:rPr>
          <w:rFonts w:hint="default" w:ascii="宋体" w:hAnsi="宋体" w:eastAsia="宋体" w:cs="宋体"/>
          <w:sz w:val="24"/>
          <w:u w:val="none"/>
          <w:lang w:val="en-US" w:eastAsia="zh-CN"/>
        </w:rPr>
      </w:pPr>
      <w:r>
        <w:rPr>
          <w:rFonts w:hint="eastAsia" w:hAnsi="宋体" w:cs="宋体"/>
          <w:sz w:val="24"/>
          <w:u w:val="none"/>
          <w:lang w:val="en-US" w:eastAsia="zh-CN"/>
        </w:rPr>
        <w:t>（2）</w:t>
      </w:r>
      <w:r>
        <w:rPr>
          <w:rFonts w:hint="default" w:ascii="宋体" w:hAnsi="宋体" w:eastAsia="宋体" w:cs="宋体"/>
          <w:sz w:val="24"/>
          <w:u w:val="none"/>
          <w:lang w:val="en-US" w:eastAsia="zh-CN"/>
        </w:rPr>
        <w:t>仲裁裁决为最终裁决，当事人一方在规定时间内不履行仲裁机构裁决的，另一方可以申请人民法院强制执行。</w:t>
      </w:r>
    </w:p>
    <w:p>
      <w:pPr>
        <w:pStyle w:val="2"/>
        <w:rPr>
          <w:rFonts w:hint="default" w:ascii="宋体" w:hAnsi="宋体" w:eastAsia="宋体" w:cs="宋体"/>
          <w:sz w:val="24"/>
          <w:highlight w:val="none"/>
          <w:u w:val="none"/>
          <w:lang w:val="en-US" w:eastAsia="zh-CN"/>
        </w:rPr>
      </w:pPr>
      <w:r>
        <w:rPr>
          <w:rFonts w:hint="eastAsia" w:hAnsi="宋体" w:cs="宋体"/>
          <w:sz w:val="24"/>
          <w:u w:val="none"/>
          <w:lang w:val="en-US" w:eastAsia="zh-CN"/>
        </w:rPr>
        <w:t>（3）</w:t>
      </w:r>
      <w:r>
        <w:rPr>
          <w:rFonts w:hint="default" w:ascii="宋体" w:hAnsi="宋体" w:eastAsia="宋体" w:cs="宋体"/>
          <w:sz w:val="24"/>
          <w:u w:val="none"/>
          <w:lang w:val="en-US" w:eastAsia="zh-CN"/>
        </w:rPr>
        <w:t>律师费等</w:t>
      </w:r>
      <w:r>
        <w:rPr>
          <w:rFonts w:hint="default" w:ascii="宋体" w:hAnsi="宋体" w:eastAsia="宋体" w:cs="宋体"/>
          <w:sz w:val="24"/>
          <w:highlight w:val="none"/>
          <w:u w:val="none"/>
          <w:lang w:val="en-US" w:eastAsia="zh-CN"/>
        </w:rPr>
        <w:t>所有诉讼成本和其他维权成本，应由败诉方负担。</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rFonts w:hint="default" w:ascii="Calibri" w:hAnsi="Calibri" w:eastAsia="宋体" w:cs="Calibri"/>
          <w:sz w:val="24"/>
          <w:highlight w:val="none"/>
        </w:rPr>
      </w:pPr>
      <w:r>
        <w:rPr>
          <w:rFonts w:hint="eastAsia" w:ascii="宋体" w:hAnsi="宋体" w:eastAsia="宋体" w:cs="宋体"/>
          <w:sz w:val="24"/>
          <w:highlight w:val="none"/>
          <w:u w:val="none"/>
          <w:lang w:val="en-US" w:eastAsia="zh-CN"/>
        </w:rPr>
        <w:t>10.</w:t>
      </w:r>
      <w:r>
        <w:rPr>
          <w:rFonts w:hint="default" w:ascii="Calibri" w:hAnsi="Calibri" w:eastAsia="宋体" w:cs="Calibri"/>
          <w:sz w:val="24"/>
          <w:highlight w:val="none"/>
        </w:rPr>
        <w:t>履约验收内容</w:t>
      </w:r>
    </w:p>
    <w:p>
      <w:pPr>
        <w:pStyle w:val="2"/>
        <w:rPr>
          <w:rFonts w:hint="default" w:hAnsi="宋体" w:cs="宋体"/>
          <w:sz w:val="24"/>
          <w:highlight w:val="none"/>
          <w:u w:val="none"/>
          <w:lang w:val="en-US" w:eastAsia="zh-CN"/>
        </w:rPr>
      </w:pPr>
      <w:r>
        <w:rPr>
          <w:rFonts w:hint="eastAsia" w:hAnsi="宋体" w:cs="宋体"/>
          <w:sz w:val="24"/>
          <w:highlight w:val="none"/>
          <w:u w:val="none"/>
          <w:lang w:val="en-US" w:eastAsia="zh-CN"/>
        </w:rPr>
        <w:t>（1）</w:t>
      </w:r>
      <w:r>
        <w:rPr>
          <w:rFonts w:hint="default" w:hAnsi="宋体" w:cs="宋体"/>
          <w:sz w:val="24"/>
          <w:highlight w:val="none"/>
          <w:u w:val="none"/>
          <w:lang w:val="en-US" w:eastAsia="zh-CN"/>
        </w:rPr>
        <w:t>技术履约内容</w:t>
      </w:r>
      <w:r>
        <w:rPr>
          <w:rFonts w:hint="eastAsia" w:hAnsi="宋体" w:cs="宋体"/>
          <w:sz w:val="24"/>
          <w:highlight w:val="none"/>
          <w:u w:val="none"/>
          <w:lang w:val="en-US" w:eastAsia="zh-CN"/>
        </w:rPr>
        <w:t>：</w:t>
      </w:r>
      <w:r>
        <w:rPr>
          <w:rFonts w:hint="default" w:ascii="宋体" w:hAnsi="宋体" w:eastAsia="宋体" w:cs="宋体"/>
          <w:sz w:val="24"/>
          <w:szCs w:val="20"/>
          <w:highlight w:val="none"/>
          <w:u w:val="none"/>
          <w:lang w:val="en-US"/>
        </w:rPr>
        <w:t>按合同、投标文件条款验收</w:t>
      </w:r>
    </w:p>
    <w:p>
      <w:pPr>
        <w:pStyle w:val="2"/>
        <w:rPr>
          <w:rFonts w:hint="eastAsia" w:hAnsi="宋体" w:cs="宋体"/>
          <w:sz w:val="24"/>
          <w:highlight w:val="none"/>
          <w:u w:val="none"/>
          <w:lang w:val="en-US" w:eastAsia="zh-CN"/>
        </w:rPr>
      </w:pPr>
      <w:r>
        <w:rPr>
          <w:rFonts w:hint="eastAsia" w:hAnsi="宋体" w:cs="宋体"/>
          <w:sz w:val="24"/>
          <w:highlight w:val="none"/>
          <w:u w:val="none"/>
          <w:lang w:val="en-US" w:eastAsia="zh-CN"/>
        </w:rPr>
        <w:t>（2）</w:t>
      </w:r>
      <w:r>
        <w:rPr>
          <w:rFonts w:hint="default" w:hAnsi="宋体" w:cs="宋体"/>
          <w:sz w:val="24"/>
          <w:highlight w:val="none"/>
          <w:u w:val="none"/>
          <w:lang w:val="en-US" w:eastAsia="zh-CN"/>
        </w:rPr>
        <w:t>商务履约内容</w:t>
      </w:r>
      <w:r>
        <w:rPr>
          <w:rFonts w:hint="eastAsia" w:hAnsi="宋体" w:cs="宋体"/>
          <w:sz w:val="24"/>
          <w:highlight w:val="none"/>
          <w:u w:val="none"/>
          <w:lang w:val="en-US" w:eastAsia="zh-CN"/>
        </w:rPr>
        <w:t>：</w:t>
      </w:r>
      <w:r>
        <w:rPr>
          <w:rFonts w:hint="default" w:ascii="宋体" w:hAnsi="宋体" w:eastAsia="宋体" w:cs="宋体"/>
          <w:sz w:val="24"/>
          <w:szCs w:val="20"/>
          <w:highlight w:val="none"/>
          <w:u w:val="none"/>
          <w:lang w:val="en-US"/>
        </w:rPr>
        <w:t>按合同、投标文件条款验收</w:t>
      </w:r>
      <w:r>
        <w:rPr>
          <w:rFonts w:hint="eastAsia" w:hAnsi="宋体" w:cs="宋体"/>
          <w:sz w:val="24"/>
          <w:highlight w:val="none"/>
          <w:u w:val="none"/>
          <w:lang w:val="en-US" w:eastAsia="zh-CN"/>
        </w:rPr>
        <w:t>。</w:t>
      </w:r>
    </w:p>
    <w:p>
      <w:pPr>
        <w:widowControl/>
        <w:spacing w:line="360" w:lineRule="auto"/>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val="en-US" w:eastAsia="zh-CN" w:bidi="ar"/>
        </w:rPr>
        <w:t>11</w:t>
      </w:r>
      <w:r>
        <w:rPr>
          <w:rFonts w:hint="eastAsia" w:ascii="宋体" w:hAnsi="宋体" w:cs="宋体"/>
          <w:color w:val="000000"/>
          <w:kern w:val="0"/>
          <w:highlight w:val="none"/>
          <w:lang w:bidi="ar"/>
        </w:rPr>
        <w:t>.履约保证金：无</w:t>
      </w:r>
    </w:p>
    <w:p>
      <w:pPr>
        <w:numPr>
          <w:ilvl w:val="0"/>
          <w:numId w:val="0"/>
        </w:numPr>
        <w:rPr>
          <w:rFonts w:hint="default"/>
          <w:lang w:val="en-US" w:eastAsia="zh-CN"/>
        </w:rPr>
      </w:pPr>
    </w:p>
    <w:p>
      <w:pPr>
        <w:pStyle w:val="5"/>
        <w:bidi w:val="0"/>
        <w:rPr>
          <w:rFonts w:ascii="宋体" w:hAnsi="宋体" w:cs="宋体"/>
          <w:b/>
          <w:sz w:val="36"/>
          <w:szCs w:val="36"/>
        </w:rPr>
      </w:pPr>
      <w:r>
        <w:rPr>
          <w:rFonts w:hint="eastAsia" w:ascii="宋体" w:hAnsi="宋体" w:cs="宋体"/>
          <w:b/>
          <w:color w:val="auto"/>
          <w:sz w:val="24"/>
          <w:highlight w:val="none"/>
        </w:rPr>
        <w:br w:type="page"/>
      </w:r>
      <w:bookmarkStart w:id="49" w:name="_Toc13039"/>
      <w:bookmarkStart w:id="50" w:name="_Toc14870"/>
      <w:bookmarkStart w:id="51" w:name="_Toc18837"/>
      <w:r>
        <w:rPr>
          <w:rFonts w:hint="eastAsia" w:ascii="宋体" w:hAnsi="宋体" w:cs="宋体"/>
          <w:b/>
          <w:sz w:val="36"/>
          <w:szCs w:val="36"/>
        </w:rPr>
        <w:t xml:space="preserve">第四部分 </w:t>
      </w:r>
      <w:bookmarkStart w:id="52" w:name="_Toc184308086"/>
      <w:bookmarkEnd w:id="52"/>
      <w:bookmarkStart w:id="53" w:name="_Toc184312093"/>
      <w:bookmarkEnd w:id="53"/>
      <w:bookmarkStart w:id="54" w:name="_Toc184308052"/>
      <w:bookmarkEnd w:id="54"/>
      <w:bookmarkStart w:id="55" w:name="_Toc184313253"/>
      <w:bookmarkEnd w:id="55"/>
      <w:bookmarkStart w:id="56" w:name="_Toc184310277"/>
      <w:bookmarkEnd w:id="56"/>
      <w:bookmarkStart w:id="57" w:name="_Toc184310291"/>
      <w:bookmarkEnd w:id="57"/>
      <w:bookmarkStart w:id="58" w:name="_Toc184310324"/>
      <w:bookmarkEnd w:id="58"/>
      <w:bookmarkStart w:id="59" w:name="_Toc184314448"/>
      <w:bookmarkEnd w:id="59"/>
      <w:bookmarkStart w:id="60" w:name="_Toc184312087"/>
      <w:bookmarkEnd w:id="60"/>
      <w:bookmarkStart w:id="61" w:name="_Toc184308078"/>
      <w:bookmarkEnd w:id="61"/>
      <w:bookmarkStart w:id="62" w:name="_Toc184310299"/>
      <w:bookmarkEnd w:id="62"/>
      <w:bookmarkStart w:id="63" w:name="_Toc184308062"/>
      <w:bookmarkEnd w:id="63"/>
      <w:bookmarkStart w:id="64" w:name="_Toc184313296"/>
      <w:bookmarkEnd w:id="64"/>
      <w:bookmarkStart w:id="65" w:name="_Toc184313266"/>
      <w:bookmarkEnd w:id="65"/>
      <w:bookmarkStart w:id="66" w:name="_Toc184312132"/>
      <w:bookmarkEnd w:id="66"/>
      <w:bookmarkStart w:id="67" w:name="_Toc184308083"/>
      <w:bookmarkEnd w:id="67"/>
      <w:bookmarkStart w:id="68" w:name="_Toc184313250"/>
      <w:bookmarkEnd w:id="68"/>
      <w:bookmarkStart w:id="69" w:name="_Toc184314462"/>
      <w:bookmarkEnd w:id="69"/>
      <w:bookmarkStart w:id="70" w:name="_Toc184308097"/>
      <w:bookmarkEnd w:id="70"/>
      <w:bookmarkStart w:id="71" w:name="_Toc184308082"/>
      <w:bookmarkEnd w:id="71"/>
      <w:bookmarkStart w:id="72" w:name="_Toc184308057"/>
      <w:bookmarkEnd w:id="72"/>
      <w:bookmarkStart w:id="73" w:name="_Toc184314481"/>
      <w:bookmarkEnd w:id="73"/>
      <w:bookmarkStart w:id="74" w:name="_Toc184308079"/>
      <w:bookmarkEnd w:id="74"/>
      <w:bookmarkStart w:id="75" w:name="_Toc184308063"/>
      <w:bookmarkEnd w:id="75"/>
      <w:bookmarkStart w:id="76" w:name="_Toc184310317"/>
      <w:bookmarkEnd w:id="76"/>
      <w:bookmarkStart w:id="77" w:name="_Toc184312077"/>
      <w:bookmarkEnd w:id="77"/>
      <w:bookmarkStart w:id="78" w:name="_Toc184310274"/>
      <w:bookmarkEnd w:id="78"/>
      <w:bookmarkStart w:id="79" w:name="_Toc184308071"/>
      <w:bookmarkEnd w:id="79"/>
      <w:bookmarkStart w:id="80" w:name="_Toc184310286"/>
      <w:bookmarkEnd w:id="80"/>
      <w:bookmarkStart w:id="81" w:name="_Toc184314451"/>
      <w:bookmarkEnd w:id="81"/>
      <w:bookmarkStart w:id="82" w:name="_Toc184312112"/>
      <w:bookmarkEnd w:id="82"/>
      <w:bookmarkStart w:id="83" w:name="_Toc184314434"/>
      <w:bookmarkEnd w:id="83"/>
      <w:bookmarkStart w:id="84" w:name="_Toc184308105"/>
      <w:bookmarkEnd w:id="84"/>
      <w:bookmarkStart w:id="85" w:name="_Toc184313307"/>
      <w:bookmarkEnd w:id="85"/>
      <w:bookmarkStart w:id="86" w:name="_Toc184308072"/>
      <w:bookmarkEnd w:id="86"/>
      <w:bookmarkStart w:id="87" w:name="_Toc184310289"/>
      <w:bookmarkEnd w:id="87"/>
      <w:bookmarkStart w:id="88" w:name="_Toc184313301"/>
      <w:bookmarkEnd w:id="88"/>
      <w:bookmarkStart w:id="89" w:name="_Toc184312123"/>
      <w:bookmarkEnd w:id="89"/>
      <w:bookmarkStart w:id="90" w:name="_Toc184308081"/>
      <w:bookmarkEnd w:id="90"/>
      <w:bookmarkStart w:id="91" w:name="_Toc184308095"/>
      <w:bookmarkEnd w:id="91"/>
      <w:bookmarkStart w:id="92" w:name="_Toc184312106"/>
      <w:bookmarkEnd w:id="92"/>
      <w:bookmarkStart w:id="93" w:name="_Toc184312139"/>
      <w:bookmarkEnd w:id="93"/>
      <w:bookmarkStart w:id="94" w:name="_Toc184310276"/>
      <w:bookmarkEnd w:id="94"/>
      <w:bookmarkStart w:id="95" w:name="_Toc184310318"/>
      <w:bookmarkEnd w:id="95"/>
      <w:bookmarkStart w:id="96" w:name="_Toc184310280"/>
      <w:bookmarkEnd w:id="96"/>
      <w:bookmarkStart w:id="97" w:name="_Toc184314422"/>
      <w:bookmarkEnd w:id="97"/>
      <w:bookmarkStart w:id="98" w:name="_Toc184314470"/>
      <w:bookmarkEnd w:id="98"/>
      <w:bookmarkStart w:id="99" w:name="_Toc184313257"/>
      <w:bookmarkEnd w:id="99"/>
      <w:bookmarkStart w:id="100" w:name="_Toc184314427"/>
      <w:bookmarkEnd w:id="100"/>
      <w:bookmarkStart w:id="101" w:name="_Toc184313273"/>
      <w:bookmarkEnd w:id="101"/>
      <w:bookmarkStart w:id="102" w:name="_Toc184310281"/>
      <w:bookmarkEnd w:id="102"/>
      <w:bookmarkStart w:id="103" w:name="_Toc184310305"/>
      <w:bookmarkEnd w:id="103"/>
      <w:bookmarkStart w:id="104" w:name="_Toc184313274"/>
      <w:bookmarkEnd w:id="104"/>
      <w:bookmarkStart w:id="105" w:name="_Toc184313239"/>
      <w:bookmarkEnd w:id="105"/>
      <w:bookmarkStart w:id="106" w:name="_Toc184312097"/>
      <w:bookmarkEnd w:id="106"/>
      <w:bookmarkStart w:id="107" w:name="_Toc184312094"/>
      <w:bookmarkEnd w:id="107"/>
      <w:bookmarkStart w:id="108" w:name="_Toc184314479"/>
      <w:bookmarkEnd w:id="108"/>
      <w:bookmarkStart w:id="109" w:name="_Toc184310284"/>
      <w:bookmarkEnd w:id="109"/>
      <w:bookmarkStart w:id="110" w:name="_Toc184313284"/>
      <w:bookmarkEnd w:id="110"/>
      <w:bookmarkStart w:id="111" w:name="_Toc184314441"/>
      <w:bookmarkEnd w:id="111"/>
      <w:bookmarkStart w:id="112" w:name="_Toc184310334"/>
      <w:bookmarkEnd w:id="112"/>
      <w:bookmarkStart w:id="113" w:name="_Toc184308100"/>
      <w:bookmarkEnd w:id="113"/>
      <w:bookmarkStart w:id="114" w:name="_Toc184308107"/>
      <w:bookmarkEnd w:id="114"/>
      <w:bookmarkStart w:id="115" w:name="_Toc184312091"/>
      <w:bookmarkEnd w:id="115"/>
      <w:bookmarkStart w:id="116" w:name="_Toc184310327"/>
      <w:bookmarkEnd w:id="116"/>
      <w:bookmarkStart w:id="117" w:name="_Toc184312127"/>
      <w:bookmarkEnd w:id="117"/>
      <w:bookmarkStart w:id="118" w:name="_Toc184314447"/>
      <w:bookmarkEnd w:id="118"/>
      <w:bookmarkStart w:id="119" w:name="_Toc184314454"/>
      <w:bookmarkEnd w:id="119"/>
      <w:bookmarkStart w:id="120" w:name="_Toc184310321"/>
      <w:bookmarkEnd w:id="120"/>
      <w:bookmarkStart w:id="121" w:name="_Toc184312129"/>
      <w:bookmarkEnd w:id="121"/>
      <w:bookmarkStart w:id="122" w:name="_Toc184314440"/>
      <w:bookmarkEnd w:id="122"/>
      <w:bookmarkStart w:id="123" w:name="_Toc184308094"/>
      <w:bookmarkEnd w:id="123"/>
      <w:bookmarkStart w:id="124" w:name="_Toc184310312"/>
      <w:bookmarkEnd w:id="124"/>
      <w:bookmarkStart w:id="125" w:name="_Toc184313270"/>
      <w:bookmarkEnd w:id="125"/>
      <w:bookmarkStart w:id="126" w:name="_Toc184308043"/>
      <w:bookmarkEnd w:id="126"/>
      <w:bookmarkStart w:id="127" w:name="_Toc184312067"/>
      <w:bookmarkEnd w:id="127"/>
      <w:bookmarkStart w:id="128" w:name="_Toc184310295"/>
      <w:bookmarkEnd w:id="128"/>
      <w:bookmarkStart w:id="129" w:name="_Toc184312135"/>
      <w:bookmarkEnd w:id="129"/>
      <w:bookmarkStart w:id="130" w:name="_Toc184308045"/>
      <w:bookmarkEnd w:id="130"/>
      <w:bookmarkStart w:id="131" w:name="_Toc184313271"/>
      <w:bookmarkEnd w:id="131"/>
      <w:bookmarkStart w:id="132" w:name="_Toc184310300"/>
      <w:bookmarkEnd w:id="132"/>
      <w:bookmarkStart w:id="133" w:name="_Toc184308040"/>
      <w:bookmarkEnd w:id="133"/>
      <w:bookmarkStart w:id="134" w:name="_Toc184313269"/>
      <w:bookmarkEnd w:id="134"/>
      <w:bookmarkStart w:id="135" w:name="_Toc184312099"/>
      <w:bookmarkEnd w:id="135"/>
      <w:bookmarkStart w:id="136" w:name="_Toc184310323"/>
      <w:bookmarkEnd w:id="136"/>
      <w:bookmarkStart w:id="137" w:name="_Toc184313295"/>
      <w:bookmarkEnd w:id="137"/>
      <w:bookmarkStart w:id="138" w:name="_Toc184310301"/>
      <w:bookmarkEnd w:id="138"/>
      <w:bookmarkStart w:id="139" w:name="_Toc184313276"/>
      <w:bookmarkEnd w:id="139"/>
      <w:bookmarkStart w:id="140" w:name="_Toc184313259"/>
      <w:bookmarkEnd w:id="140"/>
      <w:bookmarkStart w:id="141" w:name="_Toc184312073"/>
      <w:bookmarkEnd w:id="141"/>
      <w:bookmarkStart w:id="142" w:name="_Toc184308049"/>
      <w:bookmarkEnd w:id="142"/>
      <w:bookmarkStart w:id="143" w:name="_Toc184313292"/>
      <w:bookmarkEnd w:id="143"/>
      <w:bookmarkStart w:id="144" w:name="_Toc184313262"/>
      <w:bookmarkEnd w:id="144"/>
      <w:bookmarkStart w:id="145" w:name="_Toc184310344"/>
      <w:bookmarkEnd w:id="145"/>
      <w:bookmarkStart w:id="146" w:name="_Toc184313275"/>
      <w:bookmarkEnd w:id="146"/>
      <w:bookmarkStart w:id="147" w:name="_Toc184314420"/>
      <w:bookmarkEnd w:id="147"/>
      <w:bookmarkStart w:id="148" w:name="_Toc184308055"/>
      <w:bookmarkEnd w:id="148"/>
      <w:bookmarkStart w:id="149" w:name="_Toc184308108"/>
      <w:bookmarkEnd w:id="149"/>
      <w:bookmarkStart w:id="150" w:name="_Toc184314457"/>
      <w:bookmarkEnd w:id="150"/>
      <w:bookmarkStart w:id="151" w:name="_Toc184313287"/>
      <w:bookmarkEnd w:id="151"/>
      <w:bookmarkStart w:id="152" w:name="_Toc184313283"/>
      <w:bookmarkEnd w:id="152"/>
      <w:bookmarkStart w:id="153" w:name="_Toc184308090"/>
      <w:bookmarkEnd w:id="153"/>
      <w:bookmarkStart w:id="154" w:name="_Toc184310337"/>
      <w:bookmarkEnd w:id="154"/>
      <w:bookmarkStart w:id="155" w:name="_Toc184313244"/>
      <w:bookmarkEnd w:id="155"/>
      <w:bookmarkStart w:id="156" w:name="_Toc184308092"/>
      <w:bookmarkEnd w:id="156"/>
      <w:bookmarkStart w:id="157" w:name="_Toc184310310"/>
      <w:bookmarkEnd w:id="157"/>
      <w:bookmarkStart w:id="158" w:name="_Toc184314482"/>
      <w:bookmarkEnd w:id="158"/>
      <w:bookmarkStart w:id="159" w:name="_Toc184312081"/>
      <w:bookmarkEnd w:id="159"/>
      <w:bookmarkStart w:id="160" w:name="_Toc184310319"/>
      <w:bookmarkEnd w:id="160"/>
      <w:bookmarkStart w:id="161" w:name="_Toc184313243"/>
      <w:bookmarkEnd w:id="161"/>
      <w:bookmarkStart w:id="162" w:name="_Toc184314425"/>
      <w:bookmarkEnd w:id="162"/>
      <w:bookmarkStart w:id="163" w:name="_Toc184310304"/>
      <w:bookmarkEnd w:id="163"/>
      <w:bookmarkStart w:id="164" w:name="_Toc184310298"/>
      <w:bookmarkEnd w:id="164"/>
      <w:bookmarkStart w:id="165" w:name="_Toc184312124"/>
      <w:bookmarkEnd w:id="165"/>
      <w:bookmarkStart w:id="166" w:name="_Toc184314450"/>
      <w:bookmarkEnd w:id="166"/>
      <w:bookmarkStart w:id="167" w:name="_Toc184312115"/>
      <w:bookmarkEnd w:id="167"/>
      <w:bookmarkStart w:id="168" w:name="_Toc184312075"/>
      <w:bookmarkEnd w:id="168"/>
      <w:bookmarkStart w:id="169" w:name="_Toc184310316"/>
      <w:bookmarkEnd w:id="169"/>
      <w:bookmarkStart w:id="170" w:name="_Toc184313249"/>
      <w:bookmarkEnd w:id="170"/>
      <w:bookmarkStart w:id="171" w:name="_Toc184310342"/>
      <w:bookmarkEnd w:id="171"/>
      <w:bookmarkStart w:id="172" w:name="_Toc184308084"/>
      <w:bookmarkEnd w:id="172"/>
      <w:bookmarkStart w:id="173" w:name="_Toc184314460"/>
      <w:bookmarkEnd w:id="173"/>
      <w:bookmarkStart w:id="174" w:name="_Toc184313280"/>
      <w:bookmarkEnd w:id="174"/>
      <w:bookmarkStart w:id="175" w:name="_Toc184308080"/>
      <w:bookmarkEnd w:id="175"/>
      <w:bookmarkStart w:id="176" w:name="_Toc184313256"/>
      <w:bookmarkEnd w:id="176"/>
      <w:bookmarkStart w:id="177" w:name="_Toc184312125"/>
      <w:bookmarkEnd w:id="177"/>
      <w:bookmarkStart w:id="178" w:name="_Toc184312095"/>
      <w:bookmarkEnd w:id="178"/>
      <w:bookmarkStart w:id="179" w:name="_Toc184313285"/>
      <w:bookmarkEnd w:id="179"/>
      <w:bookmarkStart w:id="180" w:name="_Toc184314477"/>
      <w:bookmarkEnd w:id="180"/>
      <w:bookmarkStart w:id="181" w:name="_Toc184310279"/>
      <w:bookmarkEnd w:id="181"/>
      <w:bookmarkStart w:id="182" w:name="_Toc184308087"/>
      <w:bookmarkEnd w:id="182"/>
      <w:bookmarkStart w:id="183" w:name="_Toc184310341"/>
      <w:bookmarkEnd w:id="183"/>
      <w:bookmarkStart w:id="184" w:name="_Toc184313240"/>
      <w:bookmarkEnd w:id="184"/>
      <w:bookmarkStart w:id="185" w:name="_Toc184313261"/>
      <w:bookmarkEnd w:id="185"/>
      <w:bookmarkStart w:id="186" w:name="_Toc184313246"/>
      <w:bookmarkEnd w:id="186"/>
      <w:bookmarkStart w:id="187" w:name="_Toc184312128"/>
      <w:bookmarkEnd w:id="187"/>
      <w:bookmarkStart w:id="188" w:name="_Toc184314430"/>
      <w:bookmarkEnd w:id="188"/>
      <w:bookmarkStart w:id="189" w:name="_Toc184312118"/>
      <w:bookmarkEnd w:id="189"/>
      <w:bookmarkStart w:id="190" w:name="_Toc184310307"/>
      <w:bookmarkEnd w:id="190"/>
      <w:bookmarkStart w:id="191" w:name="_Toc184308077"/>
      <w:bookmarkEnd w:id="191"/>
      <w:bookmarkStart w:id="192" w:name="_Toc184313298"/>
      <w:bookmarkEnd w:id="192"/>
      <w:bookmarkStart w:id="193" w:name="_Toc184314467"/>
      <w:bookmarkEnd w:id="193"/>
      <w:bookmarkStart w:id="194" w:name="_Toc184314466"/>
      <w:bookmarkEnd w:id="194"/>
      <w:bookmarkStart w:id="195" w:name="_Toc184312068"/>
      <w:bookmarkEnd w:id="195"/>
      <w:bookmarkStart w:id="196" w:name="_Toc184314421"/>
      <w:bookmarkEnd w:id="196"/>
      <w:bookmarkStart w:id="197" w:name="_Toc184310340"/>
      <w:bookmarkEnd w:id="197"/>
      <w:bookmarkStart w:id="198" w:name="_Toc184312083"/>
      <w:bookmarkEnd w:id="198"/>
      <w:bookmarkStart w:id="199" w:name="_Toc184310331"/>
      <w:bookmarkEnd w:id="199"/>
      <w:bookmarkStart w:id="200" w:name="_Toc184313260"/>
      <w:bookmarkEnd w:id="200"/>
      <w:bookmarkStart w:id="201" w:name="_Toc184314415"/>
      <w:bookmarkEnd w:id="201"/>
      <w:bookmarkStart w:id="202" w:name="_Toc184312092"/>
      <w:bookmarkEnd w:id="202"/>
      <w:bookmarkStart w:id="203" w:name="_Toc184312090"/>
      <w:bookmarkEnd w:id="203"/>
      <w:bookmarkStart w:id="204" w:name="_Toc184312136"/>
      <w:bookmarkEnd w:id="204"/>
      <w:bookmarkStart w:id="205" w:name="_Toc184310272"/>
      <w:bookmarkEnd w:id="205"/>
      <w:bookmarkStart w:id="206" w:name="_Toc184314480"/>
      <w:bookmarkEnd w:id="206"/>
      <w:bookmarkStart w:id="207" w:name="_Toc184310335"/>
      <w:bookmarkEnd w:id="207"/>
      <w:bookmarkStart w:id="208" w:name="_Toc184308075"/>
      <w:bookmarkEnd w:id="208"/>
      <w:bookmarkStart w:id="209" w:name="_Toc184313258"/>
      <w:bookmarkEnd w:id="209"/>
      <w:bookmarkStart w:id="210" w:name="_Toc184312131"/>
      <w:bookmarkEnd w:id="210"/>
      <w:bookmarkStart w:id="211" w:name="_Toc184313279"/>
      <w:bookmarkEnd w:id="211"/>
      <w:bookmarkStart w:id="212" w:name="_Toc184314433"/>
      <w:bookmarkEnd w:id="212"/>
      <w:bookmarkStart w:id="213" w:name="_Toc184312071"/>
      <w:bookmarkEnd w:id="213"/>
      <w:bookmarkStart w:id="214" w:name="_Toc184310297"/>
      <w:bookmarkEnd w:id="214"/>
      <w:bookmarkStart w:id="215" w:name="_Toc184308073"/>
      <w:bookmarkEnd w:id="215"/>
      <w:bookmarkStart w:id="216" w:name="_Toc184312138"/>
      <w:bookmarkEnd w:id="216"/>
      <w:bookmarkStart w:id="217" w:name="_Toc184314449"/>
      <w:bookmarkEnd w:id="217"/>
      <w:bookmarkStart w:id="218" w:name="_Toc184314468"/>
      <w:bookmarkEnd w:id="218"/>
      <w:bookmarkStart w:id="219" w:name="_Toc184310322"/>
      <w:bookmarkEnd w:id="219"/>
      <w:bookmarkStart w:id="220" w:name="_Toc184310338"/>
      <w:bookmarkEnd w:id="220"/>
      <w:bookmarkStart w:id="221" w:name="_Toc184310313"/>
      <w:bookmarkEnd w:id="221"/>
      <w:bookmarkStart w:id="222" w:name="_Toc184308088"/>
      <w:bookmarkEnd w:id="222"/>
      <w:bookmarkStart w:id="223" w:name="_Toc184310285"/>
      <w:bookmarkEnd w:id="223"/>
      <w:bookmarkStart w:id="224" w:name="_Toc184313255"/>
      <w:bookmarkEnd w:id="224"/>
      <w:bookmarkStart w:id="225" w:name="_Toc184314444"/>
      <w:bookmarkEnd w:id="225"/>
      <w:bookmarkStart w:id="226" w:name="_Toc184310306"/>
      <w:bookmarkEnd w:id="226"/>
      <w:bookmarkStart w:id="227" w:name="_Toc184314418"/>
      <w:bookmarkEnd w:id="227"/>
      <w:bookmarkStart w:id="228" w:name="_Toc184312137"/>
      <w:bookmarkEnd w:id="228"/>
      <w:bookmarkStart w:id="229" w:name="_Toc184314475"/>
      <w:bookmarkEnd w:id="229"/>
      <w:bookmarkStart w:id="230" w:name="_Toc184314423"/>
      <w:bookmarkEnd w:id="230"/>
      <w:bookmarkStart w:id="231" w:name="_Toc184314431"/>
      <w:bookmarkEnd w:id="231"/>
      <w:bookmarkStart w:id="232" w:name="_Toc184310283"/>
      <w:bookmarkEnd w:id="232"/>
      <w:bookmarkStart w:id="233" w:name="_Toc184314432"/>
      <w:bookmarkEnd w:id="233"/>
      <w:bookmarkStart w:id="234" w:name="_Toc184313291"/>
      <w:bookmarkEnd w:id="234"/>
      <w:bookmarkStart w:id="235" w:name="_Toc184308074"/>
      <w:bookmarkEnd w:id="235"/>
      <w:bookmarkStart w:id="236" w:name="_Toc184310278"/>
      <w:bookmarkEnd w:id="236"/>
      <w:bookmarkStart w:id="237" w:name="_Toc184308051"/>
      <w:bookmarkEnd w:id="237"/>
      <w:bookmarkStart w:id="238" w:name="_Toc184314424"/>
      <w:bookmarkEnd w:id="238"/>
      <w:bookmarkStart w:id="239" w:name="_Toc184314416"/>
      <w:bookmarkEnd w:id="239"/>
      <w:bookmarkStart w:id="240" w:name="_Toc184312078"/>
      <w:bookmarkEnd w:id="240"/>
      <w:bookmarkStart w:id="241" w:name="_Toc184313241"/>
      <w:bookmarkEnd w:id="241"/>
      <w:bookmarkStart w:id="242" w:name="_Toc184310303"/>
      <w:bookmarkEnd w:id="242"/>
      <w:bookmarkStart w:id="243" w:name="_Toc184313252"/>
      <w:bookmarkEnd w:id="243"/>
      <w:bookmarkStart w:id="244" w:name="_Toc184314452"/>
      <w:bookmarkEnd w:id="244"/>
      <w:bookmarkStart w:id="245" w:name="_Toc184314410"/>
      <w:bookmarkEnd w:id="245"/>
      <w:bookmarkStart w:id="246" w:name="_Toc184313278"/>
      <w:bookmarkEnd w:id="246"/>
      <w:bookmarkStart w:id="247" w:name="_Toc184313290"/>
      <w:bookmarkEnd w:id="247"/>
      <w:bookmarkStart w:id="248" w:name="_Toc184312107"/>
      <w:bookmarkEnd w:id="248"/>
      <w:bookmarkStart w:id="249" w:name="_Toc184310326"/>
      <w:bookmarkEnd w:id="249"/>
      <w:bookmarkStart w:id="250" w:name="_Toc184310339"/>
      <w:bookmarkEnd w:id="250"/>
      <w:bookmarkStart w:id="251" w:name="_Toc184313268"/>
      <w:bookmarkEnd w:id="251"/>
      <w:bookmarkStart w:id="252" w:name="_Toc184313294"/>
      <w:bookmarkEnd w:id="252"/>
      <w:bookmarkStart w:id="253" w:name="_Toc184314443"/>
      <w:bookmarkEnd w:id="253"/>
      <w:bookmarkStart w:id="254" w:name="_Toc184314442"/>
      <w:bookmarkEnd w:id="254"/>
      <w:bookmarkStart w:id="255" w:name="_Toc184310296"/>
      <w:bookmarkEnd w:id="255"/>
      <w:bookmarkStart w:id="256" w:name="_Toc184314438"/>
      <w:bookmarkEnd w:id="256"/>
      <w:bookmarkStart w:id="257" w:name="_Toc184313310"/>
      <w:bookmarkEnd w:id="257"/>
      <w:bookmarkStart w:id="258" w:name="_Toc184314428"/>
      <w:bookmarkEnd w:id="258"/>
      <w:bookmarkStart w:id="259" w:name="_Toc184308066"/>
      <w:bookmarkEnd w:id="259"/>
      <w:bookmarkStart w:id="260" w:name="_Toc184313286"/>
      <w:bookmarkEnd w:id="260"/>
      <w:bookmarkStart w:id="261" w:name="_Toc184314473"/>
      <w:bookmarkEnd w:id="261"/>
      <w:bookmarkStart w:id="262" w:name="_Toc184312085"/>
      <w:bookmarkEnd w:id="262"/>
      <w:bookmarkStart w:id="263" w:name="_Toc184310315"/>
      <w:bookmarkEnd w:id="263"/>
      <w:bookmarkStart w:id="264" w:name="_Toc184313267"/>
      <w:bookmarkEnd w:id="264"/>
      <w:bookmarkStart w:id="265" w:name="_Toc184313289"/>
      <w:bookmarkEnd w:id="265"/>
      <w:bookmarkStart w:id="266" w:name="_Toc184308054"/>
      <w:bookmarkEnd w:id="266"/>
      <w:bookmarkStart w:id="267" w:name="_Toc184310325"/>
      <w:bookmarkEnd w:id="267"/>
      <w:bookmarkStart w:id="268" w:name="_Toc184308091"/>
      <w:bookmarkEnd w:id="268"/>
      <w:bookmarkStart w:id="269" w:name="_Toc184314412"/>
      <w:bookmarkEnd w:id="269"/>
      <w:bookmarkStart w:id="270" w:name="_Toc184312086"/>
      <w:bookmarkEnd w:id="270"/>
      <w:bookmarkStart w:id="271" w:name="_Toc184314456"/>
      <w:bookmarkEnd w:id="271"/>
      <w:bookmarkStart w:id="272" w:name="_Toc184310329"/>
      <w:bookmarkEnd w:id="272"/>
      <w:bookmarkStart w:id="273" w:name="_Toc184314471"/>
      <w:bookmarkEnd w:id="273"/>
      <w:bookmarkStart w:id="274" w:name="_Toc184308103"/>
      <w:bookmarkEnd w:id="274"/>
      <w:bookmarkStart w:id="275" w:name="_Toc184312102"/>
      <w:bookmarkEnd w:id="275"/>
      <w:bookmarkStart w:id="276" w:name="_Toc184313299"/>
      <w:bookmarkEnd w:id="276"/>
      <w:bookmarkStart w:id="277" w:name="_Toc184308044"/>
      <w:bookmarkEnd w:id="277"/>
      <w:bookmarkStart w:id="278" w:name="_Toc184312101"/>
      <w:bookmarkEnd w:id="278"/>
      <w:bookmarkStart w:id="279" w:name="_Toc184313308"/>
      <w:bookmarkEnd w:id="279"/>
      <w:bookmarkStart w:id="280" w:name="_Toc184313309"/>
      <w:bookmarkEnd w:id="280"/>
      <w:bookmarkStart w:id="281" w:name="_Toc184308104"/>
      <w:bookmarkEnd w:id="281"/>
      <w:bookmarkStart w:id="282" w:name="_Toc184312105"/>
      <w:bookmarkEnd w:id="282"/>
      <w:bookmarkStart w:id="283" w:name="_Toc184308068"/>
      <w:bookmarkEnd w:id="283"/>
      <w:bookmarkStart w:id="284" w:name="_Toc184314411"/>
      <w:bookmarkEnd w:id="284"/>
      <w:bookmarkStart w:id="285" w:name="_Toc184314474"/>
      <w:bookmarkEnd w:id="285"/>
      <w:bookmarkStart w:id="286" w:name="_Toc184314429"/>
      <w:bookmarkEnd w:id="286"/>
      <w:bookmarkStart w:id="287" w:name="_Toc184312096"/>
      <w:bookmarkEnd w:id="287"/>
      <w:bookmarkStart w:id="288" w:name="_Toc184313304"/>
      <w:bookmarkEnd w:id="288"/>
      <w:bookmarkStart w:id="289" w:name="_Toc184312114"/>
      <w:bookmarkEnd w:id="289"/>
      <w:bookmarkStart w:id="290" w:name="_Toc184308053"/>
      <w:bookmarkEnd w:id="290"/>
      <w:bookmarkStart w:id="291" w:name="_Toc184310320"/>
      <w:bookmarkEnd w:id="291"/>
      <w:bookmarkStart w:id="292" w:name="_Toc184313297"/>
      <w:bookmarkEnd w:id="292"/>
      <w:bookmarkStart w:id="293" w:name="_Toc184310294"/>
      <w:bookmarkEnd w:id="293"/>
      <w:bookmarkStart w:id="294" w:name="_Toc184314455"/>
      <w:bookmarkEnd w:id="294"/>
      <w:bookmarkStart w:id="295" w:name="_Toc184310343"/>
      <w:bookmarkEnd w:id="295"/>
      <w:bookmarkStart w:id="296" w:name="_Toc184313303"/>
      <w:bookmarkEnd w:id="296"/>
      <w:bookmarkStart w:id="297" w:name="_Toc184312109"/>
      <w:bookmarkEnd w:id="297"/>
      <w:bookmarkStart w:id="298" w:name="_Toc184312079"/>
      <w:bookmarkEnd w:id="298"/>
      <w:bookmarkStart w:id="299" w:name="_Toc184314446"/>
      <w:bookmarkEnd w:id="299"/>
      <w:bookmarkStart w:id="300" w:name="_Toc184313305"/>
      <w:bookmarkEnd w:id="300"/>
      <w:bookmarkStart w:id="301" w:name="_Toc184308059"/>
      <w:bookmarkEnd w:id="301"/>
      <w:bookmarkStart w:id="302" w:name="_Toc184308041"/>
      <w:bookmarkEnd w:id="302"/>
      <w:bookmarkStart w:id="303" w:name="_Toc184314469"/>
      <w:bookmarkEnd w:id="303"/>
      <w:bookmarkStart w:id="304" w:name="_Toc184312108"/>
      <w:bookmarkEnd w:id="304"/>
      <w:bookmarkStart w:id="305" w:name="_Toc184312070"/>
      <w:bookmarkEnd w:id="305"/>
      <w:bookmarkStart w:id="306" w:name="_Toc184308069"/>
      <w:bookmarkEnd w:id="306"/>
      <w:bookmarkStart w:id="307" w:name="_Toc184314436"/>
      <w:bookmarkEnd w:id="307"/>
      <w:bookmarkStart w:id="308" w:name="_Toc184308076"/>
      <w:bookmarkEnd w:id="308"/>
      <w:bookmarkStart w:id="309" w:name="_Toc184313277"/>
      <w:bookmarkEnd w:id="309"/>
      <w:bookmarkStart w:id="310" w:name="_Toc184314453"/>
      <w:bookmarkEnd w:id="310"/>
      <w:bookmarkStart w:id="311" w:name="_Toc184308070"/>
      <w:bookmarkEnd w:id="311"/>
      <w:bookmarkStart w:id="312" w:name="_Toc184312119"/>
      <w:bookmarkEnd w:id="312"/>
      <w:bookmarkStart w:id="313" w:name="_Toc184312082"/>
      <w:bookmarkEnd w:id="313"/>
      <w:bookmarkStart w:id="314" w:name="_Toc184310328"/>
      <w:bookmarkEnd w:id="314"/>
      <w:bookmarkStart w:id="315" w:name="_Toc184312117"/>
      <w:bookmarkEnd w:id="315"/>
      <w:bookmarkStart w:id="316" w:name="_Toc184308050"/>
      <w:bookmarkEnd w:id="316"/>
      <w:bookmarkStart w:id="317" w:name="_Toc184312076"/>
      <w:bookmarkEnd w:id="317"/>
      <w:bookmarkStart w:id="318" w:name="_Toc184308098"/>
      <w:bookmarkEnd w:id="318"/>
      <w:bookmarkStart w:id="319" w:name="_Toc184312122"/>
      <w:bookmarkEnd w:id="319"/>
      <w:bookmarkStart w:id="320" w:name="_Toc184312116"/>
      <w:bookmarkEnd w:id="320"/>
      <w:bookmarkStart w:id="321" w:name="_Toc184308048"/>
      <w:bookmarkEnd w:id="321"/>
      <w:bookmarkStart w:id="322" w:name="_Toc184308065"/>
      <w:bookmarkEnd w:id="322"/>
      <w:bookmarkStart w:id="323" w:name="_Toc184313245"/>
      <w:bookmarkEnd w:id="323"/>
      <w:bookmarkStart w:id="324" w:name="_Toc184310292"/>
      <w:bookmarkEnd w:id="324"/>
      <w:bookmarkStart w:id="325" w:name="_Toc184312103"/>
      <w:bookmarkEnd w:id="325"/>
      <w:bookmarkStart w:id="326" w:name="_Toc184312084"/>
      <w:bookmarkEnd w:id="326"/>
      <w:bookmarkStart w:id="327" w:name="_Toc184310302"/>
      <w:bookmarkEnd w:id="327"/>
      <w:bookmarkStart w:id="328" w:name="_Toc184312089"/>
      <w:bookmarkEnd w:id="328"/>
      <w:bookmarkStart w:id="329" w:name="_Toc184313281"/>
      <w:bookmarkEnd w:id="329"/>
      <w:bookmarkStart w:id="330" w:name="_Toc184308056"/>
      <w:bookmarkEnd w:id="330"/>
      <w:bookmarkStart w:id="331" w:name="_Toc184308089"/>
      <w:bookmarkEnd w:id="331"/>
      <w:bookmarkStart w:id="332" w:name="_Toc184312100"/>
      <w:bookmarkEnd w:id="332"/>
      <w:bookmarkStart w:id="333" w:name="_Toc184308036"/>
      <w:bookmarkEnd w:id="333"/>
      <w:bookmarkStart w:id="334" w:name="_Toc184312069"/>
      <w:bookmarkEnd w:id="334"/>
      <w:bookmarkStart w:id="335" w:name="_Toc184310333"/>
      <w:bookmarkEnd w:id="335"/>
      <w:bookmarkStart w:id="336" w:name="_Toc184308037"/>
      <w:bookmarkEnd w:id="336"/>
      <w:bookmarkStart w:id="337" w:name="_Toc184312110"/>
      <w:bookmarkEnd w:id="337"/>
      <w:bookmarkStart w:id="338" w:name="_Toc184312121"/>
      <w:bookmarkEnd w:id="338"/>
      <w:bookmarkStart w:id="339" w:name="_Toc184312111"/>
      <w:bookmarkEnd w:id="339"/>
      <w:bookmarkStart w:id="340" w:name="_Toc184313288"/>
      <w:bookmarkEnd w:id="340"/>
      <w:bookmarkStart w:id="341" w:name="_Toc184312104"/>
      <w:bookmarkEnd w:id="341"/>
      <w:bookmarkStart w:id="342" w:name="_Toc184314472"/>
      <w:bookmarkEnd w:id="342"/>
      <w:bookmarkStart w:id="343" w:name="_Toc184314464"/>
      <w:bookmarkEnd w:id="343"/>
      <w:bookmarkStart w:id="344" w:name="_Toc184310287"/>
      <w:bookmarkEnd w:id="344"/>
      <w:bookmarkStart w:id="345" w:name="_Toc184314459"/>
      <w:bookmarkEnd w:id="345"/>
      <w:bookmarkStart w:id="346" w:name="_Toc184313272"/>
      <w:bookmarkEnd w:id="346"/>
      <w:bookmarkStart w:id="347" w:name="_Toc184312072"/>
      <w:bookmarkEnd w:id="347"/>
      <w:bookmarkStart w:id="348" w:name="_Toc184308067"/>
      <w:bookmarkEnd w:id="348"/>
      <w:bookmarkStart w:id="349" w:name="_Toc184308064"/>
      <w:bookmarkEnd w:id="349"/>
      <w:bookmarkStart w:id="350" w:name="_Toc184308047"/>
      <w:bookmarkEnd w:id="350"/>
      <w:bookmarkStart w:id="351" w:name="_Toc184314435"/>
      <w:bookmarkEnd w:id="351"/>
      <w:bookmarkStart w:id="352" w:name="_Toc184308099"/>
      <w:bookmarkEnd w:id="352"/>
      <w:bookmarkStart w:id="353" w:name="_Toc184314437"/>
      <w:bookmarkEnd w:id="353"/>
      <w:bookmarkStart w:id="354" w:name="_Toc184310282"/>
      <w:bookmarkEnd w:id="354"/>
      <w:bookmarkStart w:id="355" w:name="_Toc184313238"/>
      <w:bookmarkEnd w:id="355"/>
      <w:bookmarkStart w:id="356" w:name="_Toc184312088"/>
      <w:bookmarkEnd w:id="356"/>
      <w:bookmarkStart w:id="357" w:name="_Toc184312120"/>
      <w:bookmarkEnd w:id="357"/>
      <w:bookmarkStart w:id="358" w:name="_Toc184314445"/>
      <w:bookmarkEnd w:id="358"/>
      <w:bookmarkStart w:id="359" w:name="_Toc184308061"/>
      <w:bookmarkEnd w:id="359"/>
      <w:bookmarkStart w:id="360" w:name="_Toc184310293"/>
      <w:bookmarkEnd w:id="360"/>
      <w:bookmarkStart w:id="361" w:name="_Toc184310275"/>
      <w:bookmarkEnd w:id="361"/>
      <w:bookmarkStart w:id="362" w:name="_Toc184308058"/>
      <w:bookmarkEnd w:id="362"/>
      <w:bookmarkStart w:id="363" w:name="_Toc184314465"/>
      <w:bookmarkEnd w:id="363"/>
      <w:bookmarkStart w:id="364" w:name="_Toc184308096"/>
      <w:bookmarkEnd w:id="364"/>
      <w:bookmarkStart w:id="365" w:name="_Toc184312098"/>
      <w:bookmarkEnd w:id="365"/>
      <w:bookmarkStart w:id="366" w:name="_Toc184314476"/>
      <w:bookmarkEnd w:id="366"/>
      <w:bookmarkStart w:id="367" w:name="_Toc184314419"/>
      <w:bookmarkEnd w:id="367"/>
      <w:bookmarkStart w:id="368" w:name="_Toc184314414"/>
      <w:bookmarkEnd w:id="368"/>
      <w:bookmarkStart w:id="369" w:name="_Toc184308046"/>
      <w:bookmarkEnd w:id="369"/>
      <w:bookmarkStart w:id="370" w:name="_Toc184312133"/>
      <w:bookmarkEnd w:id="370"/>
      <w:bookmarkStart w:id="371" w:name="_Toc184313254"/>
      <w:bookmarkEnd w:id="371"/>
      <w:bookmarkStart w:id="372" w:name="_Toc184313247"/>
      <w:bookmarkEnd w:id="372"/>
      <w:bookmarkStart w:id="373" w:name="_Toc184308101"/>
      <w:bookmarkEnd w:id="373"/>
      <w:bookmarkStart w:id="374" w:name="_Toc184310308"/>
      <w:bookmarkEnd w:id="374"/>
      <w:bookmarkStart w:id="375" w:name="_Toc184310311"/>
      <w:bookmarkEnd w:id="375"/>
      <w:bookmarkStart w:id="376" w:name="_Toc184314478"/>
      <w:bookmarkEnd w:id="376"/>
      <w:bookmarkStart w:id="377" w:name="_Toc184313248"/>
      <w:bookmarkEnd w:id="377"/>
      <w:bookmarkStart w:id="378" w:name="_Toc184310290"/>
      <w:bookmarkEnd w:id="378"/>
      <w:bookmarkStart w:id="379" w:name="_Toc184310330"/>
      <w:bookmarkEnd w:id="379"/>
      <w:bookmarkStart w:id="380" w:name="_Toc184314461"/>
      <w:bookmarkEnd w:id="380"/>
      <w:bookmarkStart w:id="381" w:name="_Toc184314458"/>
      <w:bookmarkEnd w:id="381"/>
      <w:bookmarkStart w:id="382" w:name="_Toc184310336"/>
      <w:bookmarkEnd w:id="382"/>
      <w:bookmarkStart w:id="383" w:name="_Toc184308039"/>
      <w:bookmarkEnd w:id="383"/>
      <w:bookmarkStart w:id="384" w:name="_Toc184313265"/>
      <w:bookmarkEnd w:id="384"/>
      <w:bookmarkStart w:id="385" w:name="_Toc184312074"/>
      <w:bookmarkEnd w:id="385"/>
      <w:bookmarkStart w:id="386" w:name="_Toc184308102"/>
      <w:bookmarkEnd w:id="386"/>
      <w:bookmarkStart w:id="387" w:name="_Toc184308106"/>
      <w:bookmarkEnd w:id="387"/>
      <w:bookmarkStart w:id="388" w:name="_Toc184310314"/>
      <w:bookmarkEnd w:id="388"/>
      <w:bookmarkStart w:id="389" w:name="_Toc184310288"/>
      <w:bookmarkEnd w:id="389"/>
      <w:bookmarkStart w:id="390" w:name="_Toc184313263"/>
      <w:bookmarkEnd w:id="390"/>
      <w:bookmarkStart w:id="391" w:name="_Toc184308042"/>
      <w:bookmarkEnd w:id="391"/>
      <w:bookmarkStart w:id="392" w:name="_Toc184313282"/>
      <w:bookmarkEnd w:id="392"/>
      <w:bookmarkStart w:id="393" w:name="_Toc184314439"/>
      <w:bookmarkEnd w:id="393"/>
      <w:bookmarkStart w:id="394" w:name="_Toc184313306"/>
      <w:bookmarkEnd w:id="394"/>
      <w:bookmarkStart w:id="395" w:name="_Toc184312113"/>
      <w:bookmarkEnd w:id="395"/>
      <w:bookmarkStart w:id="396" w:name="_Toc184313293"/>
      <w:bookmarkEnd w:id="396"/>
      <w:bookmarkStart w:id="397" w:name="_Toc184308085"/>
      <w:bookmarkEnd w:id="397"/>
      <w:bookmarkStart w:id="398" w:name="_Toc184312134"/>
      <w:bookmarkEnd w:id="398"/>
      <w:bookmarkStart w:id="399" w:name="_Toc184308038"/>
      <w:bookmarkEnd w:id="399"/>
      <w:bookmarkStart w:id="400" w:name="_Toc184314413"/>
      <w:bookmarkEnd w:id="400"/>
      <w:bookmarkStart w:id="401" w:name="_Toc184312080"/>
      <w:bookmarkEnd w:id="401"/>
      <w:bookmarkStart w:id="402" w:name="_Toc184308093"/>
      <w:bookmarkEnd w:id="402"/>
      <w:bookmarkStart w:id="403" w:name="_Toc184308060"/>
      <w:bookmarkEnd w:id="403"/>
      <w:bookmarkStart w:id="404" w:name="_Toc184314463"/>
      <w:bookmarkEnd w:id="404"/>
      <w:bookmarkStart w:id="405" w:name="_Toc184310332"/>
      <w:bookmarkEnd w:id="405"/>
      <w:bookmarkStart w:id="406" w:name="_Toc184313300"/>
      <w:bookmarkEnd w:id="406"/>
      <w:bookmarkStart w:id="407" w:name="_Toc184313302"/>
      <w:bookmarkEnd w:id="407"/>
      <w:bookmarkStart w:id="408" w:name="_Toc184312126"/>
      <w:bookmarkEnd w:id="408"/>
      <w:bookmarkStart w:id="409" w:name="_Toc184313264"/>
      <w:bookmarkEnd w:id="409"/>
      <w:bookmarkStart w:id="410" w:name="_Toc184312130"/>
      <w:bookmarkEnd w:id="410"/>
      <w:bookmarkStart w:id="411" w:name="_Toc184310309"/>
      <w:bookmarkEnd w:id="411"/>
      <w:bookmarkStart w:id="412" w:name="_Toc184314417"/>
      <w:bookmarkEnd w:id="412"/>
      <w:bookmarkStart w:id="413" w:name="_Toc184313251"/>
      <w:bookmarkEnd w:id="413"/>
      <w:bookmarkStart w:id="414" w:name="_Toc184314426"/>
      <w:bookmarkEnd w:id="414"/>
      <w:bookmarkStart w:id="415" w:name="_Toc184310273"/>
      <w:bookmarkEnd w:id="415"/>
      <w:bookmarkStart w:id="416" w:name="_Toc184313242"/>
      <w:bookmarkEnd w:id="416"/>
      <w:r>
        <w:rPr>
          <w:rFonts w:hint="eastAsia" w:ascii="宋体" w:hAnsi="宋体" w:cs="宋体"/>
          <w:b/>
          <w:sz w:val="36"/>
          <w:szCs w:val="36"/>
        </w:rPr>
        <w:t>评标办法</w:t>
      </w:r>
      <w:bookmarkEnd w:id="49"/>
      <w:bookmarkEnd w:id="50"/>
      <w:bookmarkEnd w:id="51"/>
    </w:p>
    <w:p>
      <w:pPr>
        <w:pStyle w:val="7"/>
        <w:bidi w:val="0"/>
      </w:pPr>
      <w:bookmarkStart w:id="417" w:name="_Toc19050"/>
      <w:bookmarkStart w:id="418" w:name="_Toc22464"/>
      <w:r>
        <w:rPr>
          <w:rFonts w:hint="eastAsia"/>
        </w:rPr>
        <w:t>一、评标方法</w:t>
      </w:r>
      <w:bookmarkEnd w:id="417"/>
      <w:bookmarkEnd w:id="418"/>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7"/>
        <w:bidi w:val="0"/>
        <w:rPr>
          <w:rFonts w:hint="eastAsia"/>
        </w:rPr>
      </w:pPr>
      <w:bookmarkStart w:id="419" w:name="_Toc4726"/>
      <w:bookmarkStart w:id="420" w:name="_Toc30791"/>
      <w:r>
        <w:rPr>
          <w:rFonts w:hint="eastAsia"/>
        </w:rPr>
        <w:t>二、评标标准</w:t>
      </w:r>
      <w:bookmarkEnd w:id="419"/>
      <w:bookmarkEnd w:id="420"/>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评分类型</w:t>
            </w:r>
          </w:p>
        </w:tc>
        <w:tc>
          <w:tcPr>
            <w:tcW w:w="2718"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评分标准</w:t>
            </w:r>
          </w:p>
        </w:tc>
        <w:tc>
          <w:tcPr>
            <w:tcW w:w="62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分值范围</w:t>
            </w:r>
          </w:p>
        </w:tc>
        <w:tc>
          <w:tcPr>
            <w:tcW w:w="64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w:t>
            </w:r>
            <w:r>
              <w:rPr>
                <w:rFonts w:hint="eastAsia" w:ascii="宋体" w:hAnsi="宋体" w:eastAsia="宋体" w:cs="宋体"/>
                <w:b/>
                <w:bCs/>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w:t>
            </w:r>
          </w:p>
        </w:tc>
        <w:tc>
          <w:tcPr>
            <w:tcW w:w="2718"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价格分采用低价优先法计算，即</w:t>
            </w:r>
            <w:r>
              <w:rPr>
                <w:rFonts w:hint="eastAsia" w:ascii="宋体" w:hAnsi="宋体" w:eastAsia="宋体" w:cs="宋体"/>
                <w:sz w:val="24"/>
                <w:szCs w:val="24"/>
                <w:highlight w:val="none"/>
              </w:rPr>
              <w:t>有效</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报价的最低价</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lang w:eastAsia="zh-CN"/>
              </w:rPr>
              <w:t>基准价，</w:t>
            </w:r>
            <w:r>
              <w:rPr>
                <w:rFonts w:hint="eastAsia" w:ascii="宋体" w:hAnsi="宋体" w:eastAsia="宋体" w:cs="宋体"/>
                <w:sz w:val="24"/>
                <w:szCs w:val="24"/>
                <w:highlight w:val="none"/>
              </w:rPr>
              <w:t>其最低报价为满分</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lang w:eastAsia="zh-CN"/>
              </w:rPr>
              <w:t>分统一按照下列公式计算：</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报价得分=（</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lang w:eastAsia="zh-CN"/>
              </w:rPr>
              <w:t>基准价/投标报价）</w:t>
            </w:r>
            <w:r>
              <w:rPr>
                <w:rFonts w:hint="eastAsia" w:ascii="宋体" w:hAnsi="宋体" w:eastAsia="宋体" w:cs="宋体"/>
                <w:sz w:val="24"/>
                <w:szCs w:val="24"/>
                <w:highlight w:val="none"/>
                <w:lang w:val="en-US" w:eastAsia="zh-CN"/>
              </w:rPr>
              <w:t>*30</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rPr>
              <w:t>对于未预留份额专门面向中小企业的政府采购项目，以及预留份额政府采购项目中的非预留部分标项，对</w:t>
            </w:r>
            <w:r>
              <w:rPr>
                <w:rFonts w:hint="eastAsia" w:ascii="宋体" w:hAnsi="宋体" w:eastAsia="宋体" w:cs="宋体"/>
                <w:b/>
                <w:bCs/>
                <w:color w:val="auto"/>
                <w:sz w:val="24"/>
                <w:szCs w:val="24"/>
                <w:highlight w:val="none"/>
                <w:lang w:val="en-US" w:eastAsia="zh-CN"/>
              </w:rPr>
              <w:t>符合《政府采购促进中小企业发展管理办法》的规定给予价格扣除优惠政策的供应商</w:t>
            </w:r>
            <w:r>
              <w:rPr>
                <w:rFonts w:hint="eastAsia" w:ascii="宋体" w:hAnsi="宋体" w:eastAsia="宋体" w:cs="宋体"/>
                <w:b/>
                <w:bCs/>
                <w:color w:val="auto"/>
                <w:sz w:val="24"/>
                <w:szCs w:val="24"/>
                <w:highlight w:val="none"/>
              </w:rPr>
              <w:t>，用扣除后的价格参与评审。</w:t>
            </w:r>
          </w:p>
        </w:tc>
        <w:tc>
          <w:tcPr>
            <w:tcW w:w="62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30</w:t>
            </w:r>
            <w:r>
              <w:rPr>
                <w:rFonts w:hint="eastAsia" w:cs="仿宋_GB2312" w:asciiTheme="minorEastAsia" w:hAnsiTheme="minorEastAsia" w:eastAsiaTheme="minorEastAsia"/>
                <w:sz w:val="24"/>
                <w:highlight w:val="none"/>
              </w:rPr>
              <w:t>分</w:t>
            </w:r>
          </w:p>
        </w:tc>
        <w:tc>
          <w:tcPr>
            <w:tcW w:w="64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w:t>
            </w:r>
          </w:p>
        </w:tc>
        <w:tc>
          <w:tcPr>
            <w:tcW w:w="2718"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月1日以来完成的</w:t>
            </w:r>
            <w:r>
              <w:rPr>
                <w:rFonts w:hint="eastAsia" w:ascii="宋体" w:hAnsi="宋体" w:cs="宋体"/>
                <w:color w:val="auto"/>
                <w:sz w:val="24"/>
                <w:szCs w:val="24"/>
                <w:highlight w:val="none"/>
                <w:lang w:val="en-US" w:eastAsia="zh-CN"/>
              </w:rPr>
              <w:t>核心产品的</w:t>
            </w:r>
            <w:r>
              <w:rPr>
                <w:rFonts w:hint="eastAsia" w:ascii="宋体" w:hAnsi="宋体" w:eastAsia="宋体" w:cs="宋体"/>
                <w:color w:val="auto"/>
                <w:sz w:val="24"/>
                <w:szCs w:val="24"/>
                <w:highlight w:val="none"/>
              </w:rPr>
              <w:t>同类</w:t>
            </w:r>
            <w:r>
              <w:rPr>
                <w:rFonts w:hint="eastAsia" w:ascii="宋体" w:hAnsi="宋体" w:cs="宋体"/>
                <w:color w:val="auto"/>
                <w:sz w:val="24"/>
                <w:szCs w:val="24"/>
                <w:highlight w:val="none"/>
                <w:lang w:val="en-US" w:eastAsia="zh-CN"/>
              </w:rPr>
              <w:t>销售</w:t>
            </w: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需提供合同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以合同签订的时间为准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提供一个</w:t>
            </w:r>
            <w:r>
              <w:rPr>
                <w:rFonts w:hint="eastAsia" w:ascii="宋体" w:hAnsi="宋体" w:eastAsia="宋体" w:cs="宋体"/>
                <w:color w:val="auto"/>
                <w:sz w:val="24"/>
                <w:szCs w:val="24"/>
                <w:highlight w:val="none"/>
              </w:rPr>
              <w:t>得1分，最高得3分</w:t>
            </w:r>
          </w:p>
        </w:tc>
        <w:tc>
          <w:tcPr>
            <w:tcW w:w="62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0-3</w:t>
            </w:r>
            <w:r>
              <w:rPr>
                <w:rFonts w:hint="eastAsia" w:cs="仿宋_GB2312" w:asciiTheme="minorEastAsia" w:hAnsiTheme="minorEastAsia" w:eastAsiaTheme="minorEastAsia"/>
                <w:sz w:val="24"/>
              </w:rPr>
              <w:t>分</w:t>
            </w:r>
          </w:p>
        </w:tc>
        <w:tc>
          <w:tcPr>
            <w:tcW w:w="64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技术</w:t>
            </w:r>
          </w:p>
        </w:tc>
        <w:tc>
          <w:tcPr>
            <w:tcW w:w="2718" w:type="pct"/>
            <w:noWrap w:val="0"/>
            <w:vAlign w:val="center"/>
          </w:tcPr>
          <w:p>
            <w:pPr>
              <w:spacing w:line="360" w:lineRule="auto"/>
              <w:ind w:firstLine="0" w:firstLineChars="0"/>
              <w:rPr>
                <w:rFonts w:hint="default" w:cs="仿宋_GB2312" w:asciiTheme="minorEastAsia" w:hAnsiTheme="minorEastAsia" w:eastAsiaTheme="minorEastAsia"/>
                <w:kern w:val="2"/>
                <w:sz w:val="24"/>
                <w:szCs w:val="24"/>
                <w:lang w:val="en-US" w:eastAsia="zh-CN" w:bidi="ar-SA"/>
              </w:rPr>
            </w:pPr>
            <w:r>
              <w:rPr>
                <w:rFonts w:hint="default" w:cs="仿宋_GB2312" w:asciiTheme="minorEastAsia" w:hAnsiTheme="minorEastAsia" w:eastAsiaTheme="minorEastAsia"/>
                <w:kern w:val="2"/>
                <w:sz w:val="24"/>
                <w:szCs w:val="24"/>
                <w:lang w:val="en-US" w:eastAsia="zh-CN" w:bidi="ar-SA"/>
              </w:rPr>
              <w:t>所投产品的配置及总体满足需求程度：</w:t>
            </w:r>
          </w:p>
          <w:p>
            <w:pPr>
              <w:spacing w:line="360" w:lineRule="auto"/>
              <w:ind w:firstLine="480" w:firstLineChars="200"/>
              <w:rPr>
                <w:rFonts w:hint="default" w:cs="仿宋_GB2312" w:asciiTheme="minorEastAsia" w:hAnsiTheme="minorEastAsia" w:eastAsiaTheme="minorEastAsia"/>
                <w:kern w:val="2"/>
                <w:sz w:val="24"/>
                <w:szCs w:val="24"/>
                <w:lang w:val="en-US" w:eastAsia="zh-CN" w:bidi="ar-SA"/>
              </w:rPr>
            </w:pPr>
            <w:r>
              <w:rPr>
                <w:rFonts w:hint="default" w:cs="仿宋_GB2312" w:asciiTheme="minorEastAsia" w:hAnsiTheme="minorEastAsia" w:eastAsiaTheme="minorEastAsia"/>
                <w:kern w:val="2"/>
                <w:sz w:val="24"/>
                <w:szCs w:val="24"/>
                <w:lang w:val="en-US" w:eastAsia="zh-CN" w:bidi="ar-SA"/>
              </w:rPr>
              <w:t>1、配置齐全完整4分，配置基本符合2分；配置欠缺0分。0-4分</w:t>
            </w:r>
          </w:p>
          <w:p>
            <w:pPr>
              <w:spacing w:line="360" w:lineRule="auto"/>
              <w:ind w:firstLine="480" w:firstLineChars="200"/>
              <w:rPr>
                <w:rFonts w:hint="eastAsia" w:ascii="宋体" w:hAnsi="宋体" w:eastAsia="宋体" w:cs="宋体"/>
                <w:color w:val="auto"/>
                <w:sz w:val="24"/>
                <w:szCs w:val="24"/>
              </w:rPr>
            </w:pPr>
            <w:r>
              <w:rPr>
                <w:rFonts w:hint="default" w:cs="仿宋_GB2312" w:asciiTheme="minorEastAsia" w:hAnsiTheme="minorEastAsia" w:eastAsiaTheme="minorEastAsia"/>
                <w:kern w:val="2"/>
                <w:sz w:val="24"/>
                <w:szCs w:val="24"/>
                <w:lang w:val="en-US" w:eastAsia="zh-CN" w:bidi="ar-SA"/>
              </w:rPr>
              <w:t>2、完全满足需求4分，基本满足需求</w:t>
            </w:r>
            <w:r>
              <w:rPr>
                <w:rFonts w:hint="eastAsia" w:cs="仿宋_GB2312" w:asciiTheme="minorEastAsia" w:hAnsiTheme="minorEastAsia" w:eastAsiaTheme="minorEastAsia"/>
                <w:kern w:val="2"/>
                <w:sz w:val="24"/>
                <w:szCs w:val="24"/>
                <w:lang w:val="en-US" w:eastAsia="zh-CN" w:bidi="ar-SA"/>
              </w:rPr>
              <w:t>2</w:t>
            </w:r>
            <w:r>
              <w:rPr>
                <w:rFonts w:hint="default" w:cs="仿宋_GB2312" w:asciiTheme="minorEastAsia" w:hAnsiTheme="minorEastAsia" w:eastAsiaTheme="minorEastAsia"/>
                <w:kern w:val="2"/>
                <w:sz w:val="24"/>
                <w:szCs w:val="24"/>
                <w:lang w:val="en-US" w:eastAsia="zh-CN" w:bidi="ar-SA"/>
              </w:rPr>
              <w:t>分，部分满足需求1分，不满足0分。 0-4分</w:t>
            </w:r>
          </w:p>
        </w:tc>
        <w:tc>
          <w:tcPr>
            <w:tcW w:w="626" w:type="pct"/>
            <w:noWrap w:val="0"/>
            <w:vAlign w:val="center"/>
          </w:tcPr>
          <w:p>
            <w:pPr>
              <w:spacing w:line="360" w:lineRule="auto"/>
              <w:ind w:firstLine="0" w:firstLineChars="0"/>
              <w:jc w:val="center"/>
              <w:rPr>
                <w:rFonts w:hint="eastAsia" w:ascii="宋体" w:hAnsi="宋体" w:eastAsia="宋体" w:cs="宋体"/>
                <w:sz w:val="24"/>
                <w:szCs w:val="24"/>
                <w:lang w:val="en-US" w:eastAsia="zh-CN"/>
              </w:rPr>
            </w:pPr>
            <w:r>
              <w:rPr>
                <w:rFonts w:hint="eastAsia" w:cs="仿宋_GB2312" w:asciiTheme="minorEastAsia" w:hAnsiTheme="minorEastAsia" w:eastAsiaTheme="minorEastAsia"/>
                <w:kern w:val="2"/>
                <w:sz w:val="24"/>
                <w:szCs w:val="24"/>
                <w:lang w:val="en-US" w:eastAsia="zh-CN" w:bidi="ar-SA"/>
              </w:rPr>
              <w:t>0-8分</w:t>
            </w:r>
          </w:p>
        </w:tc>
        <w:tc>
          <w:tcPr>
            <w:tcW w:w="641" w:type="pct"/>
            <w:noWrap w:val="0"/>
            <w:vAlign w:val="center"/>
          </w:tcPr>
          <w:p>
            <w:pPr>
              <w:snapToGrid w:val="0"/>
              <w:spacing w:line="360" w:lineRule="auto"/>
              <w:ind w:firstLine="0" w:firstLineChars="0"/>
              <w:jc w:val="center"/>
              <w:rPr>
                <w:rFonts w:hint="eastAsia" w:ascii="宋体" w:hAnsi="宋体" w:eastAsia="宋体" w:cs="宋体"/>
                <w:color w:val="auto"/>
                <w:sz w:val="24"/>
                <w:szCs w:val="24"/>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592" w:type="pct"/>
            <w:noWrap w:val="0"/>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2718" w:type="pct"/>
            <w:noWrap w:val="0"/>
            <w:vAlign w:val="center"/>
          </w:tcPr>
          <w:p>
            <w:pPr>
              <w:spacing w:line="360" w:lineRule="auto"/>
              <w:ind w:firstLine="0" w:firstLineChars="0"/>
              <w:jc w:val="left"/>
              <w:rPr>
                <w:rFonts w:hAnsi="宋体"/>
              </w:rPr>
            </w:pPr>
            <w:r>
              <w:rPr>
                <w:rFonts w:hint="eastAsia" w:hAnsi="宋体"/>
              </w:rPr>
              <w:t>不符合（负偏离）技术要求中标注“▲”条款（不可偏离）的投标无效。</w:t>
            </w:r>
          </w:p>
          <w:p>
            <w:pPr>
              <w:spacing w:line="360" w:lineRule="auto"/>
              <w:ind w:firstLine="0" w:firstLineChars="0"/>
              <w:jc w:val="left"/>
              <w:rPr>
                <w:rFonts w:hAnsi="宋体"/>
              </w:rPr>
            </w:pPr>
            <w:r>
              <w:rPr>
                <w:rFonts w:hint="eastAsia" w:hAnsi="宋体"/>
              </w:rPr>
              <w:t>满足招标文件明确的全部技术、商务条款要求的该项得满分。</w:t>
            </w:r>
          </w:p>
          <w:p>
            <w:pPr>
              <w:spacing w:line="360" w:lineRule="auto"/>
              <w:ind w:firstLine="0" w:firstLineChars="0"/>
              <w:jc w:val="left"/>
              <w:rPr>
                <w:rFonts w:hint="eastAsia" w:eastAsia="宋体"/>
                <w:lang w:val="en-US" w:eastAsia="zh-CN"/>
              </w:rPr>
            </w:pPr>
            <w:r>
              <w:rPr>
                <w:rFonts w:hint="eastAsia"/>
              </w:rPr>
              <w:t>一般参数要求（采购需求中未打★及▲的指标条款）每负偏离一项扣</w:t>
            </w:r>
            <w:r>
              <w:rPr>
                <w:rFonts w:hint="eastAsia"/>
                <w:lang w:val="en-US" w:eastAsia="zh-CN"/>
              </w:rPr>
              <w:t>0.31</w:t>
            </w:r>
            <w:r>
              <w:rPr>
                <w:rFonts w:hint="eastAsia"/>
              </w:rPr>
              <w:t>分，</w:t>
            </w:r>
            <w:r>
              <w:rPr>
                <w:rFonts w:hint="eastAsia"/>
                <w:lang w:val="en-US" w:eastAsia="zh-CN"/>
              </w:rPr>
              <w:t>重要</w:t>
            </w:r>
            <w:r>
              <w:rPr>
                <w:rFonts w:hint="eastAsia"/>
              </w:rPr>
              <w:t>参数要求</w:t>
            </w:r>
            <w:r>
              <w:rPr>
                <w:rFonts w:hint="eastAsia"/>
                <w:lang w:eastAsia="zh-CN"/>
              </w:rPr>
              <w:t>（</w:t>
            </w:r>
            <w:r>
              <w:rPr>
                <w:rFonts w:hint="eastAsia"/>
              </w:rPr>
              <w:t>采购需求中打★的指标条款）每负偏离一项扣</w:t>
            </w:r>
            <w:r>
              <w:rPr>
                <w:rFonts w:hint="eastAsia"/>
                <w:lang w:val="en-US" w:eastAsia="zh-CN"/>
              </w:rPr>
              <w:t>1</w:t>
            </w:r>
            <w:r>
              <w:rPr>
                <w:rFonts w:hint="eastAsia"/>
              </w:rPr>
              <w:t>分，扣完为止</w:t>
            </w:r>
            <w:r>
              <w:rPr>
                <w:rFonts w:hint="eastAsia"/>
                <w:lang w:val="en-US" w:eastAsia="zh-CN"/>
              </w:rPr>
              <w:t>。</w:t>
            </w:r>
          </w:p>
          <w:p>
            <w:pPr>
              <w:spacing w:line="360" w:lineRule="auto"/>
              <w:ind w:firstLine="0" w:firstLineChars="0"/>
              <w:jc w:val="left"/>
              <w:rPr>
                <w:rFonts w:hint="eastAsia" w:ascii="宋体" w:hAnsi="宋体" w:eastAsia="宋体" w:cs="宋体"/>
                <w:color w:val="C0504D" w:themeColor="accent2"/>
                <w:kern w:val="2"/>
                <w:sz w:val="24"/>
                <w:szCs w:val="24"/>
                <w:lang w:val="en-US" w:eastAsia="zh-CN" w:bidi="ar-SA"/>
                <w14:textFill>
                  <w14:solidFill>
                    <w14:schemeClr w14:val="accent2"/>
                  </w14:solidFill>
                </w14:textFill>
              </w:rPr>
            </w:pPr>
            <w:r>
              <w:rPr>
                <w:rFonts w:hint="eastAsia" w:hAnsi="宋体"/>
              </w:rPr>
              <w:t>注：采购需求中要求提供佐证材料的，不提供的视为负偏离。</w:t>
            </w:r>
          </w:p>
        </w:tc>
        <w:tc>
          <w:tcPr>
            <w:tcW w:w="626" w:type="pct"/>
            <w:noWrap w:val="0"/>
            <w:vAlign w:val="center"/>
          </w:tcPr>
          <w:p>
            <w:pPr>
              <w:spacing w:line="36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lang w:val="en-US" w:eastAsia="zh-CN"/>
              </w:rPr>
              <w:t>0-30</w:t>
            </w:r>
            <w:r>
              <w:rPr>
                <w:rFonts w:hint="eastAsia" w:cs="仿宋_GB2312" w:asciiTheme="minorEastAsia" w:hAnsiTheme="minorEastAsia" w:eastAsiaTheme="minorEastAsia"/>
                <w:sz w:val="24"/>
              </w:rPr>
              <w:t>分</w:t>
            </w:r>
          </w:p>
        </w:tc>
        <w:tc>
          <w:tcPr>
            <w:tcW w:w="64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2718" w:type="pct"/>
            <w:noWrap w:val="0"/>
            <w:vAlign w:val="center"/>
          </w:tcPr>
          <w:p>
            <w:pPr>
              <w:spacing w:line="360" w:lineRule="auto"/>
              <w:ind w:firstLine="0" w:firstLineChars="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投标人项目组织实施方案</w:t>
            </w:r>
            <w:r>
              <w:rPr>
                <w:rFonts w:hint="eastAsia" w:cs="仿宋_GB2312" w:asciiTheme="minorEastAsia" w:hAnsiTheme="minorEastAsia" w:eastAsiaTheme="minorEastAsia"/>
                <w:sz w:val="24"/>
                <w:lang w:eastAsia="zh-CN"/>
              </w:rPr>
              <w:t>：</w:t>
            </w:r>
          </w:p>
          <w:p>
            <w:pPr>
              <w:numPr>
                <w:ilvl w:val="-1"/>
                <w:numId w:val="0"/>
              </w:numPr>
              <w:spacing w:line="360" w:lineRule="auto"/>
              <w:ind w:firstLine="480" w:firstLineChars="200"/>
              <w:rPr>
                <w:rFonts w:hint="eastAsia" w:ascii="宋体" w:hAnsi="宋体" w:eastAsia="宋体" w:cs="宋体"/>
                <w:sz w:val="24"/>
                <w:szCs w:val="24"/>
                <w:lang w:val="en-US"/>
              </w:rPr>
            </w:pP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工作时间进度表、工作程序和步骤、管理和协调方法、关键步骤的思路和要点等</w:t>
            </w:r>
            <w:r>
              <w:rPr>
                <w:rFonts w:hint="eastAsia" w:cs="仿宋_GB2312" w:asciiTheme="minorEastAsia" w:hAnsiTheme="minorEastAsia" w:eastAsiaTheme="minorEastAsia"/>
                <w:sz w:val="24"/>
                <w:lang w:val="en-US" w:eastAsia="zh-CN"/>
              </w:rPr>
              <w:t>0-3分：</w:t>
            </w:r>
            <w:r>
              <w:rPr>
                <w:rFonts w:hint="eastAsia" w:ascii="宋体" w:hAnsi="宋体" w:eastAsia="宋体" w:cs="宋体"/>
                <w:sz w:val="24"/>
                <w:szCs w:val="24"/>
                <w:lang w:val="en-US"/>
              </w:rPr>
              <w:t>方案内容详实，逻辑缜密，具有针对性，可实施性强的得</w:t>
            </w:r>
            <w:r>
              <w:rPr>
                <w:rFonts w:hint="eastAsia" w:ascii="宋体" w:hAnsi="宋体" w:cs="宋体"/>
                <w:sz w:val="24"/>
                <w:szCs w:val="24"/>
                <w:lang w:val="en-US" w:eastAsia="zh-CN"/>
              </w:rPr>
              <w:t>3</w:t>
            </w:r>
            <w:r>
              <w:rPr>
                <w:rFonts w:hint="eastAsia" w:ascii="宋体" w:hAnsi="宋体" w:eastAsia="宋体" w:cs="宋体"/>
                <w:sz w:val="24"/>
                <w:szCs w:val="24"/>
                <w:lang w:val="en-US"/>
              </w:rPr>
              <w:t>分；方案内容较详实，基本能符合采购需要，针对性，可实施性一般的得</w:t>
            </w:r>
            <w:r>
              <w:rPr>
                <w:rFonts w:hint="eastAsia" w:ascii="宋体" w:hAnsi="宋体" w:cs="宋体"/>
                <w:sz w:val="24"/>
                <w:szCs w:val="24"/>
                <w:lang w:val="en-US" w:eastAsia="zh-CN"/>
              </w:rPr>
              <w:t>2</w:t>
            </w:r>
            <w:r>
              <w:rPr>
                <w:rFonts w:hint="eastAsia" w:ascii="宋体" w:hAnsi="宋体" w:eastAsia="宋体" w:cs="宋体"/>
                <w:sz w:val="24"/>
                <w:szCs w:val="24"/>
                <w:lang w:val="en-US"/>
              </w:rPr>
              <w:t>分；方案存在缺陷的，得1分；未提供相关描述不得分</w:t>
            </w:r>
          </w:p>
          <w:p>
            <w:pPr>
              <w:numPr>
                <w:ilvl w:val="-1"/>
                <w:numId w:val="0"/>
              </w:numPr>
              <w:spacing w:line="360" w:lineRule="auto"/>
              <w:ind w:firstLine="480" w:firstLineChars="200"/>
              <w:rPr>
                <w:rFonts w:hint="eastAsia" w:ascii="宋体" w:hAnsi="宋体" w:eastAsia="宋体" w:cs="宋体"/>
                <w:sz w:val="24"/>
                <w:szCs w:val="24"/>
                <w:lang w:val="en-US"/>
              </w:rPr>
            </w:pPr>
            <w:r>
              <w:rPr>
                <w:rFonts w:hint="eastAsia" w:cs="仿宋_GB2312" w:asciiTheme="minorEastAsia" w:hAnsiTheme="minorEastAsia" w:eastAsiaTheme="minorEastAsia"/>
                <w:sz w:val="24"/>
              </w:rPr>
              <w:t>2、产品供货、验货、安装调试、试运行、测试、调优、验收等内容</w:t>
            </w:r>
            <w:r>
              <w:rPr>
                <w:rFonts w:hint="eastAsia" w:cs="仿宋_GB2312" w:asciiTheme="minorEastAsia" w:hAnsiTheme="minorEastAsia" w:eastAsiaTheme="minorEastAsia"/>
                <w:sz w:val="24"/>
                <w:lang w:val="en-US" w:eastAsia="zh-CN"/>
              </w:rPr>
              <w:t>0-3分：</w:t>
            </w:r>
            <w:r>
              <w:rPr>
                <w:rFonts w:hint="eastAsia" w:ascii="宋体" w:hAnsi="宋体" w:eastAsia="宋体" w:cs="宋体"/>
                <w:sz w:val="24"/>
                <w:szCs w:val="24"/>
                <w:lang w:val="en-US"/>
              </w:rPr>
              <w:t>方案内容详实，逻辑缜密，具有针对性，可实施性强的得</w:t>
            </w:r>
            <w:r>
              <w:rPr>
                <w:rFonts w:hint="eastAsia" w:ascii="宋体" w:hAnsi="宋体" w:cs="宋体"/>
                <w:sz w:val="24"/>
                <w:szCs w:val="24"/>
                <w:lang w:val="en-US" w:eastAsia="zh-CN"/>
              </w:rPr>
              <w:t>3</w:t>
            </w:r>
            <w:r>
              <w:rPr>
                <w:rFonts w:hint="eastAsia" w:ascii="宋体" w:hAnsi="宋体" w:eastAsia="宋体" w:cs="宋体"/>
                <w:sz w:val="24"/>
                <w:szCs w:val="24"/>
                <w:lang w:val="en-US"/>
              </w:rPr>
              <w:t>分；方案内容较详实，基本能符合采购需要，针对性，可实施性一般的得</w:t>
            </w:r>
            <w:r>
              <w:rPr>
                <w:rFonts w:hint="eastAsia" w:ascii="宋体" w:hAnsi="宋体" w:cs="宋体"/>
                <w:sz w:val="24"/>
                <w:szCs w:val="24"/>
                <w:lang w:val="en-US" w:eastAsia="zh-CN"/>
              </w:rPr>
              <w:t>2</w:t>
            </w:r>
            <w:r>
              <w:rPr>
                <w:rFonts w:hint="eastAsia" w:ascii="宋体" w:hAnsi="宋体" w:eastAsia="宋体" w:cs="宋体"/>
                <w:sz w:val="24"/>
                <w:szCs w:val="24"/>
                <w:lang w:val="en-US"/>
              </w:rPr>
              <w:t>分；方案存在缺陷的，得1分；未提供相关描述不得分</w:t>
            </w:r>
          </w:p>
          <w:p>
            <w:pPr>
              <w:numPr>
                <w:ilvl w:val="-1"/>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cs="仿宋_GB2312" w:asciiTheme="minorEastAsia" w:hAnsiTheme="minorEastAsia" w:eastAsiaTheme="minorEastAsia"/>
                <w:sz w:val="24"/>
              </w:rPr>
              <w:t>与采购人的具体配合方案，项目的合理化建议及改进措施等</w:t>
            </w:r>
            <w:r>
              <w:rPr>
                <w:rFonts w:hint="eastAsia" w:cs="仿宋_GB2312" w:asciiTheme="minorEastAsia" w:hAnsiTheme="minorEastAsia" w:eastAsiaTheme="minorEastAsia"/>
                <w:sz w:val="24"/>
                <w:lang w:val="en-US" w:eastAsia="zh-CN"/>
              </w:rPr>
              <w:t>0-2分：</w:t>
            </w:r>
            <w:r>
              <w:rPr>
                <w:rFonts w:hint="eastAsia" w:ascii="宋体" w:hAnsi="宋体" w:eastAsia="宋体" w:cs="宋体"/>
                <w:sz w:val="24"/>
                <w:szCs w:val="24"/>
                <w:lang w:val="en-US"/>
              </w:rPr>
              <w:t>方案内容详实，逻辑缜密，具有针对性，可实施性强的得</w:t>
            </w:r>
            <w:r>
              <w:rPr>
                <w:rFonts w:hint="eastAsia" w:ascii="宋体" w:hAnsi="宋体" w:cs="宋体"/>
                <w:sz w:val="24"/>
                <w:szCs w:val="24"/>
                <w:lang w:val="en-US" w:eastAsia="zh-CN"/>
              </w:rPr>
              <w:t>2</w:t>
            </w:r>
            <w:r>
              <w:rPr>
                <w:rFonts w:hint="eastAsia" w:ascii="宋体" w:hAnsi="宋体" w:eastAsia="宋体" w:cs="宋体"/>
                <w:sz w:val="24"/>
                <w:szCs w:val="24"/>
                <w:lang w:val="en-US"/>
              </w:rPr>
              <w:t>分；方案内容较详实，基本能符合采购需要，针对性，可实施性一般的得</w:t>
            </w:r>
            <w:r>
              <w:rPr>
                <w:rFonts w:hint="eastAsia" w:ascii="宋体" w:hAnsi="宋体" w:cs="宋体"/>
                <w:sz w:val="24"/>
                <w:szCs w:val="24"/>
                <w:lang w:val="en-US" w:eastAsia="zh-CN"/>
              </w:rPr>
              <w:t>1</w:t>
            </w:r>
            <w:r>
              <w:rPr>
                <w:rFonts w:hint="eastAsia" w:ascii="宋体" w:hAnsi="宋体" w:eastAsia="宋体" w:cs="宋体"/>
                <w:sz w:val="24"/>
                <w:szCs w:val="24"/>
                <w:lang w:val="en-US"/>
              </w:rPr>
              <w:t>分；方案存在缺陷的，得</w:t>
            </w:r>
            <w:r>
              <w:rPr>
                <w:rFonts w:hint="eastAsia" w:ascii="宋体" w:hAnsi="宋体" w:cs="宋体"/>
                <w:sz w:val="24"/>
                <w:szCs w:val="24"/>
                <w:lang w:val="en-US" w:eastAsia="zh-CN"/>
              </w:rPr>
              <w:t>0.5</w:t>
            </w:r>
            <w:r>
              <w:rPr>
                <w:rFonts w:hint="eastAsia" w:ascii="宋体" w:hAnsi="宋体" w:eastAsia="宋体" w:cs="宋体"/>
                <w:sz w:val="24"/>
                <w:szCs w:val="24"/>
                <w:lang w:val="en-US"/>
              </w:rPr>
              <w:t>分；未提供相关描述不得分</w:t>
            </w:r>
          </w:p>
        </w:tc>
        <w:tc>
          <w:tcPr>
            <w:tcW w:w="626" w:type="pct"/>
            <w:noWrap w:val="0"/>
            <w:vAlign w:val="center"/>
          </w:tcPr>
          <w:p>
            <w:pPr>
              <w:spacing w:line="360" w:lineRule="auto"/>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8</w:t>
            </w:r>
            <w:r>
              <w:rPr>
                <w:rFonts w:hint="eastAsia" w:cs="仿宋_GB2312" w:asciiTheme="minorEastAsia" w:hAnsiTheme="minorEastAsia" w:eastAsiaTheme="minorEastAsia"/>
                <w:sz w:val="24"/>
              </w:rPr>
              <w:t>分</w:t>
            </w:r>
          </w:p>
        </w:tc>
        <w:tc>
          <w:tcPr>
            <w:tcW w:w="641" w:type="pct"/>
            <w:noWrap w:val="0"/>
            <w:vAlign w:val="center"/>
          </w:tcPr>
          <w:p>
            <w:pPr>
              <w:spacing w:line="360" w:lineRule="auto"/>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7</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2718" w:type="pct"/>
            <w:noWrap w:val="0"/>
            <w:vAlign w:val="center"/>
          </w:tcPr>
          <w:p>
            <w:pPr>
              <w:spacing w:line="360" w:lineRule="auto"/>
              <w:ind w:firstLine="0" w:firstLineChars="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针对本项目的</w:t>
            </w:r>
            <w:r>
              <w:rPr>
                <w:rFonts w:hint="eastAsia" w:cs="仿宋_GB2312" w:asciiTheme="minorEastAsia" w:hAnsiTheme="minorEastAsia" w:eastAsiaTheme="minorEastAsia"/>
                <w:sz w:val="24"/>
              </w:rPr>
              <w:t>培训方案</w:t>
            </w:r>
            <w:r>
              <w:rPr>
                <w:rFonts w:hint="eastAsia" w:cs="仿宋_GB2312" w:asciiTheme="minorEastAsia" w:hAnsiTheme="minorEastAsia" w:eastAsiaTheme="minorEastAsia"/>
                <w:sz w:val="24"/>
                <w:lang w:eastAsia="zh-CN"/>
              </w:rPr>
              <w:t>：</w:t>
            </w:r>
          </w:p>
          <w:p>
            <w:pPr>
              <w:spacing w:line="360" w:lineRule="auto"/>
              <w:ind w:firstLine="480" w:firstLineChars="200"/>
              <w:rPr>
                <w:rFonts w:hint="eastAsia" w:cs="仿宋_GB2312" w:asciiTheme="minorEastAsia" w:hAnsiTheme="minorEastAsia" w:eastAsiaTheme="minorEastAsia"/>
                <w:kern w:val="2"/>
                <w:sz w:val="24"/>
                <w:szCs w:val="24"/>
                <w:lang w:val="en-US" w:eastAsia="zh-CN" w:bidi="ar-SA"/>
              </w:rPr>
            </w:pPr>
            <w:r>
              <w:rPr>
                <w:rFonts w:hint="eastAsia" w:ascii="宋体" w:hAnsi="宋体" w:eastAsia="宋体" w:cs="宋体"/>
                <w:sz w:val="24"/>
                <w:szCs w:val="24"/>
                <w:lang w:val="en-US"/>
              </w:rPr>
              <w:t>方案内容详实，逻辑缜密，具有针对性，可实施性强的得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分；方案内容较详实，基本能符合采购需要，针对性，可实施性一般的得</w:t>
            </w:r>
            <w:r>
              <w:rPr>
                <w:rFonts w:hint="eastAsia" w:ascii="宋体" w:hAnsi="宋体" w:cs="宋体"/>
                <w:sz w:val="24"/>
                <w:szCs w:val="24"/>
                <w:lang w:val="en-US" w:eastAsia="zh-CN"/>
              </w:rPr>
              <w:t>2</w:t>
            </w:r>
            <w:r>
              <w:rPr>
                <w:rFonts w:hint="eastAsia" w:ascii="宋体" w:hAnsi="宋体" w:eastAsia="宋体" w:cs="宋体"/>
                <w:sz w:val="24"/>
                <w:szCs w:val="24"/>
                <w:lang w:val="en-US"/>
              </w:rPr>
              <w:t>分；方案存在缺陷的，得1分；未提供相关描述不得分</w:t>
            </w:r>
          </w:p>
        </w:tc>
        <w:tc>
          <w:tcPr>
            <w:tcW w:w="626" w:type="pct"/>
            <w:noWrap w:val="0"/>
            <w:vAlign w:val="center"/>
          </w:tcPr>
          <w:p>
            <w:pPr>
              <w:spacing w:line="360" w:lineRule="auto"/>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分</w:t>
            </w:r>
          </w:p>
        </w:tc>
        <w:tc>
          <w:tcPr>
            <w:tcW w:w="641" w:type="pct"/>
            <w:noWrap w:val="0"/>
            <w:vAlign w:val="center"/>
          </w:tcPr>
          <w:p>
            <w:pPr>
              <w:spacing w:line="360" w:lineRule="auto"/>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2718" w:type="pct"/>
            <w:noWrap w:val="0"/>
            <w:vAlign w:val="center"/>
          </w:tcPr>
          <w:p>
            <w:pPr>
              <w:spacing w:line="360" w:lineRule="auto"/>
              <w:ind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sz w:val="24"/>
              </w:rPr>
              <w:t>售后服务方案（包括但不限于对售后服务响应时间、方式、售后服务承诺、服务能力</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w:t>
            </w:r>
          </w:p>
          <w:p>
            <w:pPr>
              <w:numPr>
                <w:ilvl w:val="-1"/>
                <w:numId w:val="0"/>
              </w:num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服务响应时间</w:t>
            </w:r>
            <w:r>
              <w:rPr>
                <w:rFonts w:hint="eastAsia" w:cs="仿宋_GB2312" w:asciiTheme="minorEastAsia" w:hAnsiTheme="minorEastAsia" w:eastAsiaTheme="minorEastAsia"/>
                <w:sz w:val="24"/>
                <w:lang w:val="en-US" w:eastAsia="zh-CN"/>
              </w:rPr>
              <w:t>及方式0-3分</w:t>
            </w:r>
            <w:r>
              <w:rPr>
                <w:rFonts w:hint="eastAsia" w:cs="仿宋_GB2312" w:asciiTheme="minorEastAsia" w:hAnsiTheme="minorEastAsia" w:eastAsiaTheme="minorEastAsia"/>
                <w:sz w:val="24"/>
                <w:lang w:eastAsia="zh-CN"/>
              </w:rPr>
              <w:t>：</w:t>
            </w:r>
            <w:r>
              <w:rPr>
                <w:rFonts w:hint="eastAsia" w:ascii="宋体" w:hAnsi="宋体" w:eastAsia="宋体" w:cs="宋体"/>
                <w:sz w:val="24"/>
                <w:szCs w:val="24"/>
                <w:lang w:val="en-US"/>
              </w:rPr>
              <w:t>方案内容详实，逻辑缜密，具有针对性，可实施性强的得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分；方案内容较详实，基本能符合采购需要，针对性，可实施性一般的得2分；方案存在缺陷的，得1分；未提供相关描述不得分</w:t>
            </w:r>
          </w:p>
          <w:p>
            <w:pPr>
              <w:numPr>
                <w:ilvl w:val="-1"/>
                <w:numId w:val="0"/>
              </w:num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重大故障、一般故障解决方案 0-</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ascii="宋体" w:hAnsi="宋体" w:eastAsia="宋体" w:cs="宋体"/>
                <w:sz w:val="24"/>
                <w:szCs w:val="24"/>
                <w:lang w:val="en-US"/>
              </w:rPr>
              <w:t>方案内容详实，逻辑缜密，具有针对性，可实施性强的得</w:t>
            </w:r>
            <w:r>
              <w:rPr>
                <w:rFonts w:hint="eastAsia" w:ascii="宋体" w:hAnsi="宋体" w:cs="宋体"/>
                <w:sz w:val="24"/>
                <w:szCs w:val="24"/>
                <w:lang w:val="en-US" w:eastAsia="zh-CN"/>
              </w:rPr>
              <w:t>4</w:t>
            </w:r>
            <w:r>
              <w:rPr>
                <w:rFonts w:hint="eastAsia" w:ascii="宋体" w:hAnsi="宋体" w:eastAsia="宋体" w:cs="宋体"/>
                <w:sz w:val="24"/>
                <w:szCs w:val="24"/>
                <w:lang w:val="en-US"/>
              </w:rPr>
              <w:t>分；方案内容较详实，基本能符合采购需要，针对性，可实施性一般的得2分；方案存在缺陷的，得1分；未提供相关描述不得分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、质保期满后维修、更换及易耗件价格</w:t>
            </w:r>
            <w:r>
              <w:rPr>
                <w:rFonts w:hint="eastAsia" w:cs="仿宋_GB2312" w:asciiTheme="minorEastAsia" w:hAnsiTheme="minorEastAsia" w:eastAsiaTheme="minorEastAsia"/>
                <w:sz w:val="24"/>
                <w:lang w:val="en-US" w:eastAsia="zh-CN"/>
              </w:rPr>
              <w:t>方案</w:t>
            </w: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sz w:val="24"/>
                <w:lang w:val="en-US" w:eastAsia="zh-CN"/>
              </w:rPr>
              <w:t>0-2分</w:t>
            </w:r>
            <w:r>
              <w:rPr>
                <w:rFonts w:hint="eastAsia" w:cs="仿宋_GB2312" w:asciiTheme="minorEastAsia" w:hAnsiTheme="minorEastAsia" w:eastAsiaTheme="minorEastAsia"/>
                <w:sz w:val="24"/>
                <w:lang w:eastAsia="zh-CN"/>
              </w:rPr>
              <w:t>：</w:t>
            </w:r>
            <w:r>
              <w:rPr>
                <w:rFonts w:hint="eastAsia" w:ascii="宋体" w:hAnsi="宋体" w:eastAsia="宋体" w:cs="宋体"/>
                <w:sz w:val="24"/>
                <w:szCs w:val="24"/>
                <w:lang w:val="en-US"/>
              </w:rPr>
              <w:t>方案内容详实，逻辑缜密，具有针对性，可实施性强的得</w:t>
            </w:r>
            <w:r>
              <w:rPr>
                <w:rFonts w:hint="eastAsia" w:ascii="宋体" w:hAnsi="宋体" w:cs="宋体"/>
                <w:sz w:val="24"/>
                <w:szCs w:val="24"/>
                <w:lang w:val="en-US" w:eastAsia="zh-CN"/>
              </w:rPr>
              <w:t>2</w:t>
            </w:r>
            <w:r>
              <w:rPr>
                <w:rFonts w:hint="eastAsia" w:ascii="宋体" w:hAnsi="宋体" w:eastAsia="宋体" w:cs="宋体"/>
                <w:sz w:val="24"/>
                <w:szCs w:val="24"/>
                <w:lang w:val="en-US"/>
              </w:rPr>
              <w:t>分；方案内容较详实，基本能符合采购需要，针对性，可实施性一般的得</w:t>
            </w:r>
            <w:r>
              <w:rPr>
                <w:rFonts w:hint="eastAsia" w:ascii="宋体" w:hAnsi="宋体" w:cs="宋体"/>
                <w:sz w:val="24"/>
                <w:szCs w:val="24"/>
                <w:lang w:val="en-US" w:eastAsia="zh-CN"/>
              </w:rPr>
              <w:t>1</w:t>
            </w:r>
            <w:r>
              <w:rPr>
                <w:rFonts w:hint="eastAsia" w:ascii="宋体" w:hAnsi="宋体" w:eastAsia="宋体" w:cs="宋体"/>
                <w:sz w:val="24"/>
                <w:szCs w:val="24"/>
                <w:lang w:val="en-US"/>
              </w:rPr>
              <w:t>分；方案存在缺陷的，得</w:t>
            </w:r>
            <w:r>
              <w:rPr>
                <w:rFonts w:hint="eastAsia" w:ascii="宋体" w:hAnsi="宋体" w:cs="宋体"/>
                <w:sz w:val="24"/>
                <w:szCs w:val="24"/>
                <w:lang w:val="en-US" w:eastAsia="zh-CN"/>
              </w:rPr>
              <w:t>0.5</w:t>
            </w:r>
            <w:r>
              <w:rPr>
                <w:rFonts w:hint="eastAsia" w:ascii="宋体" w:hAnsi="宋体" w:eastAsia="宋体" w:cs="宋体"/>
                <w:sz w:val="24"/>
                <w:szCs w:val="24"/>
                <w:lang w:val="en-US"/>
              </w:rPr>
              <w:t>分；未提供相关描述不得分</w:t>
            </w:r>
          </w:p>
          <w:p>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投入</w:t>
            </w:r>
            <w:r>
              <w:rPr>
                <w:rFonts w:hint="eastAsia" w:cs="仿宋_GB2312" w:asciiTheme="minorEastAsia" w:hAnsiTheme="minorEastAsia" w:eastAsiaTheme="minorEastAsia"/>
                <w:sz w:val="24"/>
              </w:rPr>
              <w:t>售后服务机构技术服务人员</w:t>
            </w:r>
            <w:r>
              <w:rPr>
                <w:rFonts w:hint="eastAsia" w:cs="仿宋_GB2312" w:asciiTheme="minorEastAsia" w:hAnsiTheme="minorEastAsia" w:eastAsiaTheme="minorEastAsia"/>
                <w:sz w:val="24"/>
                <w:lang w:val="en-US" w:eastAsia="zh-CN"/>
              </w:rPr>
              <w:t>方案0-2分</w:t>
            </w:r>
            <w:r>
              <w:rPr>
                <w:rFonts w:hint="eastAsia" w:cs="仿宋_GB2312" w:asciiTheme="minorEastAsia" w:hAnsiTheme="minorEastAsia" w:eastAsiaTheme="minorEastAsia"/>
                <w:sz w:val="24"/>
                <w:lang w:eastAsia="zh-CN"/>
              </w:rPr>
              <w:t>：</w:t>
            </w:r>
            <w:r>
              <w:rPr>
                <w:rFonts w:hint="eastAsia" w:ascii="宋体" w:hAnsi="宋体" w:eastAsia="宋体" w:cs="宋体"/>
                <w:sz w:val="24"/>
                <w:szCs w:val="24"/>
                <w:lang w:val="en-US"/>
              </w:rPr>
              <w:t>方案内容详实，逻辑缜密，具有针对性，可实施性强的得</w:t>
            </w:r>
            <w:r>
              <w:rPr>
                <w:rFonts w:hint="eastAsia" w:ascii="宋体" w:hAnsi="宋体" w:cs="宋体"/>
                <w:sz w:val="24"/>
                <w:szCs w:val="24"/>
                <w:lang w:val="en-US" w:eastAsia="zh-CN"/>
              </w:rPr>
              <w:t>2</w:t>
            </w:r>
            <w:r>
              <w:rPr>
                <w:rFonts w:hint="eastAsia" w:ascii="宋体" w:hAnsi="宋体" w:eastAsia="宋体" w:cs="宋体"/>
                <w:sz w:val="24"/>
                <w:szCs w:val="24"/>
                <w:lang w:val="en-US"/>
              </w:rPr>
              <w:t>分；方案内容较详实，基本能符合采购需要，针对性，可实施性一般的得</w:t>
            </w:r>
            <w:r>
              <w:rPr>
                <w:rFonts w:hint="eastAsia" w:ascii="宋体" w:hAnsi="宋体" w:cs="宋体"/>
                <w:sz w:val="24"/>
                <w:szCs w:val="24"/>
                <w:lang w:val="en-US" w:eastAsia="zh-CN"/>
              </w:rPr>
              <w:t>1</w:t>
            </w:r>
            <w:r>
              <w:rPr>
                <w:rFonts w:hint="eastAsia" w:ascii="宋体" w:hAnsi="宋体" w:eastAsia="宋体" w:cs="宋体"/>
                <w:sz w:val="24"/>
                <w:szCs w:val="24"/>
                <w:lang w:val="en-US"/>
              </w:rPr>
              <w:t>分；方案存在缺陷的，得</w:t>
            </w:r>
            <w:r>
              <w:rPr>
                <w:rFonts w:hint="eastAsia" w:ascii="宋体" w:hAnsi="宋体" w:cs="宋体"/>
                <w:sz w:val="24"/>
                <w:szCs w:val="24"/>
                <w:lang w:val="en-US" w:eastAsia="zh-CN"/>
              </w:rPr>
              <w:t>0.5</w:t>
            </w:r>
            <w:r>
              <w:rPr>
                <w:rFonts w:hint="eastAsia" w:ascii="宋体" w:hAnsi="宋体" w:eastAsia="宋体" w:cs="宋体"/>
                <w:sz w:val="24"/>
                <w:szCs w:val="24"/>
                <w:lang w:val="en-US"/>
              </w:rPr>
              <w:t>分；未提供相关描述不得分</w:t>
            </w:r>
          </w:p>
          <w:p>
            <w:pPr>
              <w:pStyle w:val="3"/>
              <w:rPr>
                <w:rFonts w:hint="default" w:eastAsiaTheme="minorEastAsia"/>
                <w:lang w:val="en-US" w:eastAsia="zh-CN"/>
              </w:rPr>
            </w:pPr>
            <w:r>
              <w:rPr>
                <w:rFonts w:hint="eastAsia" w:cs="仿宋_GB2312" w:asciiTheme="minorEastAsia" w:hAnsiTheme="minorEastAsia" w:eastAsiaTheme="minorEastAsia"/>
                <w:sz w:val="24"/>
                <w:lang w:val="en-US" w:eastAsia="zh-CN"/>
              </w:rPr>
              <w:t>5、保修期内的巡检维保服务方案0-3分</w:t>
            </w:r>
            <w:r>
              <w:rPr>
                <w:rFonts w:hint="eastAsia" w:cs="仿宋_GB2312" w:asciiTheme="minorEastAsia" w:hAnsiTheme="minorEastAsia" w:eastAsiaTheme="minorEastAsia"/>
                <w:sz w:val="24"/>
                <w:lang w:eastAsia="zh-CN"/>
              </w:rPr>
              <w:t>：</w:t>
            </w:r>
            <w:r>
              <w:rPr>
                <w:rFonts w:hint="eastAsia" w:ascii="宋体" w:hAnsi="宋体" w:eastAsia="宋体" w:cs="宋体"/>
                <w:sz w:val="24"/>
                <w:szCs w:val="24"/>
                <w:lang w:val="en-US"/>
              </w:rPr>
              <w:t>方案内容详实，逻辑缜密，具有针对性，可实施性强的得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分；方案内容较详实，基本能符合采购需要，针对性，可实施性一般的得2分；方案存在缺陷的，得1分；未提供相关描述不得分</w:t>
            </w:r>
          </w:p>
        </w:tc>
        <w:tc>
          <w:tcPr>
            <w:tcW w:w="626" w:type="pct"/>
            <w:noWrap w:val="0"/>
            <w:vAlign w:val="center"/>
          </w:tcPr>
          <w:p>
            <w:pPr>
              <w:spacing w:line="360" w:lineRule="auto"/>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rPr>
              <w:t>0-1</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分</w:t>
            </w:r>
          </w:p>
        </w:tc>
        <w:tc>
          <w:tcPr>
            <w:tcW w:w="641" w:type="pct"/>
            <w:noWrap w:val="0"/>
            <w:vAlign w:val="center"/>
          </w:tcPr>
          <w:p>
            <w:pPr>
              <w:spacing w:line="360" w:lineRule="auto"/>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2718" w:type="pct"/>
            <w:noWrap w:val="0"/>
            <w:vAlign w:val="center"/>
          </w:tcPr>
          <w:p>
            <w:pPr>
              <w:spacing w:line="360" w:lineRule="auto"/>
              <w:ind w:firstLine="0" w:firstLineChars="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项目产品质量保障措施及方案</w:t>
            </w:r>
            <w:r>
              <w:rPr>
                <w:rFonts w:hint="eastAsia" w:cs="仿宋_GB2312" w:asciiTheme="minorEastAsia" w:hAnsiTheme="minorEastAsia" w:eastAsiaTheme="minorEastAsia"/>
                <w:sz w:val="24"/>
                <w:lang w:eastAsia="zh-CN"/>
              </w:rPr>
              <w:t>：</w:t>
            </w:r>
          </w:p>
          <w:p>
            <w:pPr>
              <w:spacing w:line="360" w:lineRule="auto"/>
              <w:ind w:firstLine="480" w:firstLineChars="200"/>
              <w:rPr>
                <w:rFonts w:hint="default" w:cs="仿宋_GB2312" w:asciiTheme="minorEastAsia" w:hAnsiTheme="minorEastAsia" w:eastAsiaTheme="minorEastAsia"/>
                <w:sz w:val="24"/>
                <w:lang w:val="en-US" w:eastAsia="zh-CN"/>
              </w:rPr>
            </w:pPr>
            <w:r>
              <w:rPr>
                <w:rFonts w:hint="eastAsia" w:ascii="宋体" w:hAnsi="宋体" w:eastAsia="宋体" w:cs="宋体"/>
                <w:sz w:val="24"/>
                <w:szCs w:val="24"/>
                <w:lang w:val="en-US"/>
              </w:rPr>
              <w:t>方案内容详实，具有针对性，可实施性强的得</w:t>
            </w:r>
            <w:r>
              <w:rPr>
                <w:rFonts w:hint="eastAsia" w:ascii="宋体" w:hAnsi="宋体" w:cs="宋体"/>
                <w:sz w:val="24"/>
                <w:szCs w:val="24"/>
                <w:lang w:val="en-US" w:eastAsia="zh-CN"/>
              </w:rPr>
              <w:t>3</w:t>
            </w:r>
            <w:r>
              <w:rPr>
                <w:rFonts w:hint="eastAsia" w:ascii="宋体" w:hAnsi="宋体" w:eastAsia="宋体" w:cs="宋体"/>
                <w:sz w:val="24"/>
                <w:szCs w:val="24"/>
                <w:lang w:val="en-US"/>
              </w:rPr>
              <w:t>分；方案内容较详实，基本能符合采购需要，针对性，可实施性一般的得2分；方案存在缺陷的，得1分；未提供相关描述不得分</w:t>
            </w:r>
          </w:p>
        </w:tc>
        <w:tc>
          <w:tcPr>
            <w:tcW w:w="626" w:type="pct"/>
            <w:noWrap w:val="0"/>
            <w:vAlign w:val="center"/>
          </w:tcPr>
          <w:p>
            <w:pPr>
              <w:spacing w:line="360" w:lineRule="auto"/>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分</w:t>
            </w:r>
          </w:p>
        </w:tc>
        <w:tc>
          <w:tcPr>
            <w:tcW w:w="641" w:type="pct"/>
            <w:noWrap w:val="0"/>
            <w:vAlign w:val="center"/>
          </w:tcPr>
          <w:p>
            <w:pPr>
              <w:spacing w:line="360" w:lineRule="auto"/>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c>
          <w:tcPr>
            <w:tcW w:w="592"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2718"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政策功能:对所投产品是否取得有效的政府采购节能产品、环境标志产品认证证书的情况进行评价给分（已列入强制要求的除外）。所投产品取得节能产品认证证书的，得</w:t>
            </w:r>
            <w:r>
              <w:rPr>
                <w:rFonts w:hint="eastAsia" w:ascii="宋体" w:hAnsi="宋体" w:cs="宋体"/>
                <w:sz w:val="24"/>
                <w:szCs w:val="24"/>
                <w:lang w:val="en-US" w:eastAsia="zh-CN"/>
              </w:rPr>
              <w:t>0.5</w:t>
            </w:r>
            <w:r>
              <w:rPr>
                <w:rFonts w:hint="eastAsia" w:ascii="宋体" w:hAnsi="宋体" w:eastAsia="宋体" w:cs="宋体"/>
                <w:sz w:val="24"/>
                <w:szCs w:val="24"/>
              </w:rPr>
              <w:t>分；所投产品取得环境标志产品的，得</w:t>
            </w:r>
            <w:r>
              <w:rPr>
                <w:rFonts w:hint="eastAsia" w:ascii="宋体" w:hAnsi="宋体" w:cs="宋体"/>
                <w:sz w:val="24"/>
                <w:szCs w:val="24"/>
                <w:lang w:val="en-US" w:eastAsia="zh-CN"/>
              </w:rPr>
              <w:t>0.5</w:t>
            </w:r>
            <w:r>
              <w:rPr>
                <w:rFonts w:hint="eastAsia" w:ascii="宋体" w:hAnsi="宋体" w:eastAsia="宋体" w:cs="宋体"/>
                <w:sz w:val="24"/>
                <w:szCs w:val="24"/>
              </w:rPr>
              <w:t>分；证明材料：提供国家确定的认证机构出具的、处于有效期之内的节能产品、环境标志产品认证证书复印件。</w:t>
            </w:r>
          </w:p>
        </w:tc>
        <w:tc>
          <w:tcPr>
            <w:tcW w:w="62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1</w:t>
            </w:r>
            <w:r>
              <w:rPr>
                <w:rFonts w:hint="eastAsia" w:cs="仿宋_GB2312" w:asciiTheme="minorEastAsia" w:hAnsiTheme="minorEastAsia" w:eastAsiaTheme="minorEastAsia"/>
                <w:sz w:val="24"/>
              </w:rPr>
              <w:t>分</w:t>
            </w:r>
          </w:p>
        </w:tc>
        <w:tc>
          <w:tcPr>
            <w:tcW w:w="641"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bl>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仿宋_GB2312"/>
          <w:sz w:val="24"/>
          <w:lang w:val="en-US" w:eastAsia="zh-CN"/>
        </w:rPr>
      </w:pPr>
      <w:r>
        <w:rPr>
          <w:rFonts w:hint="eastAsia" w:ascii="宋体" w:hAnsi="宋体" w:eastAsia="宋体" w:cs="宋体"/>
          <w:sz w:val="24"/>
          <w:szCs w:val="24"/>
          <w:lang w:val="en-US" w:eastAsia="zh-CN"/>
        </w:rPr>
        <w:t>备注：（1）商务分、技术分按照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7"/>
        <w:bidi w:val="0"/>
      </w:pPr>
      <w:bookmarkStart w:id="421" w:name="_Toc24517"/>
      <w:bookmarkStart w:id="422" w:name="_Toc12882"/>
      <w:r>
        <w:rPr>
          <w:rFonts w:hint="eastAsia"/>
        </w:rPr>
        <w:t>三、评标程序</w:t>
      </w:r>
      <w:bookmarkEnd w:id="421"/>
      <w:bookmarkEnd w:id="422"/>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5"/>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color w:val="auto"/>
          <w:kern w:val="0"/>
          <w:sz w:val="24"/>
          <w:highlight w:val="none"/>
        </w:rPr>
      </w:pPr>
      <w:r>
        <w:rPr>
          <w:rFonts w:hint="eastAsia" w:ascii="宋体" w:hAnsi="宋体" w:cs="宋体"/>
          <w:b/>
          <w:kern w:val="0"/>
          <w:sz w:val="24"/>
        </w:rPr>
        <w:t>3.5排序与推</w:t>
      </w:r>
      <w:r>
        <w:rPr>
          <w:rFonts w:hint="eastAsia" w:ascii="宋体" w:hAnsi="宋体" w:cs="宋体"/>
          <w:b/>
          <w:color w:val="auto"/>
          <w:kern w:val="0"/>
          <w:sz w:val="24"/>
        </w:rPr>
        <w:t>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w:t>
      </w:r>
      <w:r>
        <w:rPr>
          <w:rFonts w:hint="eastAsia" w:ascii="宋体" w:hAnsi="宋体" w:eastAsia="宋体" w:cs="仿宋_GB2312"/>
          <w:color w:val="auto"/>
          <w:sz w:val="24"/>
          <w:highlight w:val="none"/>
        </w:rPr>
        <w:t>，按</w:t>
      </w:r>
      <w:r>
        <w:rPr>
          <w:rFonts w:hint="eastAsia" w:ascii="宋体" w:hAnsi="宋体" w:cs="仿宋_GB2312"/>
          <w:color w:val="auto"/>
          <w:sz w:val="24"/>
          <w:highlight w:val="none"/>
          <w:lang w:eastAsia="zh-CN"/>
        </w:rPr>
        <w:t>投标</w:t>
      </w:r>
      <w:r>
        <w:rPr>
          <w:rFonts w:hint="eastAsia" w:ascii="宋体" w:hAnsi="宋体" w:eastAsia="宋体" w:cs="仿宋_GB2312"/>
          <w:color w:val="auto"/>
          <w:sz w:val="24"/>
          <w:highlight w:val="none"/>
        </w:rPr>
        <w:t>报价由低到高顺序排列；得分且</w:t>
      </w:r>
      <w:r>
        <w:rPr>
          <w:rFonts w:hint="eastAsia" w:ascii="宋体" w:hAnsi="宋体" w:cs="仿宋_GB2312"/>
          <w:color w:val="auto"/>
          <w:sz w:val="24"/>
          <w:highlight w:val="none"/>
          <w:lang w:eastAsia="zh-CN"/>
        </w:rPr>
        <w:t>投标</w:t>
      </w:r>
      <w:r>
        <w:rPr>
          <w:rFonts w:hint="eastAsia" w:ascii="宋体" w:hAnsi="宋体" w:eastAsia="宋体" w:cs="仿宋_GB2312"/>
          <w:color w:val="auto"/>
          <w:sz w:val="24"/>
          <w:highlight w:val="none"/>
        </w:rPr>
        <w:t>报价相同的，按技术得分由高到低顺序排列</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如报价得分与技术得分均相同时，</w:t>
      </w:r>
      <w:r>
        <w:rPr>
          <w:rFonts w:hint="eastAsia"/>
          <w:highlight w:val="none"/>
        </w:rPr>
        <w:t>则抽签决定</w:t>
      </w:r>
      <w:r>
        <w:rPr>
          <w:rFonts w:hint="eastAsia" w:ascii="宋体" w:hAnsi="宋体" w:eastAsia="宋体" w:cs="仿宋_GB2312"/>
          <w:color w:val="auto"/>
          <w:sz w:val="24"/>
          <w:highlight w:val="none"/>
        </w:rPr>
        <w:t>。中标候选人数量：有效投标供应商数量等于3家时，中标候选人数量为1家；有效投标供应商数量等于4家时，中标候选人数量为2家；有效投标供应商数量大于等于5家时，中标候选人数量为3家。</w:t>
      </w:r>
    </w:p>
    <w:p>
      <w:pPr>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highlight w:val="none"/>
          <w:lang w:eastAsia="zh-CN"/>
        </w:rPr>
        <w:t>关于</w:t>
      </w:r>
      <w:r>
        <w:rPr>
          <w:rFonts w:hint="eastAsia" w:ascii="宋体" w:hAnsi="宋体" w:cs="宋体"/>
          <w:b/>
          <w:bCs/>
          <w:color w:val="auto"/>
          <w:kern w:val="0"/>
          <w:sz w:val="24"/>
          <w:highlight w:val="none"/>
        </w:rPr>
        <w:t>多家投标人提供相同品牌产品</w:t>
      </w:r>
      <w:r>
        <w:rPr>
          <w:rFonts w:hint="eastAsia" w:ascii="宋体" w:hAnsi="宋体" w:cs="宋体"/>
          <w:b/>
          <w:bCs/>
          <w:color w:val="auto"/>
          <w:kern w:val="0"/>
          <w:sz w:val="24"/>
          <w:highlight w:val="none"/>
          <w:lang w:eastAsia="zh-CN"/>
        </w:rPr>
        <w:t>的认定：</w:t>
      </w:r>
      <w:r>
        <w:rPr>
          <w:rFonts w:hint="eastAsia" w:ascii="宋体" w:hAnsi="宋体" w:cs="宋体"/>
          <w:b/>
          <w:bCs/>
          <w:color w:val="auto"/>
          <w:kern w:val="0"/>
          <w:sz w:val="24"/>
          <w:highlight w:val="none"/>
        </w:rPr>
        <w:t>多</w:t>
      </w:r>
      <w:r>
        <w:rPr>
          <w:rFonts w:hint="eastAsia" w:ascii="宋体" w:hAnsi="宋体" w:cs="宋体"/>
          <w:b/>
          <w:bCs/>
          <w:color w:val="auto"/>
          <w:kern w:val="0"/>
          <w:sz w:val="24"/>
        </w:rPr>
        <w:t>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w:t>
      </w:r>
      <w:r>
        <w:rPr>
          <w:rFonts w:hint="eastAsia" w:ascii="宋体" w:hAnsi="宋体" w:cs="宋体"/>
          <w:kern w:val="0"/>
          <w:sz w:val="24"/>
        </w:rPr>
        <w:t>认定的事项存在争议的，应当按照少数服从多数的原则作出结论。持不同意见的评标委员会成员应当在评标报告上签署不同意见及理由，否则视为同意评标报告。</w:t>
      </w:r>
    </w:p>
    <w:p>
      <w:pPr>
        <w:pStyle w:val="7"/>
        <w:bidi w:val="0"/>
        <w:rPr>
          <w:rFonts w:hint="eastAsia"/>
        </w:rPr>
      </w:pPr>
      <w:bookmarkStart w:id="423" w:name="_Toc22719"/>
      <w:bookmarkStart w:id="424" w:name="_Toc21677"/>
      <w:r>
        <w:rPr>
          <w:rFonts w:hint="eastAsia"/>
        </w:rPr>
        <w:t>四、评标中的其他事项</w:t>
      </w:r>
      <w:bookmarkEnd w:id="423"/>
      <w:bookmarkEnd w:id="424"/>
    </w:p>
    <w:p>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lang w:val="en-US" w:eastAsia="zh-CN"/>
        </w:rPr>
        <w:t>▲</w:t>
      </w: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spacing w:line="360" w:lineRule="auto"/>
        <w:ind w:firstLine="480" w:firstLineChars="200"/>
        <w:rPr>
          <w:rFonts w:hint="eastAsia" w:ascii="宋体" w:hAnsi="宋体" w:eastAsia="宋体" w:cs="仿宋_GB2312"/>
          <w:color w:val="auto"/>
          <w:sz w:val="24"/>
          <w:szCs w:val="21"/>
          <w:lang w:eastAsia="zh-CN"/>
        </w:rPr>
      </w:pPr>
      <w:r>
        <w:rPr>
          <w:rFonts w:hint="eastAsia" w:ascii="宋体" w:hAnsi="宋体" w:eastAsia="宋体" w:cs="仿宋_GB2312"/>
          <w:sz w:val="24"/>
          <w:szCs w:val="21"/>
        </w:rPr>
        <w:t>（7）采购人拟采购的产品属于政府强制采购的节能产品品目清单范围的，供应商响应</w:t>
      </w:r>
      <w:r>
        <w:rPr>
          <w:rFonts w:hint="eastAsia" w:ascii="宋体" w:hAnsi="宋体" w:eastAsia="宋体" w:cs="仿宋_GB2312"/>
          <w:color w:val="auto"/>
          <w:sz w:val="24"/>
          <w:szCs w:val="21"/>
          <w:lang w:val="en-US" w:eastAsia="zh-CN"/>
        </w:rPr>
        <w:t>的</w:t>
      </w:r>
      <w:r>
        <w:rPr>
          <w:rFonts w:hint="eastAsia" w:ascii="宋体" w:hAnsi="宋体" w:eastAsia="宋体" w:cs="仿宋_GB2312"/>
          <w:color w:val="auto"/>
          <w:sz w:val="24"/>
          <w:szCs w:val="21"/>
        </w:rPr>
        <w:t>产品未获得国家确定的认证机构出具的、处于有效期之内的节能产品认证证书</w:t>
      </w:r>
      <w:r>
        <w:rPr>
          <w:rFonts w:hint="eastAsia" w:ascii="宋体" w:hAnsi="宋体" w:eastAsia="宋体" w:cs="仿宋_GB2312"/>
          <w:color w:val="auto"/>
          <w:sz w:val="24"/>
          <w:szCs w:val="21"/>
          <w:lang w:eastAsia="zh-CN"/>
        </w:rPr>
        <w:t>；</w:t>
      </w:r>
    </w:p>
    <w:p>
      <w:pPr>
        <w:spacing w:line="360" w:lineRule="auto"/>
        <w:ind w:firstLine="480" w:firstLineChars="200"/>
        <w:rPr>
          <w:rFonts w:hint="eastAsia" w:ascii="宋体" w:hAnsi="宋体" w:eastAsia="宋体" w:cs="仿宋_GB2312"/>
          <w:color w:val="auto"/>
          <w:sz w:val="24"/>
          <w:szCs w:val="21"/>
          <w:lang w:eastAsia="zh-CN"/>
        </w:rPr>
      </w:pPr>
      <w:r>
        <w:rPr>
          <w:rFonts w:hint="eastAsia" w:ascii="宋体" w:hAnsi="宋体" w:eastAsia="宋体" w:cs="仿宋_GB2312"/>
          <w:color w:val="auto"/>
          <w:sz w:val="24"/>
          <w:szCs w:val="21"/>
          <w:lang w:eastAsia="zh-CN"/>
        </w:rPr>
        <w:t>（</w:t>
      </w:r>
      <w:r>
        <w:rPr>
          <w:rFonts w:hint="eastAsia" w:ascii="宋体" w:hAnsi="宋体" w:eastAsia="宋体" w:cs="仿宋_GB2312"/>
          <w:color w:val="auto"/>
          <w:sz w:val="24"/>
          <w:szCs w:val="21"/>
          <w:lang w:val="en-US" w:eastAsia="zh-CN"/>
        </w:rPr>
        <w:t>8</w:t>
      </w:r>
      <w:r>
        <w:rPr>
          <w:rFonts w:hint="eastAsia" w:ascii="宋体" w:hAnsi="宋体" w:eastAsia="宋体" w:cs="仿宋_GB2312"/>
          <w:color w:val="auto"/>
          <w:sz w:val="24"/>
          <w:szCs w:val="21"/>
          <w:lang w:eastAsia="zh-CN"/>
        </w:rPr>
        <w:t>）要求提供样品的项目，投标人未提供样品或提供样品不满足采购需求实质性条件或样品不全的；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9</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eastAsia="宋体" w:cs="仿宋_GB2312"/>
          <w:sz w:val="24"/>
          <w:szCs w:val="21"/>
          <w:lang w:val="en-US" w:eastAsia="zh-CN"/>
        </w:rPr>
        <w:t>10</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bidi w:val="0"/>
      </w:pPr>
      <w:r>
        <w:rPr>
          <w:rFonts w:hint="eastAsia"/>
        </w:rPr>
        <w:t xml:space="preserve">    </w:t>
      </w: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pStyle w:val="5"/>
        <w:bidi w:val="0"/>
      </w:pPr>
      <w:bookmarkStart w:id="427" w:name="_Toc18817"/>
      <w:bookmarkStart w:id="428" w:name="_Toc21217"/>
      <w:bookmarkStart w:id="429" w:name="_Toc8165"/>
      <w:r>
        <w:rPr>
          <w:rFonts w:hint="eastAsia"/>
        </w:rPr>
        <w:t>第五部分 拟签订的合同文本</w:t>
      </w:r>
      <w:bookmarkEnd w:id="427"/>
      <w:bookmarkEnd w:id="428"/>
      <w:bookmarkEnd w:id="429"/>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4"/>
        <w:jc w:val="center"/>
        <w:rPr>
          <w:rFonts w:ascii="宋体" w:hAnsi="宋体" w:cs="宋体"/>
          <w:szCs w:val="24"/>
        </w:rPr>
      </w:pPr>
    </w:p>
    <w:p>
      <w:pPr>
        <w:pStyle w:val="704"/>
        <w:ind w:firstLine="2843" w:firstLineChars="1180"/>
        <w:rPr>
          <w:rFonts w:ascii="宋体" w:hAnsi="宋体" w:cs="宋体"/>
          <w:b/>
          <w:szCs w:val="24"/>
        </w:rPr>
      </w:pPr>
      <w:r>
        <w:rPr>
          <w:rFonts w:hint="eastAsia" w:ascii="宋体" w:hAnsi="宋体" w:cs="宋体"/>
          <w:b/>
          <w:szCs w:val="24"/>
        </w:rPr>
        <w:t>第一部分 合同书</w:t>
      </w:r>
    </w:p>
    <w:p>
      <w:pPr>
        <w:pStyle w:val="704"/>
        <w:rPr>
          <w:rFonts w:ascii="宋体" w:hAnsi="宋体" w:cs="宋体"/>
          <w:szCs w:val="24"/>
        </w:rPr>
      </w:pPr>
    </w:p>
    <w:p>
      <w:pPr>
        <w:pStyle w:val="704"/>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1"/>
        <w:spacing w:before="120" w:line="22" w:lineRule="atLeast"/>
        <w:rPr>
          <w:rFonts w:ascii="宋体" w:hAnsi="宋体" w:eastAsia="宋体" w:cs="宋体"/>
          <w:szCs w:val="24"/>
        </w:rPr>
      </w:pPr>
    </w:p>
    <w:p>
      <w:pPr>
        <w:pStyle w:val="60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NumType w:fmt="decimal"/>
          <w:cols w:space="720" w:num="1"/>
        </w:sectPr>
      </w:pPr>
    </w:p>
    <w:p>
      <w:pPr>
        <w:spacing w:line="360" w:lineRule="auto"/>
        <w:ind w:firstLine="480" w:firstLineChars="200"/>
        <w:rPr>
          <w:rFonts w:ascii="宋体" w:hAnsi="宋体" w:cs="宋体"/>
          <w:color w:val="auto"/>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360" w:lineRule="auto"/>
        <w:ind w:firstLine="480" w:firstLineChars="200"/>
        <w:rPr>
          <w:rFonts w:ascii="宋体" w:hAnsi="宋体" w:cs="宋体"/>
          <w:sz w:val="24"/>
        </w:rPr>
      </w:pPr>
      <w:r>
        <w:rPr>
          <w:rFonts w:hint="eastAsia" w:ascii="宋体" w:hAnsi="宋体" w:cs="宋体"/>
          <w:color w:val="auto"/>
          <w:sz w:val="24"/>
          <w:lang w:val="zh-CN"/>
        </w:rPr>
        <w:t>根据《中华人民共和国民法典》《中华人</w:t>
      </w:r>
      <w:r>
        <w:rPr>
          <w:rFonts w:hint="eastAsia" w:ascii="宋体" w:hAnsi="宋体" w:cs="宋体"/>
          <w:sz w:val="24"/>
          <w:lang w:val="zh-CN"/>
        </w:rPr>
        <w:t>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430" w:name="_Toc3029"/>
      <w:bookmarkStart w:id="431" w:name="_Toc2232"/>
      <w:bookmarkStart w:id="432" w:name="_Toc24059"/>
      <w:r>
        <w:rPr>
          <w:rFonts w:hint="eastAsia" w:ascii="宋体" w:hAnsi="宋体" w:cs="宋体"/>
          <w:b/>
          <w:sz w:val="24"/>
        </w:rPr>
        <w:t>1.1 合同组成部分</w:t>
      </w:r>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1.1.2 中标或者成交通知书；</w:t>
      </w:r>
    </w:p>
    <w:p>
      <w:pPr>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1.1.5 其他相关采购文件。</w:t>
      </w:r>
    </w:p>
    <w:p>
      <w:pPr>
        <w:spacing w:line="360" w:lineRule="auto"/>
        <w:ind w:firstLine="482" w:firstLineChars="200"/>
        <w:outlineLvl w:val="0"/>
        <w:rPr>
          <w:rFonts w:ascii="宋体" w:hAnsi="宋体" w:cs="宋体"/>
          <w:b/>
          <w:sz w:val="24"/>
        </w:rPr>
      </w:pPr>
      <w:bookmarkStart w:id="433" w:name="_Toc24300"/>
      <w:bookmarkStart w:id="434" w:name="_Toc27126"/>
      <w:bookmarkStart w:id="435" w:name="_Toc21295"/>
      <w:r>
        <w:rPr>
          <w:rFonts w:hint="eastAsia" w:ascii="宋体" w:hAnsi="宋体" w:cs="宋体"/>
          <w:b/>
          <w:sz w:val="24"/>
        </w:rPr>
        <w:t>1.2 货物</w:t>
      </w:r>
      <w:bookmarkEnd w:id="433"/>
      <w:bookmarkEnd w:id="434"/>
      <w:bookmarkEnd w:id="435"/>
    </w:p>
    <w:p>
      <w:pPr>
        <w:spacing w:line="360" w:lineRule="auto"/>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360" w:lineRule="auto"/>
        <w:ind w:firstLine="482" w:firstLineChars="200"/>
        <w:outlineLvl w:val="0"/>
        <w:rPr>
          <w:rFonts w:ascii="宋体" w:hAnsi="宋体" w:cs="宋体"/>
          <w:b/>
          <w:sz w:val="24"/>
        </w:rPr>
      </w:pPr>
      <w:bookmarkStart w:id="436" w:name="_Toc23292"/>
      <w:bookmarkStart w:id="437" w:name="_Toc21631"/>
      <w:bookmarkStart w:id="438" w:name="_Toc21551"/>
      <w:r>
        <w:rPr>
          <w:rFonts w:hint="eastAsia" w:ascii="宋体" w:hAnsi="宋体" w:cs="宋体"/>
          <w:b/>
          <w:sz w:val="24"/>
        </w:rPr>
        <w:t>1.3 价款</w:t>
      </w:r>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360" w:lineRule="auto"/>
              <w:ind w:firstLine="200"/>
              <w:jc w:val="center"/>
              <w:rPr>
                <w:rFonts w:hAnsi="宋体" w:cs="宋体"/>
                <w:sz w:val="24"/>
                <w:szCs w:val="24"/>
              </w:rPr>
            </w:pPr>
          </w:p>
        </w:tc>
      </w:tr>
    </w:tbl>
    <w:p>
      <w:pPr>
        <w:pStyle w:val="962"/>
        <w:spacing w:before="0" w:beforeAutospacing="0" w:after="0" w:afterAutospacing="0" w:line="360" w:lineRule="auto"/>
        <w:ind w:firstLine="480"/>
        <w:rPr>
          <w:b/>
        </w:rPr>
      </w:pPr>
      <w:bookmarkStart w:id="439" w:name="_Toc10340"/>
      <w:bookmarkStart w:id="440" w:name="_Toc22618"/>
      <w:bookmarkStart w:id="441" w:name="_Toc1814"/>
      <w:r>
        <w:rPr>
          <w:rFonts w:hint="eastAsia"/>
          <w:b/>
        </w:rPr>
        <w:t>1.4履约保证金</w:t>
      </w:r>
    </w:p>
    <w:p>
      <w:pPr>
        <w:pStyle w:val="96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 w:val="clear" w:pos="432"/>
        </w:tabs>
        <w:spacing w:line="360" w:lineRule="auto"/>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ascii="宋体" w:hAnsi="宋体" w:cs="宋体"/>
          <w:b/>
          <w:sz w:val="24"/>
        </w:rPr>
      </w:pPr>
      <w:r>
        <w:rPr>
          <w:rFonts w:hint="eastAsia" w:ascii="宋体" w:hAnsi="宋体" w:cs="宋体"/>
          <w:b/>
          <w:sz w:val="24"/>
        </w:rPr>
        <w:t>1.5</w:t>
      </w:r>
      <w:bookmarkEnd w:id="439"/>
      <w:bookmarkEnd w:id="440"/>
      <w:bookmarkEnd w:id="441"/>
      <w:r>
        <w:rPr>
          <w:rFonts w:hint="eastAsia" w:ascii="宋体" w:hAnsi="宋体" w:cs="宋体"/>
          <w:b/>
          <w:sz w:val="24"/>
        </w:rPr>
        <w:t>预付款</w:t>
      </w:r>
    </w:p>
    <w:p>
      <w:pPr>
        <w:pStyle w:val="96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2"/>
        <w:spacing w:before="0" w:beforeAutospacing="0" w:after="0" w:afterAutospacing="0" w:line="360" w:lineRule="auto"/>
        <w:ind w:firstLine="480"/>
        <w:rPr>
          <w:b/>
          <w:bCs/>
        </w:rPr>
      </w:pPr>
      <w:r>
        <w:rPr>
          <w:rFonts w:hint="eastAsia"/>
          <w:b/>
          <w:bCs/>
        </w:rPr>
        <w:t>1.6资金支付</w:t>
      </w:r>
    </w:p>
    <w:p>
      <w:pPr>
        <w:pStyle w:val="96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42" w:name="_Toc19304"/>
      <w:bookmarkStart w:id="443" w:name="_Toc2846"/>
      <w:bookmarkStart w:id="444" w:name="_Toc32071"/>
      <w:r>
        <w:rPr>
          <w:rFonts w:hint="eastAsia" w:ascii="宋体" w:hAnsi="宋体" w:cs="宋体"/>
          <w:b/>
          <w:sz w:val="24"/>
        </w:rPr>
        <w:t>1.7货物交付期限、地点和方式</w:t>
      </w:r>
      <w:bookmarkEnd w:id="442"/>
      <w:bookmarkEnd w:id="443"/>
      <w:bookmarkEnd w:id="444"/>
    </w:p>
    <w:p>
      <w:pPr>
        <w:spacing w:line="360" w:lineRule="auto"/>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45" w:name="_Toc19554"/>
      <w:bookmarkStart w:id="446" w:name="_Toc21423"/>
      <w:bookmarkStart w:id="447" w:name="_Toc27250"/>
      <w:r>
        <w:rPr>
          <w:rFonts w:hint="eastAsia" w:ascii="宋体" w:hAnsi="宋体" w:cs="宋体"/>
          <w:b/>
          <w:sz w:val="24"/>
        </w:rPr>
        <w:t>1.8违约责任</w:t>
      </w:r>
      <w:bookmarkEnd w:id="445"/>
      <w:bookmarkEnd w:id="446"/>
      <w:bookmarkEnd w:id="447"/>
    </w:p>
    <w:p>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80" w:leftChars="-200" w:right="-48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360" w:lineRule="auto"/>
        <w:ind w:firstLine="482" w:firstLineChars="200"/>
        <w:outlineLvl w:val="0"/>
        <w:rPr>
          <w:rFonts w:ascii="宋体" w:hAnsi="宋体" w:cs="宋体"/>
          <w:b/>
          <w:sz w:val="24"/>
        </w:rPr>
      </w:pPr>
      <w:bookmarkStart w:id="448" w:name="_Toc15583"/>
      <w:bookmarkStart w:id="449" w:name="_Toc28375"/>
      <w:bookmarkStart w:id="450" w:name="_Toc16021"/>
      <w:r>
        <w:rPr>
          <w:rFonts w:hint="eastAsia" w:ascii="宋体" w:hAnsi="宋体" w:cs="宋体"/>
          <w:b/>
          <w:sz w:val="24"/>
        </w:rPr>
        <w:t>1.9合同争议的解决</w:t>
      </w:r>
      <w:bookmarkEnd w:id="448"/>
      <w:bookmarkEnd w:id="449"/>
      <w:bookmarkEnd w:id="450"/>
    </w:p>
    <w:p>
      <w:pPr>
        <w:spacing w:line="360" w:lineRule="auto"/>
        <w:ind w:left="-70" w:leftChars="-29" w:right="-48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360" w:lineRule="auto"/>
        <w:ind w:left="-480" w:leftChars="-200" w:right="-48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80" w:leftChars="-200" w:right="-48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ascii="宋体" w:hAnsi="宋体" w:cs="宋体"/>
          <w:b/>
          <w:sz w:val="24"/>
        </w:rPr>
      </w:pPr>
      <w:bookmarkStart w:id="451" w:name="_Toc11173"/>
      <w:bookmarkStart w:id="452" w:name="_Toc15322"/>
      <w:bookmarkStart w:id="453" w:name="_Toc7245"/>
      <w:r>
        <w:rPr>
          <w:rFonts w:hint="eastAsia" w:ascii="宋体" w:hAnsi="宋体" w:cs="宋体"/>
          <w:b/>
          <w:sz w:val="24"/>
        </w:rPr>
        <w:t>2.0 合同生效</w:t>
      </w:r>
      <w:bookmarkEnd w:id="451"/>
      <w:bookmarkEnd w:id="452"/>
      <w:bookmarkEnd w:id="453"/>
    </w:p>
    <w:p>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360" w:lineRule="auto"/>
        <w:rPr>
          <w:rFonts w:ascii="宋体" w:hAnsi="宋体" w:cs="宋体"/>
          <w:sz w:val="24"/>
          <w:lang w:val="zh-CN"/>
        </w:rPr>
      </w:pP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统一社会信用代码：                     统一社会信用代码或身份证号码：</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住所：                                 住所：</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法定代表人或                           法定代表人</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 xml:space="preserve">授权代表（签字）：                     或授权代表（签字）: </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联系人：                               联系人：</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约定送达地址：                         约定送达地址：</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邮政编码：                             邮政编码：</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 xml:space="preserve">电话:                                  电话: </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传真:                                  传真:</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lang w:val="zh-CN"/>
        </w:rPr>
        <w:t>电子邮箱：                             电子邮箱：</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 xml:space="preserve">开户银行：                             开户银行： </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 xml:space="preserve">开户名称：                             开户名称： </w:t>
      </w:r>
    </w:p>
    <w:p>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6"/>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sz w:val="24"/>
        </w:rPr>
      </w:pPr>
    </w:p>
    <w:p>
      <w:pPr>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sz w:val="24"/>
        </w:rPr>
      </w:pPr>
    </w:p>
    <w:p>
      <w:pPr>
        <w:pStyle w:val="6"/>
        <w:spacing w:line="360" w:lineRule="auto"/>
        <w:rPr>
          <w:rFonts w:ascii="宋体" w:hAnsi="宋体" w:cs="宋体"/>
          <w:sz w:val="24"/>
        </w:rPr>
      </w:pPr>
    </w:p>
    <w:p>
      <w:pPr>
        <w:spacing w:line="360" w:lineRule="auto"/>
        <w:rPr>
          <w:rFonts w:ascii="宋体" w:hAnsi="宋体" w:cs="宋体"/>
          <w:sz w:val="24"/>
        </w:rPr>
      </w:pPr>
    </w:p>
    <w:p>
      <w:pPr>
        <w:pStyle w:val="6"/>
        <w:spacing w:line="360" w:lineRule="auto"/>
        <w:rPr>
          <w:rFonts w:ascii="宋体" w:hAnsi="宋体" w:cs="宋体"/>
          <w:sz w:val="24"/>
        </w:rPr>
      </w:pPr>
    </w:p>
    <w:p>
      <w:pPr>
        <w:spacing w:line="360" w:lineRule="auto"/>
        <w:rPr>
          <w:rFonts w:ascii="宋体" w:hAnsi="宋体" w:cs="宋体"/>
          <w:sz w:val="24"/>
        </w:rPr>
      </w:pPr>
    </w:p>
    <w:p>
      <w:pPr>
        <w:pStyle w:val="704"/>
        <w:spacing w:line="360" w:lineRule="auto"/>
        <w:ind w:firstLine="482"/>
        <w:jc w:val="center"/>
        <w:rPr>
          <w:rFonts w:hint="eastAsia" w:ascii="宋体" w:hAnsi="宋体" w:cs="宋体"/>
          <w:b/>
          <w:szCs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704"/>
        <w:spacing w:line="360" w:lineRule="auto"/>
        <w:ind w:left="0" w:leftChars="0" w:firstLine="0" w:firstLineChars="0"/>
        <w:jc w:val="center"/>
        <w:rPr>
          <w:rFonts w:ascii="宋体" w:hAnsi="宋体" w:cs="宋体"/>
          <w:b/>
          <w:szCs w:val="24"/>
        </w:rPr>
      </w:pPr>
      <w:r>
        <w:rPr>
          <w:rFonts w:hint="eastAsia" w:ascii="宋体" w:hAnsi="宋体" w:cs="宋体"/>
          <w:b/>
          <w:szCs w:val="24"/>
        </w:rPr>
        <w:t>第二部分 合同一般条款</w:t>
      </w:r>
    </w:p>
    <w:p>
      <w:pPr>
        <w:spacing w:line="360" w:lineRule="auto"/>
        <w:ind w:firstLine="482" w:firstLineChars="200"/>
        <w:outlineLvl w:val="0"/>
        <w:rPr>
          <w:rFonts w:ascii="宋体" w:hAnsi="宋体" w:cs="宋体"/>
          <w:b/>
          <w:sz w:val="24"/>
        </w:rPr>
      </w:pPr>
      <w:bookmarkStart w:id="454" w:name="_Ref467379225"/>
      <w:bookmarkStart w:id="455" w:name="_Ref467378463"/>
      <w:bookmarkStart w:id="456" w:name="_Toc16917"/>
      <w:bookmarkStart w:id="457" w:name="_Ref467379205"/>
      <w:bookmarkStart w:id="458" w:name="_Ref467379214"/>
      <w:bookmarkStart w:id="459" w:name="_Ref467379109"/>
      <w:bookmarkStart w:id="460" w:name="_Ref467378499"/>
      <w:bookmarkStart w:id="461" w:name="_Toc487900349"/>
      <w:bookmarkStart w:id="462" w:name="_Toc28763"/>
      <w:bookmarkStart w:id="463" w:name="_Ref467379195"/>
      <w:bookmarkStart w:id="464" w:name="_Toc19614"/>
      <w:bookmarkStart w:id="465" w:name="_Ref467379094"/>
      <w:bookmarkStart w:id="466" w:name="_Toc279701240"/>
      <w:bookmarkStart w:id="467" w:name="_Toc259093669"/>
      <w:bookmarkStart w:id="468" w:name="_Ref467378404"/>
      <w:bookmarkStart w:id="469" w:name="_Ref467379101"/>
      <w:r>
        <w:rPr>
          <w:rFonts w:hint="eastAsia" w:ascii="宋体" w:hAnsi="宋体" w:cs="宋体"/>
          <w:b/>
          <w:sz w:val="24"/>
        </w:rPr>
        <w:t>2.1 定义</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70" w:name="_Ref467378840"/>
      <w:r>
        <w:rPr>
          <w:rFonts w:hint="eastAsia" w:ascii="宋体" w:hAnsi="宋体" w:cs="宋体"/>
          <w:sz w:val="24"/>
        </w:rPr>
        <w:t>2.1.4 “甲方”系指与中标或成交供应商签署合同的采购人</w:t>
      </w:r>
      <w:bookmarkEnd w:id="470"/>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71" w:name="_Ref467379400"/>
      <w:r>
        <w:rPr>
          <w:rFonts w:hint="eastAsia" w:ascii="宋体" w:hAnsi="宋体" w:cs="宋体"/>
          <w:sz w:val="24"/>
        </w:rPr>
        <w:t>2.1.5 “乙方”系指根据合同约定交付货物的中标或成交供应商</w:t>
      </w:r>
      <w:bookmarkEnd w:id="47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72" w:name="_Ref467379436"/>
      <w:r>
        <w:rPr>
          <w:rFonts w:hint="eastAsia" w:ascii="宋体" w:hAnsi="宋体" w:cs="宋体"/>
          <w:sz w:val="24"/>
        </w:rPr>
        <w:t>2.1.6 “现场”系指合同约定货物将要运至或者安装的地点。</w:t>
      </w:r>
      <w:bookmarkEnd w:id="472"/>
    </w:p>
    <w:p>
      <w:pPr>
        <w:spacing w:line="360" w:lineRule="auto"/>
        <w:ind w:firstLine="482" w:firstLineChars="200"/>
        <w:outlineLvl w:val="0"/>
        <w:rPr>
          <w:rFonts w:ascii="宋体" w:hAnsi="宋体" w:cs="宋体"/>
          <w:b/>
          <w:sz w:val="24"/>
        </w:rPr>
      </w:pPr>
      <w:bookmarkStart w:id="473" w:name="_Toc27635"/>
      <w:bookmarkStart w:id="474" w:name="_Toc32504"/>
      <w:bookmarkStart w:id="475" w:name="_Toc259093670"/>
      <w:bookmarkStart w:id="476" w:name="_Toc13336"/>
      <w:bookmarkStart w:id="477" w:name="_Toc487900350"/>
      <w:bookmarkStart w:id="478" w:name="_Toc279701241"/>
      <w:r>
        <w:rPr>
          <w:rFonts w:hint="eastAsia" w:ascii="宋体" w:hAnsi="宋体" w:cs="宋体"/>
          <w:b/>
          <w:sz w:val="24"/>
        </w:rPr>
        <w:t>2.2 技术规范</w:t>
      </w:r>
      <w:bookmarkEnd w:id="473"/>
      <w:bookmarkEnd w:id="474"/>
      <w:bookmarkEnd w:id="475"/>
      <w:bookmarkEnd w:id="476"/>
      <w:bookmarkEnd w:id="477"/>
      <w:bookmarkEnd w:id="478"/>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79" w:name="_Toc9829"/>
      <w:bookmarkStart w:id="480" w:name="_Toc279701242"/>
      <w:bookmarkStart w:id="481" w:name="_Toc31634"/>
      <w:bookmarkStart w:id="482" w:name="_Toc27853"/>
      <w:bookmarkStart w:id="483" w:name="_Toc259093671"/>
      <w:bookmarkStart w:id="484" w:name="_Toc487900351"/>
      <w:r>
        <w:rPr>
          <w:rFonts w:hint="eastAsia" w:ascii="宋体" w:hAnsi="宋体" w:cs="宋体"/>
          <w:b/>
          <w:sz w:val="24"/>
        </w:rPr>
        <w:t>2.3 知识产权</w:t>
      </w:r>
      <w:bookmarkEnd w:id="479"/>
      <w:bookmarkEnd w:id="480"/>
      <w:bookmarkEnd w:id="481"/>
      <w:bookmarkEnd w:id="482"/>
      <w:bookmarkEnd w:id="483"/>
      <w:bookmarkEnd w:id="484"/>
    </w:p>
    <w:p>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85" w:name="_Toc11932"/>
      <w:bookmarkStart w:id="486" w:name="_Toc29149"/>
      <w:bookmarkStart w:id="487" w:name="_Toc4194"/>
      <w:r>
        <w:rPr>
          <w:rFonts w:hint="eastAsia" w:ascii="宋体" w:hAnsi="宋体" w:cs="宋体"/>
          <w:b/>
          <w:sz w:val="24"/>
        </w:rPr>
        <w:t>2.4 包装和装运</w:t>
      </w:r>
      <w:bookmarkEnd w:id="485"/>
      <w:bookmarkEnd w:id="486"/>
      <w:bookmarkEnd w:id="487"/>
    </w:p>
    <w:p>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88" w:name="_Ref467379542"/>
      <w:bookmarkStart w:id="489" w:name="_Toc259093674"/>
      <w:bookmarkStart w:id="490" w:name="_Ref467378591"/>
      <w:bookmarkStart w:id="491" w:name="_Toc279701245"/>
      <w:bookmarkStart w:id="492" w:name="_Ref467379536"/>
      <w:bookmarkStart w:id="493" w:name="_Ref467378541"/>
      <w:bookmarkStart w:id="494" w:name="_Ref467379527"/>
      <w:bookmarkStart w:id="495" w:name="_Toc487900354"/>
      <w:bookmarkStart w:id="496" w:name="_Toc19074"/>
      <w:bookmarkStart w:id="497" w:name="_Toc26182"/>
      <w:bookmarkStart w:id="498" w:name="_Toc30272"/>
      <w:r>
        <w:rPr>
          <w:rFonts w:hint="eastAsia" w:ascii="宋体" w:hAnsi="宋体" w:cs="宋体"/>
          <w:b/>
          <w:sz w:val="24"/>
        </w:rPr>
        <w:t>2.</w:t>
      </w:r>
      <w:bookmarkEnd w:id="488"/>
      <w:bookmarkEnd w:id="489"/>
      <w:bookmarkEnd w:id="490"/>
      <w:bookmarkEnd w:id="491"/>
      <w:bookmarkEnd w:id="492"/>
      <w:bookmarkEnd w:id="493"/>
      <w:bookmarkEnd w:id="494"/>
      <w:bookmarkEnd w:id="495"/>
      <w:r>
        <w:rPr>
          <w:rFonts w:hint="eastAsia" w:ascii="宋体" w:hAnsi="宋体" w:cs="宋体"/>
          <w:b/>
          <w:sz w:val="24"/>
        </w:rPr>
        <w:t>5 履约检查和问题反馈</w:t>
      </w:r>
      <w:bookmarkEnd w:id="496"/>
      <w:bookmarkEnd w:id="497"/>
      <w:bookmarkEnd w:id="498"/>
    </w:p>
    <w:p>
      <w:pPr>
        <w:spacing w:line="360" w:lineRule="auto"/>
        <w:ind w:firstLine="480" w:firstLineChars="200"/>
        <w:rPr>
          <w:rFonts w:ascii="宋体" w:hAnsi="宋体" w:cs="宋体"/>
          <w:sz w:val="24"/>
        </w:rPr>
      </w:pPr>
      <w:bookmarkStart w:id="499" w:name="_Ref467379657"/>
      <w:r>
        <w:rPr>
          <w:rFonts w:hint="eastAsia" w:ascii="宋体" w:hAnsi="宋体" w:cs="宋体"/>
          <w:sz w:val="24"/>
        </w:rPr>
        <w:t>2.5.1</w:t>
      </w:r>
      <w:bookmarkEnd w:id="499"/>
      <w:bookmarkStart w:id="500" w:name="_Toc186431854"/>
      <w:bookmarkStart w:id="501" w:name="_Toc259093676"/>
      <w:bookmarkStart w:id="502" w:name="_Toc487900357"/>
      <w:bookmarkStart w:id="503" w:name="_Ref467379807"/>
      <w:bookmarkStart w:id="504" w:name="_Ref467379793"/>
      <w:bookmarkStart w:id="505"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500"/>
      <w:bookmarkStart w:id="506" w:name="_Toc186431855"/>
      <w:r>
        <w:rPr>
          <w:rFonts w:hint="eastAsia" w:ascii="宋体" w:hAnsi="宋体" w:cs="宋体"/>
          <w:sz w:val="24"/>
        </w:rPr>
        <w:t>。</w:t>
      </w:r>
    </w:p>
    <w:bookmarkEnd w:id="501"/>
    <w:bookmarkEnd w:id="502"/>
    <w:bookmarkEnd w:id="503"/>
    <w:bookmarkEnd w:id="504"/>
    <w:bookmarkEnd w:id="505"/>
    <w:bookmarkEnd w:id="506"/>
    <w:p>
      <w:pPr>
        <w:spacing w:line="360" w:lineRule="auto"/>
        <w:ind w:firstLine="482" w:firstLineChars="200"/>
        <w:outlineLvl w:val="0"/>
        <w:rPr>
          <w:rFonts w:ascii="宋体" w:hAnsi="宋体" w:cs="宋体"/>
          <w:b/>
          <w:sz w:val="24"/>
        </w:rPr>
      </w:pPr>
      <w:bookmarkStart w:id="507" w:name="_Ref467379863"/>
      <w:bookmarkStart w:id="508" w:name="_Ref467379923"/>
      <w:bookmarkStart w:id="509" w:name="_Toc279701248"/>
      <w:bookmarkStart w:id="510" w:name="_Toc487900358"/>
      <w:bookmarkStart w:id="511" w:name="_Ref467379852"/>
      <w:bookmarkStart w:id="512" w:name="_Toc259093677"/>
      <w:bookmarkStart w:id="513" w:name="_Toc16110"/>
      <w:bookmarkStart w:id="514" w:name="_Toc774"/>
      <w:bookmarkStart w:id="515" w:name="_Toc3225"/>
      <w:r>
        <w:rPr>
          <w:rFonts w:hint="eastAsia" w:ascii="宋体" w:hAnsi="宋体" w:cs="宋体"/>
          <w:b/>
          <w:sz w:val="24"/>
        </w:rPr>
        <w:t>2.6 技术资料</w:t>
      </w:r>
      <w:bookmarkEnd w:id="507"/>
      <w:bookmarkEnd w:id="508"/>
      <w:bookmarkEnd w:id="509"/>
      <w:bookmarkEnd w:id="510"/>
      <w:bookmarkEnd w:id="511"/>
      <w:bookmarkEnd w:id="512"/>
      <w:r>
        <w:rPr>
          <w:rFonts w:hint="eastAsia" w:ascii="宋体" w:hAnsi="宋体" w:cs="宋体"/>
          <w:b/>
          <w:sz w:val="24"/>
        </w:rPr>
        <w:t>和保密义务</w:t>
      </w:r>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516" w:name="_Toc7860"/>
      <w:r>
        <w:rPr>
          <w:rFonts w:hint="eastAsia" w:ascii="宋体" w:hAnsi="宋体" w:cs="宋体"/>
          <w:b/>
          <w:sz w:val="24"/>
        </w:rPr>
        <w:t>2.7 质量保证</w:t>
      </w:r>
      <w:bookmarkEnd w:id="516"/>
    </w:p>
    <w:p>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rPr>
      </w:pPr>
      <w:bookmarkStart w:id="517" w:name="_Toc17244"/>
      <w:bookmarkStart w:id="518" w:name="_Toc487900362"/>
      <w:bookmarkStart w:id="519" w:name="_Toc279701252"/>
      <w:bookmarkStart w:id="520" w:name="_Toc259093681"/>
      <w:r>
        <w:rPr>
          <w:rFonts w:hint="eastAsia" w:ascii="宋体" w:hAnsi="宋体" w:cs="宋体"/>
          <w:b/>
          <w:sz w:val="24"/>
        </w:rPr>
        <w:t>2.8 货物的风险负担</w:t>
      </w:r>
      <w:bookmarkEnd w:id="517"/>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521" w:name="_Toc14055"/>
      <w:r>
        <w:rPr>
          <w:rFonts w:hint="eastAsia" w:ascii="宋体" w:hAnsi="宋体" w:cs="宋体"/>
          <w:b/>
          <w:sz w:val="24"/>
        </w:rPr>
        <w:t>2.9 延迟交货</w:t>
      </w:r>
      <w:bookmarkEnd w:id="518"/>
      <w:bookmarkEnd w:id="519"/>
      <w:bookmarkEnd w:id="520"/>
      <w:bookmarkEnd w:id="521"/>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cs="宋体"/>
          <w:b/>
          <w:sz w:val="24"/>
        </w:rPr>
      </w:pPr>
      <w:bookmarkStart w:id="522" w:name="_Toc7502"/>
      <w:bookmarkStart w:id="523" w:name="_Toc259093683"/>
      <w:bookmarkStart w:id="524" w:name="_Toc279701254"/>
      <w:bookmarkStart w:id="525" w:name="_Ref467378121"/>
      <w:bookmarkStart w:id="526" w:name="_Toc487900364"/>
      <w:r>
        <w:rPr>
          <w:rFonts w:hint="eastAsia" w:ascii="宋体" w:hAnsi="宋体" w:cs="宋体"/>
          <w:b/>
          <w:sz w:val="24"/>
        </w:rPr>
        <w:t>2.10 合同变更</w:t>
      </w:r>
      <w:bookmarkEnd w:id="522"/>
    </w:p>
    <w:p>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27" w:name="_Toc259093688"/>
      <w:bookmarkStart w:id="528" w:name="_Toc279701259"/>
      <w:bookmarkStart w:id="529" w:name="_Toc487900369"/>
    </w:p>
    <w:p>
      <w:pPr>
        <w:spacing w:line="360" w:lineRule="auto"/>
        <w:ind w:firstLine="482" w:firstLineChars="200"/>
        <w:outlineLvl w:val="0"/>
        <w:rPr>
          <w:rFonts w:ascii="宋体" w:hAnsi="宋体" w:cs="宋体"/>
          <w:b/>
          <w:sz w:val="24"/>
        </w:rPr>
      </w:pPr>
      <w:bookmarkStart w:id="530" w:name="_Toc10366"/>
      <w:bookmarkStart w:id="531" w:name="_Toc15237"/>
      <w:bookmarkStart w:id="532" w:name="_Toc22955"/>
      <w:r>
        <w:rPr>
          <w:rFonts w:hint="eastAsia" w:ascii="宋体" w:hAnsi="宋体" w:cs="宋体"/>
          <w:b/>
          <w:sz w:val="24"/>
        </w:rPr>
        <w:t>2.11 合同转让</w:t>
      </w:r>
      <w:bookmarkEnd w:id="527"/>
      <w:bookmarkEnd w:id="528"/>
      <w:bookmarkEnd w:id="529"/>
      <w:r>
        <w:rPr>
          <w:rFonts w:hint="eastAsia" w:ascii="宋体" w:hAnsi="宋体" w:cs="宋体"/>
          <w:b/>
          <w:sz w:val="24"/>
        </w:rPr>
        <w:t>和分包</w:t>
      </w:r>
      <w:bookmarkEnd w:id="530"/>
      <w:bookmarkEnd w:id="531"/>
      <w:bookmarkEnd w:id="532"/>
    </w:p>
    <w:p>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533" w:name="_Toc13566"/>
      <w:bookmarkStart w:id="534" w:name="_Toc16508"/>
      <w:bookmarkStart w:id="535" w:name="_Toc14066"/>
      <w:r>
        <w:rPr>
          <w:rFonts w:hint="eastAsia" w:ascii="宋体" w:hAnsi="宋体" w:cs="宋体"/>
          <w:b/>
          <w:sz w:val="24"/>
        </w:rPr>
        <w:t>2.12 不可抗力</w:t>
      </w:r>
      <w:bookmarkEnd w:id="533"/>
      <w:bookmarkEnd w:id="534"/>
      <w:bookmarkEnd w:id="535"/>
    </w:p>
    <w:p>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2" w:firstLineChars="200"/>
        <w:outlineLvl w:val="0"/>
        <w:rPr>
          <w:rFonts w:ascii="宋体" w:hAnsi="宋体" w:cs="宋体"/>
          <w:b/>
          <w:sz w:val="24"/>
        </w:rPr>
      </w:pPr>
      <w:bookmarkStart w:id="536" w:name="_Toc689"/>
      <w:bookmarkStart w:id="537" w:name="_Toc6969"/>
      <w:bookmarkStart w:id="538" w:name="_Toc259093684"/>
      <w:bookmarkStart w:id="539" w:name="_Toc279701255"/>
      <w:bookmarkStart w:id="540" w:name="_Toc487900365"/>
      <w:bookmarkStart w:id="541" w:name="_Toc30676"/>
      <w:r>
        <w:rPr>
          <w:rFonts w:hint="eastAsia" w:ascii="宋体" w:hAnsi="宋体" w:cs="宋体"/>
          <w:b/>
          <w:sz w:val="24"/>
        </w:rPr>
        <w:t>2.13 税费</w:t>
      </w:r>
      <w:bookmarkEnd w:id="536"/>
      <w:bookmarkEnd w:id="537"/>
      <w:bookmarkEnd w:id="538"/>
      <w:bookmarkEnd w:id="539"/>
      <w:bookmarkEnd w:id="540"/>
      <w:bookmarkEnd w:id="541"/>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542" w:name="_Toc279701258"/>
      <w:bookmarkStart w:id="543" w:name="_Toc7102"/>
      <w:bookmarkStart w:id="544" w:name="_Toc259093687"/>
      <w:bookmarkStart w:id="545" w:name="_Toc16959"/>
      <w:bookmarkStart w:id="546" w:name="_Toc8298"/>
      <w:bookmarkStart w:id="547" w:name="_Toc487900368"/>
      <w:r>
        <w:rPr>
          <w:rFonts w:hint="eastAsia" w:ascii="宋体" w:hAnsi="宋体" w:cs="宋体"/>
          <w:b/>
          <w:sz w:val="24"/>
        </w:rPr>
        <w:t>2.14乙方破产</w:t>
      </w:r>
      <w:bookmarkEnd w:id="542"/>
      <w:bookmarkEnd w:id="543"/>
      <w:bookmarkEnd w:id="544"/>
      <w:bookmarkEnd w:id="545"/>
      <w:bookmarkEnd w:id="546"/>
      <w:bookmarkEnd w:id="547"/>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548" w:name="_Toc29333"/>
      <w:bookmarkStart w:id="549" w:name="_Toc15387"/>
      <w:bookmarkStart w:id="550" w:name="_Toc6134"/>
      <w:r>
        <w:rPr>
          <w:rFonts w:hint="eastAsia" w:ascii="宋体" w:hAnsi="宋体" w:cs="宋体"/>
          <w:b/>
          <w:sz w:val="24"/>
        </w:rPr>
        <w:t>2.15 合同中止、终止</w:t>
      </w:r>
      <w:bookmarkEnd w:id="548"/>
      <w:bookmarkEnd w:id="549"/>
      <w:bookmarkEnd w:id="550"/>
    </w:p>
    <w:p>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bookmarkStart w:id="551" w:name="_Toc6596"/>
      <w:bookmarkStart w:id="552" w:name="_Toc14563"/>
      <w:bookmarkStart w:id="553" w:name="_Toc1125"/>
      <w:r>
        <w:rPr>
          <w:rFonts w:hint="eastAsia" w:ascii="宋体" w:hAnsi="宋体" w:cs="宋体"/>
          <w:b/>
          <w:sz w:val="24"/>
        </w:rPr>
        <w:t>2.16检验和验收</w:t>
      </w:r>
      <w:bookmarkEnd w:id="551"/>
      <w:bookmarkEnd w:id="552"/>
      <w:bookmarkEnd w:id="553"/>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23"/>
    <w:bookmarkEnd w:id="524"/>
    <w:bookmarkEnd w:id="525"/>
    <w:bookmarkEnd w:id="526"/>
    <w:p>
      <w:pPr>
        <w:spacing w:line="360" w:lineRule="auto"/>
        <w:ind w:firstLine="482" w:firstLineChars="200"/>
        <w:outlineLvl w:val="0"/>
        <w:rPr>
          <w:rFonts w:ascii="宋体" w:hAnsi="宋体" w:cs="宋体"/>
          <w:b/>
          <w:sz w:val="24"/>
        </w:rPr>
      </w:pPr>
      <w:bookmarkStart w:id="554" w:name="_Toc259093690"/>
      <w:bookmarkStart w:id="555" w:name="_Toc279701261"/>
      <w:bookmarkStart w:id="556" w:name="_Toc487900371"/>
      <w:bookmarkStart w:id="557" w:name="_Toc11284"/>
      <w:bookmarkStart w:id="558" w:name="_Toc19604"/>
      <w:bookmarkStart w:id="559" w:name="_Toc25182"/>
      <w:r>
        <w:rPr>
          <w:rFonts w:hint="eastAsia" w:ascii="宋体" w:hAnsi="宋体" w:cs="宋体"/>
          <w:b/>
          <w:sz w:val="24"/>
        </w:rPr>
        <w:t>2.17 通知</w:t>
      </w:r>
      <w:bookmarkEnd w:id="554"/>
      <w:bookmarkEnd w:id="555"/>
      <w:bookmarkEnd w:id="556"/>
      <w:r>
        <w:rPr>
          <w:rFonts w:hint="eastAsia" w:ascii="宋体" w:hAnsi="宋体" w:cs="宋体"/>
          <w:b/>
          <w:sz w:val="24"/>
        </w:rPr>
        <w:t>和送达</w:t>
      </w:r>
      <w:bookmarkEnd w:id="557"/>
      <w:bookmarkEnd w:id="558"/>
      <w:bookmarkEnd w:id="559"/>
    </w:p>
    <w:p>
      <w:pPr>
        <w:spacing w:line="360" w:lineRule="auto"/>
        <w:ind w:firstLine="480" w:firstLineChars="200"/>
        <w:rPr>
          <w:rFonts w:ascii="宋体" w:hAnsi="宋体" w:cs="宋体"/>
          <w:sz w:val="24"/>
        </w:rPr>
      </w:pPr>
      <w:bookmarkStart w:id="560" w:name="_Toc3135"/>
      <w:bookmarkStart w:id="561" w:name="_Toc6698"/>
      <w:bookmarkStart w:id="562" w:name="_Toc487900372"/>
      <w:bookmarkStart w:id="563" w:name="_Toc259093691"/>
      <w:bookmarkStart w:id="564"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60"/>
      <w:bookmarkEnd w:id="561"/>
    </w:p>
    <w:p>
      <w:pPr>
        <w:spacing w:line="360" w:lineRule="auto"/>
        <w:ind w:firstLine="480" w:firstLineChars="200"/>
        <w:rPr>
          <w:rFonts w:ascii="宋体" w:hAnsi="宋体" w:cs="宋体"/>
          <w:sz w:val="24"/>
        </w:rPr>
      </w:pPr>
      <w:bookmarkStart w:id="565" w:name="_Toc23128"/>
      <w:bookmarkStart w:id="56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5"/>
      <w:bookmarkEnd w:id="566"/>
    </w:p>
    <w:p>
      <w:pPr>
        <w:spacing w:line="360" w:lineRule="auto"/>
        <w:ind w:firstLine="482" w:firstLineChars="200"/>
        <w:outlineLvl w:val="0"/>
        <w:rPr>
          <w:rFonts w:ascii="宋体" w:hAnsi="宋体" w:cs="宋体"/>
          <w:b/>
          <w:sz w:val="24"/>
        </w:rPr>
      </w:pPr>
      <w:bookmarkStart w:id="567" w:name="_Toc4355"/>
      <w:bookmarkStart w:id="568" w:name="_Toc30599"/>
      <w:bookmarkStart w:id="569" w:name="_Toc18540"/>
      <w:r>
        <w:rPr>
          <w:rFonts w:hint="eastAsia" w:ascii="宋体" w:hAnsi="宋体" w:cs="宋体"/>
          <w:b/>
          <w:sz w:val="24"/>
        </w:rPr>
        <w:t>2.18 计量单位</w:t>
      </w:r>
      <w:bookmarkEnd w:id="562"/>
      <w:bookmarkEnd w:id="563"/>
      <w:bookmarkEnd w:id="564"/>
      <w:bookmarkEnd w:id="567"/>
      <w:bookmarkEnd w:id="568"/>
      <w:bookmarkEnd w:id="569"/>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ascii="宋体" w:hAnsi="宋体" w:cs="宋体"/>
          <w:b/>
          <w:sz w:val="24"/>
        </w:rPr>
      </w:pPr>
      <w:bookmarkStart w:id="570" w:name="_Toc279701263"/>
      <w:bookmarkStart w:id="571" w:name="_Toc10330"/>
      <w:bookmarkStart w:id="572" w:name="_Toc12773"/>
      <w:bookmarkStart w:id="573" w:name="_Toc18567"/>
      <w:bookmarkStart w:id="574" w:name="_Toc259093692"/>
      <w:bookmarkStart w:id="575" w:name="_Toc487900373"/>
      <w:r>
        <w:rPr>
          <w:rFonts w:hint="eastAsia" w:ascii="宋体" w:hAnsi="宋体" w:cs="宋体"/>
          <w:b/>
          <w:sz w:val="24"/>
        </w:rPr>
        <w:t>2.19 合同使用的文字和适用的法律</w:t>
      </w:r>
      <w:bookmarkEnd w:id="570"/>
      <w:bookmarkEnd w:id="571"/>
      <w:bookmarkEnd w:id="572"/>
      <w:bookmarkEnd w:id="573"/>
      <w:bookmarkEnd w:id="574"/>
      <w:bookmarkEnd w:id="575"/>
    </w:p>
    <w:p>
      <w:pPr>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pPr>
        <w:spacing w:line="360" w:lineRule="auto"/>
        <w:ind w:firstLine="482" w:firstLineChars="200"/>
        <w:outlineLvl w:val="0"/>
        <w:rPr>
          <w:rFonts w:ascii="宋体" w:hAnsi="宋体" w:cs="宋体"/>
          <w:b/>
          <w:sz w:val="24"/>
        </w:rPr>
      </w:pPr>
      <w:bookmarkStart w:id="576" w:name="_Toc14001"/>
      <w:bookmarkStart w:id="577" w:name="_Toc19890"/>
      <w:bookmarkStart w:id="578" w:name="_Toc6885"/>
      <w:r>
        <w:rPr>
          <w:rFonts w:hint="eastAsia" w:ascii="宋体" w:hAnsi="宋体" w:cs="宋体"/>
          <w:b/>
          <w:sz w:val="24"/>
        </w:rPr>
        <w:t>2.20 合同份数</w:t>
      </w:r>
      <w:bookmarkEnd w:id="576"/>
      <w:bookmarkEnd w:id="577"/>
      <w:bookmarkEnd w:id="578"/>
    </w:p>
    <w:p>
      <w:pPr>
        <w:spacing w:line="360"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872"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360" w:lineRule="auto"/>
        <w:ind w:left="-480" w:leftChars="-200" w:right="-48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8"/>
        <w:gridCol w:w="75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条款号</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1.4.2</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1.5.1</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 xml:space="preserve">1.5.2 </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1.5.3</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1.6.2</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1.7.1</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1.7.2</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1.7.3</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1.8.6</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1.9</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2.3.2</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2.4.1</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2.4.3</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 xml:space="preserve">2.8 </w:t>
            </w:r>
          </w:p>
        </w:tc>
        <w:tc>
          <w:tcPr>
            <w:tcW w:w="4534" w:type="pct"/>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2.12.3</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2.12.4</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2.16.1</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2.16.3</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480" w:rightChars="-200" w:firstLine="0" w:firstLineChars="0"/>
              <w:textAlignment w:val="auto"/>
              <w:outlineLvl w:val="0"/>
              <w:rPr>
                <w:rFonts w:ascii="宋体" w:hAnsi="宋体" w:cs="宋体"/>
                <w:sz w:val="24"/>
              </w:rPr>
            </w:pPr>
            <w:r>
              <w:rPr>
                <w:rFonts w:hint="eastAsia" w:ascii="宋体" w:hAnsi="宋体" w:cs="宋体"/>
                <w:sz w:val="24"/>
              </w:rPr>
              <w:t xml:space="preserve">2.20 </w:t>
            </w:r>
          </w:p>
        </w:tc>
        <w:tc>
          <w:tcPr>
            <w:tcW w:w="45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sz w:val="24"/>
        </w:rPr>
      </w:pPr>
    </w:p>
    <w:p>
      <w:pPr>
        <w:spacing w:line="360" w:lineRule="auto"/>
        <w:ind w:left="-480" w:leftChars="-200" w:right="-480" w:rightChars="-200"/>
        <w:rPr>
          <w:rFonts w:ascii="宋体" w:hAnsi="宋体" w:cs="宋体"/>
          <w:sz w:val="24"/>
        </w:rPr>
      </w:pPr>
    </w:p>
    <w:p>
      <w:pPr>
        <w:pStyle w:val="6"/>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5"/>
        <w:bidi w:val="0"/>
      </w:pPr>
      <w:bookmarkStart w:id="579" w:name="_Toc16642"/>
      <w:bookmarkStart w:id="580" w:name="_Toc26124"/>
      <w:bookmarkStart w:id="581" w:name="_Toc16158"/>
      <w:r>
        <w:rPr>
          <w:rFonts w:hint="eastAsia"/>
        </w:rPr>
        <w:t>第六部分</w:t>
      </w:r>
      <w:bookmarkEnd w:id="425"/>
      <w:r>
        <w:rPr>
          <w:rFonts w:hint="eastAsia"/>
        </w:rPr>
        <w:t xml:space="preserve"> </w:t>
      </w:r>
      <w:bookmarkEnd w:id="426"/>
      <w:r>
        <w:rPr>
          <w:rFonts w:hint="eastAsia"/>
        </w:rPr>
        <w:t>应提交的有关格式范例</w:t>
      </w:r>
      <w:bookmarkEnd w:id="579"/>
      <w:bookmarkEnd w:id="580"/>
      <w:bookmarkEnd w:id="581"/>
    </w:p>
    <w:p>
      <w:pPr>
        <w:bidi w:val="0"/>
      </w:pPr>
    </w:p>
    <w:p>
      <w:pPr>
        <w:pStyle w:val="6"/>
        <w:bidi w:val="0"/>
      </w:pPr>
      <w:bookmarkStart w:id="582" w:name="_Toc8900"/>
      <w:bookmarkStart w:id="583" w:name="_Toc13095"/>
      <w:r>
        <w:rPr>
          <w:rFonts w:hint="eastAsia"/>
        </w:rPr>
        <w:t>资格文件部分</w:t>
      </w:r>
      <w:bookmarkEnd w:id="582"/>
      <w:bookmarkEnd w:id="583"/>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6"/>
        <w:numPr>
          <w:ilvl w:val="0"/>
          <w:numId w:val="2"/>
        </w:numPr>
        <w:bidi w:val="0"/>
        <w:rPr>
          <w:rFonts w:hint="eastAsia"/>
        </w:rPr>
      </w:pPr>
      <w:r>
        <w:rPr>
          <w:rFonts w:hint="eastAsia" w:ascii="宋体" w:hAnsi="宋体" w:cs="宋体"/>
          <w:kern w:val="0"/>
          <w:sz w:val="24"/>
        </w:rPr>
        <w:br w:type="page"/>
      </w:r>
      <w:bookmarkStart w:id="584" w:name="_Toc22040"/>
      <w:bookmarkStart w:id="585" w:name="_Toc10261"/>
      <w:r>
        <w:rPr>
          <w:rFonts w:hint="eastAsia"/>
        </w:rPr>
        <w:t>符合参加政府采购活动应当具备的一般条件的承诺函</w:t>
      </w:r>
      <w:bookmarkEnd w:id="584"/>
      <w:bookmarkEnd w:id="585"/>
    </w:p>
    <w:p>
      <w:pPr>
        <w:bidi w:val="0"/>
      </w:pP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bidi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586" w:name="_Toc14124"/>
      <w:bookmarkStart w:id="587" w:name="_Toc27338"/>
      <w:r>
        <w:rPr>
          <w:rFonts w:hint="eastAsia"/>
          <w:color w:val="auto"/>
        </w:rPr>
        <w:t>二、联合协议（如有）</w:t>
      </w:r>
      <w:bookmarkEnd w:id="586"/>
      <w:bookmarkEnd w:id="587"/>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
        <w:bidi w:val="0"/>
        <w:rPr>
          <w:color w:val="auto"/>
        </w:rPr>
      </w:pPr>
      <w:bookmarkStart w:id="588" w:name="_Toc16477"/>
      <w:bookmarkStart w:id="589" w:name="_Toc15398"/>
      <w:r>
        <w:rPr>
          <w:rFonts w:hint="eastAsia"/>
          <w:color w:val="auto"/>
        </w:rPr>
        <w:t>三、落实政府采购政策需满足的资格要求</w:t>
      </w:r>
      <w:bookmarkEnd w:id="588"/>
      <w:bookmarkEnd w:id="589"/>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w:t>
      </w:r>
      <w:r>
        <w:rPr>
          <w:rFonts w:hint="eastAsia" w:ascii="宋体" w:hAnsi="宋体" w:cs="宋体"/>
          <w:color w:val="auto"/>
          <w:sz w:val="24"/>
          <w:lang w:val="en-US" w:eastAsia="zh-CN"/>
        </w:rPr>
        <w:t>货物</w:t>
      </w:r>
      <w:r>
        <w:rPr>
          <w:rFonts w:hint="eastAsia" w:ascii="宋体" w:hAnsi="宋体" w:cs="宋体"/>
          <w:color w:val="auto"/>
          <w:sz w:val="24"/>
        </w:rPr>
        <w:t>全部由符合政策要求的中小企业（或小微企业）</w:t>
      </w:r>
      <w:r>
        <w:rPr>
          <w:rFonts w:hint="eastAsia" w:ascii="宋体" w:hAnsi="宋体" w:cs="宋体"/>
          <w:color w:val="auto"/>
          <w:sz w:val="24"/>
          <w:lang w:val="en-US" w:eastAsia="zh-CN"/>
        </w:rPr>
        <w:t>制造</w:t>
      </w:r>
      <w:r>
        <w:rPr>
          <w:rFonts w:hint="eastAsia" w:ascii="宋体" w:hAnsi="宋体" w:cs="宋体"/>
          <w:color w:val="auto"/>
          <w:sz w:val="24"/>
        </w:rPr>
        <w:t>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spacing w:line="360" w:lineRule="auto"/>
        <w:ind w:firstLine="480" w:firstLineChars="200"/>
        <w:rPr>
          <w:rFonts w:ascii="宋体" w:hAnsi="宋体" w:cs="宋体"/>
          <w:color w:val="auto"/>
          <w:sz w:val="24"/>
        </w:rPr>
      </w:pPr>
    </w:p>
    <w:p>
      <w:pPr>
        <w:widowControl/>
        <w:spacing w:line="360" w:lineRule="auto"/>
        <w:ind w:left="150"/>
        <w:jc w:val="center"/>
        <w:rPr>
          <w:rFonts w:ascii="宋体" w:hAnsi="宋体" w:cs="宋体"/>
          <w:b/>
          <w:color w:val="auto"/>
          <w:kern w:val="0"/>
          <w:sz w:val="32"/>
          <w:szCs w:val="32"/>
        </w:rPr>
      </w:pPr>
    </w:p>
    <w:p>
      <w:pPr>
        <w:pStyle w:val="5"/>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590" w:name="_Toc25288"/>
      <w:bookmarkStart w:id="591" w:name="_Toc25980"/>
      <w:r>
        <w:rPr>
          <w:rFonts w:hint="eastAsia"/>
          <w:color w:val="auto"/>
        </w:rPr>
        <w:t>四、本项目的特定资格要求</w:t>
      </w:r>
      <w:bookmarkEnd w:id="590"/>
      <w:bookmarkEnd w:id="591"/>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bidi w:val="0"/>
        <w:rPr>
          <w:color w:val="auto"/>
        </w:rPr>
      </w:pPr>
    </w:p>
    <w:p>
      <w:pPr>
        <w:snapToGrid w:val="0"/>
        <w:spacing w:line="360" w:lineRule="auto"/>
        <w:ind w:right="480"/>
        <w:jc w:val="center"/>
        <w:rPr>
          <w:rFonts w:ascii="宋体" w:hAnsi="宋体" w:cs="宋体"/>
          <w:b/>
          <w:color w:val="auto"/>
          <w:kern w:val="0"/>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5"/>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592" w:name="_Toc18377"/>
      <w:bookmarkStart w:id="593" w:name="_Toc933"/>
      <w:r>
        <w:rPr>
          <w:rFonts w:hint="eastAsia"/>
          <w:color w:val="auto"/>
        </w:rPr>
        <w:t>商务技术文件部分</w:t>
      </w:r>
      <w:bookmarkEnd w:id="592"/>
      <w:bookmarkEnd w:id="593"/>
    </w:p>
    <w:p>
      <w:pPr>
        <w:bidi w:val="0"/>
        <w:rPr>
          <w:color w:val="auto"/>
        </w:rPr>
      </w:pPr>
    </w:p>
    <w:p>
      <w:pPr>
        <w:bidi w:val="0"/>
        <w:ind w:left="0" w:leftChars="0" w:firstLine="0" w:firstLineChars="0"/>
        <w:jc w:val="center"/>
        <w:rPr>
          <w:b/>
          <w:bCs/>
          <w:color w:val="auto"/>
          <w:sz w:val="36"/>
          <w:szCs w:val="36"/>
        </w:rPr>
      </w:pPr>
      <w:r>
        <w:rPr>
          <w:rFonts w:hint="eastAsia"/>
          <w:b/>
          <w:bCs/>
          <w:color w:val="auto"/>
          <w:sz w:val="36"/>
          <w:szCs w:val="36"/>
        </w:rPr>
        <w:t>目录</w:t>
      </w:r>
    </w:p>
    <w:p>
      <w:pPr>
        <w:numPr>
          <w:ilvl w:val="0"/>
          <w:numId w:val="3"/>
        </w:numPr>
        <w:snapToGrid w:val="0"/>
        <w:spacing w:line="360" w:lineRule="auto"/>
        <w:ind w:left="7" w:leftChars="0" w:hanging="7" w:firstLineChars="0"/>
        <w:jc w:val="left"/>
        <w:rPr>
          <w:rFonts w:hint="eastAsia" w:ascii="宋体" w:hAnsi="宋体" w:cs="宋体"/>
          <w:color w:val="auto"/>
        </w:rPr>
      </w:pPr>
      <w:r>
        <w:rPr>
          <w:rFonts w:hint="eastAsia" w:ascii="宋体" w:hAnsi="宋体" w:cs="宋体"/>
          <w:color w:val="auto"/>
          <w:sz w:val="24"/>
        </w:rPr>
        <w:t>投标函</w:t>
      </w:r>
      <w:r>
        <w:rPr>
          <w:rFonts w:hint="eastAsia" w:ascii="宋体" w:hAnsi="宋体" w:cs="宋体"/>
          <w:color w:val="auto"/>
        </w:rPr>
        <w:t>……………………………………………………………………（页码）</w:t>
      </w:r>
    </w:p>
    <w:p>
      <w:pPr>
        <w:numPr>
          <w:ilvl w:val="0"/>
          <w:numId w:val="3"/>
        </w:numPr>
        <w:snapToGrid w:val="0"/>
        <w:spacing w:line="360" w:lineRule="auto"/>
        <w:ind w:left="7" w:leftChars="0" w:hanging="7" w:firstLineChars="0"/>
        <w:jc w:val="left"/>
        <w:rPr>
          <w:rFonts w:ascii="宋体" w:hAnsi="宋体" w:cs="宋体"/>
          <w:color w:val="auto"/>
        </w:rPr>
      </w:pPr>
      <w:r>
        <w:rPr>
          <w:rFonts w:hint="eastAsia" w:ascii="宋体" w:hAnsi="宋体" w:cs="宋体"/>
          <w:color w:val="auto"/>
          <w:sz w:val="24"/>
        </w:rPr>
        <w:t>授权委托书或法定代表人（单位负责人、自然人本人）身份证明</w:t>
      </w:r>
      <w:r>
        <w:rPr>
          <w:rFonts w:hint="eastAsia" w:ascii="宋体" w:hAnsi="宋体" w:cs="宋体"/>
          <w:color w:val="auto"/>
        </w:rPr>
        <w:t>…（页码）</w:t>
      </w:r>
    </w:p>
    <w:p>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）联合协议…………………………………………………………………（页码）</w:t>
      </w:r>
    </w:p>
    <w:p>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）分包意向协议……………………………………………………………（页码）</w:t>
      </w:r>
    </w:p>
    <w:p>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）评标标准相应的商务技术资料…………………………………………（页码）（</w:t>
      </w:r>
      <w:r>
        <w:rPr>
          <w:rFonts w:hint="eastAsia" w:ascii="宋体" w:hAnsi="宋体" w:cs="宋体"/>
          <w:color w:val="auto"/>
          <w:sz w:val="24"/>
          <w:lang w:val="en-US" w:eastAsia="zh-CN"/>
        </w:rPr>
        <w:t>6</w:t>
      </w:r>
      <w:r>
        <w:rPr>
          <w:rFonts w:hint="eastAsia" w:ascii="宋体" w:hAnsi="宋体" w:cs="宋体"/>
          <w:color w:val="auto"/>
          <w:sz w:val="24"/>
        </w:rPr>
        <w:t>）投标标的清单……………………………………………………………（页码）（</w:t>
      </w:r>
      <w:r>
        <w:rPr>
          <w:rFonts w:hint="eastAsia" w:ascii="宋体" w:hAnsi="宋体" w:cs="宋体"/>
          <w:color w:val="auto"/>
          <w:sz w:val="24"/>
          <w:lang w:val="en-US" w:eastAsia="zh-CN"/>
        </w:rPr>
        <w:t>7</w:t>
      </w:r>
      <w:r>
        <w:rPr>
          <w:rFonts w:hint="eastAsia" w:ascii="宋体" w:hAnsi="宋体" w:cs="宋体"/>
          <w:color w:val="auto"/>
          <w:sz w:val="24"/>
        </w:rPr>
        <w:t>）商务偏离表………………………………………………………………（页码）（</w:t>
      </w:r>
      <w:r>
        <w:rPr>
          <w:rFonts w:hint="eastAsia" w:ascii="宋体" w:hAnsi="宋体" w:cs="宋体"/>
          <w:color w:val="auto"/>
          <w:sz w:val="24"/>
          <w:lang w:val="en-US" w:eastAsia="zh-CN"/>
        </w:rPr>
        <w:t>8</w:t>
      </w:r>
      <w:r>
        <w:rPr>
          <w:rFonts w:hint="eastAsia" w:ascii="宋体" w:hAnsi="宋体" w:cs="宋体"/>
          <w:color w:val="auto"/>
          <w:sz w:val="24"/>
        </w:rPr>
        <w:t>）技术偏离表………………………………………………………………（页码）</w:t>
      </w:r>
    </w:p>
    <w:p>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10）采购</w:t>
      </w:r>
      <w:r>
        <w:rPr>
          <w:rFonts w:hint="eastAsia" w:ascii="宋体" w:hAnsi="宋体" w:cs="宋体"/>
          <w:color w:val="auto"/>
          <w:sz w:val="24"/>
          <w:lang w:val="zh-CN" w:eastAsia="zh-CN"/>
        </w:rPr>
        <w:t>代理服务费支付承诺书</w:t>
      </w:r>
      <w:r>
        <w:rPr>
          <w:rFonts w:hint="eastAsia" w:ascii="宋体" w:hAnsi="宋体" w:cs="宋体"/>
          <w:color w:val="auto"/>
          <w:sz w:val="24"/>
        </w:rPr>
        <w:t>……………………………………………（页码）</w:t>
      </w:r>
    </w:p>
    <w:p>
      <w:pPr>
        <w:snapToGrid w:val="0"/>
        <w:spacing w:line="360" w:lineRule="auto"/>
        <w:ind w:left="7" w:leftChars="0" w:hanging="7" w:firstLineChars="0"/>
        <w:jc w:val="left"/>
        <w:rPr>
          <w:rFonts w:hint="eastAsia" w:ascii="宋体" w:hAnsi="宋体" w:cs="宋体"/>
          <w:color w:val="auto"/>
          <w:sz w:val="24"/>
        </w:rPr>
      </w:pPr>
    </w:p>
    <w:p>
      <w:pPr>
        <w:bidi w:val="0"/>
        <w:rPr>
          <w:color w:val="auto"/>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pStyle w:val="6"/>
        <w:bidi w:val="0"/>
        <w:rPr>
          <w:color w:val="auto"/>
        </w:rPr>
      </w:pPr>
      <w:bookmarkStart w:id="594" w:name="_Toc8786"/>
      <w:bookmarkStart w:id="595" w:name="_Toc624"/>
      <w:r>
        <w:rPr>
          <w:rFonts w:hint="eastAsia"/>
          <w:color w:val="auto"/>
        </w:rPr>
        <w:t>一、投标函</w:t>
      </w:r>
      <w:bookmarkEnd w:id="594"/>
      <w:bookmarkEnd w:id="595"/>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96" w:name="_Hlk101257010"/>
      <w:r>
        <w:rPr>
          <w:rFonts w:hint="eastAsia" w:ascii="宋体" w:hAnsi="宋体" w:cs="宋体"/>
          <w:snapToGrid w:val="0"/>
          <w:color w:val="auto"/>
          <w:kern w:val="28"/>
          <w:sz w:val="24"/>
          <w:szCs w:val="20"/>
        </w:rPr>
        <w:t>（如有)</w:t>
      </w:r>
      <w:bookmarkEnd w:id="596"/>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80" w:leftChars="200"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2.2.</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投标标的清单</w:t>
      </w:r>
      <w:r>
        <w:rPr>
          <w:rFonts w:hint="eastAsia" w:ascii="宋体" w:hAnsi="宋体" w:cs="宋体"/>
          <w:color w:val="auto"/>
          <w:sz w:val="24"/>
          <w:lang w:val="en-US" w:eastAsia="zh-CN"/>
        </w:rPr>
        <w:t>；</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7</w:t>
      </w:r>
      <w:r>
        <w:rPr>
          <w:rFonts w:hint="eastAsia" w:ascii="宋体" w:hAnsi="宋体" w:eastAsia="宋体" w:cs="宋体"/>
          <w:color w:val="auto"/>
          <w:sz w:val="24"/>
        </w:rPr>
        <w:t>商务偏离表；</w:t>
      </w:r>
    </w:p>
    <w:p>
      <w:pPr>
        <w:snapToGrid w:val="0"/>
        <w:spacing w:line="360" w:lineRule="auto"/>
        <w:ind w:left="480" w:leftChars="200" w:firstLine="480" w:firstLineChars="200"/>
        <w:rPr>
          <w:rFonts w:hint="eastAsia"/>
          <w:color w:val="auto"/>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rPr>
        <w:t>技术偏离表；</w:t>
      </w:r>
    </w:p>
    <w:p>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pPr>
        <w:snapToGrid w:val="0"/>
        <w:spacing w:line="360" w:lineRule="auto"/>
        <w:ind w:left="480" w:leftChars="200" w:firstLine="480" w:firstLineChars="200"/>
        <w:rPr>
          <w:rFonts w:hint="default" w:ascii="宋体" w:hAnsi="宋体" w:cs="宋体"/>
          <w:color w:val="auto"/>
          <w:sz w:val="24"/>
          <w:lang w:val="en-US"/>
        </w:rPr>
      </w:pPr>
      <w:r>
        <w:rPr>
          <w:rFonts w:hint="eastAsia" w:ascii="宋体" w:hAnsi="宋体" w:cs="宋体"/>
          <w:color w:val="auto"/>
          <w:sz w:val="24"/>
          <w:lang w:val="en-US" w:eastAsia="zh-CN"/>
        </w:rPr>
        <w:t>2.2.10采购</w:t>
      </w:r>
      <w:r>
        <w:rPr>
          <w:rFonts w:hint="eastAsia" w:ascii="宋体" w:hAnsi="宋体" w:cs="宋体"/>
          <w:color w:val="auto"/>
          <w:sz w:val="24"/>
          <w:lang w:val="zh-CN" w:eastAsia="zh-CN"/>
        </w:rPr>
        <w:t>代理服务费支付承诺书</w:t>
      </w:r>
      <w:r>
        <w:rPr>
          <w:rFonts w:hint="eastAsia" w:ascii="宋体" w:hAnsi="宋体" w:cs="宋体"/>
          <w:color w:val="auto"/>
          <w:sz w:val="24"/>
          <w:lang w:val="en-US" w:eastAsia="zh-CN"/>
        </w:rPr>
        <w:t>.</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pStyle w:val="3"/>
        <w:numPr>
          <w:ilvl w:val="0"/>
          <w:numId w:val="0"/>
        </w:numPr>
        <w:rPr>
          <w:color w:val="auto"/>
        </w:rPr>
      </w:pPr>
    </w:p>
    <w:p>
      <w:pPr>
        <w:pStyle w:val="2"/>
        <w:rPr>
          <w:color w:val="auto"/>
        </w:rPr>
      </w:pPr>
    </w:p>
    <w:p>
      <w:pPr>
        <w:rPr>
          <w:color w:val="auto"/>
        </w:rPr>
      </w:pPr>
    </w:p>
    <w:p>
      <w:pPr>
        <w:spacing w:line="360" w:lineRule="auto"/>
        <w:ind w:firstLine="3840" w:firstLineChars="16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日期：  年   月   日</w:t>
      </w:r>
    </w:p>
    <w:p>
      <w:pPr>
        <w:snapToGrid w:val="0"/>
        <w:spacing w:line="360" w:lineRule="auto"/>
        <w:ind w:left="48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6"/>
        <w:bidi w:val="0"/>
        <w:rPr>
          <w:color w:val="auto"/>
          <w:lang w:val="zh-CN"/>
        </w:rPr>
      </w:pPr>
      <w:bookmarkStart w:id="597" w:name="_Toc17110"/>
      <w:bookmarkStart w:id="598" w:name="_Toc27417"/>
      <w:r>
        <w:rPr>
          <w:rFonts w:hint="eastAsia"/>
          <w:color w:val="auto"/>
          <w:lang w:val="zh-CN"/>
        </w:rPr>
        <w:t>二、授权委托书或法定代表人（单位负责人、自然人本人）身份证明</w:t>
      </w:r>
      <w:bookmarkEnd w:id="597"/>
      <w:bookmarkEnd w:id="598"/>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jc w:val="center"/>
        <w:rPr>
          <w:rFonts w:ascii="宋体" w:hAnsi="宋体" w:cs="宋体"/>
          <w:color w:val="auto"/>
        </w:rPr>
      </w:pPr>
      <w:r>
        <w:rPr>
          <w:rFonts w:hint="eastAsia" w:ascii="宋体" w:hAnsi="宋体" w:cs="宋体"/>
          <w:b/>
          <w:color w:val="auto"/>
          <w:kern w:val="0"/>
          <w:sz w:val="32"/>
          <w:szCs w:val="32"/>
          <w:lang w:val="zh-CN"/>
        </w:rPr>
        <w:t>授权委托书（适用于非联合体投标）</w:t>
      </w:r>
    </w:p>
    <w:p>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pStyle w:val="153"/>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pPr>
        <w:pStyle w:val="153"/>
        <w:spacing w:line="360" w:lineRule="auto"/>
        <w:rPr>
          <w:rFonts w:hAnsi="宋体" w:cs="宋体"/>
          <w:bCs/>
          <w:color w:val="auto"/>
          <w:sz w:val="24"/>
        </w:rPr>
      </w:pPr>
      <w:r>
        <w:rPr>
          <w:rFonts w:hint="eastAsia" w:ascii="宋体" w:hAnsi="宋体" w:eastAsia="宋体" w:cs="宋体"/>
          <w:color w:val="auto"/>
          <w:kern w:val="0"/>
          <w:sz w:val="24"/>
          <w:highlight w:val="none"/>
          <w:lang w:val="zh-CN"/>
        </w:rPr>
        <w:t>代理人</w:t>
      </w: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auto"/>
                <w:sz w:val="24"/>
              </w:rPr>
            </w:pPr>
            <w:r>
              <w:rPr>
                <w:rFonts w:hint="eastAsia" w:hAnsi="宋体" w:cs="宋体"/>
                <w:bCs/>
                <w:color w:val="auto"/>
                <w:sz w:val="24"/>
              </w:rPr>
              <w:t>正面：</w:t>
            </w:r>
            <w:r>
              <w:rPr>
                <w:rFonts w:hint="eastAsia" w:hAnsi="宋体" w:cs="宋体"/>
                <w:bCs/>
                <w:color w:val="auto"/>
                <w:sz w:val="24"/>
                <w:lang w:val="en-US" w:eastAsia="zh-CN"/>
              </w:rPr>
              <w:t xml:space="preserve">                               </w:t>
            </w:r>
            <w:r>
              <w:rPr>
                <w:rFonts w:hint="eastAsia" w:hAnsi="宋体" w:cs="宋体"/>
                <w:bCs/>
                <w:color w:val="auto"/>
                <w:sz w:val="24"/>
              </w:rPr>
              <w:t>反面：</w:t>
            </w:r>
          </w:p>
          <w:p>
            <w:pPr>
              <w:pStyle w:val="153"/>
              <w:adjustRightInd w:val="0"/>
              <w:spacing w:line="360" w:lineRule="auto"/>
              <w:rPr>
                <w:rFonts w:hAnsi="宋体" w:cs="宋体"/>
                <w:bCs/>
                <w:color w:val="auto"/>
                <w:sz w:val="24"/>
              </w:rPr>
            </w:pPr>
          </w:p>
        </w:tc>
      </w:tr>
    </w:tbl>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pPr>
        <w:pStyle w:val="3"/>
        <w:rPr>
          <w:rFonts w:hint="eastAsia"/>
          <w:color w:val="auto"/>
          <w:lang w:val="zh-CN"/>
        </w:rPr>
      </w:pPr>
    </w:p>
    <w:p>
      <w:pPr>
        <w:snapToGrid w:val="0"/>
        <w:spacing w:line="360" w:lineRule="auto"/>
        <w:jc w:val="lef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hint="eastAsia" w:ascii="宋体" w:hAnsi="宋体" w:cs="宋体"/>
          <w:b/>
          <w:color w:val="auto"/>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pPr>
        <w:pStyle w:val="153"/>
        <w:spacing w:line="360" w:lineRule="auto"/>
        <w:rPr>
          <w:rFonts w:hint="eastAsia" w:ascii="宋体" w:hAnsi="宋体" w:eastAsia="宋体" w:cs="宋体"/>
          <w:color w:val="auto"/>
          <w:kern w:val="0"/>
          <w:sz w:val="24"/>
          <w:highlight w:val="none"/>
          <w:lang w:val="zh-CN"/>
        </w:rPr>
      </w:pPr>
    </w:p>
    <w:p>
      <w:pPr>
        <w:pStyle w:val="153"/>
        <w:spacing w:line="360" w:lineRule="auto"/>
        <w:rPr>
          <w:rFonts w:hAnsi="宋体" w:cs="宋体"/>
          <w:bCs/>
          <w:color w:val="auto"/>
          <w:sz w:val="24"/>
        </w:rPr>
      </w:pPr>
      <w:r>
        <w:rPr>
          <w:rFonts w:hint="eastAsia" w:ascii="宋体" w:hAnsi="宋体" w:eastAsia="宋体" w:cs="宋体"/>
          <w:color w:val="auto"/>
          <w:kern w:val="0"/>
          <w:sz w:val="24"/>
          <w:highlight w:val="none"/>
          <w:lang w:val="zh-CN"/>
        </w:rPr>
        <w:t>代理人</w:t>
      </w: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auto"/>
                <w:sz w:val="24"/>
              </w:rPr>
            </w:pPr>
            <w:r>
              <w:rPr>
                <w:rFonts w:hint="eastAsia" w:hAnsi="宋体" w:cs="宋体"/>
                <w:bCs/>
                <w:color w:val="auto"/>
                <w:sz w:val="24"/>
              </w:rPr>
              <w:t>正面：</w:t>
            </w:r>
            <w:r>
              <w:rPr>
                <w:rFonts w:hint="eastAsia" w:hAnsi="宋体" w:cs="宋体"/>
                <w:bCs/>
                <w:color w:val="auto"/>
                <w:sz w:val="24"/>
                <w:lang w:val="en-US" w:eastAsia="zh-CN"/>
              </w:rPr>
              <w:t xml:space="preserve">                               </w:t>
            </w:r>
            <w:r>
              <w:rPr>
                <w:rFonts w:hint="eastAsia" w:hAnsi="宋体" w:cs="宋体"/>
                <w:bCs/>
                <w:color w:val="auto"/>
                <w:sz w:val="24"/>
              </w:rPr>
              <w:t>反面：</w:t>
            </w:r>
          </w:p>
          <w:p>
            <w:pPr>
              <w:pStyle w:val="153"/>
              <w:adjustRightInd w:val="0"/>
              <w:spacing w:line="360" w:lineRule="auto"/>
              <w:rPr>
                <w:rFonts w:hAnsi="宋体" w:cs="宋体"/>
                <w:bCs/>
                <w:color w:val="auto"/>
                <w:sz w:val="24"/>
              </w:rPr>
            </w:pPr>
          </w:p>
        </w:tc>
      </w:tr>
    </w:tbl>
    <w:p>
      <w:pPr>
        <w:jc w:val="center"/>
        <w:rPr>
          <w:rFonts w:ascii="宋体" w:hAnsi="宋体" w:cs="宋体"/>
          <w:b/>
          <w:color w:val="auto"/>
          <w:kern w:val="0"/>
          <w:sz w:val="32"/>
          <w:szCs w:val="32"/>
        </w:rPr>
      </w:pPr>
    </w:p>
    <w:p>
      <w:pPr>
        <w:rPr>
          <w:rFonts w:ascii="宋体" w:hAnsi="宋体" w:cs="宋体"/>
          <w:color w:val="auto"/>
        </w:rPr>
      </w:pPr>
    </w:p>
    <w:p>
      <w:pPr>
        <w:pStyle w:val="3"/>
        <w:rPr>
          <w:color w:val="auto"/>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hint="eastAsia" w:ascii="宋体" w:hAnsi="宋体" w:cs="宋体"/>
          <w:b/>
          <w:color w:val="auto"/>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autoSpaceDE w:val="0"/>
        <w:autoSpaceDN w:val="0"/>
        <w:spacing w:line="360" w:lineRule="auto"/>
        <w:ind w:left="0" w:leftChars="0" w:firstLine="0" w:firstLineChars="0"/>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3"/>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3"/>
              <w:adjustRightInd w:val="0"/>
              <w:spacing w:line="360" w:lineRule="auto"/>
              <w:rPr>
                <w:rFonts w:hAnsi="宋体" w:cs="宋体"/>
                <w:bCs/>
                <w:color w:val="auto"/>
                <w:sz w:val="24"/>
              </w:rPr>
            </w:pPr>
            <w:r>
              <w:rPr>
                <w:rFonts w:hint="eastAsia" w:hAnsi="宋体" w:cs="宋体"/>
                <w:bCs/>
                <w:color w:val="auto"/>
                <w:sz w:val="24"/>
              </w:rPr>
              <w:t>正面：                                 反面：</w:t>
            </w:r>
          </w:p>
          <w:p>
            <w:pPr>
              <w:pStyle w:val="153"/>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6"/>
        <w:bidi w:val="0"/>
        <w:rPr>
          <w:color w:val="auto"/>
        </w:rPr>
      </w:pPr>
      <w:bookmarkStart w:id="599" w:name="_Toc12686"/>
      <w:bookmarkStart w:id="600" w:name="_Toc26755"/>
      <w:r>
        <w:rPr>
          <w:rFonts w:hint="eastAsia"/>
          <w:color w:val="auto"/>
          <w:lang w:val="en-US" w:eastAsia="zh-CN"/>
        </w:rPr>
        <w:t>三</w:t>
      </w:r>
      <w:r>
        <w:rPr>
          <w:rFonts w:hint="eastAsia"/>
          <w:color w:val="auto"/>
        </w:rPr>
        <w:t>、联合协议（如有）</w:t>
      </w:r>
      <w:bookmarkEnd w:id="599"/>
      <w:bookmarkEnd w:id="600"/>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pStyle w:val="5"/>
        <w:bidi w:val="0"/>
        <w:rPr>
          <w:rFonts w:hint="eastAsia"/>
          <w:color w:val="auto"/>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601" w:name="_Toc15871"/>
      <w:bookmarkStart w:id="602" w:name="_Toc11086"/>
      <w:r>
        <w:rPr>
          <w:rFonts w:hint="eastAsia"/>
          <w:color w:val="auto"/>
          <w:lang w:val="en-US" w:eastAsia="zh-CN"/>
        </w:rPr>
        <w:t>四</w:t>
      </w:r>
      <w:r>
        <w:rPr>
          <w:rFonts w:hint="eastAsia"/>
          <w:color w:val="auto"/>
        </w:rPr>
        <w:t>、分包意向协议（如有）</w:t>
      </w:r>
      <w:bookmarkEnd w:id="601"/>
      <w:bookmarkEnd w:id="602"/>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pStyle w:val="5"/>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603" w:name="_Toc29359"/>
      <w:bookmarkStart w:id="604" w:name="_Toc20008"/>
      <w:r>
        <w:rPr>
          <w:rFonts w:hint="eastAsia"/>
          <w:color w:val="auto"/>
          <w:lang w:val="en-US" w:eastAsia="zh-CN"/>
        </w:rPr>
        <w:t>五</w:t>
      </w:r>
      <w:r>
        <w:rPr>
          <w:rFonts w:hint="eastAsia"/>
          <w:color w:val="auto"/>
        </w:rPr>
        <w:t>、评标标准相应的商务技术资料</w:t>
      </w:r>
      <w:bookmarkEnd w:id="603"/>
      <w:bookmarkEnd w:id="604"/>
    </w:p>
    <w:p>
      <w:pPr>
        <w:snapToGrid w:val="0"/>
        <w:spacing w:line="360" w:lineRule="auto"/>
        <w:jc w:val="center"/>
        <w:rPr>
          <w:rFonts w:ascii="宋体" w:hAnsi="宋体" w:cs="宋体"/>
          <w:b/>
          <w:color w:val="auto"/>
          <w:sz w:val="24"/>
        </w:rPr>
      </w:pPr>
      <w:r>
        <w:rPr>
          <w:rFonts w:hint="eastAsia" w:ascii="宋体" w:hAnsi="宋体" w:cs="宋体"/>
          <w:b/>
          <w:color w:val="auto"/>
          <w:sz w:val="24"/>
        </w:rPr>
        <w:t>（按招标文件第四部分评标办法</w:t>
      </w:r>
      <w:r>
        <w:rPr>
          <w:rFonts w:hint="eastAsia" w:ascii="宋体" w:hAnsi="宋体" w:cs="宋体"/>
          <w:b/>
          <w:color w:val="auto"/>
          <w:sz w:val="24"/>
          <w:lang w:eastAsia="zh-CN"/>
        </w:rPr>
        <w:t>中评标标准</w:t>
      </w:r>
      <w:r>
        <w:rPr>
          <w:rFonts w:hint="eastAsia" w:ascii="宋体" w:hAnsi="宋体" w:cs="宋体"/>
          <w:b/>
          <w:color w:val="auto"/>
          <w:sz w:val="24"/>
        </w:rPr>
        <w:t>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5"/>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605" w:name="_Toc20443"/>
      <w:bookmarkStart w:id="606" w:name="_Toc6731"/>
      <w:r>
        <w:rPr>
          <w:rFonts w:hint="eastAsia"/>
          <w:color w:val="auto"/>
          <w:lang w:val="en-US" w:eastAsia="zh-CN"/>
        </w:rPr>
        <w:t>六</w:t>
      </w:r>
      <w:r>
        <w:rPr>
          <w:rFonts w:hint="eastAsia"/>
          <w:color w:val="auto"/>
        </w:rPr>
        <w:t>、投标标的清单</w:t>
      </w:r>
      <w:bookmarkEnd w:id="605"/>
      <w:bookmarkEnd w:id="606"/>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r>
              <w:rPr>
                <w:rFonts w:hint="eastAsia"/>
                <w:b/>
                <w:bCs/>
                <w:color w:va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r>
              <w:rPr>
                <w:rFonts w:hint="eastAsia"/>
                <w:b/>
                <w:bCs/>
                <w:color w:val="auto"/>
              </w:rPr>
              <w:t>名称</w:t>
            </w:r>
          </w:p>
        </w:tc>
        <w:tc>
          <w:tcPr>
            <w:tcW w:w="1114" w:type="dxa"/>
            <w:tcBorders>
              <w:top w:val="single" w:color="auto" w:sz="4" w:space="0"/>
              <w:left w:val="single" w:color="auto" w:sz="4" w:space="0"/>
              <w:bottom w:val="single" w:color="auto" w:sz="4" w:space="0"/>
              <w:right w:val="single" w:color="auto" w:sz="4" w:space="0"/>
            </w:tcBorders>
          </w:tcPr>
          <w:p>
            <w:pPr>
              <w:pStyle w:val="144"/>
              <w:bidi w:val="0"/>
              <w:rPr>
                <w:b/>
                <w:bCs/>
                <w:color w:val="auto"/>
              </w:rPr>
            </w:pPr>
          </w:p>
          <w:p>
            <w:pPr>
              <w:pStyle w:val="144"/>
              <w:bidi w:val="0"/>
              <w:rPr>
                <w:b/>
                <w:bCs/>
                <w:color w:val="auto"/>
              </w:rPr>
            </w:pPr>
            <w:r>
              <w:rPr>
                <w:rFonts w:hint="eastAsia"/>
                <w:b/>
                <w:bCs/>
                <w:color w:va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r>
              <w:rPr>
                <w:rFonts w:hint="eastAsia"/>
                <w:b/>
                <w:bCs/>
                <w:color w:val="auto"/>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r>
              <w:rPr>
                <w:rFonts w:hint="eastAsia"/>
                <w:b/>
                <w:bCs/>
                <w:color w:val="auto"/>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r>
              <w:rPr>
                <w:rFonts w:hint="eastAsia"/>
                <w:b/>
                <w:bCs/>
                <w:color w:val="auto"/>
              </w:rPr>
              <w:t>1</w:t>
            </w:r>
          </w:p>
        </w:tc>
        <w:tc>
          <w:tcPr>
            <w:tcW w:w="1369"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r>
              <w:rPr>
                <w:rFonts w:hint="eastAsia"/>
                <w:b/>
                <w:bCs/>
                <w:color w:val="auto"/>
              </w:rPr>
              <w:t>2</w:t>
            </w:r>
          </w:p>
        </w:tc>
        <w:tc>
          <w:tcPr>
            <w:tcW w:w="1369"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r>
              <w:rPr>
                <w:rFonts w:hint="eastAsia"/>
                <w:b/>
                <w:bCs/>
                <w:color w:val="auto"/>
              </w:rPr>
              <w:t>……</w:t>
            </w:r>
          </w:p>
        </w:tc>
        <w:tc>
          <w:tcPr>
            <w:tcW w:w="1369"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4"/>
              <w:bidi w:val="0"/>
              <w:rPr>
                <w:b/>
                <w:bCs/>
                <w:color w:val="auto"/>
              </w:rPr>
            </w:pPr>
          </w:p>
        </w:tc>
      </w:tr>
    </w:tbl>
    <w:p>
      <w:pPr>
        <w:bidi w:val="0"/>
        <w:rPr>
          <w:rFonts w:hint="eastAsia"/>
          <w:color w:val="auto"/>
        </w:rPr>
      </w:pP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bidi w:val="0"/>
        <w:rPr>
          <w:rFonts w:hint="eastAsia"/>
          <w:color w:val="auto"/>
          <w:lang w:val="zh-CN"/>
        </w:rPr>
      </w:pPr>
    </w:p>
    <w:p>
      <w:pPr>
        <w:rPr>
          <w:rFonts w:hint="eastAsia" w:ascii="宋体" w:hAnsi="宋体" w:cs="宋体"/>
          <w:color w:val="auto"/>
          <w:kern w:val="0"/>
          <w:sz w:val="24"/>
          <w:lang w:val="zh-CN"/>
        </w:rPr>
      </w:pPr>
    </w:p>
    <w:p>
      <w:pPr>
        <w:jc w:val="left"/>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sz w:val="24"/>
        </w:rPr>
        <w:t>注：按本格式和要求提供。</w:t>
      </w:r>
    </w:p>
    <w:p>
      <w:pPr>
        <w:pStyle w:val="6"/>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607" w:name="_Toc10001"/>
      <w:bookmarkStart w:id="608" w:name="_Toc18478"/>
      <w:bookmarkStart w:id="609" w:name="_Toc5985"/>
      <w:r>
        <w:rPr>
          <w:rFonts w:hint="eastAsia"/>
          <w:color w:val="auto"/>
          <w:lang w:val="en-US" w:eastAsia="zh-CN"/>
        </w:rPr>
        <w:t>七、</w:t>
      </w:r>
      <w:r>
        <w:rPr>
          <w:rFonts w:hint="eastAsia"/>
          <w:color w:val="auto"/>
        </w:rPr>
        <w:t>商务</w:t>
      </w:r>
      <w:r>
        <w:rPr>
          <w:rFonts w:hint="eastAsia"/>
          <w:color w:val="auto"/>
          <w:lang w:val="en-US" w:eastAsia="zh-CN"/>
        </w:rPr>
        <w:t>偏离</w:t>
      </w:r>
      <w:r>
        <w:rPr>
          <w:rFonts w:hint="eastAsia"/>
          <w:color w:val="auto"/>
        </w:rPr>
        <w:t>表</w:t>
      </w:r>
      <w:bookmarkEnd w:id="607"/>
      <w:bookmarkEnd w:id="608"/>
      <w:bookmarkEnd w:id="60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pStyle w:val="144"/>
              <w:widowControl w:val="0"/>
              <w:bidi w:val="0"/>
              <w:rPr>
                <w:b/>
                <w:bCs/>
                <w:color w:val="auto"/>
              </w:rPr>
            </w:pPr>
            <w:r>
              <w:rPr>
                <w:rFonts w:hint="eastAsia"/>
                <w:b/>
                <w:bCs/>
                <w:color w:val="auto"/>
              </w:rPr>
              <w:t>序号</w:t>
            </w:r>
          </w:p>
        </w:tc>
        <w:tc>
          <w:tcPr>
            <w:tcW w:w="3683" w:type="dxa"/>
            <w:noWrap w:val="0"/>
            <w:vAlign w:val="top"/>
          </w:tcPr>
          <w:p>
            <w:pPr>
              <w:pStyle w:val="144"/>
              <w:widowControl w:val="0"/>
              <w:bidi w:val="0"/>
              <w:rPr>
                <w:b/>
                <w:bCs/>
                <w:color w:val="auto"/>
              </w:rPr>
            </w:pPr>
            <w:r>
              <w:rPr>
                <w:rFonts w:hint="eastAsia"/>
                <w:b/>
                <w:bCs/>
                <w:color w:val="auto"/>
                <w:lang w:val="en-US" w:eastAsia="zh-CN"/>
              </w:rPr>
              <w:t>招标</w:t>
            </w:r>
            <w:r>
              <w:rPr>
                <w:rFonts w:hint="eastAsia"/>
                <w:b/>
                <w:bCs/>
                <w:color w:val="auto"/>
              </w:rPr>
              <w:t>文件要求</w:t>
            </w:r>
          </w:p>
        </w:tc>
        <w:tc>
          <w:tcPr>
            <w:tcW w:w="3546" w:type="dxa"/>
            <w:noWrap w:val="0"/>
            <w:vAlign w:val="top"/>
          </w:tcPr>
          <w:p>
            <w:pPr>
              <w:pStyle w:val="144"/>
              <w:widowControl w:val="0"/>
              <w:bidi w:val="0"/>
              <w:rPr>
                <w:b/>
                <w:bCs/>
                <w:color w:val="auto"/>
              </w:rPr>
            </w:pPr>
            <w:r>
              <w:rPr>
                <w:rFonts w:hint="eastAsia"/>
                <w:b/>
                <w:bCs/>
                <w:color w:val="auto"/>
                <w:lang w:val="en-US" w:eastAsia="zh-CN"/>
              </w:rPr>
              <w:t>投标</w:t>
            </w:r>
            <w:r>
              <w:rPr>
                <w:rFonts w:hint="eastAsia"/>
                <w:b/>
                <w:bCs/>
                <w:color w:val="auto"/>
              </w:rPr>
              <w:t>文件响应</w:t>
            </w:r>
          </w:p>
        </w:tc>
        <w:tc>
          <w:tcPr>
            <w:tcW w:w="1276" w:type="dxa"/>
            <w:noWrap w:val="0"/>
            <w:vAlign w:val="top"/>
          </w:tcPr>
          <w:p>
            <w:pPr>
              <w:pStyle w:val="144"/>
              <w:widowControl w:val="0"/>
              <w:bidi w:val="0"/>
              <w:rPr>
                <w:b/>
                <w:bCs/>
                <w:color w:val="auto"/>
              </w:rPr>
            </w:pPr>
            <w:r>
              <w:rPr>
                <w:rFonts w:hint="eastAsia"/>
                <w:b/>
                <w:bCs/>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4"/>
              <w:widowControl w:val="0"/>
              <w:bidi w:val="0"/>
              <w:rPr>
                <w:b/>
                <w:bCs/>
                <w:color w:val="auto"/>
              </w:rPr>
            </w:pPr>
            <w:r>
              <w:rPr>
                <w:rFonts w:hint="eastAsia"/>
                <w:b/>
                <w:bCs/>
                <w:color w:val="auto"/>
              </w:rPr>
              <w:t>1</w:t>
            </w:r>
          </w:p>
        </w:tc>
        <w:tc>
          <w:tcPr>
            <w:tcW w:w="3683" w:type="dxa"/>
            <w:noWrap w:val="0"/>
            <w:vAlign w:val="top"/>
          </w:tcPr>
          <w:p>
            <w:pPr>
              <w:pStyle w:val="144"/>
              <w:widowControl w:val="0"/>
              <w:bidi w:val="0"/>
              <w:rPr>
                <w:b/>
                <w:bCs/>
                <w:color w:val="auto"/>
              </w:rPr>
            </w:pPr>
          </w:p>
        </w:tc>
        <w:tc>
          <w:tcPr>
            <w:tcW w:w="3546" w:type="dxa"/>
            <w:noWrap w:val="0"/>
            <w:vAlign w:val="top"/>
          </w:tcPr>
          <w:p>
            <w:pPr>
              <w:pStyle w:val="144"/>
              <w:widowControl w:val="0"/>
              <w:bidi w:val="0"/>
              <w:rPr>
                <w:b/>
                <w:bCs/>
                <w:color w:val="auto"/>
              </w:rPr>
            </w:pPr>
          </w:p>
        </w:tc>
        <w:tc>
          <w:tcPr>
            <w:tcW w:w="1276" w:type="dxa"/>
            <w:noWrap w:val="0"/>
            <w:vAlign w:val="top"/>
          </w:tcPr>
          <w:p>
            <w:pPr>
              <w:pStyle w:val="144"/>
              <w:widowControl w:val="0"/>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4"/>
              <w:widowControl w:val="0"/>
              <w:bidi w:val="0"/>
              <w:rPr>
                <w:b/>
                <w:bCs/>
                <w:color w:val="auto"/>
              </w:rPr>
            </w:pPr>
            <w:r>
              <w:rPr>
                <w:rFonts w:hint="eastAsia"/>
                <w:b/>
                <w:bCs/>
                <w:color w:val="auto"/>
              </w:rPr>
              <w:t>2</w:t>
            </w:r>
          </w:p>
        </w:tc>
        <w:tc>
          <w:tcPr>
            <w:tcW w:w="3683" w:type="dxa"/>
            <w:noWrap w:val="0"/>
            <w:vAlign w:val="top"/>
          </w:tcPr>
          <w:p>
            <w:pPr>
              <w:pStyle w:val="144"/>
              <w:widowControl w:val="0"/>
              <w:bidi w:val="0"/>
              <w:rPr>
                <w:b/>
                <w:bCs/>
                <w:color w:val="auto"/>
              </w:rPr>
            </w:pPr>
          </w:p>
        </w:tc>
        <w:tc>
          <w:tcPr>
            <w:tcW w:w="3546" w:type="dxa"/>
            <w:noWrap w:val="0"/>
            <w:vAlign w:val="top"/>
          </w:tcPr>
          <w:p>
            <w:pPr>
              <w:pStyle w:val="144"/>
              <w:widowControl w:val="0"/>
              <w:bidi w:val="0"/>
              <w:rPr>
                <w:b/>
                <w:bCs/>
                <w:color w:val="auto"/>
              </w:rPr>
            </w:pPr>
          </w:p>
        </w:tc>
        <w:tc>
          <w:tcPr>
            <w:tcW w:w="1276" w:type="dxa"/>
            <w:noWrap w:val="0"/>
            <w:vAlign w:val="top"/>
          </w:tcPr>
          <w:p>
            <w:pPr>
              <w:pStyle w:val="144"/>
              <w:widowControl w:val="0"/>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4"/>
              <w:widowControl w:val="0"/>
              <w:bidi w:val="0"/>
              <w:rPr>
                <w:b/>
                <w:bCs/>
                <w:color w:val="auto"/>
              </w:rPr>
            </w:pPr>
            <w:r>
              <w:rPr>
                <w:rFonts w:hint="eastAsia"/>
                <w:b/>
                <w:bCs/>
                <w:color w:val="auto"/>
              </w:rPr>
              <w:t>……</w:t>
            </w:r>
          </w:p>
        </w:tc>
        <w:tc>
          <w:tcPr>
            <w:tcW w:w="3683" w:type="dxa"/>
            <w:noWrap w:val="0"/>
            <w:vAlign w:val="top"/>
          </w:tcPr>
          <w:p>
            <w:pPr>
              <w:pStyle w:val="144"/>
              <w:widowControl w:val="0"/>
              <w:bidi w:val="0"/>
              <w:rPr>
                <w:b/>
                <w:bCs/>
                <w:color w:val="auto"/>
              </w:rPr>
            </w:pPr>
          </w:p>
        </w:tc>
        <w:tc>
          <w:tcPr>
            <w:tcW w:w="3546" w:type="dxa"/>
            <w:noWrap w:val="0"/>
            <w:vAlign w:val="top"/>
          </w:tcPr>
          <w:p>
            <w:pPr>
              <w:pStyle w:val="144"/>
              <w:widowControl w:val="0"/>
              <w:bidi w:val="0"/>
              <w:rPr>
                <w:b/>
                <w:bCs/>
                <w:color w:val="auto"/>
              </w:rPr>
            </w:pPr>
          </w:p>
        </w:tc>
        <w:tc>
          <w:tcPr>
            <w:tcW w:w="1276" w:type="dxa"/>
            <w:noWrap w:val="0"/>
            <w:vAlign w:val="top"/>
          </w:tcPr>
          <w:p>
            <w:pPr>
              <w:pStyle w:val="144"/>
              <w:widowControl w:val="0"/>
              <w:bidi w:val="0"/>
              <w:rPr>
                <w:b/>
                <w:bCs/>
                <w:color w:val="auto"/>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1.投标人</w:t>
      </w:r>
      <w:r>
        <w:rPr>
          <w:rFonts w:hint="eastAsia" w:ascii="宋体" w:hAnsi="宋体" w:cs="宋体"/>
          <w:color w:val="auto"/>
          <w:sz w:val="24"/>
        </w:rPr>
        <w:t>保证：除商务偏离表列出的偏离外，</w:t>
      </w:r>
      <w:r>
        <w:rPr>
          <w:rFonts w:hint="eastAsia" w:ascii="宋体" w:hAnsi="宋体" w:cs="宋体"/>
          <w:color w:val="auto"/>
          <w:sz w:val="24"/>
          <w:lang w:val="en-US" w:eastAsia="zh-CN"/>
        </w:rPr>
        <w:t>投标人响应招标文件</w:t>
      </w:r>
      <w:r>
        <w:rPr>
          <w:rFonts w:hint="eastAsia" w:ascii="宋体" w:hAnsi="宋体" w:cs="宋体"/>
          <w:color w:val="auto"/>
          <w:sz w:val="24"/>
        </w:rPr>
        <w:t>的全部要求</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针对第</w:t>
      </w:r>
      <w:r>
        <w:rPr>
          <w:rFonts w:hint="eastAsia" w:ascii="宋体" w:hAnsi="宋体" w:cs="宋体"/>
          <w:color w:val="auto"/>
          <w:sz w:val="24"/>
          <w:lang w:val="en-US" w:eastAsia="zh-CN"/>
        </w:rPr>
        <w:t>三部分</w:t>
      </w:r>
      <w:r>
        <w:rPr>
          <w:rFonts w:hint="eastAsia" w:ascii="宋体" w:hAnsi="宋体" w:cs="宋体"/>
          <w:color w:val="auto"/>
          <w:sz w:val="24"/>
          <w:lang w:eastAsia="zh-CN"/>
        </w:rPr>
        <w:t>采购需求中的</w:t>
      </w:r>
      <w:r>
        <w:rPr>
          <w:rFonts w:hint="eastAsia" w:ascii="宋体" w:hAnsi="宋体" w:cs="宋体"/>
          <w:color w:val="auto"/>
          <w:sz w:val="24"/>
          <w:lang w:val="en-US" w:eastAsia="zh-CN"/>
        </w:rPr>
        <w:t>全部商务要求</w:t>
      </w:r>
      <w:r>
        <w:rPr>
          <w:rFonts w:hint="eastAsia" w:ascii="宋体" w:hAnsi="宋体" w:cs="宋体"/>
          <w:color w:val="auto"/>
          <w:sz w:val="24"/>
          <w:lang w:eastAsia="zh-CN"/>
        </w:rPr>
        <w:t>进行</w:t>
      </w:r>
      <w:r>
        <w:rPr>
          <w:rFonts w:hint="eastAsia" w:ascii="宋体" w:hAnsi="宋体" w:cs="宋体"/>
          <w:color w:val="auto"/>
          <w:sz w:val="24"/>
        </w:rPr>
        <w:t>响应</w:t>
      </w:r>
      <w:r>
        <w:rPr>
          <w:rFonts w:hint="eastAsia" w:ascii="宋体" w:hAnsi="宋体" w:cs="宋体"/>
          <w:color w:val="auto"/>
          <w:sz w:val="24"/>
          <w:lang w:eastAsia="zh-CN"/>
        </w:rPr>
        <w:t>填写，如与</w:t>
      </w:r>
      <w:r>
        <w:rPr>
          <w:rFonts w:hint="eastAsia" w:ascii="宋体" w:hAnsi="宋体" w:cs="宋体"/>
          <w:color w:val="auto"/>
          <w:sz w:val="24"/>
          <w:lang w:val="en-US" w:eastAsia="zh-CN"/>
        </w:rPr>
        <w:t>招标文件要求存在不同之处，要求必须在偏离表中列出，否则视为完全响应</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3.偏离情况是指对招标文件要求存在不同之处的解释说明。偏离系指：正偏离（高于采购需求）、负偏离（低于采购需求）；</w:t>
      </w:r>
    </w:p>
    <w:p>
      <w:pPr>
        <w:jc w:val="center"/>
        <w:rPr>
          <w:rFonts w:ascii="宋体" w:hAnsi="宋体" w:cs="宋体"/>
          <w:b/>
          <w:color w:val="auto"/>
          <w:kern w:val="0"/>
          <w:sz w:val="32"/>
          <w:szCs w:val="32"/>
        </w:rPr>
      </w:pPr>
    </w:p>
    <w:p>
      <w:pPr>
        <w:bidi w:val="0"/>
        <w:rPr>
          <w:rFonts w:hint="eastAsia"/>
          <w:color w:val="auto"/>
        </w:rPr>
      </w:pP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rPr>
          <w:rFonts w:hint="eastAsia" w:eastAsia="宋体"/>
          <w:color w:val="auto"/>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日</w:t>
      </w:r>
    </w:p>
    <w:p>
      <w:pPr>
        <w:pStyle w:val="6"/>
        <w:bidi w:val="0"/>
        <w:rPr>
          <w:color w:val="auto"/>
        </w:rPr>
      </w:pPr>
      <w:bookmarkStart w:id="610" w:name="_Toc29279"/>
      <w:bookmarkStart w:id="611" w:name="_Toc13710"/>
      <w:r>
        <w:rPr>
          <w:rFonts w:hint="eastAsia"/>
          <w:color w:val="auto"/>
          <w:lang w:val="en-US" w:eastAsia="zh-CN"/>
        </w:rPr>
        <w:t>八、技术偏离</w:t>
      </w:r>
      <w:r>
        <w:rPr>
          <w:rFonts w:hint="eastAsia"/>
          <w:color w:val="auto"/>
        </w:rPr>
        <w:t>表</w:t>
      </w:r>
      <w:bookmarkEnd w:id="610"/>
      <w:bookmarkEnd w:id="61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4"/>
              <w:widowControl w:val="0"/>
              <w:bidi w:val="0"/>
              <w:rPr>
                <w:b/>
                <w:bCs/>
                <w:color w:val="auto"/>
              </w:rPr>
            </w:pPr>
            <w:r>
              <w:rPr>
                <w:rFonts w:hint="eastAsia"/>
                <w:b/>
                <w:bCs/>
                <w:color w:val="auto"/>
              </w:rPr>
              <w:t>序号</w:t>
            </w:r>
          </w:p>
        </w:tc>
        <w:tc>
          <w:tcPr>
            <w:tcW w:w="3683" w:type="dxa"/>
            <w:noWrap w:val="0"/>
            <w:vAlign w:val="top"/>
          </w:tcPr>
          <w:p>
            <w:pPr>
              <w:pStyle w:val="144"/>
              <w:widowControl w:val="0"/>
              <w:bidi w:val="0"/>
              <w:rPr>
                <w:b/>
                <w:bCs/>
                <w:color w:val="auto"/>
              </w:rPr>
            </w:pPr>
            <w:r>
              <w:rPr>
                <w:rFonts w:hint="eastAsia"/>
                <w:b/>
                <w:bCs/>
                <w:color w:val="auto"/>
                <w:lang w:val="en-US" w:eastAsia="zh-CN"/>
              </w:rPr>
              <w:t>招标</w:t>
            </w:r>
            <w:r>
              <w:rPr>
                <w:rFonts w:hint="eastAsia"/>
                <w:b/>
                <w:bCs/>
                <w:color w:val="auto"/>
              </w:rPr>
              <w:t>文件要求</w:t>
            </w:r>
          </w:p>
        </w:tc>
        <w:tc>
          <w:tcPr>
            <w:tcW w:w="3546" w:type="dxa"/>
            <w:noWrap w:val="0"/>
            <w:vAlign w:val="top"/>
          </w:tcPr>
          <w:p>
            <w:pPr>
              <w:pStyle w:val="144"/>
              <w:widowControl w:val="0"/>
              <w:bidi w:val="0"/>
              <w:rPr>
                <w:b/>
                <w:bCs/>
                <w:color w:val="auto"/>
              </w:rPr>
            </w:pPr>
            <w:r>
              <w:rPr>
                <w:rFonts w:hint="eastAsia"/>
                <w:b/>
                <w:bCs/>
                <w:color w:val="auto"/>
                <w:lang w:val="en-US" w:eastAsia="zh-CN"/>
              </w:rPr>
              <w:t>投标</w:t>
            </w:r>
            <w:r>
              <w:rPr>
                <w:rFonts w:hint="eastAsia"/>
                <w:b/>
                <w:bCs/>
                <w:color w:val="auto"/>
              </w:rPr>
              <w:t>文件响应</w:t>
            </w:r>
          </w:p>
        </w:tc>
        <w:tc>
          <w:tcPr>
            <w:tcW w:w="1276" w:type="dxa"/>
            <w:noWrap w:val="0"/>
            <w:vAlign w:val="top"/>
          </w:tcPr>
          <w:p>
            <w:pPr>
              <w:pStyle w:val="144"/>
              <w:widowControl w:val="0"/>
              <w:bidi w:val="0"/>
              <w:rPr>
                <w:b/>
                <w:bCs/>
                <w:color w:val="auto"/>
              </w:rPr>
            </w:pPr>
            <w:r>
              <w:rPr>
                <w:rFonts w:hint="eastAsia"/>
                <w:b/>
                <w:bCs/>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4"/>
              <w:widowControl w:val="0"/>
              <w:bidi w:val="0"/>
              <w:rPr>
                <w:b/>
                <w:bCs/>
                <w:color w:val="auto"/>
              </w:rPr>
            </w:pPr>
            <w:r>
              <w:rPr>
                <w:rFonts w:hint="eastAsia"/>
                <w:b/>
                <w:bCs/>
                <w:color w:val="auto"/>
              </w:rPr>
              <w:t>1</w:t>
            </w:r>
          </w:p>
        </w:tc>
        <w:tc>
          <w:tcPr>
            <w:tcW w:w="3683" w:type="dxa"/>
            <w:noWrap w:val="0"/>
            <w:vAlign w:val="top"/>
          </w:tcPr>
          <w:p>
            <w:pPr>
              <w:pStyle w:val="144"/>
              <w:widowControl w:val="0"/>
              <w:bidi w:val="0"/>
              <w:rPr>
                <w:b/>
                <w:bCs/>
                <w:color w:val="auto"/>
              </w:rPr>
            </w:pPr>
          </w:p>
        </w:tc>
        <w:tc>
          <w:tcPr>
            <w:tcW w:w="3546" w:type="dxa"/>
            <w:noWrap w:val="0"/>
            <w:vAlign w:val="top"/>
          </w:tcPr>
          <w:p>
            <w:pPr>
              <w:pStyle w:val="144"/>
              <w:widowControl w:val="0"/>
              <w:bidi w:val="0"/>
              <w:rPr>
                <w:b/>
                <w:bCs/>
                <w:color w:val="auto"/>
              </w:rPr>
            </w:pPr>
          </w:p>
        </w:tc>
        <w:tc>
          <w:tcPr>
            <w:tcW w:w="1276" w:type="dxa"/>
            <w:noWrap w:val="0"/>
            <w:vAlign w:val="top"/>
          </w:tcPr>
          <w:p>
            <w:pPr>
              <w:pStyle w:val="144"/>
              <w:widowControl w:val="0"/>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4"/>
              <w:widowControl w:val="0"/>
              <w:bidi w:val="0"/>
              <w:rPr>
                <w:b/>
                <w:bCs/>
                <w:color w:val="auto"/>
              </w:rPr>
            </w:pPr>
            <w:r>
              <w:rPr>
                <w:rFonts w:hint="eastAsia"/>
                <w:b/>
                <w:bCs/>
                <w:color w:val="auto"/>
              </w:rPr>
              <w:t>2</w:t>
            </w:r>
          </w:p>
        </w:tc>
        <w:tc>
          <w:tcPr>
            <w:tcW w:w="3683" w:type="dxa"/>
            <w:noWrap w:val="0"/>
            <w:vAlign w:val="top"/>
          </w:tcPr>
          <w:p>
            <w:pPr>
              <w:pStyle w:val="144"/>
              <w:widowControl w:val="0"/>
              <w:bidi w:val="0"/>
              <w:rPr>
                <w:b/>
                <w:bCs/>
                <w:color w:val="auto"/>
              </w:rPr>
            </w:pPr>
          </w:p>
        </w:tc>
        <w:tc>
          <w:tcPr>
            <w:tcW w:w="3546" w:type="dxa"/>
            <w:noWrap w:val="0"/>
            <w:vAlign w:val="top"/>
          </w:tcPr>
          <w:p>
            <w:pPr>
              <w:pStyle w:val="144"/>
              <w:widowControl w:val="0"/>
              <w:bidi w:val="0"/>
              <w:rPr>
                <w:b/>
                <w:bCs/>
                <w:color w:val="auto"/>
              </w:rPr>
            </w:pPr>
          </w:p>
        </w:tc>
        <w:tc>
          <w:tcPr>
            <w:tcW w:w="1276" w:type="dxa"/>
            <w:noWrap w:val="0"/>
            <w:vAlign w:val="top"/>
          </w:tcPr>
          <w:p>
            <w:pPr>
              <w:pStyle w:val="144"/>
              <w:widowControl w:val="0"/>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4"/>
              <w:widowControl w:val="0"/>
              <w:bidi w:val="0"/>
              <w:rPr>
                <w:b/>
                <w:bCs/>
                <w:color w:val="auto"/>
              </w:rPr>
            </w:pPr>
            <w:r>
              <w:rPr>
                <w:rFonts w:hint="eastAsia"/>
                <w:b/>
                <w:bCs/>
                <w:color w:val="auto"/>
              </w:rPr>
              <w:t>……</w:t>
            </w:r>
          </w:p>
        </w:tc>
        <w:tc>
          <w:tcPr>
            <w:tcW w:w="3683" w:type="dxa"/>
            <w:noWrap w:val="0"/>
            <w:vAlign w:val="top"/>
          </w:tcPr>
          <w:p>
            <w:pPr>
              <w:pStyle w:val="144"/>
              <w:widowControl w:val="0"/>
              <w:bidi w:val="0"/>
              <w:rPr>
                <w:b/>
                <w:bCs/>
                <w:color w:val="auto"/>
              </w:rPr>
            </w:pPr>
          </w:p>
        </w:tc>
        <w:tc>
          <w:tcPr>
            <w:tcW w:w="3546" w:type="dxa"/>
            <w:noWrap w:val="0"/>
            <w:vAlign w:val="top"/>
          </w:tcPr>
          <w:p>
            <w:pPr>
              <w:pStyle w:val="144"/>
              <w:widowControl w:val="0"/>
              <w:bidi w:val="0"/>
              <w:rPr>
                <w:b/>
                <w:bCs/>
                <w:color w:val="auto"/>
              </w:rPr>
            </w:pPr>
          </w:p>
        </w:tc>
        <w:tc>
          <w:tcPr>
            <w:tcW w:w="1276" w:type="dxa"/>
            <w:noWrap w:val="0"/>
            <w:vAlign w:val="top"/>
          </w:tcPr>
          <w:p>
            <w:pPr>
              <w:pStyle w:val="144"/>
              <w:widowControl w:val="0"/>
              <w:bidi w:val="0"/>
              <w:rPr>
                <w:b/>
                <w:bCs/>
                <w:color w:val="auto"/>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1.投标人</w:t>
      </w:r>
      <w:r>
        <w:rPr>
          <w:rFonts w:hint="eastAsia" w:ascii="宋体" w:hAnsi="宋体" w:cs="宋体"/>
          <w:color w:val="auto"/>
          <w:sz w:val="24"/>
        </w:rPr>
        <w:t>保证：除</w:t>
      </w:r>
      <w:r>
        <w:rPr>
          <w:rFonts w:hint="eastAsia" w:ascii="宋体" w:hAnsi="宋体" w:cs="宋体"/>
          <w:color w:val="auto"/>
          <w:sz w:val="24"/>
          <w:lang w:val="en-US" w:eastAsia="zh-CN"/>
        </w:rPr>
        <w:t>技术</w:t>
      </w:r>
      <w:r>
        <w:rPr>
          <w:rFonts w:hint="eastAsia" w:ascii="宋体" w:hAnsi="宋体" w:cs="宋体"/>
          <w:color w:val="auto"/>
          <w:sz w:val="24"/>
        </w:rPr>
        <w:t>偏离表列出的偏离外，</w:t>
      </w:r>
      <w:r>
        <w:rPr>
          <w:rFonts w:hint="eastAsia" w:ascii="宋体" w:hAnsi="宋体" w:cs="宋体"/>
          <w:color w:val="auto"/>
          <w:sz w:val="24"/>
          <w:lang w:val="en-US" w:eastAsia="zh-CN"/>
        </w:rPr>
        <w:t>投标人响应招标文件</w:t>
      </w:r>
      <w:r>
        <w:rPr>
          <w:rFonts w:hint="eastAsia" w:ascii="宋体" w:hAnsi="宋体" w:cs="宋体"/>
          <w:color w:val="auto"/>
          <w:sz w:val="24"/>
        </w:rPr>
        <w:t>的全部要求</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针对第</w:t>
      </w:r>
      <w:r>
        <w:rPr>
          <w:rFonts w:hint="eastAsia" w:ascii="宋体" w:hAnsi="宋体" w:cs="宋体"/>
          <w:color w:val="auto"/>
          <w:sz w:val="24"/>
          <w:lang w:val="en-US" w:eastAsia="zh-CN"/>
        </w:rPr>
        <w:t>三部分</w:t>
      </w:r>
      <w:r>
        <w:rPr>
          <w:rFonts w:hint="eastAsia" w:ascii="宋体" w:hAnsi="宋体" w:cs="宋体"/>
          <w:color w:val="auto"/>
          <w:sz w:val="24"/>
          <w:lang w:eastAsia="zh-CN"/>
        </w:rPr>
        <w:t>采购需求（</w:t>
      </w:r>
      <w:r>
        <w:rPr>
          <w:rFonts w:hint="eastAsia" w:ascii="宋体" w:hAnsi="宋体" w:cs="宋体"/>
          <w:color w:val="auto"/>
          <w:sz w:val="24"/>
          <w:lang w:val="en-US" w:eastAsia="zh-CN"/>
        </w:rPr>
        <w:t>商务要求除外</w:t>
      </w:r>
      <w:r>
        <w:rPr>
          <w:rFonts w:hint="eastAsia" w:ascii="宋体" w:hAnsi="宋体" w:cs="宋体"/>
          <w:color w:val="auto"/>
          <w:sz w:val="24"/>
          <w:lang w:eastAsia="zh-CN"/>
        </w:rPr>
        <w:t>）的</w:t>
      </w:r>
      <w:r>
        <w:rPr>
          <w:rFonts w:hint="eastAsia" w:ascii="宋体" w:hAnsi="宋体" w:cs="宋体"/>
          <w:color w:val="auto"/>
          <w:sz w:val="24"/>
          <w:lang w:val="en-US" w:eastAsia="zh-CN"/>
        </w:rPr>
        <w:t>全部要求</w:t>
      </w:r>
      <w:r>
        <w:rPr>
          <w:rFonts w:hint="eastAsia" w:ascii="宋体" w:hAnsi="宋体" w:cs="宋体"/>
          <w:color w:val="auto"/>
          <w:sz w:val="24"/>
          <w:lang w:eastAsia="zh-CN"/>
        </w:rPr>
        <w:t>进行</w:t>
      </w:r>
      <w:r>
        <w:rPr>
          <w:rFonts w:hint="eastAsia" w:ascii="宋体" w:hAnsi="宋体" w:cs="宋体"/>
          <w:color w:val="auto"/>
          <w:sz w:val="24"/>
        </w:rPr>
        <w:t>响应</w:t>
      </w:r>
      <w:r>
        <w:rPr>
          <w:rFonts w:hint="eastAsia" w:ascii="宋体" w:hAnsi="宋体" w:cs="宋体"/>
          <w:color w:val="auto"/>
          <w:sz w:val="24"/>
          <w:lang w:eastAsia="zh-CN"/>
        </w:rPr>
        <w:t>填写，如与</w:t>
      </w:r>
      <w:r>
        <w:rPr>
          <w:rFonts w:hint="eastAsia" w:ascii="宋体" w:hAnsi="宋体" w:cs="宋体"/>
          <w:color w:val="auto"/>
          <w:sz w:val="24"/>
          <w:lang w:val="en-US" w:eastAsia="zh-CN"/>
        </w:rPr>
        <w:t>招标文件要求存在不同之处，要求必须在偏离表中列出，否则视为完全响应</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3.偏离情况是指对招标文件要求存在不同之处的解释说明。偏离系指：正偏离（高于采购需求）、负偏离（低于采购需求）；</w:t>
      </w:r>
    </w:p>
    <w:p>
      <w:pPr>
        <w:jc w:val="center"/>
        <w:rPr>
          <w:rFonts w:ascii="宋体" w:hAnsi="宋体" w:cs="宋体"/>
          <w:b/>
          <w:color w:val="auto"/>
          <w:kern w:val="0"/>
          <w:sz w:val="32"/>
          <w:szCs w:val="32"/>
        </w:rPr>
      </w:pPr>
    </w:p>
    <w:p>
      <w:pPr>
        <w:bidi w:val="0"/>
        <w:rPr>
          <w:rFonts w:hint="eastAsia"/>
          <w:color w:val="auto"/>
        </w:rPr>
      </w:pP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bidi w:val="0"/>
        <w:rPr>
          <w:rFonts w:hint="eastAsia"/>
          <w:color w:val="auto"/>
          <w:lang w:val="zh-CN"/>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hint="eastAsia" w:ascii="宋体" w:hAnsi="宋体" w:cs="宋体"/>
          <w:b/>
          <w:bCs/>
          <w:color w:val="auto"/>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rFonts w:ascii="宋体" w:hAnsi="宋体" w:cs="宋体"/>
          <w:b/>
          <w:color w:val="auto"/>
          <w:kern w:val="0"/>
          <w:sz w:val="32"/>
          <w:szCs w:val="32"/>
        </w:rPr>
      </w:pPr>
      <w:bookmarkStart w:id="612" w:name="_Toc1831"/>
      <w:bookmarkStart w:id="613" w:name="_Toc22522"/>
      <w:r>
        <w:rPr>
          <w:rFonts w:hint="eastAsia" w:ascii="宋体" w:hAnsi="宋体" w:cs="宋体"/>
          <w:b/>
          <w:bCs/>
          <w:color w:val="auto"/>
          <w:sz w:val="32"/>
          <w:szCs w:val="32"/>
          <w:lang w:val="en-US" w:eastAsia="zh-CN"/>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bookmarkEnd w:id="612"/>
      <w:bookmarkEnd w:id="613"/>
    </w:p>
    <w:p>
      <w:pPr>
        <w:snapToGrid w:val="0"/>
        <w:spacing w:line="360" w:lineRule="auto"/>
        <w:rPr>
          <w:rFonts w:ascii="宋体" w:hAnsi="宋体" w:cs="宋体"/>
          <w:color w:val="auto"/>
          <w:sz w:val="24"/>
        </w:rPr>
      </w:pPr>
    </w:p>
    <w:p>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w:t>
      </w:r>
      <w:r>
        <w:rPr>
          <w:rFonts w:hint="eastAsia" w:ascii="宋体" w:hAnsi="宋体" w:cs="仿宋_GB2312"/>
          <w:color w:val="auto"/>
          <w:kern w:val="0"/>
          <w:sz w:val="24"/>
          <w:lang w:val="zh-CN"/>
        </w:rPr>
        <w:t>同级</w:t>
      </w:r>
      <w:r>
        <w:rPr>
          <w:rFonts w:hint="eastAsia" w:ascii="宋体" w:hAnsi="宋体" w:cs="宋体"/>
          <w:color w:val="auto"/>
          <w:kern w:val="0"/>
          <w:sz w:val="24"/>
          <w:lang w:val="zh-CN"/>
        </w:rPr>
        <w:t>财政部门。由此引起的相应损失均由我单位承担。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firstLine="4560" w:firstLineChars="19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rFonts w:hint="eastAsia"/>
          <w:color w:val="auto"/>
          <w:lang w:val="en-US" w:eastAsia="zh-CN"/>
        </w:rPr>
      </w:pPr>
      <w:bookmarkStart w:id="614" w:name="_Toc24979"/>
      <w:bookmarkStart w:id="615" w:name="_Toc2224"/>
      <w:r>
        <w:rPr>
          <w:rFonts w:hint="eastAsia"/>
          <w:color w:val="auto"/>
          <w:lang w:val="en-US" w:eastAsia="zh-CN"/>
        </w:rPr>
        <w:t>十、代理服务费支付承诺书</w:t>
      </w:r>
      <w:bookmarkEnd w:id="614"/>
      <w:bookmarkEnd w:id="615"/>
    </w:p>
    <w:p>
      <w:pPr>
        <w:snapToGrid w:val="0"/>
        <w:spacing w:before="50" w:after="50" w:line="360" w:lineRule="auto"/>
        <w:rPr>
          <w:rFonts w:ascii="Times New Roman" w:hAnsi="Times New Roman"/>
          <w:color w:val="auto"/>
          <w:spacing w:val="20"/>
          <w:sz w:val="24"/>
          <w:u w:val="single"/>
        </w:rPr>
      </w:pPr>
    </w:p>
    <w:p>
      <w:pPr>
        <w:snapToGrid w:val="0"/>
        <w:spacing w:before="50" w:after="50" w:line="360" w:lineRule="auto"/>
        <w:ind w:left="0" w:leftChars="0" w:firstLine="0" w:firstLineChars="0"/>
        <w:rPr>
          <w:rFonts w:ascii="Times New Roman" w:hAnsi="Times New Roman"/>
          <w:color w:val="auto"/>
          <w:spacing w:val="20"/>
          <w:sz w:val="24"/>
        </w:rPr>
      </w:pPr>
      <w:r>
        <w:rPr>
          <w:rFonts w:ascii="Times New Roman" w:hAnsi="宋体"/>
          <w:color w:val="auto"/>
          <w:sz w:val="24"/>
        </w:rPr>
        <w:t>致</w:t>
      </w:r>
      <w:r>
        <w:rPr>
          <w:rFonts w:hint="eastAsia" w:ascii="Times New Roman" w:hAnsi="宋体"/>
          <w:color w:val="auto"/>
          <w:sz w:val="24"/>
          <w:lang w:val="en-US" w:eastAsia="zh-CN"/>
        </w:rPr>
        <w:t>浙江信镧建设工程咨询有限公司</w:t>
      </w:r>
      <w:r>
        <w:rPr>
          <w:rFonts w:ascii="Times New Roman" w:hAnsi="宋体"/>
          <w:color w:val="auto"/>
          <w:sz w:val="24"/>
        </w:rPr>
        <w:t>：</w:t>
      </w:r>
    </w:p>
    <w:p>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color w:val="auto"/>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pPr>
              <w:snapToGrid w:val="0"/>
              <w:spacing w:before="50" w:after="50" w:line="360" w:lineRule="auto"/>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请在括号里打勾选择：增值税普票（   ）  增值税专票（  ）</w:t>
            </w:r>
          </w:p>
          <w:p>
            <w:pPr>
              <w:snapToGrid w:val="0"/>
              <w:spacing w:before="50" w:after="50" w:line="360" w:lineRule="auto"/>
              <w:ind w:left="0" w:leftChars="0" w:firstLine="0" w:firstLineChars="0"/>
              <w:rPr>
                <w:rFonts w:hint="eastAsia" w:ascii="Times New Roman" w:hAnsi="宋体" w:eastAsia="宋体"/>
                <w:color w:val="auto"/>
                <w:sz w:val="24"/>
                <w:vertAlign w:val="baseline"/>
                <w:lang w:val="en-US" w:eastAsia="zh-CN"/>
              </w:rPr>
            </w:pPr>
            <w:r>
              <w:rPr>
                <w:rFonts w:hint="eastAsia" w:ascii="Times New Roman" w:hAnsi="宋体"/>
                <w:color w:val="auto"/>
                <w:sz w:val="24"/>
                <w:lang w:val="en-US" w:eastAsia="zh-CN"/>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pPr>
              <w:snapToGrid w:val="0"/>
              <w:spacing w:before="50" w:after="50" w:line="360" w:lineRule="auto"/>
              <w:jc w:val="center"/>
              <w:rPr>
                <w:rFonts w:hint="eastAsia" w:ascii="Times New Roman" w:hAnsi="宋体"/>
                <w:color w:val="auto"/>
                <w:sz w:val="24"/>
                <w:vertAlign w:val="baseline"/>
                <w:lang w:val="en-US" w:eastAsia="zh-CN"/>
              </w:rPr>
            </w:pPr>
            <w:r>
              <w:rPr>
                <w:rFonts w:hint="eastAsia" w:ascii="Times New Roman" w:hAnsi="宋体"/>
                <w:color w:val="auto"/>
                <w:sz w:val="24"/>
                <w:vertAlign w:val="baseline"/>
                <w:lang w:val="en-US" w:eastAsia="zh-CN"/>
              </w:rPr>
              <w:t>发票是否需邮寄（仅限</w:t>
            </w:r>
            <w:r>
              <w:rPr>
                <w:rFonts w:hint="eastAsia" w:ascii="Times New Roman" w:hAnsi="宋体"/>
                <w:color w:val="auto"/>
                <w:sz w:val="24"/>
                <w:lang w:val="en-US" w:eastAsia="zh-CN"/>
              </w:rPr>
              <w:t>增值税专票</w:t>
            </w:r>
            <w:r>
              <w:rPr>
                <w:rFonts w:hint="eastAsia" w:ascii="Times New Roman" w:hAnsi="宋体"/>
                <w:color w:val="auto"/>
                <w:sz w:val="24"/>
                <w:vertAlign w:val="baseline"/>
                <w:lang w:val="en-US" w:eastAsia="zh-CN"/>
              </w:rPr>
              <w:t>）</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color w:val="auto"/>
                <w:sz w:val="24"/>
                <w:vertAlign w:val="baseline"/>
                <w:lang w:val="en-US" w:eastAsia="zh-CN"/>
              </w:rPr>
            </w:pPr>
            <w:r>
              <w:rPr>
                <w:rFonts w:hint="eastAsia" w:ascii="Times New Roman" w:hAnsi="宋体"/>
                <w:color w:val="auto"/>
                <w:sz w:val="24"/>
                <w:lang w:val="en-US" w:eastAsia="zh-CN"/>
              </w:rPr>
              <w:t>请在括号里打勾选择：</w:t>
            </w:r>
            <w:r>
              <w:rPr>
                <w:rFonts w:hint="eastAsia" w:ascii="Times New Roman" w:hAnsi="宋体"/>
                <w:color w:val="auto"/>
                <w:sz w:val="24"/>
                <w:vertAlign w:val="baseline"/>
                <w:lang w:val="en-US" w:eastAsia="zh-CN"/>
              </w:rPr>
              <w:t xml:space="preserve"> 是（    ）     否（    ）</w:t>
            </w:r>
          </w:p>
          <w:p>
            <w:pPr>
              <w:snapToGrid w:val="0"/>
              <w:spacing w:before="50" w:after="50" w:line="360" w:lineRule="auto"/>
              <w:ind w:left="0" w:leftChars="0" w:firstLine="0" w:firstLineChars="0"/>
              <w:jc w:val="left"/>
              <w:rPr>
                <w:rFonts w:hint="eastAsia" w:ascii="Times New Roman" w:hAnsi="宋体"/>
                <w:color w:val="auto"/>
                <w:sz w:val="24"/>
                <w:vertAlign w:val="baseline"/>
                <w:lang w:val="en-US" w:eastAsia="zh-CN"/>
              </w:rPr>
            </w:pPr>
            <w:r>
              <w:rPr>
                <w:rFonts w:hint="eastAsia" w:ascii="Times New Roman" w:hAnsi="宋体"/>
                <w:color w:val="auto"/>
                <w:sz w:val="24"/>
                <w:lang w:val="en-US" w:eastAsia="zh-CN"/>
              </w:rPr>
              <w:t>备注：</w:t>
            </w:r>
            <w:r>
              <w:rPr>
                <w:rFonts w:hint="eastAsia" w:ascii="Times New Roman" w:hAnsi="宋体"/>
                <w:color w:val="auto"/>
                <w:sz w:val="24"/>
              </w:rPr>
              <w:t>需邮寄</w:t>
            </w:r>
            <w:r>
              <w:rPr>
                <w:rFonts w:hint="eastAsia" w:ascii="Times New Roman" w:hAnsi="宋体"/>
                <w:color w:val="auto"/>
                <w:sz w:val="24"/>
                <w:lang w:val="en-US" w:eastAsia="zh-CN"/>
              </w:rPr>
              <w:t>发票的</w:t>
            </w:r>
            <w:r>
              <w:rPr>
                <w:rFonts w:hint="eastAsia" w:ascii="Times New Roman" w:hAnsi="宋体"/>
                <w:color w:val="auto"/>
                <w:sz w:val="24"/>
              </w:rPr>
              <w:t>，邮费到付。</w:t>
            </w:r>
            <w:r>
              <w:rPr>
                <w:rFonts w:hint="eastAsia" w:ascii="Times New Roman" w:hAnsi="宋体"/>
                <w:color w:val="auto"/>
                <w:sz w:val="24"/>
                <w:lang w:eastAsia="zh-CN"/>
              </w:rPr>
              <w:t>（</w:t>
            </w:r>
            <w:r>
              <w:rPr>
                <w:rFonts w:hint="eastAsia" w:ascii="Times New Roman" w:hAnsi="宋体"/>
                <w:color w:val="auto"/>
                <w:sz w:val="24"/>
                <w:vertAlign w:val="baseline"/>
                <w:lang w:val="en-US" w:eastAsia="zh-CN"/>
              </w:rPr>
              <w:t>邮寄地址：</w:t>
            </w:r>
            <w:r>
              <w:rPr>
                <w:rFonts w:hint="eastAsia" w:ascii="Times New Roman" w:hAnsi="宋体"/>
                <w:color w:val="auto"/>
                <w:sz w:val="24"/>
                <w:u w:val="single"/>
                <w:vertAlign w:val="baseline"/>
                <w:lang w:val="en-US" w:eastAsia="zh-CN"/>
              </w:rPr>
              <w:t xml:space="preserve">      </w:t>
            </w:r>
            <w:r>
              <w:rPr>
                <w:rFonts w:hint="eastAsia" w:ascii="Times New Roman" w:hAnsi="宋体"/>
                <w:color w:val="auto"/>
                <w:sz w:val="24"/>
                <w:vertAlign w:val="baseline"/>
                <w:lang w:val="en-US" w:eastAsia="zh-CN"/>
              </w:rPr>
              <w:t xml:space="preserve"> ，联系人：</w:t>
            </w:r>
            <w:r>
              <w:rPr>
                <w:rFonts w:hint="eastAsia" w:ascii="Times New Roman" w:hAnsi="宋体"/>
                <w:color w:val="auto"/>
                <w:sz w:val="24"/>
                <w:u w:val="single"/>
                <w:vertAlign w:val="baseline"/>
                <w:lang w:val="en-US" w:eastAsia="zh-CN"/>
              </w:rPr>
              <w:t xml:space="preserve">      </w:t>
            </w:r>
            <w:r>
              <w:rPr>
                <w:rFonts w:hint="eastAsia" w:ascii="Times New Roman" w:hAnsi="宋体"/>
                <w:color w:val="auto"/>
                <w:sz w:val="24"/>
                <w:vertAlign w:val="baseline"/>
                <w:lang w:val="en-US" w:eastAsia="zh-CN"/>
              </w:rPr>
              <w:t>，联系号码：</w:t>
            </w:r>
            <w:r>
              <w:rPr>
                <w:rFonts w:hint="eastAsia" w:ascii="Times New Roman" w:hAnsi="宋体"/>
                <w:color w:val="auto"/>
                <w:sz w:val="24"/>
                <w:u w:val="single"/>
                <w:vertAlign w:val="baseline"/>
                <w:lang w:val="en-US" w:eastAsia="zh-CN"/>
              </w:rPr>
              <w:t xml:space="preserve">       </w:t>
            </w:r>
            <w:r>
              <w:rPr>
                <w:rFonts w:hint="eastAsia" w:ascii="Times New Roman" w:hAnsi="宋体"/>
                <w:color w:val="auto"/>
                <w:sz w:val="24"/>
                <w:vertAlign w:val="baseline"/>
                <w:lang w:val="en-US" w:eastAsia="zh-CN"/>
              </w:rPr>
              <w:t xml:space="preserve"> </w:t>
            </w:r>
            <w:r>
              <w:rPr>
                <w:rFonts w:hint="eastAsia" w:ascii="Times New Roman" w:hAnsi="宋体"/>
                <w:color w:val="auto"/>
                <w:sz w:val="24"/>
                <w:lang w:eastAsia="zh-CN"/>
              </w:rPr>
              <w:t>）</w:t>
            </w:r>
          </w:p>
        </w:tc>
      </w:tr>
    </w:tbl>
    <w:p>
      <w:pPr>
        <w:snapToGrid w:val="0"/>
        <w:spacing w:before="50" w:after="50" w:line="360" w:lineRule="auto"/>
        <w:ind w:firstLine="630"/>
        <w:rPr>
          <w:rFonts w:ascii="Times New Roman" w:hAnsi="Times New Roman"/>
          <w:color w:val="auto"/>
          <w:sz w:val="24"/>
        </w:rPr>
      </w:pPr>
    </w:p>
    <w:p>
      <w:pPr>
        <w:snapToGrid w:val="0"/>
        <w:spacing w:line="360" w:lineRule="auto"/>
        <w:jc w:val="center"/>
        <w:rPr>
          <w:rFonts w:ascii="Times New Roman" w:hAnsi="Times New Roman"/>
          <w:color w:val="auto"/>
          <w:sz w:val="24"/>
          <w:szCs w:val="20"/>
        </w:rPr>
      </w:pPr>
      <w:r>
        <w:rPr>
          <w:rFonts w:hint="eastAsia" w:ascii="Times New Roman" w:hAnsi="宋体"/>
          <w:color w:val="auto"/>
          <w:sz w:val="24"/>
          <w:lang w:val="en-US" w:eastAsia="zh-CN"/>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w:t>
      </w:r>
      <w:r>
        <w:rPr>
          <w:rFonts w:ascii="Times New Roman" w:hAnsi="Times New Roman"/>
          <w:color w:val="auto"/>
          <w:sz w:val="24"/>
          <w:u w:val="none"/>
        </w:rPr>
        <w:t xml:space="preserve">                  </w:t>
      </w:r>
    </w:p>
    <w:p>
      <w:pPr>
        <w:snapToGrid w:val="0"/>
        <w:spacing w:before="50" w:after="50" w:line="360" w:lineRule="auto"/>
        <w:jc w:val="center"/>
        <w:rPr>
          <w:rFonts w:ascii="Times New Roman" w:hAnsi="宋体"/>
          <w:color w:val="auto"/>
          <w:sz w:val="24"/>
        </w:rPr>
      </w:pPr>
      <w:r>
        <w:rPr>
          <w:rFonts w:hint="eastAsia" w:ascii="Times New Roman" w:hAnsi="宋体"/>
          <w:color w:val="auto"/>
          <w:sz w:val="24"/>
          <w:lang w:val="en-US" w:eastAsia="zh-CN"/>
        </w:rPr>
        <w:t xml:space="preserve">              </w:t>
      </w:r>
      <w:r>
        <w:rPr>
          <w:rFonts w:ascii="Times New Roman" w:hAnsi="宋体"/>
          <w:color w:val="auto"/>
          <w:sz w:val="24"/>
        </w:rPr>
        <w:t>承诺日期：</w:t>
      </w:r>
      <w:r>
        <w:rPr>
          <w:rFonts w:ascii="Times New Roman" w:hAnsi="Times New Roman"/>
          <w:color w:val="auto"/>
          <w:sz w:val="24"/>
        </w:rPr>
        <w:t>_____</w:t>
      </w:r>
      <w:r>
        <w:rPr>
          <w:rFonts w:ascii="Times New Roman" w:hAnsi="宋体"/>
          <w:color w:val="auto"/>
          <w:sz w:val="24"/>
        </w:rPr>
        <w:t>年</w:t>
      </w:r>
      <w:r>
        <w:rPr>
          <w:rFonts w:ascii="Times New Roman" w:hAnsi="Times New Roman"/>
          <w:color w:val="auto"/>
          <w:sz w:val="24"/>
        </w:rPr>
        <w:t>___</w:t>
      </w:r>
      <w:r>
        <w:rPr>
          <w:rFonts w:ascii="Times New Roman" w:hAnsi="宋体"/>
          <w:color w:val="auto"/>
          <w:sz w:val="24"/>
        </w:rPr>
        <w:t>月</w:t>
      </w:r>
      <w:r>
        <w:rPr>
          <w:rFonts w:ascii="Times New Roman" w:hAnsi="Times New Roman"/>
          <w:color w:val="auto"/>
          <w:sz w:val="24"/>
        </w:rPr>
        <w:t>___</w:t>
      </w:r>
      <w:r>
        <w:rPr>
          <w:rFonts w:ascii="Times New Roman" w:hAnsi="宋体"/>
          <w:color w:val="auto"/>
          <w:sz w:val="24"/>
        </w:rPr>
        <w:t>日</w:t>
      </w:r>
    </w:p>
    <w:p>
      <w:pPr>
        <w:snapToGrid w:val="0"/>
        <w:spacing w:before="50" w:after="50" w:line="360" w:lineRule="auto"/>
        <w:rPr>
          <w:rFonts w:hint="eastAsia" w:ascii="Times New Roman" w:hAnsi="宋体"/>
          <w:color w:val="auto"/>
          <w:sz w:val="24"/>
          <w:lang w:val="en-US" w:eastAsia="zh-CN"/>
        </w:rPr>
      </w:pPr>
    </w:p>
    <w:p>
      <w:pPr>
        <w:pStyle w:val="5"/>
        <w:bidi w:val="0"/>
        <w:rPr>
          <w:rFonts w:hint="eastAsia" w:eastAsia="宋体"/>
          <w:color w:val="auto"/>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616" w:name="_Toc8380"/>
      <w:bookmarkStart w:id="617" w:name="_Toc28938"/>
      <w:r>
        <w:rPr>
          <w:rFonts w:hint="eastAsia"/>
          <w:color w:val="auto"/>
        </w:rPr>
        <w:t>报价文件部分</w:t>
      </w:r>
      <w:bookmarkEnd w:id="616"/>
      <w:bookmarkEnd w:id="617"/>
    </w:p>
    <w:p>
      <w:pPr>
        <w:bidi w:val="0"/>
        <w:ind w:left="0" w:leftChars="0" w:firstLine="0" w:firstLineChars="0"/>
        <w:jc w:val="center"/>
        <w:rPr>
          <w:b/>
          <w:bCs/>
          <w:color w:val="auto"/>
          <w:sz w:val="36"/>
          <w:szCs w:val="36"/>
        </w:rPr>
      </w:pPr>
      <w:r>
        <w:rPr>
          <w:rFonts w:hint="eastAsia"/>
          <w:b/>
          <w:bCs/>
          <w:color w:val="auto"/>
          <w:sz w:val="36"/>
          <w:szCs w:val="36"/>
        </w:rPr>
        <w:t>目录</w:t>
      </w:r>
    </w:p>
    <w:p>
      <w:pPr>
        <w:bidi w:val="0"/>
        <w:rPr>
          <w:color w:val="auto"/>
        </w:rPr>
      </w:pP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618" w:name="_Toc16712"/>
      <w:bookmarkStart w:id="619" w:name="_Toc28115"/>
      <w:r>
        <w:rPr>
          <w:rFonts w:hint="eastAsia"/>
          <w:color w:val="auto"/>
        </w:rPr>
        <w:t>一、开标一览表（报价表）</w:t>
      </w:r>
      <w:bookmarkEnd w:id="618"/>
      <w:bookmarkEnd w:id="619"/>
    </w:p>
    <w:p>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pPr>
        <w:snapToGrid w:val="0"/>
        <w:spacing w:line="360" w:lineRule="auto"/>
        <w:ind w:left="480"/>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1141"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41"/>
        <w:gridCol w:w="1496"/>
        <w:gridCol w:w="1574"/>
        <w:gridCol w:w="993"/>
        <w:gridCol w:w="990"/>
        <w:gridCol w:w="111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pPr>
              <w:pStyle w:val="144"/>
              <w:bidi w:val="0"/>
              <w:rPr>
                <w:rFonts w:hint="eastAsia"/>
                <w:b/>
                <w:bCs/>
                <w:color w:val="auto"/>
              </w:rPr>
            </w:pPr>
            <w:r>
              <w:rPr>
                <w:rFonts w:hint="eastAsia"/>
                <w:b/>
                <w:bCs/>
                <w:color w:val="auto"/>
              </w:rPr>
              <w:t>序号</w:t>
            </w:r>
          </w:p>
        </w:tc>
        <w:tc>
          <w:tcPr>
            <w:tcW w:w="2441" w:type="dxa"/>
            <w:vAlign w:val="center"/>
          </w:tcPr>
          <w:p>
            <w:pPr>
              <w:pStyle w:val="144"/>
              <w:bidi w:val="0"/>
              <w:rPr>
                <w:rFonts w:hint="eastAsia"/>
                <w:b/>
                <w:bCs/>
                <w:color w:val="auto"/>
              </w:rPr>
            </w:pPr>
            <w:r>
              <w:rPr>
                <w:rFonts w:hint="eastAsia"/>
                <w:b/>
                <w:bCs/>
                <w:color w:val="auto"/>
              </w:rPr>
              <w:t>名称</w:t>
            </w:r>
          </w:p>
        </w:tc>
        <w:tc>
          <w:tcPr>
            <w:tcW w:w="1496" w:type="dxa"/>
            <w:vAlign w:val="center"/>
          </w:tcPr>
          <w:p>
            <w:pPr>
              <w:pStyle w:val="144"/>
              <w:bidi w:val="0"/>
              <w:rPr>
                <w:rFonts w:hint="eastAsia"/>
                <w:b/>
                <w:bCs/>
                <w:color w:val="auto"/>
              </w:rPr>
            </w:pPr>
            <w:r>
              <w:rPr>
                <w:rFonts w:hint="eastAsia"/>
                <w:b/>
                <w:bCs/>
                <w:color w:val="auto"/>
              </w:rPr>
              <w:t>品牌（如有）</w:t>
            </w:r>
          </w:p>
        </w:tc>
        <w:tc>
          <w:tcPr>
            <w:tcW w:w="1574" w:type="dxa"/>
            <w:vAlign w:val="center"/>
          </w:tcPr>
          <w:p>
            <w:pPr>
              <w:pStyle w:val="144"/>
              <w:bidi w:val="0"/>
              <w:rPr>
                <w:rFonts w:hint="eastAsia"/>
                <w:b/>
                <w:bCs/>
                <w:color w:val="auto"/>
              </w:rPr>
            </w:pPr>
            <w:r>
              <w:rPr>
                <w:rFonts w:hint="eastAsia"/>
                <w:b/>
                <w:bCs/>
                <w:color w:val="auto"/>
              </w:rPr>
              <w:t>规格型号</w:t>
            </w:r>
          </w:p>
        </w:tc>
        <w:tc>
          <w:tcPr>
            <w:tcW w:w="993" w:type="dxa"/>
            <w:vAlign w:val="center"/>
          </w:tcPr>
          <w:p>
            <w:pPr>
              <w:pStyle w:val="144"/>
              <w:bidi w:val="0"/>
              <w:rPr>
                <w:rFonts w:hint="eastAsia"/>
                <w:b/>
                <w:bCs/>
                <w:color w:val="auto"/>
              </w:rPr>
            </w:pPr>
            <w:r>
              <w:rPr>
                <w:rFonts w:hint="eastAsia"/>
                <w:b/>
                <w:bCs/>
                <w:color w:val="auto"/>
              </w:rPr>
              <w:t>数量</w:t>
            </w:r>
          </w:p>
        </w:tc>
        <w:tc>
          <w:tcPr>
            <w:tcW w:w="990" w:type="dxa"/>
            <w:vAlign w:val="center"/>
          </w:tcPr>
          <w:p>
            <w:pPr>
              <w:pStyle w:val="144"/>
              <w:bidi w:val="0"/>
              <w:rPr>
                <w:rFonts w:hint="eastAsia"/>
                <w:b/>
                <w:bCs/>
                <w:color w:val="auto"/>
              </w:rPr>
            </w:pPr>
            <w:r>
              <w:rPr>
                <w:rFonts w:hint="eastAsia"/>
                <w:b/>
                <w:bCs/>
                <w:color w:val="auto"/>
              </w:rPr>
              <w:t>单价</w:t>
            </w:r>
          </w:p>
        </w:tc>
        <w:tc>
          <w:tcPr>
            <w:tcW w:w="1115" w:type="dxa"/>
            <w:vAlign w:val="center"/>
          </w:tcPr>
          <w:p>
            <w:pPr>
              <w:pStyle w:val="144"/>
              <w:bidi w:val="0"/>
              <w:rPr>
                <w:rFonts w:hint="eastAsia"/>
                <w:b/>
                <w:bCs/>
                <w:color w:val="auto"/>
              </w:rPr>
            </w:pPr>
            <w:r>
              <w:rPr>
                <w:rFonts w:hint="eastAsia"/>
                <w:b/>
                <w:bCs/>
                <w:color w:val="auto"/>
              </w:rPr>
              <w:t>合计</w:t>
            </w:r>
          </w:p>
        </w:tc>
        <w:tc>
          <w:tcPr>
            <w:tcW w:w="1719" w:type="dxa"/>
            <w:vAlign w:val="center"/>
          </w:tcPr>
          <w:p>
            <w:pPr>
              <w:pStyle w:val="144"/>
              <w:bidi w:val="0"/>
              <w:rPr>
                <w:rFonts w:hint="eastAsia"/>
                <w:b/>
                <w:bCs/>
                <w:color w:val="auto"/>
              </w:rPr>
            </w:pPr>
            <w:r>
              <w:rPr>
                <w:rFonts w:hint="eastAsia"/>
                <w:b/>
                <w:bCs/>
                <w:color w:val="auto"/>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pPr>
              <w:pStyle w:val="144"/>
              <w:bidi w:val="0"/>
              <w:rPr>
                <w:b/>
                <w:bCs/>
                <w:color w:val="auto"/>
              </w:rPr>
            </w:pPr>
            <w:r>
              <w:rPr>
                <w:rFonts w:hint="eastAsia"/>
                <w:b/>
                <w:bCs/>
                <w:color w:val="auto"/>
              </w:rPr>
              <w:t>1</w:t>
            </w:r>
          </w:p>
        </w:tc>
        <w:tc>
          <w:tcPr>
            <w:tcW w:w="2441"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救援舟艇组合（冲锋舟）</w:t>
            </w:r>
          </w:p>
        </w:tc>
        <w:tc>
          <w:tcPr>
            <w:tcW w:w="1496" w:type="dxa"/>
            <w:vAlign w:val="center"/>
          </w:tcPr>
          <w:p>
            <w:pPr>
              <w:pStyle w:val="144"/>
              <w:bidi w:val="0"/>
              <w:rPr>
                <w:b/>
                <w:bCs/>
                <w:color w:val="auto"/>
              </w:rPr>
            </w:pPr>
          </w:p>
        </w:tc>
        <w:tc>
          <w:tcPr>
            <w:tcW w:w="1574" w:type="dxa"/>
            <w:vAlign w:val="center"/>
          </w:tcPr>
          <w:p>
            <w:pPr>
              <w:pStyle w:val="144"/>
              <w:bidi w:val="0"/>
              <w:rPr>
                <w:b/>
                <w:bCs/>
                <w:color w:val="auto"/>
              </w:rPr>
            </w:pPr>
          </w:p>
        </w:tc>
        <w:tc>
          <w:tcPr>
            <w:tcW w:w="993" w:type="dxa"/>
            <w:vAlign w:val="center"/>
          </w:tcPr>
          <w:p>
            <w:pPr>
              <w:pStyle w:val="144"/>
              <w:bidi w:val="0"/>
              <w:rPr>
                <w:b/>
                <w:bCs/>
                <w:color w:val="auto"/>
              </w:rPr>
            </w:pPr>
          </w:p>
        </w:tc>
        <w:tc>
          <w:tcPr>
            <w:tcW w:w="990" w:type="dxa"/>
            <w:vAlign w:val="center"/>
          </w:tcPr>
          <w:p>
            <w:pPr>
              <w:pStyle w:val="144"/>
              <w:bidi w:val="0"/>
              <w:rPr>
                <w:b/>
                <w:bCs/>
                <w:color w:val="auto"/>
              </w:rPr>
            </w:pPr>
          </w:p>
        </w:tc>
        <w:tc>
          <w:tcPr>
            <w:tcW w:w="1115" w:type="dxa"/>
            <w:vAlign w:val="center"/>
          </w:tcPr>
          <w:p>
            <w:pPr>
              <w:pStyle w:val="144"/>
              <w:bidi w:val="0"/>
              <w:rPr>
                <w:b/>
                <w:bCs/>
                <w:color w:val="auto"/>
              </w:rPr>
            </w:pPr>
          </w:p>
        </w:tc>
        <w:tc>
          <w:tcPr>
            <w:tcW w:w="1719" w:type="dxa"/>
            <w:vAlign w:val="center"/>
          </w:tcPr>
          <w:p>
            <w:pPr>
              <w:pStyle w:val="144"/>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pStyle w:val="144"/>
              <w:bidi w:val="0"/>
              <w:rPr>
                <w:b/>
                <w:bCs/>
                <w:color w:val="auto"/>
              </w:rPr>
            </w:pPr>
            <w:r>
              <w:rPr>
                <w:rFonts w:hint="eastAsia"/>
                <w:b/>
                <w:bCs/>
                <w:color w:val="auto"/>
              </w:rPr>
              <w:t>2</w:t>
            </w:r>
          </w:p>
        </w:tc>
        <w:tc>
          <w:tcPr>
            <w:tcW w:w="2441"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救援舟艇组合（橡皮舟）</w:t>
            </w:r>
          </w:p>
        </w:tc>
        <w:tc>
          <w:tcPr>
            <w:tcW w:w="1496" w:type="dxa"/>
            <w:vAlign w:val="center"/>
          </w:tcPr>
          <w:p>
            <w:pPr>
              <w:pStyle w:val="144"/>
              <w:bidi w:val="0"/>
              <w:rPr>
                <w:b/>
                <w:bCs/>
                <w:color w:val="auto"/>
              </w:rPr>
            </w:pPr>
          </w:p>
        </w:tc>
        <w:tc>
          <w:tcPr>
            <w:tcW w:w="1574" w:type="dxa"/>
            <w:vAlign w:val="center"/>
          </w:tcPr>
          <w:p>
            <w:pPr>
              <w:pStyle w:val="144"/>
              <w:bidi w:val="0"/>
              <w:rPr>
                <w:b/>
                <w:bCs/>
                <w:color w:val="auto"/>
              </w:rPr>
            </w:pPr>
          </w:p>
        </w:tc>
        <w:tc>
          <w:tcPr>
            <w:tcW w:w="993" w:type="dxa"/>
            <w:vAlign w:val="center"/>
          </w:tcPr>
          <w:p>
            <w:pPr>
              <w:pStyle w:val="144"/>
              <w:bidi w:val="0"/>
              <w:rPr>
                <w:b/>
                <w:bCs/>
                <w:color w:val="auto"/>
              </w:rPr>
            </w:pPr>
          </w:p>
        </w:tc>
        <w:tc>
          <w:tcPr>
            <w:tcW w:w="990" w:type="dxa"/>
            <w:vAlign w:val="center"/>
          </w:tcPr>
          <w:p>
            <w:pPr>
              <w:pStyle w:val="144"/>
              <w:bidi w:val="0"/>
              <w:rPr>
                <w:b/>
                <w:bCs/>
                <w:color w:val="auto"/>
              </w:rPr>
            </w:pPr>
          </w:p>
        </w:tc>
        <w:tc>
          <w:tcPr>
            <w:tcW w:w="1115" w:type="dxa"/>
            <w:vAlign w:val="center"/>
          </w:tcPr>
          <w:p>
            <w:pPr>
              <w:pStyle w:val="144"/>
              <w:bidi w:val="0"/>
              <w:rPr>
                <w:b/>
                <w:bCs/>
                <w:color w:val="auto"/>
              </w:rPr>
            </w:pPr>
          </w:p>
        </w:tc>
        <w:tc>
          <w:tcPr>
            <w:tcW w:w="1719" w:type="dxa"/>
            <w:vAlign w:val="center"/>
          </w:tcPr>
          <w:p>
            <w:pPr>
              <w:pStyle w:val="144"/>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pStyle w:val="144"/>
              <w:bidi w:val="0"/>
              <w:rPr>
                <w:b/>
                <w:bCs/>
                <w:color w:val="auto"/>
              </w:rPr>
            </w:pPr>
            <w:r>
              <w:rPr>
                <w:rFonts w:hint="eastAsia"/>
                <w:b/>
                <w:bCs/>
                <w:color w:val="auto"/>
                <w:lang w:val="en-US" w:eastAsia="zh-CN"/>
              </w:rPr>
              <w:t>3</w:t>
            </w:r>
          </w:p>
        </w:tc>
        <w:tc>
          <w:tcPr>
            <w:tcW w:w="2441"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救援浮桥</w:t>
            </w:r>
          </w:p>
        </w:tc>
        <w:tc>
          <w:tcPr>
            <w:tcW w:w="1496" w:type="dxa"/>
            <w:vAlign w:val="center"/>
          </w:tcPr>
          <w:p>
            <w:pPr>
              <w:pStyle w:val="144"/>
              <w:bidi w:val="0"/>
              <w:rPr>
                <w:b/>
                <w:bCs/>
                <w:color w:val="auto"/>
              </w:rPr>
            </w:pPr>
          </w:p>
        </w:tc>
        <w:tc>
          <w:tcPr>
            <w:tcW w:w="1574" w:type="dxa"/>
            <w:vAlign w:val="center"/>
          </w:tcPr>
          <w:p>
            <w:pPr>
              <w:pStyle w:val="144"/>
              <w:bidi w:val="0"/>
              <w:rPr>
                <w:b/>
                <w:bCs/>
                <w:color w:val="auto"/>
              </w:rPr>
            </w:pPr>
          </w:p>
        </w:tc>
        <w:tc>
          <w:tcPr>
            <w:tcW w:w="993" w:type="dxa"/>
            <w:vAlign w:val="center"/>
          </w:tcPr>
          <w:p>
            <w:pPr>
              <w:pStyle w:val="144"/>
              <w:bidi w:val="0"/>
              <w:rPr>
                <w:b/>
                <w:bCs/>
                <w:color w:val="auto"/>
              </w:rPr>
            </w:pPr>
          </w:p>
        </w:tc>
        <w:tc>
          <w:tcPr>
            <w:tcW w:w="990" w:type="dxa"/>
            <w:vAlign w:val="center"/>
          </w:tcPr>
          <w:p>
            <w:pPr>
              <w:pStyle w:val="144"/>
              <w:bidi w:val="0"/>
              <w:rPr>
                <w:b/>
                <w:bCs/>
                <w:color w:val="auto"/>
              </w:rPr>
            </w:pPr>
          </w:p>
        </w:tc>
        <w:tc>
          <w:tcPr>
            <w:tcW w:w="1115" w:type="dxa"/>
            <w:vAlign w:val="center"/>
          </w:tcPr>
          <w:p>
            <w:pPr>
              <w:pStyle w:val="144"/>
              <w:bidi w:val="0"/>
              <w:rPr>
                <w:b/>
                <w:bCs/>
                <w:color w:val="auto"/>
              </w:rPr>
            </w:pPr>
          </w:p>
        </w:tc>
        <w:tc>
          <w:tcPr>
            <w:tcW w:w="1719" w:type="dxa"/>
            <w:vAlign w:val="center"/>
          </w:tcPr>
          <w:p>
            <w:pPr>
              <w:pStyle w:val="144"/>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pStyle w:val="144"/>
              <w:bidi w:val="0"/>
              <w:rPr>
                <w:rFonts w:hint="eastAsia" w:eastAsia="宋体"/>
                <w:b/>
                <w:bCs/>
                <w:color w:val="auto"/>
                <w:lang w:val="en-US" w:eastAsia="zh-CN"/>
              </w:rPr>
            </w:pPr>
            <w:r>
              <w:rPr>
                <w:rFonts w:hint="eastAsia"/>
                <w:b/>
                <w:bCs/>
                <w:color w:val="auto"/>
                <w:lang w:val="en-US" w:eastAsia="zh-CN"/>
              </w:rPr>
              <w:t>4</w:t>
            </w:r>
          </w:p>
        </w:tc>
        <w:tc>
          <w:tcPr>
            <w:tcW w:w="2441"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弦外机</w:t>
            </w:r>
          </w:p>
        </w:tc>
        <w:tc>
          <w:tcPr>
            <w:tcW w:w="1496" w:type="dxa"/>
            <w:vAlign w:val="center"/>
          </w:tcPr>
          <w:p>
            <w:pPr>
              <w:pStyle w:val="144"/>
              <w:bidi w:val="0"/>
              <w:rPr>
                <w:b/>
                <w:bCs/>
                <w:color w:val="auto"/>
              </w:rPr>
            </w:pPr>
          </w:p>
        </w:tc>
        <w:tc>
          <w:tcPr>
            <w:tcW w:w="1574" w:type="dxa"/>
            <w:vAlign w:val="center"/>
          </w:tcPr>
          <w:p>
            <w:pPr>
              <w:pStyle w:val="144"/>
              <w:bidi w:val="0"/>
              <w:rPr>
                <w:b/>
                <w:bCs/>
                <w:color w:val="auto"/>
              </w:rPr>
            </w:pPr>
          </w:p>
        </w:tc>
        <w:tc>
          <w:tcPr>
            <w:tcW w:w="993" w:type="dxa"/>
            <w:vAlign w:val="center"/>
          </w:tcPr>
          <w:p>
            <w:pPr>
              <w:pStyle w:val="144"/>
              <w:bidi w:val="0"/>
              <w:rPr>
                <w:b/>
                <w:bCs/>
                <w:color w:val="auto"/>
              </w:rPr>
            </w:pPr>
          </w:p>
        </w:tc>
        <w:tc>
          <w:tcPr>
            <w:tcW w:w="990" w:type="dxa"/>
            <w:vAlign w:val="center"/>
          </w:tcPr>
          <w:p>
            <w:pPr>
              <w:pStyle w:val="144"/>
              <w:bidi w:val="0"/>
              <w:rPr>
                <w:b/>
                <w:bCs/>
                <w:color w:val="auto"/>
              </w:rPr>
            </w:pPr>
          </w:p>
        </w:tc>
        <w:tc>
          <w:tcPr>
            <w:tcW w:w="1115" w:type="dxa"/>
            <w:vAlign w:val="center"/>
          </w:tcPr>
          <w:p>
            <w:pPr>
              <w:pStyle w:val="144"/>
              <w:bidi w:val="0"/>
              <w:rPr>
                <w:b/>
                <w:bCs/>
                <w:color w:val="auto"/>
              </w:rPr>
            </w:pPr>
          </w:p>
        </w:tc>
        <w:tc>
          <w:tcPr>
            <w:tcW w:w="1719" w:type="dxa"/>
            <w:vAlign w:val="center"/>
          </w:tcPr>
          <w:p>
            <w:pPr>
              <w:pStyle w:val="144"/>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17" w:type="dxa"/>
            <w:gridSpan w:val="5"/>
            <w:vAlign w:val="center"/>
          </w:tcPr>
          <w:p>
            <w:pPr>
              <w:pStyle w:val="144"/>
              <w:bidi w:val="0"/>
              <w:rPr>
                <w:b/>
                <w:bCs/>
                <w:color w:val="auto"/>
              </w:rPr>
            </w:pPr>
            <w:r>
              <w:rPr>
                <w:rFonts w:hint="eastAsia"/>
                <w:b/>
                <w:bCs/>
                <w:color w:val="auto"/>
              </w:rPr>
              <w:t>投标报价（小写）</w:t>
            </w:r>
          </w:p>
        </w:tc>
        <w:tc>
          <w:tcPr>
            <w:tcW w:w="3824" w:type="dxa"/>
            <w:gridSpan w:val="3"/>
            <w:vAlign w:val="center"/>
          </w:tcPr>
          <w:p>
            <w:pPr>
              <w:pStyle w:val="144"/>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7" w:type="dxa"/>
            <w:gridSpan w:val="5"/>
            <w:vAlign w:val="center"/>
          </w:tcPr>
          <w:p>
            <w:pPr>
              <w:pStyle w:val="144"/>
              <w:bidi w:val="0"/>
              <w:rPr>
                <w:b/>
                <w:bCs/>
                <w:color w:val="auto"/>
              </w:rPr>
            </w:pPr>
            <w:r>
              <w:rPr>
                <w:rFonts w:hint="eastAsia"/>
                <w:b/>
                <w:bCs/>
                <w:color w:val="auto"/>
              </w:rPr>
              <w:t>投标报价（大写）</w:t>
            </w:r>
          </w:p>
        </w:tc>
        <w:tc>
          <w:tcPr>
            <w:tcW w:w="3824" w:type="dxa"/>
            <w:gridSpan w:val="3"/>
            <w:vAlign w:val="center"/>
          </w:tcPr>
          <w:p>
            <w:pPr>
              <w:pStyle w:val="144"/>
              <w:bidi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17" w:type="dxa"/>
            <w:gridSpan w:val="5"/>
            <w:vAlign w:val="center"/>
          </w:tcPr>
          <w:p>
            <w:pPr>
              <w:pStyle w:val="144"/>
              <w:bidi w:val="0"/>
              <w:rPr>
                <w:rFonts w:hint="eastAsia"/>
                <w:b/>
                <w:bCs/>
                <w:color w:val="auto"/>
                <w:lang w:val="en-US" w:eastAsia="zh-CN"/>
              </w:rPr>
            </w:pPr>
            <w:r>
              <w:rPr>
                <w:rFonts w:hint="eastAsia"/>
                <w:b/>
                <w:bCs/>
                <w:color w:val="auto"/>
                <w:lang w:val="en-US" w:eastAsia="zh-CN"/>
              </w:rPr>
              <w:t>交货期</w:t>
            </w:r>
          </w:p>
        </w:tc>
        <w:tc>
          <w:tcPr>
            <w:tcW w:w="3824" w:type="dxa"/>
            <w:gridSpan w:val="3"/>
            <w:vAlign w:val="center"/>
          </w:tcPr>
          <w:p>
            <w:pPr>
              <w:pStyle w:val="144"/>
              <w:bidi w:val="0"/>
              <w:rPr>
                <w:b/>
                <w:bCs/>
                <w:color w:val="auto"/>
              </w:rPr>
            </w:pPr>
          </w:p>
        </w:tc>
      </w:tr>
    </w:tbl>
    <w:p>
      <w:pPr>
        <w:spacing w:line="360" w:lineRule="auto"/>
        <w:ind w:left="0" w:leftChars="0" w:firstLine="0" w:firstLineChars="0"/>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04、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pPr>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firstLine="4080" w:firstLineChars="17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bookmarkStart w:id="620" w:name="_Toc1047"/>
      <w:bookmarkStart w:id="621" w:name="_Toc19337"/>
      <w:r>
        <w:rPr>
          <w:rFonts w:hint="eastAsia"/>
          <w:color w:val="auto"/>
        </w:rPr>
        <w:t>二、</w:t>
      </w:r>
      <w:r>
        <w:rPr>
          <w:rFonts w:hint="eastAsia"/>
          <w:color w:val="auto"/>
          <w:lang w:eastAsia="zh-CN"/>
        </w:rPr>
        <w:t>报价情况说明</w:t>
      </w:r>
      <w:r>
        <w:rPr>
          <w:rFonts w:hint="eastAsia"/>
          <w:color w:val="auto"/>
        </w:rPr>
        <w:t>（如果有）</w:t>
      </w:r>
    </w:p>
    <w:p>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pPr>
        <w:pStyle w:val="6"/>
        <w:bidi w:val="0"/>
        <w:jc w:val="both"/>
        <w:rPr>
          <w:rFonts w:hint="eastAsia"/>
          <w:color w:val="auto"/>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
        <w:bidi w:val="0"/>
        <w:rPr>
          <w:color w:val="auto"/>
        </w:rPr>
      </w:pPr>
      <w:r>
        <w:rPr>
          <w:rFonts w:hint="eastAsia"/>
          <w:color w:val="auto"/>
          <w:lang w:eastAsia="zh-CN"/>
        </w:rPr>
        <w:t>三</w:t>
      </w:r>
      <w:r>
        <w:rPr>
          <w:rFonts w:hint="eastAsia"/>
          <w:color w:val="auto"/>
        </w:rPr>
        <w:t>、中小企业声明函（如果有）</w:t>
      </w:r>
      <w:bookmarkEnd w:id="620"/>
      <w:bookmarkEnd w:id="621"/>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6"/>
        <w:bidi w:val="0"/>
        <w:rPr>
          <w:color w:val="auto"/>
        </w:rPr>
      </w:pPr>
      <w:bookmarkStart w:id="622" w:name="_Toc465665161"/>
      <w:bookmarkStart w:id="623" w:name="_Toc29378"/>
      <w:bookmarkStart w:id="624" w:name="_Toc30052"/>
      <w:r>
        <w:rPr>
          <w:rFonts w:hint="eastAsia"/>
          <w:color w:val="auto"/>
        </w:rPr>
        <w:t>附件</w:t>
      </w:r>
      <w:bookmarkEnd w:id="622"/>
      <w:bookmarkEnd w:id="623"/>
      <w:bookmarkEnd w:id="624"/>
    </w:p>
    <w:p>
      <w:pPr>
        <w:pStyle w:val="7"/>
        <w:bidi w:val="0"/>
        <w:rPr>
          <w:color w:val="auto"/>
        </w:rPr>
      </w:pPr>
      <w:r>
        <w:rPr>
          <w:rFonts w:hint="eastAsia"/>
          <w:color w:val="auto"/>
        </w:rPr>
        <w:t>附件1：残疾人福利性单位声明函</w:t>
      </w:r>
    </w:p>
    <w:p>
      <w:pPr>
        <w:spacing w:line="360" w:lineRule="auto"/>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bookmarkStart w:id="625" w:name="OLE_LINK13"/>
      <w:bookmarkStart w:id="626" w:name="OLE_LINK14"/>
      <w:r>
        <w:rPr>
          <w:rFonts w:hint="eastAsia" w:ascii="宋体" w:hAnsi="宋体" w:cs="宋体"/>
          <w:b/>
          <w:color w:val="auto"/>
          <w:spacing w:val="6"/>
          <w:sz w:val="32"/>
          <w:szCs w:val="32"/>
        </w:rPr>
        <w:t>残疾人福利性单位声明函</w:t>
      </w:r>
    </w:p>
    <w:bookmarkEnd w:id="625"/>
    <w:bookmarkEnd w:id="626"/>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rPr>
      </w:pPr>
    </w:p>
    <w:p>
      <w:pPr>
        <w:spacing w:line="360" w:lineRule="auto"/>
        <w:ind w:firstLine="480" w:firstLineChars="200"/>
        <w:rPr>
          <w:rFonts w:ascii="宋体" w:hAnsi="宋体" w:cs="宋体"/>
          <w:color w:val="auto"/>
        </w:rPr>
      </w:pPr>
    </w:p>
    <w:p>
      <w:pPr>
        <w:spacing w:line="360" w:lineRule="auto"/>
        <w:ind w:firstLine="480" w:firstLineChars="200"/>
        <w:rPr>
          <w:rFonts w:ascii="宋体" w:hAnsi="宋体" w:cs="宋体"/>
          <w:color w:val="auto"/>
        </w:rPr>
      </w:pPr>
    </w:p>
    <w:p>
      <w:pPr>
        <w:spacing w:line="360" w:lineRule="auto"/>
        <w:ind w:firstLine="48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hint="eastAsia" w:ascii="宋体" w:hAnsi="宋体" w:cs="宋体"/>
          <w:b/>
          <w:color w:val="auto"/>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7"/>
        <w:bidi w:val="0"/>
        <w:rPr>
          <w:color w:val="auto"/>
        </w:rPr>
      </w:pPr>
      <w:r>
        <w:rPr>
          <w:rFonts w:hint="eastAsia"/>
          <w:color w:val="auto"/>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7"/>
        <w:bidi w:val="0"/>
      </w:pPr>
      <w:r>
        <w:rPr>
          <w:rFonts w:hint="eastAsia"/>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6"/>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7"/>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7"/>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62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627"/>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rPr>
        <w:t>货物</w:t>
      </w:r>
      <w:r>
        <w:rPr>
          <w:rFonts w:hint="eastAsia" w:ascii="宋体" w:hAnsi="宋体"/>
          <w:sz w:val="24"/>
          <w:highlight w:val="none"/>
        </w:rPr>
        <w:t>由小微企业</w:t>
      </w:r>
      <w:r>
        <w:rPr>
          <w:rFonts w:hint="eastAsia" w:ascii="宋体" w:hAnsi="宋体"/>
          <w:sz w:val="24"/>
          <w:highlight w:val="none"/>
          <w:u w:val="single"/>
        </w:rPr>
        <w:t>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6"/>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7"/>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4"/>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rPr>
        <w:t>货物</w:t>
      </w:r>
      <w:r>
        <w:rPr>
          <w:rFonts w:hint="eastAsia" w:ascii="宋体" w:hAnsi="宋体"/>
          <w:sz w:val="24"/>
          <w:highlight w:val="none"/>
        </w:rPr>
        <w:t>由小微企业</w:t>
      </w:r>
      <w:r>
        <w:rPr>
          <w:rFonts w:hint="eastAsia" w:ascii="宋体" w:hAnsi="宋体"/>
          <w:sz w:val="24"/>
          <w:highlight w:val="none"/>
          <w:u w:val="single"/>
        </w:rPr>
        <w:t>制造</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7"/>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val="en-US" w:eastAsia="zh-CN"/>
        </w:rPr>
        <w:t>货物</w:t>
      </w:r>
      <w:r>
        <w:rPr>
          <w:rFonts w:hint="eastAsia" w:ascii="宋体" w:hAnsi="宋体" w:cs="宋体"/>
          <w:b/>
          <w:sz w:val="32"/>
          <w:szCs w:val="32"/>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p/>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92911A9"/>
    <w:multiLevelType w:val="singleLevel"/>
    <w:tmpl w:val="E92911A9"/>
    <w:lvl w:ilvl="0" w:tentative="0">
      <w:start w:val="1"/>
      <w:numFmt w:val="decimal"/>
      <w:suff w:val="nothing"/>
      <w:lvlText w:val="%1．"/>
      <w:lvlJc w:val="left"/>
      <w:pPr>
        <w:ind w:left="0" w:firstLine="400"/>
      </w:pPr>
      <w:rPr>
        <w:rFonts w:hint="default"/>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C6C"/>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A8164A"/>
    <w:rsid w:val="02D12E1C"/>
    <w:rsid w:val="02DC4B10"/>
    <w:rsid w:val="02DD76CE"/>
    <w:rsid w:val="02EA06AE"/>
    <w:rsid w:val="02F36323"/>
    <w:rsid w:val="02F5619C"/>
    <w:rsid w:val="0326446A"/>
    <w:rsid w:val="032D5555"/>
    <w:rsid w:val="034A50BF"/>
    <w:rsid w:val="036634D2"/>
    <w:rsid w:val="03787FA7"/>
    <w:rsid w:val="037970A3"/>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D27AF8"/>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0F4BDB"/>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52DBD"/>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DA45D3"/>
    <w:rsid w:val="10F33360"/>
    <w:rsid w:val="10FC16EA"/>
    <w:rsid w:val="110F1D40"/>
    <w:rsid w:val="1122342A"/>
    <w:rsid w:val="11266F33"/>
    <w:rsid w:val="11302E58"/>
    <w:rsid w:val="11634352"/>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484909"/>
    <w:rsid w:val="146D271E"/>
    <w:rsid w:val="14982588"/>
    <w:rsid w:val="149A5AD9"/>
    <w:rsid w:val="14A7619D"/>
    <w:rsid w:val="14B72CF4"/>
    <w:rsid w:val="14BA2CD9"/>
    <w:rsid w:val="14D01265"/>
    <w:rsid w:val="150536C3"/>
    <w:rsid w:val="150A39ED"/>
    <w:rsid w:val="150C1963"/>
    <w:rsid w:val="151447A0"/>
    <w:rsid w:val="152807B7"/>
    <w:rsid w:val="154A6454"/>
    <w:rsid w:val="15762120"/>
    <w:rsid w:val="158626FD"/>
    <w:rsid w:val="159B5FE3"/>
    <w:rsid w:val="15D33E82"/>
    <w:rsid w:val="15F60C24"/>
    <w:rsid w:val="16382D92"/>
    <w:rsid w:val="16A8729C"/>
    <w:rsid w:val="16B33777"/>
    <w:rsid w:val="16BA5EB3"/>
    <w:rsid w:val="16BA6B0E"/>
    <w:rsid w:val="16BC70A7"/>
    <w:rsid w:val="16C6339E"/>
    <w:rsid w:val="16E74130"/>
    <w:rsid w:val="16E762A2"/>
    <w:rsid w:val="172F2D79"/>
    <w:rsid w:val="17557BEF"/>
    <w:rsid w:val="17D349C1"/>
    <w:rsid w:val="1830729E"/>
    <w:rsid w:val="1870062C"/>
    <w:rsid w:val="187F6506"/>
    <w:rsid w:val="18817102"/>
    <w:rsid w:val="18830A15"/>
    <w:rsid w:val="18852B28"/>
    <w:rsid w:val="188B5321"/>
    <w:rsid w:val="18B3571D"/>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0C4186"/>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143B06"/>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AB2EB7"/>
    <w:rsid w:val="27BB0BF2"/>
    <w:rsid w:val="27F82B28"/>
    <w:rsid w:val="28300D49"/>
    <w:rsid w:val="28333E1D"/>
    <w:rsid w:val="28454BD6"/>
    <w:rsid w:val="28455253"/>
    <w:rsid w:val="28551971"/>
    <w:rsid w:val="285B1C53"/>
    <w:rsid w:val="285F44BB"/>
    <w:rsid w:val="287D4EA3"/>
    <w:rsid w:val="289F7086"/>
    <w:rsid w:val="28AC0642"/>
    <w:rsid w:val="28C32028"/>
    <w:rsid w:val="28CC490F"/>
    <w:rsid w:val="28DB3F5E"/>
    <w:rsid w:val="28DE40AA"/>
    <w:rsid w:val="29192396"/>
    <w:rsid w:val="29345E77"/>
    <w:rsid w:val="2935022C"/>
    <w:rsid w:val="294C65AD"/>
    <w:rsid w:val="29573B46"/>
    <w:rsid w:val="29755338"/>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CEB7AC7"/>
    <w:rsid w:val="2CF8615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67B79"/>
    <w:rsid w:val="30EC586F"/>
    <w:rsid w:val="319C6071"/>
    <w:rsid w:val="31AC537E"/>
    <w:rsid w:val="31E3679B"/>
    <w:rsid w:val="31E732FD"/>
    <w:rsid w:val="32070E04"/>
    <w:rsid w:val="3212150D"/>
    <w:rsid w:val="32462AB5"/>
    <w:rsid w:val="32517576"/>
    <w:rsid w:val="32523D7F"/>
    <w:rsid w:val="32543208"/>
    <w:rsid w:val="325C3624"/>
    <w:rsid w:val="32811B31"/>
    <w:rsid w:val="32AF46F6"/>
    <w:rsid w:val="32BE5C2C"/>
    <w:rsid w:val="32DF6C24"/>
    <w:rsid w:val="32EE0297"/>
    <w:rsid w:val="32FB6478"/>
    <w:rsid w:val="33263B3F"/>
    <w:rsid w:val="336963EB"/>
    <w:rsid w:val="33783B53"/>
    <w:rsid w:val="33816EEB"/>
    <w:rsid w:val="33A658D0"/>
    <w:rsid w:val="33EB55CD"/>
    <w:rsid w:val="33EC4C02"/>
    <w:rsid w:val="34006087"/>
    <w:rsid w:val="340D2360"/>
    <w:rsid w:val="3410665D"/>
    <w:rsid w:val="34211214"/>
    <w:rsid w:val="342E63AB"/>
    <w:rsid w:val="34395959"/>
    <w:rsid w:val="348D73B7"/>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01F36"/>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52F05"/>
    <w:rsid w:val="3E377251"/>
    <w:rsid w:val="3E42664B"/>
    <w:rsid w:val="3E5659BB"/>
    <w:rsid w:val="3E5A7334"/>
    <w:rsid w:val="3E7B5D6B"/>
    <w:rsid w:val="3E843E66"/>
    <w:rsid w:val="3E8F51FE"/>
    <w:rsid w:val="3E926F87"/>
    <w:rsid w:val="3E9A59DE"/>
    <w:rsid w:val="3E9B4876"/>
    <w:rsid w:val="3EAF4836"/>
    <w:rsid w:val="3EC33DFA"/>
    <w:rsid w:val="3F052789"/>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201CB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26E8F"/>
    <w:rsid w:val="4AA62243"/>
    <w:rsid w:val="4AB82D0F"/>
    <w:rsid w:val="4AC20427"/>
    <w:rsid w:val="4AEB7664"/>
    <w:rsid w:val="4AFD7C19"/>
    <w:rsid w:val="4B0567D1"/>
    <w:rsid w:val="4B1F1F0B"/>
    <w:rsid w:val="4B236AAE"/>
    <w:rsid w:val="4B3F553C"/>
    <w:rsid w:val="4B5F25AA"/>
    <w:rsid w:val="4B707271"/>
    <w:rsid w:val="4B7D368B"/>
    <w:rsid w:val="4B8816D4"/>
    <w:rsid w:val="4B89356C"/>
    <w:rsid w:val="4B9739F7"/>
    <w:rsid w:val="4BB11B2A"/>
    <w:rsid w:val="4BEA1283"/>
    <w:rsid w:val="4BEE2503"/>
    <w:rsid w:val="4C157304"/>
    <w:rsid w:val="4C245A30"/>
    <w:rsid w:val="4C567B5E"/>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8067E"/>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A42E2"/>
    <w:rsid w:val="55364EFD"/>
    <w:rsid w:val="555D4828"/>
    <w:rsid w:val="556829A3"/>
    <w:rsid w:val="5575108B"/>
    <w:rsid w:val="557A4C8B"/>
    <w:rsid w:val="558931E1"/>
    <w:rsid w:val="558E060E"/>
    <w:rsid w:val="558F5520"/>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2557D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1110D0"/>
    <w:rsid w:val="58341B9D"/>
    <w:rsid w:val="583D3C73"/>
    <w:rsid w:val="58913FBE"/>
    <w:rsid w:val="58917D2F"/>
    <w:rsid w:val="5894085C"/>
    <w:rsid w:val="58AE4F0C"/>
    <w:rsid w:val="58B407D6"/>
    <w:rsid w:val="58B85899"/>
    <w:rsid w:val="58BE5EC7"/>
    <w:rsid w:val="58CE7696"/>
    <w:rsid w:val="58E363A9"/>
    <w:rsid w:val="590E0CB2"/>
    <w:rsid w:val="595E1678"/>
    <w:rsid w:val="596D5BD4"/>
    <w:rsid w:val="597835E2"/>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B01EE"/>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7213FC"/>
    <w:rsid w:val="65854376"/>
    <w:rsid w:val="658767BE"/>
    <w:rsid w:val="65892531"/>
    <w:rsid w:val="658F6D0E"/>
    <w:rsid w:val="65951872"/>
    <w:rsid w:val="65AA2833"/>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24C4D"/>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3F2455"/>
    <w:rsid w:val="6947716A"/>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977956"/>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074B9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D52ED3"/>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1A5B61"/>
    <w:rsid w:val="7F224F05"/>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6"/>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6">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7">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8">
    <w:name w:val="heading 4"/>
    <w:basedOn w:val="1"/>
    <w:next w:val="1"/>
    <w:link w:val="330"/>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9">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6"/>
    <w:autoRedefine/>
    <w:qFormat/>
    <w:uiPriority w:val="0"/>
    <w:pPr>
      <w:shd w:val="clear" w:color="auto" w:fill="000080"/>
    </w:pPr>
  </w:style>
  <w:style w:type="paragraph" w:styleId="22">
    <w:name w:val="annotation text"/>
    <w:basedOn w:val="1"/>
    <w:link w:val="347"/>
    <w:autoRedefine/>
    <w:qFormat/>
    <w:uiPriority w:val="99"/>
    <w:pPr>
      <w:jc w:val="left"/>
    </w:pPr>
  </w:style>
  <w:style w:type="paragraph" w:styleId="23">
    <w:name w:val="Salutation"/>
    <w:basedOn w:val="1"/>
    <w:next w:val="1"/>
    <w:link w:val="301"/>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8"/>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100"/>
    <w:autoRedefine/>
    <w:qFormat/>
    <w:uiPriority w:val="0"/>
    <w:rPr>
      <w:b/>
      <w:bCs/>
    </w:rPr>
  </w:style>
  <w:style w:type="paragraph" w:styleId="61">
    <w:name w:val="Body Text First Indent 2"/>
    <w:basedOn w:val="26"/>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签发人"/>
    <w:basedOn w:val="1"/>
    <w:autoRedefine/>
    <w:qFormat/>
    <w:uiPriority w:val="0"/>
    <w:rPr>
      <w:rFonts w:eastAsia="楷体"/>
      <w:sz w:val="32"/>
    </w:rPr>
  </w:style>
  <w:style w:type="paragraph" w:customStyle="1" w:styleId="80">
    <w:name w:val="Body Text First Indent 21"/>
    <w:basedOn w:val="81"/>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firstLineChars="20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6"/>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1"/>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9"/>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5"/>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9"/>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3"/>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1"/>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8"/>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5"/>
    <w:autoRedefine/>
    <w:qFormat/>
    <w:uiPriority w:val="0"/>
    <w:pPr>
      <w:tabs>
        <w:tab w:val="left" w:pos="840"/>
      </w:tabs>
      <w:adjustRightInd/>
      <w:ind w:left="840" w:hanging="420"/>
    </w:pPr>
  </w:style>
  <w:style w:type="paragraph" w:customStyle="1" w:styleId="628">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autoRedefine/>
    <w:qFormat/>
    <w:uiPriority w:val="0"/>
    <w:pPr>
      <w:tabs>
        <w:tab w:val="left" w:pos="1080"/>
      </w:tabs>
      <w:ind w:left="1080" w:hanging="1080"/>
    </w:pPr>
  </w:style>
  <w:style w:type="paragraph" w:customStyle="1" w:styleId="899">
    <w:name w:val="数字标题1"/>
    <w:basedOn w:val="5"/>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9">
    <w:name w:val="NormalCharacter"/>
    <w:autoRedefine/>
    <w:qFormat/>
    <w:uiPriority w:val="0"/>
  </w:style>
  <w:style w:type="paragraph" w:customStyle="1" w:styleId="970">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29392</Words>
  <Characters>30955</Characters>
  <Lines>284</Lines>
  <Paragraphs>80</Paragraphs>
  <TotalTime>4</TotalTime>
  <ScaleCrop>false</ScaleCrop>
  <LinksUpToDate>false</LinksUpToDate>
  <CharactersWithSpaces>36849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代理机构</cp:lastModifiedBy>
  <cp:lastPrinted>2024-05-07T02:01:00Z</cp:lastPrinted>
  <dcterms:modified xsi:type="dcterms:W3CDTF">2024-05-17T09:05:36Z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773D6B04D3124479BEA7A2010F88B507_13</vt:lpwstr>
  </property>
</Properties>
</file>