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厅机关电脑、桌面运维项目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ZJXL-SJT-202304</w:t>
      </w:r>
    </w:p>
    <w:p>
      <w:pPr>
        <w:pStyle w:val="3"/>
        <w:jc w:val="center"/>
        <w:rPr>
          <w:rFonts w:hint="eastAsia" w:ascii="宋体" w:hAnsi="宋体" w:cs="宋体"/>
          <w:color w:val="auto"/>
          <w:sz w:val="30"/>
          <w:szCs w:val="30"/>
          <w:lang w:eastAsia="zh-CN"/>
        </w:rPr>
      </w:pPr>
      <w:r>
        <w:rPr>
          <w:rFonts w:hint="eastAsia" w:ascii="宋体" w:hAnsi="宋体" w:cs="宋体"/>
          <w:color w:val="auto"/>
          <w:sz w:val="30"/>
          <w:szCs w:val="30"/>
        </w:rPr>
        <w:t>确认书号：[2023]33249号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浙江省交通运输厅</w:t>
      </w:r>
    </w:p>
    <w:p>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bidi w:val="0"/>
      </w:pPr>
    </w:p>
    <w:p>
      <w:pPr>
        <w:pStyle w:val="5"/>
        <w:bidi w:val="0"/>
      </w:pPr>
      <w:r>
        <w:rPr>
          <w:rFonts w:hint="eastAsia"/>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pStyle w:val="5"/>
        <w:bidi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厅机关电脑、桌面运维项目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default" w:ascii="宋体" w:hAnsi="宋体" w:cs="宋体"/>
          <w:sz w:val="24"/>
          <w:u w:val="single"/>
        </w:rPr>
        <w:t>25</w:t>
      </w:r>
      <w:r>
        <w:rPr>
          <w:rFonts w:hint="eastAsia" w:ascii="宋体" w:hAnsi="宋体" w:cs="宋体"/>
          <w:sz w:val="24"/>
          <w:u w:val="single"/>
        </w:rPr>
        <w:t>日</w:t>
      </w:r>
      <w:r>
        <w:rPr>
          <w:rFonts w:hint="default" w:ascii="宋体" w:hAnsi="宋体" w:cs="宋体"/>
          <w:sz w:val="24"/>
          <w:u w:val="single"/>
        </w:rPr>
        <w:t>09</w:t>
      </w:r>
      <w:r>
        <w:rPr>
          <w:rFonts w:hint="eastAsia" w:ascii="宋体" w:hAnsi="宋体" w:cs="宋体"/>
          <w:sz w:val="24"/>
          <w:u w:val="single"/>
        </w:rPr>
        <w:t>点</w:t>
      </w:r>
      <w:r>
        <w:rPr>
          <w:rFonts w:hint="default" w:ascii="宋体" w:hAnsi="宋体" w:cs="宋体"/>
          <w:sz w:val="24"/>
          <w:u w:val="single"/>
        </w:rPr>
        <w:t>3</w:t>
      </w:r>
      <w:r>
        <w:rPr>
          <w:rFonts w:hint="eastAsia" w:ascii="宋体" w:hAnsi="宋体" w:cs="宋体"/>
          <w:sz w:val="24"/>
          <w:u w:val="single"/>
          <w:lang w:val="en-US" w:eastAsia="zh-CN"/>
        </w:rPr>
        <w:t>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bidi w:val="0"/>
        <w:rPr>
          <w:rFonts w:hint="eastAsia"/>
        </w:rPr>
      </w:pPr>
    </w:p>
    <w:p>
      <w:pPr>
        <w:pStyle w:val="6"/>
        <w:bidi w:val="0"/>
      </w:pPr>
      <w:r>
        <w:rPr>
          <w:rFonts w:hint="eastAsia"/>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ZJXL-SJT-202304</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厅机关电脑、桌面运维项目</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szCs w:val="24"/>
          <w:lang w:eastAsia="zh-CN"/>
        </w:rPr>
        <w:t>498000</w:t>
      </w:r>
    </w:p>
    <w:p>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最高限价（元）：</w:t>
      </w:r>
      <w:r>
        <w:rPr>
          <w:rFonts w:hint="eastAsia" w:ascii="宋体" w:hAnsi="宋体" w:cs="宋体"/>
          <w:sz w:val="24"/>
          <w:szCs w:val="24"/>
          <w:lang w:eastAsia="zh-CN"/>
        </w:rPr>
        <w:t>498000</w:t>
      </w:r>
    </w:p>
    <w:p>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4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2162"/>
        <w:gridCol w:w="799"/>
        <w:gridCol w:w="1317"/>
        <w:gridCol w:w="3224"/>
        <w:gridCol w:w="834"/>
      </w:tblGrid>
      <w:tr>
        <w:trPr>
          <w:trHeight w:val="816" w:hRule="atLeast"/>
          <w:jc w:val="center"/>
        </w:trPr>
        <w:tc>
          <w:tcPr>
            <w:tcW w:w="1077" w:type="dxa"/>
            <w:vAlign w:val="center"/>
          </w:tcPr>
          <w:p>
            <w:pPr>
              <w:pStyle w:val="2"/>
              <w:ind w:firstLine="0"/>
              <w:jc w:val="center"/>
              <w:rPr>
                <w:rFonts w:hAnsi="宋体" w:cs="宋体"/>
                <w:color w:val="auto"/>
                <w:szCs w:val="24"/>
              </w:rPr>
            </w:pPr>
            <w:r>
              <w:rPr>
                <w:rFonts w:hint="eastAsia" w:hAnsi="宋体" w:cs="宋体"/>
                <w:color w:val="auto"/>
                <w:szCs w:val="24"/>
              </w:rPr>
              <w:t>标项号</w:t>
            </w:r>
          </w:p>
        </w:tc>
        <w:tc>
          <w:tcPr>
            <w:tcW w:w="2162" w:type="dxa"/>
            <w:vAlign w:val="center"/>
          </w:tcPr>
          <w:p>
            <w:pPr>
              <w:pStyle w:val="2"/>
              <w:ind w:firstLine="0"/>
              <w:jc w:val="center"/>
              <w:rPr>
                <w:rFonts w:hAnsi="宋体" w:cs="宋体"/>
                <w:color w:val="auto"/>
                <w:szCs w:val="24"/>
              </w:rPr>
            </w:pPr>
            <w:r>
              <w:rPr>
                <w:rFonts w:hint="eastAsia" w:hAnsi="宋体" w:cs="宋体"/>
                <w:color w:val="auto"/>
                <w:szCs w:val="24"/>
              </w:rPr>
              <w:t>标项名称</w:t>
            </w:r>
          </w:p>
        </w:tc>
        <w:tc>
          <w:tcPr>
            <w:tcW w:w="799" w:type="dxa"/>
            <w:vAlign w:val="center"/>
          </w:tcPr>
          <w:p>
            <w:pPr>
              <w:pStyle w:val="2"/>
              <w:ind w:firstLine="0"/>
              <w:jc w:val="center"/>
              <w:rPr>
                <w:rFonts w:hAnsi="宋体" w:cs="宋体"/>
                <w:color w:val="auto"/>
                <w:szCs w:val="24"/>
              </w:rPr>
            </w:pPr>
            <w:r>
              <w:rPr>
                <w:rFonts w:hint="eastAsia" w:hAnsi="宋体" w:cs="宋体"/>
                <w:color w:val="auto"/>
                <w:szCs w:val="24"/>
              </w:rPr>
              <w:t>数量</w:t>
            </w:r>
          </w:p>
        </w:tc>
        <w:tc>
          <w:tcPr>
            <w:tcW w:w="1317" w:type="dxa"/>
            <w:vAlign w:val="center"/>
          </w:tcPr>
          <w:p>
            <w:pPr>
              <w:pStyle w:val="2"/>
              <w:ind w:firstLine="0"/>
              <w:jc w:val="center"/>
              <w:rPr>
                <w:rFonts w:hint="eastAsia" w:hAnsi="宋体" w:eastAsia="宋体" w:cs="宋体"/>
                <w:color w:val="auto"/>
                <w:szCs w:val="24"/>
                <w:lang w:val="en-US" w:eastAsia="zh-CN"/>
              </w:rPr>
            </w:pPr>
            <w:r>
              <w:rPr>
                <w:rFonts w:hint="eastAsia" w:hAnsi="宋体" w:cs="宋体"/>
                <w:color w:val="auto"/>
                <w:szCs w:val="24"/>
                <w:lang w:val="en-US" w:eastAsia="zh-CN"/>
              </w:rPr>
              <w:t>预算金额（元）</w:t>
            </w:r>
          </w:p>
        </w:tc>
        <w:tc>
          <w:tcPr>
            <w:tcW w:w="3224" w:type="dxa"/>
            <w:vAlign w:val="center"/>
          </w:tcPr>
          <w:p>
            <w:pPr>
              <w:pStyle w:val="2"/>
              <w:ind w:firstLine="0"/>
              <w:jc w:val="center"/>
              <w:rPr>
                <w:rFonts w:hAnsi="宋体" w:cs="宋体"/>
                <w:color w:val="auto"/>
                <w:szCs w:val="24"/>
              </w:rPr>
            </w:pPr>
            <w:r>
              <w:rPr>
                <w:rFonts w:hAnsi="宋体" w:cs="宋体"/>
                <w:color w:val="auto"/>
                <w:szCs w:val="24"/>
              </w:rPr>
              <w:t>简要规格描述或项目基本概况介绍、用途：</w:t>
            </w:r>
          </w:p>
        </w:tc>
        <w:tc>
          <w:tcPr>
            <w:tcW w:w="834" w:type="dxa"/>
            <w:vAlign w:val="center"/>
          </w:tcPr>
          <w:p>
            <w:pPr>
              <w:pStyle w:val="2"/>
              <w:ind w:firstLine="0"/>
              <w:jc w:val="center"/>
              <w:rPr>
                <w:rFonts w:hAnsi="宋体" w:cs="宋体"/>
                <w:color w:val="auto"/>
                <w:szCs w:val="24"/>
              </w:rPr>
            </w:pPr>
            <w:r>
              <w:rPr>
                <w:rFonts w:hint="eastAsia" w:hAnsi="宋体" w:cs="宋体"/>
                <w:color w:val="auto"/>
                <w:szCs w:val="24"/>
              </w:rPr>
              <w:t>备注</w:t>
            </w:r>
          </w:p>
        </w:tc>
      </w:tr>
      <w:tr>
        <w:trPr>
          <w:trHeight w:val="896" w:hRule="atLeast"/>
          <w:jc w:val="center"/>
        </w:trPr>
        <w:tc>
          <w:tcPr>
            <w:tcW w:w="1077" w:type="dxa"/>
            <w:vAlign w:val="center"/>
          </w:tcPr>
          <w:p>
            <w:pPr>
              <w:pStyle w:val="486"/>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162" w:type="dxa"/>
            <w:vAlign w:val="center"/>
          </w:tcPr>
          <w:p>
            <w:pPr>
              <w:pStyle w:val="486"/>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lang w:eastAsia="zh-CN"/>
              </w:rPr>
              <w:t>厅机关电脑、桌面运维项目</w:t>
            </w:r>
          </w:p>
        </w:tc>
        <w:tc>
          <w:tcPr>
            <w:tcW w:w="799" w:type="dxa"/>
            <w:vAlign w:val="center"/>
          </w:tcPr>
          <w:p>
            <w:pPr>
              <w:pStyle w:val="486"/>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项</w:t>
            </w:r>
          </w:p>
        </w:tc>
        <w:tc>
          <w:tcPr>
            <w:tcW w:w="1317" w:type="dxa"/>
            <w:vAlign w:val="center"/>
          </w:tcPr>
          <w:p>
            <w:pPr>
              <w:pStyle w:val="486"/>
              <w:spacing w:line="360" w:lineRule="auto"/>
              <w:jc w:val="center"/>
              <w:rPr>
                <w:rFonts w:hint="eastAsia" w:ascii="宋体" w:hAnsi="宋体" w:cs="宋体"/>
                <w:color w:val="auto"/>
                <w:sz w:val="24"/>
                <w:lang w:eastAsia="zh-CN"/>
              </w:rPr>
            </w:pPr>
            <w:r>
              <w:rPr>
                <w:rFonts w:hint="eastAsia" w:ascii="宋体" w:hAnsi="宋体" w:cs="宋体"/>
                <w:color w:val="auto"/>
                <w:sz w:val="24"/>
                <w:lang w:eastAsia="zh-CN"/>
              </w:rPr>
              <w:t>498000</w:t>
            </w:r>
          </w:p>
        </w:tc>
        <w:tc>
          <w:tcPr>
            <w:tcW w:w="3224" w:type="dxa"/>
            <w:vAlign w:val="center"/>
          </w:tcPr>
          <w:p>
            <w:pPr>
              <w:pStyle w:val="486"/>
              <w:spacing w:line="360" w:lineRule="auto"/>
              <w:jc w:val="center"/>
              <w:rPr>
                <w:rFonts w:hint="eastAsia" w:ascii="宋体" w:hAnsi="宋体" w:cs="宋体"/>
                <w:color w:val="auto"/>
                <w:sz w:val="24"/>
                <w:lang w:eastAsia="zh-CN"/>
              </w:rPr>
            </w:pPr>
            <w:r>
              <w:rPr>
                <w:rFonts w:hint="eastAsia" w:ascii="宋体" w:hAnsi="宋体" w:cs="宋体"/>
                <w:color w:val="auto"/>
                <w:sz w:val="24"/>
                <w:lang w:eastAsia="zh-CN"/>
              </w:rPr>
              <w:t>厅机关电脑、桌面运维。详见招标文件第三部分采购需求。</w:t>
            </w:r>
          </w:p>
        </w:tc>
        <w:tc>
          <w:tcPr>
            <w:tcW w:w="834" w:type="dxa"/>
            <w:vAlign w:val="center"/>
          </w:tcPr>
          <w:p>
            <w:pPr>
              <w:pStyle w:val="2"/>
              <w:ind w:firstLine="0"/>
              <w:jc w:val="center"/>
              <w:rPr>
                <w:rFonts w:hint="eastAsia" w:hAnsi="宋体" w:eastAsia="宋体" w:cs="宋体"/>
                <w:color w:val="auto"/>
                <w:szCs w:val="24"/>
                <w:lang w:eastAsia="zh-CN"/>
              </w:rPr>
            </w:pPr>
          </w:p>
        </w:tc>
      </w:tr>
    </w:tbl>
    <w:p>
      <w:pPr>
        <w:spacing w:line="360" w:lineRule="auto"/>
        <w:ind w:firstLine="480"/>
        <w:rPr>
          <w:rFonts w:hint="default" w:ascii="宋体" w:hAnsi="宋体" w:cs="宋体"/>
          <w:snapToGrid w:val="0"/>
          <w:kern w:val="28"/>
          <w:sz w:val="24"/>
          <w:szCs w:val="20"/>
          <w:lang w:val="en-US" w:eastAsia="zh-CN"/>
        </w:rPr>
      </w:pPr>
      <w:r>
        <w:rPr>
          <w:rFonts w:hint="eastAsia" w:ascii="宋体" w:hAnsi="宋体" w:cs="宋体"/>
          <w:snapToGrid w:val="0"/>
          <w:kern w:val="28"/>
          <w:sz w:val="24"/>
          <w:szCs w:val="20"/>
        </w:rPr>
        <w:t>合同履约期限</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详见采购文件要求</w:t>
      </w:r>
      <w:r>
        <w:rPr>
          <w:rFonts w:hint="eastAsia" w:ascii="宋体" w:hAnsi="宋体" w:cs="宋体"/>
          <w:snapToGrid w:val="0"/>
          <w:kern w:val="28"/>
          <w:sz w:val="24"/>
          <w:szCs w:val="20"/>
          <w:lang w:eastAsia="zh-CN"/>
        </w:rPr>
        <w:t>。</w:t>
      </w:r>
    </w:p>
    <w:p>
      <w:pPr>
        <w:pStyle w:val="18"/>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6"/>
        <w:bidi w:val="0"/>
      </w:pPr>
      <w:r>
        <w:rPr>
          <w:rFonts w:hint="eastAsia"/>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eastAsia="zh-CN"/>
        </w:rPr>
        <w:t>：</w:t>
      </w:r>
    </w:p>
    <w:p>
      <w:pPr>
        <w:spacing w:line="360" w:lineRule="auto"/>
        <w:ind w:firstLine="480" w:firstLineChars="200"/>
        <w:rPr>
          <w:rFonts w:ascii="宋体" w:hAnsi="宋体" w:cs="宋体"/>
          <w:sz w:val="24"/>
        </w:rPr>
      </w:pPr>
      <w:sdt>
        <w:sdtPr>
          <w:rPr>
            <w:rFonts w:hint="eastAsia" w:ascii="宋体" w:hAnsi="宋体" w:cs="宋体"/>
            <w:kern w:val="0"/>
            <w:sz w:val="24"/>
          </w:rPr>
          <w:id w:val="1538929364"/>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856555535"/>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184616534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服务全部由符合政策要求的中小企业承接，提供中小企业声明函；</w:t>
      </w:r>
    </w:p>
    <w:p>
      <w:pPr>
        <w:spacing w:line="360" w:lineRule="auto"/>
        <w:ind w:firstLine="480" w:firstLineChars="200"/>
        <w:rPr>
          <w:rFonts w:ascii="宋体" w:hAnsi="宋体" w:cs="宋体"/>
          <w:color w:val="FF0000"/>
          <w:sz w:val="24"/>
          <w:highlight w:val="yellow"/>
        </w:rPr>
      </w:pPr>
      <w:sdt>
        <w:sdtPr>
          <w:rPr>
            <w:rFonts w:hint="eastAsia" w:ascii="宋体" w:hAnsi="宋体" w:cs="宋体"/>
            <w:kern w:val="0"/>
            <w:sz w:val="24"/>
          </w:rPr>
          <w:id w:val="-1999096846"/>
        </w:sdtPr>
        <w:sdtEndPr>
          <w:rPr>
            <w:rFonts w:hint="eastAsia" w:ascii="宋体" w:hAnsi="宋体" w:cs="宋体"/>
            <w:kern w:val="0"/>
            <w:sz w:val="24"/>
          </w:rPr>
        </w:sdtEndPr>
        <w:sdtContent>
          <w:r>
            <w:rPr>
              <w:rFonts w:hint="eastAsia" w:ascii="宋体" w:hAnsi="宋体" w:cs="宋体"/>
              <w:kern w:val="0"/>
              <w:sz w:val="24"/>
              <w:lang w:val="en-US" w:eastAsia="zh-CN"/>
            </w:rPr>
            <w:t xml:space="preserve">    </w:t>
          </w:r>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snapToGrid w:val="0"/>
        <w:spacing w:line="360" w:lineRule="auto"/>
        <w:ind w:firstLine="480" w:firstLineChars="200"/>
        <w:rPr>
          <w:rFonts w:ascii="宋体" w:hAnsi="宋体" w:cs="宋体"/>
          <w:color w:val="auto"/>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w:t>
      </w:r>
      <w:r>
        <w:rPr>
          <w:rFonts w:hint="eastAsia" w:ascii="宋体" w:hAnsi="宋体" w:cs="宋体"/>
          <w:color w:val="auto"/>
          <w:sz w:val="24"/>
        </w:rPr>
        <w:t>后不得再参加该采购项目的其他采购活动。</w:t>
      </w:r>
    </w:p>
    <w:p>
      <w:pPr>
        <w:pStyle w:val="6"/>
        <w:bidi w:val="0"/>
        <w:rPr>
          <w:color w:val="auto"/>
        </w:rPr>
      </w:pPr>
      <w:r>
        <w:rPr>
          <w:rFonts w:hint="eastAsia"/>
          <w:color w:val="auto"/>
        </w:rPr>
        <w:t xml:space="preserve">三、获取招标文件 </w:t>
      </w:r>
    </w:p>
    <w:p>
      <w:pPr>
        <w:spacing w:line="360" w:lineRule="auto"/>
        <w:ind w:firstLine="480"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0"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6"/>
        <w:bidi w:val="0"/>
        <w:rPr>
          <w:color w:val="auto"/>
        </w:rPr>
      </w:pPr>
      <w:r>
        <w:rPr>
          <w:rFonts w:hint="eastAsia"/>
          <w:color w:val="auto"/>
        </w:rPr>
        <w:t>四、提交投标文件截止时间、开标时间和地点</w:t>
      </w:r>
    </w:p>
    <w:p>
      <w:pPr>
        <w:spacing w:line="360" w:lineRule="auto"/>
        <w:ind w:firstLine="480"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default" w:ascii="宋体" w:hAnsi="宋体" w:cs="宋体"/>
          <w:sz w:val="24"/>
          <w:u w:val="single"/>
        </w:rPr>
        <w:t>25</w:t>
      </w:r>
      <w:r>
        <w:rPr>
          <w:rFonts w:hint="eastAsia" w:ascii="宋体" w:hAnsi="宋体" w:cs="宋体"/>
          <w:sz w:val="24"/>
          <w:u w:val="single"/>
        </w:rPr>
        <w:t>日</w:t>
      </w:r>
      <w:r>
        <w:rPr>
          <w:rFonts w:hint="default" w:ascii="宋体" w:hAnsi="宋体" w:cs="宋体"/>
          <w:sz w:val="24"/>
          <w:u w:val="single"/>
        </w:rPr>
        <w:t>09</w:t>
      </w:r>
      <w:r>
        <w:rPr>
          <w:rFonts w:hint="eastAsia" w:ascii="宋体" w:hAnsi="宋体" w:cs="宋体"/>
          <w:sz w:val="24"/>
          <w:u w:val="single"/>
        </w:rPr>
        <w:t>点</w:t>
      </w:r>
      <w:r>
        <w:rPr>
          <w:rFonts w:hint="default" w:ascii="宋体" w:hAnsi="宋体" w:cs="宋体"/>
          <w:sz w:val="24"/>
          <w:u w:val="single"/>
        </w:rPr>
        <w:t>3</w:t>
      </w:r>
      <w:r>
        <w:rPr>
          <w:rFonts w:hint="eastAsia" w:ascii="宋体" w:hAnsi="宋体" w:cs="宋体"/>
          <w:sz w:val="24"/>
          <w:u w:val="single"/>
          <w:lang w:val="en-US" w:eastAsia="zh-CN"/>
        </w:rPr>
        <w:t>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0"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default" w:ascii="宋体" w:hAnsi="宋体" w:cs="宋体"/>
          <w:sz w:val="24"/>
          <w:u w:val="single"/>
        </w:rPr>
        <w:t>25</w:t>
      </w:r>
      <w:r>
        <w:rPr>
          <w:rFonts w:hint="eastAsia" w:ascii="宋体" w:hAnsi="宋体" w:cs="宋体"/>
          <w:sz w:val="24"/>
          <w:u w:val="single"/>
        </w:rPr>
        <w:t>日</w:t>
      </w:r>
      <w:r>
        <w:rPr>
          <w:rFonts w:hint="default" w:ascii="宋体" w:hAnsi="宋体" w:cs="宋体"/>
          <w:sz w:val="24"/>
          <w:u w:val="single"/>
        </w:rPr>
        <w:t>09</w:t>
      </w:r>
      <w:r>
        <w:rPr>
          <w:rFonts w:hint="eastAsia" w:ascii="宋体" w:hAnsi="宋体" w:cs="宋体"/>
          <w:sz w:val="24"/>
          <w:u w:val="single"/>
        </w:rPr>
        <w:t>点</w:t>
      </w:r>
      <w:r>
        <w:rPr>
          <w:rFonts w:hint="default" w:ascii="宋体" w:hAnsi="宋体" w:cs="宋体"/>
          <w:sz w:val="24"/>
          <w:u w:val="single"/>
        </w:rPr>
        <w:t>3</w:t>
      </w:r>
      <w:r>
        <w:rPr>
          <w:rFonts w:hint="eastAsia" w:ascii="宋体" w:hAnsi="宋体" w:cs="宋体"/>
          <w:sz w:val="24"/>
          <w:u w:val="single"/>
          <w:lang w:val="en-US" w:eastAsia="zh-CN"/>
        </w:rPr>
        <w:t>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color w:val="auto"/>
          <w:sz w:val="24"/>
        </w:rPr>
        <w:t>（北京时间）</w:t>
      </w:r>
    </w:p>
    <w:p>
      <w:pPr>
        <w:spacing w:line="360" w:lineRule="auto"/>
        <w:ind w:firstLine="480"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6"/>
        <w:bidi w:val="0"/>
        <w:rPr>
          <w:color w:val="auto"/>
        </w:rPr>
      </w:pPr>
      <w:r>
        <w:rPr>
          <w:rFonts w:hint="eastAsia"/>
          <w:color w:val="auto"/>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6"/>
        <w:bidi w:val="0"/>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6"/>
        <w:bidi w:val="0"/>
      </w:pPr>
      <w:r>
        <w:rPr>
          <w:rFonts w:hint="eastAsia"/>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cs="宋体"/>
          <w:sz w:val="24"/>
        </w:rPr>
        <w:t>名</w:t>
      </w:r>
      <w:r>
        <w:rPr>
          <w:rFonts w:hint="eastAsia" w:ascii="宋体" w:hAnsi="宋体" w:cs="宋体"/>
          <w:color w:val="auto"/>
          <w:sz w:val="24"/>
          <w:highlight w:val="none"/>
        </w:rPr>
        <w:t xml:space="preserve">    称：</w:t>
      </w:r>
      <w:r>
        <w:rPr>
          <w:rFonts w:hint="eastAsia" w:cs="仿宋_GB2312" w:asciiTheme="minorEastAsia" w:hAnsiTheme="minorEastAsia" w:eastAsiaTheme="minorEastAsia"/>
          <w:color w:val="auto"/>
          <w:sz w:val="24"/>
          <w:highlight w:val="none"/>
          <w:lang w:eastAsia="zh-CN"/>
        </w:rPr>
        <w:t>浙江省交通运输厅</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cs="仿宋_GB2312" w:asciiTheme="minorEastAsia" w:hAnsiTheme="minorEastAsia" w:eastAsiaTheme="minorEastAsia"/>
          <w:color w:val="auto"/>
          <w:sz w:val="24"/>
          <w:highlight w:val="none"/>
          <w:lang w:eastAsia="zh-CN"/>
        </w:rPr>
        <w:t>杭州市梅花碑4号</w:t>
      </w:r>
      <w:r>
        <w:rPr>
          <w:rFonts w:hint="eastAsia" w:ascii="宋体" w:hAnsi="宋体" w:cs="宋体"/>
          <w:color w:val="auto"/>
          <w:sz w:val="24"/>
          <w:highlight w:val="none"/>
        </w:rPr>
        <w:t xml:space="preserve">       </w:t>
      </w:r>
    </w:p>
    <w:p>
      <w:pPr>
        <w:spacing w:line="360" w:lineRule="auto"/>
        <w:ind w:firstLine="720" w:firstLineChars="300"/>
        <w:rPr>
          <w:rFonts w:ascii="宋体" w:hAnsi="宋体" w:cs="宋体"/>
          <w:color w:val="auto"/>
          <w:highlight w:val="none"/>
        </w:rPr>
      </w:pPr>
      <w:r>
        <w:rPr>
          <w:rFonts w:hint="eastAsia" w:ascii="宋体" w:hAnsi="宋体" w:cs="宋体"/>
          <w:color w:val="auto"/>
          <w:highlight w:val="none"/>
        </w:rPr>
        <w:t>项目联系人（询问）：  李老师</w:t>
      </w:r>
    </w:p>
    <w:p>
      <w:pPr>
        <w:spacing w:line="360" w:lineRule="auto"/>
        <w:rPr>
          <w:rFonts w:hint="default" w:ascii="宋体" w:hAnsi="宋体" w:cs="宋体" w:eastAsiaTheme="minorEastAsia"/>
          <w:color w:val="auto"/>
          <w:highlight w:val="none"/>
          <w:lang w:val="en-US" w:eastAsia="zh-CN"/>
        </w:rPr>
      </w:pPr>
      <w:r>
        <w:rPr>
          <w:rFonts w:hint="eastAsia" w:ascii="宋体" w:hAnsi="宋体" w:cs="宋体"/>
          <w:color w:val="auto"/>
          <w:highlight w:val="none"/>
        </w:rPr>
        <w:t xml:space="preserve">      项目联系方式（询问）：</w:t>
      </w:r>
      <w:r>
        <w:rPr>
          <w:rFonts w:hint="eastAsia" w:ascii="宋体" w:hAnsi="宋体" w:cs="宋体"/>
          <w:color w:val="auto"/>
          <w:highlight w:val="none"/>
          <w:lang w:val="en-US" w:eastAsia="zh-CN"/>
        </w:rPr>
        <w:t>0571-</w:t>
      </w:r>
      <w:r>
        <w:rPr>
          <w:rFonts w:hint="eastAsia" w:ascii="宋体" w:hAnsi="宋体" w:cs="宋体"/>
          <w:color w:val="auto"/>
          <w:highlight w:val="none"/>
        </w:rPr>
        <w:t>87809239</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      质疑联系人： 施</w:t>
      </w:r>
      <w:r>
        <w:rPr>
          <w:rFonts w:hint="eastAsia" w:ascii="宋体" w:hAnsi="宋体" w:cs="宋体"/>
          <w:color w:val="auto"/>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highlight w:val="none"/>
        </w:rPr>
        <w:t>质疑联系方式：</w:t>
      </w:r>
      <w:r>
        <w:rPr>
          <w:rFonts w:hint="eastAsia" w:ascii="宋体" w:hAnsi="宋体" w:cs="宋体"/>
          <w:color w:val="auto"/>
          <w:highlight w:val="none"/>
          <w:lang w:val="en-US" w:eastAsia="zh-CN"/>
        </w:rPr>
        <w:t>0571-</w:t>
      </w:r>
      <w:r>
        <w:rPr>
          <w:rFonts w:hint="eastAsia" w:ascii="宋体" w:hAnsi="宋体" w:cs="宋体"/>
          <w:color w:val="auto"/>
          <w:highlight w:val="none"/>
        </w:rPr>
        <w:t>87801275</w:t>
      </w:r>
    </w:p>
    <w:p>
      <w:pPr>
        <w:spacing w:line="360" w:lineRule="auto"/>
        <w:rPr>
          <w:rFonts w:ascii="宋体" w:hAnsi="宋体" w:cs="宋体"/>
          <w:sz w:val="24"/>
        </w:rPr>
      </w:pPr>
      <w:r>
        <w:rPr>
          <w:rFonts w:hint="eastAsia" w:ascii="宋体" w:hAnsi="宋体" w:cs="宋体"/>
          <w:b/>
          <w:bCs/>
          <w:sz w:val="24"/>
        </w:rPr>
        <w:t xml:space="preserve">    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传   真：0571-85024997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项目联系人（询问）：</w:t>
      </w:r>
      <w:r>
        <w:rPr>
          <w:rFonts w:hint="eastAsia" w:ascii="宋体" w:hAnsi="宋体" w:cs="宋体"/>
          <w:sz w:val="24"/>
          <w:lang w:eastAsia="zh-CN"/>
        </w:rPr>
        <w:t>曹威、</w:t>
      </w:r>
      <w:r>
        <w:rPr>
          <w:rFonts w:hint="eastAsia" w:ascii="宋体" w:hAnsi="宋体" w:cs="宋体"/>
          <w:sz w:val="24"/>
          <w:lang w:val="en-US" w:eastAsia="zh-CN"/>
        </w:rPr>
        <w:t>叶鸣晖</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项目联系方式（询问）：0571-87967630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质疑联系方式：0571-87967630 </w:t>
      </w:r>
    </w:p>
    <w:p>
      <w:pPr>
        <w:spacing w:line="360" w:lineRule="auto"/>
        <w:rPr>
          <w:rFonts w:hint="eastAsia" w:ascii="宋体" w:hAnsi="宋体" w:cs="宋体"/>
          <w:sz w:val="24"/>
        </w:rPr>
      </w:pPr>
      <w:r>
        <w:rPr>
          <w:rFonts w:hint="eastAsia" w:ascii="宋体" w:hAnsi="宋体" w:cs="宋体"/>
          <w:b/>
          <w:bCs/>
          <w:sz w:val="24"/>
        </w:rPr>
        <w:t xml:space="preserve">    3.</w:t>
      </w: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pPr>
        <w:spacing w:line="360" w:lineRule="auto"/>
        <w:rPr>
          <w:rFonts w:hint="eastAsia" w:ascii="宋体" w:hAnsi="宋体" w:cs="宋体"/>
          <w:sz w:val="24"/>
        </w:rPr>
      </w:pPr>
      <w:r>
        <w:rPr>
          <w:rFonts w:hint="eastAsia" w:ascii="宋体" w:hAnsi="宋体" w:cs="宋体"/>
          <w:sz w:val="24"/>
        </w:rPr>
        <w:t xml:space="preserve">    政策咨询：何一平、冯华，0571-87058424、87055741</w:t>
      </w:r>
    </w:p>
    <w:p>
      <w:pPr>
        <w:spacing w:line="360" w:lineRule="auto"/>
        <w:rPr>
          <w:rFonts w:hint="eastAsia" w:ascii="宋体" w:hAnsi="宋体" w:cs="宋体"/>
          <w:sz w:val="24"/>
        </w:rPr>
      </w:pPr>
      <w:r>
        <w:rPr>
          <w:rFonts w:hint="eastAsia" w:ascii="宋体" w:hAnsi="宋体" w:cs="宋体"/>
          <w:sz w:val="24"/>
        </w:rPr>
        <w:t xml:space="preserve">    预算金额未达100万元的采购项目，由采购人处理采购争议。</w:t>
      </w: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sectPr>
          <w:headerReference r:id="rId4" w:type="first"/>
          <w:footerReference r:id="rId7" w:type="first"/>
          <w:headerReference r:id="rId3" w:type="default"/>
          <w:footerReference r:id="rId5" w:type="default"/>
          <w:footerReference r:id="rId6"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CA问题联系电话（人工）：汇信CA 400-888-4636；天谷CA 400-087-8198。                       </w:t>
      </w:r>
    </w:p>
    <w:p>
      <w:pPr>
        <w:pStyle w:val="5"/>
        <w:bidi w:val="0"/>
      </w:pPr>
      <w:r>
        <w:rPr>
          <w:rFonts w:hint="eastAsia"/>
        </w:rPr>
        <w:t>第二部分</w:t>
      </w:r>
      <w:bookmarkEnd w:id="8"/>
      <w:r>
        <w:rPr>
          <w:rFonts w:hint="eastAsia"/>
        </w:rPr>
        <w:t xml:space="preserve"> 投标人须知</w:t>
      </w:r>
      <w:bookmarkEnd w:id="9"/>
    </w:p>
    <w:p>
      <w:pPr>
        <w:pStyle w:val="5"/>
        <w:bidi w:val="0"/>
        <w:rPr>
          <w:rFonts w:hint="eastAsia"/>
        </w:rPr>
      </w:pPr>
      <w:r>
        <w:rPr>
          <w:rFonts w:hint="eastAsia"/>
        </w:rPr>
        <w:t>前附表</w:t>
      </w:r>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tc>
          <w:tcPr>
            <w:tcW w:w="812" w:type="dxa"/>
            <w:vAlign w:val="center"/>
          </w:tcPr>
          <w:p>
            <w:pPr>
              <w:snapToGrid w:val="0"/>
              <w:spacing w:line="360" w:lineRule="auto"/>
              <w:jc w:val="center"/>
              <w:rPr>
                <w:vertAlign w:val="baseline"/>
              </w:rPr>
            </w:pPr>
            <w:r>
              <w:rPr>
                <w:rFonts w:hint="eastAsia" w:ascii="宋体" w:hAnsi="宋体" w:cs="宋体"/>
                <w:b/>
                <w:sz w:val="24"/>
              </w:rPr>
              <w:t>序号</w:t>
            </w:r>
          </w:p>
        </w:tc>
        <w:tc>
          <w:tcPr>
            <w:tcW w:w="2206" w:type="dxa"/>
            <w:vAlign w:val="center"/>
          </w:tcPr>
          <w:p>
            <w:pPr>
              <w:snapToGrid w:val="0"/>
              <w:spacing w:line="360" w:lineRule="auto"/>
              <w:jc w:val="center"/>
              <w:rPr>
                <w:vertAlign w:val="baseline"/>
              </w:rPr>
            </w:pPr>
            <w:r>
              <w:rPr>
                <w:rFonts w:hint="eastAsia" w:ascii="宋体" w:hAnsi="宋体" w:cs="宋体"/>
                <w:b/>
                <w:sz w:val="24"/>
              </w:rPr>
              <w:t>事项</w:t>
            </w:r>
          </w:p>
        </w:tc>
        <w:tc>
          <w:tcPr>
            <w:tcW w:w="5901" w:type="dxa"/>
            <w:vAlign w:val="center"/>
          </w:tcPr>
          <w:p>
            <w:pPr>
              <w:snapToGrid w:val="0"/>
              <w:spacing w:line="360" w:lineRule="auto"/>
              <w:jc w:val="center"/>
              <w:rPr>
                <w:vertAlign w:val="baseline"/>
              </w:rPr>
            </w:pPr>
            <w:r>
              <w:rPr>
                <w:rFonts w:hint="eastAsia" w:ascii="宋体" w:hAnsi="宋体" w:cs="宋体"/>
                <w:b/>
                <w:sz w:val="24"/>
              </w:rPr>
              <w:t>本项目的特别规定</w:t>
            </w:r>
          </w:p>
        </w:tc>
      </w:tr>
      <w:tr>
        <w:tc>
          <w:tcPr>
            <w:tcW w:w="812" w:type="dxa"/>
            <w:vAlign w:val="center"/>
          </w:tcPr>
          <w:p>
            <w:pPr>
              <w:snapToGrid w:val="0"/>
              <w:spacing w:line="360" w:lineRule="auto"/>
              <w:jc w:val="center"/>
              <w:rPr>
                <w:vertAlign w:val="baseline"/>
              </w:rPr>
            </w:pPr>
            <w:r>
              <w:rPr>
                <w:rFonts w:hint="eastAsia" w:ascii="宋体" w:hAnsi="宋体" w:cs="宋体"/>
                <w:sz w:val="24"/>
              </w:rPr>
              <w:t>1</w:t>
            </w:r>
          </w:p>
        </w:tc>
        <w:tc>
          <w:tcPr>
            <w:tcW w:w="2206" w:type="dxa"/>
            <w:vAlign w:val="center"/>
          </w:tcPr>
          <w:p>
            <w:pPr>
              <w:snapToGrid w:val="0"/>
              <w:spacing w:line="360" w:lineRule="auto"/>
              <w:jc w:val="center"/>
              <w:rPr>
                <w:vertAlign w:val="baseline"/>
              </w:rPr>
            </w:pPr>
            <w:r>
              <w:rPr>
                <w:rFonts w:hint="eastAsia" w:ascii="宋体" w:hAnsi="宋体" w:cs="宋体"/>
                <w:b/>
                <w:sz w:val="24"/>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c>
          <w:tcPr>
            <w:tcW w:w="812" w:type="dxa"/>
            <w:vAlign w:val="center"/>
          </w:tcPr>
          <w:p>
            <w:pPr>
              <w:snapToGrid w:val="0"/>
              <w:spacing w:line="360" w:lineRule="auto"/>
              <w:jc w:val="center"/>
              <w:rPr>
                <w:rFonts w:hint="eastAsia" w:eastAsia="宋体"/>
                <w:color w:val="auto"/>
                <w:vertAlign w:val="baseline"/>
                <w:lang w:val="en-US" w:eastAsia="zh-CN"/>
              </w:rPr>
            </w:pPr>
            <w:r>
              <w:rPr>
                <w:rFonts w:hint="eastAsia"/>
                <w:color w:val="auto"/>
                <w:vertAlign w:val="baseline"/>
                <w:lang w:val="en-US" w:eastAsia="zh-CN"/>
              </w:rPr>
              <w:t>2</w:t>
            </w:r>
          </w:p>
        </w:tc>
        <w:tc>
          <w:tcPr>
            <w:tcW w:w="2206" w:type="dxa"/>
            <w:vAlign w:val="center"/>
          </w:tcPr>
          <w:p>
            <w:pPr>
              <w:snapToGrid w:val="0"/>
              <w:spacing w:line="360" w:lineRule="auto"/>
              <w:jc w:val="center"/>
              <w:rPr>
                <w:color w:val="auto"/>
                <w:vertAlign w:val="baseline"/>
              </w:rPr>
            </w:pPr>
            <w:r>
              <w:rPr>
                <w:rFonts w:hint="eastAsia" w:ascii="宋体" w:hAnsi="宋体" w:cs="宋体"/>
                <w:b/>
                <w:color w:val="auto"/>
                <w:sz w:val="24"/>
              </w:rPr>
              <w:t>采购标的及其对应的中小企业划分标准所属行业</w:t>
            </w:r>
          </w:p>
        </w:tc>
        <w:tc>
          <w:tcPr>
            <w:tcW w:w="5901" w:type="dxa"/>
            <w:vAlign w:val="center"/>
          </w:tcPr>
          <w:p>
            <w:pPr>
              <w:snapToGrid w:val="0"/>
              <w:spacing w:line="360" w:lineRule="auto"/>
              <w:rPr>
                <w:color w:val="auto"/>
                <w:vertAlign w:val="baseline"/>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厅机关电脑、桌面运维项目</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软件与信息技术服务业</w:t>
            </w:r>
            <w:r>
              <w:rPr>
                <w:rFonts w:hint="eastAsia" w:ascii="宋体" w:hAnsi="宋体" w:cs="宋体"/>
                <w:color w:val="auto"/>
                <w:kern w:val="0"/>
                <w:sz w:val="24"/>
              </w:rPr>
              <w:t>；</w:t>
            </w:r>
          </w:p>
        </w:tc>
      </w:tr>
      <w:tr>
        <w:tc>
          <w:tcPr>
            <w:tcW w:w="812" w:type="dxa"/>
            <w:vAlign w:val="center"/>
          </w:tcPr>
          <w:p>
            <w:pPr>
              <w:snapToGrid w:val="0"/>
              <w:spacing w:line="360" w:lineRule="auto"/>
              <w:jc w:val="center"/>
              <w:rPr>
                <w:rFonts w:hint="eastAsia" w:eastAsia="宋体"/>
                <w:vertAlign w:val="baseline"/>
                <w:lang w:eastAsia="zh-CN"/>
              </w:rPr>
            </w:pPr>
            <w:r>
              <w:rPr>
                <w:rFonts w:hint="eastAsia" w:ascii="宋体" w:hAnsi="宋体" w:cs="宋体"/>
                <w:sz w:val="24"/>
                <w:lang w:val="en-US" w:eastAsia="zh-CN"/>
              </w:rPr>
              <w:t>3</w:t>
            </w:r>
          </w:p>
        </w:tc>
        <w:tc>
          <w:tcPr>
            <w:tcW w:w="2206" w:type="dxa"/>
            <w:vAlign w:val="center"/>
          </w:tcPr>
          <w:p>
            <w:pPr>
              <w:snapToGrid w:val="0"/>
              <w:spacing w:line="360" w:lineRule="auto"/>
              <w:jc w:val="center"/>
              <w:rPr>
                <w:vertAlign w:val="baseline"/>
              </w:rPr>
            </w:pPr>
            <w:r>
              <w:rPr>
                <w:rFonts w:hint="eastAsia" w:ascii="宋体" w:hAnsi="宋体" w:cs="宋体"/>
                <w:b/>
                <w:sz w:val="24"/>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c>
          <w:tcPr>
            <w:tcW w:w="812" w:type="dxa"/>
            <w:vAlign w:val="center"/>
          </w:tcPr>
          <w:p>
            <w:pPr>
              <w:snapToGrid w:val="0"/>
              <w:spacing w:line="360" w:lineRule="auto"/>
              <w:jc w:val="center"/>
              <w:rPr>
                <w:rFonts w:hint="eastAsia" w:eastAsia="宋体"/>
                <w:vertAlign w:val="baseline"/>
                <w:lang w:eastAsia="zh-CN"/>
              </w:rPr>
            </w:pPr>
            <w:r>
              <w:rPr>
                <w:rFonts w:hint="eastAsia" w:ascii="宋体" w:hAnsi="宋体" w:cs="宋体"/>
                <w:sz w:val="24"/>
                <w:lang w:val="en-US" w:eastAsia="zh-CN"/>
              </w:rPr>
              <w:t>4</w:t>
            </w:r>
          </w:p>
        </w:tc>
        <w:tc>
          <w:tcPr>
            <w:tcW w:w="2206" w:type="dxa"/>
            <w:vAlign w:val="center"/>
          </w:tcPr>
          <w:p>
            <w:pPr>
              <w:snapToGrid w:val="0"/>
              <w:spacing w:line="360" w:lineRule="auto"/>
              <w:jc w:val="center"/>
              <w:rPr>
                <w:color w:val="auto"/>
                <w:vertAlign w:val="baseline"/>
              </w:rPr>
            </w:pPr>
            <w:r>
              <w:rPr>
                <w:rFonts w:hint="eastAsia"/>
                <w:b/>
                <w:bCs/>
                <w:color w:val="auto"/>
                <w:vertAlign w:val="baseline"/>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728692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c>
          <w:tcPr>
            <w:tcW w:w="812"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206" w:type="dxa"/>
            <w:vAlign w:val="center"/>
          </w:tcPr>
          <w:p>
            <w:pPr>
              <w:snapToGrid w:val="0"/>
              <w:spacing w:line="360" w:lineRule="auto"/>
              <w:jc w:val="center"/>
              <w:rPr>
                <w:rFonts w:hint="eastAsia"/>
                <w:b/>
                <w:bCs/>
                <w:color w:val="auto"/>
                <w:vertAlign w:val="baseline"/>
              </w:rPr>
            </w:pPr>
            <w:r>
              <w:rPr>
                <w:rFonts w:hint="eastAsia" w:ascii="宋体" w:hAnsi="宋体" w:cs="宋体"/>
                <w:b/>
                <w:sz w:val="24"/>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c>
          <w:tcPr>
            <w:tcW w:w="812" w:type="dxa"/>
            <w:vAlign w:val="center"/>
          </w:tcPr>
          <w:p>
            <w:pPr>
              <w:snapToGrid w:val="0"/>
              <w:spacing w:line="360" w:lineRule="auto"/>
              <w:jc w:val="center"/>
              <w:rPr>
                <w:rFonts w:hint="eastAsia" w:eastAsia="宋体"/>
                <w:color w:val="auto"/>
                <w:vertAlign w:val="baseline"/>
                <w:lang w:eastAsia="zh-CN"/>
              </w:rPr>
            </w:pPr>
            <w:r>
              <w:rPr>
                <w:rFonts w:hint="eastAsia" w:ascii="宋体" w:hAnsi="宋体" w:cs="宋体"/>
                <w:sz w:val="24"/>
                <w:lang w:val="en-US" w:eastAsia="zh-CN"/>
              </w:rPr>
              <w:t>6</w:t>
            </w:r>
          </w:p>
        </w:tc>
        <w:tc>
          <w:tcPr>
            <w:tcW w:w="2206" w:type="dxa"/>
            <w:vAlign w:val="center"/>
          </w:tcPr>
          <w:p>
            <w:pPr>
              <w:snapToGrid w:val="0"/>
              <w:spacing w:line="360" w:lineRule="auto"/>
              <w:jc w:val="center"/>
              <w:rPr>
                <w:color w:val="auto"/>
                <w:vertAlign w:val="baseline"/>
              </w:rPr>
            </w:pPr>
            <w:r>
              <w:rPr>
                <w:rFonts w:hint="eastAsia" w:ascii="宋体" w:hAnsi="宋体" w:cs="宋体"/>
                <w:b/>
                <w:color w:val="auto"/>
                <w:sz w:val="24"/>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hint="eastAsia" w:ascii="宋体" w:hAnsi="宋体" w:cs="宋体"/>
                <w:b/>
                <w:bCs/>
                <w:color w:val="auto"/>
                <w:sz w:val="24"/>
                <w:lang w:eastAsia="zh-CN"/>
              </w:rPr>
            </w:pPr>
            <w:r>
              <w:rPr>
                <w:rFonts w:hint="eastAsia" w:ascii="宋体" w:hAnsi="宋体" w:cs="宋体"/>
                <w:color w:val="auto"/>
                <w:sz w:val="24"/>
              </w:rPr>
              <w:t>（5）</w:t>
            </w:r>
            <w:r>
              <w:rPr>
                <w:rFonts w:hint="eastAsia" w:ascii="宋体" w:hAnsi="宋体" w:cs="宋体"/>
                <w:b/>
                <w:bCs/>
                <w:color w:val="auto"/>
                <w:sz w:val="24"/>
              </w:rPr>
              <w:t>提供样品的时间：</w:t>
            </w:r>
            <w:r>
              <w:rPr>
                <w:rFonts w:hint="eastAsia" w:ascii="宋体" w:hAnsi="宋体" w:cs="宋体"/>
                <w:b/>
                <w:bCs/>
                <w:color w:val="auto"/>
                <w:sz w:val="24"/>
                <w:lang w:eastAsia="zh-CN"/>
              </w:rPr>
              <w:t>供应商可根据自身情况选择在</w:t>
            </w:r>
            <w:r>
              <w:rPr>
                <w:rFonts w:hint="eastAsia" w:ascii="宋体" w:hAnsi="宋体" w:cs="宋体"/>
                <w:b/>
                <w:bCs/>
                <w:color w:val="auto"/>
                <w:sz w:val="24"/>
                <w:lang w:val="en-US" w:eastAsia="zh-CN"/>
              </w:rPr>
              <w:t>直接</w:t>
            </w:r>
            <w:r>
              <w:rPr>
                <w:rFonts w:hint="eastAsia" w:ascii="宋体" w:hAnsi="宋体" w:cs="宋体"/>
                <w:b/>
                <w:bCs/>
                <w:color w:val="auto"/>
                <w:sz w:val="24"/>
                <w:lang w:eastAsia="zh-CN"/>
              </w:rPr>
              <w:t>递交或邮寄方式递交，</w:t>
            </w:r>
            <w:r>
              <w:rPr>
                <w:rFonts w:hint="eastAsia" w:ascii="宋体" w:hAnsi="宋体" w:cs="宋体"/>
                <w:b/>
                <w:bCs/>
                <w:color w:val="auto"/>
                <w:sz w:val="24"/>
                <w:lang w:val="en-US" w:eastAsia="zh-CN"/>
              </w:rPr>
              <w:t>要求在投标截止前送达（如需安装，需安装完毕）</w:t>
            </w:r>
            <w:r>
              <w:rPr>
                <w:rFonts w:hint="eastAsia" w:ascii="宋体" w:hAnsi="宋体" w:cs="宋体"/>
                <w:b/>
                <w:bCs/>
                <w:color w:val="auto"/>
                <w:sz w:val="24"/>
                <w:lang w:eastAsia="zh-CN"/>
              </w:rPr>
              <w:t>，如因自身原因导致样品未在规定时间送达指定地点，后果自负。</w:t>
            </w:r>
            <w:r>
              <w:rPr>
                <w:rFonts w:hint="eastAsia" w:ascii="宋体" w:hAnsi="宋体" w:cs="宋体"/>
                <w:b/>
                <w:bCs/>
                <w:color w:val="auto"/>
                <w:sz w:val="24"/>
              </w:rPr>
              <w:t>超过截止时间的，采购人或采购代理机构将不予接收。</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b/>
                <w:bCs/>
                <w:color w:val="auto"/>
                <w:sz w:val="24"/>
                <w:lang w:val="en-US" w:eastAsia="zh-CN"/>
              </w:rPr>
              <w:t>样品提交</w:t>
            </w:r>
            <w:r>
              <w:rPr>
                <w:rFonts w:hint="eastAsia" w:ascii="宋体" w:hAnsi="宋体" w:cs="宋体"/>
                <w:b/>
                <w:bCs/>
                <w:color w:val="auto"/>
                <w:sz w:val="24"/>
              </w:rPr>
              <w:t>地址：</w:t>
            </w:r>
            <w:r>
              <w:rPr>
                <w:rFonts w:hint="eastAsia" w:ascii="宋体" w:hAnsi="宋体" w:cs="宋体"/>
                <w:b/>
                <w:bCs/>
                <w:color w:val="auto"/>
                <w:sz w:val="24"/>
                <w:lang w:eastAsia="zh-CN"/>
              </w:rPr>
              <w:t>浙江省杭州市文二路391号西湖国际科技大厦 B-2座</w:t>
            </w:r>
            <w:r>
              <w:rPr>
                <w:rFonts w:hint="eastAsia" w:ascii="宋体" w:hAnsi="宋体" w:cs="宋体"/>
                <w:b/>
                <w:bCs/>
                <w:color w:val="auto"/>
                <w:sz w:val="24"/>
                <w:lang w:val="en-US" w:eastAsia="zh-CN"/>
              </w:rPr>
              <w:t>11</w:t>
            </w:r>
            <w:r>
              <w:rPr>
                <w:rFonts w:hint="eastAsia" w:ascii="宋体" w:hAnsi="宋体" w:cs="宋体"/>
                <w:b/>
                <w:bCs/>
                <w:color w:val="auto"/>
                <w:sz w:val="24"/>
                <w:lang w:eastAsia="zh-CN"/>
              </w:rPr>
              <w:t>07室</w:t>
            </w:r>
            <w:r>
              <w:rPr>
                <w:rFonts w:hint="eastAsia" w:ascii="宋体" w:hAnsi="宋体" w:cs="宋体"/>
                <w:b/>
                <w:bCs/>
                <w:color w:val="auto"/>
                <w:sz w:val="24"/>
              </w:rPr>
              <w:t>浙江信镧建设工程咨询有限公司，</w:t>
            </w:r>
            <w:r>
              <w:rPr>
                <w:rFonts w:hint="eastAsia" w:ascii="宋体" w:hAnsi="宋体" w:cs="宋体"/>
                <w:b/>
                <w:bCs/>
                <w:color w:val="auto"/>
                <w:sz w:val="24"/>
                <w:lang w:eastAsia="zh-CN"/>
              </w:rPr>
              <w:t>胡校芳</w:t>
            </w:r>
            <w:r>
              <w:rPr>
                <w:rFonts w:hint="eastAsia" w:ascii="宋体" w:hAnsi="宋体" w:cs="宋体"/>
                <w:b/>
                <w:bCs/>
                <w:color w:val="auto"/>
                <w:sz w:val="24"/>
              </w:rPr>
              <w:t>收，</w:t>
            </w:r>
            <w:r>
              <w:rPr>
                <w:rFonts w:hint="eastAsia" w:ascii="宋体" w:hAnsi="宋体" w:cs="宋体"/>
                <w:b/>
                <w:bCs/>
                <w:color w:val="auto"/>
                <w:sz w:val="24"/>
                <w:lang w:val="en-US" w:eastAsia="zh-CN"/>
              </w:rPr>
              <w:t>0571-87967630</w:t>
            </w:r>
            <w:r>
              <w:rPr>
                <w:rFonts w:hint="eastAsia" w:ascii="宋体" w:hAnsi="宋体" w:cs="宋体"/>
                <w:b/>
                <w:bCs/>
                <w:color w:val="auto"/>
                <w:sz w:val="24"/>
              </w:rPr>
              <w:t>）。</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(6)采购活动结束后，对于未中标人提供的样品，请未中标人在成交结果公示结束后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取回，逾期未取回的，采购人、采购机构不负保管义务；对于中标人提供的样品，采购人将进行保管、封存，并作为履约验收的参考。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color w:val="auto"/>
                <w:vertAlign w:val="baseline"/>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tc>
      </w:tr>
      <w:tr>
        <w:tc>
          <w:tcPr>
            <w:tcW w:w="812" w:type="dxa"/>
            <w:vAlign w:val="center"/>
          </w:tcPr>
          <w:p>
            <w:pPr>
              <w:snapToGrid w:val="0"/>
              <w:spacing w:line="360" w:lineRule="auto"/>
              <w:jc w:val="center"/>
              <w:rPr>
                <w:rFonts w:hint="eastAsia" w:eastAsia="宋体"/>
                <w:vertAlign w:val="baseline"/>
                <w:lang w:eastAsia="zh-CN"/>
              </w:rPr>
            </w:pPr>
            <w:r>
              <w:rPr>
                <w:rFonts w:hint="eastAsia" w:ascii="宋体" w:hAnsi="宋体" w:cs="宋体"/>
                <w:color w:val="auto"/>
                <w:sz w:val="24"/>
                <w:lang w:val="en-US" w:eastAsia="zh-CN"/>
              </w:rPr>
              <w:t>7</w:t>
            </w:r>
          </w:p>
        </w:tc>
        <w:tc>
          <w:tcPr>
            <w:tcW w:w="2206" w:type="dxa"/>
            <w:vAlign w:val="center"/>
          </w:tcPr>
          <w:p>
            <w:pPr>
              <w:snapToGrid w:val="0"/>
              <w:spacing w:line="360" w:lineRule="auto"/>
              <w:jc w:val="center"/>
              <w:rPr>
                <w:vertAlign w:val="baseline"/>
              </w:rPr>
            </w:pPr>
            <w:r>
              <w:rPr>
                <w:rFonts w:hint="eastAsia" w:ascii="宋体" w:hAnsi="宋体" w:cs="宋体"/>
                <w:b/>
                <w:sz w:val="24"/>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w:t>
            </w:r>
            <w:r>
              <w:rPr>
                <w:rFonts w:hint="eastAsia" w:cs="仿宋" w:asciiTheme="minorEastAsia" w:hAnsiTheme="minorEastAsia" w:eastAsiaTheme="minorEastAsia"/>
                <w:b w:val="0"/>
                <w:bCs w:val="0"/>
                <w:color w:val="auto"/>
                <w:kern w:val="0"/>
                <w:sz w:val="24"/>
                <w:szCs w:val="24"/>
                <w:u w:val="single"/>
              </w:rPr>
              <w:t>技术评分要求</w:t>
            </w:r>
            <w:r>
              <w:rPr>
                <w:rFonts w:hint="eastAsia" w:cs="仿宋" w:asciiTheme="minorEastAsia" w:hAnsiTheme="minorEastAsia" w:eastAsiaTheme="minorEastAsia"/>
                <w:b w:val="0"/>
                <w:bCs w:val="0"/>
                <w:color w:val="auto"/>
                <w:kern w:val="0"/>
                <w:sz w:val="24"/>
                <w:szCs w:val="24"/>
                <w:u w:val="single"/>
                <w:lang w:eastAsia="zh-CN"/>
              </w:rPr>
              <w:t>，要求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cs="仿宋" w:asciiTheme="minorEastAsia" w:hAnsiTheme="minorEastAsia" w:eastAsiaTheme="minorEastAsia"/>
                <w:b w:val="0"/>
                <w:bCs w:val="0"/>
                <w:color w:val="auto"/>
                <w:kern w:val="0"/>
                <w:sz w:val="24"/>
                <w:szCs w:val="24"/>
                <w:lang w:val="en-US" w:eastAsia="zh-CN"/>
              </w:rPr>
              <w:t xml:space="preserve">  </w:t>
            </w:r>
            <w:r>
              <w:rPr>
                <w:rFonts w:hint="eastAsia" w:hAnsi="宋体" w:cs="宋体"/>
                <w:color w:val="auto"/>
                <w:sz w:val="24"/>
                <w:u w:val="none"/>
                <w:lang w:eastAsia="zh-CN"/>
              </w:rPr>
              <w:t>，</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c>
          <w:tcPr>
            <w:tcW w:w="812" w:type="dxa"/>
            <w:vMerge w:val="restart"/>
            <w:vAlign w:val="center"/>
          </w:tcPr>
          <w:p>
            <w:pPr>
              <w:snapToGrid w:val="0"/>
              <w:spacing w:line="360" w:lineRule="auto"/>
              <w:jc w:val="center"/>
              <w:rPr>
                <w:rFonts w:hint="eastAsia" w:eastAsia="宋体"/>
                <w:vertAlign w:val="baseline"/>
                <w:lang w:eastAsia="zh-CN"/>
              </w:rPr>
            </w:pPr>
            <w:r>
              <w:rPr>
                <w:rFonts w:hint="eastAsia" w:ascii="宋体" w:hAnsi="宋体" w:cs="宋体"/>
                <w:sz w:val="24"/>
                <w:lang w:val="en-US" w:eastAsia="zh-CN"/>
              </w:rPr>
              <w:t>8</w:t>
            </w:r>
          </w:p>
        </w:tc>
        <w:tc>
          <w:tcPr>
            <w:tcW w:w="2206" w:type="dxa"/>
            <w:vMerge w:val="restart"/>
            <w:vAlign w:val="center"/>
          </w:tcPr>
          <w:p>
            <w:pPr>
              <w:snapToGrid w:val="0"/>
              <w:spacing w:line="360" w:lineRule="auto"/>
              <w:jc w:val="center"/>
              <w:rPr>
                <w:vertAlign w:val="baseline"/>
              </w:rPr>
            </w:pPr>
            <w:r>
              <w:rPr>
                <w:rFonts w:hint="eastAsia" w:ascii="宋体" w:hAnsi="宋体" w:cs="宋体"/>
                <w:b/>
                <w:sz w:val="24"/>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c>
          <w:tcPr>
            <w:tcW w:w="812" w:type="dxa"/>
            <w:vMerge w:val="continue"/>
            <w:vAlign w:val="center"/>
          </w:tcPr>
          <w:p>
            <w:pPr>
              <w:snapToGrid w:val="0"/>
              <w:spacing w:line="360" w:lineRule="auto"/>
              <w:jc w:val="center"/>
              <w:rPr>
                <w:vertAlign w:val="baseline"/>
              </w:rPr>
            </w:pPr>
          </w:p>
        </w:tc>
        <w:tc>
          <w:tcPr>
            <w:tcW w:w="2206" w:type="dxa"/>
            <w:vMerge w:val="continue"/>
            <w:vAlign w:val="center"/>
          </w:tcPr>
          <w:p>
            <w:pPr>
              <w:snapToGrid w:val="0"/>
              <w:spacing w:line="360" w:lineRule="auto"/>
              <w:jc w:val="center"/>
              <w:rPr>
                <w:vertAlign w:val="baseline"/>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c>
          <w:tcPr>
            <w:tcW w:w="812" w:type="dxa"/>
            <w:vAlign w:val="center"/>
          </w:tcPr>
          <w:p>
            <w:pPr>
              <w:snapToGrid w:val="0"/>
              <w:spacing w:line="360" w:lineRule="auto"/>
              <w:jc w:val="center"/>
              <w:rPr>
                <w:rFonts w:hint="default" w:eastAsia="宋体"/>
                <w:vertAlign w:val="baseline"/>
                <w:lang w:val="en-US" w:eastAsia="zh-CN"/>
              </w:rPr>
            </w:pPr>
            <w:r>
              <w:rPr>
                <w:rFonts w:hint="eastAsia" w:ascii="宋体" w:hAnsi="宋体" w:cs="宋体"/>
                <w:sz w:val="24"/>
                <w:lang w:val="en-US" w:eastAsia="zh-CN"/>
              </w:rPr>
              <w:t>9</w:t>
            </w:r>
          </w:p>
        </w:tc>
        <w:tc>
          <w:tcPr>
            <w:tcW w:w="2206" w:type="dxa"/>
            <w:vAlign w:val="center"/>
          </w:tcPr>
          <w:p>
            <w:pPr>
              <w:snapToGrid w:val="0"/>
              <w:spacing w:line="360" w:lineRule="auto"/>
              <w:jc w:val="center"/>
              <w:rPr>
                <w:vertAlign w:val="baseline"/>
              </w:rPr>
            </w:pPr>
            <w:r>
              <w:rPr>
                <w:rFonts w:hint="eastAsia" w:ascii="宋体" w:hAnsi="宋体" w:cs="宋体"/>
                <w:b/>
                <w:sz w:val="24"/>
              </w:rPr>
              <w:t>节能产品、环境标志产品</w:t>
            </w:r>
          </w:p>
        </w:tc>
        <w:tc>
          <w:tcPr>
            <w:tcW w:w="5901" w:type="dxa"/>
            <w:vAlign w:val="center"/>
          </w:tcPr>
          <w:p>
            <w:pPr>
              <w:snapToGrid w:val="0"/>
              <w:spacing w:line="360" w:lineRule="auto"/>
              <w:jc w:val="left"/>
              <w:rPr>
                <w:rFonts w:hint="default" w:eastAsia="宋体"/>
                <w:vertAlign w:val="baseline"/>
                <w:lang w:val="en-US" w:eastAsia="zh-CN"/>
              </w:rPr>
            </w:pPr>
            <w:r>
              <w:rPr>
                <w:rFonts w:hint="eastAsia" w:ascii="宋体" w:hAnsi="宋体" w:cs="宋体"/>
                <w:kern w:val="0"/>
                <w:sz w:val="24"/>
                <w:lang w:val="en-US" w:eastAsia="zh-CN"/>
              </w:rPr>
              <w:t>本项目不适用</w:t>
            </w:r>
          </w:p>
        </w:tc>
      </w:tr>
      <w:tr>
        <w:tc>
          <w:tcPr>
            <w:tcW w:w="812" w:type="dxa"/>
            <w:vAlign w:val="center"/>
          </w:tcPr>
          <w:p>
            <w:pPr>
              <w:snapToGrid w:val="0"/>
              <w:spacing w:line="360" w:lineRule="auto"/>
              <w:jc w:val="center"/>
              <w:rPr>
                <w:rFonts w:hint="default" w:eastAsia="宋体"/>
                <w:vertAlign w:val="baseline"/>
                <w:lang w:val="en-US" w:eastAsia="zh-CN"/>
              </w:rPr>
            </w:pPr>
            <w:r>
              <w:rPr>
                <w:rFonts w:hint="eastAsia" w:ascii="宋体" w:hAnsi="宋体" w:cs="宋体"/>
                <w:sz w:val="24"/>
                <w:lang w:val="en-US" w:eastAsia="zh-CN"/>
              </w:rPr>
              <w:t>10</w:t>
            </w:r>
          </w:p>
        </w:tc>
        <w:tc>
          <w:tcPr>
            <w:tcW w:w="2206" w:type="dxa"/>
            <w:vAlign w:val="center"/>
          </w:tcPr>
          <w:p>
            <w:pPr>
              <w:snapToGrid w:val="0"/>
              <w:spacing w:line="360" w:lineRule="auto"/>
              <w:jc w:val="center"/>
              <w:rPr>
                <w:vertAlign w:val="baseline"/>
              </w:rPr>
            </w:pPr>
            <w:r>
              <w:rPr>
                <w:rFonts w:hint="eastAsia" w:ascii="宋体" w:hAnsi="宋体" w:cs="宋体"/>
                <w:b/>
                <w:sz w:val="24"/>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jc w:val="left"/>
              <w:rPr>
                <w:b/>
                <w:bCs/>
                <w:lang w:val="zh-CN"/>
              </w:rPr>
            </w:pPr>
            <w:r>
              <w:rPr>
                <w:rFonts w:hint="eastAsia"/>
                <w:b/>
                <w:bCs/>
                <w:lang w:val="zh-CN"/>
              </w:rPr>
              <w:t>投标报价出现下列情形的，投标无效：</w:t>
            </w:r>
          </w:p>
          <w:p>
            <w:pPr>
              <w:snapToGrid w:val="0"/>
              <w:spacing w:line="360" w:lineRule="auto"/>
              <w:ind w:firstLine="480" w:firstLineChars="200"/>
              <w:jc w:val="left"/>
              <w:rPr>
                <w:b/>
                <w:bCs/>
                <w:lang w:val="zh-CN"/>
              </w:rPr>
            </w:pPr>
            <w:r>
              <w:rPr>
                <w:rFonts w:hint="eastAsia"/>
                <w:b/>
                <w:bCs/>
                <w:lang w:val="zh-CN"/>
              </w:rPr>
              <w:t>投标文件出现不是唯一的、有选择性投标报价的；</w:t>
            </w:r>
          </w:p>
          <w:p>
            <w:pPr>
              <w:snapToGrid w:val="0"/>
              <w:spacing w:line="360" w:lineRule="auto"/>
              <w:ind w:firstLine="480" w:firstLineChars="200"/>
              <w:jc w:val="left"/>
              <w:rPr>
                <w:b/>
                <w:bCs/>
                <w:lang w:val="zh-CN"/>
              </w:rPr>
            </w:pPr>
            <w:r>
              <w:rPr>
                <w:rFonts w:hint="eastAsia"/>
                <w:b/>
                <w:bCs/>
                <w:lang w:val="zh-CN"/>
              </w:rPr>
              <w:t>投标报价超过招标文件中规定的预算金额或者最高限价的;</w:t>
            </w:r>
          </w:p>
          <w:p>
            <w:pPr>
              <w:spacing w:line="360" w:lineRule="auto"/>
              <w:ind w:firstLine="480"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0"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80"/>
              <w:ind w:left="0" w:leftChars="0" w:firstLine="480"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rPr>
          <w:trHeight w:val="446" w:hRule="atLeast"/>
        </w:trPr>
        <w:tc>
          <w:tcPr>
            <w:tcW w:w="812" w:type="dxa"/>
            <w:vAlign w:val="center"/>
          </w:tcPr>
          <w:p>
            <w:pPr>
              <w:snapToGrid w:val="0"/>
              <w:spacing w:line="360" w:lineRule="auto"/>
              <w:jc w:val="center"/>
              <w:rPr>
                <w:rFonts w:hint="default" w:eastAsia="宋体"/>
                <w:vertAlign w:val="baseline"/>
                <w:lang w:val="en-US" w:eastAsia="zh-CN"/>
              </w:rPr>
            </w:pPr>
            <w:r>
              <w:rPr>
                <w:rFonts w:hint="eastAsia" w:ascii="宋体" w:hAnsi="宋体" w:cs="宋体"/>
                <w:sz w:val="24"/>
                <w:lang w:val="en-US" w:eastAsia="zh-CN"/>
              </w:rPr>
              <w:t>11</w:t>
            </w:r>
          </w:p>
        </w:tc>
        <w:tc>
          <w:tcPr>
            <w:tcW w:w="2206" w:type="dxa"/>
            <w:vAlign w:val="center"/>
          </w:tcPr>
          <w:p>
            <w:pPr>
              <w:snapToGrid w:val="0"/>
              <w:spacing w:line="360" w:lineRule="auto"/>
              <w:jc w:val="center"/>
              <w:rPr>
                <w:vertAlign w:val="baseline"/>
              </w:rPr>
            </w:pPr>
            <w:r>
              <w:rPr>
                <w:rFonts w:hint="eastAsia" w:ascii="宋体" w:hAnsi="宋体" w:cs="宋体"/>
                <w:b/>
                <w:sz w:val="24"/>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c>
          <w:tcPr>
            <w:tcW w:w="812" w:type="dxa"/>
            <w:vAlign w:val="center"/>
          </w:tcPr>
          <w:p>
            <w:pPr>
              <w:snapToGrid w:val="0"/>
              <w:spacing w:line="360" w:lineRule="auto"/>
              <w:jc w:val="center"/>
              <w:rPr>
                <w:rFonts w:hint="default" w:eastAsia="宋体"/>
                <w:vertAlign w:val="baseline"/>
                <w:lang w:val="en-US" w:eastAsia="zh-CN"/>
              </w:rPr>
            </w:pPr>
            <w:r>
              <w:rPr>
                <w:rFonts w:hint="eastAsia" w:ascii="宋体" w:hAnsi="宋体" w:cs="宋体"/>
                <w:sz w:val="24"/>
                <w:lang w:val="en-US" w:eastAsia="zh-CN"/>
              </w:rPr>
              <w:t>12</w:t>
            </w:r>
          </w:p>
        </w:tc>
        <w:tc>
          <w:tcPr>
            <w:tcW w:w="2206" w:type="dxa"/>
            <w:vAlign w:val="center"/>
          </w:tcPr>
          <w:p>
            <w:pPr>
              <w:snapToGrid w:val="0"/>
              <w:spacing w:line="360" w:lineRule="auto"/>
              <w:jc w:val="center"/>
              <w:rPr>
                <w:highlight w:val="none"/>
                <w:vertAlign w:val="baseline"/>
              </w:rPr>
            </w:pPr>
            <w:r>
              <w:rPr>
                <w:rFonts w:hint="eastAsia" w:ascii="宋体" w:hAnsi="宋体" w:cs="宋体"/>
                <w:b/>
                <w:sz w:val="24"/>
                <w:highlight w:val="none"/>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采购人、采购机构不强制或变相强制投标人提交备份投标文件。</w:t>
            </w:r>
          </w:p>
        </w:tc>
      </w:tr>
      <w:tr>
        <w:trPr>
          <w:trHeight w:val="1156" w:hRule="atLeast"/>
        </w:trPr>
        <w:tc>
          <w:tcPr>
            <w:tcW w:w="812" w:type="dxa"/>
            <w:vMerge w:val="restar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default" w:eastAsia="宋体"/>
                <w:vertAlign w:val="baseline"/>
                <w:lang w:val="en-US" w:eastAsia="zh-CN"/>
              </w:rPr>
            </w:pPr>
            <w:r>
              <w:rPr>
                <w:rFonts w:hint="eastAsia" w:ascii="宋体" w:hAnsi="宋体" w:cs="宋体"/>
                <w:sz w:val="24"/>
                <w:lang w:val="en-US" w:eastAsia="zh-CN"/>
              </w:rPr>
              <w:t>13</w:t>
            </w:r>
          </w:p>
        </w:tc>
        <w:tc>
          <w:tcPr>
            <w:tcW w:w="2206" w:type="dxa"/>
            <w:vMerge w:val="restart"/>
            <w:vAlign w:val="center"/>
          </w:tcPr>
          <w:p>
            <w:pPr>
              <w:keepNext w:val="0"/>
              <w:keepLines w:val="0"/>
              <w:pageBreakBefore w:val="0"/>
              <w:kinsoku/>
              <w:wordWrap/>
              <w:overflowPunct/>
              <w:topLinePunct w:val="0"/>
              <w:autoSpaceDE/>
              <w:autoSpaceDN/>
              <w:bidi w:val="0"/>
              <w:snapToGrid w:val="0"/>
              <w:spacing w:line="360" w:lineRule="auto"/>
              <w:jc w:val="center"/>
              <w:textAlignment w:val="auto"/>
              <w:rPr>
                <w:highlight w:val="none"/>
                <w:vertAlign w:val="baseline"/>
              </w:rPr>
            </w:pPr>
            <w:r>
              <w:rPr>
                <w:rFonts w:hint="eastAsia" w:cs="仿宋_GB2312" w:asciiTheme="minorEastAsia" w:hAnsiTheme="minorEastAsia" w:eastAsiaTheme="minorEastAsia"/>
                <w:b/>
                <w:sz w:val="24"/>
                <w:highlight w:val="none"/>
              </w:rPr>
              <w:t>特别说明</w:t>
            </w:r>
          </w:p>
        </w:tc>
        <w:tc>
          <w:tcPr>
            <w:tcW w:w="5901" w:type="dxa"/>
            <w:vAlign w:val="center"/>
          </w:tcPr>
          <w:p>
            <w:pPr>
              <w:keepNext w:val="0"/>
              <w:keepLines w:val="0"/>
              <w:pageBreakBefore w:val="0"/>
              <w:kinsoku/>
              <w:wordWrap/>
              <w:overflowPunct/>
              <w:topLinePunct w:val="0"/>
              <w:autoSpaceDE/>
              <w:autoSpaceDN/>
              <w:bidi w:val="0"/>
              <w:spacing w:line="360" w:lineRule="auto"/>
              <w:textAlignment w:val="auto"/>
              <w:rPr>
                <w:color w:val="auto"/>
                <w:highlight w:val="none"/>
                <w:vertAlign w:val="baseli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rPr>
          <w:trHeight w:val="1156" w:hRule="atLeast"/>
        </w:trPr>
        <w:tc>
          <w:tcPr>
            <w:tcW w:w="812" w:type="dxa"/>
            <w:vMerge w:val="continue"/>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sz w:val="24"/>
                <w:lang w:val="en-US" w:eastAsia="zh-CN"/>
              </w:rPr>
            </w:pPr>
          </w:p>
        </w:tc>
        <w:tc>
          <w:tcPr>
            <w:tcW w:w="2206" w:type="dxa"/>
            <w:vMerge w:val="continue"/>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b/>
                <w:sz w:val="24"/>
                <w:highlight w:val="none"/>
              </w:rPr>
            </w:pPr>
          </w:p>
        </w:tc>
        <w:tc>
          <w:tcPr>
            <w:tcW w:w="5901" w:type="dxa"/>
            <w:vAlign w:val="center"/>
          </w:tcPr>
          <w:p>
            <w:pPr>
              <w:keepNext w:val="0"/>
              <w:keepLines w:val="0"/>
              <w:pageBreakBefore w:val="0"/>
              <w:kinsoku/>
              <w:wordWrap/>
              <w:overflowPunct/>
              <w:topLinePunct w:val="0"/>
              <w:autoSpaceDE/>
              <w:autoSpaceDN/>
              <w:bidi w:val="0"/>
              <w:spacing w:line="360" w:lineRule="auto"/>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snapToGrid w:val="0"/>
                <w:kern w:val="28"/>
                <w:sz w:val="24"/>
                <w:highlight w:val="no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rPr>
          <w:trHeight w:val="1227" w:hRule="atLeast"/>
        </w:trPr>
        <w:tc>
          <w:tcPr>
            <w:tcW w:w="812" w:type="dxa"/>
            <w:vMerge w:val="continue"/>
            <w:vAlign w:val="top"/>
          </w:tcPr>
          <w:p>
            <w:pPr>
              <w:keepNext w:val="0"/>
              <w:keepLines w:val="0"/>
              <w:pageBreakBefore w:val="0"/>
              <w:kinsoku/>
              <w:wordWrap/>
              <w:overflowPunct/>
              <w:topLinePunct w:val="0"/>
              <w:autoSpaceDE/>
              <w:autoSpaceDN/>
              <w:bidi w:val="0"/>
              <w:snapToGrid w:val="0"/>
              <w:spacing w:line="360" w:lineRule="auto"/>
              <w:jc w:val="center"/>
              <w:textAlignment w:val="auto"/>
              <w:rPr>
                <w:vertAlign w:val="baseline"/>
              </w:rPr>
            </w:pPr>
          </w:p>
        </w:tc>
        <w:tc>
          <w:tcPr>
            <w:tcW w:w="2206" w:type="dxa"/>
            <w:vMerge w:val="continue"/>
            <w:vAlign w:val="center"/>
          </w:tcPr>
          <w:p>
            <w:pPr>
              <w:keepNext w:val="0"/>
              <w:keepLines w:val="0"/>
              <w:pageBreakBefore w:val="0"/>
              <w:kinsoku/>
              <w:wordWrap/>
              <w:overflowPunct/>
              <w:topLinePunct w:val="0"/>
              <w:autoSpaceDE/>
              <w:autoSpaceDN/>
              <w:bidi w:val="0"/>
              <w:snapToGrid w:val="0"/>
              <w:spacing w:line="360" w:lineRule="auto"/>
              <w:jc w:val="center"/>
              <w:textAlignment w:val="auto"/>
              <w:rPr>
                <w:vertAlign w:val="baseline"/>
              </w:rPr>
            </w:pPr>
          </w:p>
        </w:tc>
        <w:tc>
          <w:tcPr>
            <w:tcW w:w="5901" w:type="dxa"/>
            <w:vAlign w:val="center"/>
          </w:tcPr>
          <w:p>
            <w:pPr>
              <w:keepNext w:val="0"/>
              <w:keepLines w:val="0"/>
              <w:pageBreakBefore w:val="0"/>
              <w:kinsoku/>
              <w:wordWrap/>
              <w:overflowPunct/>
              <w:topLinePunct w:val="0"/>
              <w:autoSpaceDE/>
              <w:autoSpaceDN/>
              <w:bidi w:val="0"/>
              <w:spacing w:line="360" w:lineRule="auto"/>
              <w:jc w:val="left"/>
              <w:textAlignment w:val="auto"/>
              <w:rPr>
                <w:color w:val="auto"/>
                <w:vertAlign w:val="baseline"/>
              </w:rPr>
            </w:pPr>
            <w:r>
              <w:rPr>
                <w:rFonts w:hint="eastAsia" w:ascii="宋体" w:hAnsi="宋体" w:cs="宋体"/>
                <w:sz w:val="24"/>
              </w:rPr>
              <w:t>▲</w:t>
            </w:r>
            <w:r>
              <w:rPr>
                <w:rFonts w:hint="eastAsia" w:ascii="宋体" w:hAnsi="宋体" w:cs="宋体"/>
                <w:snapToGrid w:val="0"/>
                <w:color w:val="auto"/>
                <w:kern w:val="28"/>
                <w:sz w:val="24"/>
              </w:rPr>
              <w:t>以联合体形式参加政府采购活动的，联合体各方不得再单独参加或者与其他投标人另外组成联合体参加同一合同项下的政府采购活动；</w:t>
            </w:r>
          </w:p>
        </w:tc>
      </w:tr>
      <w:tr>
        <w:tc>
          <w:tcPr>
            <w:tcW w:w="812" w:type="dxa"/>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default" w:eastAsia="宋体"/>
                <w:sz w:val="24"/>
                <w:szCs w:val="24"/>
                <w:vertAlign w:val="baseline"/>
                <w:lang w:val="en-US" w:eastAsia="zh-CN"/>
              </w:rPr>
            </w:pPr>
            <w:bookmarkStart w:id="11" w:name="_Toc164416483"/>
            <w:bookmarkStart w:id="12" w:name="第三部分"/>
            <w:r>
              <w:rPr>
                <w:rFonts w:hint="eastAsia" w:ascii="宋体" w:hAnsi="宋体" w:cs="宋体"/>
                <w:sz w:val="24"/>
                <w:lang w:val="en-US" w:eastAsia="zh-CN"/>
              </w:rPr>
              <w:t>14</w:t>
            </w:r>
          </w:p>
        </w:tc>
        <w:tc>
          <w:tcPr>
            <w:tcW w:w="2206" w:type="dxa"/>
            <w:vAlign w:val="center"/>
          </w:tcPr>
          <w:p>
            <w:pPr>
              <w:keepNext w:val="0"/>
              <w:keepLines w:val="0"/>
              <w:pageBreakBefore w:val="0"/>
              <w:kinsoku/>
              <w:wordWrap/>
              <w:overflowPunct/>
              <w:topLinePunct w:val="0"/>
              <w:autoSpaceDE/>
              <w:autoSpaceDN/>
              <w:bidi w:val="0"/>
              <w:spacing w:before="24" w:beforeLines="10" w:line="360" w:lineRule="auto"/>
              <w:jc w:val="center"/>
              <w:textAlignment w:val="auto"/>
              <w:rPr>
                <w:vertAlign w:val="baseline"/>
              </w:rPr>
            </w:pPr>
            <w:r>
              <w:rPr>
                <w:rFonts w:hint="eastAsia" w:ascii="宋体" w:hAnsi="宋体" w:cs="宋体"/>
                <w:b/>
                <w:bCs/>
                <w:kern w:val="0"/>
                <w:sz w:val="24"/>
              </w:rPr>
              <w:t>采购代理服务费</w:t>
            </w:r>
          </w:p>
        </w:tc>
        <w:tc>
          <w:tcPr>
            <w:tcW w:w="5901" w:type="dxa"/>
            <w:vAlign w:val="center"/>
          </w:tcPr>
          <w:p>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szCs w:val="24"/>
              </w:rPr>
            </w:pPr>
            <w:r>
              <w:rPr>
                <w:rFonts w:hint="eastAsia" w:ascii="宋体" w:hAnsi="宋体" w:cs="宋体"/>
                <w:kern w:val="0"/>
                <w:sz w:val="24"/>
                <w:szCs w:val="24"/>
              </w:rPr>
              <w:t>本项目的采购代理服务费为：</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成交总额</w:t>
            </w:r>
            <w:r>
              <w:rPr>
                <w:rFonts w:hint="eastAsia" w:ascii="宋体" w:hAnsi="宋体" w:cs="宋体"/>
                <w:kern w:val="0"/>
                <w:sz w:val="24"/>
                <w:szCs w:val="24"/>
              </w:rPr>
              <w:t>为计算基数。</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kern w:val="0"/>
                <w:sz w:val="24"/>
                <w:szCs w:val="24"/>
              </w:rPr>
            </w:pPr>
            <w:r>
              <w:rPr>
                <w:rFonts w:hint="eastAsia" w:ascii="宋体" w:hAnsi="宋体" w:cs="宋体"/>
                <w:kern w:val="0"/>
                <w:sz w:val="24"/>
                <w:szCs w:val="24"/>
              </w:rPr>
              <w:t>（2）各区段具体收费标准如下：</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kern w:val="0"/>
                <w:sz w:val="24"/>
                <w:szCs w:val="24"/>
              </w:rPr>
            </w:pPr>
            <w:r>
              <w:rPr>
                <w:rFonts w:hint="eastAsia" w:ascii="宋体" w:hAnsi="宋体" w:cs="宋体"/>
                <w:kern w:val="0"/>
                <w:sz w:val="24"/>
                <w:szCs w:val="24"/>
              </w:rPr>
              <w:t>成交金额              费率</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rPr>
              <w:t>%</w:t>
            </w:r>
          </w:p>
          <w:p>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0.72</w:t>
            </w:r>
            <w:r>
              <w:rPr>
                <w:rFonts w:hint="eastAsia" w:ascii="宋体" w:hAnsi="宋体" w:cs="宋体"/>
                <w:color w:val="auto"/>
                <w:kern w:val="0"/>
                <w:sz w:val="24"/>
                <w:szCs w:val="24"/>
              </w:rPr>
              <w:t>%</w:t>
            </w:r>
          </w:p>
          <w:p>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0.405</w:t>
            </w:r>
            <w:r>
              <w:rPr>
                <w:rFonts w:hint="eastAsia" w:ascii="宋体" w:hAnsi="宋体" w:cs="宋体"/>
                <w:color w:val="auto"/>
                <w:kern w:val="0"/>
                <w:sz w:val="24"/>
                <w:szCs w:val="24"/>
              </w:rPr>
              <w:t>%</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color w:val="auto"/>
                <w:kern w:val="0"/>
                <w:sz w:val="24"/>
                <w:szCs w:val="24"/>
              </w:rPr>
            </w:pPr>
            <w:r>
              <w:rPr>
                <w:rFonts w:hint="eastAsia" w:ascii="宋体" w:hAnsi="宋体" w:cs="宋体"/>
                <w:color w:val="auto"/>
                <w:kern w:val="0"/>
                <w:sz w:val="24"/>
                <w:szCs w:val="24"/>
              </w:rPr>
              <w:t>备注：本项费用在报价表中不单列报价子项，由供应商自行在企业运营成本等或各单价中列支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不足5000元，收5000元</w:t>
            </w:r>
            <w:r>
              <w:rPr>
                <w:rFonts w:hint="eastAsia" w:ascii="宋体" w:hAnsi="宋体" w:cs="宋体"/>
                <w:color w:val="auto"/>
                <w:kern w:val="0"/>
                <w:sz w:val="24"/>
                <w:szCs w:val="24"/>
              </w:rPr>
              <w:t>。由成交人在领取成交通知书时一次性向采购代理机构付清。</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kern w:val="0"/>
                <w:sz w:val="24"/>
                <w:szCs w:val="24"/>
              </w:rPr>
            </w:pPr>
            <w:r>
              <w:rPr>
                <w:rFonts w:hint="eastAsia" w:ascii="宋体" w:hAnsi="宋体" w:cs="宋体"/>
                <w:color w:val="auto"/>
                <w:kern w:val="0"/>
                <w:sz w:val="24"/>
                <w:szCs w:val="24"/>
              </w:rPr>
              <w:t>收款单位（户名）：浙江信镧</w:t>
            </w:r>
            <w:r>
              <w:rPr>
                <w:rFonts w:hint="eastAsia" w:ascii="宋体" w:hAnsi="宋体" w:cs="宋体"/>
                <w:kern w:val="0"/>
                <w:sz w:val="24"/>
                <w:szCs w:val="24"/>
              </w:rPr>
              <w:t>建设工程咨询有限公司</w:t>
            </w:r>
          </w:p>
          <w:p>
            <w:pPr>
              <w:keepNext w:val="0"/>
              <w:keepLines w:val="0"/>
              <w:pageBreakBefore w:val="0"/>
              <w:kinsoku/>
              <w:wordWrap/>
              <w:overflowPunct/>
              <w:topLinePunct w:val="0"/>
              <w:autoSpaceDE/>
              <w:autoSpaceDN/>
              <w:bidi w:val="0"/>
              <w:spacing w:line="360" w:lineRule="auto"/>
              <w:ind w:firstLine="420"/>
              <w:textAlignment w:val="auto"/>
              <w:rPr>
                <w:rFonts w:ascii="宋体" w:hAnsi="宋体" w:cs="宋体"/>
                <w:kern w:val="0"/>
                <w:sz w:val="24"/>
                <w:szCs w:val="24"/>
              </w:rPr>
            </w:pPr>
            <w:r>
              <w:rPr>
                <w:rFonts w:hint="eastAsia" w:ascii="宋体" w:hAnsi="宋体" w:cs="宋体"/>
                <w:kern w:val="0"/>
                <w:sz w:val="24"/>
                <w:szCs w:val="24"/>
              </w:rPr>
              <w:t>开户银行：交通银行杭州华浙广场支行</w:t>
            </w:r>
          </w:p>
          <w:p>
            <w:pPr>
              <w:keepNext w:val="0"/>
              <w:keepLines w:val="0"/>
              <w:pageBreakBefore w:val="0"/>
              <w:kinsoku/>
              <w:wordWrap/>
              <w:overflowPunct/>
              <w:topLinePunct w:val="0"/>
              <w:autoSpaceDE/>
              <w:autoSpaceDN/>
              <w:bidi w:val="0"/>
              <w:spacing w:line="360" w:lineRule="auto"/>
              <w:ind w:firstLine="463" w:firstLineChars="193"/>
              <w:textAlignment w:val="auto"/>
              <w:rPr>
                <w:rFonts w:hint="eastAsia" w:ascii="宋体" w:hAnsi="宋体" w:cs="宋体"/>
                <w:sz w:val="24"/>
                <w:szCs w:val="24"/>
              </w:rPr>
            </w:pPr>
            <w:r>
              <w:rPr>
                <w:rFonts w:hint="eastAsia" w:ascii="宋体" w:hAnsi="宋体" w:cs="宋体"/>
                <w:kern w:val="0"/>
                <w:sz w:val="24"/>
                <w:szCs w:val="24"/>
              </w:rPr>
              <w:t>银行账号：331066090018170036304</w:t>
            </w:r>
          </w:p>
        </w:tc>
      </w:tr>
      <w:tr>
        <w:tc>
          <w:tcPr>
            <w:tcW w:w="812" w:type="dxa"/>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2206"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宋体" w:hAnsi="宋体" w:eastAsia="宋体" w:cs="宋体"/>
                <w:b/>
                <w:bCs/>
                <w:kern w:val="0"/>
                <w:sz w:val="24"/>
                <w:lang w:val="en-US" w:eastAsia="zh-CN"/>
              </w:rPr>
            </w:pPr>
            <w:r>
              <w:rPr>
                <w:rFonts w:hint="eastAsia" w:ascii="宋体" w:hAnsi="宋体"/>
                <w:b/>
                <w:bCs/>
                <w:sz w:val="24"/>
              </w:rPr>
              <w:t>其他注意事项</w:t>
            </w:r>
          </w:p>
        </w:tc>
        <w:tc>
          <w:tcPr>
            <w:tcW w:w="5901" w:type="dxa"/>
            <w:vAlign w:val="center"/>
          </w:tcPr>
          <w:p>
            <w:pPr>
              <w:pStyle w:val="726"/>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szCs w:val="24"/>
                <w:lang w:eastAsia="zh-CN"/>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tc>
          <w:tcPr>
            <w:tcW w:w="812" w:type="dxa"/>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default"/>
                <w:lang w:val="en-US" w:eastAsia="zh-CN"/>
              </w:rPr>
            </w:pPr>
            <w:r>
              <w:rPr>
                <w:rFonts w:hint="eastAsia" w:ascii="宋体" w:hAnsi="宋体" w:cs="宋体"/>
                <w:sz w:val="24"/>
                <w:szCs w:val="24"/>
                <w:vertAlign w:val="baseline"/>
                <w:lang w:val="en-US" w:eastAsia="zh-CN"/>
              </w:rPr>
              <w:t>16</w:t>
            </w:r>
          </w:p>
        </w:tc>
        <w:tc>
          <w:tcPr>
            <w:tcW w:w="2206" w:type="dxa"/>
            <w:vAlign w:val="center"/>
          </w:tcPr>
          <w:p>
            <w:pPr>
              <w:pStyle w:val="968"/>
              <w:keepNext w:val="0"/>
              <w:keepLines w:val="0"/>
              <w:pageBreakBefore w:val="0"/>
              <w:kinsoku/>
              <w:wordWrap/>
              <w:overflowPunct/>
              <w:topLinePunct w:val="0"/>
              <w:autoSpaceDE/>
              <w:autoSpaceDN/>
              <w:bidi w:val="0"/>
              <w:spacing w:line="360" w:lineRule="auto"/>
              <w:jc w:val="center"/>
              <w:textAlignment w:val="auto"/>
              <w:rPr>
                <w:rFonts w:hint="eastAsia"/>
              </w:rPr>
            </w:pPr>
            <w:r>
              <w:rPr>
                <w:rFonts w:hint="eastAsia"/>
                <w:b/>
                <w:bCs w:val="0"/>
              </w:rPr>
              <w:t>解释权</w:t>
            </w:r>
          </w:p>
        </w:tc>
        <w:tc>
          <w:tcPr>
            <w:tcW w:w="5901" w:type="dxa"/>
            <w:vAlign w:val="center"/>
          </w:tcPr>
          <w:p>
            <w:pPr>
              <w:pStyle w:val="968"/>
              <w:keepNext w:val="0"/>
              <w:keepLines w:val="0"/>
              <w:pageBreakBefore w:val="0"/>
              <w:kinsoku/>
              <w:wordWrap/>
              <w:overflowPunct/>
              <w:topLinePunct w:val="0"/>
              <w:autoSpaceDE/>
              <w:autoSpaceDN/>
              <w:bidi w:val="0"/>
              <w:spacing w:line="360" w:lineRule="auto"/>
              <w:jc w:val="left"/>
              <w:textAlignment w:val="auto"/>
              <w:rPr>
                <w:rFonts w:hint="eastAsia"/>
              </w:rPr>
            </w:pPr>
            <w:r>
              <w:rPr>
                <w:rFonts w:hint="eastAsia"/>
              </w:rPr>
              <w:t>本招标文件的解释权属于</w:t>
            </w:r>
            <w:r>
              <w:rPr>
                <w:rFonts w:hint="eastAsia"/>
                <w:lang w:eastAsia="zh-CN"/>
              </w:rPr>
              <w:t>浙江信镧建设工程咨询有限公司</w:t>
            </w:r>
            <w:r>
              <w:rPr>
                <w:rFonts w:hint="eastAsia"/>
              </w:rPr>
              <w:t>。</w:t>
            </w:r>
          </w:p>
        </w:tc>
      </w:tr>
      <w:bookmarkEnd w:id="10"/>
    </w:tbl>
    <w:p>
      <w:pPr>
        <w:keepNext w:val="0"/>
        <w:keepLines w:val="0"/>
        <w:pageBreakBefore w:val="0"/>
        <w:kinsoku/>
        <w:wordWrap/>
        <w:overflowPunct/>
        <w:topLinePunct w:val="0"/>
        <w:autoSpaceDE/>
        <w:autoSpaceDN/>
        <w:bidi w:val="0"/>
        <w:adjustRightInd/>
        <w:spacing w:line="360" w:lineRule="auto"/>
        <w:ind w:firstLine="3834" w:firstLineChars="1197"/>
        <w:textAlignment w:val="auto"/>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一、总则</w:t>
      </w:r>
    </w:p>
    <w:p>
      <w:pPr>
        <w:pStyle w:val="6"/>
        <w:bidi w:val="0"/>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6"/>
        <w:bidi w:val="0"/>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6"/>
        <w:bidi w:val="0"/>
      </w:pPr>
      <w:r>
        <w:rPr>
          <w:rFonts w:hint="eastAsia"/>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2</w:t>
      </w:r>
      <w:r>
        <w:rPr>
          <w:rFonts w:hint="eastAsia" w:ascii="宋体" w:hAnsi="宋体" w:cs="宋体"/>
          <w:b/>
          <w:bCs/>
          <w:sz w:val="24"/>
        </w:rPr>
        <w:t>支持中小企业发展</w:t>
      </w:r>
    </w:p>
    <w:p>
      <w:pPr>
        <w:spacing w:line="360" w:lineRule="auto"/>
        <w:ind w:firstLine="480" w:firstLineChars="200"/>
        <w:rPr>
          <w:rFonts w:ascii="宋体" w:hAnsi="宋体" w:cs="宋体"/>
          <w:b/>
          <w:bCs/>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w:t>
      </w:r>
      <w:r>
        <w:rPr>
          <w:rFonts w:hint="eastAsia" w:ascii="宋体" w:hAnsi="宋体" w:cs="宋体"/>
          <w:bCs/>
          <w:sz w:val="24"/>
          <w:highlight w:val="none"/>
          <w:lang w:val="en-US" w:eastAsia="zh-CN"/>
        </w:rPr>
        <w:t>2</w:t>
      </w:r>
      <w:r>
        <w:rPr>
          <w:rFonts w:ascii="宋体" w:hAnsi="宋体" w:cs="宋体"/>
          <w:bCs/>
          <w:sz w:val="24"/>
          <w:highlight w:val="none"/>
        </w:rPr>
        <w:t>.2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.3</w:t>
      </w:r>
      <w:r>
        <w:rPr>
          <w:rFonts w:hint="eastAsia" w:ascii="宋体" w:hAnsi="宋体" w:eastAsia="宋体" w:cs="宋体"/>
          <w:color w:val="auto"/>
          <w:sz w:val="24"/>
          <w:highlight w:val="none"/>
        </w:rPr>
        <w:t>对于未预留份额专门面向中小企业的政府采项目，以及预留份额政府采购项目中的非预留部分标项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已专门面向中小微企业采购的项目，不再执行价格评审优惠的扶持政策。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3</w:t>
      </w:r>
      <w:r>
        <w:rPr>
          <w:rFonts w:hint="eastAsia" w:ascii="宋体" w:hAnsi="宋体" w:cs="宋体"/>
          <w:b/>
          <w:bCs/>
          <w:sz w:val="24"/>
        </w:rPr>
        <w:t>平等对待内外资企业和符合条件的破产重整企业</w:t>
      </w:r>
    </w:p>
    <w:p>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pStyle w:val="6"/>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7"/>
        <w:bidi w:val="0"/>
        <w:ind w:left="900" w:leftChars="175" w:hanging="480" w:hangingChars="20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bidi w:val="0"/>
        <w:ind w:left="900" w:leftChars="175" w:hanging="480" w:hangingChars="20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7"/>
        <w:bidi w:val="0"/>
        <w:ind w:left="900" w:leftChars="175" w:hanging="480" w:hangingChars="20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4.3.3.5必要的法律依据；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7"/>
        <w:bidi w:val="0"/>
        <w:ind w:left="900" w:leftChars="175" w:hanging="480" w:hangingChars="200"/>
        <w:rPr>
          <w:highlight w:val="none"/>
        </w:rPr>
      </w:pPr>
      <w:r>
        <w:rPr>
          <w:rFonts w:hint="eastAsia"/>
          <w:highlight w:val="none"/>
        </w:rPr>
        <w:t>4.</w:t>
      </w:r>
      <w:r>
        <w:rPr>
          <w:rFonts w:hint="eastAsia"/>
          <w:highlight w:val="none"/>
          <w:lang w:val="en-US" w:eastAsia="zh-CN"/>
        </w:rPr>
        <w:t>4</w:t>
      </w:r>
      <w:r>
        <w:rPr>
          <w:rFonts w:hint="eastAsia"/>
          <w:highlight w:val="none"/>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1质疑供应商对采购人、采购机构的答复不满意或者采购人、采购机构未在规定的时间内作出答复的，可以在答复期满后十五个工作日内向同级政府采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0"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二、招标文件的构成、澄清、修改</w:t>
      </w:r>
    </w:p>
    <w:p>
      <w:pPr>
        <w:pStyle w:val="6"/>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6"/>
        <w:bidi w:val="0"/>
      </w:pPr>
      <w:r>
        <w:rPr>
          <w:rFonts w:hint="eastAsia"/>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三、投标</w:t>
      </w:r>
    </w:p>
    <w:p>
      <w:pPr>
        <w:pStyle w:val="6"/>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6"/>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6"/>
        <w:bidi w:val="0"/>
      </w:pPr>
      <w:r>
        <w:rPr>
          <w:rFonts w:hint="eastAsia"/>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6"/>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6"/>
        <w:bidi w:val="0"/>
      </w:pPr>
      <w:r>
        <w:rPr>
          <w:rFonts w:hint="eastAsia"/>
        </w:rPr>
        <w:t>11.投标文件的组成</w:t>
      </w:r>
    </w:p>
    <w:p>
      <w:pPr>
        <w:snapToGrid w:val="0"/>
        <w:spacing w:line="360" w:lineRule="auto"/>
        <w:ind w:firstLine="480"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11.1.1符合参加政府采购活动应当具备的一般条件的承诺函（如以联合体形式参加政府采购活动的，联合体各方均应提交该承诺函）；</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rPr>
        <w:t>11.1.2联合协议（</w:t>
      </w:r>
      <w:r>
        <w:rPr>
          <w:rFonts w:hint="eastAsia" w:ascii="宋体" w:hAnsi="宋体" w:cs="宋体"/>
          <w:sz w:val="24"/>
          <w:lang w:val="en-US" w:eastAsia="zh-CN"/>
        </w:rPr>
        <w:t>若</w:t>
      </w:r>
      <w:r>
        <w:rPr>
          <w:rFonts w:hint="eastAsia" w:ascii="宋体" w:hAnsi="宋体" w:cs="宋体"/>
          <w:sz w:val="24"/>
        </w:rPr>
        <w:t>本项目不接受联合体响应或者供应商不以联合体形式响应的，则不需要提供)</w:t>
      </w:r>
      <w:r>
        <w:rPr>
          <w:rFonts w:hint="eastAsia" w:ascii="宋体" w:hAnsi="宋体" w:cs="宋体"/>
          <w:sz w:val="24"/>
          <w:lang w:eastAsia="zh-CN"/>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中小企业声明函；</w:t>
      </w:r>
    </w:p>
    <w:p>
      <w:pPr>
        <w:snapToGrid w:val="0"/>
        <w:spacing w:line="360" w:lineRule="auto"/>
        <w:ind w:firstLine="480" w:firstLineChars="200"/>
        <w:rPr>
          <w:rFonts w:hint="eastAsia" w:ascii="宋体" w:hAnsi="宋体" w:cs="宋体"/>
          <w:sz w:val="24"/>
        </w:rPr>
      </w:pPr>
      <w:r>
        <w:rPr>
          <w:rFonts w:hint="eastAsia" w:ascii="宋体" w:hAnsi="宋体" w:cs="宋体"/>
          <w:sz w:val="24"/>
        </w:rPr>
        <w:t>11.1.4本项目的特定资格要求（如有)。</w:t>
      </w:r>
    </w:p>
    <w:p>
      <w:pPr>
        <w:snapToGrid w:val="0"/>
        <w:spacing w:line="360" w:lineRule="auto"/>
        <w:ind w:firstLine="480"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ind w:firstLine="480" w:firstLineChars="200"/>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11.2.6投标标的清单；</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11.2.8</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11.2.10</w:t>
      </w:r>
      <w:r>
        <w:rPr>
          <w:rFonts w:hint="eastAsia" w:ascii="宋体" w:hAnsi="宋体" w:eastAsia="宋体" w:cs="宋体"/>
          <w:sz w:val="24"/>
          <w:lang w:val="zh-CN" w:eastAsia="zh-CN"/>
        </w:rPr>
        <w:t>代理服务费支付承诺书。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eastAsia="宋体" w:cs="宋体"/>
          <w:color w:val="auto"/>
          <w:sz w:val="24"/>
        </w:rPr>
        <w:t>（根据实际情况确定是否需要提供）</w:t>
      </w:r>
    </w:p>
    <w:p>
      <w:pPr>
        <w:spacing w:line="360" w:lineRule="auto"/>
        <w:ind w:firstLine="480" w:firstLineChars="2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480" w:firstLineChars="200"/>
        <w:rPr>
          <w:rFonts w:ascii="宋体" w:hAnsi="宋体" w:cs="宋体"/>
          <w:b/>
          <w:sz w:val="24"/>
          <w:szCs w:val="21"/>
        </w:rPr>
      </w:pPr>
      <w:r>
        <w:rPr>
          <w:rFonts w:hint="eastAsia" w:ascii="宋体" w:hAnsi="宋体" w:cs="宋体"/>
          <w:b/>
          <w:sz w:val="24"/>
        </w:rPr>
        <w:t>投标人提供虚假材料投标的，投标无效。</w:t>
      </w:r>
    </w:p>
    <w:p>
      <w:pPr>
        <w:pStyle w:val="6"/>
        <w:bidi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6"/>
        <w:bidi w:val="0"/>
      </w:pPr>
      <w:r>
        <w:rPr>
          <w:rFonts w:hint="eastAsia"/>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6"/>
        <w:bidi w:val="0"/>
      </w:pPr>
      <w:r>
        <w:rPr>
          <w:rFonts w:hint="eastAsia"/>
        </w:rPr>
        <w:t>14. 投标文件的提交、补充、修改、撤回</w:t>
      </w:r>
    </w:p>
    <w:p>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5"/>
        <w:snapToGrid w:val="0"/>
        <w:spacing w:before="0"/>
        <w:ind w:firstLine="480"/>
        <w:rPr>
          <w:rFonts w:hint="eastAsia" w:ascii="宋体" w:hAnsi="宋体" w:eastAsia="宋体" w:cs="宋体"/>
        </w:rPr>
      </w:pPr>
      <w:r>
        <w:rPr>
          <w:rFonts w:hint="eastAsia" w:ascii="宋体" w:hAnsi="宋体" w:eastAsia="宋体" w:cs="宋体"/>
        </w:rPr>
        <w:t>14.3采购人、采购机构可以视情况延长投标文件提交的截止时间。在上述情况下，采购机构与投标人以前在投标截止期方面的全部权利、责任和义务，将适用于延长至新的投标截止期。</w:t>
      </w:r>
    </w:p>
    <w:p>
      <w:pPr>
        <w:pStyle w:val="6"/>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8"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6"/>
        <w:bidi w:val="0"/>
      </w:pPr>
      <w:r>
        <w:rPr>
          <w:rFonts w:hint="eastAsia"/>
        </w:rPr>
        <w:t>16.投标文件的无效处理</w:t>
      </w:r>
    </w:p>
    <w:p>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6"/>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四、开标、资格审查与信用信息查询</w:t>
      </w:r>
    </w:p>
    <w:p>
      <w:pPr>
        <w:pStyle w:val="6"/>
        <w:bidi w:val="0"/>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6"/>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6"/>
        <w:bidi w:val="0"/>
        <w:rPr>
          <w:color w:val="auto"/>
        </w:rPr>
      </w:pPr>
      <w:r>
        <w:rPr>
          <w:rFonts w:hint="eastAsia"/>
        </w:rPr>
        <w:t>20</w:t>
      </w:r>
      <w:r>
        <w:rPr>
          <w:rFonts w:hint="eastAsia"/>
          <w:color w:val="auto"/>
          <w:lang w:val="en-US" w:eastAsia="zh-CN"/>
        </w:rPr>
        <w:t>.</w:t>
      </w:r>
      <w:r>
        <w:rPr>
          <w:rFonts w:hint="eastAsia"/>
          <w:color w:val="auto"/>
        </w:rPr>
        <w:t>信用信息查询</w:t>
      </w:r>
    </w:p>
    <w:p>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5"/>
        <w:spacing w:before="0"/>
        <w:ind w:firstLine="480"/>
        <w:rPr>
          <w:rFonts w:ascii="宋体" w:hAnsi="宋体" w:cs="宋体"/>
          <w:highlight w:val="none"/>
        </w:rPr>
      </w:pPr>
    </w:p>
    <w:p>
      <w:pPr>
        <w:pStyle w:val="135"/>
        <w:spacing w:before="0"/>
        <w:ind w:firstLine="0" w:firstLineChars="0"/>
        <w:rPr>
          <w:rFonts w:ascii="宋体" w:hAnsi="宋体" w:cs="宋体"/>
          <w:kern w:val="0"/>
          <w:szCs w:val="24"/>
          <w:highlight w:val="none"/>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六、定 标</w:t>
      </w:r>
    </w:p>
    <w:p>
      <w:pPr>
        <w:pStyle w:val="6"/>
        <w:bidi w:val="0"/>
      </w:pPr>
      <w:r>
        <w:rPr>
          <w:rFonts w:hint="eastAsia"/>
        </w:rPr>
        <w:t>22.确定中标供应商</w:t>
      </w:r>
    </w:p>
    <w:p>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6"/>
        <w:bidi w:val="0"/>
        <w:rPr>
          <w:color w:val="auto"/>
        </w:rPr>
      </w:pPr>
      <w:r>
        <w:rPr>
          <w:rFonts w:hint="eastAsia"/>
          <w:color w:val="auto"/>
        </w:rPr>
        <w:t>23.中标通知与中标结果公告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0" w:firstLineChars="150"/>
        <w:jc w:val="center"/>
        <w:rPr>
          <w:rFonts w:ascii="宋体" w:hAnsi="宋体" w:cs="宋体"/>
          <w:b/>
          <w:sz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七、合同授予</w:t>
      </w:r>
    </w:p>
    <w:p>
      <w:pPr>
        <w:pStyle w:val="26"/>
        <w:spacing w:line="360" w:lineRule="auto"/>
        <w:ind w:left="479" w:hanging="478" w:hangingChars="199"/>
        <w:rPr>
          <w:rFonts w:cs="宋体"/>
          <w:b/>
        </w:rPr>
      </w:pPr>
      <w:r>
        <w:rPr>
          <w:rFonts w:hint="eastAsia" w:cs="宋体"/>
          <w:b/>
        </w:rPr>
        <w:t>24.</w:t>
      </w:r>
      <w:r>
        <w:rPr>
          <w:rFonts w:hint="eastAsia" w:cs="宋体"/>
        </w:rPr>
        <w:t>合同主要条款详见第五部分拟签订的合同文本。</w:t>
      </w:r>
    </w:p>
    <w:p>
      <w:pPr>
        <w:pStyle w:val="6"/>
        <w:bidi w:val="0"/>
      </w:pPr>
      <w:r>
        <w:rPr>
          <w:rFonts w:hint="eastAsia"/>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6"/>
        <w:bidi w:val="0"/>
        <w:rPr>
          <w:highlight w:val="none"/>
        </w:rPr>
      </w:pPr>
      <w:r>
        <w:rPr>
          <w:rFonts w:hint="eastAsia"/>
          <w:highlight w:val="none"/>
        </w:rPr>
        <w:t>26.履约保证金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47" w:firstLineChars="1045"/>
        <w:rPr>
          <w:rFonts w:ascii="宋体" w:hAnsi="宋体" w:cs="宋体"/>
          <w:b/>
          <w:sz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八、电子交易活动的中止</w:t>
      </w:r>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九、验收</w:t>
      </w:r>
    </w:p>
    <w:p>
      <w:pPr>
        <w:pStyle w:val="6"/>
        <w:bidi w:val="0"/>
      </w:pPr>
      <w:r>
        <w:rPr>
          <w:rFonts w:hint="eastAsia"/>
        </w:rPr>
        <w:t>29.验收</w:t>
      </w:r>
    </w:p>
    <w:bookmarkEnd w:id="11"/>
    <w:bookmarkEnd w:id="12"/>
    <w:bookmarkEnd w:id="13"/>
    <w:p>
      <w:pPr>
        <w:tabs>
          <w:tab w:val="left" w:pos="0"/>
        </w:tabs>
        <w:spacing w:line="360" w:lineRule="auto"/>
        <w:ind w:firstLine="480"/>
        <w:rPr>
          <w:rFonts w:hint="eastAsia" w:ascii="宋体" w:hAnsi="宋体" w:eastAsia="宋体" w:cs="Helvetica"/>
          <w:kern w:val="0"/>
          <w:sz w:val="24"/>
        </w:rPr>
      </w:pPr>
      <w:bookmarkStart w:id="14"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民典法</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5"/>
        <w:bidi w:val="0"/>
        <w:rPr>
          <w:rFonts w:hint="eastAsia"/>
        </w:rPr>
        <w:sectPr>
          <w:headerReference r:id="rId8" w:type="default"/>
          <w:footerReference r:id="rId9"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5"/>
        <w:bidi w:val="0"/>
      </w:pPr>
      <w:r>
        <w:rPr>
          <w:rFonts w:hint="eastAsia"/>
        </w:rPr>
        <w:t>第三部分   采购需求</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现状及需求</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rPr>
        <w:t>浙江省交通运输厅（以下简称省交通运输厅）桌面运维内容包括：省交通运输厅办公自动化系统运维；省交通运输厅桌面电脑及相关设备和各类软件的运维。省交通运输厅日常会议系统的保障。</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rPr>
        <w:t>省交通运输厅及市县各级交通单位的原办公自动化系统是基于Lotus Domino的一套办公系统，全省统一开发并于2003年统一实施的包括全省交通系统内省市县各级各单位的办公系统，新版OA系统2021年10月份上线后，省交通运输厅对原办公系统的数据需要查询和下载及档案处理，有部分市县级单位在使用公文流转、档案和邮件等功能，为保障省交通运输厅和市县级单位的原办公系统的使用，需要安排人员对原办公系统进行驻场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省交通运输厅的桌面电脑及相关外设包括: 260台左右台式计算机（国产和非国产）、160台左右笔记本电脑（国产和非国产）、220台左右的打印机（国产和非国产）、扫描仪等各种计算机外设，并安装有多种办公类和业务类软件。为保障日常工作的正常进行和应急及突发性事宜的响应，需要安排人员驻场对电脑及相关设备在使用过程中出现的问题及时处理和解决。</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rPr>
        <w:t>省交通运输厅日常会议会以本地会议和互联网会议（腾讯视频、钉钉视频、浙政钉视频）形式召开，需要在会前进行电脑网络及相关会议设备的连接和调试、IPAD会议资料导入、会议召开时的保障和会议结束后设备的规整。为保障会议的正常召开，需要安排人员现场进行各项相关工作。</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建设目标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保障省交通运输厅、市县各级交通管理单位的原办公系统；保障省交通运输厅桌面电脑及相关设备和各类软件的正常运行；保障省交通运输厅日常会议的正常进行。</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招标内容</w:t>
      </w:r>
    </w:p>
    <w:p>
      <w:pPr>
        <w:spacing w:line="360" w:lineRule="auto"/>
        <w:ind w:firstLine="43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（一）OA系统维护</w:t>
      </w:r>
    </w:p>
    <w:p>
      <w:pPr>
        <w:spacing w:line="360" w:lineRule="auto"/>
        <w:rPr>
          <w:rFonts w:hint="eastAsia" w:ascii="宋体" w:hAnsi="宋体" w:eastAsia="宋体" w:cs="宋体"/>
          <w:b/>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color w:val="000000"/>
          <w:sz w:val="24"/>
          <w:szCs w:val="24"/>
        </w:rPr>
        <w:t>维护对象：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浙江</w:t>
      </w:r>
      <w:r>
        <w:rPr>
          <w:rFonts w:hint="eastAsia" w:ascii="宋体" w:hAnsi="宋体" w:eastAsia="宋体" w:cs="宋体"/>
          <w:sz w:val="24"/>
          <w:szCs w:val="24"/>
        </w:rPr>
        <w:t>省交通运输厅</w:t>
      </w:r>
      <w:r>
        <w:rPr>
          <w:rFonts w:hint="eastAsia" w:ascii="宋体" w:hAnsi="宋体" w:eastAsia="宋体" w:cs="宋体"/>
          <w:color w:val="000000"/>
          <w:sz w:val="24"/>
          <w:szCs w:val="24"/>
        </w:rPr>
        <w:t>、</w:t>
      </w:r>
      <w:r>
        <w:rPr>
          <w:rFonts w:hint="eastAsia" w:ascii="宋体" w:hAnsi="宋体" w:eastAsia="宋体" w:cs="宋体"/>
          <w:sz w:val="24"/>
          <w:szCs w:val="24"/>
        </w:rPr>
        <w:t>市县各级交通管理单位。</w:t>
      </w:r>
    </w:p>
    <w:p>
      <w:pPr>
        <w:spacing w:line="360" w:lineRule="auto"/>
        <w:ind w:firstLine="471"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维护范围：</w:t>
      </w:r>
    </w:p>
    <w:p>
      <w:pPr>
        <w:spacing w:line="360" w:lineRule="auto"/>
        <w:ind w:firstLine="1068" w:firstLineChars="44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省交通运输厅</w:t>
      </w:r>
      <w:r>
        <w:rPr>
          <w:rFonts w:hint="eastAsia" w:ascii="宋体" w:hAnsi="宋体" w:eastAsia="宋体" w:cs="宋体"/>
          <w:color w:val="000000"/>
          <w:sz w:val="24"/>
          <w:szCs w:val="24"/>
        </w:rPr>
        <w:t>原办公系统；</w:t>
      </w:r>
    </w:p>
    <w:p>
      <w:pPr>
        <w:spacing w:line="360" w:lineRule="auto"/>
        <w:ind w:firstLine="1068" w:firstLineChars="44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市县各级交通管理单位</w:t>
      </w:r>
      <w:r>
        <w:rPr>
          <w:rFonts w:hint="eastAsia" w:ascii="宋体" w:hAnsi="宋体" w:eastAsia="宋体" w:cs="宋体"/>
          <w:color w:val="000000"/>
          <w:sz w:val="24"/>
          <w:szCs w:val="24"/>
        </w:rPr>
        <w:t>原办公系统。</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维护内容：</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1、原办公系统Domino服务器维护；</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2、原办公系统数据库容量及服务器硬盘空间维护；</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3、原办公系统数据库权限日常检查；</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4、原办公系统发送者、接收者、传输者日志、外出邮箱日常检查；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5、原办公系统日志日常检查；</w:t>
      </w:r>
    </w:p>
    <w:p>
      <w:pPr>
        <w:spacing w:line="360" w:lineRule="auto"/>
        <w:ind w:firstLine="436" w:firstLineChars="182"/>
        <w:rPr>
          <w:rFonts w:hint="eastAsia" w:ascii="宋体" w:hAnsi="宋体" w:eastAsia="宋体" w:cs="宋体"/>
          <w:color w:val="000000"/>
          <w:sz w:val="24"/>
          <w:szCs w:val="24"/>
        </w:rPr>
      </w:pPr>
      <w:r>
        <w:rPr>
          <w:rFonts w:hint="eastAsia" w:ascii="宋体" w:hAnsi="宋体" w:eastAsia="宋体" w:cs="宋体"/>
          <w:color w:val="000000"/>
          <w:sz w:val="24"/>
          <w:szCs w:val="24"/>
        </w:rPr>
        <w:t>6、浙江</w:t>
      </w:r>
      <w:r>
        <w:rPr>
          <w:rFonts w:hint="eastAsia" w:ascii="宋体" w:hAnsi="宋体" w:eastAsia="宋体" w:cs="宋体"/>
          <w:sz w:val="24"/>
          <w:szCs w:val="24"/>
        </w:rPr>
        <w:t>交通运输厅</w:t>
      </w:r>
      <w:r>
        <w:rPr>
          <w:rFonts w:hint="eastAsia" w:ascii="宋体" w:hAnsi="宋体" w:eastAsia="宋体" w:cs="宋体"/>
          <w:color w:val="000000"/>
          <w:sz w:val="24"/>
          <w:szCs w:val="24"/>
        </w:rPr>
        <w:t>原办公系统数据备份、市县单位数据备份指导；</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7、原办公系统使用咨询、疑难问题处理解答；</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8、原办公系统故障修复；</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9、原办公系统紧急突发情况处理；</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10、各单位原办公系统内用户更改、部门调整；</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11、市县单位远程安装及指导；</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12、原办公系统关联接口故障处理。</w:t>
      </w:r>
    </w:p>
    <w:p>
      <w:pPr>
        <w:spacing w:line="360" w:lineRule="auto"/>
        <w:ind w:firstLine="43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（二）桌面电脑及相关设备和各类软件维护</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维护对象：</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浙江省交通运输厅</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维护范围：</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sz w:val="24"/>
          <w:szCs w:val="24"/>
        </w:rPr>
        <w:t>省交通运输厅</w:t>
      </w:r>
      <w:r>
        <w:rPr>
          <w:rFonts w:hint="eastAsia" w:ascii="宋体" w:hAnsi="宋体" w:eastAsia="宋体" w:cs="宋体"/>
          <w:color w:val="000000"/>
          <w:sz w:val="24"/>
          <w:szCs w:val="24"/>
        </w:rPr>
        <w:t>现有及一年内更新的台式计算机、笔记本电脑、外接设备、办公室内网络设备及各类软件等。</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（1）维护范围内的设备、配件的故障排查、报修、更换等；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（2）台式计算机和笔记本电脑的操作系统的安装、配置、调试、简单升级维护、卸载等维护、IP地址维护；</w:t>
      </w:r>
    </w:p>
    <w:p>
      <w:pPr>
        <w:tabs>
          <w:tab w:val="left" w:pos="90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（3）台式计算机和笔记本电脑的驱动程序、OFFICE、常用输入法、解压缩软件、PDF查看软件、媒体播放软件、杀毒软件、ghost备份软件的安装和设置；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（4）台式计算机和笔记本电脑的病毒查杀和补丁安装；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（5）电脑配件及外设驱动程序的安装、卸载；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（6）外接设备的日常维护；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（7）调试、维护办公室路由器、电脑、打印机的网络；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（8）其它应用软件安装时的协助；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（9）协助做好软件正版化检查与台账登记；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（10）对于无法现场修复解决的故障，及时上报并诊断原因和提出解决办法；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（11）配合新购信息化办公设备的到货调试和验收，设备更新和办公室人员调整时信息化办公设备的拆装等相关工作，提供电脑设备搬运等服务（限于厅机关办公场所内办公室、仓库等之间的搬运）。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（12）根据用户需求做好其他技术保障服务工作。</w:t>
      </w:r>
    </w:p>
    <w:p>
      <w:pPr>
        <w:spacing w:line="360" w:lineRule="auto"/>
        <w:ind w:firstLine="43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（三）日常会议保障</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维护对象：</w:t>
      </w:r>
    </w:p>
    <w:p>
      <w:pPr>
        <w:spacing w:line="360" w:lineRule="auto"/>
        <w:ind w:firstLine="437"/>
        <w:rPr>
          <w:rFonts w:hint="eastAsia" w:ascii="宋体" w:hAnsi="宋体" w:eastAsia="宋体" w:cs="宋体"/>
          <w:color w:val="000000"/>
          <w:sz w:val="24"/>
          <w:szCs w:val="24"/>
        </w:rPr>
      </w:pPr>
      <w:r>
        <w:rPr>
          <w:rFonts w:hint="eastAsia" w:ascii="宋体" w:hAnsi="宋体" w:eastAsia="宋体" w:cs="宋体"/>
          <w:color w:val="000000"/>
          <w:sz w:val="24"/>
          <w:szCs w:val="24"/>
        </w:rPr>
        <w:t>浙江省交通运输厅</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维护范围：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省交通运输厅的</w:t>
      </w:r>
      <w:r>
        <w:rPr>
          <w:rFonts w:hint="eastAsia" w:ascii="宋体" w:hAnsi="宋体" w:eastAsia="宋体" w:cs="宋体"/>
          <w:sz w:val="24"/>
          <w:szCs w:val="24"/>
        </w:rPr>
        <w:t>本地会议和互联网会议（腾讯视频、钉钉视频、浙政钉视频）的技术支持保障。</w:t>
      </w:r>
    </w:p>
    <w:p>
      <w:pPr>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维护内容：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（1）会前对电脑网络及相关会议设备的连接和调试；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（2）IPAD会议资料导入；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（3）会议召开时的保障；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（4）会议结束后设备的规整。</w:t>
      </w:r>
    </w:p>
    <w:p>
      <w:pPr>
        <w:spacing w:line="360" w:lineRule="auto"/>
        <w:rPr>
          <w:rFonts w:hint="eastAsia" w:ascii="宋体" w:hAnsi="宋体" w:eastAsia="宋体" w:cs="宋体"/>
          <w:b/>
          <w:sz w:val="24"/>
          <w:szCs w:val="24"/>
        </w:rPr>
      </w:pPr>
      <w:bookmarkStart w:id="15" w:name="_Toc247084962"/>
      <w:bookmarkStart w:id="16" w:name="_Toc352598670"/>
      <w:r>
        <w:rPr>
          <w:rFonts w:hint="eastAsia" w:ascii="宋体" w:hAnsi="宋体" w:eastAsia="宋体" w:cs="宋体"/>
          <w:b/>
          <w:sz w:val="24"/>
          <w:szCs w:val="24"/>
          <w:lang w:val="en-US" w:eastAsia="zh-CN"/>
        </w:rPr>
        <w:t>四</w:t>
      </w:r>
      <w:r>
        <w:rPr>
          <w:rFonts w:hint="eastAsia" w:ascii="宋体" w:hAnsi="宋体" w:eastAsia="宋体" w:cs="宋体"/>
          <w:b/>
          <w:sz w:val="24"/>
          <w:szCs w:val="24"/>
        </w:rPr>
        <w:t>、</w:t>
      </w:r>
      <w:bookmarkEnd w:id="15"/>
      <w:bookmarkEnd w:id="16"/>
      <w:r>
        <w:rPr>
          <w:rFonts w:hint="eastAsia" w:ascii="宋体" w:hAnsi="宋体" w:eastAsia="宋体" w:cs="宋体"/>
          <w:b/>
          <w:sz w:val="24"/>
          <w:szCs w:val="24"/>
        </w:rPr>
        <w:t>建设要求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采用驻省交通运输厅办公现场维护的方式，派驻3名维护工程师驻省交通运输厅办公现场负责日常维护。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市、县各级交通管理单位的办公系统采用远程维护、现场维护相结合的方式，一般性问题通过远程维护予以解决。对于远程解决不了的问题，协商进行现场维护。服务时间为7*24小时响应。现场维护工程师配备7*24小时开机手机，确保随时响应需求。</w:t>
      </w:r>
    </w:p>
    <w:p>
      <w:pPr>
        <w:spacing w:line="360" w:lineRule="auto"/>
        <w:rPr>
          <w:rFonts w:hint="eastAsia" w:ascii="宋体" w:hAnsi="宋体" w:eastAsia="宋体" w:cs="宋体"/>
          <w:b/>
          <w:sz w:val="24"/>
          <w:szCs w:val="24"/>
        </w:rPr>
      </w:pPr>
      <w:bookmarkStart w:id="17" w:name="_Toc352598672"/>
      <w:r>
        <w:rPr>
          <w:rFonts w:hint="eastAsia" w:ascii="宋体" w:hAnsi="宋体" w:eastAsia="宋体" w:cs="宋体"/>
          <w:b/>
          <w:sz w:val="24"/>
          <w:szCs w:val="24"/>
          <w:lang w:val="en-US" w:eastAsia="zh-CN"/>
        </w:rPr>
        <w:t>五</w:t>
      </w:r>
      <w:r>
        <w:rPr>
          <w:rFonts w:hint="eastAsia" w:ascii="宋体" w:hAnsi="宋体" w:eastAsia="宋体" w:cs="宋体"/>
          <w:b/>
          <w:sz w:val="24"/>
          <w:szCs w:val="24"/>
        </w:rPr>
        <w:t>、质量要求：</w:t>
      </w:r>
      <w:bookmarkEnd w:id="17"/>
    </w:p>
    <w:p>
      <w:pPr>
        <w:pStyle w:val="34"/>
        <w:numPr>
          <w:ilvl w:val="0"/>
          <w:numId w:val="1"/>
        </w:num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响应时间：</w:t>
      </w:r>
    </w:p>
    <w:p>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省交通运输厅现场维护响应时间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遇到一般问题，负责及时响应并现场予以解决；如果遇到因现有技术水平和环境条件下难以解决的问题或是程序BUG引起的问题，需要及时提交进行协商解决。</w:t>
      </w:r>
    </w:p>
    <w:p>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市、县各级交通管理单位的远程及现场维护响应时间：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维护工程师零小时电话响应，能够及时远程解决的远程解决，遇到复杂性问题无法及时远程解决的问题，在24小时内提供紧急解决方案，以保障正常工作。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对于无法远程解决需要现场解决的问题，维护工程师在得到确认同意后，在1个工作日内或用户要求的时限内予以现场响应。</w:t>
      </w:r>
    </w:p>
    <w:p>
      <w:pPr>
        <w:pStyle w:val="34"/>
        <w:numPr>
          <w:ilvl w:val="0"/>
          <w:numId w:val="1"/>
        </w:num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提交文档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对于维护期间发生的各项维护事宜，维护工程师应根据省交通运输厅维护相关要求认真详实填报有关维护资料，以备查用，如《维护记录》等。</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、维护地点</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维护地点: 省交通运输厅的维护现场。</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、验收</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sz w:val="24"/>
          <w:szCs w:val="24"/>
        </w:rPr>
        <w:t>完成各项维护问题的处理，按时提交</w:t>
      </w:r>
      <w:r>
        <w:rPr>
          <w:rFonts w:hint="eastAsia" w:ascii="宋体" w:hAnsi="宋体" w:eastAsia="宋体" w:cs="宋体"/>
          <w:color w:val="000000"/>
          <w:sz w:val="24"/>
          <w:szCs w:val="24"/>
        </w:rPr>
        <w:t>《维护记录》等维护文档。</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八、商务要求</w:t>
      </w:r>
    </w:p>
    <w:p>
      <w:pPr>
        <w:spacing w:line="360" w:lineRule="auto"/>
        <w:ind w:firstLine="477" w:firstLineChars="19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szCs w:val="24"/>
          <w:highlight w:val="none"/>
        </w:rPr>
        <w:t>维护期限</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维护期限一年, 工作时间与浙江省交通运输厅工作时间相同。</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2、付款方式</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（1）合同签订且具备实施条件后7个工作日内，采购人具备支付条件后向服务商预付合同总价70%的合同款；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（2）服务期达到3个月后，采购人确认服务正常，具备支付条件后7个工作日内向服务商支付合同剩余款项。</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3、履约保证金：无</w:t>
      </w:r>
    </w:p>
    <w:p>
      <w:pPr>
        <w:spacing w:line="360" w:lineRule="auto"/>
        <w:ind w:firstLine="480" w:firstLineChars="200"/>
        <w:rPr>
          <w:rFonts w:hint="eastAsia" w:ascii="宋体" w:hAnsi="宋体" w:cs="宋体"/>
          <w:color w:val="000000"/>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sz w:val="36"/>
          <w:szCs w:val="36"/>
        </w:rPr>
      </w:pPr>
      <w:r>
        <w:rPr>
          <w:rFonts w:hint="eastAsia" w:ascii="宋体" w:hAnsi="宋体" w:cs="宋体"/>
          <w:b/>
          <w:sz w:val="36"/>
          <w:szCs w:val="36"/>
        </w:rPr>
        <w:t xml:space="preserve">第四部分   </w:t>
      </w:r>
      <w:bookmarkStart w:id="18" w:name="_Toc184312069"/>
      <w:bookmarkEnd w:id="18"/>
      <w:bookmarkStart w:id="19" w:name="_Toc184313260"/>
      <w:bookmarkEnd w:id="19"/>
      <w:bookmarkStart w:id="20" w:name="_Toc184308071"/>
      <w:bookmarkEnd w:id="20"/>
      <w:bookmarkStart w:id="21" w:name="_Toc184308042"/>
      <w:bookmarkEnd w:id="21"/>
      <w:bookmarkStart w:id="22" w:name="_Toc184312131"/>
      <w:bookmarkEnd w:id="22"/>
      <w:bookmarkStart w:id="23" w:name="_Toc184308073"/>
      <w:bookmarkEnd w:id="23"/>
      <w:bookmarkStart w:id="24" w:name="_Toc184308043"/>
      <w:bookmarkEnd w:id="24"/>
      <w:bookmarkStart w:id="25" w:name="_Toc184314432"/>
      <w:bookmarkEnd w:id="25"/>
      <w:bookmarkStart w:id="26" w:name="_Toc184312081"/>
      <w:bookmarkEnd w:id="26"/>
      <w:bookmarkStart w:id="27" w:name="_Toc184308082"/>
      <w:bookmarkEnd w:id="27"/>
      <w:bookmarkStart w:id="28" w:name="_Toc184312106"/>
      <w:bookmarkEnd w:id="28"/>
      <w:bookmarkStart w:id="29" w:name="_Toc184308059"/>
      <w:bookmarkEnd w:id="29"/>
      <w:bookmarkStart w:id="30" w:name="_Toc184312128"/>
      <w:bookmarkEnd w:id="30"/>
      <w:bookmarkStart w:id="31" w:name="_Toc184308050"/>
      <w:bookmarkEnd w:id="31"/>
      <w:bookmarkStart w:id="32" w:name="_Toc184313270"/>
      <w:bookmarkEnd w:id="32"/>
      <w:bookmarkStart w:id="33" w:name="_Toc184314479"/>
      <w:bookmarkEnd w:id="33"/>
      <w:bookmarkStart w:id="34" w:name="_Toc184310340"/>
      <w:bookmarkEnd w:id="34"/>
      <w:bookmarkStart w:id="35" w:name="_Toc184312139"/>
      <w:bookmarkEnd w:id="35"/>
      <w:bookmarkStart w:id="36" w:name="_Toc184314458"/>
      <w:bookmarkEnd w:id="36"/>
      <w:bookmarkStart w:id="37" w:name="_Toc184308039"/>
      <w:bookmarkEnd w:id="37"/>
      <w:bookmarkStart w:id="38" w:name="_Toc184313259"/>
      <w:bookmarkEnd w:id="38"/>
      <w:bookmarkStart w:id="39" w:name="_Toc184314451"/>
      <w:bookmarkEnd w:id="39"/>
      <w:bookmarkStart w:id="40" w:name="_Toc184313290"/>
      <w:bookmarkEnd w:id="40"/>
      <w:bookmarkStart w:id="41" w:name="_Toc184313304"/>
      <w:bookmarkEnd w:id="41"/>
      <w:bookmarkStart w:id="42" w:name="_Toc184312133"/>
      <w:bookmarkEnd w:id="42"/>
      <w:bookmarkStart w:id="43" w:name="_Toc184314427"/>
      <w:bookmarkEnd w:id="43"/>
      <w:bookmarkStart w:id="44" w:name="_Toc184308038"/>
      <w:bookmarkEnd w:id="44"/>
      <w:bookmarkStart w:id="45" w:name="_Toc184310316"/>
      <w:bookmarkEnd w:id="45"/>
      <w:bookmarkStart w:id="46" w:name="_Toc184314450"/>
      <w:bookmarkEnd w:id="46"/>
      <w:bookmarkStart w:id="47" w:name="_Toc184312076"/>
      <w:bookmarkEnd w:id="47"/>
      <w:bookmarkStart w:id="48" w:name="_Toc184313310"/>
      <w:bookmarkEnd w:id="48"/>
      <w:bookmarkStart w:id="49" w:name="_Toc184308100"/>
      <w:bookmarkEnd w:id="49"/>
      <w:bookmarkStart w:id="50" w:name="_Toc184312121"/>
      <w:bookmarkEnd w:id="50"/>
      <w:bookmarkStart w:id="51" w:name="_Toc184308086"/>
      <w:bookmarkEnd w:id="51"/>
      <w:bookmarkStart w:id="52" w:name="_Toc184308103"/>
      <w:bookmarkEnd w:id="52"/>
      <w:bookmarkStart w:id="53" w:name="_Toc184314444"/>
      <w:bookmarkEnd w:id="53"/>
      <w:bookmarkStart w:id="54" w:name="_Toc184313269"/>
      <w:bookmarkEnd w:id="54"/>
      <w:bookmarkStart w:id="55" w:name="_Toc184310331"/>
      <w:bookmarkEnd w:id="55"/>
      <w:bookmarkStart w:id="56" w:name="_Toc184310280"/>
      <w:bookmarkEnd w:id="56"/>
      <w:bookmarkStart w:id="57" w:name="_Toc184310294"/>
      <w:bookmarkEnd w:id="57"/>
      <w:bookmarkStart w:id="58" w:name="_Toc184313279"/>
      <w:bookmarkEnd w:id="58"/>
      <w:bookmarkStart w:id="59" w:name="_Toc184312071"/>
      <w:bookmarkEnd w:id="59"/>
      <w:bookmarkStart w:id="60" w:name="_Toc184313283"/>
      <w:bookmarkEnd w:id="60"/>
      <w:bookmarkStart w:id="61" w:name="_Toc184310327"/>
      <w:bookmarkEnd w:id="61"/>
      <w:bookmarkStart w:id="62" w:name="_Toc184310336"/>
      <w:bookmarkEnd w:id="62"/>
      <w:bookmarkStart w:id="63" w:name="_Toc184310301"/>
      <w:bookmarkEnd w:id="63"/>
      <w:bookmarkStart w:id="64" w:name="_Toc184313295"/>
      <w:bookmarkEnd w:id="64"/>
      <w:bookmarkStart w:id="65" w:name="_Toc184310296"/>
      <w:bookmarkEnd w:id="65"/>
      <w:bookmarkStart w:id="66" w:name="_Toc184308083"/>
      <w:bookmarkEnd w:id="66"/>
      <w:bookmarkStart w:id="67" w:name="_Toc184313299"/>
      <w:bookmarkEnd w:id="67"/>
      <w:bookmarkStart w:id="68" w:name="_Toc184308061"/>
      <w:bookmarkEnd w:id="68"/>
      <w:bookmarkStart w:id="69" w:name="_Toc184314457"/>
      <w:bookmarkEnd w:id="69"/>
      <w:bookmarkStart w:id="70" w:name="_Toc184310310"/>
      <w:bookmarkEnd w:id="70"/>
      <w:bookmarkStart w:id="71" w:name="_Toc184313258"/>
      <w:bookmarkEnd w:id="71"/>
      <w:bookmarkStart w:id="72" w:name="_Toc184314474"/>
      <w:bookmarkEnd w:id="72"/>
      <w:bookmarkStart w:id="73" w:name="_Toc184314470"/>
      <w:bookmarkEnd w:id="73"/>
      <w:bookmarkStart w:id="74" w:name="_Toc184313277"/>
      <w:bookmarkEnd w:id="74"/>
      <w:bookmarkStart w:id="75" w:name="_Toc184310300"/>
      <w:bookmarkEnd w:id="75"/>
      <w:bookmarkStart w:id="76" w:name="_Toc184313262"/>
      <w:bookmarkEnd w:id="76"/>
      <w:bookmarkStart w:id="77" w:name="_Toc184312134"/>
      <w:bookmarkEnd w:id="77"/>
      <w:bookmarkStart w:id="78" w:name="_Toc184308102"/>
      <w:bookmarkEnd w:id="78"/>
      <w:bookmarkStart w:id="79" w:name="_Toc184314467"/>
      <w:bookmarkEnd w:id="79"/>
      <w:bookmarkStart w:id="80" w:name="_Toc184313263"/>
      <w:bookmarkEnd w:id="80"/>
      <w:bookmarkStart w:id="81" w:name="_Toc184310319"/>
      <w:bookmarkEnd w:id="81"/>
      <w:bookmarkStart w:id="82" w:name="_Toc184310295"/>
      <w:bookmarkEnd w:id="82"/>
      <w:bookmarkStart w:id="83" w:name="_Toc184313280"/>
      <w:bookmarkEnd w:id="83"/>
      <w:bookmarkStart w:id="84" w:name="_Toc184312112"/>
      <w:bookmarkEnd w:id="84"/>
      <w:bookmarkStart w:id="85" w:name="_Toc184308040"/>
      <w:bookmarkEnd w:id="85"/>
      <w:bookmarkStart w:id="86" w:name="_Toc184314426"/>
      <w:bookmarkEnd w:id="86"/>
      <w:bookmarkStart w:id="87" w:name="_Toc184314439"/>
      <w:bookmarkEnd w:id="87"/>
      <w:bookmarkStart w:id="88" w:name="_Toc184310318"/>
      <w:bookmarkEnd w:id="88"/>
      <w:bookmarkStart w:id="89" w:name="_Toc184313303"/>
      <w:bookmarkEnd w:id="89"/>
      <w:bookmarkStart w:id="90" w:name="_Toc184310290"/>
      <w:bookmarkEnd w:id="90"/>
      <w:bookmarkStart w:id="91" w:name="_Toc184313308"/>
      <w:bookmarkEnd w:id="91"/>
      <w:bookmarkStart w:id="92" w:name="_Toc184312130"/>
      <w:bookmarkEnd w:id="92"/>
      <w:bookmarkStart w:id="93" w:name="_Toc184310311"/>
      <w:bookmarkEnd w:id="93"/>
      <w:bookmarkStart w:id="94" w:name="_Toc184313272"/>
      <w:bookmarkEnd w:id="94"/>
      <w:bookmarkStart w:id="95" w:name="_Toc184314410"/>
      <w:bookmarkEnd w:id="95"/>
      <w:bookmarkStart w:id="96" w:name="_Toc184310278"/>
      <w:bookmarkEnd w:id="96"/>
      <w:bookmarkStart w:id="97" w:name="_Toc184308089"/>
      <w:bookmarkEnd w:id="97"/>
      <w:bookmarkStart w:id="98" w:name="_Toc184314443"/>
      <w:bookmarkEnd w:id="98"/>
      <w:bookmarkStart w:id="99" w:name="_Toc184310273"/>
      <w:bookmarkEnd w:id="99"/>
      <w:bookmarkStart w:id="100" w:name="_Toc184313293"/>
      <w:bookmarkEnd w:id="100"/>
      <w:bookmarkStart w:id="101" w:name="_Toc184313268"/>
      <w:bookmarkEnd w:id="101"/>
      <w:bookmarkStart w:id="102" w:name="_Toc184312135"/>
      <w:bookmarkEnd w:id="102"/>
      <w:bookmarkStart w:id="103" w:name="_Toc184312103"/>
      <w:bookmarkEnd w:id="103"/>
      <w:bookmarkStart w:id="104" w:name="_Toc184308045"/>
      <w:bookmarkEnd w:id="104"/>
      <w:bookmarkStart w:id="105" w:name="_Toc184313242"/>
      <w:bookmarkEnd w:id="105"/>
      <w:bookmarkStart w:id="106" w:name="_Toc184313285"/>
      <w:bookmarkEnd w:id="106"/>
      <w:bookmarkStart w:id="107" w:name="_Toc184313244"/>
      <w:bookmarkEnd w:id="107"/>
      <w:bookmarkStart w:id="108" w:name="_Toc184313292"/>
      <w:bookmarkEnd w:id="108"/>
      <w:bookmarkStart w:id="109" w:name="_Toc184308074"/>
      <w:bookmarkEnd w:id="109"/>
      <w:bookmarkStart w:id="110" w:name="_Toc184310279"/>
      <w:bookmarkEnd w:id="110"/>
      <w:bookmarkStart w:id="111" w:name="_Toc184313309"/>
      <w:bookmarkEnd w:id="111"/>
      <w:bookmarkStart w:id="112" w:name="_Toc184312101"/>
      <w:bookmarkEnd w:id="112"/>
      <w:bookmarkStart w:id="113" w:name="_Toc184310293"/>
      <w:bookmarkEnd w:id="113"/>
      <w:bookmarkStart w:id="114" w:name="_Toc184312126"/>
      <w:bookmarkEnd w:id="114"/>
      <w:bookmarkStart w:id="115" w:name="_Toc184312092"/>
      <w:bookmarkEnd w:id="115"/>
      <w:bookmarkStart w:id="116" w:name="_Toc184313264"/>
      <w:bookmarkEnd w:id="116"/>
      <w:bookmarkStart w:id="117" w:name="_Toc184312111"/>
      <w:bookmarkEnd w:id="117"/>
      <w:bookmarkStart w:id="118" w:name="_Toc184310330"/>
      <w:bookmarkEnd w:id="118"/>
      <w:bookmarkStart w:id="119" w:name="_Toc184313281"/>
      <w:bookmarkEnd w:id="119"/>
      <w:bookmarkStart w:id="120" w:name="_Toc184314453"/>
      <w:bookmarkEnd w:id="120"/>
      <w:bookmarkStart w:id="121" w:name="_Toc184314477"/>
      <w:bookmarkEnd w:id="121"/>
      <w:bookmarkStart w:id="122" w:name="_Toc184313297"/>
      <w:bookmarkEnd w:id="122"/>
      <w:bookmarkStart w:id="123" w:name="_Toc184314449"/>
      <w:bookmarkEnd w:id="123"/>
      <w:bookmarkStart w:id="124" w:name="_Toc184312079"/>
      <w:bookmarkEnd w:id="124"/>
      <w:bookmarkStart w:id="125" w:name="_Toc184314460"/>
      <w:bookmarkEnd w:id="125"/>
      <w:bookmarkStart w:id="126" w:name="_Toc184313289"/>
      <w:bookmarkEnd w:id="126"/>
      <w:bookmarkStart w:id="127" w:name="_Toc184314419"/>
      <w:bookmarkEnd w:id="127"/>
      <w:bookmarkStart w:id="128" w:name="_Toc184312097"/>
      <w:bookmarkEnd w:id="128"/>
      <w:bookmarkStart w:id="129" w:name="_Toc184310334"/>
      <w:bookmarkEnd w:id="129"/>
      <w:bookmarkStart w:id="130" w:name="_Toc184310312"/>
      <w:bookmarkEnd w:id="130"/>
      <w:bookmarkStart w:id="131" w:name="_Toc184312109"/>
      <w:bookmarkEnd w:id="131"/>
      <w:bookmarkStart w:id="132" w:name="_Toc184308052"/>
      <w:bookmarkEnd w:id="132"/>
      <w:bookmarkStart w:id="133" w:name="_Toc184312073"/>
      <w:bookmarkEnd w:id="133"/>
      <w:bookmarkStart w:id="134" w:name="_Toc184308087"/>
      <w:bookmarkEnd w:id="134"/>
      <w:bookmarkStart w:id="135" w:name="_Toc184308064"/>
      <w:bookmarkEnd w:id="135"/>
      <w:bookmarkStart w:id="136" w:name="_Toc184310297"/>
      <w:bookmarkEnd w:id="136"/>
      <w:bookmarkStart w:id="137" w:name="_Toc184312137"/>
      <w:bookmarkEnd w:id="137"/>
      <w:bookmarkStart w:id="138" w:name="_Toc184314447"/>
      <w:bookmarkEnd w:id="138"/>
      <w:bookmarkStart w:id="139" w:name="_Toc184313248"/>
      <w:bookmarkEnd w:id="139"/>
      <w:bookmarkStart w:id="140" w:name="_Toc184308095"/>
      <w:bookmarkEnd w:id="140"/>
      <w:bookmarkStart w:id="141" w:name="_Toc184310313"/>
      <w:bookmarkEnd w:id="141"/>
      <w:bookmarkStart w:id="142" w:name="_Toc184314466"/>
      <w:bookmarkEnd w:id="142"/>
      <w:bookmarkStart w:id="143" w:name="_Toc184313247"/>
      <w:bookmarkEnd w:id="143"/>
      <w:bookmarkStart w:id="144" w:name="_Toc184313261"/>
      <w:bookmarkEnd w:id="144"/>
      <w:bookmarkStart w:id="145" w:name="_Toc184313246"/>
      <w:bookmarkEnd w:id="145"/>
      <w:bookmarkStart w:id="146" w:name="_Toc184310286"/>
      <w:bookmarkEnd w:id="146"/>
      <w:bookmarkStart w:id="147" w:name="_Toc184308090"/>
      <w:bookmarkEnd w:id="147"/>
      <w:bookmarkStart w:id="148" w:name="_Toc184312070"/>
      <w:bookmarkEnd w:id="148"/>
      <w:bookmarkStart w:id="149" w:name="_Toc184314465"/>
      <w:bookmarkEnd w:id="149"/>
      <w:bookmarkStart w:id="150" w:name="_Toc184308106"/>
      <w:bookmarkEnd w:id="150"/>
      <w:bookmarkStart w:id="151" w:name="_Toc184314480"/>
      <w:bookmarkEnd w:id="151"/>
      <w:bookmarkStart w:id="152" w:name="_Toc184310302"/>
      <w:bookmarkEnd w:id="152"/>
      <w:bookmarkStart w:id="153" w:name="_Toc184313273"/>
      <w:bookmarkEnd w:id="153"/>
      <w:bookmarkStart w:id="154" w:name="_Toc184314414"/>
      <w:bookmarkEnd w:id="154"/>
      <w:bookmarkStart w:id="155" w:name="_Toc184310303"/>
      <w:bookmarkEnd w:id="155"/>
      <w:bookmarkStart w:id="156" w:name="_Toc184313257"/>
      <w:bookmarkEnd w:id="156"/>
      <w:bookmarkStart w:id="157" w:name="_Toc184313286"/>
      <w:bookmarkEnd w:id="157"/>
      <w:bookmarkStart w:id="158" w:name="_Toc184314435"/>
      <w:bookmarkEnd w:id="158"/>
      <w:bookmarkStart w:id="159" w:name="_Toc184312094"/>
      <w:bookmarkEnd w:id="159"/>
      <w:bookmarkStart w:id="160" w:name="_Toc184312087"/>
      <w:bookmarkEnd w:id="160"/>
      <w:bookmarkStart w:id="161" w:name="_Toc184314436"/>
      <w:bookmarkEnd w:id="161"/>
      <w:bookmarkStart w:id="162" w:name="_Toc184310325"/>
      <w:bookmarkEnd w:id="162"/>
      <w:bookmarkStart w:id="163" w:name="_Toc184308101"/>
      <w:bookmarkEnd w:id="163"/>
      <w:bookmarkStart w:id="164" w:name="_Toc184310309"/>
      <w:bookmarkEnd w:id="164"/>
      <w:bookmarkStart w:id="165" w:name="_Toc184308068"/>
      <w:bookmarkEnd w:id="165"/>
      <w:bookmarkStart w:id="166" w:name="_Toc184308070"/>
      <w:bookmarkEnd w:id="166"/>
      <w:bookmarkStart w:id="167" w:name="_Toc184308069"/>
      <w:bookmarkEnd w:id="167"/>
      <w:bookmarkStart w:id="168" w:name="_Toc184310343"/>
      <w:bookmarkEnd w:id="168"/>
      <w:bookmarkStart w:id="169" w:name="_Toc184312124"/>
      <w:bookmarkEnd w:id="169"/>
      <w:bookmarkStart w:id="170" w:name="_Toc184314411"/>
      <w:bookmarkEnd w:id="170"/>
      <w:bookmarkStart w:id="171" w:name="_Toc184314430"/>
      <w:bookmarkEnd w:id="171"/>
      <w:bookmarkStart w:id="172" w:name="_Toc184308037"/>
      <w:bookmarkEnd w:id="172"/>
      <w:bookmarkStart w:id="173" w:name="_Toc184310323"/>
      <w:bookmarkEnd w:id="173"/>
      <w:bookmarkStart w:id="174" w:name="_Toc184310339"/>
      <w:bookmarkEnd w:id="174"/>
      <w:bookmarkStart w:id="175" w:name="_Toc184308080"/>
      <w:bookmarkEnd w:id="175"/>
      <w:bookmarkStart w:id="176" w:name="_Toc184313291"/>
      <w:bookmarkEnd w:id="176"/>
      <w:bookmarkStart w:id="177" w:name="_Toc184313266"/>
      <w:bookmarkEnd w:id="177"/>
      <w:bookmarkStart w:id="178" w:name="_Toc184312127"/>
      <w:bookmarkEnd w:id="178"/>
      <w:bookmarkStart w:id="179" w:name="_Toc184314469"/>
      <w:bookmarkEnd w:id="179"/>
      <w:bookmarkStart w:id="180" w:name="_Toc184310324"/>
      <w:bookmarkEnd w:id="180"/>
      <w:bookmarkStart w:id="181" w:name="_Toc184308063"/>
      <w:bookmarkEnd w:id="181"/>
      <w:bookmarkStart w:id="182" w:name="_Toc184312132"/>
      <w:bookmarkEnd w:id="182"/>
      <w:bookmarkStart w:id="183" w:name="_Toc184312110"/>
      <w:bookmarkEnd w:id="183"/>
      <w:bookmarkStart w:id="184" w:name="_Toc184310276"/>
      <w:bookmarkEnd w:id="184"/>
      <w:bookmarkStart w:id="185" w:name="_Toc184310337"/>
      <w:bookmarkEnd w:id="185"/>
      <w:bookmarkStart w:id="186" w:name="_Toc184313240"/>
      <w:bookmarkEnd w:id="186"/>
      <w:bookmarkStart w:id="187" w:name="_Toc184312077"/>
      <w:bookmarkEnd w:id="187"/>
      <w:bookmarkStart w:id="188" w:name="_Toc184312098"/>
      <w:bookmarkEnd w:id="188"/>
      <w:bookmarkStart w:id="189" w:name="_Toc184310344"/>
      <w:bookmarkEnd w:id="189"/>
      <w:bookmarkStart w:id="190" w:name="_Toc184308058"/>
      <w:bookmarkEnd w:id="190"/>
      <w:bookmarkStart w:id="191" w:name="_Toc184308077"/>
      <w:bookmarkEnd w:id="191"/>
      <w:bookmarkStart w:id="192" w:name="_Toc184308091"/>
      <w:bookmarkEnd w:id="192"/>
      <w:bookmarkStart w:id="193" w:name="_Toc184310289"/>
      <w:bookmarkEnd w:id="193"/>
      <w:bookmarkStart w:id="194" w:name="_Toc184310315"/>
      <w:bookmarkEnd w:id="194"/>
      <w:bookmarkStart w:id="195" w:name="_Toc184308093"/>
      <w:bookmarkEnd w:id="195"/>
      <w:bookmarkStart w:id="196" w:name="_Toc184310335"/>
      <w:bookmarkEnd w:id="196"/>
      <w:bookmarkStart w:id="197" w:name="_Toc184314441"/>
      <w:bookmarkEnd w:id="197"/>
      <w:bookmarkStart w:id="198" w:name="_Toc184308079"/>
      <w:bookmarkEnd w:id="198"/>
      <w:bookmarkStart w:id="199" w:name="_Toc184308085"/>
      <w:bookmarkEnd w:id="199"/>
      <w:bookmarkStart w:id="200" w:name="_Toc184313239"/>
      <w:bookmarkEnd w:id="200"/>
      <w:bookmarkStart w:id="201" w:name="_Toc184312122"/>
      <w:bookmarkEnd w:id="201"/>
      <w:bookmarkStart w:id="202" w:name="_Toc184308108"/>
      <w:bookmarkEnd w:id="202"/>
      <w:bookmarkStart w:id="203" w:name="_Toc184312083"/>
      <w:bookmarkEnd w:id="203"/>
      <w:bookmarkStart w:id="204" w:name="_Toc184310341"/>
      <w:bookmarkEnd w:id="204"/>
      <w:bookmarkStart w:id="205" w:name="_Toc184314446"/>
      <w:bookmarkEnd w:id="205"/>
      <w:bookmarkStart w:id="206" w:name="_Toc184310275"/>
      <w:bookmarkEnd w:id="206"/>
      <w:bookmarkStart w:id="207" w:name="_Toc184308067"/>
      <w:bookmarkEnd w:id="207"/>
      <w:bookmarkStart w:id="208" w:name="_Toc184310307"/>
      <w:bookmarkEnd w:id="208"/>
      <w:bookmarkStart w:id="209" w:name="_Toc184314431"/>
      <w:bookmarkEnd w:id="209"/>
      <w:bookmarkStart w:id="210" w:name="_Toc184314445"/>
      <w:bookmarkEnd w:id="210"/>
      <w:bookmarkStart w:id="211" w:name="_Toc184313294"/>
      <w:bookmarkEnd w:id="211"/>
      <w:bookmarkStart w:id="212" w:name="_Toc184314464"/>
      <w:bookmarkEnd w:id="212"/>
      <w:bookmarkStart w:id="213" w:name="_Toc184312067"/>
      <w:bookmarkEnd w:id="213"/>
      <w:bookmarkStart w:id="214" w:name="_Toc184314442"/>
      <w:bookmarkEnd w:id="214"/>
      <w:bookmarkStart w:id="215" w:name="_Toc184308048"/>
      <w:bookmarkEnd w:id="215"/>
      <w:bookmarkStart w:id="216" w:name="_Toc184313250"/>
      <w:bookmarkEnd w:id="216"/>
      <w:bookmarkStart w:id="217" w:name="_Toc184313256"/>
      <w:bookmarkEnd w:id="217"/>
      <w:bookmarkStart w:id="218" w:name="_Toc184312113"/>
      <w:bookmarkEnd w:id="218"/>
      <w:bookmarkStart w:id="219" w:name="_Toc184314473"/>
      <w:bookmarkEnd w:id="219"/>
      <w:bookmarkStart w:id="220" w:name="_Toc184308084"/>
      <w:bookmarkEnd w:id="220"/>
      <w:bookmarkStart w:id="221" w:name="_Toc184310291"/>
      <w:bookmarkEnd w:id="221"/>
      <w:bookmarkStart w:id="222" w:name="_Toc184308072"/>
      <w:bookmarkEnd w:id="222"/>
      <w:bookmarkStart w:id="223" w:name="_Toc184310342"/>
      <w:bookmarkEnd w:id="223"/>
      <w:bookmarkStart w:id="224" w:name="_Toc184308060"/>
      <w:bookmarkEnd w:id="224"/>
      <w:bookmarkStart w:id="225" w:name="_Toc184314422"/>
      <w:bookmarkEnd w:id="225"/>
      <w:bookmarkStart w:id="226" w:name="_Toc184312096"/>
      <w:bookmarkEnd w:id="226"/>
      <w:bookmarkStart w:id="227" w:name="_Toc184313253"/>
      <w:bookmarkEnd w:id="227"/>
      <w:bookmarkStart w:id="228" w:name="_Toc184314433"/>
      <w:bookmarkEnd w:id="228"/>
      <w:bookmarkStart w:id="229" w:name="_Toc184314481"/>
      <w:bookmarkEnd w:id="229"/>
      <w:bookmarkStart w:id="230" w:name="_Toc184310329"/>
      <w:bookmarkEnd w:id="230"/>
      <w:bookmarkStart w:id="231" w:name="_Toc184308044"/>
      <w:bookmarkEnd w:id="231"/>
      <w:bookmarkStart w:id="232" w:name="_Toc184312090"/>
      <w:bookmarkEnd w:id="232"/>
      <w:bookmarkStart w:id="233" w:name="_Toc184310305"/>
      <w:bookmarkEnd w:id="233"/>
      <w:bookmarkStart w:id="234" w:name="_Toc184312107"/>
      <w:bookmarkEnd w:id="234"/>
      <w:bookmarkStart w:id="235" w:name="_Toc184312082"/>
      <w:bookmarkEnd w:id="235"/>
      <w:bookmarkStart w:id="236" w:name="_Toc184312108"/>
      <w:bookmarkEnd w:id="236"/>
      <w:bookmarkStart w:id="237" w:name="_Toc184310292"/>
      <w:bookmarkEnd w:id="237"/>
      <w:bookmarkStart w:id="238" w:name="_Toc184314434"/>
      <w:bookmarkEnd w:id="238"/>
      <w:bookmarkStart w:id="239" w:name="_Toc184308094"/>
      <w:bookmarkEnd w:id="239"/>
      <w:bookmarkStart w:id="240" w:name="_Toc184310332"/>
      <w:bookmarkEnd w:id="240"/>
      <w:bookmarkStart w:id="241" w:name="_Toc184313305"/>
      <w:bookmarkEnd w:id="241"/>
      <w:bookmarkStart w:id="242" w:name="_Toc184308065"/>
      <w:bookmarkEnd w:id="242"/>
      <w:bookmarkStart w:id="243" w:name="_Toc184312114"/>
      <w:bookmarkEnd w:id="243"/>
      <w:bookmarkStart w:id="244" w:name="_Toc184310304"/>
      <w:bookmarkEnd w:id="244"/>
      <w:bookmarkStart w:id="245" w:name="_Toc184314438"/>
      <w:bookmarkEnd w:id="245"/>
      <w:bookmarkStart w:id="246" w:name="_Toc184313296"/>
      <w:bookmarkEnd w:id="246"/>
      <w:bookmarkStart w:id="247" w:name="_Toc184310283"/>
      <w:bookmarkEnd w:id="247"/>
      <w:bookmarkStart w:id="248" w:name="_Toc184308092"/>
      <w:bookmarkEnd w:id="248"/>
      <w:bookmarkStart w:id="249" w:name="_Toc184308066"/>
      <w:bookmarkEnd w:id="249"/>
      <w:bookmarkStart w:id="250" w:name="_Toc184308097"/>
      <w:bookmarkEnd w:id="250"/>
      <w:bookmarkStart w:id="251" w:name="_Toc184308051"/>
      <w:bookmarkEnd w:id="251"/>
      <w:bookmarkStart w:id="252" w:name="_Toc184313255"/>
      <w:bookmarkEnd w:id="252"/>
      <w:bookmarkStart w:id="253" w:name="_Toc184314475"/>
      <w:bookmarkEnd w:id="253"/>
      <w:bookmarkStart w:id="254" w:name="_Toc184314471"/>
      <w:bookmarkEnd w:id="254"/>
      <w:bookmarkStart w:id="255" w:name="_Toc184314420"/>
      <w:bookmarkEnd w:id="255"/>
      <w:bookmarkStart w:id="256" w:name="_Toc184312136"/>
      <w:bookmarkEnd w:id="256"/>
      <w:bookmarkStart w:id="257" w:name="_Toc184313287"/>
      <w:bookmarkEnd w:id="257"/>
      <w:bookmarkStart w:id="258" w:name="_Toc184308088"/>
      <w:bookmarkEnd w:id="258"/>
      <w:bookmarkStart w:id="259" w:name="_Toc184312120"/>
      <w:bookmarkEnd w:id="259"/>
      <w:bookmarkStart w:id="260" w:name="_Toc184312074"/>
      <w:bookmarkEnd w:id="260"/>
      <w:bookmarkStart w:id="261" w:name="_Toc184312093"/>
      <w:bookmarkEnd w:id="261"/>
      <w:bookmarkStart w:id="262" w:name="_Toc184314429"/>
      <w:bookmarkEnd w:id="262"/>
      <w:bookmarkStart w:id="263" w:name="_Toc184312115"/>
      <w:bookmarkEnd w:id="263"/>
      <w:bookmarkStart w:id="264" w:name="_Toc184314452"/>
      <w:bookmarkEnd w:id="264"/>
      <w:bookmarkStart w:id="265" w:name="_Toc184310322"/>
      <w:bookmarkEnd w:id="265"/>
      <w:bookmarkStart w:id="266" w:name="_Toc184308041"/>
      <w:bookmarkEnd w:id="266"/>
      <w:bookmarkStart w:id="267" w:name="_Toc184314461"/>
      <w:bookmarkEnd w:id="267"/>
      <w:bookmarkStart w:id="268" w:name="_Toc184314462"/>
      <w:bookmarkEnd w:id="268"/>
      <w:bookmarkStart w:id="269" w:name="_Toc184313251"/>
      <w:bookmarkEnd w:id="269"/>
      <w:bookmarkStart w:id="270" w:name="_Toc184310308"/>
      <w:bookmarkEnd w:id="270"/>
      <w:bookmarkStart w:id="271" w:name="_Toc184312086"/>
      <w:bookmarkEnd w:id="271"/>
      <w:bookmarkStart w:id="272" w:name="_Toc184313302"/>
      <w:bookmarkEnd w:id="272"/>
      <w:bookmarkStart w:id="273" w:name="_Toc184313249"/>
      <w:bookmarkEnd w:id="273"/>
      <w:bookmarkStart w:id="274" w:name="_Toc184312102"/>
      <w:bookmarkEnd w:id="274"/>
      <w:bookmarkStart w:id="275" w:name="_Toc184310326"/>
      <w:bookmarkEnd w:id="275"/>
      <w:bookmarkStart w:id="276" w:name="_Toc184314478"/>
      <w:bookmarkEnd w:id="276"/>
      <w:bookmarkStart w:id="277" w:name="_Toc184310285"/>
      <w:bookmarkEnd w:id="277"/>
      <w:bookmarkStart w:id="278" w:name="_Toc184312089"/>
      <w:bookmarkEnd w:id="278"/>
      <w:bookmarkStart w:id="279" w:name="_Toc184310281"/>
      <w:bookmarkEnd w:id="279"/>
      <w:bookmarkStart w:id="280" w:name="_Toc184312084"/>
      <w:bookmarkEnd w:id="280"/>
      <w:bookmarkStart w:id="281" w:name="_Toc184312072"/>
      <w:bookmarkEnd w:id="281"/>
      <w:bookmarkStart w:id="282" w:name="_Toc184312091"/>
      <w:bookmarkEnd w:id="282"/>
      <w:bookmarkStart w:id="283" w:name="_Toc184312129"/>
      <w:bookmarkEnd w:id="283"/>
      <w:bookmarkStart w:id="284" w:name="_Toc184312138"/>
      <w:bookmarkEnd w:id="284"/>
      <w:bookmarkStart w:id="285" w:name="_Toc184314418"/>
      <w:bookmarkEnd w:id="285"/>
      <w:bookmarkStart w:id="286" w:name="_Toc184313301"/>
      <w:bookmarkEnd w:id="286"/>
      <w:bookmarkStart w:id="287" w:name="_Toc184310274"/>
      <w:bookmarkEnd w:id="287"/>
      <w:bookmarkStart w:id="288" w:name="_Toc184314456"/>
      <w:bookmarkEnd w:id="288"/>
      <w:bookmarkStart w:id="289" w:name="_Toc184314463"/>
      <w:bookmarkEnd w:id="289"/>
      <w:bookmarkStart w:id="290" w:name="_Toc184314417"/>
      <w:bookmarkEnd w:id="290"/>
      <w:bookmarkStart w:id="291" w:name="_Toc184314459"/>
      <w:bookmarkEnd w:id="291"/>
      <w:bookmarkStart w:id="292" w:name="_Toc184313276"/>
      <w:bookmarkEnd w:id="292"/>
      <w:bookmarkStart w:id="293" w:name="_Toc184310317"/>
      <w:bookmarkEnd w:id="293"/>
      <w:bookmarkStart w:id="294" w:name="_Toc184308098"/>
      <w:bookmarkEnd w:id="294"/>
      <w:bookmarkStart w:id="295" w:name="_Toc184314412"/>
      <w:bookmarkEnd w:id="295"/>
      <w:bookmarkStart w:id="296" w:name="_Toc184314454"/>
      <w:bookmarkEnd w:id="296"/>
      <w:bookmarkStart w:id="297" w:name="_Toc184312075"/>
      <w:bookmarkEnd w:id="297"/>
      <w:bookmarkStart w:id="298" w:name="_Toc184308107"/>
      <w:bookmarkEnd w:id="298"/>
      <w:bookmarkStart w:id="299" w:name="_Toc184314448"/>
      <w:bookmarkEnd w:id="299"/>
      <w:bookmarkStart w:id="300" w:name="_Toc184312068"/>
      <w:bookmarkEnd w:id="300"/>
      <w:bookmarkStart w:id="301" w:name="_Toc184312085"/>
      <w:bookmarkEnd w:id="301"/>
      <w:bookmarkStart w:id="302" w:name="_Toc184308055"/>
      <w:bookmarkEnd w:id="302"/>
      <w:bookmarkStart w:id="303" w:name="_Toc184313275"/>
      <w:bookmarkEnd w:id="303"/>
      <w:bookmarkStart w:id="304" w:name="_Toc184313298"/>
      <w:bookmarkEnd w:id="304"/>
      <w:bookmarkStart w:id="305" w:name="_Toc184313271"/>
      <w:bookmarkEnd w:id="305"/>
      <w:bookmarkStart w:id="306" w:name="_Toc184314468"/>
      <w:bookmarkEnd w:id="306"/>
      <w:bookmarkStart w:id="307" w:name="_Toc184312116"/>
      <w:bookmarkEnd w:id="307"/>
      <w:bookmarkStart w:id="308" w:name="_Toc184312078"/>
      <w:bookmarkEnd w:id="308"/>
      <w:bookmarkStart w:id="309" w:name="_Toc184314424"/>
      <w:bookmarkEnd w:id="309"/>
      <w:bookmarkStart w:id="310" w:name="_Toc184314472"/>
      <w:bookmarkEnd w:id="310"/>
      <w:bookmarkStart w:id="311" w:name="_Toc184312100"/>
      <w:bookmarkEnd w:id="311"/>
      <w:bookmarkStart w:id="312" w:name="_Toc184314415"/>
      <w:bookmarkEnd w:id="312"/>
      <w:bookmarkStart w:id="313" w:name="_Toc184312118"/>
      <w:bookmarkEnd w:id="313"/>
      <w:bookmarkStart w:id="314" w:name="_Toc184310287"/>
      <w:bookmarkEnd w:id="314"/>
      <w:bookmarkStart w:id="315" w:name="_Toc184313284"/>
      <w:bookmarkEnd w:id="315"/>
      <w:bookmarkStart w:id="316" w:name="_Toc184312119"/>
      <w:bookmarkEnd w:id="316"/>
      <w:bookmarkStart w:id="317" w:name="_Toc184310320"/>
      <w:bookmarkEnd w:id="317"/>
      <w:bookmarkStart w:id="318" w:name="_Toc184310298"/>
      <w:bookmarkEnd w:id="318"/>
      <w:bookmarkStart w:id="319" w:name="_Toc184314440"/>
      <w:bookmarkEnd w:id="319"/>
      <w:bookmarkStart w:id="320" w:name="_Toc184308053"/>
      <w:bookmarkEnd w:id="320"/>
      <w:bookmarkStart w:id="321" w:name="_Toc184312088"/>
      <w:bookmarkEnd w:id="321"/>
      <w:bookmarkStart w:id="322" w:name="_Toc184312080"/>
      <w:bookmarkEnd w:id="322"/>
      <w:bookmarkStart w:id="323" w:name="_Toc184314413"/>
      <w:bookmarkEnd w:id="323"/>
      <w:bookmarkStart w:id="324" w:name="_Toc184313245"/>
      <w:bookmarkEnd w:id="324"/>
      <w:bookmarkStart w:id="325" w:name="_Toc184308081"/>
      <w:bookmarkEnd w:id="325"/>
      <w:bookmarkStart w:id="326" w:name="_Toc184313238"/>
      <w:bookmarkEnd w:id="326"/>
      <w:bookmarkStart w:id="327" w:name="_Toc184312095"/>
      <w:bookmarkEnd w:id="327"/>
      <w:bookmarkStart w:id="328" w:name="_Toc184314437"/>
      <w:bookmarkEnd w:id="328"/>
      <w:bookmarkStart w:id="329" w:name="_Toc184310277"/>
      <w:bookmarkEnd w:id="329"/>
      <w:bookmarkStart w:id="330" w:name="_Toc184310284"/>
      <w:bookmarkEnd w:id="330"/>
      <w:bookmarkStart w:id="331" w:name="_Toc184313267"/>
      <w:bookmarkEnd w:id="331"/>
      <w:bookmarkStart w:id="332" w:name="_Toc184312104"/>
      <w:bookmarkEnd w:id="332"/>
      <w:bookmarkStart w:id="333" w:name="_Toc184308105"/>
      <w:bookmarkEnd w:id="333"/>
      <w:bookmarkStart w:id="334" w:name="_Toc184310328"/>
      <w:bookmarkEnd w:id="334"/>
      <w:bookmarkStart w:id="335" w:name="_Toc184314416"/>
      <w:bookmarkEnd w:id="335"/>
      <w:bookmarkStart w:id="336" w:name="_Toc184314425"/>
      <w:bookmarkEnd w:id="336"/>
      <w:bookmarkStart w:id="337" w:name="_Toc184308075"/>
      <w:bookmarkEnd w:id="337"/>
      <w:bookmarkStart w:id="338" w:name="_Toc184314476"/>
      <w:bookmarkEnd w:id="338"/>
      <w:bookmarkStart w:id="339" w:name="_Toc184308046"/>
      <w:bookmarkEnd w:id="339"/>
      <w:bookmarkStart w:id="340" w:name="_Toc184312105"/>
      <w:bookmarkEnd w:id="340"/>
      <w:bookmarkStart w:id="341" w:name="_Toc184308099"/>
      <w:bookmarkEnd w:id="341"/>
      <w:bookmarkStart w:id="342" w:name="_Toc184308047"/>
      <w:bookmarkEnd w:id="342"/>
      <w:bookmarkStart w:id="343" w:name="_Toc184310314"/>
      <w:bookmarkEnd w:id="343"/>
      <w:bookmarkStart w:id="344" w:name="_Toc184313307"/>
      <w:bookmarkEnd w:id="344"/>
      <w:bookmarkStart w:id="345" w:name="_Toc184312123"/>
      <w:bookmarkEnd w:id="345"/>
      <w:bookmarkStart w:id="346" w:name="_Toc184313243"/>
      <w:bookmarkEnd w:id="346"/>
      <w:bookmarkStart w:id="347" w:name="_Toc184310288"/>
      <w:bookmarkEnd w:id="347"/>
      <w:bookmarkStart w:id="348" w:name="_Toc184313288"/>
      <w:bookmarkEnd w:id="348"/>
      <w:bookmarkStart w:id="349" w:name="_Toc184314428"/>
      <w:bookmarkEnd w:id="349"/>
      <w:bookmarkStart w:id="350" w:name="_Toc184308104"/>
      <w:bookmarkEnd w:id="350"/>
      <w:bookmarkStart w:id="351" w:name="_Toc184312099"/>
      <w:bookmarkEnd w:id="351"/>
      <w:bookmarkStart w:id="352" w:name="_Toc184308076"/>
      <w:bookmarkEnd w:id="352"/>
      <w:bookmarkStart w:id="353" w:name="_Toc184313300"/>
      <w:bookmarkEnd w:id="353"/>
      <w:bookmarkStart w:id="354" w:name="_Toc184308049"/>
      <w:bookmarkEnd w:id="354"/>
      <w:bookmarkStart w:id="355" w:name="_Toc184314482"/>
      <w:bookmarkEnd w:id="355"/>
      <w:bookmarkStart w:id="356" w:name="_Toc184314455"/>
      <w:bookmarkEnd w:id="356"/>
      <w:bookmarkStart w:id="357" w:name="_Toc184313274"/>
      <w:bookmarkEnd w:id="357"/>
      <w:bookmarkStart w:id="358" w:name="_Toc184310282"/>
      <w:bookmarkEnd w:id="358"/>
      <w:bookmarkStart w:id="359" w:name="_Toc184313306"/>
      <w:bookmarkEnd w:id="359"/>
      <w:bookmarkStart w:id="360" w:name="_Toc184308062"/>
      <w:bookmarkEnd w:id="360"/>
      <w:bookmarkStart w:id="361" w:name="_Toc184313278"/>
      <w:bookmarkEnd w:id="361"/>
      <w:bookmarkStart w:id="362" w:name="_Toc184310338"/>
      <w:bookmarkEnd w:id="362"/>
      <w:bookmarkStart w:id="363" w:name="_Toc184310333"/>
      <w:bookmarkEnd w:id="363"/>
      <w:bookmarkStart w:id="364" w:name="_Toc184312117"/>
      <w:bookmarkEnd w:id="364"/>
      <w:bookmarkStart w:id="365" w:name="_Toc184310321"/>
      <w:bookmarkEnd w:id="365"/>
      <w:bookmarkStart w:id="366" w:name="_Toc184312125"/>
      <w:bookmarkEnd w:id="366"/>
      <w:bookmarkStart w:id="367" w:name="_Toc184310306"/>
      <w:bookmarkEnd w:id="367"/>
      <w:bookmarkStart w:id="368" w:name="_Toc184310299"/>
      <w:bookmarkEnd w:id="368"/>
      <w:bookmarkStart w:id="369" w:name="_Toc184308057"/>
      <w:bookmarkEnd w:id="369"/>
      <w:bookmarkStart w:id="370" w:name="_Toc184308054"/>
      <w:bookmarkEnd w:id="370"/>
      <w:bookmarkStart w:id="371" w:name="_Toc184313241"/>
      <w:bookmarkEnd w:id="371"/>
      <w:bookmarkStart w:id="372" w:name="_Toc184313254"/>
      <w:bookmarkEnd w:id="372"/>
      <w:bookmarkStart w:id="373" w:name="_Toc184314421"/>
      <w:bookmarkEnd w:id="373"/>
      <w:bookmarkStart w:id="374" w:name="_Toc184313252"/>
      <w:bookmarkEnd w:id="374"/>
      <w:bookmarkStart w:id="375" w:name="_Toc184308096"/>
      <w:bookmarkEnd w:id="375"/>
      <w:bookmarkStart w:id="376" w:name="_Toc184313265"/>
      <w:bookmarkEnd w:id="376"/>
      <w:bookmarkStart w:id="377" w:name="_Toc184308036"/>
      <w:bookmarkEnd w:id="377"/>
      <w:bookmarkStart w:id="378" w:name="_Toc184314423"/>
      <w:bookmarkEnd w:id="378"/>
      <w:bookmarkStart w:id="379" w:name="_Toc184308078"/>
      <w:bookmarkEnd w:id="379"/>
      <w:bookmarkStart w:id="380" w:name="_Toc184308056"/>
      <w:bookmarkEnd w:id="380"/>
      <w:bookmarkStart w:id="381" w:name="_Toc184313282"/>
      <w:bookmarkEnd w:id="381"/>
      <w:bookmarkStart w:id="382" w:name="_Toc184310272"/>
      <w:bookmarkEnd w:id="382"/>
      <w:r>
        <w:rPr>
          <w:rFonts w:hint="eastAsia" w:ascii="宋体" w:hAnsi="宋体" w:cs="宋体"/>
          <w:b/>
          <w:sz w:val="36"/>
          <w:szCs w:val="36"/>
        </w:rPr>
        <w:t>评标办法</w:t>
      </w:r>
    </w:p>
    <w:p>
      <w:pPr>
        <w:pStyle w:val="5"/>
        <w:bidi w:val="0"/>
        <w:jc w:val="left"/>
        <w:rPr>
          <w:color w:val="auto"/>
          <w:sz w:val="30"/>
          <w:szCs w:val="30"/>
          <w:highlight w:val="none"/>
        </w:rPr>
      </w:pPr>
      <w:r>
        <w:rPr>
          <w:rFonts w:hint="eastAsia"/>
          <w:color w:val="auto"/>
          <w:sz w:val="30"/>
          <w:szCs w:val="30"/>
          <w:highlight w:val="none"/>
        </w:rPr>
        <w:t>一、评标方法</w:t>
      </w:r>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5"/>
        <w:bidi w:val="0"/>
        <w:jc w:val="left"/>
        <w:rPr>
          <w:rFonts w:hint="eastAsia" w:ascii="Times New Roman" w:hAnsi="Times New Roman" w:cs="Times New Roman"/>
          <w:color w:val="auto"/>
          <w:sz w:val="30"/>
          <w:szCs w:val="30"/>
          <w:highlight w:val="none"/>
        </w:rPr>
      </w:pPr>
      <w:r>
        <w:rPr>
          <w:rFonts w:hint="eastAsia" w:ascii="Times New Roman" w:hAnsi="Times New Roman" w:cs="Times New Roman"/>
          <w:color w:val="auto"/>
          <w:sz w:val="30"/>
          <w:szCs w:val="30"/>
          <w:highlight w:val="none"/>
        </w:rPr>
        <w:t>二、评标标准</w:t>
      </w:r>
    </w:p>
    <w:tbl>
      <w:tblPr>
        <w:tblStyle w:val="63"/>
        <w:tblW w:w="974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90"/>
        <w:gridCol w:w="5437"/>
        <w:gridCol w:w="1192"/>
        <w:gridCol w:w="1332"/>
      </w:tblGrid>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评分类型</w:t>
            </w:r>
          </w:p>
        </w:tc>
        <w:tc>
          <w:tcPr>
            <w:tcW w:w="5437"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评分标准</w:t>
            </w:r>
          </w:p>
        </w:tc>
        <w:tc>
          <w:tcPr>
            <w:tcW w:w="1192"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分值范围</w:t>
            </w:r>
          </w:p>
        </w:tc>
        <w:tc>
          <w:tcPr>
            <w:tcW w:w="1332"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主观分/客观分属性</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报价</w:t>
            </w:r>
          </w:p>
        </w:tc>
        <w:tc>
          <w:tcPr>
            <w:tcW w:w="5437"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价格分采用低价优先法计算，即</w:t>
            </w:r>
            <w:r>
              <w:rPr>
                <w:rFonts w:hint="eastAsia" w:ascii="宋体" w:hAnsi="宋体" w:eastAsia="宋体" w:cs="宋体"/>
                <w:color w:val="auto"/>
                <w:sz w:val="24"/>
                <w:szCs w:val="24"/>
              </w:rPr>
              <w:t>有效</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报价的最低价</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eastAsia="zh-CN"/>
              </w:rPr>
              <w:t>基准价，</w:t>
            </w:r>
            <w:r>
              <w:rPr>
                <w:rFonts w:hint="eastAsia" w:ascii="宋体" w:hAnsi="宋体" w:eastAsia="宋体" w:cs="宋体"/>
                <w:color w:val="auto"/>
                <w:sz w:val="24"/>
                <w:szCs w:val="24"/>
              </w:rPr>
              <w:t>其最低报价为满分</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lang w:eastAsia="zh-CN"/>
              </w:rPr>
              <w:t>分统一按照下列公式计算：</w:t>
            </w:r>
          </w:p>
          <w:p>
            <w:pPr>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报价得分=（</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eastAsia="zh-CN"/>
              </w:rPr>
              <w:t>基准价/最后报价）</w:t>
            </w:r>
            <w:r>
              <w:rPr>
                <w:rFonts w:hint="eastAsia" w:ascii="宋体" w:hAnsi="宋体" w:eastAsia="宋体" w:cs="宋体"/>
                <w:color w:val="auto"/>
                <w:sz w:val="24"/>
                <w:szCs w:val="24"/>
                <w:lang w:val="en-US" w:eastAsia="zh-CN"/>
              </w:rPr>
              <w:t>*10</w:t>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对于未预留份额专门面向中小企业的政府采购项目，以及预留份额政府采购项目中的非预留部分标项，对</w:t>
            </w:r>
            <w:r>
              <w:rPr>
                <w:rFonts w:hint="eastAsia" w:ascii="宋体" w:hAnsi="宋体" w:eastAsia="宋体" w:cs="宋体"/>
                <w:b/>
                <w:bCs/>
                <w:color w:val="auto"/>
                <w:sz w:val="24"/>
                <w:szCs w:val="24"/>
                <w:lang w:val="en-US" w:eastAsia="zh-CN"/>
              </w:rPr>
              <w:t>符合《政府采购促进中小企业发展管理办法》的规定给予价格扣除优惠政策的供应商</w:t>
            </w:r>
            <w:r>
              <w:rPr>
                <w:rFonts w:hint="eastAsia" w:ascii="宋体" w:hAnsi="宋体" w:eastAsia="宋体" w:cs="宋体"/>
                <w:b/>
                <w:bCs/>
                <w:color w:val="auto"/>
                <w:sz w:val="24"/>
                <w:szCs w:val="24"/>
              </w:rPr>
              <w:t>，用扣除后的价格参与评审。</w:t>
            </w:r>
            <w:r>
              <w:rPr>
                <w:rFonts w:hint="eastAsia" w:ascii="宋体" w:hAnsi="宋体" w:eastAsia="宋体" w:cs="宋体"/>
                <w:b/>
                <w:bCs/>
                <w:color w:val="auto"/>
                <w:sz w:val="24"/>
                <w:szCs w:val="24"/>
                <w:highlight w:val="none"/>
              </w:rPr>
              <w:t>已专门面向中小微企业采购的项目，不再执行价格评审优惠的扶持政策。</w:t>
            </w:r>
          </w:p>
        </w:tc>
        <w:tc>
          <w:tcPr>
            <w:tcW w:w="1192" w:type="dxa"/>
            <w:noWrap w:val="0"/>
            <w:vAlign w:val="center"/>
          </w:tcPr>
          <w:p>
            <w:pPr>
              <w:snapToGrid w:val="0"/>
              <w:spacing w:line="360" w:lineRule="auto"/>
              <w:jc w:val="left"/>
              <w:rPr>
                <w:rFonts w:hint="eastAsia" w:ascii="宋体" w:hAnsi="宋体" w:cs="宋体"/>
                <w:color w:val="auto"/>
                <w:sz w:val="24"/>
                <w:lang w:eastAsia="zh-CN"/>
              </w:rPr>
            </w:pPr>
            <w:r>
              <w:rPr>
                <w:rFonts w:hint="eastAsia" w:ascii="宋体" w:hAnsi="宋体" w:cs="宋体"/>
                <w:color w:val="auto"/>
                <w:sz w:val="24"/>
                <w:lang w:val="en-US" w:eastAsia="zh-CN"/>
              </w:rPr>
              <w:t>0-1</w:t>
            </w:r>
            <w:r>
              <w:rPr>
                <w:rFonts w:hint="eastAsia" w:ascii="宋体" w:hAnsi="宋体" w:cs="宋体"/>
                <w:color w:val="auto"/>
                <w:sz w:val="24"/>
                <w:lang w:eastAsia="zh-CN"/>
              </w:rPr>
              <w:t>0</w:t>
            </w:r>
            <w:r>
              <w:rPr>
                <w:rFonts w:hint="eastAsia" w:ascii="宋体" w:hAnsi="宋体" w:cs="宋体"/>
                <w:color w:val="auto"/>
                <w:sz w:val="24"/>
              </w:rPr>
              <w:t>分</w:t>
            </w:r>
          </w:p>
        </w:tc>
        <w:tc>
          <w:tcPr>
            <w:tcW w:w="1332" w:type="dxa"/>
            <w:noWrap w:val="0"/>
            <w:vAlign w:val="center"/>
          </w:tcPr>
          <w:p>
            <w:pPr>
              <w:snapToGrid w:val="0"/>
              <w:spacing w:line="360" w:lineRule="auto"/>
              <w:jc w:val="left"/>
              <w:rPr>
                <w:rFonts w:hint="eastAsia" w:ascii="宋体" w:hAnsi="宋体" w:cs="宋体"/>
                <w:color w:val="auto"/>
                <w:sz w:val="24"/>
                <w:lang w:val="en-US" w:eastAsia="zh-CN"/>
              </w:rPr>
            </w:pPr>
            <w:r>
              <w:rPr>
                <w:rFonts w:hint="eastAsia" w:ascii="宋体" w:hAnsi="宋体" w:cs="宋体"/>
                <w:color w:val="auto"/>
                <w:sz w:val="24"/>
                <w:lang w:val="en-US" w:eastAsia="zh-CN"/>
              </w:rPr>
              <w:t>客观分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商务资信</w:t>
            </w:r>
          </w:p>
        </w:tc>
        <w:tc>
          <w:tcPr>
            <w:tcW w:w="5437" w:type="dxa"/>
            <w:noWrap w:val="0"/>
            <w:vAlign w:val="center"/>
          </w:tcPr>
          <w:p>
            <w:p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rPr>
              <w:t>投标人自20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年0</w:t>
            </w:r>
            <w:r>
              <w:rPr>
                <w:rFonts w:hint="eastAsia" w:ascii="宋体" w:hAnsi="宋体" w:cs="宋体"/>
                <w:color w:val="auto"/>
                <w:sz w:val="24"/>
                <w:lang w:val="en-US" w:eastAsia="zh-CN"/>
              </w:rPr>
              <w:t>6</w:t>
            </w:r>
            <w:r>
              <w:rPr>
                <w:rFonts w:hint="eastAsia" w:ascii="宋体" w:hAnsi="宋体" w:eastAsia="宋体" w:cs="宋体"/>
                <w:color w:val="auto"/>
                <w:sz w:val="24"/>
              </w:rPr>
              <w:t>月份以来承接过</w:t>
            </w:r>
            <w:r>
              <w:rPr>
                <w:rFonts w:hint="eastAsia" w:ascii="宋体" w:hAnsi="宋体" w:cs="宋体"/>
                <w:color w:val="auto"/>
                <w:sz w:val="24"/>
                <w:lang w:val="en-US" w:eastAsia="zh-CN"/>
              </w:rPr>
              <w:t>同类项目</w:t>
            </w:r>
            <w:r>
              <w:rPr>
                <w:rFonts w:hint="eastAsia" w:ascii="宋体" w:hAnsi="宋体" w:eastAsia="宋体" w:cs="宋体"/>
                <w:color w:val="auto"/>
                <w:sz w:val="24"/>
              </w:rPr>
              <w:t>业绩，每个得</w:t>
            </w:r>
            <w:r>
              <w:rPr>
                <w:rFonts w:hint="eastAsia" w:ascii="宋体" w:hAnsi="宋体" w:cs="宋体"/>
                <w:color w:val="auto"/>
                <w:sz w:val="24"/>
                <w:lang w:val="en-US" w:eastAsia="zh-CN"/>
              </w:rPr>
              <w:t>1</w:t>
            </w:r>
            <w:r>
              <w:rPr>
                <w:rFonts w:hint="eastAsia" w:ascii="宋体" w:hAnsi="宋体" w:eastAsia="宋体" w:cs="宋体"/>
                <w:color w:val="auto"/>
                <w:sz w:val="24"/>
              </w:rPr>
              <w:t>分，最高1分（业绩必须提供相应的证明文件（合同复印件），时间以合同签订时间为准。）</w:t>
            </w:r>
          </w:p>
        </w:tc>
        <w:tc>
          <w:tcPr>
            <w:tcW w:w="1192" w:type="dxa"/>
            <w:noWrap w:val="0"/>
            <w:vAlign w:val="center"/>
          </w:tcPr>
          <w:p>
            <w:pPr>
              <w:snapToGrid w:val="0"/>
              <w:spacing w:line="360" w:lineRule="auto"/>
              <w:jc w:val="left"/>
              <w:rPr>
                <w:rFonts w:hint="default" w:ascii="宋体" w:hAnsi="宋体" w:cs="宋体"/>
                <w:color w:val="auto"/>
                <w:sz w:val="24"/>
                <w:lang w:val="en-US" w:eastAsia="zh-CN"/>
              </w:rPr>
            </w:pPr>
            <w:r>
              <w:rPr>
                <w:rFonts w:hint="eastAsia" w:ascii="宋体" w:hAnsi="宋体" w:cs="宋体"/>
                <w:color w:val="auto"/>
                <w:sz w:val="24"/>
                <w:lang w:val="en-US" w:eastAsia="zh-CN"/>
              </w:rPr>
              <w:t>0-1</w:t>
            </w:r>
            <w:r>
              <w:rPr>
                <w:rFonts w:hint="eastAsia" w:ascii="宋体" w:hAnsi="宋体" w:cs="宋体"/>
                <w:color w:val="auto"/>
                <w:sz w:val="24"/>
              </w:rPr>
              <w:t>分</w:t>
            </w:r>
          </w:p>
        </w:tc>
        <w:tc>
          <w:tcPr>
            <w:tcW w:w="1332" w:type="dxa"/>
            <w:noWrap w:val="0"/>
            <w:vAlign w:val="center"/>
          </w:tcPr>
          <w:p>
            <w:pPr>
              <w:snapToGrid w:val="0"/>
              <w:spacing w:line="360" w:lineRule="auto"/>
              <w:jc w:val="left"/>
              <w:rPr>
                <w:rFonts w:hint="eastAsia" w:ascii="宋体" w:hAnsi="宋体" w:cs="宋体"/>
                <w:color w:val="auto"/>
                <w:sz w:val="24"/>
                <w:lang w:val="en-US" w:eastAsia="zh-CN"/>
              </w:rPr>
            </w:pPr>
            <w:r>
              <w:rPr>
                <w:rFonts w:hint="eastAsia" w:ascii="宋体" w:hAnsi="宋体" w:cs="宋体"/>
                <w:color w:val="auto"/>
                <w:sz w:val="24"/>
                <w:lang w:val="en-US" w:eastAsia="zh-CN"/>
              </w:rPr>
              <w:t>客观分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ascii="宋体" w:hAnsi="宋体" w:cs="宋体"/>
                <w:color w:val="auto"/>
                <w:sz w:val="24"/>
              </w:rPr>
            </w:pPr>
            <w:r>
              <w:rPr>
                <w:rFonts w:hint="eastAsia" w:ascii="宋体" w:hAnsi="宋体" w:cs="宋体"/>
                <w:color w:val="auto"/>
                <w:sz w:val="24"/>
              </w:rPr>
              <w:t>对于采购人项目需求的</w:t>
            </w:r>
            <w:r>
              <w:rPr>
                <w:rFonts w:hint="eastAsia" w:ascii="宋体" w:hAnsi="宋体" w:cs="宋体"/>
                <w:color w:val="auto"/>
                <w:sz w:val="24"/>
                <w:lang w:val="en-US" w:eastAsia="zh-CN"/>
              </w:rPr>
              <w:t>理解</w:t>
            </w:r>
            <w:r>
              <w:rPr>
                <w:rFonts w:hint="eastAsia" w:ascii="宋体" w:hAnsi="宋体" w:cs="宋体"/>
                <w:color w:val="auto"/>
                <w:sz w:val="24"/>
              </w:rPr>
              <w:t>程度</w:t>
            </w:r>
            <w:r>
              <w:rPr>
                <w:rFonts w:hint="eastAsia" w:ascii="宋体" w:hAnsi="宋体" w:cs="宋体"/>
                <w:color w:val="auto"/>
                <w:sz w:val="24"/>
                <w:lang w:val="en-US" w:eastAsia="zh-CN"/>
              </w:rPr>
              <w:t>、重难点分析及对应措施</w:t>
            </w:r>
            <w:r>
              <w:rPr>
                <w:rFonts w:hint="eastAsia" w:ascii="宋体" w:hAnsi="宋体" w:cs="宋体"/>
                <w:color w:val="auto"/>
                <w:sz w:val="24"/>
              </w:rPr>
              <w:t>0-</w:t>
            </w:r>
            <w:r>
              <w:rPr>
                <w:rFonts w:hint="eastAsia" w:ascii="宋体" w:hAnsi="宋体" w:cs="宋体"/>
                <w:color w:val="auto"/>
                <w:sz w:val="24"/>
                <w:lang w:val="en-US" w:eastAsia="zh-CN"/>
              </w:rPr>
              <w:t>5</w:t>
            </w:r>
            <w:r>
              <w:rPr>
                <w:rFonts w:hint="eastAsia" w:ascii="宋体" w:hAnsi="宋体" w:cs="宋体"/>
                <w:color w:val="auto"/>
                <w:sz w:val="24"/>
              </w:rPr>
              <w:t>分：</w:t>
            </w:r>
          </w:p>
          <w:p>
            <w:pPr>
              <w:spacing w:line="360" w:lineRule="auto"/>
              <w:ind w:firstLine="420" w:firstLineChars="0"/>
              <w:rPr>
                <w:rFonts w:hint="eastAsia" w:ascii="宋体" w:hAnsi="宋体" w:eastAsia="宋体" w:cs="宋体"/>
                <w:color w:val="auto"/>
                <w:sz w:val="24"/>
              </w:rPr>
            </w:pPr>
            <w:r>
              <w:rPr>
                <w:rFonts w:hint="eastAsia" w:ascii="宋体" w:hAnsi="宋体" w:cs="宋体"/>
                <w:color w:val="auto"/>
                <w:sz w:val="24"/>
              </w:rPr>
              <w:t>分析全面、准确</w:t>
            </w:r>
            <w:r>
              <w:rPr>
                <w:rFonts w:hint="eastAsia" w:ascii="宋体" w:hAnsi="宋体" w:cs="宋体"/>
                <w:color w:val="auto"/>
                <w:sz w:val="24"/>
                <w:lang w:eastAsia="zh-CN"/>
              </w:rPr>
              <w:t>、</w:t>
            </w:r>
            <w:r>
              <w:rPr>
                <w:rFonts w:hint="eastAsia" w:ascii="宋体" w:hAnsi="宋体" w:cs="宋体"/>
                <w:color w:val="auto"/>
                <w:sz w:val="24"/>
                <w:lang w:val="en-US" w:eastAsia="zh-CN"/>
              </w:rPr>
              <w:t>措施有效的5</w:t>
            </w:r>
            <w:r>
              <w:rPr>
                <w:rFonts w:hint="eastAsia" w:ascii="宋体" w:hAnsi="宋体" w:cs="宋体"/>
                <w:color w:val="auto"/>
                <w:sz w:val="24"/>
              </w:rPr>
              <w:t>分；分析基本合理</w:t>
            </w:r>
            <w:r>
              <w:rPr>
                <w:rFonts w:hint="eastAsia" w:ascii="宋体" w:hAnsi="宋体" w:cs="宋体"/>
                <w:color w:val="auto"/>
                <w:sz w:val="24"/>
                <w:lang w:eastAsia="zh-CN"/>
              </w:rPr>
              <w:t>、</w:t>
            </w:r>
            <w:r>
              <w:rPr>
                <w:rFonts w:hint="eastAsia" w:ascii="宋体" w:hAnsi="宋体" w:cs="宋体"/>
                <w:color w:val="auto"/>
                <w:sz w:val="24"/>
                <w:lang w:val="en-US" w:eastAsia="zh-CN"/>
              </w:rPr>
              <w:t>措施基本有效得3</w:t>
            </w:r>
            <w:r>
              <w:rPr>
                <w:rFonts w:hint="eastAsia" w:ascii="宋体" w:hAnsi="宋体" w:cs="宋体"/>
                <w:color w:val="auto"/>
                <w:sz w:val="24"/>
              </w:rPr>
              <w:t>分；</w:t>
            </w:r>
            <w:r>
              <w:rPr>
                <w:rFonts w:hint="eastAsia" w:ascii="宋体" w:hAnsi="宋体" w:cs="宋体"/>
                <w:color w:val="auto"/>
                <w:sz w:val="24"/>
                <w:lang w:val="en-US" w:eastAsia="zh-CN"/>
              </w:rPr>
              <w:t>有欠缺的得1分</w:t>
            </w:r>
            <w:r>
              <w:rPr>
                <w:rFonts w:hint="eastAsia" w:ascii="宋体" w:hAnsi="宋体" w:cs="宋体"/>
                <w:color w:val="auto"/>
                <w:sz w:val="24"/>
              </w:rPr>
              <w:t>；没有不得分。</w:t>
            </w:r>
          </w:p>
        </w:tc>
        <w:tc>
          <w:tcPr>
            <w:tcW w:w="119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0-</w:t>
            </w:r>
            <w:r>
              <w:rPr>
                <w:rFonts w:hint="eastAsia" w:ascii="宋体" w:hAnsi="宋体" w:cs="宋体"/>
                <w:color w:val="auto"/>
                <w:sz w:val="24"/>
                <w:lang w:val="en-US" w:eastAsia="zh-CN"/>
              </w:rPr>
              <w:t>5</w:t>
            </w:r>
            <w:r>
              <w:rPr>
                <w:rFonts w:hint="eastAsia" w:ascii="宋体" w:hAnsi="宋体" w:cs="宋体"/>
                <w:color w:val="auto"/>
                <w:sz w:val="24"/>
              </w:rPr>
              <w:t>分</w:t>
            </w:r>
          </w:p>
        </w:tc>
        <w:tc>
          <w:tcPr>
            <w:tcW w:w="133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项目整体运维服务方案0-5分：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eastAsia" w:ascii="宋体" w:hAnsi="宋体" w:cs="宋体"/>
                <w:color w:val="auto"/>
                <w:sz w:val="24"/>
                <w:lang w:val="en-US" w:eastAsia="zh-CN"/>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eastAsia" w:ascii="宋体" w:hAnsi="宋体" w:cs="宋体"/>
                <w:color w:val="auto"/>
                <w:sz w:val="24"/>
                <w:lang w:val="en-US" w:eastAsia="zh-CN"/>
              </w:rPr>
              <w:t>3</w:t>
            </w:r>
            <w:r>
              <w:rPr>
                <w:rFonts w:hint="eastAsia" w:ascii="宋体" w:hAnsi="宋体" w:cs="宋体"/>
                <w:color w:val="auto"/>
                <w:sz w:val="24"/>
              </w:rPr>
              <w:t>分；方案存在缺陷的，得1分；未提供相关描述不得分。</w:t>
            </w:r>
          </w:p>
        </w:tc>
        <w:tc>
          <w:tcPr>
            <w:tcW w:w="119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0-</w:t>
            </w:r>
            <w:r>
              <w:rPr>
                <w:rFonts w:hint="eastAsia" w:ascii="宋体" w:hAnsi="宋体" w:cs="宋体"/>
                <w:color w:val="auto"/>
                <w:sz w:val="24"/>
                <w:lang w:val="en-US" w:eastAsia="zh-CN"/>
              </w:rPr>
              <w:t>5</w:t>
            </w:r>
            <w:r>
              <w:rPr>
                <w:rFonts w:hint="eastAsia" w:ascii="宋体" w:hAnsi="宋体" w:cs="宋体"/>
                <w:color w:val="auto"/>
                <w:sz w:val="24"/>
              </w:rPr>
              <w:t>分</w:t>
            </w:r>
          </w:p>
        </w:tc>
        <w:tc>
          <w:tcPr>
            <w:tcW w:w="133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lang w:eastAsia="zh-CN"/>
              </w:rPr>
            </w:pPr>
            <w:r>
              <w:rPr>
                <w:rFonts w:hint="eastAsia"/>
                <w:lang w:val="en-US" w:eastAsia="zh-CN"/>
              </w:rPr>
              <w:t>OA系统维护方案0-15分</w:t>
            </w:r>
            <w:r>
              <w:rPr>
                <w:rFonts w:hint="eastAsia"/>
                <w:lang w:eastAsia="zh-CN"/>
              </w:rPr>
              <w:t>：</w:t>
            </w:r>
          </w:p>
          <w:p>
            <w:pPr>
              <w:snapToGrid w:val="0"/>
              <w:spacing w:line="360" w:lineRule="auto"/>
              <w:rPr>
                <w:rFonts w:hint="eastAsia"/>
                <w:lang w:val="en-US" w:eastAsia="zh-CN"/>
              </w:rPr>
            </w:pPr>
            <w:r>
              <w:rPr>
                <w:rFonts w:hint="eastAsia"/>
                <w:lang w:val="en-US" w:eastAsia="zh-CN"/>
              </w:rPr>
              <w:t>1）原办公系统的</w:t>
            </w:r>
            <w:r>
              <w:rPr>
                <w:rFonts w:hint="eastAsia" w:ascii="新宋体" w:hAnsi="新宋体" w:eastAsia="新宋体"/>
                <w:color w:val="000000"/>
                <w:sz w:val="24"/>
                <w:szCs w:val="24"/>
              </w:rPr>
              <w:t>服务器</w:t>
            </w:r>
            <w:r>
              <w:rPr>
                <w:rFonts w:hint="eastAsia" w:ascii="新宋体" w:hAnsi="新宋体" w:eastAsia="新宋体"/>
                <w:color w:val="000000"/>
                <w:sz w:val="24"/>
                <w:szCs w:val="24"/>
                <w:lang w:eastAsia="zh-CN"/>
              </w:rPr>
              <w:t>、</w:t>
            </w:r>
            <w:r>
              <w:rPr>
                <w:rFonts w:hint="eastAsia" w:ascii="新宋体" w:hAnsi="新宋体" w:eastAsia="新宋体"/>
                <w:color w:val="000000"/>
                <w:sz w:val="24"/>
                <w:szCs w:val="24"/>
              </w:rPr>
              <w:t>数据库容量及服务器硬盘空间</w:t>
            </w:r>
            <w:r>
              <w:rPr>
                <w:rFonts w:hint="eastAsia" w:ascii="新宋体" w:hAnsi="新宋体" w:eastAsia="新宋体"/>
                <w:color w:val="000000"/>
                <w:sz w:val="24"/>
                <w:szCs w:val="24"/>
                <w:lang w:val="en-US" w:eastAsia="zh-CN"/>
              </w:rPr>
              <w:t>等内容维护</w:t>
            </w:r>
            <w:r>
              <w:rPr>
                <w:rFonts w:hint="eastAsia"/>
                <w:lang w:val="en-US" w:eastAsia="zh-CN"/>
              </w:rPr>
              <w:t>方案0-5分：</w:t>
            </w:r>
          </w:p>
          <w:p>
            <w:pPr>
              <w:snapToGrid w:val="0"/>
              <w:spacing w:line="360" w:lineRule="auto"/>
              <w:ind w:firstLine="480" w:firstLineChars="200"/>
              <w:rPr>
                <w:rFonts w:hint="eastAsia"/>
              </w:rPr>
            </w:pPr>
            <w:r>
              <w:rPr>
                <w:rFonts w:hint="eastAsia"/>
              </w:rPr>
              <w:t>方案内容</w:t>
            </w:r>
            <w:r>
              <w:rPr>
                <w:rFonts w:hint="eastAsia"/>
                <w:lang w:val="en-US" w:eastAsia="zh-CN"/>
              </w:rPr>
              <w:t>具体</w:t>
            </w:r>
            <w:r>
              <w:rPr>
                <w:rFonts w:hint="eastAsia"/>
              </w:rPr>
              <w:t>详实，具有针对性，可实施性强的得</w:t>
            </w:r>
            <w:r>
              <w:rPr>
                <w:rFonts w:hint="eastAsia"/>
                <w:lang w:val="en-US" w:eastAsia="zh-CN"/>
              </w:rPr>
              <w:t>5</w:t>
            </w:r>
            <w:r>
              <w:rPr>
                <w:rFonts w:hint="eastAsia"/>
              </w:rPr>
              <w:t>分；方案内容</w:t>
            </w:r>
            <w:r>
              <w:rPr>
                <w:rFonts w:hint="eastAsia"/>
                <w:lang w:val="en-US" w:eastAsia="zh-CN"/>
              </w:rPr>
              <w:t>基本</w:t>
            </w:r>
            <w:r>
              <w:rPr>
                <w:rFonts w:hint="eastAsia"/>
              </w:rPr>
              <w:t>详实，针对性，可实施性一般的得</w:t>
            </w:r>
            <w:r>
              <w:rPr>
                <w:rFonts w:hint="eastAsia"/>
                <w:lang w:val="en-US" w:eastAsia="zh-CN"/>
              </w:rPr>
              <w:t>3</w:t>
            </w:r>
            <w:r>
              <w:rPr>
                <w:rFonts w:hint="eastAsia"/>
              </w:rPr>
              <w:t>分；方案存在缺陷的，得1分；未提供相关描述不得分</w:t>
            </w:r>
          </w:p>
          <w:p>
            <w:pPr>
              <w:keepNext w:val="0"/>
              <w:keepLines w:val="0"/>
              <w:pageBreakBefore w:val="0"/>
              <w:kinsoku/>
              <w:wordWrap/>
              <w:overflowPunct/>
              <w:topLinePunct w:val="0"/>
              <w:autoSpaceDE/>
              <w:autoSpaceDN/>
              <w:bidi w:val="0"/>
              <w:snapToGrid/>
              <w:spacing w:line="360" w:lineRule="auto"/>
              <w:ind w:left="0" w:leftChars="0" w:firstLine="0" w:firstLineChars="0"/>
              <w:jc w:val="both"/>
              <w:textAlignment w:val="auto"/>
              <w:rPr>
                <w:rFonts w:hint="eastAsia"/>
                <w:lang w:val="zh-CN" w:eastAsia="zh-CN"/>
              </w:rPr>
            </w:pPr>
            <w:r>
              <w:rPr>
                <w:rFonts w:hint="eastAsia"/>
                <w:lang w:val="en-US" w:eastAsia="zh-CN"/>
              </w:rPr>
              <w:t>2）</w:t>
            </w:r>
            <w:r>
              <w:rPr>
                <w:rFonts w:hint="eastAsia" w:ascii="新宋体" w:hAnsi="新宋体" w:eastAsia="新宋体"/>
                <w:color w:val="000000"/>
                <w:sz w:val="24"/>
                <w:szCs w:val="24"/>
              </w:rPr>
              <w:t>原办公系统日常检查</w:t>
            </w:r>
            <w:r>
              <w:rPr>
                <w:rFonts w:hint="eastAsia" w:ascii="新宋体" w:hAnsi="新宋体" w:eastAsia="新宋体"/>
                <w:color w:val="000000"/>
                <w:sz w:val="24"/>
                <w:szCs w:val="24"/>
                <w:lang w:eastAsia="zh-CN"/>
              </w:rPr>
              <w:t>、</w:t>
            </w:r>
            <w:r>
              <w:rPr>
                <w:rFonts w:hint="eastAsia" w:ascii="新宋体" w:hAnsi="新宋体" w:eastAsia="新宋体"/>
                <w:color w:val="000000"/>
                <w:sz w:val="24"/>
                <w:szCs w:val="24"/>
              </w:rPr>
              <w:t>数据备份指导</w:t>
            </w:r>
            <w:r>
              <w:rPr>
                <w:rFonts w:hint="eastAsia" w:ascii="新宋体" w:hAnsi="新宋体" w:eastAsia="新宋体"/>
                <w:color w:val="000000"/>
                <w:sz w:val="24"/>
                <w:szCs w:val="24"/>
                <w:lang w:eastAsia="zh-CN"/>
              </w:rPr>
              <w:t>、</w:t>
            </w:r>
            <w:r>
              <w:rPr>
                <w:rFonts w:hint="eastAsia" w:ascii="新宋体" w:hAnsi="新宋体" w:eastAsia="新宋体"/>
                <w:color w:val="000000"/>
                <w:sz w:val="24"/>
                <w:szCs w:val="24"/>
              </w:rPr>
              <w:t>用户更改</w:t>
            </w:r>
            <w:r>
              <w:rPr>
                <w:rFonts w:hint="eastAsia" w:ascii="新宋体" w:hAnsi="新宋体" w:eastAsia="新宋体"/>
                <w:color w:val="000000"/>
                <w:sz w:val="24"/>
                <w:szCs w:val="24"/>
                <w:lang w:val="en-US" w:eastAsia="zh-CN"/>
              </w:rPr>
              <w:t>及</w:t>
            </w:r>
            <w:r>
              <w:rPr>
                <w:rFonts w:hint="eastAsia" w:ascii="新宋体" w:hAnsi="新宋体" w:eastAsia="新宋体"/>
                <w:color w:val="000000"/>
                <w:sz w:val="24"/>
                <w:szCs w:val="24"/>
              </w:rPr>
              <w:t>部门调整</w:t>
            </w:r>
            <w:r>
              <w:rPr>
                <w:rFonts w:hint="eastAsia" w:ascii="新宋体" w:hAnsi="新宋体" w:eastAsia="新宋体"/>
                <w:color w:val="000000"/>
                <w:sz w:val="24"/>
                <w:szCs w:val="24"/>
                <w:lang w:val="en-US" w:eastAsia="zh-CN"/>
              </w:rPr>
              <w:t>等内容</w:t>
            </w:r>
            <w:r>
              <w:rPr>
                <w:rFonts w:hint="eastAsia"/>
                <w:lang w:val="en-US" w:eastAsia="zh-CN"/>
              </w:rPr>
              <w:t>维护方案</w:t>
            </w:r>
            <w:r>
              <w:rPr>
                <w:rFonts w:hint="eastAsia"/>
                <w:lang w:val="zh-CN"/>
              </w:rPr>
              <w:t>0-</w:t>
            </w:r>
            <w:r>
              <w:rPr>
                <w:rFonts w:hint="eastAsia"/>
                <w:lang w:val="en-US" w:eastAsia="zh-CN"/>
              </w:rPr>
              <w:t>5</w:t>
            </w:r>
            <w:r>
              <w:rPr>
                <w:rFonts w:hint="eastAsia"/>
                <w:lang w:val="zh-CN"/>
              </w:rPr>
              <w:t>分</w:t>
            </w:r>
            <w:r>
              <w:rPr>
                <w:rFonts w:hint="eastAsia"/>
                <w:lang w:val="zh-CN" w:eastAsia="zh-CN"/>
              </w:rPr>
              <w:t>：</w:t>
            </w:r>
          </w:p>
          <w:p>
            <w:pPr>
              <w:snapToGrid w:val="0"/>
              <w:spacing w:line="360" w:lineRule="auto"/>
              <w:ind w:firstLine="480" w:firstLineChars="200"/>
              <w:rPr>
                <w:rFonts w:hint="eastAsia"/>
              </w:rPr>
            </w:pPr>
            <w:r>
              <w:rPr>
                <w:rFonts w:hint="eastAsia"/>
              </w:rPr>
              <w:t>方案内容</w:t>
            </w:r>
            <w:r>
              <w:rPr>
                <w:rFonts w:hint="eastAsia"/>
                <w:lang w:val="en-US" w:eastAsia="zh-CN"/>
              </w:rPr>
              <w:t>具体</w:t>
            </w:r>
            <w:r>
              <w:rPr>
                <w:rFonts w:hint="eastAsia"/>
              </w:rPr>
              <w:t>详实，具有针对性，可实施性强的得</w:t>
            </w:r>
            <w:r>
              <w:rPr>
                <w:rFonts w:hint="eastAsia"/>
                <w:lang w:val="en-US" w:eastAsia="zh-CN"/>
              </w:rPr>
              <w:t>5</w:t>
            </w:r>
            <w:r>
              <w:rPr>
                <w:rFonts w:hint="eastAsia"/>
              </w:rPr>
              <w:t>分；方案内容</w:t>
            </w:r>
            <w:r>
              <w:rPr>
                <w:rFonts w:hint="eastAsia"/>
                <w:lang w:val="en-US" w:eastAsia="zh-CN"/>
              </w:rPr>
              <w:t>基本</w:t>
            </w:r>
            <w:r>
              <w:rPr>
                <w:rFonts w:hint="eastAsia"/>
              </w:rPr>
              <w:t>详实，针对性，可实施性一般的得</w:t>
            </w:r>
            <w:r>
              <w:rPr>
                <w:rFonts w:hint="eastAsia"/>
                <w:lang w:val="en-US" w:eastAsia="zh-CN"/>
              </w:rPr>
              <w:t>3</w:t>
            </w:r>
            <w:r>
              <w:rPr>
                <w:rFonts w:hint="eastAsia"/>
              </w:rPr>
              <w:t>分；方案存在缺陷的，得1分；未提供相关描述不得分</w:t>
            </w:r>
          </w:p>
          <w:p>
            <w:pPr>
              <w:keepNext w:val="0"/>
              <w:keepLines w:val="0"/>
              <w:pageBreakBefore w:val="0"/>
              <w:kinsoku/>
              <w:wordWrap/>
              <w:overflowPunct/>
              <w:topLinePunct w:val="0"/>
              <w:autoSpaceDE/>
              <w:autoSpaceDN/>
              <w:bidi w:val="0"/>
              <w:snapToGrid/>
              <w:spacing w:line="360" w:lineRule="auto"/>
              <w:ind w:left="0" w:leftChars="0" w:firstLine="0" w:firstLineChars="0"/>
              <w:jc w:val="both"/>
              <w:textAlignment w:val="auto"/>
              <w:rPr>
                <w:rFonts w:hint="eastAsia"/>
                <w:lang w:val="zh-CN" w:eastAsia="zh-CN"/>
              </w:rPr>
            </w:pPr>
            <w:r>
              <w:rPr>
                <w:rFonts w:hint="eastAsia"/>
                <w:lang w:val="en-US" w:eastAsia="zh-CN"/>
              </w:rPr>
              <w:t>3）</w:t>
            </w:r>
            <w:r>
              <w:rPr>
                <w:rFonts w:hint="eastAsia" w:ascii="新宋体" w:hAnsi="新宋体" w:eastAsia="新宋体"/>
                <w:color w:val="000000"/>
                <w:sz w:val="24"/>
                <w:szCs w:val="24"/>
              </w:rPr>
              <w:t>故障处理</w:t>
            </w:r>
            <w:r>
              <w:rPr>
                <w:rFonts w:hint="eastAsia" w:ascii="新宋体" w:hAnsi="新宋体" w:eastAsia="新宋体"/>
                <w:color w:val="000000"/>
                <w:sz w:val="24"/>
                <w:szCs w:val="24"/>
                <w:lang w:val="en-US" w:eastAsia="zh-CN"/>
              </w:rPr>
              <w:t>修复、</w:t>
            </w:r>
            <w:r>
              <w:rPr>
                <w:rFonts w:hint="eastAsia" w:ascii="新宋体" w:hAnsi="新宋体" w:eastAsia="新宋体"/>
                <w:color w:val="000000"/>
                <w:sz w:val="24"/>
                <w:szCs w:val="24"/>
              </w:rPr>
              <w:t>系统使用咨询、疑难问题处理解答</w:t>
            </w:r>
            <w:r>
              <w:rPr>
                <w:rFonts w:hint="eastAsia" w:ascii="新宋体" w:hAnsi="新宋体" w:eastAsia="新宋体"/>
                <w:color w:val="000000"/>
                <w:sz w:val="24"/>
                <w:szCs w:val="24"/>
                <w:lang w:val="en-US" w:eastAsia="zh-CN"/>
              </w:rPr>
              <w:t>及</w:t>
            </w:r>
            <w:r>
              <w:rPr>
                <w:rFonts w:hint="eastAsia" w:ascii="新宋体" w:hAnsi="新宋体" w:eastAsia="新宋体"/>
                <w:color w:val="000000"/>
                <w:sz w:val="24"/>
                <w:szCs w:val="24"/>
              </w:rPr>
              <w:t>紧急突发情况处理</w:t>
            </w:r>
            <w:r>
              <w:rPr>
                <w:rFonts w:hint="eastAsia" w:ascii="新宋体" w:hAnsi="新宋体" w:eastAsia="新宋体"/>
                <w:color w:val="000000"/>
                <w:sz w:val="24"/>
                <w:szCs w:val="24"/>
                <w:lang w:val="en-US" w:eastAsia="zh-CN"/>
              </w:rPr>
              <w:t>等其他内容的维护方案</w:t>
            </w:r>
            <w:r>
              <w:rPr>
                <w:rFonts w:hint="eastAsia"/>
                <w:lang w:val="zh-CN"/>
              </w:rPr>
              <w:t>0-</w:t>
            </w:r>
            <w:r>
              <w:rPr>
                <w:rFonts w:hint="eastAsia"/>
                <w:lang w:val="en-US" w:eastAsia="zh-CN"/>
              </w:rPr>
              <w:t>5</w:t>
            </w:r>
            <w:r>
              <w:rPr>
                <w:rFonts w:hint="eastAsia"/>
                <w:lang w:val="zh-CN"/>
              </w:rPr>
              <w:t>分</w:t>
            </w:r>
            <w:r>
              <w:rPr>
                <w:rFonts w:hint="eastAsia"/>
                <w:lang w:val="zh-CN" w:eastAsia="zh-CN"/>
              </w:rPr>
              <w:t>：</w:t>
            </w:r>
          </w:p>
          <w:p>
            <w:pPr>
              <w:snapToGrid w:val="0"/>
              <w:spacing w:line="360" w:lineRule="auto"/>
              <w:ind w:firstLine="480" w:firstLineChars="200"/>
              <w:rPr>
                <w:rFonts w:hint="eastAsia" w:eastAsia="宋体"/>
                <w:lang w:val="en-US" w:eastAsia="zh-CN"/>
              </w:rPr>
            </w:pPr>
            <w:r>
              <w:rPr>
                <w:rFonts w:hint="eastAsia"/>
              </w:rPr>
              <w:t>方案内容</w:t>
            </w:r>
            <w:r>
              <w:rPr>
                <w:rFonts w:hint="eastAsia"/>
                <w:lang w:val="en-US" w:eastAsia="zh-CN"/>
              </w:rPr>
              <w:t>具体</w:t>
            </w:r>
            <w:r>
              <w:rPr>
                <w:rFonts w:hint="eastAsia"/>
              </w:rPr>
              <w:t>详实，具有针对性，可实施性强的得</w:t>
            </w:r>
            <w:r>
              <w:rPr>
                <w:rFonts w:hint="eastAsia"/>
                <w:lang w:val="en-US" w:eastAsia="zh-CN"/>
              </w:rPr>
              <w:t>5</w:t>
            </w:r>
            <w:r>
              <w:rPr>
                <w:rFonts w:hint="eastAsia"/>
              </w:rPr>
              <w:t>分；方案内容</w:t>
            </w:r>
            <w:r>
              <w:rPr>
                <w:rFonts w:hint="eastAsia"/>
                <w:lang w:val="en-US" w:eastAsia="zh-CN"/>
              </w:rPr>
              <w:t>基本</w:t>
            </w:r>
            <w:r>
              <w:rPr>
                <w:rFonts w:hint="eastAsia"/>
              </w:rPr>
              <w:t>详实，针对性，可实施性一般的得</w:t>
            </w:r>
            <w:r>
              <w:rPr>
                <w:rFonts w:hint="eastAsia"/>
                <w:lang w:val="en-US" w:eastAsia="zh-CN"/>
              </w:rPr>
              <w:t>3</w:t>
            </w:r>
            <w:r>
              <w:rPr>
                <w:rFonts w:hint="eastAsia"/>
              </w:rPr>
              <w:t>分；方案存在缺陷的，得1分；未提供相关描述不得分</w:t>
            </w:r>
            <w:r>
              <w:rPr>
                <w:rFonts w:hint="eastAsia"/>
                <w:lang w:eastAsia="zh-CN"/>
              </w:rPr>
              <w:t>。</w:t>
            </w:r>
          </w:p>
        </w:tc>
        <w:tc>
          <w:tcPr>
            <w:tcW w:w="1192" w:type="dxa"/>
            <w:noWrap w:val="0"/>
            <w:vAlign w:val="center"/>
          </w:tcPr>
          <w:p>
            <w:pPr>
              <w:snapToGrid w:val="0"/>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0-15分</w:t>
            </w:r>
          </w:p>
        </w:tc>
        <w:tc>
          <w:tcPr>
            <w:tcW w:w="133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lang w:eastAsia="zh-CN"/>
              </w:rPr>
            </w:pPr>
            <w:r>
              <w:rPr>
                <w:rFonts w:hint="eastAsia"/>
                <w:lang w:val="en-US" w:eastAsia="zh-CN"/>
              </w:rPr>
              <w:t>桌面电脑及相关设备和各类软件维护方案</w:t>
            </w:r>
            <w:r>
              <w:rPr>
                <w:rFonts w:hint="eastAsia" w:ascii="宋体" w:hAnsi="宋体" w:cs="宋体"/>
                <w:color w:val="auto"/>
                <w:kern w:val="2"/>
                <w:sz w:val="24"/>
                <w:szCs w:val="24"/>
                <w:lang w:val="en-US" w:eastAsia="zh-CN" w:bidi="ar-SA"/>
              </w:rPr>
              <w:t>0-10分：</w:t>
            </w:r>
          </w:p>
          <w:p>
            <w:pPr>
              <w:numPr>
                <w:ilvl w:val="0"/>
                <w:numId w:val="0"/>
              </w:numPr>
              <w:snapToGrid w:val="0"/>
              <w:spacing w:line="360" w:lineRule="auto"/>
              <w:rPr>
                <w:rFonts w:hint="eastAsia" w:ascii="宋体" w:hAnsi="宋体" w:cs="宋体"/>
                <w:color w:val="auto"/>
                <w:kern w:val="2"/>
                <w:sz w:val="24"/>
                <w:szCs w:val="24"/>
                <w:lang w:val="en-US" w:eastAsia="zh-CN" w:bidi="ar-SA"/>
              </w:rPr>
            </w:pPr>
            <w:r>
              <w:rPr>
                <w:rFonts w:hint="eastAsia"/>
                <w:lang w:val="en-US" w:eastAsia="zh-CN"/>
              </w:rPr>
              <w:t>1）桌面电脑及相关设备维护方案</w:t>
            </w:r>
            <w:r>
              <w:rPr>
                <w:rFonts w:hint="eastAsia" w:ascii="宋体" w:hAnsi="宋体" w:cs="宋体"/>
                <w:color w:val="auto"/>
                <w:kern w:val="2"/>
                <w:sz w:val="24"/>
                <w:szCs w:val="24"/>
                <w:lang w:val="en-US" w:eastAsia="zh-CN" w:bidi="ar-SA"/>
              </w:rPr>
              <w:t>0-5分：</w:t>
            </w:r>
          </w:p>
          <w:p>
            <w:pPr>
              <w:numPr>
                <w:ilvl w:val="0"/>
                <w:numId w:val="0"/>
              </w:numPr>
              <w:snapToGrid w:val="0"/>
              <w:spacing w:line="360" w:lineRule="auto"/>
              <w:ind w:firstLine="480" w:firstLineChars="200"/>
              <w:rPr>
                <w:rFonts w:hint="eastAsia"/>
                <w:lang w:val="zh-CN"/>
              </w:rPr>
            </w:pPr>
            <w:r>
              <w:rPr>
                <w:rFonts w:hint="eastAsia"/>
                <w:lang w:val="en-US" w:eastAsia="zh-CN"/>
              </w:rPr>
              <w:t>方案内容具体详实，具有针对性，可实施性强的得5分；方案内容基本详实，针对性，可实施性一般的得3分；方案存在缺陷的，得1分；未提供相关描述不得分</w:t>
            </w:r>
          </w:p>
          <w:p>
            <w:pPr>
              <w:numPr>
                <w:ilvl w:val="0"/>
                <w:numId w:val="0"/>
              </w:numPr>
              <w:snapToGrid w:val="0"/>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lang w:val="en-US" w:eastAsia="zh-CN"/>
              </w:rPr>
              <w:t>2）</w:t>
            </w:r>
            <w:r>
              <w:rPr>
                <w:rFonts w:hint="eastAsia"/>
                <w:lang w:val="en-US" w:eastAsia="zh-CN"/>
              </w:rPr>
              <w:t>各类软件维护方案</w:t>
            </w:r>
            <w:r>
              <w:rPr>
                <w:rFonts w:hint="eastAsia" w:ascii="宋体" w:hAnsi="宋体" w:cs="宋体"/>
                <w:color w:val="auto"/>
                <w:kern w:val="2"/>
                <w:sz w:val="24"/>
                <w:szCs w:val="24"/>
                <w:lang w:val="en-US" w:eastAsia="zh-CN" w:bidi="ar-SA"/>
              </w:rPr>
              <w:t>0-5分：</w:t>
            </w:r>
          </w:p>
          <w:p>
            <w:pPr>
              <w:numPr>
                <w:ilvl w:val="0"/>
                <w:numId w:val="0"/>
              </w:numPr>
              <w:snapToGrid w:val="0"/>
              <w:spacing w:line="360" w:lineRule="auto"/>
              <w:ind w:firstLine="480" w:firstLineChars="200"/>
              <w:rPr>
                <w:rFonts w:hint="default" w:eastAsia="宋体"/>
                <w:lang w:val="en-US" w:eastAsia="zh-CN"/>
              </w:rPr>
            </w:pPr>
            <w:r>
              <w:rPr>
                <w:rFonts w:hint="eastAsia"/>
                <w:lang w:val="en-US" w:eastAsia="zh-CN"/>
              </w:rPr>
              <w:t>方案内容具体详实，具有针对性，可实施性强的得5分；方案内容基本详实，针对性，可实施性一般的得3分；方案存在缺陷的，得1分；未提供相关描述不得分</w:t>
            </w:r>
          </w:p>
        </w:tc>
        <w:tc>
          <w:tcPr>
            <w:tcW w:w="1192" w:type="dxa"/>
            <w:noWrap w:val="0"/>
            <w:vAlign w:val="center"/>
          </w:tcPr>
          <w:p>
            <w:pPr>
              <w:numPr>
                <w:ilvl w:val="0"/>
                <w:numId w:val="0"/>
              </w:numPr>
              <w:snapToGrid w:val="0"/>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0-10分</w:t>
            </w:r>
          </w:p>
        </w:tc>
        <w:tc>
          <w:tcPr>
            <w:tcW w:w="1332" w:type="dxa"/>
            <w:noWrap w:val="0"/>
            <w:vAlign w:val="center"/>
          </w:tcPr>
          <w:p>
            <w:pPr>
              <w:numPr>
                <w:ilvl w:val="0"/>
                <w:numId w:val="0"/>
              </w:numPr>
              <w:snapToGrid w:val="0"/>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numPr>
                <w:ilvl w:val="0"/>
                <w:numId w:val="0"/>
              </w:numPr>
              <w:snapToGrid w:val="0"/>
              <w:spacing w:line="360" w:lineRule="auto"/>
              <w:rPr>
                <w:rFonts w:hint="default"/>
                <w:lang w:val="en-US" w:eastAsia="zh-CN"/>
              </w:rPr>
            </w:pPr>
            <w:r>
              <w:rPr>
                <w:rFonts w:hint="eastAsia"/>
                <w:lang w:val="en-US" w:eastAsia="zh-CN"/>
              </w:rPr>
              <w:t>日常会议保障方案0-5分</w:t>
            </w:r>
          </w:p>
          <w:p>
            <w:pPr>
              <w:numPr>
                <w:ilvl w:val="0"/>
                <w:numId w:val="0"/>
              </w:numPr>
              <w:snapToGrid w:val="0"/>
              <w:spacing w:line="360" w:lineRule="auto"/>
              <w:ind w:firstLine="480" w:firstLineChars="200"/>
              <w:rPr>
                <w:rFonts w:hint="default"/>
                <w:lang w:val="en-US" w:eastAsia="zh-CN"/>
              </w:rPr>
            </w:pPr>
            <w:r>
              <w:rPr>
                <w:rFonts w:hint="eastAsia"/>
                <w:lang w:val="en-US" w:eastAsia="zh-CN"/>
              </w:rPr>
              <w:t>方案内容具体详实，具有针对性，可实施性强的得5分；方案内容基本详实，针对性，可实施性一般的得3分；方案存在缺陷的，得1分；未提供相关描述不得分</w:t>
            </w:r>
          </w:p>
        </w:tc>
        <w:tc>
          <w:tcPr>
            <w:tcW w:w="119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0-5分</w:t>
            </w:r>
          </w:p>
        </w:tc>
        <w:tc>
          <w:tcPr>
            <w:tcW w:w="133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ascii="宋体" w:hAnsi="宋体" w:eastAsia="宋体" w:cs="宋体"/>
                <w:color w:val="auto"/>
                <w:sz w:val="24"/>
                <w:lang w:val="en-US" w:eastAsia="zh-Hans"/>
              </w:rPr>
            </w:pPr>
            <w:r>
              <w:rPr>
                <w:rFonts w:hint="eastAsia" w:ascii="宋体" w:hAnsi="宋体" w:cs="宋体"/>
                <w:color w:val="auto"/>
                <w:sz w:val="24"/>
                <w:lang w:val="en-US" w:eastAsia="zh-Hans"/>
              </w:rPr>
              <w:t>运维响应方案</w:t>
            </w:r>
            <w:r>
              <w:rPr>
                <w:rFonts w:hint="eastAsia" w:ascii="宋体" w:hAnsi="宋体" w:cs="宋体"/>
                <w:color w:val="auto"/>
                <w:sz w:val="24"/>
                <w:lang w:val="en-US" w:eastAsia="zh-CN"/>
              </w:rPr>
              <w:t>0-10分：</w:t>
            </w:r>
          </w:p>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省交通运输厅现场维护</w:t>
            </w:r>
            <w:r>
              <w:rPr>
                <w:rFonts w:hint="eastAsia" w:ascii="宋体" w:hAnsi="宋体" w:cs="宋体"/>
                <w:color w:val="auto"/>
                <w:sz w:val="24"/>
                <w:lang w:val="en-US" w:eastAsia="zh-CN"/>
              </w:rPr>
              <w:t>响应方案0-5分：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default" w:ascii="宋体" w:hAnsi="宋体" w:cs="宋体"/>
                <w:color w:val="auto"/>
                <w:sz w:val="24"/>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default" w:ascii="宋体" w:hAnsi="宋体" w:cs="宋体"/>
                <w:color w:val="auto"/>
                <w:sz w:val="24"/>
              </w:rPr>
              <w:t>3</w:t>
            </w:r>
            <w:r>
              <w:rPr>
                <w:rFonts w:hint="eastAsia" w:ascii="宋体" w:hAnsi="宋体" w:cs="宋体"/>
                <w:color w:val="auto"/>
                <w:sz w:val="24"/>
              </w:rPr>
              <w:t>分；方案存在缺陷的，得1分；未提供相关描述不得分</w:t>
            </w:r>
          </w:p>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2）市、县各级交通管理单位的远程及现场维护响应方案0-5分：</w:t>
            </w:r>
          </w:p>
          <w:p>
            <w:pPr>
              <w:snapToGrid w:val="0"/>
              <w:spacing w:line="360" w:lineRule="auto"/>
              <w:ind w:firstLine="480" w:firstLineChars="200"/>
              <w:rPr>
                <w:rFonts w:hint="eastAsia" w:eastAsia="宋体"/>
                <w:lang w:val="en-US" w:eastAsia="zh-CN"/>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default" w:ascii="宋体" w:hAnsi="宋体" w:cs="宋体"/>
                <w:color w:val="auto"/>
                <w:sz w:val="24"/>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default" w:ascii="宋体" w:hAnsi="宋体" w:cs="宋体"/>
                <w:color w:val="auto"/>
                <w:sz w:val="24"/>
              </w:rPr>
              <w:t>3</w:t>
            </w:r>
            <w:r>
              <w:rPr>
                <w:rFonts w:hint="eastAsia" w:ascii="宋体" w:hAnsi="宋体" w:cs="宋体"/>
                <w:color w:val="auto"/>
                <w:sz w:val="24"/>
              </w:rPr>
              <w:t>分；方案存在缺陷的，得1分；未提供相关描述不得分</w:t>
            </w:r>
            <w:r>
              <w:rPr>
                <w:rFonts w:hint="eastAsia" w:ascii="宋体" w:hAnsi="宋体" w:cs="宋体"/>
                <w:color w:val="auto"/>
                <w:sz w:val="24"/>
                <w:lang w:eastAsia="zh-CN"/>
              </w:rPr>
              <w:t>。</w:t>
            </w:r>
          </w:p>
        </w:tc>
        <w:tc>
          <w:tcPr>
            <w:tcW w:w="1192" w:type="dxa"/>
            <w:noWrap w:val="0"/>
            <w:vAlign w:val="center"/>
          </w:tcPr>
          <w:p>
            <w:pPr>
              <w:snapToGrid w:val="0"/>
              <w:spacing w:line="360" w:lineRule="auto"/>
              <w:jc w:val="lef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0-10分</w:t>
            </w:r>
          </w:p>
        </w:tc>
        <w:tc>
          <w:tcPr>
            <w:tcW w:w="1332" w:type="dxa"/>
            <w:noWrap w:val="0"/>
            <w:vAlign w:val="center"/>
          </w:tcPr>
          <w:p>
            <w:pPr>
              <w:snapToGrid w:val="0"/>
              <w:spacing w:line="360" w:lineRule="auto"/>
              <w:jc w:val="left"/>
              <w:rPr>
                <w:rFonts w:hint="eastAsia" w:ascii="宋体" w:hAnsi="宋体" w:cs="宋体"/>
                <w:color w:val="auto"/>
                <w:sz w:val="24"/>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技术</w:t>
            </w:r>
          </w:p>
        </w:tc>
        <w:tc>
          <w:tcPr>
            <w:tcW w:w="5437" w:type="dxa"/>
            <w:noWrap w:val="0"/>
            <w:vAlign w:val="center"/>
          </w:tcPr>
          <w:p>
            <w:pPr>
              <w:pStyle w:val="2"/>
              <w:numPr>
                <w:ilvl w:val="0"/>
                <w:numId w:val="0"/>
              </w:numPr>
              <w:rPr>
                <w:rFonts w:hint="default" w:ascii="宋体" w:hAnsi="宋体" w:eastAsia="宋体" w:cs="宋体"/>
                <w:color w:val="auto"/>
                <w:sz w:val="24"/>
                <w:lang w:val="en-US" w:eastAsia="zh-Hans"/>
              </w:rPr>
            </w:pPr>
            <w:r>
              <w:rPr>
                <w:rFonts w:hint="eastAsia" w:ascii="宋体" w:hAnsi="宋体" w:cs="宋体"/>
                <w:color w:val="auto"/>
                <w:sz w:val="24"/>
                <w:lang w:val="en-US" w:eastAsia="zh-Hans"/>
              </w:rPr>
              <w:t>突发事件的应急方案</w:t>
            </w:r>
            <w:r>
              <w:rPr>
                <w:rFonts w:hint="default" w:hAnsi="宋体" w:cs="宋体"/>
                <w:color w:val="auto"/>
                <w:sz w:val="24"/>
                <w:lang w:eastAsia="zh-Hans"/>
              </w:rPr>
              <w:t>0-</w:t>
            </w:r>
            <w:r>
              <w:rPr>
                <w:rFonts w:hint="eastAsia" w:hAnsi="宋体" w:cs="宋体"/>
                <w:color w:val="auto"/>
                <w:sz w:val="24"/>
                <w:lang w:val="en-US" w:eastAsia="zh-CN"/>
              </w:rPr>
              <w:t>5</w:t>
            </w:r>
            <w:r>
              <w:rPr>
                <w:rFonts w:hint="eastAsia" w:hAnsi="宋体" w:cs="宋体"/>
                <w:color w:val="auto"/>
                <w:sz w:val="24"/>
                <w:lang w:val="en-US" w:eastAsia="zh-Hans"/>
              </w:rPr>
              <w:t>分</w:t>
            </w:r>
          </w:p>
          <w:p>
            <w:pPr>
              <w:snapToGrid w:val="0"/>
              <w:spacing w:line="360" w:lineRule="auto"/>
              <w:ind w:firstLine="480" w:firstLineChars="200"/>
              <w:rPr>
                <w:rFonts w:hint="default" w:eastAsia="宋体"/>
                <w:lang w:val="en-US" w:eastAsia="zh-CN"/>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eastAsia" w:hAnsi="宋体" w:cs="宋体"/>
                <w:color w:val="auto"/>
                <w:sz w:val="24"/>
                <w:lang w:val="en-US" w:eastAsia="zh-CN"/>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eastAsia" w:hAnsi="宋体" w:cs="宋体"/>
                <w:color w:val="auto"/>
                <w:sz w:val="24"/>
                <w:lang w:val="en-US" w:eastAsia="zh-CN"/>
              </w:rPr>
              <w:t>3</w:t>
            </w:r>
            <w:r>
              <w:rPr>
                <w:rFonts w:hint="eastAsia" w:ascii="宋体" w:hAnsi="宋体" w:cs="宋体"/>
                <w:color w:val="auto"/>
                <w:sz w:val="24"/>
              </w:rPr>
              <w:t>分；方案存在缺陷的，得1分；未提供相关描述不得分</w:t>
            </w:r>
          </w:p>
        </w:tc>
        <w:tc>
          <w:tcPr>
            <w:tcW w:w="1192" w:type="dxa"/>
            <w:noWrap w:val="0"/>
            <w:vAlign w:val="center"/>
          </w:tcPr>
          <w:p>
            <w:pPr>
              <w:snapToGrid w:val="0"/>
              <w:spacing w:line="360" w:lineRule="auto"/>
              <w:jc w:val="lef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0-5分</w:t>
            </w:r>
          </w:p>
        </w:tc>
        <w:tc>
          <w:tcPr>
            <w:tcW w:w="1332" w:type="dxa"/>
            <w:noWrap w:val="0"/>
            <w:vAlign w:val="center"/>
          </w:tcPr>
          <w:p>
            <w:pPr>
              <w:snapToGrid w:val="0"/>
              <w:spacing w:line="360" w:lineRule="auto"/>
              <w:jc w:val="left"/>
              <w:rPr>
                <w:rFonts w:hint="eastAsia" w:ascii="宋体" w:hAnsi="宋体" w:cs="宋体"/>
                <w:color w:val="auto"/>
                <w:sz w:val="24"/>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pStyle w:val="2"/>
              <w:numPr>
                <w:ilvl w:val="0"/>
                <w:numId w:val="0"/>
              </w:numPr>
              <w:rPr>
                <w:rFonts w:hint="default" w:ascii="宋体" w:hAnsi="宋体" w:eastAsia="宋体" w:cs="宋体"/>
                <w:color w:val="auto"/>
                <w:sz w:val="24"/>
                <w:lang w:val="en-US" w:eastAsia="zh-Hans"/>
              </w:rPr>
            </w:pPr>
            <w:r>
              <w:rPr>
                <w:rFonts w:hint="eastAsia" w:ascii="宋体" w:hAnsi="宋体" w:cs="宋体"/>
                <w:color w:val="auto"/>
                <w:sz w:val="24"/>
                <w:lang w:val="en-US" w:eastAsia="zh-Hans"/>
              </w:rPr>
              <w:t>文档及资料管理方案</w:t>
            </w:r>
            <w:r>
              <w:rPr>
                <w:rFonts w:hint="default" w:hAnsi="宋体" w:cs="宋体"/>
                <w:color w:val="auto"/>
                <w:sz w:val="24"/>
                <w:lang w:eastAsia="zh-Hans"/>
              </w:rPr>
              <w:t>0-</w:t>
            </w:r>
            <w:r>
              <w:rPr>
                <w:rFonts w:hint="eastAsia" w:hAnsi="宋体" w:cs="宋体"/>
                <w:color w:val="auto"/>
                <w:sz w:val="24"/>
                <w:lang w:val="en-US" w:eastAsia="zh-CN"/>
              </w:rPr>
              <w:t>5</w:t>
            </w:r>
            <w:r>
              <w:rPr>
                <w:rFonts w:hint="eastAsia" w:hAnsi="宋体" w:cs="宋体"/>
                <w:color w:val="auto"/>
                <w:sz w:val="24"/>
                <w:lang w:val="en-US" w:eastAsia="zh-Hans"/>
              </w:rPr>
              <w:t>分</w:t>
            </w:r>
          </w:p>
          <w:p>
            <w:pPr>
              <w:pStyle w:val="3"/>
              <w:ind w:firstLine="480" w:firstLineChars="200"/>
              <w:rPr>
                <w:rFonts w:hint="default"/>
                <w:lang w:val="en-US" w:eastAsia="zh-CN"/>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eastAsia" w:hAnsi="宋体" w:cs="宋体"/>
                <w:color w:val="auto"/>
                <w:sz w:val="24"/>
                <w:lang w:val="en-US" w:eastAsia="zh-CN"/>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eastAsia" w:hAnsi="宋体" w:cs="宋体"/>
                <w:color w:val="auto"/>
                <w:sz w:val="24"/>
                <w:lang w:val="en-US" w:eastAsia="zh-CN"/>
              </w:rPr>
              <w:t>3</w:t>
            </w:r>
            <w:r>
              <w:rPr>
                <w:rFonts w:hint="eastAsia" w:ascii="宋体" w:hAnsi="宋体" w:cs="宋体"/>
                <w:color w:val="auto"/>
                <w:sz w:val="24"/>
              </w:rPr>
              <w:t>分；方案存在缺陷的，得1分；未提供相关描述不得分</w:t>
            </w:r>
          </w:p>
        </w:tc>
        <w:tc>
          <w:tcPr>
            <w:tcW w:w="119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1332" w:type="dxa"/>
            <w:noWrap w:val="0"/>
            <w:vAlign w:val="center"/>
          </w:tcPr>
          <w:p>
            <w:pPr>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11</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pStyle w:val="3"/>
              <w:ind w:firstLine="480" w:firstLineChars="200"/>
              <w:rPr>
                <w:rFonts w:hint="eastAsia"/>
                <w:lang w:val="en-US" w:eastAsia="zh-CN"/>
              </w:rPr>
            </w:pPr>
            <w:r>
              <w:rPr>
                <w:rFonts w:hint="eastAsia"/>
                <w:lang w:val="en-US" w:eastAsia="zh-CN"/>
              </w:rPr>
              <w:t>项目保密</w:t>
            </w:r>
            <w:r>
              <w:rPr>
                <w:rFonts w:hint="eastAsia"/>
                <w:lang w:val="en-US" w:eastAsia="zh-Hans"/>
              </w:rPr>
              <w:t>方案</w:t>
            </w:r>
          </w:p>
        </w:tc>
        <w:tc>
          <w:tcPr>
            <w:tcW w:w="1192" w:type="dxa"/>
            <w:noWrap w:val="0"/>
            <w:vAlign w:val="center"/>
          </w:tcPr>
          <w:p>
            <w:pPr>
              <w:snapToGrid w:val="0"/>
              <w:spacing w:line="360" w:lineRule="auto"/>
              <w:jc w:val="left"/>
              <w:rPr>
                <w:rFonts w:hint="eastAsia" w:ascii="宋体" w:hAnsi="宋体" w:cs="宋体"/>
                <w:color w:val="auto"/>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p>
        </w:tc>
        <w:tc>
          <w:tcPr>
            <w:tcW w:w="1332" w:type="dxa"/>
            <w:noWrap w:val="0"/>
            <w:vAlign w:val="center"/>
          </w:tcPr>
          <w:p>
            <w:pPr>
              <w:snapToGrid w:val="0"/>
              <w:spacing w:line="360" w:lineRule="auto"/>
              <w:jc w:val="left"/>
              <w:rPr>
                <w:rFonts w:hint="eastAsia" w:ascii="宋体" w:hAnsi="宋体" w:cs="宋体"/>
                <w:color w:val="auto"/>
                <w:sz w:val="24"/>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技术</w:t>
            </w:r>
          </w:p>
        </w:tc>
        <w:tc>
          <w:tcPr>
            <w:tcW w:w="5437" w:type="dxa"/>
            <w:noWrap w:val="0"/>
            <w:vAlign w:val="center"/>
          </w:tcPr>
          <w:p>
            <w:pPr>
              <w:pStyle w:val="2"/>
              <w:numPr>
                <w:ilvl w:val="0"/>
                <w:numId w:val="0"/>
              </w:numPr>
              <w:rPr>
                <w:rFonts w:hint="default" w:ascii="宋体" w:hAnsi="宋体" w:eastAsia="宋体" w:cs="宋体"/>
                <w:color w:val="auto"/>
                <w:sz w:val="24"/>
                <w:lang w:val="en-US" w:eastAsia="zh-Hans"/>
              </w:rPr>
            </w:pPr>
            <w:r>
              <w:rPr>
                <w:rFonts w:hint="eastAsia" w:hAnsi="宋体" w:cs="宋体"/>
                <w:sz w:val="24"/>
                <w:lang w:val="en-US" w:eastAsia="zh-CN"/>
              </w:rPr>
              <w:t>运维</w:t>
            </w:r>
            <w:r>
              <w:rPr>
                <w:rFonts w:hint="eastAsia" w:ascii="宋体" w:hAnsi="宋体" w:cs="宋体"/>
                <w:sz w:val="24"/>
                <w:lang w:eastAsia="zh-Hans"/>
              </w:rPr>
              <w:t>质量保障</w:t>
            </w:r>
            <w:r>
              <w:rPr>
                <w:rFonts w:hint="eastAsia" w:ascii="宋体" w:hAnsi="宋体" w:cs="宋体"/>
                <w:sz w:val="24"/>
              </w:rPr>
              <w:t>方案</w:t>
            </w:r>
            <w:r>
              <w:rPr>
                <w:rFonts w:hint="default" w:hAnsi="宋体" w:cs="宋体"/>
                <w:color w:val="auto"/>
                <w:sz w:val="24"/>
                <w:lang w:eastAsia="zh-Hans"/>
              </w:rPr>
              <w:t>0-</w:t>
            </w:r>
            <w:r>
              <w:rPr>
                <w:rFonts w:hint="eastAsia" w:hAnsi="宋体" w:cs="宋体"/>
                <w:color w:val="auto"/>
                <w:sz w:val="24"/>
                <w:lang w:val="en-US" w:eastAsia="zh-CN"/>
              </w:rPr>
              <w:t>5</w:t>
            </w:r>
            <w:r>
              <w:rPr>
                <w:rFonts w:hint="eastAsia" w:hAnsi="宋体" w:cs="宋体"/>
                <w:color w:val="auto"/>
                <w:sz w:val="24"/>
                <w:lang w:val="en-US" w:eastAsia="zh-Hans"/>
              </w:rPr>
              <w:t>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方案内容</w:t>
            </w:r>
            <w:r>
              <w:rPr>
                <w:rFonts w:hint="eastAsia" w:ascii="宋体" w:hAnsi="宋体" w:cs="宋体"/>
                <w:color w:val="auto"/>
                <w:sz w:val="24"/>
                <w:lang w:val="en-US" w:eastAsia="zh-CN"/>
              </w:rPr>
              <w:t>具体</w:t>
            </w:r>
            <w:r>
              <w:rPr>
                <w:rFonts w:hint="eastAsia" w:ascii="宋体" w:hAnsi="宋体" w:cs="宋体"/>
                <w:color w:val="auto"/>
                <w:sz w:val="24"/>
              </w:rPr>
              <w:t>详实，具有针对性，可实施性强的得</w:t>
            </w:r>
            <w:r>
              <w:rPr>
                <w:rFonts w:hint="eastAsia" w:hAnsi="宋体" w:cs="宋体"/>
                <w:color w:val="auto"/>
                <w:sz w:val="24"/>
                <w:lang w:val="en-US" w:eastAsia="zh-CN"/>
              </w:rPr>
              <w:t>5</w:t>
            </w:r>
            <w:r>
              <w:rPr>
                <w:rFonts w:hint="eastAsia" w:ascii="宋体" w:hAnsi="宋体" w:cs="宋体"/>
                <w:color w:val="auto"/>
                <w:sz w:val="24"/>
              </w:rPr>
              <w:t>分；方案内容</w:t>
            </w:r>
            <w:r>
              <w:rPr>
                <w:rFonts w:hint="eastAsia" w:ascii="宋体" w:hAnsi="宋体" w:cs="宋体"/>
                <w:color w:val="auto"/>
                <w:sz w:val="24"/>
                <w:lang w:val="en-US" w:eastAsia="zh-CN"/>
              </w:rPr>
              <w:t>基本</w:t>
            </w:r>
            <w:r>
              <w:rPr>
                <w:rFonts w:hint="eastAsia" w:ascii="宋体" w:hAnsi="宋体" w:cs="宋体"/>
                <w:color w:val="auto"/>
                <w:sz w:val="24"/>
              </w:rPr>
              <w:t>详实，针对性，可实施性一般的得</w:t>
            </w:r>
            <w:r>
              <w:rPr>
                <w:rFonts w:hint="eastAsia" w:hAnsi="宋体" w:cs="宋体"/>
                <w:color w:val="auto"/>
                <w:sz w:val="24"/>
                <w:lang w:val="en-US" w:eastAsia="zh-CN"/>
              </w:rPr>
              <w:t>3</w:t>
            </w:r>
            <w:r>
              <w:rPr>
                <w:rFonts w:hint="eastAsia" w:ascii="宋体" w:hAnsi="宋体" w:cs="宋体"/>
                <w:color w:val="auto"/>
                <w:sz w:val="24"/>
              </w:rPr>
              <w:t>分；方案存在缺陷的，得1分；未提供相关描述不得分</w:t>
            </w:r>
          </w:p>
        </w:tc>
        <w:tc>
          <w:tcPr>
            <w:tcW w:w="1192" w:type="dxa"/>
            <w:noWrap w:val="0"/>
            <w:vAlign w:val="center"/>
          </w:tcPr>
          <w:p>
            <w:pPr>
              <w:snapToGrid w:val="0"/>
              <w:spacing w:line="360" w:lineRule="auto"/>
              <w:jc w:val="left"/>
              <w:rPr>
                <w:rFonts w:hint="eastAsia" w:ascii="宋体" w:hAnsi="宋体" w:cs="宋体"/>
                <w:color w:val="auto"/>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1332" w:type="dxa"/>
            <w:noWrap w:val="0"/>
            <w:vAlign w:val="center"/>
          </w:tcPr>
          <w:p>
            <w:pPr>
              <w:snapToGrid w:val="0"/>
              <w:spacing w:line="360" w:lineRule="auto"/>
              <w:jc w:val="left"/>
              <w:rPr>
                <w:rFonts w:hint="eastAsia" w:ascii="宋体" w:hAnsi="宋体" w:cs="宋体"/>
                <w:color w:val="auto"/>
                <w:sz w:val="24"/>
              </w:rPr>
            </w:pPr>
            <w:r>
              <w:rPr>
                <w:rFonts w:hint="eastAsia" w:ascii="宋体" w:hAnsi="宋体" w:cs="宋体"/>
                <w:color w:val="auto"/>
                <w:sz w:val="24"/>
              </w:rPr>
              <w:t>主观分</w:t>
            </w:r>
          </w:p>
        </w:tc>
      </w:tr>
      <w:tr>
        <w:tc>
          <w:tcPr>
            <w:tcW w:w="594"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p>
        </w:tc>
        <w:tc>
          <w:tcPr>
            <w:tcW w:w="1190" w:type="dxa"/>
            <w:noWrap w:val="0"/>
            <w:vAlign w:val="center"/>
          </w:tcPr>
          <w:p>
            <w:pPr>
              <w:keepNext w:val="0"/>
              <w:keepLines w:val="0"/>
              <w:pageBreakBefore w:val="0"/>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w:t>
            </w:r>
          </w:p>
        </w:tc>
        <w:tc>
          <w:tcPr>
            <w:tcW w:w="5437" w:type="dxa"/>
            <w:noWrap w:val="0"/>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项目团队力量</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项目负责人（提供人员近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个月社保资料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rPr>
              <w:t>）：</w:t>
            </w:r>
          </w:p>
          <w:p>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1.1职称情况：中级职称的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分，高级</w:t>
            </w:r>
            <w:r>
              <w:rPr>
                <w:rFonts w:hint="eastAsia" w:ascii="宋体" w:hAnsi="宋体" w:cs="宋体"/>
                <w:color w:val="auto"/>
                <w:sz w:val="24"/>
                <w:highlight w:val="none"/>
                <w:lang w:val="en-US" w:eastAsia="zh-CN"/>
              </w:rPr>
              <w:t>及以上的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提供相关职称证书，</w:t>
            </w:r>
            <w:r>
              <w:rPr>
                <w:rFonts w:hint="eastAsia" w:ascii="宋体" w:hAnsi="宋体" w:eastAsia="宋体" w:cs="宋体"/>
                <w:color w:val="auto"/>
                <w:sz w:val="24"/>
                <w:highlight w:val="none"/>
              </w:rPr>
              <w:t>未提供不得分。</w:t>
            </w:r>
          </w:p>
          <w:p>
            <w:pPr>
              <w:pStyle w:val="3"/>
              <w:rPr>
                <w:rFonts w:hint="default" w:eastAsia="宋体"/>
                <w:highlight w:val="none"/>
                <w:lang w:val="en-US" w:eastAsia="zh-CN"/>
              </w:rPr>
            </w:pPr>
            <w:r>
              <w:rPr>
                <w:rFonts w:hint="eastAsia" w:hAnsi="宋体" w:cs="宋体"/>
                <w:color w:val="auto"/>
                <w:sz w:val="24"/>
                <w:highlight w:val="none"/>
                <w:lang w:val="en-US" w:eastAsia="zh-CN"/>
              </w:rPr>
              <w:t xml:space="preserve">    1.2同类项目经验情况（提供相关证明材料，如合同、甲方证明、验收报告等）0-3分</w:t>
            </w:r>
          </w:p>
          <w:p>
            <w:pPr>
              <w:numPr>
                <w:ilvl w:val="0"/>
                <w:numId w:val="2"/>
              </w:numPr>
              <w:snapToGrid w:val="0"/>
              <w:spacing w:line="360" w:lineRule="auto"/>
              <w:ind w:left="0" w:leftChars="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项目组成员（除项目负责人）</w:t>
            </w:r>
            <w:r>
              <w:rPr>
                <w:rFonts w:hint="eastAsia" w:ascii="宋体" w:hAnsi="宋体" w:eastAsia="宋体" w:cs="宋体"/>
                <w:color w:val="auto"/>
                <w:sz w:val="24"/>
                <w:highlight w:val="none"/>
              </w:rPr>
              <w:t>（提供人员近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个月社保资料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情况</w:t>
            </w:r>
            <w:r>
              <w:rPr>
                <w:rFonts w:hint="eastAsia" w:ascii="宋体" w:hAnsi="宋体" w:eastAsia="宋体" w:cs="宋体"/>
                <w:color w:val="auto"/>
                <w:sz w:val="24"/>
                <w:highlight w:val="none"/>
                <w:lang w:eastAsia="zh-CN"/>
              </w:rPr>
              <w:t>：</w:t>
            </w:r>
          </w:p>
          <w:p>
            <w:pPr>
              <w:numPr>
                <w:ilvl w:val="0"/>
                <w:numId w:val="0"/>
              </w:numPr>
              <w:snapToGrid w:val="0"/>
              <w:spacing w:line="360" w:lineRule="auto"/>
              <w:ind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2.1职称情况：中级职称的每提供一人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分，高级</w:t>
            </w:r>
            <w:r>
              <w:rPr>
                <w:rFonts w:hint="eastAsia" w:ascii="宋体" w:hAnsi="宋体" w:cs="宋体"/>
                <w:color w:val="auto"/>
                <w:sz w:val="24"/>
                <w:highlight w:val="none"/>
                <w:lang w:val="en-US" w:eastAsia="zh-CN"/>
              </w:rPr>
              <w:t>及以上的每提供一人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提供相关职称证书，</w:t>
            </w:r>
            <w:r>
              <w:rPr>
                <w:rFonts w:hint="eastAsia" w:ascii="宋体" w:hAnsi="宋体" w:eastAsia="宋体" w:cs="宋体"/>
                <w:color w:val="auto"/>
                <w:sz w:val="24"/>
                <w:highlight w:val="none"/>
              </w:rPr>
              <w:t>未提供不得分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本项最高的</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pPr>
              <w:numPr>
                <w:ilvl w:val="0"/>
                <w:numId w:val="0"/>
              </w:numPr>
              <w:snapToGrid w:val="0"/>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2.2团队人员的岗位分工情况0-3分</w:t>
            </w:r>
          </w:p>
          <w:p>
            <w:pPr>
              <w:numPr>
                <w:ilvl w:val="0"/>
                <w:numId w:val="0"/>
              </w:numPr>
              <w:snapToGrid w:val="0"/>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r>
              <w:rPr>
                <w:rFonts w:hint="eastAsia" w:hAnsi="宋体" w:cs="宋体"/>
                <w:color w:val="auto"/>
                <w:sz w:val="24"/>
                <w:highlight w:val="none"/>
                <w:lang w:val="en-US" w:eastAsia="zh-CN"/>
              </w:rPr>
              <w:t>同类项目经验情况（提供相关证明材料，如合同、甲方证明、验收报</w:t>
            </w:r>
            <w:r>
              <w:rPr>
                <w:rFonts w:hint="eastAsia" w:ascii="宋体" w:hAnsi="宋体" w:eastAsia="宋体" w:cs="宋体"/>
                <w:color w:val="auto"/>
                <w:sz w:val="24"/>
                <w:highlight w:val="none"/>
                <w:lang w:val="en-US" w:eastAsia="zh-CN"/>
              </w:rPr>
              <w:t>告等）0-3分</w:t>
            </w:r>
          </w:p>
          <w:p>
            <w:pPr>
              <w:numPr>
                <w:ilvl w:val="0"/>
                <w:numId w:val="0"/>
              </w:numPr>
              <w:snapToGrid w:val="0"/>
              <w:spacing w:line="360" w:lineRule="auto"/>
              <w:ind w:left="0" w:leftChars="0"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2.4驻场人员委派情况</w:t>
            </w:r>
            <w:r>
              <w:rPr>
                <w:rFonts w:hint="eastAsia" w:ascii="宋体" w:hAnsi="宋体" w:cs="宋体"/>
                <w:color w:val="auto"/>
                <w:sz w:val="24"/>
                <w:highlight w:val="none"/>
                <w:lang w:val="en-US" w:eastAsia="zh-CN"/>
              </w:rPr>
              <w:t>0-3分</w:t>
            </w:r>
          </w:p>
        </w:tc>
        <w:tc>
          <w:tcPr>
            <w:tcW w:w="1192" w:type="dxa"/>
            <w:noWrap w:val="0"/>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bidi="ar"/>
              </w:rPr>
              <w:t>0-21</w:t>
            </w:r>
            <w:r>
              <w:rPr>
                <w:rFonts w:hint="eastAsia" w:ascii="宋体" w:hAnsi="宋体" w:cs="宋体"/>
                <w:color w:val="auto"/>
                <w:sz w:val="24"/>
                <w:highlight w:val="none"/>
                <w:lang w:bidi="ar"/>
              </w:rPr>
              <w:t>分</w:t>
            </w:r>
          </w:p>
        </w:tc>
        <w:tc>
          <w:tcPr>
            <w:tcW w:w="1332" w:type="dxa"/>
            <w:noWrap w:val="0"/>
            <w:vAlign w:val="center"/>
          </w:tcPr>
          <w:p>
            <w:pPr>
              <w:snapToGrid w:val="0"/>
              <w:spacing w:line="360" w:lineRule="auto"/>
              <w:jc w:val="left"/>
              <w:rPr>
                <w:rFonts w:hint="default" w:ascii="宋体" w:hAnsi="宋体" w:eastAsia="宋体" w:cs="宋体"/>
                <w:color w:val="auto"/>
                <w:kern w:val="2"/>
                <w:sz w:val="24"/>
                <w:szCs w:val="24"/>
                <w:lang w:val="en-US" w:eastAsia="zh-Hans" w:bidi="ar-SA"/>
              </w:rPr>
            </w:pPr>
            <w:r>
              <w:rPr>
                <w:rFonts w:hint="default" w:ascii="宋体" w:hAnsi="宋体" w:cs="宋体"/>
                <w:color w:val="auto"/>
                <w:kern w:val="2"/>
                <w:sz w:val="24"/>
                <w:szCs w:val="24"/>
                <w:lang w:eastAsia="zh-CN" w:bidi="ar-SA"/>
              </w:rPr>
              <w:t>1</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1，2</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1</w:t>
            </w:r>
            <w:r>
              <w:rPr>
                <w:rFonts w:hint="eastAsia" w:ascii="宋体" w:hAnsi="宋体" w:cs="宋体"/>
                <w:color w:val="auto"/>
                <w:kern w:val="2"/>
                <w:sz w:val="24"/>
                <w:szCs w:val="24"/>
                <w:lang w:val="en-US" w:eastAsia="zh-CN" w:bidi="ar-SA"/>
              </w:rPr>
              <w:t>客观分</w:t>
            </w:r>
            <w:r>
              <w:rPr>
                <w:rFonts w:hint="default" w:ascii="宋体" w:hAnsi="宋体" w:cs="宋体"/>
                <w:color w:val="auto"/>
                <w:kern w:val="2"/>
                <w:sz w:val="24"/>
                <w:szCs w:val="24"/>
                <w:lang w:eastAsia="zh-CN" w:bidi="ar-SA"/>
              </w:rPr>
              <w:t>，1</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2，2</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2，2</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3，2</w:t>
            </w:r>
            <w:r>
              <w:rPr>
                <w:rFonts w:hint="eastAsia" w:ascii="宋体" w:hAnsi="宋体" w:cs="宋体"/>
                <w:color w:val="auto"/>
                <w:kern w:val="2"/>
                <w:sz w:val="24"/>
                <w:szCs w:val="24"/>
                <w:lang w:val="en-US" w:eastAsia="zh-Hans" w:bidi="ar-SA"/>
              </w:rPr>
              <w:t>.</w:t>
            </w:r>
            <w:r>
              <w:rPr>
                <w:rFonts w:hint="default" w:ascii="宋体" w:hAnsi="宋体" w:cs="宋体"/>
                <w:color w:val="auto"/>
                <w:kern w:val="2"/>
                <w:sz w:val="24"/>
                <w:szCs w:val="24"/>
                <w:lang w:eastAsia="zh-Hans" w:bidi="ar-SA"/>
              </w:rPr>
              <w:t>4</w:t>
            </w:r>
            <w:r>
              <w:rPr>
                <w:rFonts w:hint="eastAsia" w:ascii="宋体" w:hAnsi="宋体" w:cs="宋体"/>
                <w:color w:val="auto"/>
                <w:kern w:val="2"/>
                <w:sz w:val="24"/>
                <w:szCs w:val="24"/>
                <w:lang w:val="en-US" w:eastAsia="zh-Hans" w:bidi="ar-SA"/>
              </w:rPr>
              <w:t>主观分</w:t>
            </w:r>
          </w:p>
        </w:tc>
      </w:tr>
    </w:tbl>
    <w:p>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5"/>
        <w:bidi w:val="0"/>
        <w:jc w:val="left"/>
        <w:rPr>
          <w:color w:val="auto"/>
          <w:highlight w:val="none"/>
        </w:rPr>
      </w:pPr>
      <w:r>
        <w:rPr>
          <w:rFonts w:hint="eastAsia" w:ascii="Times New Roman" w:hAnsi="Times New Roman" w:cs="Times New Roman"/>
          <w:color w:val="auto"/>
          <w:sz w:val="30"/>
          <w:szCs w:val="30"/>
          <w:highlight w:val="none"/>
        </w:rPr>
        <w:t>三、评标程序</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1"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eastAsia="宋体" w:cs="仿宋_GB2312"/>
          <w:sz w:val="24"/>
        </w:rPr>
        <w:t>得分相同的，按</w:t>
      </w:r>
      <w:r>
        <w:rPr>
          <w:rFonts w:hint="eastAsia" w:ascii="宋体" w:hAnsi="宋体" w:cs="仿宋_GB2312"/>
          <w:sz w:val="24"/>
          <w:lang w:eastAsia="zh-CN"/>
        </w:rPr>
        <w:t>投标</w:t>
      </w:r>
      <w:r>
        <w:rPr>
          <w:rFonts w:hint="eastAsia" w:ascii="宋体" w:hAnsi="宋体" w:eastAsia="宋体" w:cs="仿宋_GB2312"/>
          <w:sz w:val="24"/>
        </w:rPr>
        <w:t>报价由低到高顺序排列；得分且</w:t>
      </w:r>
      <w:r>
        <w:rPr>
          <w:rFonts w:hint="eastAsia" w:ascii="宋体" w:hAnsi="宋体" w:cs="仿宋_GB2312"/>
          <w:sz w:val="24"/>
          <w:lang w:eastAsia="zh-CN"/>
        </w:rPr>
        <w:t>投标</w:t>
      </w:r>
      <w:r>
        <w:rPr>
          <w:rFonts w:hint="eastAsia" w:ascii="宋体" w:hAnsi="宋体" w:eastAsia="宋体" w:cs="仿宋_GB2312"/>
          <w:sz w:val="24"/>
        </w:rPr>
        <w:t>报价相同的，按技术得分由高到低顺序排列。</w:t>
      </w:r>
    </w:p>
    <w:p>
      <w:pPr>
        <w:spacing w:line="360" w:lineRule="auto"/>
        <w:ind w:firstLine="471"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bidi w:val="0"/>
        <w:jc w:val="left"/>
        <w:rPr>
          <w:rFonts w:hint="eastAsia" w:ascii="Times New Roman" w:hAnsi="Times New Roman" w:cs="Times New Roman"/>
          <w:color w:val="auto"/>
          <w:sz w:val="30"/>
          <w:szCs w:val="30"/>
          <w:highlight w:val="none"/>
        </w:rPr>
      </w:pPr>
      <w:r>
        <w:rPr>
          <w:rFonts w:hint="eastAsia" w:ascii="Times New Roman" w:hAnsi="Times New Roman" w:cs="Times New Roman"/>
          <w:color w:val="auto"/>
          <w:sz w:val="30"/>
          <w:szCs w:val="30"/>
          <w:highlight w:val="none"/>
        </w:rPr>
        <w:t>四、评标中的其他事项</w:t>
      </w:r>
    </w:p>
    <w:p>
      <w:pPr>
        <w:pStyle w:val="135"/>
        <w:spacing w:before="0"/>
        <w:ind w:firstLine="471"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1"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71"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89"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83" w:name="第五部分"/>
      <w:bookmarkStart w:id="384" w:name="_Toc86217003"/>
    </w:p>
    <w:p>
      <w:pPr>
        <w:bidi w:val="0"/>
      </w:pPr>
      <w:r>
        <w:rPr>
          <w:rFonts w:hint="eastAsia"/>
        </w:rPr>
        <w:t xml:space="preserve">    </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5"/>
        <w:bidi w:val="0"/>
      </w:pPr>
      <w:r>
        <w:rPr>
          <w:rFonts w:hint="eastAsia"/>
        </w:rPr>
        <w:t>第五部分 拟签订的合同文本</w:t>
      </w:r>
    </w:p>
    <w:p>
      <w:pPr>
        <w:spacing w:line="360" w:lineRule="auto"/>
        <w:ind w:firstLine="480" w:firstLineChars="200"/>
        <w:jc w:val="center"/>
        <w:rPr>
          <w:rFonts w:ascii="宋体" w:hAnsi="宋体"/>
          <w:bCs/>
        </w:rPr>
      </w:pPr>
      <w:r>
        <w:rPr>
          <w:rFonts w:hint="eastAsia" w:ascii="宋体" w:hAnsi="宋体"/>
          <w:b/>
        </w:rPr>
        <w:t>（仅供参考）</w:t>
      </w:r>
    </w:p>
    <w:p>
      <w:pPr>
        <w:spacing w:line="360" w:lineRule="auto"/>
        <w:ind w:right="-211" w:rightChars="-88" w:firstLine="480"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snapToGrid w:val="0"/>
        <w:spacing w:line="360" w:lineRule="auto"/>
        <w:jc w:val="center"/>
        <w:rPr>
          <w:rFonts w:hAnsi="宋体"/>
        </w:rPr>
      </w:pPr>
      <w:r>
        <w:rPr>
          <w:rFonts w:hint="eastAsia" w:ascii="宋体" w:hAnsi="宋体"/>
        </w:rPr>
        <w:t xml:space="preserve">                                 </w:t>
      </w:r>
      <w:r>
        <w:rPr>
          <w:rFonts w:hint="eastAsia" w:hAnsi="宋体"/>
        </w:rPr>
        <w:t xml:space="preserve">                                           </w:t>
      </w:r>
    </w:p>
    <w:p>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合同编号：   </w:t>
      </w:r>
    </w:p>
    <w:p>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lang w:val="en-US" w:eastAsia="zh-CN"/>
        </w:rPr>
      </w:pPr>
      <w:r>
        <w:rPr>
          <w:rFonts w:hint="eastAsia"/>
          <w:b/>
          <w:bCs/>
        </w:rPr>
        <w:t>一、</w:t>
      </w:r>
      <w:r>
        <w:rPr>
          <w:rFonts w:hint="eastAsia"/>
          <w:b/>
          <w:bCs/>
          <w:lang w:val="en-US" w:eastAsia="zh-CN"/>
        </w:rPr>
        <w:t>服务内容</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kern w:val="0"/>
          <w:szCs w:val="24"/>
          <w:lang w:val="en-US" w:eastAsia="zh-CN"/>
        </w:rPr>
      </w:pPr>
      <w:r>
        <w:rPr>
          <w:rFonts w:hint="eastAsia" w:ascii="宋体" w:hAnsi="宋体" w:cs="宋体"/>
          <w:kern w:val="0"/>
          <w:szCs w:val="24"/>
          <w:lang w:val="en-US" w:eastAsia="zh-CN"/>
        </w:rPr>
        <w:t>......</w:t>
      </w:r>
    </w:p>
    <w:p>
      <w:pPr>
        <w:pStyle w:val="34"/>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000000"/>
        </w:rPr>
      </w:pPr>
      <w:r>
        <w:rPr>
          <w:rFonts w:hint="eastAsia" w:hAnsi="宋体"/>
          <w:b/>
          <w:color w:val="000000"/>
        </w:rPr>
        <w:t>二、合同金额</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本合同金额为（大写）：_____________________元（￥______元）人民币。</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、技术资料</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四</w:t>
      </w:r>
      <w:r>
        <w:rPr>
          <w:rFonts w:hint="eastAsia"/>
          <w:b/>
          <w:bCs/>
        </w:rPr>
        <w:t>、知识产权</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乙方应保证提供服务过程中不会侵犯任何第三方的知识产权。</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1.比例：合同金额的</w:t>
      </w:r>
      <w:r>
        <w:rPr>
          <w:rFonts w:hint="eastAsia" w:ascii="宋体" w:hAnsi="宋体" w:cs="宋体"/>
          <w:kern w:val="0"/>
          <w:szCs w:val="24"/>
          <w:lang w:val="en-US" w:eastAsia="zh-CN"/>
        </w:rPr>
        <w:t xml:space="preserve">  </w:t>
      </w:r>
      <w:r>
        <w:rPr>
          <w:rFonts w:hint="eastAsia" w:ascii="宋体" w:hAnsi="宋体" w:cs="宋体"/>
          <w:kern w:val="0"/>
          <w:szCs w:val="24"/>
        </w:rPr>
        <w:t>%，即人民币（大写）          元（¥        ）。</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2.提交方式：支票、汇票、本票或者金融机构、担保机构出具的保函等非现金形式。</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3.提交时间：</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4.退还时间及条件：</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rPr>
        <w:t>、</w:t>
      </w:r>
      <w:r>
        <w:rPr>
          <w:rFonts w:hint="eastAsia" w:ascii="宋体" w:hAnsi="宋体" w:cs="Times New Roman"/>
          <w:b/>
          <w:sz w:val="24"/>
          <w:lang w:val="en-US" w:eastAsia="zh-CN"/>
        </w:rPr>
        <w:t>服务质量保证期（选用）</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服务质量保证期</w:t>
      </w:r>
      <w:r>
        <w:rPr>
          <w:rFonts w:hint="eastAsia" w:ascii="宋体" w:hAnsi="宋体" w:cs="宋体"/>
          <w:kern w:val="0"/>
          <w:szCs w:val="24"/>
          <w:lang w:val="en-US" w:eastAsia="zh-CN"/>
        </w:rPr>
        <w:t xml:space="preserve">     </w:t>
      </w:r>
      <w:r>
        <w:rPr>
          <w:rFonts w:hint="eastAsia" w:ascii="宋体" w:hAnsi="宋体" w:cs="宋体"/>
          <w:kern w:val="0"/>
          <w:szCs w:val="24"/>
        </w:rPr>
        <w:t>年。（自验收合格之日起计）</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1. </w:t>
      </w:r>
      <w:r>
        <w:rPr>
          <w:rFonts w:hint="eastAsia" w:ascii="宋体" w:hAnsi="宋体" w:cs="宋体"/>
          <w:kern w:val="0"/>
          <w:szCs w:val="24"/>
          <w:lang w:val="en-US" w:eastAsia="zh-CN"/>
        </w:rPr>
        <w:t>合同履行时间</w:t>
      </w:r>
      <w:r>
        <w:rPr>
          <w:rFonts w:hint="eastAsia" w:ascii="宋体" w:hAnsi="宋体" w:cs="宋体"/>
          <w:kern w:val="0"/>
          <w:szCs w:val="24"/>
        </w:rPr>
        <w:t>：</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2. </w:t>
      </w:r>
      <w:r>
        <w:rPr>
          <w:rFonts w:hint="eastAsia" w:ascii="宋体" w:hAnsi="宋体" w:cs="宋体"/>
          <w:kern w:val="0"/>
          <w:szCs w:val="24"/>
          <w:lang w:val="en-US" w:eastAsia="zh-CN"/>
        </w:rPr>
        <w:t>履行方式</w:t>
      </w:r>
      <w:r>
        <w:rPr>
          <w:rFonts w:hint="eastAsia" w:ascii="宋体" w:hAnsi="宋体" w:cs="宋体"/>
          <w:kern w:val="0"/>
          <w:szCs w:val="24"/>
        </w:rPr>
        <w:t>：</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3. </w:t>
      </w:r>
      <w:r>
        <w:rPr>
          <w:rFonts w:hint="eastAsia" w:ascii="宋体" w:hAnsi="宋体" w:cs="宋体"/>
          <w:kern w:val="0"/>
          <w:szCs w:val="24"/>
          <w:lang w:val="en-US" w:eastAsia="zh-CN"/>
        </w:rPr>
        <w:t>履行</w:t>
      </w:r>
      <w:r>
        <w:rPr>
          <w:rFonts w:hint="eastAsia" w:ascii="宋体" w:hAnsi="宋体" w:cs="宋体"/>
          <w:kern w:val="0"/>
          <w:szCs w:val="24"/>
        </w:rPr>
        <w:t>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九</w:t>
      </w:r>
      <w:r>
        <w:rPr>
          <w:rFonts w:hint="eastAsia" w:ascii="Times New Roman" w:hAnsi="Times New Roman" w:eastAsia="宋体" w:cs="Times New Roman"/>
          <w:b/>
          <w:bCs/>
        </w:rPr>
        <w:t>、货款支付</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1.付款方式：</w:t>
      </w:r>
    </w:p>
    <w:p>
      <w:pPr>
        <w:pStyle w:val="135"/>
        <w:keepNext w:val="0"/>
        <w:keepLines w:val="0"/>
        <w:pageBreakBefore w:val="0"/>
        <w:widowControl w:val="0"/>
        <w:kinsoku/>
        <w:wordWrap/>
        <w:overflowPunct/>
        <w:topLinePunct w:val="0"/>
        <w:autoSpaceDE/>
        <w:autoSpaceDN/>
        <w:bidi w:val="0"/>
        <w:adjustRightInd w:val="0"/>
        <w:spacing w:before="0" w:line="360" w:lineRule="auto"/>
        <w:ind w:firstLine="471" w:firstLineChars="196"/>
        <w:textAlignment w:val="auto"/>
        <w:rPr>
          <w:rFonts w:hint="eastAsia" w:ascii="宋体" w:hAnsi="宋体" w:cs="宋体"/>
          <w:b/>
          <w:bCs/>
          <w:kern w:val="0"/>
          <w:szCs w:val="24"/>
          <w:lang w:val="en-US" w:eastAsia="zh-CN"/>
        </w:rPr>
      </w:pPr>
      <w:r>
        <w:rPr>
          <w:rFonts w:hint="eastAsia" w:ascii="宋体" w:hAnsi="宋体" w:cs="宋体"/>
          <w:b/>
          <w:bCs/>
          <w:kern w:val="0"/>
          <w:szCs w:val="24"/>
          <w:lang w:val="en-US" w:eastAsia="zh-CN"/>
        </w:rPr>
        <w:t>备注：在签订合同时，乙方明确表示无需预付款或者主动要求降低预付款比例的，可降低预付款比例。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eastAsia="宋体" w:cs="Times New Roman"/>
          <w:b/>
          <w:bCs/>
          <w:sz w:val="24"/>
        </w:rPr>
        <w:t>、税费</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一</w:t>
      </w:r>
      <w:r>
        <w:rPr>
          <w:rFonts w:hint="eastAsia" w:ascii="Times New Roman" w:hAnsi="Times New Roman" w:eastAsia="宋体" w:cs="Times New Roman"/>
          <w:b/>
          <w:bCs/>
        </w:rPr>
        <w:t>、质量保证及售后服务</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w:t>
      </w:r>
      <w:r>
        <w:rPr>
          <w:rFonts w:hint="eastAsia" w:ascii="宋体" w:hAnsi="宋体" w:cs="宋体"/>
          <w:kern w:val="0"/>
          <w:szCs w:val="24"/>
          <w:lang w:val="en-US" w:eastAsia="zh-CN"/>
        </w:rPr>
        <w:t>招标</w:t>
      </w:r>
      <w:r>
        <w:rPr>
          <w:rFonts w:hint="eastAsia" w:ascii="宋体" w:hAnsi="宋体" w:cs="宋体"/>
          <w:kern w:val="0"/>
          <w:szCs w:val="24"/>
        </w:rPr>
        <w:t>文件规定向甲方提供服务。</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2．乙方提供的服务成果在服务质量保证期内发生</w:t>
      </w:r>
      <w:r>
        <w:rPr>
          <w:rFonts w:hint="eastAsia" w:ascii="宋体" w:hAnsi="宋体" w:cs="宋体"/>
          <w:kern w:val="0"/>
          <w:szCs w:val="24"/>
          <w:lang w:val="en-US" w:eastAsia="zh-CN"/>
        </w:rPr>
        <w:t>问题</w:t>
      </w:r>
      <w:r>
        <w:rPr>
          <w:rFonts w:hint="eastAsia" w:ascii="宋体" w:hAnsi="宋体" w:cs="宋体"/>
          <w:kern w:val="0"/>
          <w:szCs w:val="24"/>
        </w:rPr>
        <w:t>，乙方应负责免费提供后续服务。对达不到要求者，根据实际情况，经双方协商，可按以下办法处理：</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⑴重做：由乙方承担所发生的全部费用。</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⑵贬值处理：由甲乙双方合议定价。</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⑶解除合同。</w:t>
      </w:r>
    </w:p>
    <w:p>
      <w:pPr>
        <w:pStyle w:val="135"/>
        <w:spacing w:before="0"/>
        <w:ind w:firstLine="470" w:firstLineChars="196"/>
        <w:rPr>
          <w:rFonts w:hint="eastAsia" w:ascii="宋体" w:hAnsi="宋体" w:cs="宋体"/>
          <w:kern w:val="0"/>
          <w:szCs w:val="24"/>
        </w:rPr>
      </w:pPr>
      <w:r>
        <w:rPr>
          <w:rFonts w:hint="eastAsia" w:ascii="宋体" w:hAnsi="宋体" w:cs="宋体"/>
          <w:kern w:val="0"/>
          <w:szCs w:val="24"/>
        </w:rPr>
        <w:t>3．如在</w:t>
      </w:r>
      <w:r>
        <w:rPr>
          <w:rFonts w:hint="eastAsia" w:ascii="宋体" w:hAnsi="宋体" w:cs="宋体"/>
          <w:kern w:val="0"/>
          <w:szCs w:val="24"/>
          <w:lang w:val="en-US" w:eastAsia="zh-CN"/>
        </w:rPr>
        <w:t>服务</w:t>
      </w:r>
      <w:r>
        <w:rPr>
          <w:rFonts w:hint="eastAsia" w:ascii="宋体" w:hAnsi="宋体" w:cs="宋体"/>
          <w:kern w:val="0"/>
          <w:szCs w:val="24"/>
        </w:rPr>
        <w:t>过程中发生问题，乙方在接到甲方通知后在</w:t>
      </w:r>
      <w:r>
        <w:rPr>
          <w:rFonts w:hint="eastAsia" w:ascii="宋体" w:hAnsi="宋体" w:cs="宋体"/>
          <w:kern w:val="0"/>
          <w:szCs w:val="24"/>
          <w:lang w:val="en-US" w:eastAsia="zh-CN"/>
        </w:rPr>
        <w:t xml:space="preserve">    </w:t>
      </w:r>
      <w:r>
        <w:rPr>
          <w:rFonts w:hint="eastAsia" w:ascii="宋体" w:hAnsi="宋体" w:cs="宋体"/>
          <w:kern w:val="0"/>
          <w:szCs w:val="24"/>
        </w:rPr>
        <w:t>小时内到达甲方现场。</w:t>
      </w:r>
    </w:p>
    <w:p>
      <w:pPr>
        <w:pStyle w:val="135"/>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、违约责任</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三</w:t>
      </w:r>
      <w:r>
        <w:rPr>
          <w:rFonts w:hint="eastAsia" w:ascii="Times New Roman" w:hAnsi="Times New Roman" w:eastAsia="宋体" w:cs="Times New Roman"/>
          <w:b/>
          <w:bCs/>
        </w:rPr>
        <w:t>、不可抗力事件处理</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四</w:t>
      </w:r>
      <w:r>
        <w:rPr>
          <w:rFonts w:hint="eastAsia" w:ascii="Times New Roman" w:hAnsi="Times New Roman" w:eastAsia="宋体" w:cs="Times New Roman"/>
          <w:b/>
          <w:bCs/>
        </w:rPr>
        <w:t>、诉讼</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、合同生效及其它</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1.合同经</w:t>
      </w:r>
      <w:r>
        <w:rPr>
          <w:rFonts w:hint="eastAsia" w:ascii="宋体" w:hAnsi="宋体" w:cs="宋体"/>
          <w:kern w:val="0"/>
          <w:szCs w:val="24"/>
          <w:lang w:val="en-US" w:eastAsia="zh-CN"/>
        </w:rPr>
        <w:t>双方法定代表人或授权代表签字并加盖单位公章后生效。</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3.本合同附件及</w:t>
      </w:r>
      <w:r>
        <w:rPr>
          <w:rFonts w:hint="eastAsia" w:ascii="宋体" w:hAnsi="宋体" w:cs="宋体"/>
          <w:kern w:val="0"/>
          <w:szCs w:val="24"/>
          <w:lang w:val="en-US" w:eastAsia="zh-CN"/>
        </w:rPr>
        <w:t>采购</w:t>
      </w:r>
      <w:r>
        <w:rPr>
          <w:rFonts w:hint="eastAsia" w:ascii="宋体" w:hAnsi="宋体" w:cs="宋体"/>
          <w:kern w:val="0"/>
          <w:szCs w:val="24"/>
        </w:rPr>
        <w:t>文件、</w:t>
      </w:r>
      <w:r>
        <w:rPr>
          <w:rFonts w:hint="eastAsia" w:ascii="宋体" w:hAnsi="宋体" w:cs="宋体"/>
          <w:kern w:val="0"/>
          <w:szCs w:val="24"/>
          <w:lang w:val="en-US" w:eastAsia="zh-CN"/>
        </w:rPr>
        <w:t>响应</w:t>
      </w:r>
      <w:r>
        <w:rPr>
          <w:rFonts w:hint="eastAsia" w:ascii="宋体" w:hAnsi="宋体" w:cs="宋体"/>
          <w:kern w:val="0"/>
          <w:szCs w:val="24"/>
        </w:rPr>
        <w:t>文件、书面澄清（承诺）等系本合同的组成部分。</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4</w:t>
      </w:r>
      <w:r>
        <w:rPr>
          <w:rFonts w:hint="eastAsia" w:ascii="宋体" w:hAnsi="宋体" w:cs="宋体"/>
          <w:kern w:val="0"/>
          <w:szCs w:val="24"/>
        </w:rPr>
        <w:t>.本合同未尽事宜，遵照《中华人民共和国民法典》有关条文执行。</w:t>
      </w:r>
    </w:p>
    <w:p>
      <w:pPr>
        <w:pStyle w:val="135"/>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.本合同一式</w:t>
      </w:r>
      <w:r>
        <w:rPr>
          <w:rFonts w:hint="eastAsia" w:ascii="宋体" w:hAnsi="宋体" w:cs="宋体"/>
          <w:kern w:val="0"/>
          <w:szCs w:val="24"/>
          <w:lang w:val="en-US" w:eastAsia="zh-CN"/>
        </w:rPr>
        <w:t>伍</w:t>
      </w:r>
      <w:r>
        <w:rPr>
          <w:rFonts w:hint="eastAsia" w:ascii="宋体" w:hAnsi="宋体" w:cs="宋体"/>
          <w:kern w:val="0"/>
          <w:szCs w:val="24"/>
        </w:rPr>
        <w:t>份，具有同等法律效力，甲乙</w:t>
      </w:r>
      <w:r>
        <w:rPr>
          <w:rFonts w:hint="eastAsia" w:ascii="宋体" w:hAnsi="宋体" w:cs="宋体"/>
          <w:kern w:val="0"/>
          <w:szCs w:val="24"/>
          <w:lang w:val="en-US" w:eastAsia="zh-CN"/>
        </w:rPr>
        <w:t>双</w:t>
      </w:r>
      <w:r>
        <w:rPr>
          <w:rFonts w:hint="eastAsia" w:ascii="宋体" w:hAnsi="宋体" w:cs="宋体"/>
          <w:kern w:val="0"/>
          <w:szCs w:val="24"/>
        </w:rPr>
        <w:t>方各执贰份，采购代理机构执壹份。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0" w:type="default"/>
          <w:footerReference r:id="rId11"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sz w:val="24"/>
        </w:rPr>
        <w:t>签订日期：                         签订日期：</w:t>
      </w:r>
    </w:p>
    <w:p>
      <w:pPr>
        <w:pStyle w:val="5"/>
        <w:bidi w:val="0"/>
      </w:pPr>
      <w:r>
        <w:rPr>
          <w:rFonts w:hint="eastAsia"/>
        </w:rPr>
        <w:t>第六部分</w:t>
      </w:r>
      <w:bookmarkEnd w:id="383"/>
      <w:r>
        <w:rPr>
          <w:rFonts w:hint="eastAsia"/>
        </w:rPr>
        <w:t xml:space="preserve"> </w:t>
      </w:r>
      <w:bookmarkEnd w:id="384"/>
      <w:r>
        <w:rPr>
          <w:rFonts w:hint="eastAsia"/>
        </w:rPr>
        <w:t>应提交的有关格式范例</w:t>
      </w:r>
    </w:p>
    <w:p>
      <w:pPr>
        <w:bidi w:val="0"/>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bidi w:val="0"/>
        <w:jc w:val="center"/>
        <w:rPr>
          <w:b/>
          <w:bCs/>
          <w:sz w:val="36"/>
          <w:szCs w:val="36"/>
        </w:rPr>
      </w:pPr>
      <w:r>
        <w:rPr>
          <w:rFonts w:hint="eastAsia"/>
          <w:b/>
          <w:bCs/>
          <w:sz w:val="36"/>
          <w:szCs w:val="36"/>
        </w:rPr>
        <w:t>目录</w:t>
      </w:r>
    </w:p>
    <w:p>
      <w:pPr>
        <w:bidi w:val="0"/>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5"/>
        <w:bidi w:val="0"/>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1" w:firstLineChars="200"/>
        <w:jc w:val="center"/>
        <w:rPr>
          <w:rFonts w:hint="eastAsia" w:ascii="宋体" w:hAnsi="宋体" w:cs="宋体"/>
          <w:b/>
          <w:kern w:val="0"/>
          <w:sz w:val="32"/>
          <w:szCs w:val="32"/>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二、联合协议（如有）</w:t>
      </w:r>
    </w:p>
    <w:p>
      <w:pPr>
        <w:widowControl/>
        <w:spacing w:line="360" w:lineRule="auto"/>
        <w:ind w:firstLine="480"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5"/>
        <w:bidi w:val="0"/>
      </w:pPr>
      <w:r>
        <w:rPr>
          <w:rFonts w:hint="eastAsia"/>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1"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1"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0"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spacing w:line="360" w:lineRule="auto"/>
        <w:ind w:firstLine="480" w:firstLineChars="200"/>
        <w:rPr>
          <w:rFonts w:ascii="宋体" w:hAnsi="宋体" w:cs="宋体"/>
          <w:sz w:val="24"/>
        </w:rPr>
      </w:pPr>
    </w:p>
    <w:p>
      <w:pPr>
        <w:widowControl/>
        <w:spacing w:line="360" w:lineRule="auto"/>
        <w:ind w:left="150"/>
        <w:jc w:val="center"/>
        <w:rPr>
          <w:rFonts w:ascii="宋体" w:hAnsi="宋体" w:cs="宋体"/>
          <w:b/>
          <w:kern w:val="0"/>
          <w:sz w:val="32"/>
          <w:szCs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商务技术文件部分</w:t>
      </w:r>
    </w:p>
    <w:p>
      <w:pPr>
        <w:bidi w:val="0"/>
      </w:pPr>
    </w:p>
    <w:p>
      <w:pPr>
        <w:bidi w:val="0"/>
        <w:jc w:val="center"/>
        <w:rPr>
          <w:b/>
          <w:bCs/>
          <w:sz w:val="36"/>
          <w:szCs w:val="36"/>
        </w:rPr>
      </w:pPr>
      <w:r>
        <w:rPr>
          <w:rFonts w:hint="eastAsia"/>
          <w:b/>
          <w:bCs/>
          <w:sz w:val="36"/>
          <w:szCs w:val="36"/>
        </w:rPr>
        <w:t>目录</w:t>
      </w:r>
    </w:p>
    <w:p>
      <w:pPr>
        <w:numPr>
          <w:ilvl w:val="0"/>
          <w:numId w:val="3"/>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3"/>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）投标标的清单……………………………………………………………（页码）（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both"/>
        <w:rPr>
          <w:rFonts w:ascii="宋体" w:hAnsi="宋体" w:cs="宋体"/>
          <w:b/>
          <w:kern w:val="0"/>
          <w:sz w:val="32"/>
          <w:szCs w:val="32"/>
          <w:lang w:val="zh-CN"/>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一、投标函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85" w:name="_Hlk101257010"/>
      <w:r>
        <w:rPr>
          <w:rFonts w:hint="eastAsia" w:ascii="宋体" w:hAnsi="宋体" w:cs="宋体"/>
          <w:snapToGrid w:val="0"/>
          <w:kern w:val="28"/>
          <w:sz w:val="24"/>
          <w:szCs w:val="20"/>
        </w:rPr>
        <w:t>（如有)</w:t>
      </w:r>
      <w:bookmarkEnd w:id="385"/>
    </w:p>
    <w:p>
      <w:pPr>
        <w:snapToGrid w:val="0"/>
        <w:spacing w:line="360" w:lineRule="auto"/>
        <w:ind w:left="48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（有)</w:t>
      </w:r>
      <w:r>
        <w:rPr>
          <w:rFonts w:hint="eastAsia" w:ascii="宋体" w:hAnsi="宋体" w:cs="宋体"/>
          <w:sz w:val="24"/>
        </w:rPr>
        <w:t>；</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本项目的特定资格要求（如有）。</w:t>
      </w:r>
    </w:p>
    <w:p>
      <w:pPr>
        <w:snapToGrid w:val="0"/>
        <w:spacing w:line="360" w:lineRule="auto"/>
        <w:ind w:left="24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分包意向协议（如有）；</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ind w:left="48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2.2.</w:t>
      </w:r>
      <w:r>
        <w:rPr>
          <w:rFonts w:hint="eastAsia" w:ascii="宋体" w:hAnsi="宋体" w:cs="宋体"/>
          <w:sz w:val="24"/>
          <w:lang w:val="en-US" w:eastAsia="zh-CN"/>
        </w:rPr>
        <w:t>6</w:t>
      </w:r>
      <w:r>
        <w:rPr>
          <w:rFonts w:hint="eastAsia" w:ascii="宋体" w:hAnsi="宋体" w:eastAsia="宋体" w:cs="宋体"/>
          <w:sz w:val="24"/>
          <w:lang w:val="en-US" w:eastAsia="zh-CN"/>
        </w:rPr>
        <w:t>投标标的清单</w:t>
      </w:r>
      <w:r>
        <w:rPr>
          <w:rFonts w:hint="eastAsia" w:ascii="宋体" w:hAnsi="宋体" w:cs="宋体"/>
          <w:sz w:val="24"/>
          <w:lang w:val="en-US" w:eastAsia="zh-CN"/>
        </w:rPr>
        <w:t>；</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8</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2.2.10</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2.3.2中小企业声明函（如有）。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3"/>
        <w:numPr>
          <w:ilvl w:val="0"/>
          <w:numId w:val="0"/>
        </w:numPr>
      </w:pPr>
    </w:p>
    <w:p>
      <w:pPr>
        <w:pStyle w:val="2"/>
      </w:pPr>
    </w:p>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bidi w:val="0"/>
        <w:rPr>
          <w:lang w:val="en-US"/>
        </w:rPr>
      </w:pPr>
    </w:p>
    <w:p>
      <w:pPr>
        <w:pStyle w:val="5"/>
        <w:bidi w:val="0"/>
        <w:rPr>
          <w:lang w:val="zh-CN"/>
        </w:rPr>
      </w:pPr>
      <w:r>
        <w:rPr>
          <w:rFonts w:hint="eastAsia"/>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3"/>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3"/>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3"/>
        <w:spacing w:line="360" w:lineRule="auto"/>
        <w:rPr>
          <w:rFonts w:hint="eastAsia" w:ascii="宋体" w:hAnsi="宋体" w:eastAsia="宋体" w:cs="宋体"/>
          <w:color w:val="auto"/>
          <w:kern w:val="0"/>
          <w:sz w:val="24"/>
          <w:highlight w:val="none"/>
          <w:lang w:val="zh-CN"/>
        </w:rPr>
      </w:pPr>
    </w:p>
    <w:p>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3"/>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3"/>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lang w:val="en-US" w:eastAsia="zh-CN"/>
        </w:rPr>
        <w:t>三</w:t>
      </w:r>
      <w:r>
        <w:rPr>
          <w:rFonts w:hint="eastAsia"/>
        </w:rPr>
        <w:t>、联合协议（如有）</w:t>
      </w:r>
    </w:p>
    <w:p>
      <w:pPr>
        <w:widowControl/>
        <w:spacing w:line="360" w:lineRule="auto"/>
        <w:ind w:firstLine="480"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5"/>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lang w:val="en-US" w:eastAsia="zh-CN"/>
        </w:rPr>
        <w:t>四</w:t>
      </w:r>
      <w:r>
        <w:rPr>
          <w:rFonts w:hint="eastAsia"/>
        </w:rPr>
        <w:t>、分包意向协议（如有）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lang w:val="en-US" w:eastAsia="zh-CN"/>
        </w:rPr>
        <w:t>五</w:t>
      </w:r>
      <w:r>
        <w:rPr>
          <w:rFonts w:hint="eastAsia"/>
        </w:rPr>
        <w:t>、评标标准相应的商务技术资料</w:t>
      </w:r>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rPr>
          <w:rFonts w:hint="eastAsia"/>
        </w:rPr>
      </w:pPr>
      <w:r>
        <w:rPr>
          <w:rFonts w:hint="eastAsia"/>
          <w:lang w:val="en-US" w:eastAsia="zh-CN"/>
        </w:rPr>
        <w:t>六、</w:t>
      </w:r>
      <w:r>
        <w:rPr>
          <w:rFonts w:hint="eastAsia"/>
        </w:rPr>
        <w:t>投标标的清单</w:t>
      </w:r>
    </w:p>
    <w:p>
      <w:pPr>
        <w:bidi w:val="0"/>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rPr>
          <w:rFonts w:hint="eastAsia" w:ascii="宋体" w:hAnsi="宋体" w:cs="宋体"/>
          <w:kern w:val="0"/>
          <w:sz w:val="24"/>
          <w:lang w:val="zh-CN"/>
        </w:rPr>
      </w:pPr>
    </w:p>
    <w:p>
      <w:pPr>
        <w:jc w:val="left"/>
        <w:rPr>
          <w:rFonts w:ascii="宋体" w:hAnsi="宋体" w:cs="宋体"/>
          <w:b/>
          <w:color w:val="auto"/>
          <w:kern w:val="0"/>
          <w:sz w:val="32"/>
          <w:szCs w:val="32"/>
        </w:rPr>
      </w:pPr>
      <w:r>
        <w:rPr>
          <w:rFonts w:hint="eastAsia" w:ascii="宋体" w:hAnsi="宋体" w:cs="宋体"/>
          <w:kern w:val="0"/>
          <w:sz w:val="24"/>
          <w:lang w:val="zh-CN"/>
        </w:rPr>
        <w:t xml:space="preserve"> </w:t>
      </w:r>
      <w:r>
        <w:rPr>
          <w:rFonts w:hint="eastAsia" w:ascii="宋体" w:hAnsi="宋体" w:cs="宋体"/>
          <w:sz w:val="24"/>
        </w:rPr>
        <w:t>注：按本格式和要求提供。</w:t>
      </w:r>
    </w:p>
    <w:p>
      <w:pPr>
        <w:pStyle w:val="6"/>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bookmarkStart w:id="386" w:name="_Toc10001"/>
      <w:r>
        <w:rPr>
          <w:rFonts w:hint="eastAsia"/>
          <w:lang w:val="en-US" w:eastAsia="zh-CN"/>
        </w:rPr>
        <w:t>七、</w:t>
      </w:r>
      <w:r>
        <w:rPr>
          <w:rFonts w:hint="eastAsia"/>
        </w:rPr>
        <w:t>商务</w:t>
      </w:r>
      <w:r>
        <w:rPr>
          <w:rFonts w:hint="eastAsia"/>
          <w:lang w:val="en-US" w:eastAsia="zh-CN"/>
        </w:rPr>
        <w:t>偏离</w:t>
      </w:r>
      <w:r>
        <w:rPr>
          <w:rFonts w:hint="eastAsia"/>
        </w:rPr>
        <w:t>表</w:t>
      </w:r>
      <w:bookmarkEnd w:id="38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序号</w:t>
            </w:r>
          </w:p>
        </w:tc>
        <w:tc>
          <w:tcPr>
            <w:tcW w:w="3683" w:type="dxa"/>
            <w:noWrap w:val="0"/>
            <w:vAlign w:val="top"/>
          </w:tcPr>
          <w:p>
            <w:pPr>
              <w:spacing w:line="360" w:lineRule="auto"/>
              <w:jc w:val="center"/>
              <w:rPr>
                <w:rFonts w:ascii="宋体" w:hAnsi="宋体" w:cs="宋体"/>
                <w:b/>
                <w:sz w:val="24"/>
              </w:rPr>
            </w:pPr>
            <w:r>
              <w:rPr>
                <w:rFonts w:hint="eastAsia" w:ascii="宋体" w:hAnsi="宋体" w:cs="宋体"/>
                <w:b/>
                <w:sz w:val="24"/>
                <w:lang w:val="en-US" w:eastAsia="zh-CN"/>
              </w:rPr>
              <w:t>招标</w:t>
            </w:r>
            <w:r>
              <w:rPr>
                <w:rFonts w:hint="eastAsia" w:ascii="宋体" w:hAnsi="宋体" w:cs="宋体"/>
                <w:b/>
                <w:sz w:val="24"/>
              </w:rPr>
              <w:t>文件要求</w:t>
            </w:r>
          </w:p>
        </w:tc>
        <w:tc>
          <w:tcPr>
            <w:tcW w:w="3546" w:type="dxa"/>
            <w:noWrap w:val="0"/>
            <w:vAlign w:val="top"/>
          </w:tcPr>
          <w:p>
            <w:pPr>
              <w:spacing w:line="360" w:lineRule="auto"/>
              <w:jc w:val="center"/>
              <w:rPr>
                <w:rFonts w:ascii="宋体" w:hAnsi="宋体" w:cs="宋体"/>
                <w:b/>
                <w:sz w:val="24"/>
              </w:rPr>
            </w:pPr>
            <w:r>
              <w:rPr>
                <w:rFonts w:hint="eastAsia" w:ascii="宋体" w:hAnsi="宋体" w:cs="宋体"/>
                <w:b/>
                <w:sz w:val="24"/>
                <w:lang w:val="en-US" w:eastAsia="zh-CN"/>
              </w:rPr>
              <w:t>投标</w:t>
            </w:r>
            <w:r>
              <w:rPr>
                <w:rFonts w:hint="eastAsia" w:ascii="宋体" w:hAnsi="宋体" w:cs="宋体"/>
                <w:b/>
                <w:sz w:val="24"/>
              </w:rPr>
              <w:t>文件响应</w:t>
            </w:r>
          </w:p>
        </w:tc>
        <w:tc>
          <w:tcPr>
            <w:tcW w:w="1276" w:type="dxa"/>
            <w:noWrap w:val="0"/>
            <w:vAlign w:val="top"/>
          </w:tcPr>
          <w:p>
            <w:pPr>
              <w:spacing w:line="360" w:lineRule="auto"/>
              <w:jc w:val="center"/>
              <w:rPr>
                <w:rFonts w:ascii="宋体" w:hAnsi="宋体" w:cs="宋体"/>
                <w:b/>
                <w:sz w:val="24"/>
              </w:rPr>
            </w:pPr>
            <w:r>
              <w:rPr>
                <w:rFonts w:hint="eastAsia" w:ascii="宋体" w:hAnsi="宋体" w:cs="宋体"/>
                <w:b/>
                <w:sz w:val="24"/>
              </w:rPr>
              <w:t>偏离情况</w:t>
            </w: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1</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2</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jc w:val="both"/>
        <w:rPr>
          <w:rFonts w:ascii="宋体" w:hAnsi="宋体" w:cs="宋体"/>
          <w:b/>
          <w:kern w:val="0"/>
          <w:sz w:val="32"/>
          <w:szCs w:val="32"/>
        </w:rPr>
      </w:pPr>
    </w:p>
    <w:p>
      <w:pPr>
        <w:pStyle w:val="5"/>
        <w:bidi w:val="0"/>
      </w:pPr>
      <w:r>
        <w:rPr>
          <w:rFonts w:hint="eastAsia"/>
          <w:lang w:val="en-US" w:eastAsia="zh-CN"/>
        </w:rPr>
        <w:t>八、技术偏离</w:t>
      </w:r>
      <w:r>
        <w:rPr>
          <w:rFonts w:hint="eastAsia"/>
        </w:rPr>
        <w:t>表</w:t>
      </w:r>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序号</w:t>
            </w:r>
          </w:p>
        </w:tc>
        <w:tc>
          <w:tcPr>
            <w:tcW w:w="3683" w:type="dxa"/>
            <w:noWrap w:val="0"/>
            <w:vAlign w:val="top"/>
          </w:tcPr>
          <w:p>
            <w:pPr>
              <w:spacing w:line="360" w:lineRule="auto"/>
              <w:jc w:val="center"/>
              <w:rPr>
                <w:rFonts w:ascii="宋体" w:hAnsi="宋体" w:cs="宋体"/>
                <w:b/>
                <w:sz w:val="24"/>
              </w:rPr>
            </w:pPr>
            <w:r>
              <w:rPr>
                <w:rFonts w:hint="eastAsia" w:ascii="宋体" w:hAnsi="宋体" w:cs="宋体"/>
                <w:b/>
                <w:sz w:val="24"/>
                <w:lang w:val="en-US" w:eastAsia="zh-CN"/>
              </w:rPr>
              <w:t>招标</w:t>
            </w:r>
            <w:r>
              <w:rPr>
                <w:rFonts w:hint="eastAsia" w:ascii="宋体" w:hAnsi="宋体" w:cs="宋体"/>
                <w:b/>
                <w:sz w:val="24"/>
              </w:rPr>
              <w:t>文件要求</w:t>
            </w:r>
          </w:p>
        </w:tc>
        <w:tc>
          <w:tcPr>
            <w:tcW w:w="3546" w:type="dxa"/>
            <w:noWrap w:val="0"/>
            <w:vAlign w:val="top"/>
          </w:tcPr>
          <w:p>
            <w:pPr>
              <w:spacing w:line="360" w:lineRule="auto"/>
              <w:jc w:val="center"/>
              <w:rPr>
                <w:rFonts w:ascii="宋体" w:hAnsi="宋体" w:cs="宋体"/>
                <w:b/>
                <w:sz w:val="24"/>
              </w:rPr>
            </w:pPr>
            <w:r>
              <w:rPr>
                <w:rFonts w:hint="eastAsia" w:ascii="宋体" w:hAnsi="宋体" w:cs="宋体"/>
                <w:b/>
                <w:sz w:val="24"/>
                <w:lang w:val="en-US" w:eastAsia="zh-CN"/>
              </w:rPr>
              <w:t>投标</w:t>
            </w:r>
            <w:r>
              <w:rPr>
                <w:rFonts w:hint="eastAsia" w:ascii="宋体" w:hAnsi="宋体" w:cs="宋体"/>
                <w:b/>
                <w:sz w:val="24"/>
              </w:rPr>
              <w:t>文件响应</w:t>
            </w:r>
          </w:p>
        </w:tc>
        <w:tc>
          <w:tcPr>
            <w:tcW w:w="1276" w:type="dxa"/>
            <w:noWrap w:val="0"/>
            <w:vAlign w:val="top"/>
          </w:tcPr>
          <w:p>
            <w:pPr>
              <w:spacing w:line="360" w:lineRule="auto"/>
              <w:jc w:val="center"/>
              <w:rPr>
                <w:rFonts w:ascii="宋体" w:hAnsi="宋体" w:cs="宋体"/>
                <w:b/>
                <w:sz w:val="24"/>
              </w:rPr>
            </w:pPr>
            <w:r>
              <w:rPr>
                <w:rFonts w:hint="eastAsia" w:ascii="宋体" w:hAnsi="宋体" w:cs="宋体"/>
                <w:b/>
                <w:sz w:val="24"/>
              </w:rPr>
              <w:t>偏离情况</w:t>
            </w: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1</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2</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r>
        <w:tc>
          <w:tcPr>
            <w:tcW w:w="959" w:type="dxa"/>
            <w:noWrap w:val="0"/>
            <w:vAlign w:val="top"/>
          </w:tcPr>
          <w:p>
            <w:pPr>
              <w:spacing w:line="360" w:lineRule="auto"/>
              <w:jc w:val="center"/>
              <w:rPr>
                <w:rFonts w:ascii="宋体" w:hAnsi="宋体" w:cs="宋体"/>
                <w:b/>
                <w:sz w:val="24"/>
              </w:rPr>
            </w:pPr>
            <w:r>
              <w:rPr>
                <w:rFonts w:hint="eastAsia" w:ascii="宋体" w:hAnsi="宋体" w:cs="宋体"/>
                <w:b/>
                <w:sz w:val="24"/>
              </w:rPr>
              <w:t>……</w:t>
            </w:r>
          </w:p>
        </w:tc>
        <w:tc>
          <w:tcPr>
            <w:tcW w:w="3683" w:type="dxa"/>
            <w:noWrap w:val="0"/>
            <w:vAlign w:val="top"/>
          </w:tcPr>
          <w:p>
            <w:pPr>
              <w:spacing w:line="360" w:lineRule="auto"/>
              <w:jc w:val="center"/>
              <w:rPr>
                <w:rFonts w:ascii="宋体" w:hAnsi="宋体" w:cs="宋体"/>
                <w:b/>
                <w:sz w:val="24"/>
              </w:rPr>
            </w:pPr>
          </w:p>
        </w:tc>
        <w:tc>
          <w:tcPr>
            <w:tcW w:w="3546" w:type="dxa"/>
            <w:noWrap w:val="0"/>
            <w:vAlign w:val="top"/>
          </w:tcPr>
          <w:p>
            <w:pPr>
              <w:spacing w:line="360" w:lineRule="auto"/>
              <w:jc w:val="center"/>
              <w:rPr>
                <w:rFonts w:ascii="宋体" w:hAnsi="宋体" w:cs="宋体"/>
                <w:b/>
                <w:sz w:val="24"/>
              </w:rPr>
            </w:pPr>
          </w:p>
        </w:tc>
        <w:tc>
          <w:tcPr>
            <w:tcW w:w="1276" w:type="dxa"/>
            <w:noWrap w:val="0"/>
            <w:vAlign w:val="top"/>
          </w:tcPr>
          <w:p>
            <w:pPr>
              <w:spacing w:line="360" w:lineRule="auto"/>
              <w:jc w:val="center"/>
              <w:rPr>
                <w:rFonts w:ascii="宋体" w:hAnsi="宋体" w:cs="宋体"/>
                <w:b/>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ind w:firstLine="1906"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en-US" w:eastAsia="zh-CN"/>
        </w:rPr>
        <w:t>同级财政部门</w:t>
      </w:r>
      <w:r>
        <w:rPr>
          <w:rFonts w:hint="eastAsia" w:ascii="宋体" w:hAnsi="宋体" w:cs="宋体"/>
          <w:kern w:val="0"/>
          <w:sz w:val="24"/>
          <w:lang w:val="zh-CN"/>
        </w:rPr>
        <w:t>。由此引起的相应损失均由我单位承担。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rPr>
          <w:rFonts w:hint="eastAsia"/>
          <w:lang w:val="en-US" w:eastAsia="zh-CN"/>
        </w:rPr>
      </w:pPr>
      <w:r>
        <w:rPr>
          <w:rFonts w:hint="eastAsia"/>
          <w:lang w:val="en-US" w:eastAsia="zh-CN"/>
        </w:rPr>
        <w:t>十、代理服务费支付承诺书</w:t>
      </w:r>
    </w:p>
    <w:p>
      <w:pPr>
        <w:snapToGrid w:val="0"/>
        <w:spacing w:before="50" w:after="50" w:line="360" w:lineRule="auto"/>
        <w:rPr>
          <w:rFonts w:ascii="Times New Roman" w:hAnsi="Times New Roman"/>
          <w:spacing w:val="20"/>
          <w:sz w:val="24"/>
          <w:u w:val="single"/>
        </w:rPr>
      </w:pPr>
    </w:p>
    <w:p>
      <w:pPr>
        <w:snapToGrid w:val="0"/>
        <w:spacing w:before="50" w:after="50" w:line="360" w:lineRule="auto"/>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sz w:val="24"/>
          <w:lang w:eastAsia="zh-CN"/>
        </w:rPr>
      </w:pPr>
      <w:r>
        <w:rPr>
          <w:rFonts w:ascii="Times New Roman" w:hAnsi="宋体"/>
          <w:sz w:val="24"/>
        </w:rPr>
        <w:t>我公司承诺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文件规定的标准（金额）一次性向采购代理机构支付代理服务费</w:t>
      </w:r>
      <w:r>
        <w:rPr>
          <w:rFonts w:hint="eastAsia" w:ascii="Times New Roman" w:hAnsi="宋体"/>
          <w:sz w:val="24"/>
          <w:lang w:eastAsia="zh-CN"/>
        </w:rPr>
        <w:t>。</w:t>
      </w:r>
    </w:p>
    <w:p>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line="360" w:lineRule="auto"/>
        <w:jc w:val="center"/>
        <w:rPr>
          <w:rFonts w:ascii="Times New Roman" w:hAnsi="Times New Roman"/>
          <w:sz w:val="24"/>
        </w:rPr>
      </w:pPr>
      <w:r>
        <w:rPr>
          <w:rFonts w:hint="eastAsia" w:ascii="Times New Roman" w:hAnsi="宋体"/>
          <w:sz w:val="24"/>
          <w:lang w:val="en-US" w:eastAsia="zh-CN"/>
        </w:rPr>
        <w:t xml:space="preserve">                       法定代表人或授权代表（签字或盖章）</w:t>
      </w:r>
      <w:r>
        <w:rPr>
          <w:rFonts w:ascii="Times New Roman" w:hAnsi="宋体"/>
          <w:sz w:val="24"/>
        </w:rPr>
        <w:t>：</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5"/>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报价文件部分</w:t>
      </w:r>
    </w:p>
    <w:p>
      <w:pPr>
        <w:bidi w:val="0"/>
        <w:jc w:val="center"/>
        <w:rPr>
          <w:b/>
          <w:bCs/>
          <w:sz w:val="36"/>
          <w:szCs w:val="36"/>
        </w:rPr>
      </w:pPr>
      <w:r>
        <w:rPr>
          <w:rFonts w:hint="eastAsia"/>
          <w:b/>
          <w:bCs/>
          <w:sz w:val="36"/>
          <w:szCs w:val="36"/>
        </w:rPr>
        <w:t>目录</w:t>
      </w:r>
    </w:p>
    <w:p>
      <w:pPr>
        <w:bidi w:val="0"/>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rPr>
          <w:trHeight w:val="341" w:hRule="atLeast"/>
        </w:trPr>
        <w:tc>
          <w:tcPr>
            <w:tcW w:w="785" w:type="dxa"/>
            <w:noWrap w:val="0"/>
            <w:vAlign w:val="center"/>
          </w:tcPr>
          <w:p>
            <w:pPr>
              <w:pStyle w:val="486"/>
              <w:bidi w:val="0"/>
              <w:jc w:val="center"/>
              <w:rPr>
                <w:rFonts w:hint="eastAsia"/>
                <w:b/>
                <w:bCs/>
              </w:rPr>
            </w:pPr>
            <w:r>
              <w:rPr>
                <w:rFonts w:hint="eastAsia"/>
                <w:b/>
                <w:bCs/>
              </w:rPr>
              <w:t>序号</w:t>
            </w:r>
          </w:p>
        </w:tc>
        <w:tc>
          <w:tcPr>
            <w:tcW w:w="2762" w:type="dxa"/>
            <w:noWrap w:val="0"/>
            <w:vAlign w:val="center"/>
          </w:tcPr>
          <w:p>
            <w:pPr>
              <w:pStyle w:val="486"/>
              <w:bidi w:val="0"/>
              <w:jc w:val="center"/>
              <w:rPr>
                <w:rFonts w:hint="default" w:eastAsia="宋体"/>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6"/>
              <w:bidi w:val="0"/>
              <w:jc w:val="center"/>
              <w:rPr>
                <w:rFonts w:hint="eastAsia"/>
                <w:b/>
                <w:bCs/>
              </w:rPr>
            </w:pPr>
            <w:r>
              <w:rPr>
                <w:rFonts w:hint="eastAsia"/>
                <w:b/>
                <w:bCs/>
              </w:rPr>
              <w:t>数量</w:t>
            </w:r>
          </w:p>
        </w:tc>
        <w:tc>
          <w:tcPr>
            <w:tcW w:w="1225" w:type="dxa"/>
            <w:noWrap w:val="0"/>
            <w:vAlign w:val="center"/>
          </w:tcPr>
          <w:p>
            <w:pPr>
              <w:pStyle w:val="486"/>
              <w:bidi w:val="0"/>
              <w:jc w:val="center"/>
              <w:rPr>
                <w:rFonts w:hint="eastAsia"/>
                <w:b/>
                <w:bCs/>
              </w:rPr>
            </w:pPr>
            <w:r>
              <w:rPr>
                <w:rFonts w:hint="eastAsia"/>
                <w:b/>
                <w:bCs/>
              </w:rPr>
              <w:t>单价</w:t>
            </w:r>
          </w:p>
        </w:tc>
        <w:tc>
          <w:tcPr>
            <w:tcW w:w="1890" w:type="dxa"/>
            <w:noWrap w:val="0"/>
            <w:vAlign w:val="center"/>
          </w:tcPr>
          <w:p>
            <w:pPr>
              <w:pStyle w:val="486"/>
              <w:bidi w:val="0"/>
              <w:jc w:val="center"/>
              <w:rPr>
                <w:rFonts w:hint="eastAsia"/>
                <w:b/>
                <w:bCs/>
              </w:rPr>
            </w:pPr>
            <w:r>
              <w:rPr>
                <w:rFonts w:hint="eastAsia"/>
                <w:b/>
                <w:bCs/>
              </w:rPr>
              <w:t>总价</w:t>
            </w:r>
          </w:p>
        </w:tc>
        <w:tc>
          <w:tcPr>
            <w:tcW w:w="1220" w:type="dxa"/>
            <w:noWrap w:val="0"/>
            <w:vAlign w:val="center"/>
          </w:tcPr>
          <w:p>
            <w:pPr>
              <w:pStyle w:val="486"/>
              <w:bidi w:val="0"/>
              <w:jc w:val="center"/>
              <w:rPr>
                <w:rFonts w:hint="eastAsia"/>
                <w:b/>
                <w:bCs/>
              </w:rPr>
            </w:pPr>
            <w:r>
              <w:rPr>
                <w:rFonts w:hint="eastAsia"/>
                <w:b/>
                <w:bCs/>
              </w:rPr>
              <w:t>备注</w:t>
            </w:r>
          </w:p>
        </w:tc>
      </w:tr>
      <w:tr>
        <w:trPr>
          <w:trHeight w:val="345" w:hRule="atLeast"/>
        </w:trPr>
        <w:tc>
          <w:tcPr>
            <w:tcW w:w="785" w:type="dxa"/>
            <w:noWrap w:val="0"/>
            <w:vAlign w:val="center"/>
          </w:tcPr>
          <w:p>
            <w:pPr>
              <w:pStyle w:val="486"/>
              <w:bidi w:val="0"/>
              <w:rPr>
                <w:rFonts w:hint="eastAsia"/>
              </w:rPr>
            </w:pPr>
          </w:p>
        </w:tc>
        <w:tc>
          <w:tcPr>
            <w:tcW w:w="2762" w:type="dxa"/>
            <w:noWrap w:val="0"/>
            <w:vAlign w:val="center"/>
          </w:tcPr>
          <w:p>
            <w:pPr>
              <w:pStyle w:val="486"/>
              <w:bidi w:val="0"/>
              <w:rPr>
                <w:rFonts w:hint="eastAsia"/>
              </w:rPr>
            </w:pPr>
          </w:p>
        </w:tc>
        <w:tc>
          <w:tcPr>
            <w:tcW w:w="1796" w:type="dxa"/>
            <w:noWrap w:val="0"/>
            <w:vAlign w:val="center"/>
          </w:tcPr>
          <w:p>
            <w:pPr>
              <w:pStyle w:val="486"/>
              <w:bidi w:val="0"/>
              <w:rPr>
                <w:rFonts w:hint="eastAsia"/>
              </w:rPr>
            </w:pPr>
          </w:p>
        </w:tc>
        <w:tc>
          <w:tcPr>
            <w:tcW w:w="1225" w:type="dxa"/>
            <w:noWrap w:val="0"/>
            <w:vAlign w:val="center"/>
          </w:tcPr>
          <w:p>
            <w:pPr>
              <w:pStyle w:val="486"/>
              <w:bidi w:val="0"/>
              <w:rPr>
                <w:rFonts w:hint="eastAsia"/>
              </w:rPr>
            </w:pPr>
          </w:p>
        </w:tc>
        <w:tc>
          <w:tcPr>
            <w:tcW w:w="1890" w:type="dxa"/>
            <w:noWrap w:val="0"/>
            <w:vAlign w:val="center"/>
          </w:tcPr>
          <w:p>
            <w:pPr>
              <w:pStyle w:val="486"/>
              <w:bidi w:val="0"/>
              <w:rPr>
                <w:rFonts w:hint="eastAsia"/>
              </w:rPr>
            </w:pPr>
          </w:p>
        </w:tc>
        <w:tc>
          <w:tcPr>
            <w:tcW w:w="1220" w:type="dxa"/>
            <w:noWrap w:val="0"/>
            <w:vAlign w:val="center"/>
          </w:tcPr>
          <w:p>
            <w:pPr>
              <w:pStyle w:val="486"/>
              <w:bidi w:val="0"/>
              <w:rPr>
                <w:rFonts w:hint="eastAsia"/>
              </w:rPr>
            </w:pPr>
          </w:p>
        </w:tc>
      </w:tr>
      <w:tr>
        <w:trPr>
          <w:trHeight w:val="311" w:hRule="atLeast"/>
        </w:trPr>
        <w:tc>
          <w:tcPr>
            <w:tcW w:w="785" w:type="dxa"/>
            <w:noWrap w:val="0"/>
            <w:vAlign w:val="center"/>
          </w:tcPr>
          <w:p>
            <w:pPr>
              <w:pStyle w:val="486"/>
              <w:bidi w:val="0"/>
              <w:rPr>
                <w:rFonts w:hint="eastAsia"/>
              </w:rPr>
            </w:pPr>
          </w:p>
        </w:tc>
        <w:tc>
          <w:tcPr>
            <w:tcW w:w="2762" w:type="dxa"/>
            <w:noWrap w:val="0"/>
            <w:vAlign w:val="center"/>
          </w:tcPr>
          <w:p>
            <w:pPr>
              <w:pStyle w:val="486"/>
              <w:bidi w:val="0"/>
              <w:rPr>
                <w:rFonts w:hint="eastAsia"/>
              </w:rPr>
            </w:pPr>
          </w:p>
        </w:tc>
        <w:tc>
          <w:tcPr>
            <w:tcW w:w="1796" w:type="dxa"/>
            <w:noWrap w:val="0"/>
            <w:vAlign w:val="center"/>
          </w:tcPr>
          <w:p>
            <w:pPr>
              <w:pStyle w:val="486"/>
              <w:bidi w:val="0"/>
              <w:rPr>
                <w:rFonts w:hint="eastAsia"/>
              </w:rPr>
            </w:pPr>
          </w:p>
        </w:tc>
        <w:tc>
          <w:tcPr>
            <w:tcW w:w="1225" w:type="dxa"/>
            <w:noWrap w:val="0"/>
            <w:vAlign w:val="center"/>
          </w:tcPr>
          <w:p>
            <w:pPr>
              <w:pStyle w:val="486"/>
              <w:bidi w:val="0"/>
              <w:rPr>
                <w:rFonts w:hint="eastAsia"/>
              </w:rPr>
            </w:pPr>
          </w:p>
        </w:tc>
        <w:tc>
          <w:tcPr>
            <w:tcW w:w="1890" w:type="dxa"/>
            <w:noWrap w:val="0"/>
            <w:vAlign w:val="center"/>
          </w:tcPr>
          <w:p>
            <w:pPr>
              <w:pStyle w:val="486"/>
              <w:bidi w:val="0"/>
              <w:rPr>
                <w:rFonts w:hint="eastAsia"/>
              </w:rPr>
            </w:pPr>
          </w:p>
        </w:tc>
        <w:tc>
          <w:tcPr>
            <w:tcW w:w="1220" w:type="dxa"/>
            <w:noWrap w:val="0"/>
            <w:vAlign w:val="center"/>
          </w:tcPr>
          <w:p>
            <w:pPr>
              <w:pStyle w:val="486"/>
              <w:bidi w:val="0"/>
              <w:rPr>
                <w:rFonts w:hint="eastAsia"/>
              </w:rPr>
            </w:pPr>
          </w:p>
        </w:tc>
      </w:tr>
      <w:tr>
        <w:trPr>
          <w:trHeight w:val="311" w:hRule="atLeast"/>
        </w:trPr>
        <w:tc>
          <w:tcPr>
            <w:tcW w:w="785" w:type="dxa"/>
            <w:noWrap w:val="0"/>
            <w:vAlign w:val="center"/>
          </w:tcPr>
          <w:p>
            <w:pPr>
              <w:pStyle w:val="486"/>
              <w:bidi w:val="0"/>
              <w:rPr>
                <w:rFonts w:hint="eastAsia"/>
              </w:rPr>
            </w:pPr>
          </w:p>
        </w:tc>
        <w:tc>
          <w:tcPr>
            <w:tcW w:w="2762" w:type="dxa"/>
            <w:noWrap w:val="0"/>
            <w:vAlign w:val="center"/>
          </w:tcPr>
          <w:p>
            <w:pPr>
              <w:pStyle w:val="486"/>
              <w:bidi w:val="0"/>
              <w:rPr>
                <w:rFonts w:hint="eastAsia"/>
              </w:rPr>
            </w:pPr>
          </w:p>
        </w:tc>
        <w:tc>
          <w:tcPr>
            <w:tcW w:w="1796" w:type="dxa"/>
            <w:noWrap w:val="0"/>
            <w:vAlign w:val="center"/>
          </w:tcPr>
          <w:p>
            <w:pPr>
              <w:pStyle w:val="486"/>
              <w:bidi w:val="0"/>
              <w:rPr>
                <w:rFonts w:hint="eastAsia"/>
              </w:rPr>
            </w:pPr>
          </w:p>
        </w:tc>
        <w:tc>
          <w:tcPr>
            <w:tcW w:w="1225" w:type="dxa"/>
            <w:noWrap w:val="0"/>
            <w:vAlign w:val="center"/>
          </w:tcPr>
          <w:p>
            <w:pPr>
              <w:pStyle w:val="486"/>
              <w:bidi w:val="0"/>
              <w:rPr>
                <w:rFonts w:hint="eastAsia"/>
              </w:rPr>
            </w:pPr>
          </w:p>
        </w:tc>
        <w:tc>
          <w:tcPr>
            <w:tcW w:w="1890" w:type="dxa"/>
            <w:noWrap w:val="0"/>
            <w:vAlign w:val="center"/>
          </w:tcPr>
          <w:p>
            <w:pPr>
              <w:pStyle w:val="486"/>
              <w:bidi w:val="0"/>
              <w:rPr>
                <w:rFonts w:hint="eastAsia"/>
              </w:rPr>
            </w:pPr>
          </w:p>
        </w:tc>
        <w:tc>
          <w:tcPr>
            <w:tcW w:w="1220" w:type="dxa"/>
            <w:noWrap w:val="0"/>
            <w:vAlign w:val="center"/>
          </w:tcPr>
          <w:p>
            <w:pPr>
              <w:pStyle w:val="486"/>
              <w:bidi w:val="0"/>
              <w:rPr>
                <w:rFonts w:hint="eastAsia"/>
              </w:rPr>
            </w:pPr>
          </w:p>
        </w:tc>
      </w:tr>
      <w:tr>
        <w:trPr>
          <w:trHeight w:val="344" w:hRule="atLeast"/>
        </w:trPr>
        <w:tc>
          <w:tcPr>
            <w:tcW w:w="785" w:type="dxa"/>
            <w:noWrap w:val="0"/>
            <w:vAlign w:val="center"/>
          </w:tcPr>
          <w:p>
            <w:pPr>
              <w:pStyle w:val="486"/>
              <w:bidi w:val="0"/>
              <w:rPr>
                <w:rFonts w:hint="eastAsia"/>
              </w:rPr>
            </w:pPr>
          </w:p>
        </w:tc>
        <w:tc>
          <w:tcPr>
            <w:tcW w:w="2762" w:type="dxa"/>
            <w:noWrap w:val="0"/>
            <w:vAlign w:val="center"/>
          </w:tcPr>
          <w:p>
            <w:pPr>
              <w:pStyle w:val="486"/>
              <w:bidi w:val="0"/>
              <w:rPr>
                <w:rFonts w:hint="eastAsia"/>
              </w:rPr>
            </w:pPr>
          </w:p>
        </w:tc>
        <w:tc>
          <w:tcPr>
            <w:tcW w:w="1796" w:type="dxa"/>
            <w:noWrap w:val="0"/>
            <w:vAlign w:val="center"/>
          </w:tcPr>
          <w:p>
            <w:pPr>
              <w:pStyle w:val="486"/>
              <w:bidi w:val="0"/>
              <w:rPr>
                <w:rFonts w:hint="eastAsia"/>
              </w:rPr>
            </w:pPr>
          </w:p>
        </w:tc>
        <w:tc>
          <w:tcPr>
            <w:tcW w:w="1225" w:type="dxa"/>
            <w:noWrap w:val="0"/>
            <w:vAlign w:val="center"/>
          </w:tcPr>
          <w:p>
            <w:pPr>
              <w:pStyle w:val="486"/>
              <w:bidi w:val="0"/>
              <w:rPr>
                <w:rFonts w:hint="eastAsia"/>
              </w:rPr>
            </w:pPr>
          </w:p>
        </w:tc>
        <w:tc>
          <w:tcPr>
            <w:tcW w:w="1890" w:type="dxa"/>
            <w:noWrap w:val="0"/>
            <w:vAlign w:val="center"/>
          </w:tcPr>
          <w:p>
            <w:pPr>
              <w:pStyle w:val="486"/>
              <w:bidi w:val="0"/>
              <w:rPr>
                <w:rFonts w:hint="eastAsia"/>
              </w:rPr>
            </w:pPr>
          </w:p>
        </w:tc>
        <w:tc>
          <w:tcPr>
            <w:tcW w:w="1220" w:type="dxa"/>
            <w:noWrap w:val="0"/>
            <w:vAlign w:val="center"/>
          </w:tcPr>
          <w:p>
            <w:pPr>
              <w:pStyle w:val="486"/>
              <w:bidi w:val="0"/>
              <w:rPr>
                <w:rFonts w:hint="eastAsia"/>
              </w:rPr>
            </w:pPr>
          </w:p>
        </w:tc>
      </w:tr>
      <w:tr>
        <w:trPr>
          <w:trHeight w:val="345" w:hRule="atLeast"/>
        </w:trPr>
        <w:tc>
          <w:tcPr>
            <w:tcW w:w="785" w:type="dxa"/>
            <w:noWrap w:val="0"/>
            <w:vAlign w:val="top"/>
          </w:tcPr>
          <w:p>
            <w:pPr>
              <w:pStyle w:val="486"/>
              <w:bidi w:val="0"/>
              <w:rPr>
                <w:rFonts w:hint="eastAsia"/>
              </w:rPr>
            </w:pPr>
          </w:p>
        </w:tc>
        <w:tc>
          <w:tcPr>
            <w:tcW w:w="2762" w:type="dxa"/>
            <w:noWrap w:val="0"/>
            <w:vAlign w:val="top"/>
          </w:tcPr>
          <w:p>
            <w:pPr>
              <w:pStyle w:val="486"/>
              <w:bidi w:val="0"/>
              <w:rPr>
                <w:rFonts w:hint="eastAsia"/>
              </w:rPr>
            </w:pPr>
          </w:p>
        </w:tc>
        <w:tc>
          <w:tcPr>
            <w:tcW w:w="1796" w:type="dxa"/>
            <w:noWrap w:val="0"/>
            <w:vAlign w:val="center"/>
          </w:tcPr>
          <w:p>
            <w:pPr>
              <w:pStyle w:val="486"/>
              <w:bidi w:val="0"/>
              <w:rPr>
                <w:rFonts w:hint="eastAsia"/>
              </w:rPr>
            </w:pPr>
          </w:p>
        </w:tc>
        <w:tc>
          <w:tcPr>
            <w:tcW w:w="1225" w:type="dxa"/>
            <w:noWrap w:val="0"/>
            <w:vAlign w:val="center"/>
          </w:tcPr>
          <w:p>
            <w:pPr>
              <w:pStyle w:val="486"/>
              <w:bidi w:val="0"/>
              <w:rPr>
                <w:rFonts w:hint="eastAsia"/>
              </w:rPr>
            </w:pPr>
          </w:p>
        </w:tc>
        <w:tc>
          <w:tcPr>
            <w:tcW w:w="1890" w:type="dxa"/>
            <w:noWrap w:val="0"/>
            <w:vAlign w:val="center"/>
          </w:tcPr>
          <w:p>
            <w:pPr>
              <w:pStyle w:val="486"/>
              <w:bidi w:val="0"/>
              <w:rPr>
                <w:rFonts w:hint="eastAsia"/>
              </w:rPr>
            </w:pPr>
          </w:p>
        </w:tc>
        <w:tc>
          <w:tcPr>
            <w:tcW w:w="1220" w:type="dxa"/>
            <w:noWrap w:val="0"/>
            <w:vAlign w:val="center"/>
          </w:tcPr>
          <w:p>
            <w:pPr>
              <w:pStyle w:val="486"/>
              <w:bidi w:val="0"/>
              <w:rPr>
                <w:rFonts w:hint="eastAsia"/>
              </w:rPr>
            </w:pPr>
          </w:p>
        </w:tc>
      </w:tr>
      <w:tr>
        <w:trPr>
          <w:trHeight w:val="652" w:hRule="atLeast"/>
        </w:trPr>
        <w:tc>
          <w:tcPr>
            <w:tcW w:w="3547" w:type="dxa"/>
            <w:gridSpan w:val="2"/>
            <w:noWrap w:val="0"/>
            <w:vAlign w:val="center"/>
          </w:tcPr>
          <w:p>
            <w:pPr>
              <w:spacing w:line="4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总价（小写）</w:t>
            </w:r>
          </w:p>
        </w:tc>
        <w:tc>
          <w:tcPr>
            <w:tcW w:w="6131" w:type="dxa"/>
            <w:gridSpan w:val="4"/>
            <w:noWrap w:val="0"/>
            <w:vAlign w:val="center"/>
          </w:tcPr>
          <w:p>
            <w:pPr>
              <w:spacing w:line="460" w:lineRule="exact"/>
              <w:jc w:val="center"/>
              <w:rPr>
                <w:rFonts w:hint="eastAsia" w:ascii="宋体" w:hAnsi="宋体" w:cs="宋体"/>
                <w:szCs w:val="21"/>
              </w:rPr>
            </w:pPr>
          </w:p>
        </w:tc>
      </w:tr>
      <w:tr>
        <w:trPr>
          <w:trHeight w:val="553" w:hRule="atLeast"/>
        </w:trPr>
        <w:tc>
          <w:tcPr>
            <w:tcW w:w="3547" w:type="dxa"/>
            <w:gridSpan w:val="2"/>
            <w:noWrap w:val="0"/>
            <w:vAlign w:val="center"/>
          </w:tcPr>
          <w:p>
            <w:pPr>
              <w:spacing w:line="4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总价（大写）</w:t>
            </w:r>
          </w:p>
        </w:tc>
        <w:tc>
          <w:tcPr>
            <w:tcW w:w="6131" w:type="dxa"/>
            <w:gridSpan w:val="4"/>
            <w:noWrap w:val="0"/>
            <w:vAlign w:val="center"/>
          </w:tcPr>
          <w:p>
            <w:pPr>
              <w:spacing w:line="460" w:lineRule="exact"/>
              <w:jc w:val="center"/>
              <w:rPr>
                <w:rFonts w:hint="eastAsia" w:ascii="宋体" w:hAnsi="宋体" w:cs="宋体"/>
                <w:szCs w:val="21"/>
              </w:rPr>
            </w:pPr>
          </w:p>
        </w:tc>
      </w:tr>
      <w:tr>
        <w:trPr>
          <w:trHeight w:val="500" w:hRule="atLeast"/>
        </w:trPr>
        <w:tc>
          <w:tcPr>
            <w:tcW w:w="3547" w:type="dxa"/>
            <w:gridSpan w:val="2"/>
            <w:noWrap w:val="0"/>
            <w:vAlign w:val="center"/>
          </w:tcPr>
          <w:p>
            <w:pPr>
              <w:spacing w:line="460" w:lineRule="exact"/>
              <w:ind w:left="0" w:leftChars="0" w:firstLine="0" w:firstLineChars="0"/>
              <w:jc w:val="center"/>
              <w:rPr>
                <w:rFonts w:hint="default" w:ascii="宋体" w:hAnsi="宋体" w:eastAsia="宋体" w:cs="宋体"/>
                <w:b/>
                <w:bCs/>
                <w:szCs w:val="21"/>
                <w:lang w:val="en-US" w:eastAsia="zh-CN"/>
              </w:rPr>
            </w:pPr>
            <w:r>
              <w:rPr>
                <w:rFonts w:hint="eastAsia" w:ascii="宋体" w:hAnsi="宋体" w:cs="宋体"/>
                <w:b/>
                <w:bCs/>
                <w:szCs w:val="21"/>
                <w:lang w:val="en-US" w:eastAsia="zh-CN"/>
              </w:rPr>
              <w:t>服务期</w:t>
            </w:r>
          </w:p>
        </w:tc>
        <w:tc>
          <w:tcPr>
            <w:tcW w:w="6131" w:type="dxa"/>
            <w:gridSpan w:val="4"/>
            <w:noWrap w:val="0"/>
            <w:vAlign w:val="center"/>
          </w:tcPr>
          <w:p>
            <w:pPr>
              <w:spacing w:line="460" w:lineRule="exact"/>
              <w:jc w:val="center"/>
              <w:rPr>
                <w:rFonts w:hint="eastAsia" w:ascii="宋体" w:hAnsi="宋体" w:cs="宋体"/>
                <w:szCs w:val="21"/>
              </w:rPr>
            </w:pPr>
          </w:p>
        </w:tc>
      </w:tr>
    </w:tbl>
    <w:p>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right="1120" w:firstLine="4080" w:firstLineChars="17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5"/>
        <w:bidi w:val="0"/>
      </w:pPr>
      <w:r>
        <w:rPr>
          <w:rFonts w:hint="eastAsia"/>
        </w:rPr>
        <w:t>二、中小企业声明函（如果有）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pStyle w:val="5"/>
        <w:bidi w:val="0"/>
      </w:pPr>
      <w:bookmarkStart w:id="387" w:name="_Toc465665161"/>
      <w:r>
        <w:rPr>
          <w:rFonts w:hint="eastAsia"/>
        </w:rPr>
        <w:t>附件</w:t>
      </w:r>
      <w:bookmarkEnd w:id="387"/>
    </w:p>
    <w:p>
      <w:pPr>
        <w:pStyle w:val="6"/>
        <w:bidi w:val="0"/>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388" w:name="OLE_LINK13"/>
      <w:bookmarkStart w:id="389" w:name="OLE_LINK14"/>
      <w:r>
        <w:rPr>
          <w:rFonts w:hint="eastAsia" w:ascii="宋体" w:hAnsi="宋体" w:cs="宋体"/>
          <w:b/>
          <w:spacing w:val="6"/>
          <w:sz w:val="32"/>
          <w:szCs w:val="32"/>
        </w:rPr>
        <w:t>残疾人福利性单位声明函</w:t>
      </w:r>
    </w:p>
    <w:bookmarkEnd w:id="388"/>
    <w:bookmarkEnd w:id="38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
        <w:bidi w:val="0"/>
        <w:rPr>
          <w:sz w:val="32"/>
          <w:szCs w:val="32"/>
        </w:rPr>
      </w:pPr>
      <w:r>
        <w:rPr>
          <w:rFonts w:hint="eastAsia"/>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6"/>
        <w:bidi w:val="0"/>
        <w:rPr>
          <w:sz w:val="30"/>
          <w:szCs w:val="30"/>
        </w:rPr>
      </w:pPr>
      <w:r>
        <w:rPr>
          <w:rFonts w:hint="eastAsia"/>
          <w:sz w:val="30"/>
          <w:szCs w:val="30"/>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
        <w:bidi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6"/>
        <w:bidi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0"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39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390"/>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
        <w:bidi w:val="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4"/>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6"/>
        <w:bidi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隶书">
    <w:altName w:val="报隶-简"/>
    <w:panose1 w:val="02010509060101010101"/>
    <w:charset w:val="86"/>
    <w:family w:val="modern"/>
    <w:pitch w:val="default"/>
    <w:sig w:usb0="00000000" w:usb1="00000000" w:usb2="0000000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MS Sans Serif">
    <w:altName w:val="苹方-简"/>
    <w:panose1 w:val="020B05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swiss"/>
    <w:pitch w:val="default"/>
    <w:sig w:usb0="00000000" w:usb1="00000000" w:usb2="00000010" w:usb3="00000000" w:csb0="00040000" w:csb1="00000000"/>
  </w:font>
  <w:font w:name="Arial (W1)">
    <w:altName w:val="Helvetica Neue"/>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Helvetica Neue"/>
    <w:panose1 w:val="020B0604020202020204"/>
    <w:charset w:val="01"/>
    <w:family w:val="roman"/>
    <w:pitch w:val="default"/>
    <w:sig w:usb0="00000000" w:usb1="00000000" w:usb2="00000000" w:usb3="00000000" w:csb0="00000001"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603050405020304"/>
    <w:charset w:val="00"/>
    <w:family w:val="modern"/>
    <w:pitch w:val="default"/>
    <w:sig w:usb0="00000000" w:usb1="00000000" w:usb2="00000000" w:usb3="00000000" w:csb0="00000000" w:csb1="00000000"/>
  </w:font>
  <w:font w:name="Segoe UI Symbol">
    <w:altName w:val="苹方-简"/>
    <w:panose1 w:val="020B0502040204020203"/>
    <w:charset w:val="00"/>
    <w:family w:val="swiss"/>
    <w:pitch w:val="default"/>
    <w:sig w:usb0="00000000" w:usb1="00000000" w:usb2="00040000" w:usb3="04000000" w:csb0="00000001" w:csb1="40000000"/>
  </w:font>
  <w:font w:name="MS Gothic">
    <w:altName w:val="Toppan Bunkyu Gothic"/>
    <w:panose1 w:val="020B0609070205080204"/>
    <w:charset w:val="80"/>
    <w:family w:val="modern"/>
    <w:pitch w:val="default"/>
    <w:sig w:usb0="00000000" w:usb1="00000000" w:usb2="08000012" w:usb3="00000000" w:csb0="4002009F" w:csb1="DFD70000"/>
  </w:font>
  <w:font w:name="Toppan Bunkyu Gothic">
    <w:panose1 w:val="020B0400000000000000"/>
    <w:charset w:val="86"/>
    <w:family w:val="auto"/>
    <w:pitch w:val="default"/>
    <w:sig w:usb0="00000000" w:usb1="00000000" w:usb2="00000000" w:usb3="00000000" w:csb0="00160000" w:csb1="00000000"/>
  </w:font>
  <w:font w:name="MS Mincho">
    <w:altName w:val="Hiragino Sans"/>
    <w:panose1 w:val="02020609040205080304"/>
    <w:charset w:val="80"/>
    <w:family w:val="roman"/>
    <w:pitch w:val="default"/>
    <w:sig w:usb0="00000000" w:usb1="00000000" w:usb2="00000012" w:usb3="00000000" w:csb0="4002009F" w:csb1="DFD70000"/>
  </w:font>
  <w:font w:name="Hiragino Sans">
    <w:panose1 w:val="020B03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91" w:name="_Toc91899912"/>
    <w:bookmarkStart w:id="392" w:name="_Toc131845147"/>
    <w:bookmarkStart w:id="393" w:name="_Toc36110187"/>
    <w:bookmarkStart w:id="394" w:name="_Toc164085800"/>
    <w:r>
      <w:rPr>
        <w:rFonts w:hint="eastAsia" w:ascii="仿宋_GB2312" w:eastAsia="仿宋_GB2312"/>
        <w:kern w:val="0"/>
        <w:szCs w:val="21"/>
      </w:rPr>
      <w:t xml:space="preserve"> 页</w:t>
    </w:r>
    <w:bookmarkEnd w:id="391"/>
    <w:bookmarkEnd w:id="392"/>
    <w:bookmarkEnd w:id="393"/>
    <w:bookmarkEnd w:id="3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0kvpJyAEAAJkDAAAOAAAAAAAA&#10;AAEAIAAAADQBAABkcnMvZTJvRG9jLnhtbFBLBQYAAAAABgAGAFkBAABu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0TX7IAQAAmQMAAA4AAABkcnMv&#10;ZTJvRG9jLnhtbK1TzY7TMBC+I/EOlu/U2R7YKm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E9E1+yAEAAJkDAAAOAAAAAAAA&#10;AAEAIAAAADQBAABkcnMvZTJvRG9jLnhtbFBLBQYAAAAABgAGAFkBAABuBQ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00000009"/>
    <w:multiLevelType w:val="multilevel"/>
    <w:tmpl w:val="00000009"/>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78A3DB26"/>
    <w:multiLevelType w:val="singleLevel"/>
    <w:tmpl w:val="78A3DB2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A23A3C"/>
    <w:rsid w:val="02D12E1C"/>
    <w:rsid w:val="02DC4B10"/>
    <w:rsid w:val="02DD76CE"/>
    <w:rsid w:val="02EA06AE"/>
    <w:rsid w:val="02F36323"/>
    <w:rsid w:val="02F5619C"/>
    <w:rsid w:val="0326446A"/>
    <w:rsid w:val="032D5555"/>
    <w:rsid w:val="034A50BF"/>
    <w:rsid w:val="036634D2"/>
    <w:rsid w:val="03787FA7"/>
    <w:rsid w:val="03797B04"/>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5251E14"/>
    <w:rsid w:val="054776DC"/>
    <w:rsid w:val="0587093E"/>
    <w:rsid w:val="05A16594"/>
    <w:rsid w:val="05A65FD8"/>
    <w:rsid w:val="05A7762D"/>
    <w:rsid w:val="05F67935"/>
    <w:rsid w:val="060E5941"/>
    <w:rsid w:val="06110FAF"/>
    <w:rsid w:val="06493CA7"/>
    <w:rsid w:val="065A6178"/>
    <w:rsid w:val="066F1CF3"/>
    <w:rsid w:val="06930BB8"/>
    <w:rsid w:val="06F47BA9"/>
    <w:rsid w:val="070E35AC"/>
    <w:rsid w:val="07245D42"/>
    <w:rsid w:val="07264C62"/>
    <w:rsid w:val="072B34D2"/>
    <w:rsid w:val="077211F1"/>
    <w:rsid w:val="0779354C"/>
    <w:rsid w:val="077C0C7C"/>
    <w:rsid w:val="07DF61E6"/>
    <w:rsid w:val="08061376"/>
    <w:rsid w:val="08452D77"/>
    <w:rsid w:val="086401F8"/>
    <w:rsid w:val="08751CAA"/>
    <w:rsid w:val="087A38FE"/>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25C8A"/>
    <w:rsid w:val="0AA374A5"/>
    <w:rsid w:val="0AAB7649"/>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06EA8"/>
    <w:rsid w:val="0FBF3FD2"/>
    <w:rsid w:val="0FBF7FF3"/>
    <w:rsid w:val="1038686E"/>
    <w:rsid w:val="103917F1"/>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CA1794"/>
    <w:rsid w:val="11E104CC"/>
    <w:rsid w:val="11E20309"/>
    <w:rsid w:val="122338FE"/>
    <w:rsid w:val="12255233"/>
    <w:rsid w:val="122C2150"/>
    <w:rsid w:val="12530213"/>
    <w:rsid w:val="12755367"/>
    <w:rsid w:val="127723A9"/>
    <w:rsid w:val="127810A3"/>
    <w:rsid w:val="12862074"/>
    <w:rsid w:val="12883966"/>
    <w:rsid w:val="129C3D23"/>
    <w:rsid w:val="129E45B4"/>
    <w:rsid w:val="12B5455B"/>
    <w:rsid w:val="12D81596"/>
    <w:rsid w:val="12FB5B14"/>
    <w:rsid w:val="13072A44"/>
    <w:rsid w:val="133B6DF8"/>
    <w:rsid w:val="13481143"/>
    <w:rsid w:val="135F4BE2"/>
    <w:rsid w:val="139B1A0A"/>
    <w:rsid w:val="139D25C7"/>
    <w:rsid w:val="13BF3CE4"/>
    <w:rsid w:val="13DE09E0"/>
    <w:rsid w:val="140D7E52"/>
    <w:rsid w:val="141008D8"/>
    <w:rsid w:val="14125FE6"/>
    <w:rsid w:val="146D271E"/>
    <w:rsid w:val="14982588"/>
    <w:rsid w:val="149A5AD9"/>
    <w:rsid w:val="14A7619D"/>
    <w:rsid w:val="14B72CF4"/>
    <w:rsid w:val="14BA2CD9"/>
    <w:rsid w:val="150536C3"/>
    <w:rsid w:val="150C1963"/>
    <w:rsid w:val="151447A0"/>
    <w:rsid w:val="152807B7"/>
    <w:rsid w:val="154A6454"/>
    <w:rsid w:val="15762120"/>
    <w:rsid w:val="158626FD"/>
    <w:rsid w:val="15D33E82"/>
    <w:rsid w:val="15F60C24"/>
    <w:rsid w:val="16382D92"/>
    <w:rsid w:val="16520209"/>
    <w:rsid w:val="16A8729C"/>
    <w:rsid w:val="16B33777"/>
    <w:rsid w:val="16BC70A7"/>
    <w:rsid w:val="16C6339E"/>
    <w:rsid w:val="16E74130"/>
    <w:rsid w:val="172F2D79"/>
    <w:rsid w:val="17557BEF"/>
    <w:rsid w:val="17D349C1"/>
    <w:rsid w:val="1830729E"/>
    <w:rsid w:val="18462547"/>
    <w:rsid w:val="1870062C"/>
    <w:rsid w:val="187F6506"/>
    <w:rsid w:val="18817102"/>
    <w:rsid w:val="18830A15"/>
    <w:rsid w:val="18852B28"/>
    <w:rsid w:val="188B5321"/>
    <w:rsid w:val="19412058"/>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530544"/>
    <w:rsid w:val="1B6237D6"/>
    <w:rsid w:val="1B713184"/>
    <w:rsid w:val="1BA02227"/>
    <w:rsid w:val="1BA209CF"/>
    <w:rsid w:val="1BB4777D"/>
    <w:rsid w:val="1BD75AB8"/>
    <w:rsid w:val="1C0459C2"/>
    <w:rsid w:val="1C1B3B4A"/>
    <w:rsid w:val="1C88086E"/>
    <w:rsid w:val="1CA41E93"/>
    <w:rsid w:val="1CC40E9D"/>
    <w:rsid w:val="1D266CE1"/>
    <w:rsid w:val="1D3963AF"/>
    <w:rsid w:val="1D3F13B8"/>
    <w:rsid w:val="1D4621E2"/>
    <w:rsid w:val="1D6A673C"/>
    <w:rsid w:val="1D6D7E3F"/>
    <w:rsid w:val="1D6E2389"/>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F23A24"/>
    <w:rsid w:val="1F0A0FF3"/>
    <w:rsid w:val="1F5771FF"/>
    <w:rsid w:val="1F6146A4"/>
    <w:rsid w:val="1FD013DE"/>
    <w:rsid w:val="1FD2426D"/>
    <w:rsid w:val="1FD67D2B"/>
    <w:rsid w:val="1FE868A9"/>
    <w:rsid w:val="20034907"/>
    <w:rsid w:val="20173E4B"/>
    <w:rsid w:val="20436D85"/>
    <w:rsid w:val="204E48BC"/>
    <w:rsid w:val="208921B3"/>
    <w:rsid w:val="20973DEB"/>
    <w:rsid w:val="20B26522"/>
    <w:rsid w:val="20B44310"/>
    <w:rsid w:val="20ED311F"/>
    <w:rsid w:val="20F41B9B"/>
    <w:rsid w:val="2103170F"/>
    <w:rsid w:val="211116EB"/>
    <w:rsid w:val="2120368E"/>
    <w:rsid w:val="214D1CF5"/>
    <w:rsid w:val="216133FC"/>
    <w:rsid w:val="216C51F8"/>
    <w:rsid w:val="21BB6B29"/>
    <w:rsid w:val="21D56769"/>
    <w:rsid w:val="21E52EF3"/>
    <w:rsid w:val="21FB5D7B"/>
    <w:rsid w:val="22015E94"/>
    <w:rsid w:val="220B1C3D"/>
    <w:rsid w:val="221D1D20"/>
    <w:rsid w:val="22334A87"/>
    <w:rsid w:val="22483EC5"/>
    <w:rsid w:val="226E3AF7"/>
    <w:rsid w:val="2289377F"/>
    <w:rsid w:val="22BE6801"/>
    <w:rsid w:val="232F4EF8"/>
    <w:rsid w:val="233500BF"/>
    <w:rsid w:val="23377FF7"/>
    <w:rsid w:val="236B425F"/>
    <w:rsid w:val="23811D37"/>
    <w:rsid w:val="23836192"/>
    <w:rsid w:val="23901F29"/>
    <w:rsid w:val="239C0061"/>
    <w:rsid w:val="23B908A4"/>
    <w:rsid w:val="23E95BEF"/>
    <w:rsid w:val="23FD0064"/>
    <w:rsid w:val="2438774A"/>
    <w:rsid w:val="245375B0"/>
    <w:rsid w:val="245A2A83"/>
    <w:rsid w:val="24642C0A"/>
    <w:rsid w:val="24B22173"/>
    <w:rsid w:val="24B95AD9"/>
    <w:rsid w:val="24BE24DA"/>
    <w:rsid w:val="24CF5825"/>
    <w:rsid w:val="24D663E6"/>
    <w:rsid w:val="24D77F2B"/>
    <w:rsid w:val="251E56BC"/>
    <w:rsid w:val="25395D40"/>
    <w:rsid w:val="256102F5"/>
    <w:rsid w:val="25627E42"/>
    <w:rsid w:val="256C6F12"/>
    <w:rsid w:val="258B00E2"/>
    <w:rsid w:val="25A917A6"/>
    <w:rsid w:val="25BE27CC"/>
    <w:rsid w:val="25E8152E"/>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7807EE"/>
    <w:rsid w:val="2B9D3AD8"/>
    <w:rsid w:val="2BA50BF7"/>
    <w:rsid w:val="2BBF00EC"/>
    <w:rsid w:val="2BC37CFD"/>
    <w:rsid w:val="2BD5237F"/>
    <w:rsid w:val="2BD81687"/>
    <w:rsid w:val="2BE536CE"/>
    <w:rsid w:val="2BE758D9"/>
    <w:rsid w:val="2BEF4AE8"/>
    <w:rsid w:val="2C09049E"/>
    <w:rsid w:val="2C0A653C"/>
    <w:rsid w:val="2C191F85"/>
    <w:rsid w:val="2C3D7BB8"/>
    <w:rsid w:val="2C750989"/>
    <w:rsid w:val="2CE82D6F"/>
    <w:rsid w:val="2D031F0A"/>
    <w:rsid w:val="2D12214D"/>
    <w:rsid w:val="2D343236"/>
    <w:rsid w:val="2D750347"/>
    <w:rsid w:val="2D9130FC"/>
    <w:rsid w:val="2DAA74E0"/>
    <w:rsid w:val="2DD15014"/>
    <w:rsid w:val="2DF72DE4"/>
    <w:rsid w:val="2E0220AF"/>
    <w:rsid w:val="2E0B1FB9"/>
    <w:rsid w:val="2E211F83"/>
    <w:rsid w:val="2E4B082A"/>
    <w:rsid w:val="2E5D4E86"/>
    <w:rsid w:val="2E5D790B"/>
    <w:rsid w:val="2E9A3C18"/>
    <w:rsid w:val="2EA80FBB"/>
    <w:rsid w:val="2EBB0FEE"/>
    <w:rsid w:val="2EC63002"/>
    <w:rsid w:val="2F0A6B38"/>
    <w:rsid w:val="2F664B65"/>
    <w:rsid w:val="2F946CCB"/>
    <w:rsid w:val="2FA06539"/>
    <w:rsid w:val="2FB45B8C"/>
    <w:rsid w:val="2FD25781"/>
    <w:rsid w:val="2FDC745C"/>
    <w:rsid w:val="2FFD7934"/>
    <w:rsid w:val="301744FA"/>
    <w:rsid w:val="304B5FC1"/>
    <w:rsid w:val="30733ACD"/>
    <w:rsid w:val="308C3862"/>
    <w:rsid w:val="30931AAA"/>
    <w:rsid w:val="309379D8"/>
    <w:rsid w:val="30A270F7"/>
    <w:rsid w:val="30DF1478"/>
    <w:rsid w:val="30EC586F"/>
    <w:rsid w:val="31333DAA"/>
    <w:rsid w:val="319C6071"/>
    <w:rsid w:val="31AC537E"/>
    <w:rsid w:val="31E3679B"/>
    <w:rsid w:val="31E732FD"/>
    <w:rsid w:val="3212150D"/>
    <w:rsid w:val="32462AB5"/>
    <w:rsid w:val="32517576"/>
    <w:rsid w:val="32523D7F"/>
    <w:rsid w:val="32543208"/>
    <w:rsid w:val="32811B31"/>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5DE43AF"/>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6C3CE3"/>
    <w:rsid w:val="37DF4236"/>
    <w:rsid w:val="37EE7094"/>
    <w:rsid w:val="37F23F5C"/>
    <w:rsid w:val="38296C89"/>
    <w:rsid w:val="383002EB"/>
    <w:rsid w:val="383218F5"/>
    <w:rsid w:val="384A10CB"/>
    <w:rsid w:val="385616DA"/>
    <w:rsid w:val="38586797"/>
    <w:rsid w:val="38653F8D"/>
    <w:rsid w:val="38B44A00"/>
    <w:rsid w:val="38BC0149"/>
    <w:rsid w:val="38D87D1C"/>
    <w:rsid w:val="39285F74"/>
    <w:rsid w:val="3931775F"/>
    <w:rsid w:val="394418E0"/>
    <w:rsid w:val="39557407"/>
    <w:rsid w:val="39636459"/>
    <w:rsid w:val="396B7F6C"/>
    <w:rsid w:val="39B417A9"/>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E041CB"/>
    <w:rsid w:val="3DF11A29"/>
    <w:rsid w:val="3E0D48F6"/>
    <w:rsid w:val="3E1868B4"/>
    <w:rsid w:val="3E377251"/>
    <w:rsid w:val="3E42664B"/>
    <w:rsid w:val="3E4F2A64"/>
    <w:rsid w:val="3E5659BB"/>
    <w:rsid w:val="3E5A7334"/>
    <w:rsid w:val="3E7B5D6B"/>
    <w:rsid w:val="3E843E66"/>
    <w:rsid w:val="3E8F51FE"/>
    <w:rsid w:val="3E926F87"/>
    <w:rsid w:val="3E9A59DE"/>
    <w:rsid w:val="3E9B4876"/>
    <w:rsid w:val="3EAF4836"/>
    <w:rsid w:val="3EC33DFA"/>
    <w:rsid w:val="3ECB1EAF"/>
    <w:rsid w:val="3F060E16"/>
    <w:rsid w:val="3F1D1096"/>
    <w:rsid w:val="3F2F0234"/>
    <w:rsid w:val="3F6363FE"/>
    <w:rsid w:val="3F756B8F"/>
    <w:rsid w:val="3F95482B"/>
    <w:rsid w:val="3FA94F62"/>
    <w:rsid w:val="3FFC538D"/>
    <w:rsid w:val="4019356B"/>
    <w:rsid w:val="40421A8A"/>
    <w:rsid w:val="404544F3"/>
    <w:rsid w:val="404552A0"/>
    <w:rsid w:val="40592157"/>
    <w:rsid w:val="406E1CAE"/>
    <w:rsid w:val="40A0133A"/>
    <w:rsid w:val="40C31A53"/>
    <w:rsid w:val="40C615C5"/>
    <w:rsid w:val="40FF545D"/>
    <w:rsid w:val="410067C8"/>
    <w:rsid w:val="418F0D2A"/>
    <w:rsid w:val="41D01505"/>
    <w:rsid w:val="41D34CC9"/>
    <w:rsid w:val="41E10065"/>
    <w:rsid w:val="42145339"/>
    <w:rsid w:val="422F09FD"/>
    <w:rsid w:val="42474939"/>
    <w:rsid w:val="424C3C57"/>
    <w:rsid w:val="42613FF3"/>
    <w:rsid w:val="42660D96"/>
    <w:rsid w:val="4269755F"/>
    <w:rsid w:val="428667D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3C3557"/>
    <w:rsid w:val="456A233B"/>
    <w:rsid w:val="456D3CE4"/>
    <w:rsid w:val="4579042C"/>
    <w:rsid w:val="457F0571"/>
    <w:rsid w:val="45851176"/>
    <w:rsid w:val="45C63B94"/>
    <w:rsid w:val="45EC271D"/>
    <w:rsid w:val="460E7DA5"/>
    <w:rsid w:val="461A21A5"/>
    <w:rsid w:val="46422483"/>
    <w:rsid w:val="464412AC"/>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2722D1"/>
    <w:rsid w:val="4A4424D7"/>
    <w:rsid w:val="4AA62243"/>
    <w:rsid w:val="4AB82D0F"/>
    <w:rsid w:val="4AC20427"/>
    <w:rsid w:val="4AEB7664"/>
    <w:rsid w:val="4AFD7C19"/>
    <w:rsid w:val="4B0567D1"/>
    <w:rsid w:val="4B1F1F0B"/>
    <w:rsid w:val="4B236AAE"/>
    <w:rsid w:val="4B2D03D5"/>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DC515DC"/>
    <w:rsid w:val="4E793892"/>
    <w:rsid w:val="4E800872"/>
    <w:rsid w:val="4E8D1FA1"/>
    <w:rsid w:val="4E9751B5"/>
    <w:rsid w:val="4E9D1D67"/>
    <w:rsid w:val="4EC569ED"/>
    <w:rsid w:val="4ED50EA1"/>
    <w:rsid w:val="4EEC050C"/>
    <w:rsid w:val="4F104EC3"/>
    <w:rsid w:val="4F47354A"/>
    <w:rsid w:val="4F736BB6"/>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52D13"/>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C95979"/>
    <w:rsid w:val="54013861"/>
    <w:rsid w:val="54487265"/>
    <w:rsid w:val="544D6070"/>
    <w:rsid w:val="54605E1E"/>
    <w:rsid w:val="546F2119"/>
    <w:rsid w:val="54A22BE7"/>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9F6896"/>
    <w:rsid w:val="55A8376B"/>
    <w:rsid w:val="55B17915"/>
    <w:rsid w:val="55DC29B6"/>
    <w:rsid w:val="55DD4241"/>
    <w:rsid w:val="56646524"/>
    <w:rsid w:val="566B6D1E"/>
    <w:rsid w:val="568338FF"/>
    <w:rsid w:val="568A2F88"/>
    <w:rsid w:val="56FC33A3"/>
    <w:rsid w:val="57030BD5"/>
    <w:rsid w:val="57032A2C"/>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8341B9D"/>
    <w:rsid w:val="583D3C73"/>
    <w:rsid w:val="588E636E"/>
    <w:rsid w:val="58917D2F"/>
    <w:rsid w:val="5894085C"/>
    <w:rsid w:val="58AE4F0C"/>
    <w:rsid w:val="58B407D6"/>
    <w:rsid w:val="58B85899"/>
    <w:rsid w:val="58E363A9"/>
    <w:rsid w:val="5906529E"/>
    <w:rsid w:val="590E0CB2"/>
    <w:rsid w:val="595E1678"/>
    <w:rsid w:val="596D5BD4"/>
    <w:rsid w:val="597E3DD8"/>
    <w:rsid w:val="59A901A3"/>
    <w:rsid w:val="59AD5BF5"/>
    <w:rsid w:val="59B87FA6"/>
    <w:rsid w:val="59F80043"/>
    <w:rsid w:val="5A09252F"/>
    <w:rsid w:val="5A0B2778"/>
    <w:rsid w:val="5A1716AB"/>
    <w:rsid w:val="5A2A7C7B"/>
    <w:rsid w:val="5A3E2560"/>
    <w:rsid w:val="5A545E05"/>
    <w:rsid w:val="5A5D3B6E"/>
    <w:rsid w:val="5A637A76"/>
    <w:rsid w:val="5A6D33BA"/>
    <w:rsid w:val="5A792B1F"/>
    <w:rsid w:val="5A874767"/>
    <w:rsid w:val="5AA85BE2"/>
    <w:rsid w:val="5AAD6F28"/>
    <w:rsid w:val="5AB04370"/>
    <w:rsid w:val="5ABE3BC9"/>
    <w:rsid w:val="5AD0630D"/>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3452C"/>
    <w:rsid w:val="5E7A0F3F"/>
    <w:rsid w:val="5EE17A4E"/>
    <w:rsid w:val="5EFC7377"/>
    <w:rsid w:val="5F06174D"/>
    <w:rsid w:val="5F3A3602"/>
    <w:rsid w:val="5F45733B"/>
    <w:rsid w:val="5F6277C6"/>
    <w:rsid w:val="5F6D0B1D"/>
    <w:rsid w:val="5F8D0B82"/>
    <w:rsid w:val="5FCC5339"/>
    <w:rsid w:val="5FE34A5B"/>
    <w:rsid w:val="5FFE1E36"/>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5565B1"/>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6195831"/>
    <w:rsid w:val="662E75B1"/>
    <w:rsid w:val="66342C2E"/>
    <w:rsid w:val="663E784C"/>
    <w:rsid w:val="6678210A"/>
    <w:rsid w:val="668B6A45"/>
    <w:rsid w:val="66A40E14"/>
    <w:rsid w:val="672243F5"/>
    <w:rsid w:val="672F3F24"/>
    <w:rsid w:val="673E055F"/>
    <w:rsid w:val="67551CE3"/>
    <w:rsid w:val="67577E13"/>
    <w:rsid w:val="67A22552"/>
    <w:rsid w:val="67B22DCC"/>
    <w:rsid w:val="67B87FD6"/>
    <w:rsid w:val="67BE71AA"/>
    <w:rsid w:val="67C91DE0"/>
    <w:rsid w:val="67D90273"/>
    <w:rsid w:val="67DE5875"/>
    <w:rsid w:val="67E55852"/>
    <w:rsid w:val="67EB1AB4"/>
    <w:rsid w:val="67FA1285"/>
    <w:rsid w:val="68441F4C"/>
    <w:rsid w:val="68551F4F"/>
    <w:rsid w:val="687C10C9"/>
    <w:rsid w:val="68840C16"/>
    <w:rsid w:val="68876EFB"/>
    <w:rsid w:val="68884654"/>
    <w:rsid w:val="688B7757"/>
    <w:rsid w:val="689F444F"/>
    <w:rsid w:val="68B96DBB"/>
    <w:rsid w:val="68CA2805"/>
    <w:rsid w:val="68E937A3"/>
    <w:rsid w:val="69041BF3"/>
    <w:rsid w:val="693E15D3"/>
    <w:rsid w:val="695F2F1B"/>
    <w:rsid w:val="69627681"/>
    <w:rsid w:val="6977531D"/>
    <w:rsid w:val="69926EAA"/>
    <w:rsid w:val="699410ED"/>
    <w:rsid w:val="699F1009"/>
    <w:rsid w:val="69B83AA1"/>
    <w:rsid w:val="69CC2BFF"/>
    <w:rsid w:val="69D03A8B"/>
    <w:rsid w:val="69FD55B8"/>
    <w:rsid w:val="6A0B1C62"/>
    <w:rsid w:val="6A2358EB"/>
    <w:rsid w:val="6A2406C8"/>
    <w:rsid w:val="6A3C022E"/>
    <w:rsid w:val="6A6F1742"/>
    <w:rsid w:val="6A96590D"/>
    <w:rsid w:val="6AD17EDC"/>
    <w:rsid w:val="6ADE0BD1"/>
    <w:rsid w:val="6AE96859"/>
    <w:rsid w:val="6B147746"/>
    <w:rsid w:val="6B24787C"/>
    <w:rsid w:val="6B573233"/>
    <w:rsid w:val="6B5B6274"/>
    <w:rsid w:val="6B935D53"/>
    <w:rsid w:val="6C1119E5"/>
    <w:rsid w:val="6C196F71"/>
    <w:rsid w:val="6C226FCB"/>
    <w:rsid w:val="6C31226F"/>
    <w:rsid w:val="6C3D525B"/>
    <w:rsid w:val="6C552F0B"/>
    <w:rsid w:val="6C592A07"/>
    <w:rsid w:val="6C847D74"/>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EF2300D"/>
    <w:rsid w:val="6F2A7D94"/>
    <w:rsid w:val="6F8331F1"/>
    <w:rsid w:val="6FAE1A09"/>
    <w:rsid w:val="6FCE5D0B"/>
    <w:rsid w:val="6FD75BF8"/>
    <w:rsid w:val="707723D0"/>
    <w:rsid w:val="70AB7EBB"/>
    <w:rsid w:val="70BE583B"/>
    <w:rsid w:val="70C54F37"/>
    <w:rsid w:val="70F5661B"/>
    <w:rsid w:val="70F77D0A"/>
    <w:rsid w:val="71360107"/>
    <w:rsid w:val="713B688E"/>
    <w:rsid w:val="71926986"/>
    <w:rsid w:val="71D43752"/>
    <w:rsid w:val="71EC683B"/>
    <w:rsid w:val="71F1796A"/>
    <w:rsid w:val="72154626"/>
    <w:rsid w:val="72262B5D"/>
    <w:rsid w:val="72283FF7"/>
    <w:rsid w:val="722E7212"/>
    <w:rsid w:val="723A0474"/>
    <w:rsid w:val="725923E4"/>
    <w:rsid w:val="72686882"/>
    <w:rsid w:val="72864BF7"/>
    <w:rsid w:val="729023FC"/>
    <w:rsid w:val="72B14898"/>
    <w:rsid w:val="73720D0C"/>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6B1082"/>
    <w:rsid w:val="76826699"/>
    <w:rsid w:val="76C87133"/>
    <w:rsid w:val="76CD08D5"/>
    <w:rsid w:val="76CD6C5F"/>
    <w:rsid w:val="76DB4B92"/>
    <w:rsid w:val="77052AA4"/>
    <w:rsid w:val="77136511"/>
    <w:rsid w:val="77340A39"/>
    <w:rsid w:val="77351FD0"/>
    <w:rsid w:val="77472422"/>
    <w:rsid w:val="777F31F2"/>
    <w:rsid w:val="77AF3E74"/>
    <w:rsid w:val="77C6711F"/>
    <w:rsid w:val="77D1700D"/>
    <w:rsid w:val="77E918D9"/>
    <w:rsid w:val="77EC04CC"/>
    <w:rsid w:val="781057ED"/>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9B34D4"/>
    <w:rsid w:val="7AAB1D04"/>
    <w:rsid w:val="7ABA4368"/>
    <w:rsid w:val="7AD05746"/>
    <w:rsid w:val="7AFDFAE6"/>
    <w:rsid w:val="7B257FFD"/>
    <w:rsid w:val="7B2F6C85"/>
    <w:rsid w:val="7B343476"/>
    <w:rsid w:val="7B5A2978"/>
    <w:rsid w:val="7B5A7E4C"/>
    <w:rsid w:val="7B667AF9"/>
    <w:rsid w:val="7B7468F8"/>
    <w:rsid w:val="7B974734"/>
    <w:rsid w:val="7BA13B58"/>
    <w:rsid w:val="7BA656AB"/>
    <w:rsid w:val="7BC425AA"/>
    <w:rsid w:val="7BDD3FCC"/>
    <w:rsid w:val="7BEE0103"/>
    <w:rsid w:val="7BF15121"/>
    <w:rsid w:val="7C0A0FE4"/>
    <w:rsid w:val="7C254906"/>
    <w:rsid w:val="7C590818"/>
    <w:rsid w:val="7C7C10F6"/>
    <w:rsid w:val="7C853BEA"/>
    <w:rsid w:val="7C881368"/>
    <w:rsid w:val="7CB023B6"/>
    <w:rsid w:val="7CE27788"/>
    <w:rsid w:val="7CE62623"/>
    <w:rsid w:val="7D0C32F1"/>
    <w:rsid w:val="7D0F408D"/>
    <w:rsid w:val="7D1D5F09"/>
    <w:rsid w:val="7D2343BE"/>
    <w:rsid w:val="7D2D17A9"/>
    <w:rsid w:val="7D3E7201"/>
    <w:rsid w:val="7D491C6C"/>
    <w:rsid w:val="7D5429C0"/>
    <w:rsid w:val="7D6E6D43"/>
    <w:rsid w:val="7D77201B"/>
    <w:rsid w:val="7DB57A34"/>
    <w:rsid w:val="7DE60973"/>
    <w:rsid w:val="7DEF0916"/>
    <w:rsid w:val="7E1E5218"/>
    <w:rsid w:val="7E750A33"/>
    <w:rsid w:val="7E795122"/>
    <w:rsid w:val="7E9A4E1F"/>
    <w:rsid w:val="7EA7723A"/>
    <w:rsid w:val="7EF56FBB"/>
    <w:rsid w:val="7F0768EB"/>
    <w:rsid w:val="7F143BEC"/>
    <w:rsid w:val="7F3B48A0"/>
    <w:rsid w:val="7F715AF2"/>
    <w:rsid w:val="7F886E69"/>
    <w:rsid w:val="7FC627FF"/>
    <w:rsid w:val="7FDB3BED"/>
    <w:rsid w:val="BB7FA927"/>
    <w:rsid w:val="D7EEDB84"/>
    <w:rsid w:val="F5FFD31F"/>
    <w:rsid w:val="FD529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6"/>
    <w:qFormat/>
    <w:uiPriority w:val="9"/>
    <w:pPr>
      <w:keepNext/>
      <w:keepLines/>
      <w:tabs>
        <w:tab w:val="left" w:pos="432"/>
      </w:tabs>
      <w:snapToGrid w:val="0"/>
      <w:spacing w:line="360" w:lineRule="auto"/>
      <w:ind w:left="0" w:firstLine="0"/>
      <w:jc w:val="center"/>
      <w:outlineLvl w:val="0"/>
    </w:pPr>
    <w:rPr>
      <w:rFonts w:ascii="Times New Roman" w:hAnsi="Times New Roman" w:eastAsia="宋体"/>
      <w:b/>
      <w:bCs/>
      <w:kern w:val="44"/>
      <w:sz w:val="36"/>
      <w:szCs w:val="44"/>
    </w:rPr>
  </w:style>
  <w:style w:type="paragraph" w:styleId="6">
    <w:name w:val="heading 2"/>
    <w:basedOn w:val="1"/>
    <w:next w:val="1"/>
    <w:qFormat/>
    <w:uiPriority w:val="0"/>
    <w:pPr>
      <w:keepNext/>
      <w:keepLines/>
      <w:tabs>
        <w:tab w:val="left" w:pos="432"/>
      </w:tabs>
      <w:adjustRightInd w:val="0"/>
      <w:snapToGrid w:val="0"/>
      <w:spacing w:line="360" w:lineRule="auto"/>
      <w:ind w:left="431" w:hanging="431"/>
      <w:jc w:val="left"/>
      <w:outlineLvl w:val="1"/>
    </w:pPr>
    <w:rPr>
      <w:rFonts w:ascii="仿宋_GB2312" w:hAnsi="仿宋_GB2312" w:eastAsia="宋体"/>
      <w:b/>
      <w:bCs/>
      <w:sz w:val="24"/>
      <w:szCs w:val="32"/>
      <w:lang w:val="zh-CN"/>
    </w:rPr>
  </w:style>
  <w:style w:type="paragraph" w:styleId="7">
    <w:name w:val="heading 3"/>
    <w:basedOn w:val="1"/>
    <w:next w:val="1"/>
    <w:qFormat/>
    <w:uiPriority w:val="0"/>
    <w:pPr>
      <w:keepNext/>
      <w:keepLines/>
      <w:tabs>
        <w:tab w:val="left" w:pos="900"/>
      </w:tabs>
      <w:snapToGrid w:val="0"/>
      <w:spacing w:line="360" w:lineRule="auto"/>
      <w:ind w:left="901" w:hanging="720"/>
      <w:outlineLvl w:val="2"/>
    </w:pPr>
    <w:rPr>
      <w:rFonts w:ascii="Times New Roman" w:hAnsi="Times New Roman" w:eastAsia="宋体"/>
      <w:b/>
      <w:bCs/>
      <w:sz w:val="24"/>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2"/>
    <w:link w:val="433"/>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100"/>
    <w:qFormat/>
    <w:uiPriority w:val="0"/>
    <w:rPr>
      <w:b/>
      <w:bCs/>
    </w:rPr>
  </w:style>
  <w:style w:type="paragraph" w:styleId="61">
    <w:name w:val="Body Text First Indent 2"/>
    <w:basedOn w:val="26"/>
    <w:next w:val="2"/>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ody Text First Indent 21"/>
    <w:basedOn w:val="81"/>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firstLineChars="20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qFormat/>
    <w:uiPriority w:val="0"/>
  </w:style>
  <w:style w:type="paragraph" w:customStyle="1" w:styleId="970">
    <w:name w:val="无间隔3"/>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2"/>
    <w:basedOn w:val="1"/>
    <w:next w:val="34"/>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30277</Words>
  <Characters>31905</Characters>
  <Lines>284</Lines>
  <Paragraphs>80</Paragraphs>
  <TotalTime>23</TotalTime>
  <ScaleCrop>false</ScaleCrop>
  <LinksUpToDate>false</LinksUpToDate>
  <CharactersWithSpaces>37717</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曹</cp:lastModifiedBy>
  <cp:lastPrinted>2023-06-01T00:08:00Z</cp:lastPrinted>
  <dcterms:modified xsi:type="dcterms:W3CDTF">2023-06-02T10:57:55Z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04B0C7552D916B596F517964403A6B5B_43</vt:lpwstr>
  </property>
</Properties>
</file>