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pStyle w:val="33"/>
        <w:rPr>
          <w:rFonts w:cs="仿宋_GB2312" w:asciiTheme="minorEastAsia" w:hAnsiTheme="minorEastAsia" w:eastAsiaTheme="minorEastAsia"/>
          <w:b/>
          <w:sz w:val="24"/>
        </w:rPr>
      </w:pPr>
    </w:p>
    <w:p>
      <w:pPr>
        <w:pStyle w:val="33"/>
        <w:rPr>
          <w:rFonts w:cs="仿宋_GB2312" w:asciiTheme="minorEastAsia" w:hAnsiTheme="minorEastAsia" w:eastAsiaTheme="minorEastAsia"/>
          <w:b/>
          <w:sz w:val="24"/>
        </w:rPr>
      </w:pPr>
    </w:p>
    <w:p>
      <w:pPr>
        <w:pStyle w:val="33"/>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hint="eastAsia" w:cs="仿宋_GB2312" w:asciiTheme="minorEastAsia" w:hAnsiTheme="minorEastAsia" w:eastAsiaTheme="minorEastAsia"/>
          <w:sz w:val="48"/>
          <w:szCs w:val="48"/>
          <w:lang w:eastAsia="zh-CN"/>
        </w:rPr>
      </w:pPr>
      <w:r>
        <w:rPr>
          <w:rFonts w:hint="eastAsia" w:cs="仿宋_GB2312" w:asciiTheme="minorEastAsia" w:hAnsiTheme="minorEastAsia" w:eastAsiaTheme="minorEastAsia"/>
          <w:sz w:val="48"/>
          <w:szCs w:val="48"/>
          <w:lang w:eastAsia="zh-CN"/>
        </w:rPr>
        <w:t>人工智能综合实验室建设项目</w:t>
      </w:r>
    </w:p>
    <w:p>
      <w:pPr>
        <w:adjustRightInd/>
        <w:spacing w:line="360" w:lineRule="auto"/>
        <w:jc w:val="center"/>
        <w:rPr>
          <w:rFonts w:cs="仿宋_GB2312" w:asciiTheme="minorEastAsia" w:hAnsiTheme="minorEastAsia" w:eastAsiaTheme="minorEastAsia"/>
          <w:sz w:val="48"/>
          <w:szCs w:val="48"/>
        </w:rPr>
      </w:pPr>
      <w:r>
        <w:rPr>
          <w:rFonts w:hint="eastAsia" w:cs="仿宋_GB2312" w:asciiTheme="minorEastAsia" w:hAnsiTheme="minorEastAsia" w:eastAsiaTheme="minorEastAsia"/>
          <w:sz w:val="48"/>
          <w:szCs w:val="48"/>
        </w:rPr>
        <w:t>招标文件</w:t>
      </w:r>
    </w:p>
    <w:p>
      <w:pPr>
        <w:adjustRightInd/>
        <w:spacing w:line="360" w:lineRule="auto"/>
        <w:jc w:val="center"/>
        <w:rPr>
          <w:rFonts w:cs="仿宋_GB2312" w:asciiTheme="minorEastAsia" w:hAnsiTheme="minorEastAsia" w:eastAsiaTheme="minorEastAsia"/>
          <w:b/>
          <w:sz w:val="44"/>
          <w:szCs w:val="44"/>
        </w:rPr>
      </w:pPr>
      <w:r>
        <w:rPr>
          <w:rFonts w:cs="仿宋_GB2312" w:asciiTheme="minorEastAsia" w:hAnsiTheme="minorEastAsia" w:eastAsiaTheme="minorEastAsia"/>
          <w:b/>
          <w:sz w:val="44"/>
          <w:szCs w:val="44"/>
        </w:rPr>
        <w:t xml:space="preserve"> （电子招投标）</w:t>
      </w:r>
    </w:p>
    <w:p>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编号</w:t>
      </w:r>
      <w:r>
        <w:rPr>
          <w:rFonts w:cs="仿宋_GB2312" w:asciiTheme="minorEastAsia" w:hAnsiTheme="minorEastAsia" w:eastAsiaTheme="minorEastAsia"/>
          <w:sz w:val="30"/>
          <w:szCs w:val="30"/>
        </w:rPr>
        <w:t>:</w:t>
      </w:r>
      <w:r>
        <w:rPr>
          <w:rFonts w:hint="eastAsia" w:cs="仿宋_GB2312" w:asciiTheme="minorEastAsia" w:hAnsiTheme="minorEastAsia" w:eastAsiaTheme="minorEastAsia"/>
          <w:sz w:val="30"/>
          <w:szCs w:val="30"/>
        </w:rPr>
        <w:t>ZJXL-HSY-202204</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sz w:val="24"/>
        </w:rPr>
      </w:pPr>
    </w:p>
    <w:p>
      <w:pPr>
        <w:pStyle w:val="33"/>
        <w:rPr>
          <w:rFonts w:cs="仿宋_GB2312" w:asciiTheme="minorEastAsia" w:hAnsiTheme="minorEastAsia" w:eastAsiaTheme="minorEastAsia"/>
          <w:sz w:val="24"/>
        </w:rPr>
      </w:pPr>
    </w:p>
    <w:p>
      <w:pPr>
        <w:pStyle w:val="33"/>
        <w:rPr>
          <w:rFonts w:cs="仿宋_GB2312" w:asciiTheme="minorEastAsia" w:hAnsiTheme="minorEastAsia" w:eastAsiaTheme="minorEastAsia"/>
          <w:sz w:val="24"/>
        </w:rPr>
      </w:pPr>
    </w:p>
    <w:p>
      <w:pPr>
        <w:pStyle w:val="33"/>
        <w:rPr>
          <w:rFonts w:cs="仿宋_GB2312" w:asciiTheme="minorEastAsia" w:hAnsiTheme="minorEastAsia" w:eastAsiaTheme="minorEastAsia"/>
          <w:sz w:val="24"/>
        </w:rPr>
      </w:pPr>
    </w:p>
    <w:p>
      <w:pPr>
        <w:pStyle w:val="33"/>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32"/>
          <w:szCs w:val="32"/>
        </w:rPr>
      </w:pPr>
    </w:p>
    <w:p>
      <w:pPr>
        <w:snapToGrid w:val="0"/>
        <w:spacing w:line="360" w:lineRule="auto"/>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浙江工商大学杭州商学院</w:t>
      </w:r>
    </w:p>
    <w:p>
      <w:pPr>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浙江信镧建设工程咨询有限公司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二二年</w:t>
      </w:r>
      <w:r>
        <w:rPr>
          <w:rFonts w:hint="eastAsia" w:cs="仿宋_GB2312" w:asciiTheme="minorEastAsia" w:hAnsiTheme="minorEastAsia" w:eastAsiaTheme="minorEastAsia"/>
          <w:bCs/>
          <w:sz w:val="32"/>
          <w:szCs w:val="32"/>
          <w:lang w:val="en-US" w:eastAsia="zh-CN"/>
        </w:rPr>
        <w:t>九</w:t>
      </w:r>
      <w:r>
        <w:rPr>
          <w:rFonts w:hint="eastAsia" w:cs="仿宋_GB2312" w:asciiTheme="minorEastAsia" w:hAnsiTheme="minorEastAsia" w:eastAsiaTheme="minorEastAsia"/>
          <w:bCs/>
          <w:sz w:val="32"/>
          <w:szCs w:val="32"/>
        </w:rPr>
        <w:t>月</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br w:type="page"/>
      </w:r>
      <w:bookmarkStart w:id="0" w:name="_Hlt67893495"/>
      <w:bookmarkEnd w:id="0"/>
    </w:p>
    <w:p>
      <w:pPr>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目录</w:t>
      </w:r>
    </w:p>
    <w:p>
      <w:pPr>
        <w:pStyle w:val="966"/>
        <w:ind w:firstLine="422"/>
        <w:jc w:val="center"/>
        <w:rPr>
          <w:sz w:val="24"/>
          <w:szCs w:val="36"/>
        </w:rPr>
      </w:pPr>
      <w:bookmarkStart w:id="1" w:name="_Hlt91233176"/>
      <w:bookmarkEnd w:id="1"/>
      <w:bookmarkStart w:id="2" w:name="_Toc91899869"/>
    </w:p>
    <w:p>
      <w:pPr>
        <w:pStyle w:val="43"/>
        <w:tabs>
          <w:tab w:val="right" w:leader="dot" w:pos="9070"/>
        </w:tabs>
        <w:spacing w:line="360" w:lineRule="auto"/>
        <w:rPr>
          <w:sz w:val="24"/>
        </w:rPr>
      </w:pPr>
      <w:r>
        <w:rPr>
          <w:sz w:val="24"/>
        </w:rPr>
        <w:fldChar w:fldCharType="begin"/>
      </w:r>
      <w:r>
        <w:rPr>
          <w:sz w:val="24"/>
        </w:rPr>
        <w:instrText xml:space="preserve"> TOC \o "1-2" \h \z \u </w:instrText>
      </w:r>
      <w:r>
        <w:rPr>
          <w:sz w:val="24"/>
        </w:rPr>
        <w:fldChar w:fldCharType="separate"/>
      </w:r>
      <w:r>
        <w:fldChar w:fldCharType="begin"/>
      </w:r>
      <w:r>
        <w:instrText xml:space="preserve"> HYPERLINK \l "_Toc12216" </w:instrText>
      </w:r>
      <w:r>
        <w:fldChar w:fldCharType="separate"/>
      </w:r>
      <w:r>
        <w:rPr>
          <w:rFonts w:hint="eastAsia" w:cs="仿宋_GB2312" w:asciiTheme="minorEastAsia" w:hAnsiTheme="minorEastAsia" w:eastAsiaTheme="minorEastAsia"/>
          <w:sz w:val="24"/>
        </w:rPr>
        <w:t>第一部分 招标公告</w:t>
      </w:r>
      <w:r>
        <w:rPr>
          <w:sz w:val="24"/>
        </w:rPr>
        <w:tab/>
      </w:r>
      <w:r>
        <w:rPr>
          <w:sz w:val="24"/>
        </w:rPr>
        <w:fldChar w:fldCharType="begin"/>
      </w:r>
      <w:r>
        <w:rPr>
          <w:sz w:val="24"/>
        </w:rPr>
        <w:instrText xml:space="preserve"> PAGEREF _Toc12216 \h </w:instrText>
      </w:r>
      <w:r>
        <w:rPr>
          <w:sz w:val="24"/>
        </w:rPr>
        <w:fldChar w:fldCharType="separate"/>
      </w:r>
      <w:r>
        <w:rPr>
          <w:sz w:val="24"/>
        </w:rPr>
        <w:t>3</w:t>
      </w:r>
      <w:r>
        <w:rPr>
          <w:sz w:val="24"/>
        </w:rPr>
        <w:fldChar w:fldCharType="end"/>
      </w:r>
      <w:r>
        <w:rPr>
          <w:sz w:val="24"/>
        </w:rPr>
        <w:fldChar w:fldCharType="end"/>
      </w:r>
    </w:p>
    <w:p>
      <w:pPr>
        <w:pStyle w:val="43"/>
        <w:tabs>
          <w:tab w:val="right" w:leader="dot" w:pos="9070"/>
        </w:tabs>
        <w:spacing w:line="360" w:lineRule="auto"/>
        <w:rPr>
          <w:sz w:val="24"/>
        </w:rPr>
      </w:pPr>
      <w:r>
        <w:fldChar w:fldCharType="begin"/>
      </w:r>
      <w:r>
        <w:instrText xml:space="preserve"> HYPERLINK \l "_Toc13206" </w:instrText>
      </w:r>
      <w:r>
        <w:fldChar w:fldCharType="separate"/>
      </w:r>
      <w:r>
        <w:rPr>
          <w:rFonts w:hint="eastAsia" w:cs="仿宋_GB2312" w:asciiTheme="minorEastAsia" w:hAnsiTheme="minorEastAsia" w:eastAsiaTheme="minorEastAsia"/>
          <w:sz w:val="24"/>
        </w:rPr>
        <w:t>第二部分</w:t>
      </w:r>
      <w:r>
        <w:rPr>
          <w:rFonts w:cs="仿宋_GB2312" w:asciiTheme="minorEastAsia" w:hAnsiTheme="minorEastAsia" w:eastAsiaTheme="minorEastAsia"/>
          <w:sz w:val="24"/>
        </w:rPr>
        <w:t xml:space="preserve"> 投标人须知</w:t>
      </w:r>
      <w:r>
        <w:rPr>
          <w:sz w:val="24"/>
        </w:rPr>
        <w:tab/>
      </w:r>
      <w:r>
        <w:rPr>
          <w:sz w:val="24"/>
        </w:rPr>
        <w:fldChar w:fldCharType="begin"/>
      </w:r>
      <w:r>
        <w:rPr>
          <w:sz w:val="24"/>
        </w:rPr>
        <w:instrText xml:space="preserve"> PAGEREF _Toc13206 \h </w:instrText>
      </w:r>
      <w:r>
        <w:rPr>
          <w:sz w:val="24"/>
        </w:rPr>
        <w:fldChar w:fldCharType="separate"/>
      </w:r>
      <w:r>
        <w:rPr>
          <w:sz w:val="24"/>
        </w:rPr>
        <w:t>8</w:t>
      </w:r>
      <w:r>
        <w:rPr>
          <w:sz w:val="24"/>
        </w:rPr>
        <w:fldChar w:fldCharType="end"/>
      </w:r>
      <w:r>
        <w:rPr>
          <w:sz w:val="24"/>
        </w:rPr>
        <w:fldChar w:fldCharType="end"/>
      </w:r>
    </w:p>
    <w:p>
      <w:pPr>
        <w:pStyle w:val="43"/>
        <w:tabs>
          <w:tab w:val="right" w:leader="dot" w:pos="9070"/>
        </w:tabs>
        <w:spacing w:line="360" w:lineRule="auto"/>
        <w:rPr>
          <w:sz w:val="24"/>
        </w:rPr>
      </w:pPr>
      <w:r>
        <w:fldChar w:fldCharType="begin"/>
      </w:r>
      <w:r>
        <w:instrText xml:space="preserve"> HYPERLINK \l "_Toc9342" </w:instrText>
      </w:r>
      <w:r>
        <w:fldChar w:fldCharType="separate"/>
      </w:r>
      <w:r>
        <w:rPr>
          <w:rFonts w:hint="eastAsia" w:cs="仿宋_GB2312" w:asciiTheme="minorEastAsia" w:hAnsiTheme="minorEastAsia" w:eastAsiaTheme="minorEastAsia"/>
          <w:sz w:val="24"/>
        </w:rPr>
        <w:t>第三部分 采购需求</w:t>
      </w:r>
      <w:r>
        <w:rPr>
          <w:sz w:val="24"/>
        </w:rPr>
        <w:tab/>
      </w:r>
      <w:r>
        <w:rPr>
          <w:sz w:val="24"/>
        </w:rPr>
        <w:fldChar w:fldCharType="begin"/>
      </w:r>
      <w:r>
        <w:rPr>
          <w:sz w:val="24"/>
        </w:rPr>
        <w:instrText xml:space="preserve"> PAGEREF _Toc9342 \h </w:instrText>
      </w:r>
      <w:r>
        <w:rPr>
          <w:sz w:val="24"/>
        </w:rPr>
        <w:fldChar w:fldCharType="separate"/>
      </w:r>
      <w:r>
        <w:rPr>
          <w:sz w:val="24"/>
        </w:rPr>
        <w:t>27</w:t>
      </w:r>
      <w:r>
        <w:rPr>
          <w:sz w:val="24"/>
        </w:rPr>
        <w:fldChar w:fldCharType="end"/>
      </w:r>
      <w:r>
        <w:rPr>
          <w:sz w:val="24"/>
        </w:rPr>
        <w:fldChar w:fldCharType="end"/>
      </w:r>
    </w:p>
    <w:p>
      <w:pPr>
        <w:pStyle w:val="43"/>
        <w:tabs>
          <w:tab w:val="right" w:leader="dot" w:pos="9070"/>
        </w:tabs>
        <w:spacing w:line="360" w:lineRule="auto"/>
        <w:rPr>
          <w:sz w:val="24"/>
        </w:rPr>
      </w:pPr>
      <w:r>
        <w:fldChar w:fldCharType="begin"/>
      </w:r>
      <w:r>
        <w:instrText xml:space="preserve"> HYPERLINK \l "_Toc27601" </w:instrText>
      </w:r>
      <w:r>
        <w:fldChar w:fldCharType="separate"/>
      </w:r>
      <w:r>
        <w:rPr>
          <w:rFonts w:hint="eastAsia" w:cs="仿宋_GB2312" w:asciiTheme="minorEastAsia" w:hAnsiTheme="minorEastAsia" w:eastAsiaTheme="minorEastAsia"/>
          <w:sz w:val="24"/>
        </w:rPr>
        <w:t>第四部分 评标办法</w:t>
      </w:r>
      <w:r>
        <w:rPr>
          <w:sz w:val="24"/>
        </w:rPr>
        <w:tab/>
      </w:r>
      <w:r>
        <w:rPr>
          <w:sz w:val="24"/>
        </w:rPr>
        <w:fldChar w:fldCharType="begin"/>
      </w:r>
      <w:r>
        <w:rPr>
          <w:sz w:val="24"/>
        </w:rPr>
        <w:instrText xml:space="preserve"> PAGEREF _Toc27601 \h </w:instrText>
      </w:r>
      <w:r>
        <w:rPr>
          <w:sz w:val="24"/>
        </w:rPr>
        <w:fldChar w:fldCharType="separate"/>
      </w:r>
      <w:r>
        <w:rPr>
          <w:sz w:val="24"/>
        </w:rPr>
        <w:t>55</w:t>
      </w:r>
      <w:r>
        <w:rPr>
          <w:sz w:val="24"/>
        </w:rPr>
        <w:fldChar w:fldCharType="end"/>
      </w:r>
      <w:r>
        <w:rPr>
          <w:sz w:val="24"/>
        </w:rPr>
        <w:fldChar w:fldCharType="end"/>
      </w:r>
    </w:p>
    <w:p>
      <w:pPr>
        <w:pStyle w:val="43"/>
        <w:tabs>
          <w:tab w:val="right" w:leader="dot" w:pos="9070"/>
        </w:tabs>
        <w:spacing w:line="360" w:lineRule="auto"/>
        <w:rPr>
          <w:sz w:val="24"/>
        </w:rPr>
      </w:pPr>
      <w:r>
        <w:fldChar w:fldCharType="begin"/>
      </w:r>
      <w:r>
        <w:instrText xml:space="preserve"> HYPERLINK \l "_Toc842" </w:instrText>
      </w:r>
      <w:r>
        <w:fldChar w:fldCharType="separate"/>
      </w:r>
      <w:r>
        <w:rPr>
          <w:rFonts w:hint="eastAsia" w:cs="仿宋_GB2312" w:asciiTheme="minorEastAsia" w:hAnsiTheme="minorEastAsia" w:eastAsiaTheme="minorEastAsia"/>
          <w:sz w:val="24"/>
        </w:rPr>
        <w:t>第五部分 拟签订的合同文本</w:t>
      </w:r>
      <w:r>
        <w:rPr>
          <w:sz w:val="24"/>
        </w:rPr>
        <w:tab/>
      </w:r>
      <w:r>
        <w:rPr>
          <w:sz w:val="24"/>
        </w:rPr>
        <w:fldChar w:fldCharType="begin"/>
      </w:r>
      <w:r>
        <w:rPr>
          <w:sz w:val="24"/>
        </w:rPr>
        <w:instrText xml:space="preserve"> PAGEREF _Toc842 \h </w:instrText>
      </w:r>
      <w:r>
        <w:rPr>
          <w:sz w:val="24"/>
        </w:rPr>
        <w:fldChar w:fldCharType="separate"/>
      </w:r>
      <w:r>
        <w:rPr>
          <w:sz w:val="24"/>
        </w:rPr>
        <w:t>63</w:t>
      </w:r>
      <w:r>
        <w:rPr>
          <w:sz w:val="24"/>
        </w:rPr>
        <w:fldChar w:fldCharType="end"/>
      </w:r>
      <w:r>
        <w:rPr>
          <w:sz w:val="24"/>
        </w:rPr>
        <w:fldChar w:fldCharType="end"/>
      </w:r>
    </w:p>
    <w:p>
      <w:pPr>
        <w:pStyle w:val="43"/>
        <w:tabs>
          <w:tab w:val="right" w:leader="dot" w:pos="9070"/>
        </w:tabs>
        <w:spacing w:line="360" w:lineRule="auto"/>
        <w:rPr>
          <w:sz w:val="24"/>
        </w:rPr>
      </w:pPr>
      <w:r>
        <w:fldChar w:fldCharType="begin"/>
      </w:r>
      <w:r>
        <w:instrText xml:space="preserve"> HYPERLINK \l "_Toc16826" </w:instrText>
      </w:r>
      <w:r>
        <w:fldChar w:fldCharType="separate"/>
      </w:r>
      <w:r>
        <w:rPr>
          <w:rFonts w:hint="eastAsia" w:cs="仿宋_GB2312" w:asciiTheme="minorEastAsia" w:hAnsiTheme="minorEastAsia" w:eastAsiaTheme="minorEastAsia"/>
          <w:sz w:val="24"/>
        </w:rPr>
        <w:t>第六部分 应提交的有关格式范例</w:t>
      </w:r>
      <w:r>
        <w:rPr>
          <w:sz w:val="24"/>
        </w:rPr>
        <w:tab/>
      </w:r>
      <w:r>
        <w:rPr>
          <w:sz w:val="24"/>
        </w:rPr>
        <w:fldChar w:fldCharType="begin"/>
      </w:r>
      <w:r>
        <w:rPr>
          <w:sz w:val="24"/>
        </w:rPr>
        <w:instrText xml:space="preserve"> PAGEREF _Toc16826 \h </w:instrText>
      </w:r>
      <w:r>
        <w:rPr>
          <w:sz w:val="24"/>
        </w:rPr>
        <w:fldChar w:fldCharType="separate"/>
      </w:r>
      <w:r>
        <w:rPr>
          <w:sz w:val="24"/>
        </w:rPr>
        <w:t>70</w:t>
      </w:r>
      <w:r>
        <w:rPr>
          <w:sz w:val="24"/>
        </w:rPr>
        <w:fldChar w:fldCharType="end"/>
      </w:r>
      <w:r>
        <w:rPr>
          <w:sz w:val="24"/>
        </w:rPr>
        <w:fldChar w:fldCharType="end"/>
      </w:r>
    </w:p>
    <w:p>
      <w:pPr>
        <w:spacing w:line="360" w:lineRule="auto"/>
        <w:ind w:firstLine="549" w:firstLineChars="229"/>
        <w:rPr>
          <w:rFonts w:cs="仿宋_GB2312" w:asciiTheme="minorEastAsia" w:hAnsiTheme="minorEastAsia" w:eastAsiaTheme="minorEastAsia"/>
          <w:sz w:val="24"/>
        </w:rPr>
      </w:pPr>
      <w:r>
        <w:rPr>
          <w:sz w:val="24"/>
        </w:rPr>
        <w:fldChar w:fldCharType="end"/>
      </w: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cs="仿宋_GB2312" w:asciiTheme="minorEastAsia" w:hAnsiTheme="minorEastAsia" w:eastAsiaTheme="minorEastAsia"/>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_Toc12216"/>
      <w:bookmarkStart w:id="9" w:name="第二部分"/>
      <w:bookmarkStart w:id="10" w:name="_Toc91899870"/>
      <w:bookmarkStart w:id="11" w:name="_Toc91899871"/>
      <w:r>
        <w:rPr>
          <w:rFonts w:hint="eastAsia" w:cs="仿宋_GB2312" w:asciiTheme="minorEastAsia" w:hAnsiTheme="minorEastAsia" w:eastAsiaTheme="minorEastAsia"/>
          <w:b/>
          <w:sz w:val="36"/>
          <w:szCs w:val="20"/>
        </w:rPr>
        <w:t>第一部分招标公告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Theme="minorEastAsia" w:hAnsiTheme="minorEastAsia" w:eastAsiaTheme="minorEastAsia"/>
          <w:sz w:val="24"/>
        </w:rPr>
        <w:t>项目概况:</w:t>
      </w:r>
      <w:r>
        <w:rPr>
          <w:rFonts w:hint="eastAsia" w:ascii="宋体" w:hAnsi="宋体" w:cs="宋体"/>
          <w:sz w:val="24"/>
          <w:u w:val="single"/>
          <w:lang w:eastAsia="zh-CN"/>
        </w:rPr>
        <w:t>人工智能综合实验室建设项目</w:t>
      </w:r>
      <w:r>
        <w:rPr>
          <w:rFonts w:hint="eastAsia" w:ascii="宋体" w:hAnsi="宋体" w:cs="宋体"/>
          <w:sz w:val="24"/>
        </w:rPr>
        <w:t>招标项目的潜在投标人应在政采云平台（</w:t>
      </w:r>
      <w:r>
        <w:fldChar w:fldCharType="begin"/>
      </w:r>
      <w:r>
        <w:instrText xml:space="preserve"> HYPERLINK "https://www.zcygov.cn/）获取（下载）招标文件，并于2022年%20%20%20月%20%20%20%20日%20点%20分00秒" </w:instrText>
      </w:r>
      <w:r>
        <w:fldChar w:fldCharType="separate"/>
      </w:r>
      <w:r>
        <w:rPr>
          <w:rStyle w:val="76"/>
          <w:rFonts w:hint="eastAsia" w:ascii="宋体" w:hAnsi="宋体" w:eastAsia="宋体" w:cs="宋体"/>
          <w:snapToGrid/>
          <w:kern w:val="2"/>
          <w:sz w:val="24"/>
          <w:szCs w:val="24"/>
        </w:rPr>
        <w:t>https://www.zcygov.cn/）获取（下载）招标文件，并于</w:t>
      </w:r>
      <w:r>
        <w:rPr>
          <w:rStyle w:val="76"/>
          <w:rFonts w:hint="eastAsia" w:ascii="宋体" w:hAnsi="宋体" w:eastAsia="宋体" w:cs="宋体"/>
          <w:snapToGrid/>
          <w:kern w:val="2"/>
          <w:sz w:val="24"/>
          <w:szCs w:val="24"/>
          <w:highlight w:val="none"/>
        </w:rPr>
        <w:t>2022年</w:t>
      </w:r>
      <w:r>
        <w:rPr>
          <w:rStyle w:val="76"/>
          <w:rFonts w:hint="eastAsia" w:ascii="宋体" w:hAnsi="宋体" w:eastAsia="黑体" w:cs="宋体"/>
          <w:snapToGrid/>
          <w:kern w:val="2"/>
          <w:sz w:val="24"/>
          <w:szCs w:val="24"/>
          <w:highlight w:val="none"/>
          <w:lang w:val="en-US" w:eastAsia="zh-CN"/>
        </w:rPr>
        <w:t>10</w:t>
      </w:r>
      <w:r>
        <w:rPr>
          <w:rStyle w:val="76"/>
          <w:rFonts w:hint="eastAsia" w:ascii="宋体" w:hAnsi="宋体" w:eastAsia="宋体" w:cs="宋体"/>
          <w:snapToGrid/>
          <w:kern w:val="2"/>
          <w:sz w:val="24"/>
          <w:szCs w:val="24"/>
          <w:highlight w:val="none"/>
        </w:rPr>
        <w:t>月</w:t>
      </w:r>
      <w:r>
        <w:rPr>
          <w:rStyle w:val="76"/>
          <w:rFonts w:hint="eastAsia" w:ascii="宋体" w:hAnsi="宋体" w:eastAsia="黑体" w:cs="宋体"/>
          <w:snapToGrid/>
          <w:kern w:val="2"/>
          <w:sz w:val="24"/>
          <w:szCs w:val="24"/>
          <w:highlight w:val="none"/>
          <w:lang w:val="en-US" w:eastAsia="zh-CN"/>
        </w:rPr>
        <w:t>24</w:t>
      </w:r>
      <w:r>
        <w:rPr>
          <w:rStyle w:val="76"/>
          <w:rFonts w:hint="eastAsia" w:ascii="宋体" w:hAnsi="宋体" w:eastAsia="宋体" w:cs="宋体"/>
          <w:snapToGrid/>
          <w:kern w:val="2"/>
          <w:sz w:val="24"/>
          <w:szCs w:val="24"/>
          <w:highlight w:val="none"/>
        </w:rPr>
        <w:t>日</w:t>
      </w:r>
      <w:r>
        <w:rPr>
          <w:rStyle w:val="76"/>
          <w:rFonts w:hint="eastAsia" w:ascii="宋体" w:hAnsi="宋体" w:eastAsia="黑体" w:cs="宋体"/>
          <w:snapToGrid/>
          <w:kern w:val="2"/>
          <w:sz w:val="24"/>
          <w:szCs w:val="24"/>
          <w:highlight w:val="none"/>
          <w:lang w:val="en-US" w:eastAsia="zh-CN"/>
        </w:rPr>
        <w:t>09</w:t>
      </w:r>
      <w:r>
        <w:rPr>
          <w:rStyle w:val="76"/>
          <w:rFonts w:hint="eastAsia" w:ascii="宋体" w:hAnsi="宋体" w:eastAsia="宋体" w:cs="宋体"/>
          <w:snapToGrid/>
          <w:kern w:val="2"/>
          <w:sz w:val="24"/>
          <w:szCs w:val="24"/>
          <w:highlight w:val="none"/>
        </w:rPr>
        <w:t>点</w:t>
      </w:r>
      <w:r>
        <w:rPr>
          <w:rStyle w:val="76"/>
          <w:rFonts w:hint="eastAsia" w:ascii="宋体" w:hAnsi="宋体" w:cs="宋体"/>
          <w:snapToGrid/>
          <w:kern w:val="2"/>
          <w:sz w:val="24"/>
          <w:szCs w:val="24"/>
          <w:highlight w:val="none"/>
        </w:rPr>
        <w:t>00</w:t>
      </w:r>
      <w:r>
        <w:rPr>
          <w:rStyle w:val="76"/>
          <w:rFonts w:hint="eastAsia" w:ascii="宋体" w:hAnsi="宋体" w:eastAsia="宋体" w:cs="宋体"/>
          <w:snapToGrid/>
          <w:kern w:val="2"/>
          <w:sz w:val="24"/>
          <w:szCs w:val="24"/>
          <w:highlight w:val="none"/>
        </w:rPr>
        <w:t>分</w:t>
      </w:r>
      <w:r>
        <w:rPr>
          <w:rStyle w:val="76"/>
          <w:rFonts w:hint="eastAsia" w:ascii="宋体" w:hAnsi="宋体" w:eastAsia="宋体" w:cs="宋体"/>
          <w:bCs/>
          <w:snapToGrid/>
          <w:kern w:val="2"/>
          <w:sz w:val="24"/>
          <w:szCs w:val="24"/>
          <w:highlight w:val="none"/>
        </w:rPr>
        <w:t>00秒</w:t>
      </w:r>
      <w:r>
        <w:rPr>
          <w:rStyle w:val="76"/>
          <w:rFonts w:hint="eastAsia" w:ascii="宋体" w:hAnsi="宋体" w:eastAsia="宋体" w:cs="宋体"/>
          <w:bCs/>
          <w:snapToGrid/>
          <w:kern w:val="2"/>
          <w:sz w:val="24"/>
          <w:szCs w:val="24"/>
          <w:highlight w:val="yellow"/>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一、项目基本情况</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项目编号：</w:t>
      </w:r>
      <w:r>
        <w:rPr>
          <w:rFonts w:hint="eastAsia" w:asciiTheme="minorEastAsia" w:hAnsiTheme="minorEastAsia" w:eastAsiaTheme="minorEastAsia"/>
          <w:sz w:val="24"/>
        </w:rPr>
        <w:t>ZJXL-HSY-202204</w:t>
      </w:r>
    </w:p>
    <w:p>
      <w:pPr>
        <w:spacing w:line="360" w:lineRule="auto"/>
        <w:rPr>
          <w:rFonts w:hint="eastAsia" w:asciiTheme="minorEastAsia" w:hAnsiTheme="minorEastAsia" w:eastAsiaTheme="minorEastAsia"/>
          <w:sz w:val="24"/>
          <w:lang w:eastAsia="zh-CN"/>
        </w:rPr>
      </w:pPr>
      <w:r>
        <w:rPr>
          <w:rFonts w:asciiTheme="minorEastAsia" w:hAnsiTheme="minorEastAsia" w:eastAsiaTheme="minorEastAsia"/>
          <w:b/>
          <w:sz w:val="24"/>
        </w:rPr>
        <w:t>项目名称：</w:t>
      </w:r>
      <w:r>
        <w:rPr>
          <w:rFonts w:hint="eastAsia" w:cs="仿宋_GB2312" w:asciiTheme="minorEastAsia" w:hAnsiTheme="minorEastAsia" w:eastAsiaTheme="minorEastAsia"/>
          <w:sz w:val="24"/>
          <w:lang w:eastAsia="zh-CN"/>
        </w:rPr>
        <w:t>人工智能综合实验室建设项目</w:t>
      </w:r>
    </w:p>
    <w:p>
      <w:pPr>
        <w:spacing w:line="360" w:lineRule="auto"/>
        <w:rPr>
          <w:rFonts w:hint="eastAsia" w:asciiTheme="minorEastAsia" w:hAnsiTheme="minorEastAsia" w:eastAsiaTheme="minorEastAsia"/>
          <w:sz w:val="24"/>
          <w:lang w:eastAsia="zh-CN"/>
        </w:rPr>
      </w:pPr>
      <w:r>
        <w:rPr>
          <w:rFonts w:asciiTheme="minorEastAsia" w:hAnsiTheme="minorEastAsia" w:eastAsiaTheme="minorEastAsia"/>
          <w:b/>
          <w:sz w:val="24"/>
        </w:rPr>
        <w:t>预算金额（元）：</w:t>
      </w:r>
      <w:r>
        <w:rPr>
          <w:rFonts w:hint="eastAsia" w:cs="仿宋_GB2312" w:asciiTheme="minorEastAsia" w:hAnsiTheme="minorEastAsia" w:eastAsiaTheme="minorEastAsia"/>
          <w:sz w:val="24"/>
          <w:lang w:eastAsia="zh-CN"/>
        </w:rPr>
        <w:t>3001480</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b/>
          <w:sz w:val="24"/>
        </w:rPr>
        <w:t>最高限价（元）：</w:t>
      </w:r>
      <w:r>
        <w:rPr>
          <w:rFonts w:hint="eastAsia" w:cs="仿宋_GB2312" w:asciiTheme="minorEastAsia" w:hAnsiTheme="minorEastAsia" w:eastAsiaTheme="minorEastAsia"/>
          <w:sz w:val="24"/>
          <w:lang w:eastAsia="zh-CN"/>
        </w:rPr>
        <w:t>3001480</w:t>
      </w:r>
    </w:p>
    <w:p>
      <w:pPr>
        <w:pStyle w:val="17"/>
        <w:spacing w:line="360" w:lineRule="auto"/>
        <w:ind w:firstLine="0"/>
        <w:rPr>
          <w:rFonts w:asciiTheme="minorEastAsia" w:hAnsiTheme="minorEastAsia" w:eastAsiaTheme="minorEastAsia"/>
          <w:bCs/>
          <w:snapToGrid/>
          <w:color w:val="auto"/>
          <w:kern w:val="2"/>
          <w:sz w:val="24"/>
          <w:szCs w:val="24"/>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Cs/>
          <w:snapToGrid/>
          <w:color w:val="auto"/>
          <w:kern w:val="2"/>
          <w:sz w:val="24"/>
          <w:szCs w:val="24"/>
          <w:lang w:eastAsia="zh-CN"/>
        </w:rPr>
        <w:t>人工智能综合实验室建设项目</w:t>
      </w:r>
      <w:r>
        <w:rPr>
          <w:rFonts w:hint="eastAsia" w:asciiTheme="minorEastAsia" w:hAnsiTheme="minorEastAsia" w:eastAsiaTheme="minorEastAsia"/>
          <w:bCs/>
          <w:snapToGrid/>
          <w:color w:val="auto"/>
          <w:kern w:val="2"/>
          <w:sz w:val="24"/>
          <w:szCs w:val="24"/>
        </w:rPr>
        <w:t>主要内容：</w:t>
      </w:r>
    </w:p>
    <w:tbl>
      <w:tblPr>
        <w:tblStyle w:val="63"/>
        <w:tblW w:w="980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2266"/>
        <w:gridCol w:w="553"/>
        <w:gridCol w:w="1507"/>
        <w:gridCol w:w="553"/>
        <w:gridCol w:w="3500"/>
        <w:gridCol w:w="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09" w:type="dxa"/>
            <w:vAlign w:val="center"/>
          </w:tcPr>
          <w:p>
            <w:pPr>
              <w:pStyle w:val="3"/>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标项序号</w:t>
            </w:r>
          </w:p>
        </w:tc>
        <w:tc>
          <w:tcPr>
            <w:tcW w:w="2266" w:type="dxa"/>
            <w:vAlign w:val="center"/>
          </w:tcPr>
          <w:p>
            <w:pPr>
              <w:pStyle w:val="3"/>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项目名称</w:t>
            </w:r>
          </w:p>
        </w:tc>
        <w:tc>
          <w:tcPr>
            <w:tcW w:w="553" w:type="dxa"/>
            <w:vAlign w:val="center"/>
          </w:tcPr>
          <w:p>
            <w:pPr>
              <w:pStyle w:val="3"/>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数量</w:t>
            </w:r>
          </w:p>
        </w:tc>
        <w:tc>
          <w:tcPr>
            <w:tcW w:w="1507" w:type="dxa"/>
            <w:vAlign w:val="center"/>
          </w:tcPr>
          <w:p>
            <w:pPr>
              <w:pStyle w:val="3"/>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预算金额(元)</w:t>
            </w:r>
          </w:p>
        </w:tc>
        <w:tc>
          <w:tcPr>
            <w:tcW w:w="553" w:type="dxa"/>
            <w:vAlign w:val="center"/>
          </w:tcPr>
          <w:p>
            <w:pPr>
              <w:pStyle w:val="3"/>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单位</w:t>
            </w:r>
          </w:p>
        </w:tc>
        <w:tc>
          <w:tcPr>
            <w:tcW w:w="3500" w:type="dxa"/>
            <w:vAlign w:val="center"/>
          </w:tcPr>
          <w:p>
            <w:pPr>
              <w:pStyle w:val="3"/>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简要规格描述</w:t>
            </w:r>
          </w:p>
        </w:tc>
        <w:tc>
          <w:tcPr>
            <w:tcW w:w="720" w:type="dxa"/>
            <w:vAlign w:val="center"/>
          </w:tcPr>
          <w:p>
            <w:pPr>
              <w:pStyle w:val="3"/>
              <w:ind w:firstLine="0"/>
              <w:jc w:val="center"/>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709" w:type="dxa"/>
            <w:vAlign w:val="center"/>
          </w:tcPr>
          <w:p>
            <w:pPr>
              <w:pStyle w:val="3"/>
              <w:ind w:firstLine="0"/>
              <w:rPr>
                <w:rFonts w:cs="宋体" w:asciiTheme="minorEastAsia" w:hAnsiTheme="minorEastAsia" w:eastAsiaTheme="minorEastAsia"/>
                <w:szCs w:val="24"/>
                <w:lang w:val="en-US"/>
              </w:rPr>
            </w:pPr>
            <w:r>
              <w:rPr>
                <w:rFonts w:hint="eastAsia" w:cs="宋体" w:asciiTheme="minorEastAsia" w:hAnsiTheme="minorEastAsia" w:eastAsiaTheme="minorEastAsia"/>
                <w:szCs w:val="24"/>
                <w:lang w:val="en-US"/>
              </w:rPr>
              <w:t>1</w:t>
            </w:r>
          </w:p>
        </w:tc>
        <w:tc>
          <w:tcPr>
            <w:tcW w:w="2266" w:type="dxa"/>
            <w:vAlign w:val="center"/>
          </w:tcPr>
          <w:p>
            <w:pPr>
              <w:jc w:val="center"/>
              <w:rPr>
                <w:rFonts w:hint="eastAsia" w:cs="宋体" w:asciiTheme="minorEastAsia" w:hAnsiTheme="minorEastAsia" w:eastAsiaTheme="minorEastAsia"/>
                <w:sz w:val="24"/>
                <w:lang w:eastAsia="zh-CN"/>
              </w:rPr>
            </w:pPr>
            <w:r>
              <w:rPr>
                <w:rFonts w:hint="eastAsia" w:asciiTheme="minorEastAsia" w:hAnsiTheme="minorEastAsia" w:eastAsiaTheme="minorEastAsia"/>
                <w:bCs/>
                <w:sz w:val="24"/>
                <w:lang w:eastAsia="zh-CN"/>
              </w:rPr>
              <w:t>人工智能综合实验室建设项目</w:t>
            </w:r>
          </w:p>
        </w:tc>
        <w:tc>
          <w:tcPr>
            <w:tcW w:w="553" w:type="dxa"/>
            <w:vAlign w:val="center"/>
          </w:tcPr>
          <w:p>
            <w:pPr>
              <w:pStyle w:val="48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w:t>
            </w:r>
          </w:p>
        </w:tc>
        <w:tc>
          <w:tcPr>
            <w:tcW w:w="1507" w:type="dxa"/>
            <w:vAlign w:val="center"/>
          </w:tcPr>
          <w:p>
            <w:pPr>
              <w:pStyle w:val="480"/>
              <w:spacing w:line="360" w:lineRule="auto"/>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3001480</w:t>
            </w:r>
          </w:p>
        </w:tc>
        <w:tc>
          <w:tcPr>
            <w:tcW w:w="553" w:type="dxa"/>
            <w:vAlign w:val="center"/>
          </w:tcPr>
          <w:p>
            <w:pPr>
              <w:pStyle w:val="480"/>
              <w:spacing w:line="360" w:lineRule="auto"/>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w:t>
            </w:r>
          </w:p>
        </w:tc>
        <w:tc>
          <w:tcPr>
            <w:tcW w:w="3500" w:type="dxa"/>
            <w:vAlign w:val="center"/>
          </w:tcPr>
          <w:p>
            <w:pPr>
              <w:shd w:val="clear" w:color="auto" w:fill="FFFFFF"/>
              <w:rPr>
                <w:rFonts w:cs="宋体" w:asciiTheme="minorEastAsia" w:hAnsiTheme="minorEastAsia" w:eastAsiaTheme="minorEastAsia"/>
                <w:sz w:val="24"/>
              </w:rPr>
            </w:pPr>
            <w:r>
              <w:rPr>
                <w:rFonts w:hint="eastAsia" w:cstheme="minorBidi"/>
                <w:sz w:val="24"/>
              </w:rPr>
              <w:t>本次招标采购项目为浙江工商大学杭州商学院</w:t>
            </w:r>
            <w:r>
              <w:rPr>
                <w:rFonts w:hint="eastAsia" w:cstheme="minorBidi"/>
                <w:sz w:val="24"/>
                <w:lang w:eastAsia="zh-CN"/>
              </w:rPr>
              <w:t>人工智能综合实验室建设项目</w:t>
            </w:r>
            <w:r>
              <w:rPr>
                <w:rFonts w:hint="eastAsia" w:cstheme="minorBidi"/>
                <w:sz w:val="24"/>
              </w:rPr>
              <w:t>，</w:t>
            </w:r>
            <w:r>
              <w:rPr>
                <w:rFonts w:hint="eastAsia" w:cs="宋体" w:asciiTheme="minorEastAsia" w:hAnsiTheme="minorEastAsia" w:eastAsiaTheme="minorEastAsia"/>
                <w:sz w:val="24"/>
              </w:rPr>
              <w:t>详见招标文件第三部分采购需求。</w:t>
            </w:r>
          </w:p>
        </w:tc>
        <w:tc>
          <w:tcPr>
            <w:tcW w:w="720" w:type="dxa"/>
            <w:vAlign w:val="center"/>
          </w:tcPr>
          <w:p>
            <w:pPr>
              <w:pStyle w:val="3"/>
              <w:ind w:firstLine="0"/>
              <w:jc w:val="center"/>
              <w:rPr>
                <w:rFonts w:cs="宋体" w:asciiTheme="minorEastAsia" w:hAnsiTheme="minorEastAsia" w:eastAsiaTheme="minorEastAsia"/>
                <w:szCs w:val="24"/>
                <w:lang w:val="en-US"/>
              </w:rPr>
            </w:pPr>
          </w:p>
        </w:tc>
      </w:tr>
    </w:tbl>
    <w:p>
      <w:pPr>
        <w:pStyle w:val="17"/>
        <w:spacing w:line="360" w:lineRule="auto"/>
        <w:ind w:firstLine="480"/>
        <w:rPr>
          <w:rFonts w:asciiTheme="minorEastAsia" w:hAnsiTheme="minorEastAsia" w:eastAsiaTheme="minorEastAsia"/>
          <w:b/>
          <w:color w:val="auto"/>
          <w:sz w:val="24"/>
        </w:rPr>
      </w:pPr>
      <w:r>
        <w:rPr>
          <w:rFonts w:hint="eastAsia" w:asciiTheme="minorEastAsia" w:hAnsiTheme="minorEastAsia" w:eastAsiaTheme="minorEastAsia"/>
          <w:b/>
          <w:color w:val="auto"/>
          <w:sz w:val="24"/>
        </w:rPr>
        <w:t>合同履约期限：详见采购要求</w:t>
      </w:r>
    </w:p>
    <w:p>
      <w:pPr>
        <w:pStyle w:val="17"/>
        <w:spacing w:line="360" w:lineRule="auto"/>
        <w:ind w:firstLine="48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cs="Arial" w:asciiTheme="minorEastAsia" w:hAnsiTheme="minorEastAsia" w:eastAsiaTheme="minorEastAsia"/>
            <w:color w:val="auto"/>
            <w:kern w:val="0"/>
            <w:sz w:val="24"/>
          </w:rPr>
          <w:id w:val="1259492708"/>
        </w:sdtPr>
        <w:sdtEndPr>
          <w:rPr>
            <w:rFonts w:hint="eastAsia" w:cs="Arial" w:asciiTheme="minorEastAsia" w:hAnsiTheme="minorEastAsia" w:eastAsiaTheme="minorEastAsia"/>
            <w:color w:val="auto"/>
            <w:kern w:val="0"/>
            <w:sz w:val="24"/>
          </w:rPr>
        </w:sdtEndPr>
        <w:sdtContent>
          <w:r>
            <w:rPr>
              <w:rFonts w:cs="Segoe UI Symbol" w:asciiTheme="minorEastAsia" w:hAnsiTheme="minorEastAsia" w:eastAsiaTheme="minorEastAsia"/>
              <w:color w:val="auto"/>
              <w:kern w:val="0"/>
              <w:sz w:val="24"/>
            </w:rPr>
            <w:sym w:font="Wingdings 2" w:char="F052"/>
          </w:r>
        </w:sdtContent>
      </w:sdt>
      <w:r>
        <w:rPr>
          <w:rFonts w:hint="eastAsia" w:asciiTheme="minorEastAsia" w:hAnsiTheme="minorEastAsia" w:eastAsiaTheme="minorEastAsia"/>
          <w:b/>
          <w:color w:val="auto"/>
          <w:sz w:val="24"/>
        </w:rPr>
        <w:t>是，</w:t>
      </w:r>
      <w:sdt>
        <w:sdtPr>
          <w:rPr>
            <w:rFonts w:hint="eastAsia" w:cs="Arial" w:asciiTheme="minorEastAsia" w:hAnsiTheme="minorEastAsia" w:eastAsiaTheme="minorEastAsia"/>
            <w:color w:val="auto"/>
            <w:kern w:val="0"/>
            <w:sz w:val="24"/>
          </w:rPr>
          <w:id w:val="2035453831"/>
        </w:sdtPr>
        <w:sdtEndPr>
          <w:rPr>
            <w:rFonts w:hint="eastAsia" w:cs="Arial" w:asciiTheme="minorEastAsia" w:hAnsiTheme="minorEastAsia" w:eastAsiaTheme="minorEastAsia"/>
            <w:color w:val="auto"/>
            <w:kern w:val="0"/>
            <w:sz w:val="24"/>
          </w:rPr>
        </w:sdtEndPr>
        <w:sdtContent>
          <w:r>
            <w:rPr>
              <w:rFonts w:ascii="Segoe UI Symbol" w:hAnsi="Segoe UI Symbol" w:cs="Segoe UI Symbol" w:eastAsiaTheme="minorEastAsia"/>
              <w:color w:val="auto"/>
              <w:kern w:val="0"/>
              <w:sz w:val="24"/>
            </w:rPr>
            <w:t>☐</w:t>
          </w:r>
        </w:sdtContent>
      </w:sdt>
      <w:sdt>
        <w:sdtPr>
          <w:rPr>
            <w:rFonts w:hint="eastAsia" w:cs="Arial" w:asciiTheme="minorEastAsia" w:hAnsiTheme="minorEastAsia" w:eastAsiaTheme="minorEastAsia"/>
            <w:color w:val="auto"/>
            <w:kern w:val="0"/>
            <w:sz w:val="24"/>
          </w:rPr>
          <w:id w:val="24"/>
          <w:showingPlcHdr/>
        </w:sdtPr>
        <w:sdtEndPr>
          <w:rPr>
            <w:rFonts w:hint="eastAsia" w:cs="Arial" w:asciiTheme="minorEastAsia" w:hAnsiTheme="minorEastAsia" w:eastAsiaTheme="minorEastAsia"/>
            <w:color w:val="auto"/>
            <w:kern w:val="0"/>
            <w:sz w:val="24"/>
          </w:rPr>
        </w:sdtEndPr>
        <w:sdtContent/>
      </w:sdt>
      <w:r>
        <w:rPr>
          <w:rFonts w:hint="eastAsia" w:asciiTheme="minorEastAsia" w:hAnsiTheme="minorEastAsia" w:eastAsiaTheme="minorEastAsia"/>
          <w:b/>
          <w:color w:val="auto"/>
          <w:sz w:val="24"/>
        </w:rPr>
        <w:t>否</w:t>
      </w:r>
      <w:r>
        <w:rPr>
          <w:rFonts w:hint="eastAsia" w:cs="Arial" w:asciiTheme="minorEastAsia" w:hAnsiTheme="minorEastAsia" w:eastAsiaTheme="minorEastAsia"/>
          <w:color w:val="auto"/>
          <w:kern w:val="0"/>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pPr>
        <w:spacing w:line="360" w:lineRule="auto"/>
        <w:ind w:firstLine="48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1.</w:t>
      </w:r>
      <w:r>
        <w:rPr>
          <w:rFonts w:hint="eastAsia" w:cs="仿宋_GB2312" w:asciiTheme="minorEastAsia" w:hAnsiTheme="minorEastAsia" w:eastAsiaTheme="minor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2.</w:t>
      </w:r>
      <w:r>
        <w:rPr>
          <w:rFonts w:hint="eastAsia" w:cs="仿宋_GB2312" w:asciiTheme="minorEastAsia" w:hAnsiTheme="minorEastAsia" w:eastAsiaTheme="minorEastAsia"/>
          <w:snapToGrid w:val="0"/>
          <w:kern w:val="28"/>
          <w:sz w:val="24"/>
          <w:szCs w:val="20"/>
        </w:rPr>
        <w:t>落实政府采购政策需满足的资格要求：</w:t>
      </w:r>
    </w:p>
    <w:p>
      <w:pPr>
        <w:pStyle w:val="33"/>
      </w:pPr>
      <w:sdt>
        <w:sdtPr>
          <w:rPr>
            <w:rFonts w:hint="eastAsia" w:hAnsi="宋体" w:cs="宋体"/>
            <w:kern w:val="0"/>
            <w:sz w:val="24"/>
          </w:rPr>
          <w:id w:val="26"/>
        </w:sdtPr>
        <w:sdtEndPr>
          <w:rPr>
            <w:rFonts w:hint="eastAsia" w:hAnsi="宋体" w:cs="宋体"/>
            <w:kern w:val="0"/>
            <w:sz w:val="24"/>
          </w:rPr>
        </w:sdtEndPr>
        <w:sdtContent>
          <w:r>
            <w:rPr>
              <w:rFonts w:hAnsi="宋体" w:cs="宋体"/>
              <w:kern w:val="0"/>
              <w:sz w:val="24"/>
            </w:rPr>
            <w:t xml:space="preserve">    </w:t>
          </w:r>
          <w:r>
            <w:rPr>
              <w:rFonts w:hint="eastAsia" w:hAnsi="宋体" w:cs="宋体"/>
              <w:kern w:val="0"/>
              <w:sz w:val="24"/>
            </w:rPr>
            <w:sym w:font="Wingdings" w:char="00A8"/>
          </w:r>
        </w:sdtContent>
      </w:sdt>
      <w:r>
        <w:rPr>
          <w:rFonts w:hint="eastAsia" w:hAnsi="宋体" w:cs="宋体"/>
          <w:kern w:val="0"/>
          <w:sz w:val="24"/>
        </w:rPr>
        <w:t xml:space="preserve"> </w:t>
      </w:r>
      <w:r>
        <w:rPr>
          <w:rFonts w:hint="eastAsia" w:hAnsi="宋体" w:cs="宋体"/>
          <w:kern w:val="0"/>
          <w:sz w:val="24"/>
          <w:lang w:eastAsia="zh-Hans"/>
        </w:rPr>
        <w:t>无</w:t>
      </w:r>
    </w:p>
    <w:p>
      <w:pPr>
        <w:spacing w:line="360" w:lineRule="auto"/>
        <w:ind w:firstLine="480" w:firstLineChars="200"/>
        <w:rPr>
          <w:rFonts w:asciiTheme="minorEastAsia" w:hAnsiTheme="minorEastAsia" w:eastAsiaTheme="minorEastAsia"/>
          <w:sz w:val="24"/>
        </w:rPr>
      </w:pPr>
      <w:sdt>
        <w:sdtPr>
          <w:rPr>
            <w:rFonts w:hint="eastAsia" w:ascii="宋体" w:hAnsi="宋体" w:cs="宋体"/>
            <w:kern w:val="0"/>
            <w:sz w:val="24"/>
          </w:rPr>
          <w:id w:val="27"/>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 xml:space="preserve"> </w:t>
      </w:r>
      <w:r>
        <w:rPr>
          <w:rFonts w:hint="eastAsia" w:cs="Arial" w:asciiTheme="minorEastAsia" w:hAnsiTheme="minorEastAsia" w:eastAsiaTheme="minorEastAsia"/>
          <w:kern w:val="0"/>
          <w:sz w:val="24"/>
        </w:rPr>
        <w:t>专</w:t>
      </w:r>
      <w:r>
        <w:rPr>
          <w:rFonts w:hint="eastAsia" w:asciiTheme="minorEastAsia" w:hAnsiTheme="minorEastAsia" w:eastAsiaTheme="minorEastAsia"/>
          <w:sz w:val="24"/>
        </w:rPr>
        <w:t>门面向中小企业</w:t>
      </w:r>
    </w:p>
    <w:p>
      <w:pPr>
        <w:spacing w:line="360" w:lineRule="auto"/>
        <w:ind w:firstLine="897" w:firstLineChars="374"/>
        <w:rPr>
          <w:rFonts w:asciiTheme="minorEastAsia" w:hAnsiTheme="minorEastAsia" w:eastAsiaTheme="minorEastAsia"/>
          <w:sz w:val="24"/>
          <w:u w:val="single"/>
        </w:rPr>
      </w:pPr>
      <w:sdt>
        <w:sdtPr>
          <w:rPr>
            <w:rFonts w:hint="eastAsia" w:ascii="宋体" w:hAnsi="宋体" w:cs="宋体"/>
            <w:kern w:val="0"/>
            <w:sz w:val="24"/>
          </w:rPr>
          <w:id w:val="28"/>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 xml:space="preserve"> </w:t>
      </w:r>
      <w:r>
        <w:rPr>
          <w:rFonts w:hint="eastAsia" w:asciiTheme="minorEastAsia" w:hAnsiTheme="minorEastAsia" w:eastAsiaTheme="minorEastAsia"/>
          <w:sz w:val="24"/>
        </w:rPr>
        <w:t>货物全部由符合政策要求的中小企业制造，提供中小企业声明函；</w:t>
      </w:r>
    </w:p>
    <w:p>
      <w:pPr>
        <w:spacing w:line="360" w:lineRule="auto"/>
        <w:ind w:firstLine="897" w:firstLineChars="374"/>
        <w:rPr>
          <w:rFonts w:asciiTheme="minorEastAsia" w:hAnsiTheme="minorEastAsia" w:eastAsiaTheme="minorEastAsia"/>
        </w:rPr>
      </w:pPr>
      <w:sdt>
        <w:sdtPr>
          <w:rPr>
            <w:rFonts w:hint="eastAsia" w:ascii="宋体" w:hAnsi="宋体" w:cs="宋体"/>
            <w:kern w:val="0"/>
            <w:sz w:val="24"/>
          </w:rPr>
          <w:id w:val="29"/>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Theme="minorEastAsia" w:hAnsiTheme="minorEastAsia" w:eastAsiaTheme="minorEastAsia"/>
          <w:sz w:val="24"/>
        </w:rPr>
        <w:t>货物全部由符合政策要求的小微企业制造，提供中小企业声明函；</w:t>
      </w:r>
    </w:p>
    <w:p>
      <w:pPr>
        <w:spacing w:line="360" w:lineRule="auto"/>
        <w:ind w:firstLine="480" w:firstLineChars="200"/>
        <w:rPr>
          <w:rFonts w:asciiTheme="minorEastAsia" w:hAnsiTheme="minorEastAsia" w:eastAsiaTheme="minorEastAsia"/>
          <w:sz w:val="24"/>
        </w:rPr>
      </w:pPr>
      <w:sdt>
        <w:sdtPr>
          <w:rPr>
            <w:rFonts w:hint="eastAsia" w:ascii="宋体" w:hAnsi="宋体" w:cs="宋体"/>
            <w:kern w:val="0"/>
            <w:sz w:val="24"/>
          </w:rPr>
          <w:id w:val="30"/>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Theme="minorEastAsia" w:hAnsiTheme="minorEastAsia" w:eastAsiaTheme="minorEastAsia"/>
          <w:sz w:val="24"/>
        </w:rPr>
        <w:t>要求以联合体形式参加，提供联合协议和中小企业声明函，联合协议中中小企业合同金额应当达到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%，小</w:t>
      </w:r>
      <w:r>
        <w:rPr>
          <w:rFonts w:hint="eastAsia" w:asciiTheme="minorEastAsia" w:hAnsiTheme="minorEastAsia" w:eastAsiaTheme="minorEastAsia"/>
          <w:sz w:val="24"/>
        </w:rPr>
        <w:t>微企业合同金额应当达到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sdt>
        <w:sdtPr>
          <w:rPr>
            <w:rFonts w:hint="eastAsia" w:ascii="宋体" w:hAnsi="宋体" w:cs="宋体"/>
            <w:kern w:val="0"/>
            <w:sz w:val="24"/>
          </w:rPr>
          <w:id w:val="31"/>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Theme="minorEastAsia" w:hAnsiTheme="minorEastAsia" w:eastAsiaTheme="minorEastAsia"/>
          <w:sz w:val="24"/>
        </w:rPr>
        <w:t>要求合同分包，提供分包意向协议和中小企业声明函，分包意向协议中中小企业合同金额应当达到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，小微企业合同金额应当达到</w:t>
      </w:r>
      <w:r>
        <w:rPr>
          <w:rFonts w:asciiTheme="minorEastAsia" w:hAnsiTheme="minorEastAsia" w:eastAsiaTheme="minorEastAsia"/>
          <w:sz w:val="24"/>
          <w:u w:val="single"/>
        </w:rPr>
        <w:t xml:space="preserve">   </w:t>
      </w:r>
      <w:r>
        <w:rPr>
          <w:rFonts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3.本项目的特定资格要求：无</w:t>
      </w:r>
      <w:r>
        <w:rPr>
          <w:rFonts w:hint="eastAsia" w:asciiTheme="minorEastAsia" w:hAnsiTheme="minorEastAsia" w:eastAsiaTheme="minorEastAsia"/>
          <w:sz w:val="24"/>
        </w:rPr>
        <w:t>；</w:t>
      </w:r>
    </w:p>
    <w:p>
      <w:pPr>
        <w:snapToGrid w:val="0"/>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单位负责人为同一人或者存在直接控股、管理关系的不同供应商，不得参加同一合同项下的政府采购活动；</w:t>
      </w:r>
      <w:r>
        <w:rPr>
          <w:rFonts w:cs="仿宋_GB2312" w:asciiTheme="minorEastAsia" w:hAnsiTheme="minorEastAsia" w:eastAsiaTheme="minorEastAsia"/>
          <w:sz w:val="24"/>
        </w:rPr>
        <w:t>为采购项目提供整体设计、规范编制或者项目管理、监理、检测等服务后</w:t>
      </w:r>
      <w:r>
        <w:rPr>
          <w:rFonts w:hint="eastAsia" w:cs="仿宋_GB2312" w:asciiTheme="minorEastAsia" w:hAnsiTheme="minorEastAsia" w:eastAsiaTheme="minorEastAsia"/>
          <w:sz w:val="24"/>
        </w:rPr>
        <w:t>不得</w:t>
      </w:r>
      <w:r>
        <w:rPr>
          <w:rFonts w:cs="仿宋_GB2312" w:asciiTheme="minorEastAsia" w:hAnsiTheme="minorEastAsia" w:eastAsiaTheme="minorEastAsia"/>
          <w:sz w:val="24"/>
        </w:rPr>
        <w:t>再参加该采购项目的其他采购活动。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三、获取招标文件</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时间：</w:t>
      </w:r>
      <w:r>
        <w:rPr>
          <w:rFonts w:hint="eastAsia" w:cs="仿宋_GB2312" w:asciiTheme="minorEastAsia" w:hAnsiTheme="minorEastAsia" w:eastAsiaTheme="minorEastAsia"/>
          <w:sz w:val="24"/>
          <w:u w:val="single"/>
        </w:rPr>
        <w:t>公告发布之日起至投标截止时间</w:t>
      </w:r>
      <w:r>
        <w:rPr>
          <w:rFonts w:asciiTheme="minorEastAsia" w:hAnsiTheme="minorEastAsia" w:eastAsiaTheme="minorEastAsia"/>
          <w:sz w:val="24"/>
        </w:rPr>
        <w:t>（北京时间，线上获取法定节假日均可，线下获取文件法定节假日除外</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方式：</w:t>
      </w:r>
      <w:r>
        <w:rPr>
          <w:rFonts w:hint="eastAsia" w:asciiTheme="minorEastAsia" w:hAnsiTheme="minorEastAsia" w:eastAsiaTheme="minorEastAsia"/>
          <w:sz w:val="24"/>
        </w:rPr>
        <w:t>供应商登录政采云平台</w:t>
      </w:r>
      <w:r>
        <w:rPr>
          <w:rFonts w:asciiTheme="minorEastAsia" w:hAnsiTheme="minorEastAsia" w:eastAsiaTheme="minorEastAsia"/>
          <w:sz w:val="24"/>
        </w:rPr>
        <w:t xml:space="preserve">https://www.zcygov.cn/在线申请获取采购文件（进入“项目采购”应用，在获取采购文件菜单中选择项目，申请获取采购文件）。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售价（元）：</w:t>
      </w:r>
      <w:r>
        <w:rPr>
          <w:rFonts w:asciiTheme="minorEastAsia" w:hAnsiTheme="minorEastAsia" w:eastAsiaTheme="minorEastAsia"/>
          <w:sz w:val="24"/>
        </w:rPr>
        <w:t xml:space="preserve">0 </w:t>
      </w:r>
      <w:r>
        <w:rPr>
          <w:rFonts w:asciiTheme="minorEastAsia" w:hAnsiTheme="minorEastAsia" w:eastAsiaTheme="minorEastAsia"/>
          <w:sz w:val="24"/>
        </w:rPr>
        <w:tab/>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四、提交投标文件截止时间、开标时间和地点</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提交投标文件截止时间：</w:t>
      </w:r>
      <w:r>
        <w:rPr>
          <w:rStyle w:val="76"/>
          <w:rFonts w:hint="eastAsia" w:ascii="宋体" w:hAnsi="宋体" w:eastAsia="宋体" w:cs="宋体"/>
          <w:snapToGrid/>
          <w:kern w:val="2"/>
          <w:sz w:val="24"/>
          <w:szCs w:val="24"/>
          <w:highlight w:val="none"/>
        </w:rPr>
        <w:t>2022年</w:t>
      </w:r>
      <w:r>
        <w:rPr>
          <w:rStyle w:val="76"/>
          <w:rFonts w:hint="eastAsia" w:ascii="宋体" w:hAnsi="宋体" w:eastAsia="黑体" w:cs="宋体"/>
          <w:snapToGrid/>
          <w:kern w:val="2"/>
          <w:sz w:val="24"/>
          <w:szCs w:val="24"/>
          <w:highlight w:val="none"/>
          <w:lang w:val="en-US" w:eastAsia="zh-CN"/>
        </w:rPr>
        <w:t>10</w:t>
      </w:r>
      <w:r>
        <w:rPr>
          <w:rStyle w:val="76"/>
          <w:rFonts w:hint="eastAsia" w:ascii="宋体" w:hAnsi="宋体" w:eastAsia="宋体" w:cs="宋体"/>
          <w:snapToGrid/>
          <w:kern w:val="2"/>
          <w:sz w:val="24"/>
          <w:szCs w:val="24"/>
          <w:highlight w:val="none"/>
        </w:rPr>
        <w:t>月</w:t>
      </w:r>
      <w:r>
        <w:rPr>
          <w:rStyle w:val="76"/>
          <w:rFonts w:hint="eastAsia" w:ascii="宋体" w:hAnsi="宋体" w:eastAsia="黑体" w:cs="宋体"/>
          <w:snapToGrid/>
          <w:kern w:val="2"/>
          <w:sz w:val="24"/>
          <w:szCs w:val="24"/>
          <w:highlight w:val="none"/>
          <w:lang w:val="en-US" w:eastAsia="zh-CN"/>
        </w:rPr>
        <w:t>24</w:t>
      </w:r>
      <w:r>
        <w:rPr>
          <w:rStyle w:val="76"/>
          <w:rFonts w:hint="eastAsia" w:ascii="宋体" w:hAnsi="宋体" w:eastAsia="宋体" w:cs="宋体"/>
          <w:snapToGrid/>
          <w:kern w:val="2"/>
          <w:sz w:val="24"/>
          <w:szCs w:val="24"/>
          <w:highlight w:val="none"/>
        </w:rPr>
        <w:t>日</w:t>
      </w:r>
      <w:r>
        <w:rPr>
          <w:rStyle w:val="76"/>
          <w:rFonts w:hint="eastAsia" w:ascii="宋体" w:hAnsi="宋体" w:eastAsia="黑体" w:cs="宋体"/>
          <w:snapToGrid/>
          <w:kern w:val="2"/>
          <w:sz w:val="24"/>
          <w:szCs w:val="24"/>
          <w:highlight w:val="none"/>
          <w:lang w:val="en-US" w:eastAsia="zh-CN"/>
        </w:rPr>
        <w:t>09</w:t>
      </w:r>
      <w:r>
        <w:rPr>
          <w:rStyle w:val="76"/>
          <w:rFonts w:hint="eastAsia" w:ascii="宋体" w:hAnsi="宋体" w:eastAsia="宋体" w:cs="宋体"/>
          <w:snapToGrid/>
          <w:kern w:val="2"/>
          <w:sz w:val="24"/>
          <w:szCs w:val="24"/>
          <w:highlight w:val="none"/>
        </w:rPr>
        <w:t>点</w:t>
      </w:r>
      <w:r>
        <w:rPr>
          <w:rStyle w:val="76"/>
          <w:rFonts w:hint="eastAsia" w:ascii="宋体" w:hAnsi="宋体" w:cs="宋体"/>
          <w:snapToGrid/>
          <w:kern w:val="2"/>
          <w:sz w:val="24"/>
          <w:szCs w:val="24"/>
          <w:highlight w:val="none"/>
        </w:rPr>
        <w:t>00</w:t>
      </w:r>
      <w:r>
        <w:rPr>
          <w:rStyle w:val="76"/>
          <w:rFonts w:hint="eastAsia" w:ascii="宋体" w:hAnsi="宋体" w:eastAsia="宋体" w:cs="宋体"/>
          <w:snapToGrid/>
          <w:kern w:val="2"/>
          <w:sz w:val="24"/>
          <w:szCs w:val="24"/>
          <w:highlight w:val="none"/>
        </w:rPr>
        <w:t>分</w:t>
      </w:r>
      <w:r>
        <w:rPr>
          <w:rStyle w:val="76"/>
          <w:rFonts w:hint="eastAsia" w:ascii="宋体" w:hAnsi="宋体" w:eastAsia="宋体" w:cs="宋体"/>
          <w:bCs/>
          <w:snapToGrid/>
          <w:kern w:val="2"/>
          <w:sz w:val="24"/>
          <w:szCs w:val="24"/>
          <w:highlight w:val="none"/>
        </w:rPr>
        <w:t>00秒</w:t>
      </w:r>
      <w:r>
        <w:rPr>
          <w:rFonts w:hint="eastAsia" w:asciiTheme="minorEastAsia" w:hAnsiTheme="minorEastAsia" w:eastAsiaTheme="minorEastAsia"/>
          <w:sz w:val="24"/>
        </w:rPr>
        <w:t>（北京时间）</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投标地点（网址）：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pPr>
        <w:spacing w:line="360" w:lineRule="auto"/>
        <w:ind w:firstLine="482" w:firstLineChars="200"/>
        <w:rPr>
          <w:rFonts w:asciiTheme="minorEastAsia" w:hAnsiTheme="minorEastAsia" w:eastAsiaTheme="minorEastAsia"/>
          <w:bCs/>
          <w:sz w:val="24"/>
          <w:u w:val="single"/>
        </w:rPr>
      </w:pPr>
      <w:r>
        <w:rPr>
          <w:rFonts w:hint="eastAsia" w:asciiTheme="minorEastAsia" w:hAnsiTheme="minorEastAsia" w:eastAsiaTheme="minorEastAsia"/>
          <w:b/>
          <w:sz w:val="24"/>
        </w:rPr>
        <w:t>开标时间：</w:t>
      </w:r>
      <w:r>
        <w:rPr>
          <w:rStyle w:val="76"/>
          <w:rFonts w:hint="eastAsia" w:ascii="宋体" w:hAnsi="宋体" w:eastAsia="宋体" w:cs="宋体"/>
          <w:snapToGrid/>
          <w:kern w:val="2"/>
          <w:sz w:val="24"/>
          <w:szCs w:val="24"/>
          <w:highlight w:val="none"/>
        </w:rPr>
        <w:t>2022年</w:t>
      </w:r>
      <w:r>
        <w:rPr>
          <w:rStyle w:val="76"/>
          <w:rFonts w:hint="eastAsia" w:ascii="宋体" w:hAnsi="宋体" w:eastAsia="黑体" w:cs="宋体"/>
          <w:snapToGrid/>
          <w:kern w:val="2"/>
          <w:sz w:val="24"/>
          <w:szCs w:val="24"/>
          <w:highlight w:val="none"/>
          <w:lang w:val="en-US" w:eastAsia="zh-CN"/>
        </w:rPr>
        <w:t>10</w:t>
      </w:r>
      <w:r>
        <w:rPr>
          <w:rStyle w:val="76"/>
          <w:rFonts w:hint="eastAsia" w:ascii="宋体" w:hAnsi="宋体" w:eastAsia="宋体" w:cs="宋体"/>
          <w:snapToGrid/>
          <w:kern w:val="2"/>
          <w:sz w:val="24"/>
          <w:szCs w:val="24"/>
          <w:highlight w:val="none"/>
        </w:rPr>
        <w:t>月</w:t>
      </w:r>
      <w:r>
        <w:rPr>
          <w:rStyle w:val="76"/>
          <w:rFonts w:hint="eastAsia" w:ascii="宋体" w:hAnsi="宋体" w:eastAsia="黑体" w:cs="宋体"/>
          <w:snapToGrid/>
          <w:kern w:val="2"/>
          <w:sz w:val="24"/>
          <w:szCs w:val="24"/>
          <w:highlight w:val="none"/>
          <w:lang w:val="en-US" w:eastAsia="zh-CN"/>
        </w:rPr>
        <w:t>24</w:t>
      </w:r>
      <w:r>
        <w:rPr>
          <w:rStyle w:val="76"/>
          <w:rFonts w:hint="eastAsia" w:ascii="宋体" w:hAnsi="宋体" w:eastAsia="宋体" w:cs="宋体"/>
          <w:snapToGrid/>
          <w:kern w:val="2"/>
          <w:sz w:val="24"/>
          <w:szCs w:val="24"/>
          <w:highlight w:val="none"/>
        </w:rPr>
        <w:t>日</w:t>
      </w:r>
      <w:r>
        <w:rPr>
          <w:rStyle w:val="76"/>
          <w:rFonts w:hint="eastAsia" w:ascii="宋体" w:hAnsi="宋体" w:eastAsia="黑体" w:cs="宋体"/>
          <w:snapToGrid/>
          <w:kern w:val="2"/>
          <w:sz w:val="24"/>
          <w:szCs w:val="24"/>
          <w:highlight w:val="none"/>
          <w:lang w:val="en-US" w:eastAsia="zh-CN"/>
        </w:rPr>
        <w:t>09</w:t>
      </w:r>
      <w:r>
        <w:rPr>
          <w:rStyle w:val="76"/>
          <w:rFonts w:hint="eastAsia" w:ascii="宋体" w:hAnsi="宋体" w:eastAsia="宋体" w:cs="宋体"/>
          <w:snapToGrid/>
          <w:kern w:val="2"/>
          <w:sz w:val="24"/>
          <w:szCs w:val="24"/>
          <w:highlight w:val="none"/>
        </w:rPr>
        <w:t>点</w:t>
      </w:r>
      <w:r>
        <w:rPr>
          <w:rStyle w:val="76"/>
          <w:rFonts w:hint="eastAsia" w:ascii="宋体" w:hAnsi="宋体" w:cs="宋体"/>
          <w:snapToGrid/>
          <w:kern w:val="2"/>
          <w:sz w:val="24"/>
          <w:szCs w:val="24"/>
          <w:highlight w:val="none"/>
        </w:rPr>
        <w:t>00</w:t>
      </w:r>
      <w:r>
        <w:rPr>
          <w:rStyle w:val="76"/>
          <w:rFonts w:hint="eastAsia" w:ascii="宋体" w:hAnsi="宋体" w:eastAsia="宋体" w:cs="宋体"/>
          <w:snapToGrid/>
          <w:kern w:val="2"/>
          <w:sz w:val="24"/>
          <w:szCs w:val="24"/>
          <w:highlight w:val="none"/>
        </w:rPr>
        <w:t>分</w:t>
      </w:r>
      <w:r>
        <w:rPr>
          <w:rStyle w:val="76"/>
          <w:rFonts w:hint="eastAsia" w:ascii="宋体" w:hAnsi="宋体" w:eastAsia="宋体" w:cs="宋体"/>
          <w:bCs/>
          <w:snapToGrid/>
          <w:kern w:val="2"/>
          <w:sz w:val="24"/>
          <w:szCs w:val="24"/>
          <w:highlight w:val="none"/>
        </w:rPr>
        <w:t>00秒</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开标地点（网址）：</w:t>
      </w:r>
      <w:r>
        <w:rPr>
          <w:rFonts w:asciiTheme="minorEastAsia" w:hAnsiTheme="minorEastAsia" w:eastAsiaTheme="minorEastAsia"/>
          <w:sz w:val="24"/>
        </w:rPr>
        <w:t>政</w:t>
      </w:r>
      <w:r>
        <w:rPr>
          <w:rFonts w:hint="eastAsia" w:asciiTheme="minorEastAsia" w:hAnsiTheme="minorEastAsia" w:eastAsiaTheme="minorEastAsia"/>
          <w:sz w:val="24"/>
        </w:rPr>
        <w:t>采云平台（</w:t>
      </w:r>
      <w:r>
        <w:rPr>
          <w:rFonts w:asciiTheme="minorEastAsia" w:hAnsiTheme="minorEastAsia" w:eastAsiaTheme="minorEastAsia"/>
          <w:sz w:val="24"/>
        </w:rPr>
        <w:t>https://www.zcygov.cn/）</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五、公告期限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w:t>
      </w:r>
      <w:r>
        <w:rPr>
          <w:rFonts w:asciiTheme="minorEastAsia" w:hAnsiTheme="minorEastAsia" w:eastAsiaTheme="minorEastAsia"/>
          <w:sz w:val="24"/>
        </w:rPr>
        <w:t>5个工作日。</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sz w:val="24"/>
        </w:rPr>
        <w:t>4.其他事项：（1）需要落实的政府采购政策：包括节约资源、保护环境、支持创新、促进中小企业发展等。详见招标文件的第二部分总则。（2）</w:t>
      </w:r>
      <w:r>
        <w:rPr>
          <w:rFonts w:asciiTheme="minorEastAsia" w:hAnsiTheme="minorEastAsia" w:eastAsiaTheme="minorEastAsia"/>
          <w:sz w:val="24"/>
        </w:rPr>
        <w:t>电子招投标的说明：</w:t>
      </w:r>
      <w:r>
        <w:rPr>
          <w:rFonts w:hint="eastAsia" w:cs="仿宋_GB2312" w:asciiTheme="minorEastAsia" w:hAnsiTheme="minorEastAsia" w:eastAsiaTheme="minorEastAsia"/>
          <w:sz w:val="24"/>
        </w:rPr>
        <w:t>①</w:t>
      </w:r>
      <w:r>
        <w:rPr>
          <w:rFonts w:cs="仿宋_GB2312" w:asciiTheme="minorEastAsia" w:hAnsiTheme="minorEastAsia" w:eastAsiaTheme="minorEastAsia"/>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sz w:val="24"/>
        </w:rPr>
        <w:t>；②</w:t>
      </w:r>
      <w:r>
        <w:rPr>
          <w:rFonts w:cs="仿宋_GB2312" w:asciiTheme="minorEastAsia" w:hAnsiTheme="minorEastAsia" w:eastAsia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rPr>
        <w:t>采云电子交易客户端”</w:t>
      </w:r>
      <w:r>
        <w:rPr>
          <w:rFonts w:cs="仿宋_GB2312" w:asciiTheme="minorEastAsia" w:hAnsiTheme="minorEastAsia" w:eastAsiaTheme="minorEastAsia"/>
          <w:sz w:val="24"/>
        </w:rPr>
        <w:t>----前往“浙江政府采购网-下载专区-电子交易客户端”进行下载并安装</w:t>
      </w:r>
      <w:r>
        <w:rPr>
          <w:rFonts w:hint="eastAsia" w:cs="仿宋_GB2312" w:asciiTheme="minorEastAsia" w:hAnsiTheme="minorEastAsia" w:eastAsiaTheme="minorEastAsia"/>
          <w:sz w:val="24"/>
        </w:rPr>
        <w:t>；③</w:t>
      </w:r>
      <w:r>
        <w:rPr>
          <w:rFonts w:cs="仿宋_GB2312" w:asciiTheme="minorEastAsia" w:hAnsiTheme="minorEastAsia" w:eastAsiaTheme="minorEastAsia"/>
          <w:sz w:val="24"/>
        </w:rPr>
        <w:t>招标文件的获取：使用账号登录或者使用CA登录政</w:t>
      </w:r>
      <w:r>
        <w:rPr>
          <w:rFonts w:hint="eastAsia" w:cs="仿宋_GB2312" w:asciiTheme="minorEastAsia" w:hAnsiTheme="minorEastAsia" w:eastAsiaTheme="minorEastAsia"/>
          <w:sz w:val="24"/>
        </w:rPr>
        <w:t>采云平台；进入“项目采购”应用，在获取采购文件菜单中选择项目，获取招标文件；④</w:t>
      </w:r>
      <w:r>
        <w:rPr>
          <w:rFonts w:cs="仿宋_GB2312" w:asciiTheme="minorEastAsia" w:hAnsiTheme="minorEastAsia" w:eastAsiaTheme="minorEastAsia"/>
          <w:sz w:val="24"/>
        </w:rPr>
        <w:t>投标文件的制作：在“政</w:t>
      </w:r>
      <w:r>
        <w:rPr>
          <w:rFonts w:hint="eastAsia" w:cs="仿宋_GB2312" w:asciiTheme="minorEastAsia" w:hAnsiTheme="minorEastAsia" w:eastAsiaTheme="minorEastAsia"/>
          <w:sz w:val="24"/>
        </w:rPr>
        <w:t>采云电子交易客户端”中完成“填写基本信息”、“导入投标文件”、“标书关联”、“标书检查”、“电子签名”、“生成电子标书”等操作；</w:t>
      </w:r>
      <w:r>
        <w:rPr>
          <w:rFonts w:hint="eastAsia" w:asciiTheme="minorEastAsia" w:hAnsiTheme="minorEastAsia" w:eastAsiaTheme="minorEastAsia"/>
          <w:sz w:val="24"/>
        </w:rPr>
        <w:t>⑤</w:t>
      </w:r>
      <w:r>
        <w:rPr>
          <w:rFonts w:asciiTheme="minorEastAsia" w:hAnsiTheme="minorEastAsia" w:eastAsiaTheme="minorEastAsia"/>
          <w:sz w:val="24"/>
        </w:rPr>
        <w:t>采购人、采购机构将依托政</w:t>
      </w:r>
      <w:r>
        <w:rPr>
          <w:rFonts w:hint="eastAsia" w:asciiTheme="minorEastAsia" w:hAnsiTheme="minorEastAsia" w:eastAsiaTheme="minorEastAsia"/>
          <w:sz w:val="24"/>
        </w:rPr>
        <w:t>采云平台完成本项目的电子交易活动，平台不接受未按上述方式获取招标文件的供应商进行投标活动；⑥</w:t>
      </w:r>
      <w:r>
        <w:rPr>
          <w:rFonts w:asciiTheme="minorEastAsia" w:hAnsiTheme="minorEastAsia" w:eastAsiaTheme="minorEastAsia"/>
          <w:sz w:val="24"/>
        </w:rPr>
        <w:t>对未按上述方式获取招标文件的供应商对该文件提出的质疑，采购人或采购代理机构将</w:t>
      </w:r>
      <w:r>
        <w:rPr>
          <w:rFonts w:hint="eastAsia" w:asciiTheme="minorEastAsia" w:hAnsiTheme="minorEastAsia" w:eastAsiaTheme="minorEastAsia"/>
          <w:sz w:val="24"/>
        </w:rPr>
        <w:t>不予处理；⑦</w:t>
      </w:r>
      <w:r>
        <w:rPr>
          <w:rFonts w:asciiTheme="minorEastAsia" w:hAnsiTheme="minorEastAsia" w:eastAsiaTheme="minorEastAsia"/>
          <w:sz w:val="24"/>
        </w:rPr>
        <w:t>不提供招标文件纸质版</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⑧</w:t>
      </w:r>
      <w:r>
        <w:rPr>
          <w:rFonts w:cs="仿宋_GB2312" w:asciiTheme="minorEastAsia" w:hAnsiTheme="minorEastAsia" w:eastAsiaTheme="minorEastAsia"/>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s="仿宋_GB2312" w:asciiTheme="minorEastAsia" w:hAnsiTheme="minorEastAsia" w:eastAsiaTheme="minorEastAsia"/>
          <w:sz w:val="24"/>
        </w:rPr>
        <w:t>；</w:t>
      </w:r>
      <w:r>
        <w:rPr>
          <w:rFonts w:hint="eastAsia" w:asciiTheme="minorEastAsia" w:hAnsiTheme="minorEastAsia" w:eastAsiaTheme="minorEastAsia"/>
          <w:sz w:val="24"/>
        </w:rPr>
        <w:t>⑨</w:t>
      </w:r>
      <w:r>
        <w:rPr>
          <w:rFonts w:hint="eastAsia" w:cs="仿宋_GB2312" w:asciiTheme="minorEastAsia" w:hAnsiTheme="minorEastAsia" w:eastAsia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cs="仿宋_GB2312" w:asciiTheme="minorEastAsia" w:hAnsiTheme="minorEastAsia" w:eastAsiaTheme="minorEastAsia"/>
          <w:sz w:val="24"/>
        </w:rPr>
        <w:t>具体操作指南：详见政</w:t>
      </w:r>
      <w:r>
        <w:rPr>
          <w:rFonts w:hint="eastAsia" w:cs="仿宋_GB2312" w:asciiTheme="minorEastAsia" w:hAnsiTheme="minorEastAsia" w:eastAsiaTheme="minorEastAsia"/>
          <w:sz w:val="24"/>
        </w:rPr>
        <w:t>采云平台“服务中心</w:t>
      </w:r>
      <w:r>
        <w:rPr>
          <w:rFonts w:cs="仿宋_GB2312" w:asciiTheme="minorEastAsia" w:hAnsiTheme="minorEastAsia" w:eastAsiaTheme="minorEastAsia"/>
          <w:sz w:val="24"/>
        </w:rPr>
        <w:t>-帮助文档-项目采购-操作流程-电子招投标-政府采购项目电子交易管理操作指南-供应商”。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七、对本次采购提出询问、质疑、投诉，请按以下方式联系</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1.采购人信息</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称：浙江工商大学杭州商学院</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址：杭州市桐庐县环城南路66号</w:t>
      </w:r>
    </w:p>
    <w:p>
      <w:pPr>
        <w:pStyle w:val="58"/>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项目联系人（询问）：黄小洁</w:t>
      </w:r>
    </w:p>
    <w:p>
      <w:pPr>
        <w:pStyle w:val="58"/>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项目联系方式（询问）：0571-69936023</w:t>
      </w:r>
    </w:p>
    <w:p>
      <w:pPr>
        <w:pStyle w:val="58"/>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质疑联系人：周学堂</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质疑联系方式：0571-69936087</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2.采购代理机构信息</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名称：浙江信镧建设工程咨询有限公司</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地址：</w:t>
      </w:r>
      <w:r>
        <w:rPr>
          <w:rStyle w:val="961"/>
          <w:rFonts w:hint="eastAsia" w:cs="仿宋_GB2312" w:asciiTheme="minorEastAsia" w:hAnsiTheme="minorEastAsia" w:eastAsiaTheme="minorEastAsia"/>
        </w:rPr>
        <w:t>浙江省杭州市西湖区文二路391号西湖国际科技大厦B2楼507室</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传真：</w:t>
      </w:r>
      <w:r>
        <w:rPr>
          <w:rStyle w:val="961"/>
          <w:rFonts w:hint="eastAsia" w:cs="仿宋_GB2312" w:asciiTheme="minorEastAsia" w:hAnsiTheme="minorEastAsia" w:eastAsiaTheme="minorEastAsia"/>
        </w:rPr>
        <w:t>0571-85024997</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项目联系人（询问）：曹威</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项目联系方式（询问）：</w:t>
      </w:r>
      <w:r>
        <w:rPr>
          <w:rStyle w:val="961"/>
          <w:rFonts w:hint="eastAsia" w:cs="仿宋_GB2312" w:asciiTheme="minorEastAsia" w:hAnsiTheme="minorEastAsia" w:eastAsiaTheme="minorEastAsia"/>
        </w:rPr>
        <w:t>0571-87967630</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质疑联系人：</w:t>
      </w:r>
      <w:r>
        <w:rPr>
          <w:rStyle w:val="961"/>
          <w:rFonts w:hint="eastAsia" w:cs="仿宋_GB2312" w:asciiTheme="minorEastAsia" w:hAnsiTheme="minorEastAsia" w:eastAsiaTheme="minorEastAsia"/>
        </w:rPr>
        <w:t>葛梅兰</w:t>
      </w:r>
    </w:p>
    <w:p>
      <w:pPr>
        <w:pStyle w:val="58"/>
        <w:spacing w:before="75" w:beforeAutospacing="0" w:after="75" w:afterAutospacing="0" w:line="360" w:lineRule="auto"/>
        <w:ind w:firstLine="480" w:firstLineChars="200"/>
        <w:rPr>
          <w:rStyle w:val="961"/>
          <w:rFonts w:cs="仿宋_GB2312" w:asciiTheme="minorEastAsia" w:hAnsiTheme="minorEastAsia" w:eastAsiaTheme="minorEastAsia"/>
        </w:rPr>
      </w:pPr>
      <w:r>
        <w:rPr>
          <w:rFonts w:hint="eastAsia" w:cs="仿宋_GB2312" w:asciiTheme="minorEastAsia" w:hAnsiTheme="minorEastAsia" w:eastAsiaTheme="minorEastAsia"/>
        </w:rPr>
        <w:t>质疑联系方式：</w:t>
      </w:r>
      <w:r>
        <w:rPr>
          <w:rStyle w:val="961"/>
          <w:rFonts w:hint="eastAsia" w:cs="仿宋_GB2312" w:asciiTheme="minorEastAsia" w:hAnsiTheme="minorEastAsia" w:eastAsiaTheme="minorEastAsia"/>
        </w:rPr>
        <w:t>0571-87967630</w:t>
      </w:r>
    </w:p>
    <w:p>
      <w:pPr>
        <w:pStyle w:val="58"/>
        <w:spacing w:before="75" w:beforeAutospacing="0" w:after="75" w:afterAutospacing="0" w:line="360" w:lineRule="auto"/>
        <w:ind w:firstLine="482" w:firstLineChars="200"/>
        <w:rPr>
          <w:rFonts w:cs="仿宋_GB2312" w:asciiTheme="minorEastAsia" w:hAnsiTheme="minorEastAsia" w:eastAsiaTheme="minorEastAsia"/>
          <w:bCs/>
        </w:rPr>
      </w:pPr>
      <w:r>
        <w:rPr>
          <w:rFonts w:hint="eastAsia" w:cs="仿宋_GB2312" w:asciiTheme="minorEastAsia" w:hAnsiTheme="minorEastAsia" w:eastAsiaTheme="minorEastAsia"/>
          <w:b/>
          <w:bCs/>
        </w:rPr>
        <w:t>财务咨询（采购文件费、发票）联系人：</w:t>
      </w:r>
      <w:r>
        <w:rPr>
          <w:rFonts w:hint="eastAsia" w:cs="仿宋_GB2312" w:asciiTheme="minorEastAsia" w:hAnsiTheme="minorEastAsia" w:eastAsiaTheme="minorEastAsia"/>
        </w:rPr>
        <w:t>姚</w:t>
      </w:r>
      <w:r>
        <w:rPr>
          <w:rFonts w:hint="eastAsia" w:cs="仿宋_GB2312" w:asciiTheme="minorEastAsia" w:hAnsiTheme="minorEastAsia" w:eastAsiaTheme="minorEastAsia"/>
          <w:bCs/>
        </w:rPr>
        <w:t>会计</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联系电话：18905813512</w:t>
      </w:r>
    </w:p>
    <w:p>
      <w:pPr>
        <w:pStyle w:val="58"/>
        <w:spacing w:before="75" w:beforeAutospacing="0" w:after="75" w:afterAutospacing="0"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3.同级政府采购监督管理部门</w:t>
      </w:r>
    </w:p>
    <w:p>
      <w:pPr>
        <w:pStyle w:val="58"/>
        <w:spacing w:before="75" w:beforeAutospacing="0" w:after="75" w:afterAutospacing="0" w:line="360" w:lineRule="auto"/>
        <w:ind w:firstLine="480" w:firstLineChars="200"/>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名称：</w:t>
      </w:r>
      <w:r>
        <w:rPr>
          <w:rStyle w:val="961"/>
          <w:rFonts w:hint="eastAsia" w:cs="仿宋_GB2312" w:asciiTheme="minorEastAsia" w:hAnsiTheme="minorEastAsia" w:eastAsiaTheme="minorEastAsia"/>
          <w:lang w:eastAsia="zh-CN"/>
        </w:rPr>
        <w:t>桐庐县财政局</w:t>
      </w:r>
    </w:p>
    <w:p>
      <w:pPr>
        <w:pStyle w:val="58"/>
        <w:spacing w:before="75" w:beforeAutospacing="0" w:after="75" w:afterAutospacing="0" w:line="360" w:lineRule="auto"/>
        <w:ind w:firstLine="480" w:firstLineChars="200"/>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地址：</w:t>
      </w:r>
      <w:bookmarkStart w:id="466" w:name="_GoBack"/>
      <w:bookmarkEnd w:id="466"/>
      <w:r>
        <w:rPr>
          <w:rStyle w:val="961"/>
          <w:rFonts w:hint="eastAsia" w:cs="仿宋_GB2312" w:asciiTheme="minorEastAsia" w:hAnsiTheme="minorEastAsia" w:eastAsiaTheme="minorEastAsia"/>
          <w:lang w:eastAsia="zh-CN"/>
        </w:rPr>
        <w:t>桐庐县迎春南路258号国资大厦6楼</w:t>
      </w:r>
    </w:p>
    <w:p>
      <w:pPr>
        <w:pStyle w:val="58"/>
        <w:spacing w:before="75" w:beforeAutospacing="0" w:after="75" w:afterAutospacing="0" w:line="360" w:lineRule="auto"/>
        <w:ind w:firstLine="480" w:firstLineChars="200"/>
        <w:rPr>
          <w:rFonts w:hint="eastAsia" w:cs="仿宋_GB2312" w:asciiTheme="minorEastAsia" w:hAnsiTheme="minorEastAsia" w:eastAsiaTheme="minorEastAsia"/>
          <w:lang w:eastAsia="zh-CN"/>
        </w:rPr>
      </w:pPr>
      <w:r>
        <w:rPr>
          <w:rFonts w:hint="eastAsia" w:cs="仿宋_GB2312" w:asciiTheme="minorEastAsia" w:hAnsiTheme="minorEastAsia" w:eastAsiaTheme="minorEastAsia"/>
        </w:rPr>
        <w:t>联系人：</w:t>
      </w:r>
      <w:r>
        <w:rPr>
          <w:rStyle w:val="961"/>
          <w:rFonts w:hint="eastAsia" w:cs="仿宋_GB2312" w:asciiTheme="minorEastAsia" w:hAnsiTheme="minorEastAsia" w:eastAsiaTheme="minorEastAsia"/>
          <w:lang w:eastAsia="zh-CN"/>
        </w:rPr>
        <w:t>方翔</w:t>
      </w:r>
    </w:p>
    <w:p>
      <w:pPr>
        <w:spacing w:line="360" w:lineRule="auto"/>
        <w:ind w:firstLine="480" w:firstLineChars="20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监督投诉电话：</w:t>
      </w:r>
      <w:r>
        <w:rPr>
          <w:rStyle w:val="961"/>
          <w:rFonts w:hint="eastAsia" w:cs="仿宋_GB2312" w:asciiTheme="minorEastAsia" w:hAnsiTheme="minorEastAsia" w:eastAsiaTheme="minorEastAsia"/>
          <w:sz w:val="24"/>
          <w:lang w:eastAsia="zh-CN"/>
        </w:rPr>
        <w:t>0571-58507058</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w:t>
      </w:r>
      <w:r>
        <w:rPr>
          <w:rFonts w:asciiTheme="minorEastAsia" w:hAnsiTheme="minorEastAsia" w:eastAsiaTheme="minorEastAsia"/>
          <w:sz w:val="24"/>
        </w:rPr>
        <w:t>400-881-7190获取热线服务帮助。</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adjustRightInd/>
        <w:spacing w:line="360" w:lineRule="auto"/>
        <w:jc w:val="center"/>
        <w:outlineLvl w:val="0"/>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w:br w:type="page"/>
      </w:r>
      <w:bookmarkStart w:id="12" w:name="_Toc13206"/>
      <w:r>
        <w:rPr>
          <w:rFonts w:hint="eastAsia" w:cs="仿宋_GB2312" w:asciiTheme="minorEastAsia" w:hAnsiTheme="minorEastAsia" w:eastAsiaTheme="minorEastAsia"/>
          <w:b/>
          <w:sz w:val="36"/>
          <w:szCs w:val="20"/>
        </w:rPr>
        <w:t>第二部分</w:t>
      </w:r>
      <w:bookmarkEnd w:id="9"/>
      <w:r>
        <w:rPr>
          <w:rFonts w:cs="仿宋_GB2312" w:asciiTheme="minorEastAsia" w:hAnsiTheme="minorEastAsia" w:eastAsiaTheme="minorEastAsia"/>
          <w:b/>
          <w:sz w:val="36"/>
          <w:szCs w:val="20"/>
        </w:rPr>
        <w:t xml:space="preserve"> 投标人须知</w:t>
      </w:r>
      <w:bookmarkEnd w:id="10"/>
      <w:bookmarkEnd w:id="12"/>
    </w:p>
    <w:p>
      <w:pPr>
        <w:snapToGrid w:val="0"/>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cs="仿宋_GB2312" w:asciiTheme="minorEastAsia" w:hAnsiTheme="minorEastAsia" w:eastAsiaTheme="minorEastAsia"/>
                <w:b/>
                <w:kern w:val="0"/>
                <w:sz w:val="24"/>
                <w:lang w:val="zh-CN"/>
              </w:rPr>
            </w:pPr>
            <w:r>
              <w:rPr>
                <w:rFonts w:hint="eastAsia" w:asciiTheme="minorEastAsia" w:hAnsiTheme="minorEastAsia" w:eastAsiaTheme="minorEastAsia"/>
                <w:kern w:val="0"/>
                <w:sz w:val="24"/>
                <w:lang w:val="zh-CN"/>
              </w:rPr>
              <w:t>有关本项目实施所需的所有费用（含税费）均计入报价。</w:t>
            </w:r>
            <w:r>
              <w:rPr>
                <w:rFonts w:hint="eastAsia" w:cs="仿宋_GB2312" w:asciiTheme="minorEastAsia" w:hAnsiTheme="minorEastAsia" w:eastAsiaTheme="minorEastAsia"/>
                <w:sz w:val="24"/>
              </w:rPr>
              <w:t>开标一览表（报价表）</w:t>
            </w:r>
            <w:r>
              <w:rPr>
                <w:rFonts w:hint="eastAsia" w:asciiTheme="minorEastAsia" w:hAnsiTheme="minorEastAsia" w:eastAsiaTheme="minorEastAsia"/>
                <w:sz w:val="24"/>
              </w:rPr>
              <w:t>是报价的唯一载体</w:t>
            </w:r>
            <w:r>
              <w:rPr>
                <w:rFonts w:hint="eastAsia" w:cs="仿宋_GB2312" w:asciiTheme="minorEastAsia" w:hAnsiTheme="minorEastAsia" w:eastAsiaTheme="minorEastAsia"/>
                <w:kern w:val="0"/>
                <w:sz w:val="24"/>
                <w:lang w:val="zh-CN"/>
              </w:rPr>
              <w:t>。投标文件中价格全部采用人民币报价。招标文件未列明，而投标人认为必需的费用也需列入报价。</w:t>
            </w:r>
          </w:p>
          <w:p>
            <w:pPr>
              <w:snapToGrid w:val="0"/>
              <w:spacing w:line="360" w:lineRule="auto"/>
              <w:jc w:val="lef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投标报价出现下列情形的，投标无效：</w:t>
            </w:r>
          </w:p>
          <w:p>
            <w:pPr>
              <w:snapToGrid w:val="0"/>
              <w:spacing w:line="360" w:lineRule="auto"/>
              <w:ind w:firstLine="482" w:firstLineChars="200"/>
              <w:jc w:val="lef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投标文件出现不是唯一的、有选择性投标报价的；</w:t>
            </w:r>
          </w:p>
          <w:p>
            <w:pPr>
              <w:snapToGrid w:val="0"/>
              <w:spacing w:line="360" w:lineRule="auto"/>
              <w:ind w:firstLine="482" w:firstLineChars="200"/>
              <w:jc w:val="left"/>
              <w:rPr>
                <w:rFonts w:asciiTheme="minorEastAsia" w:hAnsiTheme="minorEastAsia" w:eastAsiaTheme="minorEastAsia"/>
                <w:kern w:val="0"/>
                <w:sz w:val="24"/>
                <w:lang w:val="zh-CN"/>
              </w:rPr>
            </w:pPr>
            <w:r>
              <w:rPr>
                <w:rFonts w:hint="eastAsia" w:cs="仿宋_GB2312" w:asciiTheme="minorEastAsia" w:hAnsiTheme="minorEastAsia" w:eastAsiaTheme="minorEastAsia"/>
                <w:b/>
                <w:kern w:val="0"/>
                <w:sz w:val="24"/>
                <w:lang w:val="zh-CN"/>
              </w:rPr>
              <w:t>投标报价超过招标文件中规定的预算金额或者最高限价的</w:t>
            </w:r>
            <w:r>
              <w:rPr>
                <w:rFonts w:asciiTheme="minorEastAsia" w:hAnsiTheme="minorEastAsia" w:eastAsiaTheme="minorEastAsia"/>
                <w:b/>
                <w:kern w:val="0"/>
                <w:sz w:val="24"/>
                <w:lang w:val="zh-CN"/>
              </w:rPr>
              <w:t>;</w:t>
            </w:r>
          </w:p>
          <w:p>
            <w:pPr>
              <w:spacing w:line="360" w:lineRule="auto"/>
              <w:ind w:firstLine="482" w:firstLineChars="200"/>
              <w:rPr>
                <w:rFonts w:cs="仿宋_GB2312" w:asciiTheme="minorEastAsia" w:hAnsiTheme="minorEastAsia" w:eastAsiaTheme="minorEastAsia"/>
                <w:b/>
                <w:sz w:val="24"/>
              </w:rPr>
            </w:pPr>
            <w:r>
              <w:rPr>
                <w:rFonts w:hint="eastAsia" w:cs="Arial"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cs="仿宋_GB2312" w:asciiTheme="minorEastAsia" w:hAnsiTheme="minorEastAsia" w:eastAsiaTheme="minorEastAsia"/>
                <w:b/>
                <w:sz w:val="24"/>
                <w:szCs w:val="21"/>
              </w:rPr>
              <w:t>;</w:t>
            </w:r>
          </w:p>
          <w:p>
            <w:pPr>
              <w:spacing w:line="360" w:lineRule="auto"/>
              <w:ind w:firstLine="482" w:firstLineChars="200"/>
              <w:rPr>
                <w:rFonts w:asciiTheme="minorEastAsia" w:hAnsiTheme="minorEastAsia" w:eastAsiaTheme="minorEastAsia"/>
                <w:sz w:val="24"/>
              </w:rPr>
            </w:pPr>
            <w:r>
              <w:rPr>
                <w:rFonts w:hint="eastAsia" w:cs="Arial" w:asciiTheme="minorEastAsia" w:hAnsiTheme="minorEastAsia" w:eastAsiaTheme="minorEastAsia"/>
                <w:b/>
                <w:kern w:val="0"/>
                <w:sz w:val="24"/>
              </w:rPr>
              <w:t>投标人对根据修正原则修正后的报价不确认的</w:t>
            </w:r>
            <w:r>
              <w:rPr>
                <w:rFonts w:hint="eastAsia"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仿宋_GB2312" w:asciiTheme="minorEastAsia" w:hAnsiTheme="minorEastAsia" w:eastAsiaTheme="minorEastAsia"/>
                <w:sz w:val="24"/>
              </w:rPr>
            </w:pPr>
            <w:sdt>
              <w:sdtPr>
                <w:rPr>
                  <w:rFonts w:hint="eastAsia" w:cs="Arial" w:asciiTheme="minorEastAsia" w:hAnsiTheme="minorEastAsia" w:eastAsiaTheme="minorEastAsia"/>
                  <w:kern w:val="0"/>
                  <w:sz w:val="24"/>
                </w:rPr>
                <w:id w:val="33"/>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sym w:font="Wingdings" w:char="F0FE"/>
                </w:r>
              </w:sdtContent>
            </w:sdt>
            <w:r>
              <w:rPr>
                <w:rFonts w:cs="Arial" w:asciiTheme="minorEastAsia" w:hAnsiTheme="minorEastAsia" w:eastAsiaTheme="minorEastAsia"/>
                <w:kern w:val="0"/>
                <w:sz w:val="24"/>
              </w:rPr>
              <w:t xml:space="preserve">  A</w:t>
            </w:r>
            <w:r>
              <w:rPr>
                <w:rFonts w:hint="eastAsia" w:asciiTheme="minorEastAsia" w:hAnsiTheme="minorEastAsia" w:eastAsiaTheme="minorEastAsia"/>
                <w:sz w:val="24"/>
              </w:rPr>
              <w:t>同意将非主体、非关键性的工作分包。</w:t>
            </w:r>
            <w:sdt>
              <w:sdtPr>
                <w:rPr>
                  <w:rFonts w:hint="eastAsia" w:cs="Arial" w:asciiTheme="minorEastAsia" w:hAnsiTheme="minorEastAsia" w:eastAsiaTheme="minorEastAsia"/>
                  <w:kern w:val="0"/>
                  <w:sz w:val="24"/>
                </w:rPr>
                <w:id w:val="32"/>
              </w:sdtPr>
              <w:sdtEndPr>
                <w:rPr>
                  <w:rFonts w:hint="eastAsia" w:cs="Arial"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cs="Arial" w:asciiTheme="minorEastAsia" w:hAnsiTheme="minorEastAsia" w:eastAsiaTheme="minorEastAsia"/>
                <w:kern w:val="0"/>
                <w:sz w:val="24"/>
              </w:rPr>
              <w:t>B</w:t>
            </w:r>
            <w:r>
              <w:rPr>
                <w:rFonts w:hint="eastAsia" w:asciiTheme="minorEastAsia" w:hAnsiTheme="minorEastAsia" w:eastAsiaTheme="min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1）资格证明文件：见招标文件第二部分11.1。</w:t>
            </w:r>
          </w:p>
          <w:p>
            <w:pPr>
              <w:spacing w:line="360" w:lineRule="auto"/>
              <w:rPr>
                <w:rFonts w:cs="Arial" w:asciiTheme="minorEastAsia" w:hAnsiTheme="minorEastAsia" w:eastAsiaTheme="minorEastAsia"/>
                <w:snapToGrid w:val="0"/>
                <w:kern w:val="0"/>
                <w:szCs w:val="21"/>
              </w:rPr>
            </w:pPr>
            <w:r>
              <w:rPr>
                <w:rFonts w:hint="eastAsia"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6"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color w:val="auto"/>
                <w:sz w:val="24"/>
                <w:highlight w:val="none"/>
              </w:rPr>
            </w:pPr>
          </w:p>
          <w:p>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现场踏勘</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highlight w:val="none"/>
                </w:rPr>
                <w:id w:val="-999802974"/>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cs="Arial" w:asciiTheme="minorEastAsia" w:hAnsiTheme="minorEastAsia" w:eastAsiaTheme="minorEastAsia"/>
                <w:color w:val="auto"/>
                <w:kern w:val="0"/>
                <w:sz w:val="24"/>
                <w:highlight w:val="none"/>
              </w:rPr>
              <w:t>A</w:t>
            </w:r>
            <w:r>
              <w:rPr>
                <w:rFonts w:hint="eastAsia" w:asciiTheme="minorEastAsia" w:hAnsiTheme="minorEastAsia" w:eastAsiaTheme="minorEastAsia"/>
                <w:color w:val="auto"/>
                <w:sz w:val="24"/>
                <w:highlight w:val="none"/>
              </w:rPr>
              <w:t>不组织。</w:t>
            </w:r>
          </w:p>
          <w:p>
            <w:pPr>
              <w:spacing w:line="360" w:lineRule="auto"/>
              <w:rPr>
                <w:rFonts w:asciiTheme="minorEastAsia" w:hAnsiTheme="minorEastAsia" w:eastAsiaTheme="minorEastAsia"/>
                <w:color w:val="auto"/>
                <w:sz w:val="24"/>
                <w:highlight w:val="none"/>
              </w:rPr>
            </w:pPr>
            <w:sdt>
              <w:sdtPr>
                <w:rPr>
                  <w:rFonts w:hint="eastAsia" w:cs="Arial" w:asciiTheme="minorEastAsia" w:hAnsiTheme="minorEastAsia" w:eastAsiaTheme="minorEastAsia"/>
                  <w:color w:val="auto"/>
                  <w:kern w:val="0"/>
                  <w:sz w:val="24"/>
                  <w:highlight w:val="none"/>
                </w:rPr>
                <w:id w:val="-212966419"/>
              </w:sdtPr>
              <w:sdtEndPr>
                <w:rPr>
                  <w:rFonts w:hint="eastAsia" w:cs="Arial" w:asciiTheme="minorEastAsia" w:hAnsiTheme="minorEastAsia" w:eastAsiaTheme="minorEastAsia"/>
                  <w:color w:val="auto"/>
                  <w:kern w:val="0"/>
                  <w:sz w:val="24"/>
                  <w:highlight w:val="none"/>
                </w:rPr>
              </w:sdtEndPr>
              <w:sdtContent>
                <w:r>
                  <w:rPr>
                    <w:rFonts w:cs="Arial" w:asciiTheme="minorEastAsia" w:hAnsiTheme="minorEastAsia" w:eastAsiaTheme="minorEastAsia"/>
                    <w:color w:val="auto"/>
                    <w:kern w:val="0"/>
                    <w:sz w:val="24"/>
                    <w:highlight w:val="none"/>
                  </w:rPr>
                  <w:sym w:font="Wingdings" w:char="F0FE"/>
                </w:r>
              </w:sdtContent>
            </w:sdt>
            <w:r>
              <w:rPr>
                <w:rFonts w:asciiTheme="minorEastAsia" w:hAnsiTheme="minorEastAsia" w:eastAsiaTheme="minorEastAsia"/>
                <w:color w:val="auto"/>
                <w:kern w:val="0"/>
                <w:sz w:val="24"/>
                <w:highlight w:val="none"/>
              </w:rPr>
              <w:t>B组织，</w:t>
            </w:r>
            <w:r>
              <w:rPr>
                <w:rFonts w:hint="eastAsia" w:asciiTheme="minorEastAsia" w:hAnsiTheme="minorEastAsia" w:eastAsiaTheme="minorEastAsia"/>
                <w:color w:val="auto"/>
                <w:sz w:val="24"/>
                <w:highlight w:val="none"/>
              </w:rPr>
              <w:t>时间：周一至周五；</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上午9:00-11:</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0，下午1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:30-1</w:t>
            </w: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0</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地点：</w:t>
            </w:r>
            <w:r>
              <w:rPr>
                <w:rFonts w:hint="eastAsia" w:cs="仿宋_GB2312" w:asciiTheme="minorEastAsia" w:hAnsiTheme="minorEastAsia" w:eastAsiaTheme="minorEastAsia"/>
                <w:color w:val="auto"/>
                <w:sz w:val="24"/>
                <w:highlight w:val="none"/>
              </w:rPr>
              <w:t>杭州市桐庐县环城南路66号</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联系人：黄小洁</w:t>
            </w: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联系方式： </w:t>
            </w:r>
            <w:r>
              <w:rPr>
                <w:rFonts w:asciiTheme="minorEastAsia" w:hAnsiTheme="minorEastAsia" w:eastAsiaTheme="minorEastAsia"/>
                <w:color w:val="auto"/>
                <w:sz w:val="24"/>
                <w:highlight w:val="none"/>
              </w:rPr>
              <w:t>0571-69936023</w:t>
            </w:r>
          </w:p>
          <w:p>
            <w:pPr>
              <w:spacing w:line="360" w:lineRule="auto"/>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highlight w:val="none"/>
              </w:rPr>
              <w:t>注:投标单位需现场踏勘的，</w:t>
            </w:r>
            <w:r>
              <w:rPr>
                <w:rFonts w:hint="eastAsia" w:ascii="宋体" w:hAnsi="宋体" w:cs="宋体"/>
                <w:color w:val="auto"/>
                <w:sz w:val="24"/>
                <w:highlight w:val="none"/>
              </w:rPr>
              <w:t>与采购单位联系人联系现场踏勘，了解项目具体情况。勘察人员需持本公司证明和本人身份证，并根据本地整体防疫要求提供核酸证明。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ascii="仿宋_GB2312" w:hAnsi="仿宋" w:eastAsia="仿宋_GB2312" w:cs="仿宋_GB2312"/>
                <w:b/>
                <w:sz w:val="24"/>
              </w:rPr>
              <w:t>讲解演示</w:t>
            </w:r>
          </w:p>
        </w:tc>
        <w:tc>
          <w:tcPr>
            <w:tcW w:w="6095" w:type="dxa"/>
            <w:tcBorders>
              <w:top w:val="single" w:color="000000" w:sz="8" w:space="0"/>
              <w:left w:val="single" w:color="000000" w:sz="2" w:space="0"/>
              <w:bottom w:val="single" w:color="000000" w:sz="8" w:space="0"/>
              <w:right w:val="single" w:color="000000" w:sz="8" w:space="0"/>
            </w:tcBorders>
            <w:vAlign w:val="center"/>
          </w:tcPr>
          <w:sdt>
            <w:sdtPr>
              <w:rPr>
                <w:rFonts w:hint="eastAsia" w:ascii="Times New Roman" w:hAnsi="Times New Roman"/>
                <w:sz w:val="21"/>
                <w:szCs w:val="24"/>
                <w:lang w:val="en-US"/>
              </w:rPr>
              <w:id w:val="-1859348549"/>
            </w:sdtPr>
            <w:sdtEndPr>
              <w:rPr>
                <w:rFonts w:hint="eastAsia" w:ascii="仿宋" w:hAnsi="仿宋" w:eastAsia="仿宋" w:cs="仿宋"/>
                <w:sz w:val="21"/>
                <w:szCs w:val="24"/>
                <w:lang w:val="en-US"/>
              </w:rPr>
            </w:sdtEndPr>
            <w:sdtContent>
              <w:p>
                <w:pPr>
                  <w:pStyle w:val="3"/>
                  <w:rPr>
                    <w:rFonts w:hAnsi="宋体" w:cs="宋体"/>
                    <w:szCs w:val="24"/>
                  </w:rPr>
                </w:pPr>
                <w:r>
                  <w:rPr>
                    <w:rFonts w:hint="eastAsia" w:hAnsi="宋体" w:cs="宋体"/>
                  </w:rPr>
                  <w:t></w:t>
                </w:r>
                <w:r>
                  <w:rPr>
                    <w:rFonts w:hint="eastAsia" w:hAnsi="宋体" w:cs="宋体"/>
                    <w:kern w:val="0"/>
                    <w:szCs w:val="24"/>
                  </w:rPr>
                  <w:t>☐A</w:t>
                </w:r>
                <w:r>
                  <w:rPr>
                    <w:rFonts w:hint="eastAsia" w:hAnsi="宋体" w:cs="宋体"/>
                    <w:szCs w:val="24"/>
                  </w:rPr>
                  <w:t>不组织。</w:t>
                </w:r>
              </w:p>
              <w:p>
                <w:pPr>
                  <w:pStyle w:val="3"/>
                  <w:ind w:firstLine="720" w:firstLineChars="300"/>
                  <w:rPr>
                    <w:rFonts w:hAnsi="宋体" w:cs="宋体"/>
                    <w:kern w:val="0"/>
                    <w:szCs w:val="24"/>
                    <w:lang w:val="en-US"/>
                  </w:rPr>
                </w:pPr>
                <w:r>
                  <w:rPr>
                    <w:rFonts w:hint="eastAsia" w:hAnsi="宋体" w:cs="宋体"/>
                    <w:kern w:val="0"/>
                    <w:szCs w:val="24"/>
                  </w:rPr>
                  <w:sym w:font="Wingdings" w:char="F0FE"/>
                </w:r>
                <w:r>
                  <w:rPr>
                    <w:rFonts w:hint="eastAsia" w:hAnsi="宋体" w:cs="宋体"/>
                    <w:kern w:val="0"/>
                    <w:szCs w:val="24"/>
                  </w:rPr>
                  <w:t>B组织，</w:t>
                </w:r>
                <w:r>
                  <w:rPr>
                    <w:rFonts w:hint="eastAsia" w:hAnsi="宋体" w:cs="宋体"/>
                    <w:kern w:val="0"/>
                    <w:szCs w:val="24"/>
                    <w:lang w:val="en-US"/>
                  </w:rPr>
                  <w:t xml:space="preserve">本项目要求提供演示，演示由供应商事先提供20分钟视频演示，以介质存储（U盘）并且密封包装（外包装上要求标注项目名称、项目编号、演示视频字样、供应商名称并加盖公章）后在响应文件提交截止时间前递交一份（可邮寄，发生泄露、遗失、损坏或延期送达等情况的，由供应商自行负责），邮寄地址：浙江省文二路391号西湖国际科技大厦B2楼507室 徐小玲收 0571-87967630）。逾期送达或未密封将被拒收。 </w:t>
                </w:r>
              </w:p>
              <w:p>
                <w:pPr>
                  <w:spacing w:line="360" w:lineRule="auto"/>
                  <w:rPr>
                    <w:rFonts w:ascii="仿宋" w:hAnsi="仿宋" w:eastAsia="仿宋" w:cs="仿宋"/>
                  </w:rPr>
                </w:pPr>
                <w:r>
                  <w:rPr>
                    <w:rFonts w:hint="eastAsia" w:ascii="宋体" w:hAnsi="宋体" w:cs="宋体"/>
                    <w:kern w:val="0"/>
                    <w:sz w:val="24"/>
                  </w:rPr>
                  <w:t>演示内容详见技术评分要求。</w:t>
                </w:r>
              </w:p>
            </w:sdtContent>
          </w:sdt>
          <w:p>
            <w:pPr>
              <w:spacing w:line="360" w:lineRule="auto"/>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kern w:val="0"/>
                <w:sz w:val="24"/>
              </w:rPr>
            </w:pPr>
            <w:sdt>
              <w:sdtPr>
                <w:rPr>
                  <w:rFonts w:hint="eastAsia" w:cs="Arial" w:asciiTheme="minorEastAsia" w:hAnsiTheme="minorEastAsia" w:eastAsiaTheme="minorEastAsia"/>
                  <w:kern w:val="0"/>
                  <w:sz w:val="24"/>
                </w:rPr>
                <w:id w:val="40"/>
              </w:sdtPr>
              <w:sdtEndPr>
                <w:rPr>
                  <w:rFonts w:hint="eastAsia" w:cs="Arial" w:asciiTheme="minorEastAsia" w:hAnsiTheme="minorEastAsia" w:eastAsiaTheme="minorEastAsia"/>
                  <w:kern w:val="0"/>
                  <w:sz w:val="24"/>
                </w:rPr>
              </w:sdtEndPr>
              <w:sdtContent>
                <w:r>
                  <w:rPr>
                    <w:rFonts w:cs="Segoe UI Symbol" w:asciiTheme="minorEastAsia" w:hAnsiTheme="minorEastAsia" w:eastAsiaTheme="minorEastAsia"/>
                    <w:kern w:val="0"/>
                    <w:sz w:val="24"/>
                  </w:rPr>
                  <w:sym w:font="Wingdings 2" w:char="F052"/>
                </w:r>
              </w:sdtContent>
            </w:sdt>
            <w:r>
              <w:rPr>
                <w:rFonts w:hint="eastAsia" w:cs="Arial" w:asciiTheme="minorEastAsia" w:hAnsiTheme="minorEastAsia" w:eastAsiaTheme="minorEastAsia"/>
                <w:kern w:val="0"/>
                <w:sz w:val="24"/>
              </w:rPr>
              <w:t>本项目不允许采购进口产品。</w:t>
            </w:r>
          </w:p>
          <w:p>
            <w:pPr>
              <w:spacing w:line="360" w:lineRule="auto"/>
              <w:rPr>
                <w:rFonts w:asciiTheme="minorEastAsia" w:hAnsiTheme="minorEastAsia" w:eastAsiaTheme="minorEastAsia"/>
              </w:rPr>
            </w:pPr>
            <w:sdt>
              <w:sdtPr>
                <w:rPr>
                  <w:rFonts w:hint="eastAsia" w:cs="Arial" w:asciiTheme="minorEastAsia" w:hAnsiTheme="minorEastAsia" w:eastAsiaTheme="minorEastAsia"/>
                  <w:kern w:val="0"/>
                  <w:sz w:val="24"/>
                </w:rPr>
                <w:id w:val="41"/>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t>□</w:t>
                </w:r>
              </w:sdtContent>
            </w:sdt>
            <w:r>
              <w:rPr>
                <w:rFonts w:hint="eastAsia" w:cs="Arial" w:asciiTheme="minorEastAsia" w:hAnsiTheme="minorEastAsia" w:eastAsiaTheme="minor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p>
            <w:pPr>
              <w:snapToGrid w:val="0"/>
              <w:spacing w:line="360" w:lineRule="auto"/>
              <w:jc w:val="center"/>
              <w:rPr>
                <w:rFonts w:cs="仿宋_GB2312" w:asciiTheme="minorEastAsia" w:hAnsiTheme="minorEastAsia" w:eastAsiaTheme="minorEastAsia"/>
                <w:sz w:val="24"/>
              </w:rPr>
            </w:pP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sz w:val="24"/>
              </w:rPr>
            </w:pPr>
            <w:sdt>
              <w:sdtPr>
                <w:rPr>
                  <w:rFonts w:hint="eastAsia" w:cs="Arial" w:asciiTheme="minorEastAsia" w:hAnsiTheme="minorEastAsia" w:eastAsiaTheme="minorEastAsia"/>
                  <w:kern w:val="0"/>
                  <w:sz w:val="24"/>
                </w:rPr>
                <w:id w:val="118727868"/>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t></w:t>
                </w:r>
              </w:sdtContent>
            </w:sdt>
            <w:r>
              <w:rPr>
                <w:rFonts w:cs="Arial" w:asciiTheme="minorEastAsia" w:hAnsiTheme="minorEastAsia" w:eastAsiaTheme="minorEastAsia"/>
                <w:kern w:val="0"/>
                <w:sz w:val="24"/>
              </w:rPr>
              <w:t>A</w:t>
            </w:r>
            <w:r>
              <w:rPr>
                <w:rFonts w:hint="eastAsia" w:asciiTheme="minorEastAsia" w:hAnsiTheme="minorEastAsia" w:eastAsiaTheme="minorEastAsia"/>
                <w:sz w:val="24"/>
              </w:rPr>
              <w:t>货物类，</w:t>
            </w:r>
            <w:r>
              <w:rPr>
                <w:rFonts w:hint="eastAsia" w:asciiTheme="minorEastAsia" w:hAnsiTheme="minorEastAsia" w:eastAsiaTheme="minorEastAsia"/>
                <w:kern w:val="0"/>
                <w:sz w:val="24"/>
              </w:rPr>
              <w:t>核心产品为：</w:t>
            </w:r>
            <w:r>
              <w:rPr>
                <w:rFonts w:hint="eastAsia" w:cs="Arial" w:asciiTheme="minorEastAsia" w:hAnsiTheme="minorEastAsia" w:eastAsiaTheme="minorEastAsia"/>
                <w:kern w:val="0"/>
                <w:sz w:val="24"/>
                <w:u w:val="single"/>
              </w:rPr>
              <w:t xml:space="preserve">  智慧物流管理课程软件 </w:t>
            </w:r>
            <w:r>
              <w:rPr>
                <w:rFonts w:hint="eastAsia"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w:t>
            </w:r>
            <w:r>
              <w:rPr>
                <w:rFonts w:cs="Arial" w:asciiTheme="minorEastAsia" w:hAnsiTheme="minorEastAsia" w:eastAsiaTheme="minorEastAsia"/>
                <w:kern w:val="0"/>
                <w:sz w:val="24"/>
              </w:rPr>
              <w:t>1</w:t>
            </w:r>
            <w:r>
              <w:rPr>
                <w:rFonts w:hint="eastAsia" w:cs="Arial" w:asciiTheme="minorEastAsia" w:hAnsiTheme="minorEastAsia" w:eastAsiaTheme="minorEastAsia"/>
                <w:kern w:val="0"/>
                <w:sz w:val="24"/>
              </w:rPr>
              <w:t>）标的：</w:t>
            </w:r>
            <w:r>
              <w:rPr>
                <w:rFonts w:hint="eastAsia" w:cs="Arial" w:asciiTheme="minorEastAsia" w:hAnsiTheme="minorEastAsia" w:eastAsiaTheme="minorEastAsia"/>
                <w:kern w:val="0"/>
                <w:sz w:val="24"/>
                <w:u w:val="single"/>
                <w:lang w:eastAsia="zh-CN"/>
              </w:rPr>
              <w:t>人工智能综合实验室建设项目</w:t>
            </w:r>
            <w:r>
              <w:rPr>
                <w:rFonts w:hint="eastAsia" w:cs="Arial" w:asciiTheme="minorEastAsia" w:hAnsiTheme="minorEastAsia" w:eastAsiaTheme="minorEastAsia"/>
                <w:kern w:val="0"/>
                <w:sz w:val="24"/>
              </w:rPr>
              <w:t>，属于</w:t>
            </w:r>
            <w:r>
              <w:rPr>
                <w:rFonts w:hint="eastAsia" w:cs="仿宋_GB2312" w:asciiTheme="minorEastAsia" w:hAnsiTheme="minorEastAsia" w:eastAsiaTheme="minorEastAsia"/>
                <w:sz w:val="24"/>
                <w:u w:val="single"/>
              </w:rPr>
              <w:t>工业</w:t>
            </w:r>
            <w:r>
              <w:rPr>
                <w:rFonts w:hint="eastAsia" w:cs="Arial" w:asciiTheme="minorEastAsia" w:hAnsiTheme="minorEastAsia" w:eastAsiaTheme="minorEastAsia"/>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eastAsiaTheme="minorEastAsia"/>
              </w:rPr>
            </w:pPr>
            <w:r>
              <w:rPr>
                <w:rFonts w:hint="eastAsia" w:cs="Arial"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0</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rPr>
                <w:rFonts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Theme="minorEastAsia" w:hAnsiTheme="minorEastAsia" w:eastAsiaTheme="minor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Theme="minorEastAsia" w:hAnsiTheme="minorEastAsia" w:eastAsiaTheme="minorEastAsia"/>
                <w:snapToGrid w:val="0"/>
                <w:kern w:val="28"/>
                <w:sz w:val="24"/>
              </w:rPr>
            </w:pPr>
            <w:r>
              <w:rPr>
                <w:rFonts w:hint="eastAsia"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
              <w:ind w:firstLine="480" w:firstLineChars="200"/>
              <w:rPr>
                <w:rFonts w:asciiTheme="minorEastAsia" w:hAnsiTheme="minorEastAsia" w:eastAsiaTheme="minorEastAsia"/>
                <w:kern w:val="28"/>
              </w:rPr>
            </w:pPr>
            <w:r>
              <w:rPr>
                <w:rFonts w:hint="eastAsia" w:asciiTheme="minorEastAsia" w:hAnsiTheme="minorEastAsia" w:eastAsiaTheme="minorEastAsia"/>
                <w:kern w:val="28"/>
                <w:szCs w:val="24"/>
              </w:rPr>
              <w:t>备份投标文件送达地点：</w:t>
            </w:r>
            <w:r>
              <w:rPr>
                <w:rStyle w:val="961"/>
                <w:rFonts w:hint="eastAsia" w:cs="仿宋_GB2312" w:asciiTheme="minorEastAsia" w:hAnsiTheme="minorEastAsia" w:eastAsiaTheme="minorEastAsia"/>
                <w:szCs w:val="24"/>
                <w:u w:val="single"/>
              </w:rPr>
              <w:t>浙江省杭州市西湖区文二路391号西湖国际科技大厦B2楼507室</w:t>
            </w:r>
            <w:r>
              <w:rPr>
                <w:rFonts w:hint="eastAsia" w:asciiTheme="minorEastAsia" w:hAnsiTheme="minorEastAsia" w:eastAsiaTheme="minorEastAsia"/>
                <w:kern w:val="28"/>
                <w:szCs w:val="24"/>
              </w:rPr>
              <w:t>；备份投标文件签收人员</w:t>
            </w:r>
            <w:r>
              <w:rPr>
                <w:rFonts w:hint="eastAsia" w:asciiTheme="minorEastAsia" w:hAnsiTheme="minorEastAsia" w:eastAsiaTheme="minorEastAsia"/>
                <w:kern w:val="28"/>
                <w:szCs w:val="24"/>
                <w:u w:val="single"/>
                <w:lang w:val="en-US"/>
              </w:rPr>
              <w:t>吕俊峰</w:t>
            </w:r>
            <w:r>
              <w:rPr>
                <w:rFonts w:hint="eastAsia" w:cs="仿宋_GB2312" w:asciiTheme="minorEastAsia" w:hAnsiTheme="minorEastAsia" w:eastAsiaTheme="minorEastAsia"/>
                <w:szCs w:val="24"/>
              </w:rPr>
              <w:t>；联系电话：</w:t>
            </w:r>
            <w:r>
              <w:rPr>
                <w:rFonts w:hint="eastAsia" w:cs="仿宋_GB2312" w:asciiTheme="minorEastAsia" w:hAnsiTheme="minorEastAsia" w:eastAsiaTheme="minorEastAsia"/>
                <w:szCs w:val="24"/>
                <w:u w:val="single"/>
              </w:rPr>
              <w:t>0571-87967630</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b/>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p>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before="24" w:beforeLines="1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b/>
                <w:bCs/>
                <w:kern w:val="0"/>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本项目的采购代理服务费为：</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（1）采购代理服务收费采用差额定率累进计费方式，以成交金额为计算基数。</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（2）各区段具体收费标准如下：</w:t>
            </w:r>
          </w:p>
          <w:p>
            <w:pPr>
              <w:pStyle w:val="3"/>
              <w:ind w:firstLine="210"/>
              <w:rPr>
                <w:rFonts w:asciiTheme="minorEastAsia" w:hAnsiTheme="minorEastAsia" w:eastAsiaTheme="minorEastAsia"/>
                <w:kern w:val="0"/>
                <w:szCs w:val="24"/>
              </w:rPr>
            </w:pPr>
            <w:r>
              <w:rPr>
                <w:rFonts w:hint="eastAsia" w:asciiTheme="minorEastAsia" w:hAnsiTheme="minorEastAsia" w:eastAsiaTheme="minorEastAsia"/>
                <w:kern w:val="0"/>
                <w:szCs w:val="24"/>
              </w:rPr>
              <w:t>成交金额              费率</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100万元及以下          0.9%</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100-500万              0.66%</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备注：本项费用在报价表中不单列报价子项，由供应商自行在企业运营成本等或各单价中列支。由成交人在领取成交通知书时一次性向采购代理机构付清。</w:t>
            </w:r>
          </w:p>
          <w:p>
            <w:pPr>
              <w:spacing w:line="360" w:lineRule="auto"/>
              <w:rPr>
                <w:rFonts w:asciiTheme="minorEastAsia" w:hAnsiTheme="minorEastAsia" w:eastAsiaTheme="minorEastAsia"/>
                <w:sz w:val="24"/>
              </w:rPr>
            </w:pPr>
            <w:r>
              <w:rPr>
                <w:rFonts w:hint="eastAsia" w:asciiTheme="minorEastAsia" w:hAnsiTheme="minorEastAsia" w:eastAsiaTheme="minorEastAsia"/>
                <w:kern w:val="0"/>
                <w:sz w:val="24"/>
              </w:rPr>
              <w:t>收款</w:t>
            </w:r>
            <w:r>
              <w:rPr>
                <w:rFonts w:hint="eastAsia" w:asciiTheme="minorEastAsia" w:hAnsiTheme="minorEastAsia" w:eastAsiaTheme="minorEastAsia"/>
                <w:sz w:val="24"/>
              </w:rPr>
              <w:t>账号：</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收款单位（户名）：浙江信镧建设工程咨询有限公司</w:t>
            </w:r>
          </w:p>
          <w:p>
            <w:pPr>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开户银行：交通银行杭州华浙广场支行</w:t>
            </w:r>
          </w:p>
          <w:p>
            <w:pPr>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kern w:val="0"/>
                <w:sz w:val="24"/>
              </w:rPr>
              <w:t>银行账号：</w:t>
            </w:r>
            <w:r>
              <w:rPr>
                <w:rFonts w:asciiTheme="minorEastAsia" w:hAnsiTheme="minorEastAsia" w:eastAsiaTheme="minorEastAsia"/>
                <w:kern w:val="0"/>
                <w:sz w:val="24"/>
              </w:rPr>
              <w:t>331066090018170036304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cs="仿宋_GB2312" w:asciiTheme="minorEastAsia" w:hAnsiTheme="minorEastAsia" w:eastAsiaTheme="minorEastAsia"/>
                <w:snapToGrid w:val="0"/>
                <w:kern w:val="28"/>
                <w:sz w:val="24"/>
              </w:rPr>
            </w:pPr>
            <w:r>
              <w:rPr>
                <w:rFonts w:hint="eastAsia" w:asciiTheme="minorEastAsia" w:hAnsiTheme="minorEastAsia" w:eastAsiaTheme="minorEastAsia"/>
                <w:kern w:val="0"/>
                <w:sz w:val="24"/>
              </w:rPr>
              <w:t>供应商提供纸质投标文件（一正一副，共二份）：密封包装后在投标截止时间前递交（允许以邮寄形式，提供邮寄信息。以代理机构工作人员的签收时间为准，邮寄地址：浙江省杭州市文二路391号西湖国际科技大厦 B-2座507室浙江信镧建设工程咨询有限公司，吕俊锋收，0571-87967630）</w:t>
            </w:r>
          </w:p>
        </w:tc>
      </w:tr>
      <w:bookmarkEnd w:id="11"/>
    </w:tbl>
    <w:p>
      <w:pPr>
        <w:snapToGrid w:val="0"/>
        <w:spacing w:line="360" w:lineRule="auto"/>
        <w:jc w:val="center"/>
        <w:rPr>
          <w:rFonts w:cs="仿宋_GB2312" w:asciiTheme="minorEastAsia" w:hAnsiTheme="minorEastAsia" w:eastAsiaTheme="minorEastAsia"/>
          <w:b/>
          <w:sz w:val="32"/>
          <w:szCs w:val="20"/>
        </w:rPr>
      </w:pPr>
    </w:p>
    <w:p>
      <w:pPr>
        <w:rPr>
          <w:rFonts w:cs="仿宋_GB2312" w:asciiTheme="minorEastAsia" w:hAnsiTheme="minorEastAsia" w:eastAsiaTheme="minorEastAsia"/>
          <w:b/>
          <w:sz w:val="32"/>
          <w:szCs w:val="20"/>
        </w:rPr>
      </w:pPr>
      <w:bookmarkStart w:id="13" w:name="_Toc164416483"/>
      <w:bookmarkStart w:id="14" w:name="第三部分"/>
      <w:r>
        <w:rPr>
          <w:rFonts w:hint="eastAsia" w:cs="仿宋_GB2312" w:asciiTheme="minorEastAsia" w:hAnsiTheme="minorEastAsia" w:eastAsiaTheme="minorEastAsia"/>
          <w:b/>
          <w:sz w:val="32"/>
          <w:szCs w:val="20"/>
        </w:rPr>
        <w:br w:type="page"/>
      </w:r>
    </w:p>
    <w:p>
      <w:pPr>
        <w:adjustRightInd/>
        <w:spacing w:line="360" w:lineRule="auto"/>
        <w:ind w:firstLine="3845" w:firstLineChars="1197"/>
        <w:outlineLvl w:val="0"/>
        <w:rPr>
          <w:rFonts w:cs="仿宋_GB2312" w:asciiTheme="minorEastAsia" w:hAnsiTheme="minorEastAsia" w:eastAsiaTheme="minorEastAsia"/>
          <w:b/>
          <w:sz w:val="32"/>
          <w:szCs w:val="20"/>
        </w:rPr>
      </w:pPr>
      <w:bookmarkStart w:id="15" w:name="_Toc18574"/>
      <w:r>
        <w:rPr>
          <w:rFonts w:hint="eastAsia" w:cs="仿宋_GB2312" w:asciiTheme="minorEastAsia" w:hAnsiTheme="minorEastAsia" w:eastAsiaTheme="minorEastAsia"/>
          <w:b/>
          <w:sz w:val="32"/>
          <w:szCs w:val="20"/>
        </w:rPr>
        <w:t>一、总则</w:t>
      </w:r>
      <w:bookmarkEnd w:id="15"/>
    </w:p>
    <w:p>
      <w:pPr>
        <w:pStyle w:val="197"/>
        <w:ind w:right="407" w:firstLine="0"/>
        <w:rPr>
          <w:rFonts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本招标文件适用于该项目的招标、投标、开标、资格审查及信用信息查询、评标、定标、合同、验收等行为（法律、法规另有规定的，从其规定）。</w:t>
      </w:r>
    </w:p>
    <w:p>
      <w:pPr>
        <w:pStyle w:val="197"/>
        <w:ind w:right="407" w:firstLine="0"/>
        <w:rPr>
          <w:rFonts w:asciiTheme="minorEastAsia" w:hAnsiTheme="minorEastAsia" w:eastAsiaTheme="minorEastAsia"/>
        </w:rPr>
      </w:pPr>
      <w:r>
        <w:rPr>
          <w:rFonts w:asciiTheme="minorEastAsia" w:hAnsiTheme="minorEastAsia" w:eastAsiaTheme="minorEastAsia"/>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“▲”系指实质性要求条款，“★”指重要指标，“</w:t>
      </w:r>
      <w:sdt>
        <w:sdtPr>
          <w:rPr>
            <w:rFonts w:hint="eastAsia" w:ascii="宋体" w:hAnsi="宋体" w:cs="宋体"/>
            <w:kern w:val="0"/>
            <w:sz w:val="24"/>
          </w:rPr>
          <w:id w:val="512970236"/>
        </w:sdtPr>
        <w:sdtEndPr>
          <w:rPr>
            <w:rFonts w:hint="eastAsia" w:ascii="宋体" w:hAnsi="宋体" w:cs="宋体"/>
            <w:kern w:val="0"/>
            <w:sz w:val="24"/>
          </w:rPr>
        </w:sdtEndPr>
        <w:sdtContent>
          <w:r>
            <w:rPr>
              <w:rFonts w:hint="eastAsia" w:ascii="宋体" w:hAnsi="宋体" w:cs="宋体"/>
              <w:kern w:val="0"/>
              <w:sz w:val="24"/>
            </w:rPr>
            <w:sym w:font="Wingdings 2" w:char="F052"/>
          </w:r>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pStyle w:val="197"/>
        <w:ind w:right="407" w:firstLine="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采购项目需要落实的政府采购政策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3.1 </w:t>
      </w: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3.2 </w:t>
      </w:r>
      <w:r>
        <w:rPr>
          <w:rFonts w:hint="eastAsia" w:asciiTheme="minorEastAsia" w:hAnsiTheme="minorEastAsia" w:eastAsiaTheme="minorEastAsia"/>
          <w:sz w:val="24"/>
        </w:rPr>
        <w:t>支持绿色发展</w:t>
      </w:r>
    </w:p>
    <w:p>
      <w:pPr>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3.2.2</w:t>
      </w:r>
      <w:r>
        <w:rPr>
          <w:rFonts w:hint="eastAsia" w:asciiTheme="minorEastAsia" w:hAnsiTheme="minorEastAsia" w:eastAsiaTheme="minor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3.3支持中小企业发展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3.3.3</w:t>
      </w:r>
      <w:r>
        <w:rPr>
          <w:rFonts w:hint="eastAsia" w:asciiTheme="minorEastAsia" w:hAnsiTheme="minorEastAsia" w:eastAsiaTheme="minorEastAsia"/>
          <w:sz w:val="24"/>
        </w:rPr>
        <w:t>对于未预留份额专门面向中小企业的政府采购货物项目，以及预留份额政府采购货物或服务项目中的非预留部分标项，对小型和微型企业的投标报价给予20</w:t>
      </w:r>
      <w:r>
        <w:rPr>
          <w:rFonts w:asciiTheme="minorEastAsia" w:hAnsiTheme="minorEastAsia" w:eastAsiaTheme="minorEastAsia"/>
          <w:sz w:val="24"/>
        </w:rPr>
        <w:t>%的扣除，用扣除后的价格参与评审。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w:t>
      </w:r>
      <w:r>
        <w:rPr>
          <w:rFonts w:asciiTheme="minorEastAsia" w:hAnsiTheme="minorEastAsia" w:eastAsiaTheme="minorEastAsia"/>
          <w:sz w:val="24"/>
        </w:rPr>
        <w:t>4接受大中型企业与小微企业组成联合体或者允许大中型企业向一家或者多家小微企业分包的</w:t>
      </w:r>
      <w:r>
        <w:rPr>
          <w:rFonts w:hint="eastAsia" w:asciiTheme="minorEastAsia" w:hAnsiTheme="minorEastAsia" w:eastAsiaTheme="minorEastAsia"/>
          <w:sz w:val="24"/>
        </w:rPr>
        <w:t>政府</w:t>
      </w:r>
      <w:r>
        <w:rPr>
          <w:rFonts w:asciiTheme="minorEastAsia" w:hAnsiTheme="minorEastAsia" w:eastAsiaTheme="minorEastAsia"/>
          <w:sz w:val="24"/>
        </w:rPr>
        <w:t>采购</w:t>
      </w:r>
      <w:r>
        <w:rPr>
          <w:rFonts w:hint="eastAsia" w:asciiTheme="minorEastAsia" w:hAnsiTheme="minorEastAsia" w:eastAsiaTheme="minorEastAsia"/>
          <w:sz w:val="24"/>
        </w:rPr>
        <w:t>货物或服务</w:t>
      </w:r>
      <w:r>
        <w:rPr>
          <w:rFonts w:asciiTheme="minorEastAsia" w:hAnsiTheme="minorEastAsia" w:eastAsiaTheme="minorEastAsia"/>
          <w:sz w:val="24"/>
        </w:rPr>
        <w:t>项目，对于联合协议或者分包意向协议约定小微企业的合同份额占到合同总金额30%以上的，对联合体或者大中型企业的报价给予</w:t>
      </w:r>
      <w:r>
        <w:rPr>
          <w:rFonts w:hint="eastAsia" w:asciiTheme="minorEastAsia" w:hAnsiTheme="minorEastAsia" w:eastAsiaTheme="minorEastAsia"/>
          <w:sz w:val="24"/>
        </w:rPr>
        <w:t>6</w:t>
      </w:r>
      <w:r>
        <w:rPr>
          <w:rFonts w:asciiTheme="minorEastAsia" w:hAnsiTheme="minorEastAsia" w:eastAsiaTheme="minorEastAsia"/>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5</w:t>
      </w:r>
      <w:r>
        <w:rPr>
          <w:rFonts w:asciiTheme="minorEastAsia" w:hAnsiTheme="minorEastAsia" w:eastAsiaTheme="minorEastAsia"/>
          <w:sz w:val="24"/>
        </w:rPr>
        <w:t>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6</w:t>
      </w:r>
      <w:r>
        <w:rPr>
          <w:rFonts w:asciiTheme="minorEastAsia" w:hAnsiTheme="minorEastAsia" w:eastAsiaTheme="minor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w:t>
      </w:r>
      <w:r>
        <w:rPr>
          <w:rFonts w:hint="eastAsia" w:asciiTheme="minorEastAsia" w:hAnsiTheme="minorEastAsia" w:eastAsiaTheme="minorEastAsia"/>
          <w:sz w:val="24"/>
        </w:rPr>
        <w:t>8</w:t>
      </w:r>
      <w:r>
        <w:rPr>
          <w:rFonts w:asciiTheme="minorEastAsia" w:hAnsiTheme="minorEastAsia" w:eastAsiaTheme="minorEastAsia"/>
          <w:sz w:val="24"/>
        </w:rPr>
        <w:t>中小企业享受扶持政策获得政府采购合同的，小微企业不得将合同分包给大中型企业，中型企业不得将合同分包给大型企业</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w:t>
      </w:r>
      <w:r>
        <w:rPr>
          <w:rFonts w:hint="eastAsia" w:asciiTheme="minorEastAsia" w:hAnsiTheme="minorEastAsia" w:eastAsiaTheme="minorEastAsia"/>
          <w:bCs/>
          <w:sz w:val="24"/>
        </w:rPr>
        <w:t>支持创新发展</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3.4.1采购人优先采购被认定</w:t>
      </w:r>
      <w:r>
        <w:rPr>
          <w:rFonts w:hint="eastAsia" w:asciiTheme="minorEastAsia" w:hAnsiTheme="minorEastAsia" w:eastAsiaTheme="minorEastAsia"/>
          <w:sz w:val="24"/>
        </w:rPr>
        <w:t>为首台套产品和“制造精品”的自主创新产品。</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3.4.2首台套产品</w:t>
      </w:r>
      <w:r>
        <w:rPr>
          <w:rFonts w:hint="eastAsia" w:asciiTheme="minorEastAsia" w:hAnsiTheme="minorEastAsia" w:eastAsiaTheme="minorEastAsia"/>
          <w:sz w:val="24"/>
        </w:rPr>
        <w:t>被纳入《首台套产品推广应用指导目录》之日起</w:t>
      </w:r>
      <w:r>
        <w:rPr>
          <w:rFonts w:asciiTheme="minorEastAsia" w:hAnsiTheme="minorEastAsia" w:eastAsiaTheme="minorEastAsia"/>
          <w:sz w:val="24"/>
        </w:rPr>
        <w:t>2年内，以及产品核心技术高于国内领先水平，并具有明晰自主知识产权的“制造精品”产品，</w:t>
      </w:r>
      <w:r>
        <w:rPr>
          <w:rFonts w:hint="eastAsia" w:asciiTheme="minorEastAsia" w:hAnsiTheme="minorEastAsia" w:eastAsiaTheme="minorEastAsia"/>
          <w:sz w:val="24"/>
        </w:rPr>
        <w:t>自认定之日起</w:t>
      </w:r>
      <w:r>
        <w:rPr>
          <w:rFonts w:asciiTheme="minorEastAsia" w:hAnsiTheme="minorEastAsia" w:eastAsiaTheme="minorEastAsia"/>
          <w:sz w:val="24"/>
        </w:rPr>
        <w:t>2年内视同已具备相应销售业绩，参加政府采购活动</w:t>
      </w:r>
      <w:r>
        <w:rPr>
          <w:rFonts w:hint="eastAsia" w:asciiTheme="minorEastAsia" w:hAnsiTheme="minorEastAsia" w:eastAsiaTheme="minorEastAsia"/>
          <w:sz w:val="24"/>
        </w:rPr>
        <w:t>时业绩分值为满分。</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Theme="minorEastAsia" w:hAnsiTheme="minorEastAsia" w:eastAsiaTheme="minorEastAsia"/>
          <w:sz w:val="24"/>
        </w:rPr>
        <w:t>登录</w:t>
      </w:r>
      <w:r>
        <w:rPr>
          <w:rFonts w:asciiTheme="minorEastAsia" w:hAnsiTheme="minorEastAsia" w:eastAsiaTheme="minorEastAsia"/>
          <w:sz w:val="24"/>
        </w:rPr>
        <w:t>杭州市政府采购网“中小企业信用融资”模块，查看信用融资政策文件及各相关银行服务方案。</w:t>
      </w:r>
    </w:p>
    <w:p>
      <w:pPr>
        <w:pStyle w:val="877"/>
        <w:spacing w:before="24" w:after="24"/>
        <w:rPr>
          <w:rFonts w:asciiTheme="minorEastAsia" w:hAnsiTheme="minorEastAsia" w:eastAsiaTheme="minorEastAsia"/>
        </w:rPr>
      </w:pPr>
      <w:r>
        <w:rPr>
          <w:rFonts w:asciiTheme="minorEastAsia" w:hAnsiTheme="minorEastAsia" w:eastAsiaTheme="minorEastAsia"/>
        </w:rPr>
        <w:t xml:space="preserve">4. </w:t>
      </w:r>
      <w:r>
        <w:rPr>
          <w:rFonts w:hint="eastAsia" w:asciiTheme="minorEastAsia" w:hAnsiTheme="minorEastAsia" w:eastAsiaTheme="minorEastAsia"/>
        </w:rPr>
        <w:t>询问、质疑、投诉</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hint="eastAsia" w:cs="微软雅黑" w:asciiTheme="minorEastAsia" w:hAnsiTheme="minorEastAsia" w:eastAsiaTheme="minorEastAsia"/>
          <w:kern w:val="0"/>
          <w:sz w:val="24"/>
          <w:lang w:val="zh-CN"/>
        </w:rPr>
        <w:t>供应商对政府采购活动事项有疑问的，可以提出询问，采购人或者采购代理机构应当在</w:t>
      </w:r>
      <w:r>
        <w:rPr>
          <w:rFonts w:cs="微软雅黑" w:asciiTheme="minorEastAsia" w:hAnsiTheme="minorEastAsia" w:eastAsiaTheme="minorEastAsia"/>
          <w:kern w:val="0"/>
          <w:sz w:val="24"/>
          <w:lang w:val="zh-CN"/>
        </w:rPr>
        <w:t>3个工作日内对供应</w:t>
      </w:r>
      <w:r>
        <w:rPr>
          <w:rFonts w:hint="eastAsia" w:cs="微软雅黑" w:asciiTheme="minorEastAsia" w:hAnsiTheme="minorEastAsia" w:eastAsiaTheme="minor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4.2供应商质疑</w:t>
      </w:r>
    </w:p>
    <w:p>
      <w:pPr>
        <w:pStyle w:val="33"/>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w:t>
      </w:r>
      <w:r>
        <w:rPr>
          <w:rFonts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Theme="minorEastAsia" w:hAnsiTheme="minorEastAsia" w:eastAsiaTheme="minorEastAsia"/>
          <w:snapToGrid/>
          <w:color w:val="auto"/>
          <w:kern w:val="2"/>
          <w:sz w:val="24"/>
        </w:rPr>
      </w:pPr>
      <w:r>
        <w:rPr>
          <w:rFonts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4.2.2.3对采购结果提出质疑的，质疑期限自采购结果公告期限届满之日起计算。</w:t>
      </w:r>
    </w:p>
    <w:p>
      <w:pPr>
        <w:pStyle w:val="33"/>
        <w:spacing w:line="360" w:lineRule="auto"/>
        <w:ind w:firstLine="480" w:firstLineChars="200"/>
        <w:rPr>
          <w:rFonts w:cs="微软雅黑" w:asciiTheme="minorEastAsia" w:hAnsiTheme="minorEastAsia" w:eastAsiaTheme="minorEastAsia"/>
          <w:kern w:val="0"/>
          <w:sz w:val="24"/>
          <w:lang w:val="zh-CN"/>
        </w:rPr>
      </w:pPr>
      <w:r>
        <w:rPr>
          <w:rFonts w:cs="微软雅黑" w:asciiTheme="minorEastAsia" w:hAnsiTheme="minorEastAsia" w:eastAsiaTheme="minorEastAsia"/>
          <w:kern w:val="0"/>
          <w:sz w:val="24"/>
          <w:lang w:val="zh-CN"/>
        </w:rPr>
        <w:t>4.2.3</w:t>
      </w:r>
      <w:r>
        <w:rPr>
          <w:rFonts w:hint="eastAsia" w:asciiTheme="minorEastAsia" w:hAnsiTheme="minorEastAsia" w:eastAsiaTheme="minorEastAsia"/>
          <w:sz w:val="24"/>
        </w:rPr>
        <w:t>供应商提出质疑应当提交质疑函和必要的证明材料。质疑函应当包括下列内容：</w:t>
      </w:r>
    </w:p>
    <w:p>
      <w:pPr>
        <w:pStyle w:val="33"/>
        <w:spacing w:line="360" w:lineRule="auto"/>
        <w:ind w:firstLine="480" w:firstLineChars="200"/>
        <w:rPr>
          <w:rFonts w:asciiTheme="minorEastAsia" w:hAnsiTheme="minorEastAsia" w:eastAsiaTheme="minorEastAsia"/>
          <w:sz w:val="24"/>
        </w:rPr>
      </w:pPr>
      <w:r>
        <w:rPr>
          <w:rFonts w:cs="微软雅黑" w:asciiTheme="minorEastAsia" w:hAnsiTheme="minorEastAsia" w:eastAsiaTheme="minorEastAsia"/>
          <w:kern w:val="0"/>
          <w:sz w:val="24"/>
          <w:lang w:val="zh-CN"/>
        </w:rPr>
        <w:t>4.2.3.1</w:t>
      </w:r>
      <w:r>
        <w:rPr>
          <w:rFonts w:hint="eastAsia" w:asciiTheme="minorEastAsia" w:hAnsiTheme="minorEastAsia" w:eastAsiaTheme="minorEastAsia"/>
          <w:sz w:val="24"/>
        </w:rPr>
        <w:t>供应商的姓名或者名称、地址、邮编、联系人及联系电话；</w:t>
      </w:r>
    </w:p>
    <w:p>
      <w:pPr>
        <w:pStyle w:val="33"/>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4.2.3.2</w:t>
      </w:r>
      <w:r>
        <w:rPr>
          <w:rFonts w:hint="eastAsia" w:asciiTheme="minorEastAsia" w:hAnsiTheme="minorEastAsia" w:eastAsiaTheme="minorEastAsia"/>
          <w:sz w:val="24"/>
        </w:rPr>
        <w:t>质疑项目的名称、编号；</w:t>
      </w:r>
    </w:p>
    <w:p>
      <w:pPr>
        <w:pStyle w:val="33"/>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4.2.3.3</w:t>
      </w:r>
      <w:r>
        <w:rPr>
          <w:rFonts w:hint="eastAsia" w:asciiTheme="minorEastAsia" w:hAnsiTheme="minorEastAsia" w:eastAsiaTheme="minorEastAsia"/>
          <w:sz w:val="24"/>
        </w:rPr>
        <w:t>具体、明确的质疑事项和与质疑事项相关的请求；</w:t>
      </w:r>
    </w:p>
    <w:p>
      <w:pPr>
        <w:pStyle w:val="33"/>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4.2.3.4</w:t>
      </w:r>
      <w:r>
        <w:rPr>
          <w:rFonts w:hint="eastAsia" w:asciiTheme="minorEastAsia" w:hAnsiTheme="minorEastAsia" w:eastAsiaTheme="minorEastAsia"/>
          <w:sz w:val="24"/>
        </w:rPr>
        <w:t>事实依据；</w:t>
      </w:r>
    </w:p>
    <w:p>
      <w:pPr>
        <w:pStyle w:val="33"/>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4.2.3.5</w:t>
      </w:r>
      <w:r>
        <w:rPr>
          <w:rFonts w:hint="eastAsia" w:asciiTheme="minorEastAsia" w:hAnsiTheme="minorEastAsia" w:eastAsiaTheme="minorEastAsia"/>
          <w:sz w:val="24"/>
        </w:rPr>
        <w:t>必要的法律依据；</w:t>
      </w:r>
    </w:p>
    <w:p>
      <w:pPr>
        <w:pStyle w:val="33"/>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4.2.3.6</w:t>
      </w:r>
      <w:r>
        <w:rPr>
          <w:rFonts w:hint="eastAsia" w:asciiTheme="minorEastAsia" w:hAnsiTheme="minorEastAsia" w:eastAsiaTheme="minorEastAsia"/>
          <w:sz w:val="24"/>
        </w:rPr>
        <w:t>提出质疑的日期。</w:t>
      </w:r>
    </w:p>
    <w:p>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w:t>
      </w:r>
      <w:r>
        <w:rPr>
          <w:rFonts w:asciiTheme="minorEastAsia" w:hAnsiTheme="minorEastAsia" w:eastAsiaTheme="minorEastAsia"/>
        </w:rPr>
        <w:t>2。</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.4</w:t>
      </w:r>
      <w:r>
        <w:rPr>
          <w:rFonts w:hint="eastAsia" w:asciiTheme="minorEastAsia" w:hAnsiTheme="minorEastAsia" w:eastAsiaTheme="minorEastAsia"/>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asciiTheme="minorEastAsia" w:hAnsiTheme="minorEastAsia" w:eastAsiaTheme="minorEastAsia"/>
        </w:rPr>
        <w:t>采购人或者采购机构在质疑回复后</w:t>
      </w:r>
      <w:r>
        <w:rPr>
          <w:rFonts w:asciiTheme="minorEastAsia" w:hAnsiTheme="minorEastAsia" w:eastAsiaTheme="minorEastAsia"/>
        </w:rPr>
        <w:t>5个工作日内，在浙江政府采购网的“其他公告”栏目公开质疑答复，答复内容应当完整。质疑</w:t>
      </w:r>
      <w:r>
        <w:rPr>
          <w:rFonts w:hint="eastAsia" w:asciiTheme="minorEastAsia" w:hAnsiTheme="minorEastAsia" w:eastAsiaTheme="minorEastAsia"/>
        </w:rPr>
        <w:t>函作为附件上传。</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cs="微软雅黑" w:asciiTheme="minorEastAsia" w:hAnsiTheme="minorEastAsia" w:eastAsiaTheme="minorEastAsia"/>
          <w:lang w:val="zh-CN"/>
        </w:rPr>
        <w:t>4.2</w:t>
      </w:r>
      <w:r>
        <w:rPr>
          <w:rFonts w:asciiTheme="minorEastAsia" w:hAnsiTheme="minorEastAsia" w:eastAsiaTheme="minorEastAsia"/>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cs="微软雅黑" w:asciiTheme="minorEastAsia" w:hAnsiTheme="minorEastAsia" w:eastAsiaTheme="minorEastAsia"/>
          <w:lang w:val="zh-CN"/>
        </w:rPr>
      </w:pPr>
      <w:r>
        <w:rPr>
          <w:rFonts w:cs="微软雅黑" w:asciiTheme="minorEastAsia" w:hAnsiTheme="minorEastAsia" w:eastAsiaTheme="minorEastAsia"/>
          <w:lang w:val="zh-CN"/>
        </w:rPr>
        <w:t>4.3供应商投诉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4.3.1质疑供应商对采购人、采购机构的答复不满意或者采购人、采购机构未在规定的时间内</w:t>
      </w:r>
      <w:r>
        <w:rPr>
          <w:rFonts w:hint="eastAsia" w:asciiTheme="minorEastAsia" w:hAnsiTheme="minorEastAsia" w:eastAsiaTheme="minorEastAsia"/>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w:t>
      </w:r>
      <w:r>
        <w:rPr>
          <w:rFonts w:cs="微软雅黑"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4.3.3供应</w:t>
      </w:r>
      <w:r>
        <w:rPr>
          <w:rFonts w:hint="eastAsia" w:asciiTheme="minorEastAsia" w:hAnsiTheme="minorEastAsia" w:eastAsiaTheme="minorEastAsia"/>
        </w:rPr>
        <w:t>商投诉应当有明确的请求和必要的证明材料。</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4.3.5</w:t>
      </w:r>
      <w:r>
        <w:rPr>
          <w:rFonts w:hint="eastAsia" w:asciiTheme="minorEastAsia" w:hAnsiTheme="minorEastAsia" w:eastAsiaTheme="minorEastAsia"/>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w:t>
      </w:r>
      <w:r>
        <w:rPr>
          <w:rFonts w:asciiTheme="minorEastAsia" w:hAnsiTheme="minorEastAsia" w:eastAsiaTheme="minorEastAsia"/>
        </w:rPr>
        <w:t>3。</w:t>
      </w:r>
    </w:p>
    <w:p>
      <w:pPr>
        <w:pStyle w:val="6"/>
        <w:rPr>
          <w:rFonts w:cs="宋体"/>
          <w:kern w:val="0"/>
          <w:sz w:val="24"/>
        </w:rPr>
      </w:pPr>
      <w:r>
        <w:br w:type="page"/>
      </w:r>
    </w:p>
    <w:p>
      <w:pPr>
        <w:adjustRightInd/>
        <w:spacing w:line="360" w:lineRule="auto"/>
        <w:jc w:val="center"/>
        <w:outlineLvl w:val="0"/>
        <w:rPr>
          <w:rFonts w:cs="仿宋_GB2312" w:asciiTheme="minorEastAsia" w:hAnsiTheme="minorEastAsia" w:eastAsiaTheme="minorEastAsia"/>
          <w:b/>
          <w:sz w:val="32"/>
          <w:szCs w:val="20"/>
        </w:rPr>
      </w:pPr>
      <w:bookmarkStart w:id="16" w:name="_Toc24613"/>
      <w:r>
        <w:rPr>
          <w:rFonts w:cs="仿宋_GB2312" w:asciiTheme="minorEastAsia" w:hAnsiTheme="minorEastAsia" w:eastAsiaTheme="minorEastAsia"/>
          <w:b/>
          <w:sz w:val="32"/>
          <w:szCs w:val="20"/>
        </w:rPr>
        <w:t>二、招标文件的构成、澄清、修改</w:t>
      </w:r>
      <w:bookmarkEnd w:id="16"/>
    </w:p>
    <w:p>
      <w:pPr>
        <w:pStyle w:val="877"/>
        <w:spacing w:before="24" w:after="24"/>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w:t>
      </w:r>
      <w:r>
        <w:rPr>
          <w:rFonts w:asciiTheme="minorEastAsia" w:hAnsiTheme="minorEastAsia" w:eastAsiaTheme="minorEastAsia"/>
        </w:rPr>
        <w:t>招标文件的构成</w:t>
      </w:r>
    </w:p>
    <w:p>
      <w:pPr>
        <w:pStyle w:val="33"/>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w:t>
      </w:r>
      <w:r>
        <w:rPr>
          <w:rFonts w:hint="eastAsia" w:cs="仿宋_GB2312" w:asciiTheme="minorEastAsia" w:hAnsiTheme="minorEastAsia" w:eastAsiaTheme="minorEastAsia"/>
          <w:sz w:val="24"/>
          <w:szCs w:val="24"/>
        </w:rPr>
        <w:t>招标文件包括下列文件及附件：</w:t>
      </w:r>
    </w:p>
    <w:p>
      <w:pPr>
        <w:pStyle w:val="33"/>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5.1.1招标公告；</w:t>
      </w:r>
    </w:p>
    <w:p>
      <w:pPr>
        <w:pStyle w:val="33"/>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5.1.2投标人须知；</w:t>
      </w:r>
    </w:p>
    <w:p>
      <w:pPr>
        <w:pStyle w:val="33"/>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5.1.3采购需求；</w:t>
      </w:r>
    </w:p>
    <w:p>
      <w:pPr>
        <w:pStyle w:val="33"/>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5.1.4评标</w:t>
      </w:r>
      <w:r>
        <w:rPr>
          <w:rFonts w:hint="eastAsia" w:cs="仿宋_GB2312" w:asciiTheme="minorEastAsia" w:hAnsiTheme="minorEastAsia" w:eastAsiaTheme="minorEastAsia"/>
          <w:sz w:val="24"/>
          <w:szCs w:val="24"/>
        </w:rPr>
        <w:t>办</w:t>
      </w:r>
      <w:r>
        <w:rPr>
          <w:rFonts w:cs="仿宋_GB2312" w:asciiTheme="minorEastAsia" w:hAnsiTheme="minorEastAsia" w:eastAsiaTheme="minorEastAsia"/>
          <w:sz w:val="24"/>
          <w:szCs w:val="24"/>
        </w:rPr>
        <w:t>法；</w:t>
      </w:r>
    </w:p>
    <w:p>
      <w:pPr>
        <w:pStyle w:val="33"/>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5.1.5</w:t>
      </w:r>
      <w:r>
        <w:rPr>
          <w:rFonts w:hint="eastAsia" w:cs="仿宋_GB2312" w:asciiTheme="minorEastAsia" w:hAnsiTheme="minorEastAsia" w:eastAsiaTheme="minorEastAsia"/>
          <w:sz w:val="24"/>
          <w:szCs w:val="24"/>
        </w:rPr>
        <w:t>拟签订的合同文本；</w:t>
      </w:r>
    </w:p>
    <w:p>
      <w:pPr>
        <w:pStyle w:val="33"/>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rPr>
        <w:t>5.1.6</w:t>
      </w:r>
      <w:r>
        <w:rPr>
          <w:rFonts w:hint="eastAsia" w:cs="仿宋_GB2312" w:asciiTheme="minorEastAsia" w:hAnsiTheme="minorEastAsia" w:eastAsiaTheme="minorEastAsia"/>
          <w:sz w:val="24"/>
          <w:szCs w:val="24"/>
        </w:rPr>
        <w:t>应提交的有关格式范例。</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5.2与本项目有关的</w:t>
      </w:r>
      <w:r>
        <w:rPr>
          <w:rFonts w:hint="eastAsia" w:asciiTheme="minorEastAsia" w:hAnsiTheme="minorEastAsia" w:eastAsiaTheme="minorEastAsia"/>
          <w:bCs/>
          <w:sz w:val="24"/>
        </w:rPr>
        <w:t>澄清或者修改的内容为招标文件的组成部分</w:t>
      </w:r>
      <w:r>
        <w:rPr>
          <w:rFonts w:hint="eastAsia" w:cs="仿宋_GB2312" w:asciiTheme="minorEastAsia" w:hAnsiTheme="minorEastAsia" w:eastAsiaTheme="minorEastAsia"/>
          <w:sz w:val="24"/>
        </w:rPr>
        <w:t>。</w:t>
      </w:r>
    </w:p>
    <w:p>
      <w:pPr>
        <w:pStyle w:val="877"/>
        <w:spacing w:before="24" w:after="24"/>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招标文件的澄清、修改</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6.1已获取招标文件的潜在投标人，若有问题需要澄清，应于投标截止时间前，以书面形式向采购机构提出。</w:t>
      </w:r>
    </w:p>
    <w:p>
      <w:pPr>
        <w:pStyle w:val="129"/>
        <w:snapToGrid w:val="0"/>
        <w:spacing w:before="0"/>
        <w:ind w:firstLine="480"/>
        <w:rPr>
          <w:rFonts w:asciiTheme="minorEastAsia" w:hAnsiTheme="minorEastAsia" w:eastAsiaTheme="minorEastAsia"/>
        </w:rPr>
      </w:pPr>
      <w:r>
        <w:rPr>
          <w:rFonts w:asciiTheme="minorEastAsia" w:hAnsiTheme="minorEastAsia" w:eastAsiaTheme="minorEastAsia"/>
        </w:rPr>
        <w:t>6.2</w:t>
      </w:r>
      <w:r>
        <w:rPr>
          <w:rFonts w:hint="eastAsia" w:asciiTheme="minorEastAsia" w:hAnsiTheme="minorEastAsia" w:eastAsiaTheme="minor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sz w:val="24"/>
          <w:szCs w:val="20"/>
        </w:rPr>
      </w:pPr>
      <w:r>
        <w:br w:type="page"/>
      </w:r>
    </w:p>
    <w:p>
      <w:pPr>
        <w:adjustRightInd/>
        <w:spacing w:line="360" w:lineRule="auto"/>
        <w:jc w:val="center"/>
        <w:outlineLvl w:val="0"/>
        <w:rPr>
          <w:rFonts w:cs="仿宋_GB2312" w:asciiTheme="minorEastAsia" w:hAnsiTheme="minorEastAsia" w:eastAsiaTheme="minorEastAsia"/>
          <w:b/>
          <w:sz w:val="30"/>
          <w:szCs w:val="20"/>
        </w:rPr>
      </w:pPr>
      <w:bookmarkStart w:id="17" w:name="_Toc11602"/>
      <w:r>
        <w:rPr>
          <w:rFonts w:hint="eastAsia" w:cs="仿宋_GB2312" w:asciiTheme="minorEastAsia" w:hAnsiTheme="minorEastAsia" w:eastAsiaTheme="minorEastAsia"/>
          <w:b/>
          <w:sz w:val="30"/>
          <w:szCs w:val="20"/>
        </w:rPr>
        <w:t>三、投标</w:t>
      </w:r>
      <w:bookmarkEnd w:id="17"/>
    </w:p>
    <w:p>
      <w:pPr>
        <w:pStyle w:val="877"/>
        <w:spacing w:before="24" w:after="24"/>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招标文件的获取</w:t>
      </w:r>
    </w:p>
    <w:p>
      <w:pPr>
        <w:spacing w:line="360" w:lineRule="auto"/>
        <w:ind w:firstLine="480" w:firstLineChars="200"/>
        <w:rPr>
          <w:rFonts w:cs="仿宋_GB2312" w:asciiTheme="minorEastAsia" w:hAnsiTheme="minorEastAsia" w:eastAsiaTheme="minorEastAsia"/>
          <w:snapToGrid w:val="0"/>
          <w:kern w:val="28"/>
          <w:sz w:val="24"/>
        </w:rPr>
      </w:pPr>
      <w:r>
        <w:rPr>
          <w:rFonts w:hint="eastAsia" w:cs="仿宋_GB2312" w:asciiTheme="minorEastAsia" w:hAnsiTheme="minorEastAsia" w:eastAsiaTheme="minorEastAsia"/>
          <w:snapToGrid w:val="0"/>
          <w:kern w:val="28"/>
          <w:sz w:val="24"/>
        </w:rPr>
        <w:t>详见招标公告中获取招标文件的时间期限、地点、方式及招标文件售价。</w:t>
      </w:r>
    </w:p>
    <w:p>
      <w:pPr>
        <w:pStyle w:val="877"/>
        <w:spacing w:before="24" w:after="24"/>
        <w:rPr>
          <w:rFonts w:asciiTheme="minorEastAsia" w:hAnsiTheme="minorEastAsia" w:eastAsiaTheme="minorEastAsia"/>
        </w:rPr>
      </w:pPr>
      <w:r>
        <w:rPr>
          <w:rFonts w:asciiTheme="minorEastAsia" w:hAnsiTheme="minorEastAsia" w:eastAsiaTheme="minorEastAsia"/>
        </w:rPr>
        <w:t>8.开标前答疑会或现场考察</w:t>
      </w:r>
    </w:p>
    <w:p>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877"/>
        <w:spacing w:before="24" w:after="24"/>
        <w:rPr>
          <w:rFonts w:cs="仿宋_GB2312" w:asciiTheme="minorEastAsia" w:hAnsiTheme="minorEastAsia" w:eastAsiaTheme="minorEastAsia"/>
        </w:rPr>
      </w:pPr>
      <w:r>
        <w:rPr>
          <w:rFonts w:asciiTheme="minorEastAsia" w:hAnsiTheme="minorEastAsia" w:eastAsiaTheme="minorEastAsia"/>
        </w:rPr>
        <w:t>9.投标保证金</w:t>
      </w:r>
    </w:p>
    <w:p>
      <w:pPr>
        <w:pStyle w:val="17"/>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本项目不需缴纳投标保证金。</w:t>
      </w:r>
    </w:p>
    <w:p>
      <w:pPr>
        <w:pStyle w:val="877"/>
        <w:spacing w:before="24" w:after="24"/>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投标文件的语言</w:t>
      </w:r>
    </w:p>
    <w:p>
      <w:pPr>
        <w:autoSpaceDE w:val="0"/>
        <w:autoSpaceDN w:val="0"/>
        <w:spacing w:line="360" w:lineRule="auto"/>
        <w:ind w:firstLine="480" w:firstLineChars="200"/>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rPr>
        <w:t>投标文件及投标人与采购有关的来往通知、函件和文件均应使用中文。</w:t>
      </w:r>
    </w:p>
    <w:p>
      <w:pPr>
        <w:pStyle w:val="877"/>
        <w:spacing w:before="24" w:after="24"/>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投标文件的组成</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11.1</w:t>
      </w:r>
      <w:r>
        <w:rPr>
          <w:rFonts w:hint="eastAsia" w:cs="仿宋_GB2312" w:asciiTheme="minorEastAsia" w:hAnsiTheme="minorEastAsia" w:eastAsiaTheme="minorEastAsia"/>
          <w:b/>
          <w:sz w:val="24"/>
        </w:rPr>
        <w:t>资格文件</w:t>
      </w:r>
      <w:r>
        <w:rPr>
          <w:rFonts w:hint="eastAsia" w:cs="仿宋_GB2312" w:asciiTheme="minorEastAsia" w:hAnsiTheme="minorEastAsia" w:eastAsiaTheme="minorEastAsia"/>
          <w:sz w:val="24"/>
        </w:rPr>
        <w:t>：</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11.1.1符合参加政府采购活动应当具备的一般条件的承诺函；</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11.1.2落实政府采购政策需满足的资格要求；</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11.1.3本项目的特定资格要求。</w:t>
      </w:r>
    </w:p>
    <w:p>
      <w:pPr>
        <w:snapToGrid w:val="0"/>
        <w:spacing w:line="360" w:lineRule="auto"/>
        <w:ind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b/>
          <w:bCs/>
          <w:sz w:val="24"/>
          <w:lang w:val="zh-CN"/>
        </w:rPr>
        <w:t>.</w:t>
      </w:r>
      <w:r>
        <w:rPr>
          <w:rFonts w:cs="仿宋_GB2312" w:asciiTheme="minorEastAsia" w:hAnsiTheme="minorEastAsia" w:eastAsiaTheme="minorEastAsia"/>
          <w:b/>
          <w:bCs/>
          <w:sz w:val="24"/>
        </w:rPr>
        <w:t>2</w:t>
      </w:r>
      <w:r>
        <w:rPr>
          <w:rFonts w:hint="eastAsia" w:cs="仿宋_GB2312" w:asciiTheme="minorEastAsia" w:hAnsiTheme="minorEastAsia" w:eastAsiaTheme="minorEastAsia"/>
          <w:b/>
          <w:bCs/>
          <w:sz w:val="24"/>
        </w:rPr>
        <w:t>商务技术</w:t>
      </w:r>
      <w:r>
        <w:rPr>
          <w:rFonts w:hint="eastAsia" w:cs="仿宋_GB2312" w:asciiTheme="minorEastAsia" w:hAnsiTheme="minorEastAsia" w:eastAsiaTheme="minorEastAsia"/>
          <w:b/>
          <w:bCs/>
          <w:sz w:val="24"/>
          <w:lang w:val="zh-CN"/>
        </w:rPr>
        <w:t>文件：</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11.2.1投标函；</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11.2.3联合协议；</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11.2.4分包意向协议；</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11.2.5符合性审查资料；</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11.2.6评标标准相应的商务技术资料；</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11.2.7商务技术偏离表；</w:t>
      </w:r>
    </w:p>
    <w:p>
      <w:pPr>
        <w:snapToGrid w:val="0"/>
        <w:spacing w:line="360" w:lineRule="auto"/>
        <w:ind w:firstLine="960" w:firstLineChars="4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p>
    <w:p>
      <w:pPr>
        <w:snapToGrid w:val="0"/>
        <w:spacing w:line="360" w:lineRule="auto"/>
        <w:ind w:firstLine="480" w:firstLineChars="200"/>
        <w:rPr>
          <w:rFonts w:cs="仿宋_GB2312" w:asciiTheme="minorEastAsia" w:hAnsiTheme="minorEastAsia" w:eastAsiaTheme="minorEastAsia"/>
          <w:sz w:val="24"/>
          <w:u w:val="single"/>
          <w:lang w:val="zh-CN"/>
        </w:rPr>
      </w:pPr>
      <w:r>
        <w:rPr>
          <w:rFonts w:cs="仿宋_GB2312" w:asciiTheme="minorEastAsia" w:hAnsiTheme="minorEastAsia" w:eastAsiaTheme="minorEastAsia"/>
          <w:kern w:val="0"/>
          <w:sz w:val="24"/>
          <w:lang w:val="zh-CN"/>
        </w:rPr>
        <w:t>11.</w:t>
      </w:r>
      <w:r>
        <w:rPr>
          <w:rFonts w:cs="仿宋_GB2312" w:asciiTheme="minorEastAsia" w:hAnsiTheme="minorEastAsia" w:eastAsiaTheme="minorEastAsia"/>
          <w:kern w:val="0"/>
          <w:sz w:val="24"/>
        </w:rPr>
        <w:t>3</w:t>
      </w:r>
      <w:r>
        <w:rPr>
          <w:rFonts w:hint="eastAsia" w:cs="仿宋_GB2312" w:asciiTheme="minorEastAsia" w:hAnsiTheme="minorEastAsia" w:eastAsiaTheme="minorEastAsia"/>
          <w:b/>
          <w:sz w:val="24"/>
        </w:rPr>
        <w:t>报价文件：</w:t>
      </w:r>
    </w:p>
    <w:p>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11.3.1开标一览表（报价表）；</w:t>
      </w:r>
    </w:p>
    <w:p>
      <w:pPr>
        <w:spacing w:line="360" w:lineRule="auto"/>
        <w:ind w:firstLine="723" w:firstLineChars="300"/>
        <w:rPr>
          <w:rFonts w:asciiTheme="minorEastAsia" w:hAnsiTheme="minorEastAsia" w:eastAsiaTheme="minorEastAsia"/>
          <w:b/>
          <w:sz w:val="24"/>
        </w:rPr>
      </w:pPr>
      <w:r>
        <w:rPr>
          <w:rFonts w:hint="eastAsia" w:asciiTheme="minorEastAsia" w:hAnsiTheme="minorEastAsia" w:eastAsiaTheme="minorEastAsia"/>
          <w:b/>
          <w:sz w:val="24"/>
        </w:rPr>
        <w:t>投标文件含有采购人不能接受的附加条件的，投标无效；</w:t>
      </w:r>
    </w:p>
    <w:p>
      <w:pPr>
        <w:spacing w:line="360" w:lineRule="auto"/>
        <w:ind w:firstLine="723" w:firstLineChars="300"/>
        <w:rPr>
          <w:rFonts w:cs="仿宋_GB2312" w:asciiTheme="minorEastAsia" w:hAnsiTheme="minorEastAsia" w:eastAsiaTheme="minorEastAsia"/>
          <w:b/>
          <w:sz w:val="24"/>
          <w:szCs w:val="21"/>
        </w:rPr>
      </w:pPr>
      <w:r>
        <w:rPr>
          <w:rFonts w:hint="eastAsia" w:asciiTheme="minorEastAsia" w:hAnsiTheme="minorEastAsia" w:eastAsiaTheme="minorEastAsia"/>
          <w:b/>
          <w:sz w:val="24"/>
        </w:rPr>
        <w:t>投标人提供虚假材料投标的，投标无效。</w:t>
      </w:r>
    </w:p>
    <w:p>
      <w:pPr>
        <w:pStyle w:val="877"/>
        <w:spacing w:before="24" w:after="24"/>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投标文件的编制</w:t>
      </w:r>
    </w:p>
    <w:p>
      <w:pPr>
        <w:spacing w:line="360" w:lineRule="auto"/>
        <w:ind w:firstLine="480" w:firstLineChars="200"/>
        <w:rPr>
          <w:rFonts w:cs="仿宋_GB2312" w:asciiTheme="minorEastAsia" w:hAnsiTheme="minorEastAsia" w:eastAsiaTheme="minorEastAsia"/>
          <w:b/>
          <w:sz w:val="24"/>
        </w:rPr>
      </w:pPr>
      <w:r>
        <w:rPr>
          <w:rFonts w:cs="仿宋_GB2312" w:asciiTheme="minorEastAsia" w:hAnsiTheme="minorEastAsia" w:eastAsiaTheme="minorEastAsia"/>
          <w:kern w:val="0"/>
          <w:sz w:val="24"/>
          <w:lang w:val="zh-CN"/>
        </w:rPr>
        <w:t>12.1投标文件分为资格文件、商务技术文件、报价文件三部分。各投标人在编制投标文件时请按照招标文件第六部</w:t>
      </w:r>
      <w:r>
        <w:rPr>
          <w:rFonts w:hint="eastAsia" w:cs="仿宋_GB2312" w:asciiTheme="minorEastAsia" w:hAnsiTheme="minorEastAsia" w:eastAsiaTheme="minorEastAsia"/>
          <w:kern w:val="0"/>
          <w:sz w:val="24"/>
          <w:lang w:val="zh-CN"/>
        </w:rPr>
        <w:t>分规定的格式进行，混乱的编排导致投标文件被误读或评标委员会查找不到有效文件是投标人的风险。</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12.2投标人进行电子投标应安装客户端软件—“政</w:t>
      </w:r>
      <w:r>
        <w:rPr>
          <w:rFonts w:hint="eastAsia" w:cs="仿宋_GB2312" w:asciiTheme="minorEastAsia" w:hAnsiTheme="minorEastAsia" w:eastAsiaTheme="minorEastAsia"/>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12.3使用“政</w:t>
      </w:r>
      <w:r>
        <w:rPr>
          <w:rFonts w:hint="eastAsia" w:cs="仿宋_GB2312" w:asciiTheme="minorEastAsia" w:hAnsiTheme="minorEastAsia" w:eastAsiaTheme="minorEastAsia"/>
          <w:kern w:val="0"/>
          <w:sz w:val="24"/>
          <w:lang w:val="zh-CN"/>
        </w:rPr>
        <w:t>采云电子交易客户端”需要提前申领</w:t>
      </w:r>
      <w:r>
        <w:rPr>
          <w:rFonts w:cs="仿宋_GB2312" w:asciiTheme="minorEastAsia" w:hAnsiTheme="minorEastAsia" w:eastAsiaTheme="minorEastAsia"/>
          <w:kern w:val="0"/>
          <w:sz w:val="24"/>
          <w:lang w:val="zh-CN"/>
        </w:rPr>
        <w:t>CA数字证书，申领流程请自行前往“浙江政府采购网-下载专区-电子交易客户端-CA驱动和申领流程”进行查阅。</w:t>
      </w:r>
    </w:p>
    <w:p>
      <w:pPr>
        <w:pStyle w:val="877"/>
        <w:spacing w:before="24" w:after="24"/>
        <w:rPr>
          <w:rFonts w:asciiTheme="minorEastAsia" w:hAnsiTheme="minorEastAsia" w:eastAsiaTheme="minorEastAsia"/>
        </w:rPr>
      </w:pPr>
      <w:r>
        <w:rPr>
          <w:rFonts w:asciiTheme="minorEastAsia" w:hAnsiTheme="minorEastAsia" w:eastAsiaTheme="minorEastAsia"/>
        </w:rPr>
        <w:t>13.投标文件的签署、盖章</w:t>
      </w:r>
    </w:p>
    <w:p>
      <w:pPr>
        <w:pStyle w:val="129"/>
        <w:spacing w:before="0"/>
        <w:ind w:firstLine="480"/>
        <w:rPr>
          <w:rFonts w:cs="仿宋_GB2312" w:asciiTheme="minorEastAsia" w:hAnsiTheme="minorEastAsia" w:eastAsiaTheme="minorEastAsia"/>
          <w:b/>
        </w:rPr>
      </w:pPr>
      <w:r>
        <w:rPr>
          <w:rFonts w:cs="仿宋_GB2312" w:asciiTheme="minorEastAsia" w:hAnsiTheme="minorEastAsia" w:eastAsiaTheme="minorEastAsia"/>
          <w:szCs w:val="24"/>
        </w:rPr>
        <w:t>13.1投标文件按照招标文件第六部分格式要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投标人的投标文件未按照招标文件要求签署、盖章的，其投标无效</w:t>
      </w:r>
      <w:r>
        <w:rPr>
          <w:rFonts w:hint="eastAsia" w:cs="仿宋_GB2312" w:asciiTheme="minorEastAsia" w:hAnsiTheme="minorEastAsia" w:eastAsiaTheme="minorEastAsia"/>
          <w:szCs w:val="24"/>
        </w:rPr>
        <w:t>。</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129"/>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13.3招标文件对投标文件签署、盖章的要求适用于电子签名。</w:t>
      </w:r>
    </w:p>
    <w:p>
      <w:pPr>
        <w:pStyle w:val="877"/>
        <w:spacing w:before="24" w:after="24"/>
        <w:rPr>
          <w:rFonts w:asciiTheme="minorEastAsia" w:hAnsiTheme="minorEastAsia" w:eastAsiaTheme="minorEastAsia"/>
        </w:rPr>
      </w:pPr>
      <w:r>
        <w:rPr>
          <w:rFonts w:asciiTheme="minorEastAsia" w:hAnsiTheme="minorEastAsia" w:eastAsiaTheme="minorEastAsia"/>
        </w:rPr>
        <w:t xml:space="preserve">14. </w:t>
      </w:r>
      <w:r>
        <w:rPr>
          <w:rFonts w:hint="eastAsia" w:asciiTheme="minorEastAsia" w:hAnsiTheme="minorEastAsia" w:eastAsiaTheme="minorEastAsia"/>
        </w:rPr>
        <w:t>投标文件的提交、补充、修改、撤回</w:t>
      </w:r>
    </w:p>
    <w:p>
      <w:pPr>
        <w:pStyle w:val="129"/>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 xml:space="preserve">14.1 </w:t>
      </w:r>
      <w:r>
        <w:rPr>
          <w:rFonts w:hint="eastAsia" w:cs="仿宋_GB2312" w:asciiTheme="minorEastAsia" w:hAnsiTheme="minorEastAsia" w:eastAsiaTheme="minor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877"/>
        <w:spacing w:before="24" w:after="24"/>
        <w:rPr>
          <w:rFonts w:asciiTheme="minorEastAsia" w:hAnsiTheme="minorEastAsia" w:eastAsiaTheme="minorEastAsia"/>
        </w:rPr>
      </w:pPr>
      <w:r>
        <w:rPr>
          <w:rFonts w:asciiTheme="minorEastAsia" w:hAnsiTheme="minorEastAsia" w:eastAsiaTheme="minorEastAsia"/>
        </w:rPr>
        <w:t>15.备份投标文件</w:t>
      </w:r>
    </w:p>
    <w:p>
      <w:pPr>
        <w:pStyle w:val="33"/>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sz w:val="24"/>
          <w:szCs w:val="24"/>
        </w:rPr>
        <w:t>但采购人、采购机构不强制或变相强制投标人提交备份投标文件。</w:t>
      </w:r>
    </w:p>
    <w:p>
      <w:pPr>
        <w:pStyle w:val="33"/>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15.2备份投标文件须在“政</w:t>
      </w:r>
      <w:r>
        <w:rPr>
          <w:rFonts w:hint="eastAsia" w:cs="仿宋_GB2312" w:asciiTheme="minorEastAsia" w:hAnsiTheme="minorEastAsia" w:eastAsiaTheme="minorEastAsia"/>
          <w:sz w:val="24"/>
          <w:szCs w:val="24"/>
        </w:rPr>
        <w:t>采云投标客户端”制作生成，并储存在U盘中。备份投标文件应当密封包装并在包装上加盖公章并注明投标项目名称，投标人名称</w:t>
      </w:r>
      <w:r>
        <w:rPr>
          <w:rFonts w:cs="仿宋_GB2312" w:asciiTheme="minorEastAsia" w:hAnsiTheme="minorEastAsia" w:eastAsiaTheme="minorEastAsia"/>
          <w:sz w:val="24"/>
          <w:szCs w:val="24"/>
        </w:rPr>
        <w:t>(联合体投标的，包装物封面需注明联合体投标，并注明联合体成员各方的名称和联合协议中约定的牵头人的名称)。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存储、密封规定的备份投标文件将被视为无效或者被拒绝接收。</w:t>
      </w:r>
    </w:p>
    <w:p>
      <w:pPr>
        <w:pStyle w:val="33"/>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仿宋_GB2312" w:asciiTheme="minorEastAsia" w:hAnsiTheme="minorEastAsia" w:eastAsiaTheme="minorEastAsia"/>
          <w:snapToGrid/>
          <w:sz w:val="24"/>
          <w:szCs w:val="24"/>
        </w:rPr>
        <w:t>招标文件第二部分投标人须知前附表规定的备份投标文件送达地点；</w:t>
      </w:r>
      <w:r>
        <w:rPr>
          <w:rFonts w:hint="eastAsia" w:cs="仿宋_GB2312"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15.5投标人仅提交备份投标文件，没有在电子交易平台传输递交投标文件的，投标无效。</w:t>
      </w:r>
    </w:p>
    <w:p>
      <w:pPr>
        <w:pStyle w:val="877"/>
        <w:spacing w:before="24" w:after="24"/>
        <w:rPr>
          <w:rFonts w:asciiTheme="minorEastAsia" w:hAnsiTheme="minorEastAsia" w:eastAsiaTheme="minorEastAsia"/>
        </w:rPr>
      </w:pPr>
      <w:r>
        <w:rPr>
          <w:rFonts w:asciiTheme="minorEastAsia" w:hAnsiTheme="minorEastAsia" w:eastAsiaTheme="minorEastAsia"/>
        </w:rPr>
        <w:t>16.投标文件的无效处理</w:t>
      </w:r>
    </w:p>
    <w:p>
      <w:pPr>
        <w:pStyle w:val="25"/>
        <w:spacing w:line="360" w:lineRule="auto"/>
        <w:ind w:firstLine="360" w:firstLineChars="150"/>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有招标文件第四部分</w:t>
      </w:r>
      <w:r>
        <w:rPr>
          <w:rFonts w:hint="eastAsia" w:asciiTheme="minorEastAsia" w:hAnsiTheme="minorEastAsia" w:eastAsiaTheme="minorEastAsia"/>
        </w:rPr>
        <w:t>4.2</w:t>
      </w:r>
      <w:r>
        <w:rPr>
          <w:rFonts w:asciiTheme="minorEastAsia" w:hAnsiTheme="minorEastAsia" w:eastAsiaTheme="minorEastAsia"/>
        </w:rPr>
        <w:t>规定</w:t>
      </w:r>
      <w:r>
        <w:rPr>
          <w:rFonts w:hint="eastAsia" w:cs="仿宋_GB2312" w:asciiTheme="minorEastAsia" w:hAnsiTheme="minorEastAsia" w:eastAsiaTheme="minorEastAsia"/>
          <w:szCs w:val="21"/>
        </w:rPr>
        <w:t>的情形之一的，投标无效：</w:t>
      </w:r>
    </w:p>
    <w:p>
      <w:pPr>
        <w:pStyle w:val="877"/>
        <w:spacing w:before="24" w:after="24"/>
        <w:rPr>
          <w:rFonts w:asciiTheme="minorEastAsia" w:hAnsiTheme="minorEastAsia" w:eastAsiaTheme="minorEastAsia"/>
        </w:rPr>
      </w:pPr>
      <w:r>
        <w:rPr>
          <w:rFonts w:asciiTheme="minorEastAsia" w:hAnsiTheme="minorEastAsia" w:eastAsiaTheme="minorEastAsia"/>
        </w:rPr>
        <w:t>17.投标有效期</w:t>
      </w:r>
    </w:p>
    <w:p>
      <w:pPr>
        <w:spacing w:line="360" w:lineRule="auto"/>
        <w:ind w:firstLine="480" w:firstLineChars="200"/>
        <w:rPr>
          <w:rFonts w:cs="仿宋_GB2312" w:asciiTheme="minorEastAsia" w:hAnsiTheme="minorEastAsia" w:eastAsiaTheme="minorEastAsia"/>
          <w:b/>
          <w:sz w:val="24"/>
          <w:szCs w:val="21"/>
        </w:rPr>
      </w:pPr>
      <w:r>
        <w:rPr>
          <w:rFonts w:cs="仿宋_GB2312" w:asciiTheme="minorEastAsia" w:hAnsiTheme="minorEastAsia" w:eastAsiaTheme="minorEastAsia"/>
          <w:sz w:val="24"/>
          <w:szCs w:val="20"/>
        </w:rPr>
        <w:t>17.1投标有效期为从提交投标文件的截止之日起90天。▲</w:t>
      </w:r>
      <w:r>
        <w:rPr>
          <w:rFonts w:hint="eastAsia" w:cs="仿宋_GB2312" w:asciiTheme="minorEastAsia" w:hAnsiTheme="minorEastAsia" w:eastAsiaTheme="minorEastAsia"/>
          <w:b/>
          <w:sz w:val="24"/>
          <w:szCs w:val="20"/>
        </w:rPr>
        <w:t>投标人的投标文件中承</w:t>
      </w:r>
      <w:r>
        <w:rPr>
          <w:rFonts w:hint="eastAsia" w:cs="仿宋_GB2312" w:asciiTheme="minorEastAsia" w:hAnsiTheme="minorEastAsia" w:eastAsiaTheme="minorEastAsia"/>
          <w:b/>
          <w:sz w:val="24"/>
          <w:szCs w:val="21"/>
        </w:rPr>
        <w:t>诺的投标有效期少于招标文件中载明的投标有效期的，投标无效。</w:t>
      </w:r>
    </w:p>
    <w:p>
      <w:pPr>
        <w:pStyle w:val="129"/>
        <w:spacing w:before="0"/>
        <w:ind w:firstLine="480"/>
        <w:rPr>
          <w:rFonts w:cs="仿宋_GB2312" w:asciiTheme="minorEastAsia" w:hAnsiTheme="minorEastAsia" w:eastAsiaTheme="minorEastAsia"/>
        </w:rPr>
      </w:pPr>
      <w:r>
        <w:rPr>
          <w:rFonts w:cs="仿宋_GB2312" w:asciiTheme="minorEastAsia" w:hAnsiTheme="minorEastAsia" w:eastAsiaTheme="minorEastAsia"/>
        </w:rPr>
        <w:t>17.2投标文件合格投递后，自投标截止日期起，在投标有效期内有效。</w:t>
      </w:r>
    </w:p>
    <w:p>
      <w:pPr>
        <w:pStyle w:val="129"/>
        <w:spacing w:before="0"/>
        <w:ind w:firstLine="480"/>
        <w:rPr>
          <w:rFonts w:cs="仿宋_GB2312" w:asciiTheme="minorEastAsia" w:hAnsiTheme="minorEastAsia" w:eastAsiaTheme="minorEastAsia"/>
        </w:rPr>
      </w:pPr>
      <w:r>
        <w:rPr>
          <w:rFonts w:cs="仿宋_GB2312"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6"/>
        <w:rPr>
          <w:sz w:val="24"/>
          <w:szCs w:val="20"/>
        </w:rPr>
      </w:pPr>
      <w:r>
        <w:br w:type="page"/>
      </w:r>
    </w:p>
    <w:p>
      <w:pPr>
        <w:snapToGrid w:val="0"/>
        <w:spacing w:line="360" w:lineRule="auto"/>
        <w:jc w:val="center"/>
        <w:outlineLvl w:val="0"/>
        <w:rPr>
          <w:rFonts w:cs="仿宋_GB2312" w:asciiTheme="minorEastAsia" w:hAnsiTheme="minorEastAsia" w:eastAsiaTheme="minorEastAsia"/>
          <w:b/>
          <w:sz w:val="36"/>
          <w:szCs w:val="36"/>
        </w:rPr>
      </w:pPr>
      <w:bookmarkStart w:id="18" w:name="_Toc930"/>
      <w:r>
        <w:rPr>
          <w:rFonts w:hint="eastAsia" w:cs="仿宋_GB2312" w:asciiTheme="minorEastAsia" w:hAnsiTheme="minorEastAsia" w:eastAsiaTheme="minorEastAsia"/>
          <w:b/>
          <w:sz w:val="36"/>
          <w:szCs w:val="36"/>
        </w:rPr>
        <w:t>四、开标、资格审查与信用信息查询</w:t>
      </w:r>
      <w:bookmarkEnd w:id="18"/>
    </w:p>
    <w:p>
      <w:pPr>
        <w:pStyle w:val="877"/>
        <w:spacing w:before="24" w:after="24"/>
        <w:rPr>
          <w:rFonts w:asciiTheme="minorEastAsia" w:hAnsiTheme="minorEastAsia" w:eastAsiaTheme="minorEastAsia"/>
        </w:rPr>
      </w:pPr>
      <w:r>
        <w:rPr>
          <w:rFonts w:asciiTheme="minorEastAsia" w:hAnsiTheme="minorEastAsia" w:eastAsiaTheme="minorEastAsia"/>
        </w:rPr>
        <w:t>18.开标</w:t>
      </w:r>
    </w:p>
    <w:p>
      <w:pPr>
        <w:pStyle w:val="554"/>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cs="仿宋_GB2312" w:asciiTheme="minorEastAsia" w:hAnsiTheme="minorEastAsia" w:eastAsiaTheme="minorEastAsia"/>
          <w:b/>
          <w:sz w:val="24"/>
        </w:rPr>
      </w:pPr>
      <w:r>
        <w:rPr>
          <w:rFonts w:cs="仿宋_GB2312" w:asciiTheme="minorEastAsia" w:hAnsiTheme="minorEastAsia" w:eastAsiaTheme="minorEastAsia"/>
          <w:sz w:val="24"/>
        </w:rPr>
        <w:t>18.3</w:t>
      </w:r>
      <w:r>
        <w:rPr>
          <w:rFonts w:hint="eastAsia" w:cs="仿宋_GB2312"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pStyle w:val="877"/>
        <w:spacing w:before="24" w:after="24"/>
        <w:rPr>
          <w:rFonts w:asciiTheme="minorEastAsia" w:hAnsiTheme="minorEastAsia" w:eastAsiaTheme="minorEastAsia"/>
        </w:rPr>
      </w:pPr>
      <w:r>
        <w:rPr>
          <w:rFonts w:asciiTheme="minorEastAsia" w:hAnsiTheme="minorEastAsia" w:eastAsiaTheme="minorEastAsia"/>
        </w:rPr>
        <w:t>19</w:t>
      </w:r>
      <w:r>
        <w:rPr>
          <w:rFonts w:hint="eastAsia" w:asciiTheme="minorEastAsia" w:hAnsiTheme="minorEastAsia" w:eastAsiaTheme="minorEastAsia"/>
        </w:rPr>
        <w:t>.</w:t>
      </w:r>
      <w:r>
        <w:rPr>
          <w:rFonts w:asciiTheme="minorEastAsia" w:hAnsiTheme="minorEastAsia" w:eastAsiaTheme="minorEastAsia"/>
        </w:rPr>
        <w:t>资格审查</w:t>
      </w:r>
    </w:p>
    <w:p>
      <w:pPr>
        <w:pStyle w:val="129"/>
        <w:spacing w:before="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cs="仿宋_GB2312" w:asciiTheme="minorEastAsia" w:hAnsiTheme="minorEastAsia" w:eastAsiaTheme="minorEastAsia"/>
          <w:sz w:val="24"/>
        </w:rPr>
      </w:pPr>
      <w:r>
        <w:rPr>
          <w:rFonts w:cs="Arial" w:asciiTheme="minorEastAsia" w:hAnsiTheme="minorEastAsia" w:eastAsiaTheme="minorEastAsia"/>
          <w:kern w:val="0"/>
          <w:sz w:val="24"/>
        </w:rPr>
        <w:t>19.2</w:t>
      </w:r>
      <w:r>
        <w:rPr>
          <w:rFonts w:hint="eastAsia" w:cs="仿宋_GB2312" w:asciiTheme="minorEastAsia" w:hAnsiTheme="minorEastAsia" w:eastAsiaTheme="minorEastAsia"/>
          <w:sz w:val="24"/>
        </w:rPr>
        <w:t>采购人或采购机构依据法律法规和招标文件的规定，对投标人的基本资格条件、特定资格条件进行审查。</w:t>
      </w:r>
    </w:p>
    <w:p>
      <w:pPr>
        <w:pStyle w:val="129"/>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19.3投标人未按照招标文件要求提供与</w:t>
      </w:r>
      <w:r>
        <w:rPr>
          <w:rFonts w:hint="eastAsia" w:cs="仿宋_GB2312" w:asciiTheme="minorEastAsia" w:hAnsiTheme="minorEastAsia" w:eastAsiaTheme="minorEastAsia"/>
        </w:rPr>
        <w:t>基本资格条件、特定资格条件相应的</w:t>
      </w:r>
      <w:r>
        <w:rPr>
          <w:rFonts w:hint="eastAsia" w:cs="Arial" w:asciiTheme="minorEastAsia" w:hAnsiTheme="minorEastAsia" w:eastAsiaTheme="minorEastAsia"/>
          <w:kern w:val="0"/>
          <w:szCs w:val="24"/>
        </w:rPr>
        <w:t>有效资格证明材料的，视为</w:t>
      </w:r>
      <w:r>
        <w:rPr>
          <w:rFonts w:hint="eastAsia" w:cs="仿宋_GB2312" w:asciiTheme="minorEastAsia" w:hAnsiTheme="minorEastAsia" w:eastAsiaTheme="minorEastAsia"/>
        </w:rPr>
        <w:t>投标人不具备招标文件中规定的资格要求，其投标无效。</w:t>
      </w:r>
    </w:p>
    <w:p>
      <w:pPr>
        <w:pStyle w:val="129"/>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4对未通过资格审查的投标人，采购人或采购机构告知其未通过的原因。</w:t>
      </w:r>
    </w:p>
    <w:p>
      <w:pPr>
        <w:pStyle w:val="129"/>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5合格投标人不足3家的，不再评标。</w:t>
      </w:r>
    </w:p>
    <w:p>
      <w:pPr>
        <w:pStyle w:val="877"/>
        <w:spacing w:before="24" w:after="24"/>
        <w:rPr>
          <w:rFonts w:asciiTheme="minorEastAsia" w:hAnsiTheme="minorEastAsia" w:eastAsiaTheme="minorEastAsia"/>
        </w:rPr>
      </w:pPr>
      <w:r>
        <w:rPr>
          <w:rFonts w:asciiTheme="minorEastAsia" w:hAnsiTheme="minorEastAsia" w:eastAsiaTheme="minorEastAsia"/>
        </w:rPr>
        <w:t>20</w:t>
      </w:r>
      <w:r>
        <w:rPr>
          <w:rFonts w:hint="eastAsia" w:asciiTheme="minorEastAsia" w:hAnsiTheme="minorEastAsia" w:eastAsiaTheme="minorEastAsia"/>
        </w:rPr>
        <w:t>.</w:t>
      </w:r>
      <w:r>
        <w:rPr>
          <w:rFonts w:asciiTheme="minorEastAsia" w:hAnsiTheme="minorEastAsia" w:eastAsiaTheme="minorEastAsia"/>
        </w:rPr>
        <w:t>信用信息查询</w:t>
      </w:r>
    </w:p>
    <w:p>
      <w:pPr>
        <w:pStyle w:val="129"/>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rPr>
        <w:t>。</w:t>
      </w:r>
    </w:p>
    <w:p>
      <w:pPr>
        <w:pStyle w:val="6"/>
        <w:rPr>
          <w:sz w:val="24"/>
          <w:szCs w:val="20"/>
        </w:rPr>
      </w:pPr>
      <w:r>
        <w:br w:type="page"/>
      </w:r>
    </w:p>
    <w:p>
      <w:pPr>
        <w:snapToGrid w:val="0"/>
        <w:spacing w:line="360" w:lineRule="auto"/>
        <w:jc w:val="center"/>
        <w:outlineLvl w:val="0"/>
        <w:rPr>
          <w:rFonts w:cs="仿宋_GB2312" w:asciiTheme="minorEastAsia" w:hAnsiTheme="minorEastAsia" w:eastAsiaTheme="minorEastAsia"/>
          <w:b/>
          <w:sz w:val="36"/>
          <w:szCs w:val="36"/>
        </w:rPr>
      </w:pPr>
      <w:bookmarkStart w:id="19" w:name="_Toc6681"/>
      <w:r>
        <w:rPr>
          <w:rFonts w:hint="eastAsia" w:cs="仿宋_GB2312" w:asciiTheme="minorEastAsia" w:hAnsiTheme="minorEastAsia" w:eastAsiaTheme="minorEastAsia"/>
          <w:b/>
          <w:sz w:val="36"/>
          <w:szCs w:val="36"/>
        </w:rPr>
        <w:t>五、评标</w:t>
      </w:r>
      <w:bookmarkEnd w:id="19"/>
    </w:p>
    <w:p>
      <w:pPr>
        <w:spacing w:line="360" w:lineRule="auto"/>
        <w:rPr>
          <w:rFonts w:cs="仿宋_GB2312" w:asciiTheme="minorEastAsia" w:hAnsiTheme="minorEastAsia" w:eastAsiaTheme="minorEastAsia"/>
          <w:b/>
          <w:sz w:val="24"/>
        </w:rPr>
      </w:pPr>
      <w:bookmarkStart w:id="20" w:name="_Toc91899903"/>
      <w:r>
        <w:rPr>
          <w:rFonts w:cs="仿宋_GB2312" w:asciiTheme="minorEastAsia" w:hAnsiTheme="minorEastAsia" w:eastAsiaTheme="minorEastAsia"/>
          <w:b/>
          <w:sz w:val="24"/>
        </w:rPr>
        <w:t>21.</w:t>
      </w:r>
      <w:r>
        <w:rPr>
          <w:rFonts w:hint="eastAsia" w:cs="仿宋_GB2312"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sz w:val="24"/>
        </w:rPr>
        <w:t>详见招标文件第四部分评标办法。</w:t>
      </w:r>
    </w:p>
    <w:p>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pPr>
        <w:snapToGrid w:val="0"/>
        <w:spacing w:line="360" w:lineRule="auto"/>
        <w:jc w:val="center"/>
        <w:outlineLvl w:val="0"/>
        <w:rPr>
          <w:rFonts w:cs="仿宋_GB2312" w:asciiTheme="minorEastAsia" w:hAnsiTheme="minorEastAsia" w:eastAsiaTheme="minorEastAsia"/>
          <w:b/>
          <w:sz w:val="36"/>
          <w:szCs w:val="36"/>
        </w:rPr>
      </w:pPr>
      <w:bookmarkStart w:id="21" w:name="_Toc20907"/>
      <w:r>
        <w:rPr>
          <w:rFonts w:hint="eastAsia" w:cs="仿宋_GB2312" w:asciiTheme="minorEastAsia" w:hAnsiTheme="minorEastAsia" w:eastAsiaTheme="minorEastAsia"/>
          <w:b/>
          <w:sz w:val="36"/>
          <w:szCs w:val="36"/>
        </w:rPr>
        <w:t>六、定标</w:t>
      </w:r>
      <w:bookmarkEnd w:id="21"/>
    </w:p>
    <w:p>
      <w:pPr>
        <w:pStyle w:val="877"/>
        <w:spacing w:before="24" w:after="24"/>
        <w:rPr>
          <w:rFonts w:asciiTheme="minorEastAsia" w:hAnsiTheme="minorEastAsia" w:eastAsiaTheme="minorEastAsia"/>
        </w:rPr>
      </w:pPr>
      <w:r>
        <w:rPr>
          <w:rFonts w:asciiTheme="minorEastAsia" w:hAnsiTheme="minorEastAsia" w:eastAsiaTheme="minorEastAsia"/>
        </w:rPr>
        <w:t>22.</w:t>
      </w:r>
      <w:r>
        <w:rPr>
          <w:rFonts w:hint="eastAsia" w:asciiTheme="minorEastAsia" w:hAnsiTheme="minorEastAsia" w:eastAsiaTheme="minorEastAsia"/>
        </w:rPr>
        <w:t>确定中标供应商</w:t>
      </w:r>
    </w:p>
    <w:p>
      <w:pPr>
        <w:pStyle w:val="129"/>
        <w:snapToGrid w:val="0"/>
        <w:spacing w:before="0"/>
        <w:ind w:firstLine="480"/>
        <w:rPr>
          <w:rFonts w:cs="仿宋_GB2312" w:asciiTheme="minorEastAsia" w:hAnsiTheme="minorEastAsia" w:eastAsiaTheme="minorEastAsia"/>
          <w:b/>
          <w:szCs w:val="24"/>
        </w:rPr>
      </w:pPr>
      <w:r>
        <w:rPr>
          <w:rFonts w:hint="eastAsia" w:cs="仿宋_GB2312" w:asciiTheme="minorEastAsia" w:hAnsiTheme="minorEastAsia" w:eastAsiaTheme="minorEastAsia"/>
          <w:szCs w:val="24"/>
        </w:rPr>
        <w:t>采购人将自收到评审报告之日起</w:t>
      </w:r>
      <w:r>
        <w:rPr>
          <w:rFonts w:cs="仿宋_GB2312" w:asciiTheme="minorEastAsia" w:hAnsiTheme="minorEastAsia" w:eastAsiaTheme="minorEastAsia"/>
          <w:szCs w:val="24"/>
        </w:rPr>
        <w:t>5个工作日内通过电子交易平台在评审报告推荐的中标候选人中按顺序确定中标供应商。</w:t>
      </w:r>
    </w:p>
    <w:p>
      <w:pPr>
        <w:pStyle w:val="877"/>
        <w:spacing w:before="24" w:after="24"/>
        <w:rPr>
          <w:rFonts w:asciiTheme="minorEastAsia" w:hAnsiTheme="minorEastAsia" w:eastAsiaTheme="minorEastAsia"/>
        </w:rPr>
      </w:pPr>
      <w:r>
        <w:rPr>
          <w:rFonts w:asciiTheme="minorEastAsia" w:hAnsiTheme="minorEastAsia" w:eastAsiaTheme="minorEastAsia"/>
        </w:rPr>
        <w:t>23.</w:t>
      </w:r>
      <w:r>
        <w:rPr>
          <w:rFonts w:hint="eastAsia" w:asciiTheme="minorEastAsia" w:hAnsiTheme="minorEastAsia" w:eastAsiaTheme="minorEastAsia"/>
        </w:rPr>
        <w:t>中标通知与中标结果公告</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23.1自中标人确定之日起2个工作日内，采购机构通过电子交易平台向中标人发出中标通知书，</w:t>
      </w:r>
      <w:r>
        <w:rPr>
          <w:rFonts w:hint="eastAsia" w:cs="仿宋_GB2312" w:asciiTheme="minorEastAsia" w:hAnsiTheme="minorEastAsia" w:eastAsiaTheme="minorEastAsia"/>
          <w:sz w:val="24"/>
        </w:rPr>
        <w:t>同时编制发布采购结果公告。采购机构也可以以纸质形式进行中标通知。</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23.2中标结果公告内容包括采购人及其委托的采购机构的名称、地址、联系方式，项目名称和项目编号，中标人名称、地址和中标金额，主要中标标的</w:t>
      </w:r>
      <w:r>
        <w:rPr>
          <w:rFonts w:hint="eastAsia" w:cs="仿宋_GB2312" w:asciiTheme="minorEastAsia" w:hAnsiTheme="minorEastAsia" w:eastAsiaTheme="minorEastAsia"/>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23.3公告期限为1个工作日。</w:t>
      </w:r>
    </w:p>
    <w:p>
      <w:pPr>
        <w:pStyle w:val="6"/>
      </w:pPr>
      <w:r>
        <w:br w:type="page"/>
      </w: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七、合同授予</w:t>
      </w:r>
    </w:p>
    <w:p>
      <w:pPr>
        <w:pStyle w:val="877"/>
        <w:spacing w:before="24" w:after="24"/>
        <w:rPr>
          <w:rFonts w:asciiTheme="minorEastAsia" w:hAnsiTheme="minorEastAsia" w:eastAsiaTheme="minorEastAsia"/>
        </w:rPr>
      </w:pPr>
      <w:r>
        <w:rPr>
          <w:rFonts w:asciiTheme="minorEastAsia" w:hAnsiTheme="minorEastAsia" w:eastAsiaTheme="minorEastAsia"/>
        </w:rPr>
        <w:t>24.</w:t>
      </w:r>
      <w:r>
        <w:rPr>
          <w:rFonts w:hint="eastAsia" w:asciiTheme="minorEastAsia" w:hAnsiTheme="minorEastAsia" w:eastAsiaTheme="minorEastAsia"/>
        </w:rPr>
        <w:t>合同主要条款详见第五部分拟签订的合同文本。</w:t>
      </w:r>
    </w:p>
    <w:p>
      <w:pPr>
        <w:pStyle w:val="877"/>
        <w:spacing w:before="24" w:after="24"/>
        <w:rPr>
          <w:rFonts w:asciiTheme="minorEastAsia" w:hAnsiTheme="minorEastAsia" w:eastAsiaTheme="minorEastAsia"/>
        </w:rPr>
      </w:pPr>
      <w:r>
        <w:rPr>
          <w:rFonts w:asciiTheme="minorEastAsia" w:hAnsiTheme="minorEastAsia" w:eastAsiaTheme="minorEastAsia"/>
        </w:rPr>
        <w:t>25.</w:t>
      </w:r>
      <w:r>
        <w:rPr>
          <w:rFonts w:hint="eastAsia" w:asciiTheme="minorEastAsia" w:hAnsiTheme="minorEastAsia" w:eastAsiaTheme="minorEastAsia"/>
        </w:rPr>
        <w:t>合同的签订</w:t>
      </w:r>
    </w:p>
    <w:p>
      <w:pPr>
        <w:widowControl/>
        <w:shd w:val="clear" w:color="auto" w:fill="FFFFFF"/>
        <w:spacing w:line="360" w:lineRule="auto"/>
        <w:ind w:firstLine="480"/>
        <w:jc w:val="left"/>
        <w:rPr>
          <w:rFonts w:cs="Arial" w:asciiTheme="minorEastAsia" w:hAnsiTheme="minorEastAsia" w:eastAsiaTheme="minorEastAsia"/>
          <w:kern w:val="0"/>
          <w:sz w:val="24"/>
        </w:rPr>
      </w:pPr>
      <w:r>
        <w:rPr>
          <w:rFonts w:cs="仿宋_GB2312" w:asciiTheme="minorEastAsia" w:hAnsiTheme="minorEastAsia" w:eastAsiaTheme="minorEastAsia"/>
          <w:sz w:val="24"/>
        </w:rPr>
        <w:t>25.1</w:t>
      </w:r>
      <w:r>
        <w:rPr>
          <w:rFonts w:cs="Arial" w:asciiTheme="minorEastAsia" w:hAnsiTheme="minorEastAsia" w:eastAsiaTheme="minorEastAsia"/>
          <w:kern w:val="0"/>
          <w:sz w:val="24"/>
        </w:rPr>
        <w:t>采购人与中标人应当通过电子交易平台在中标通知书发出之日起三十日内，按照招标文件确定的事项签订政府采购合同，并在</w:t>
      </w:r>
      <w:r>
        <w:rPr>
          <w:rFonts w:hint="eastAsia" w:cs="Arial" w:asciiTheme="minorEastAsia" w:hAnsiTheme="minorEastAsia" w:eastAsiaTheme="minorEastAsia"/>
          <w:kern w:val="0"/>
          <w:sz w:val="24"/>
        </w:rPr>
        <w:t>合同签订之日起2个工作日</w:t>
      </w:r>
      <w:r>
        <w:rPr>
          <w:rFonts w:cs="Arial" w:asciiTheme="minorEastAsia" w:hAnsiTheme="minorEastAsia" w:eastAsiaTheme="minorEastAsia"/>
          <w:kern w:val="0"/>
          <w:sz w:val="24"/>
        </w:rPr>
        <w:t>内依法发布合同公告。</w:t>
      </w:r>
    </w:p>
    <w:p>
      <w:pPr>
        <w:pStyle w:val="129"/>
        <w:snapToGrid w:val="0"/>
        <w:spacing w:before="0"/>
        <w:ind w:firstLine="480"/>
        <w:rPr>
          <w:rFonts w:asciiTheme="minorEastAsia" w:hAnsiTheme="minorEastAsia" w:eastAsiaTheme="minorEastAsia"/>
          <w:kern w:val="0"/>
        </w:rPr>
      </w:pPr>
      <w:r>
        <w:rPr>
          <w:rFonts w:cs="仿宋_GB2312" w:asciiTheme="minorEastAsia" w:hAnsiTheme="minorEastAsia" w:eastAsiaTheme="minorEastAsia"/>
          <w:kern w:val="0"/>
          <w:lang w:val="zh-CN"/>
        </w:rPr>
        <w:t>25.2</w:t>
      </w:r>
      <w:r>
        <w:rPr>
          <w:rFonts w:hint="eastAsia" w:asciiTheme="minorEastAsia" w:hAnsiTheme="minorEastAsia" w:eastAsiaTheme="minorEastAsia"/>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25.3如签订合同并生效后，供应商无故拒绝或延期，除按照合同条款处理外，列入不良行为记录一次，并给予通报。</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25.4中标供应</w:t>
      </w:r>
      <w:r>
        <w:rPr>
          <w:rFonts w:hint="eastAsia" w:cs="仿宋_GB2312" w:asciiTheme="minorEastAsia" w:hAnsiTheme="minorEastAsia" w:eastAsiaTheme="minorEastAsia"/>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25.5采购合同由采购人与中标供应商根据</w:t>
      </w:r>
      <w:r>
        <w:rPr>
          <w:rFonts w:hint="eastAsia" w:cs="仿宋_GB2312" w:asciiTheme="minorEastAsia" w:hAnsiTheme="minorEastAsia" w:eastAsiaTheme="minorEastAsia"/>
        </w:rPr>
        <w:t>招标文件、投标文件等内容通过政府采购电子交易平台在线签订，自动备案。</w:t>
      </w:r>
    </w:p>
    <w:p>
      <w:pPr>
        <w:pStyle w:val="877"/>
        <w:spacing w:before="24" w:after="24"/>
        <w:rPr>
          <w:rFonts w:asciiTheme="minorEastAsia" w:hAnsiTheme="minorEastAsia" w:eastAsiaTheme="minorEastAsia"/>
        </w:rPr>
      </w:pPr>
      <w:r>
        <w:rPr>
          <w:rFonts w:asciiTheme="minorEastAsia" w:hAnsiTheme="minorEastAsia" w:eastAsiaTheme="minorEastAsia"/>
        </w:rPr>
        <w:t>26.</w:t>
      </w:r>
      <w:r>
        <w:rPr>
          <w:rFonts w:hint="eastAsia" w:asciiTheme="minorEastAsia" w:hAnsiTheme="minorEastAsia" w:eastAsiaTheme="minorEastAsia"/>
        </w:rPr>
        <w:t>履约保证金</w:t>
      </w:r>
    </w:p>
    <w:p>
      <w:pPr>
        <w:tabs>
          <w:tab w:val="left" w:pos="0"/>
        </w:tabs>
        <w:spacing w:line="360" w:lineRule="auto"/>
        <w:ind w:firstLine="482"/>
        <w:rPr>
          <w:rFonts w:asciiTheme="minorEastAsia" w:hAnsiTheme="minorEastAsia" w:eastAsiaTheme="minorEastAsia"/>
          <w:b/>
          <w:snapToGrid w:val="0"/>
          <w:kern w:val="28"/>
          <w:sz w:val="24"/>
          <w:szCs w:val="32"/>
          <w:lang w:val="zh-CN"/>
        </w:rPr>
      </w:pPr>
      <w:r>
        <w:rPr>
          <w:rFonts w:hint="eastAsia" w:cs="Helvetica" w:asciiTheme="minorEastAsia" w:hAnsiTheme="minorEastAsia" w:eastAsiaTheme="minorEastAsia"/>
          <w:kern w:val="0"/>
          <w:sz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sz w:val="24"/>
        </w:rPr>
        <w:t>。履约保证金的数额不得超过政府采购合同金额的1</w:t>
      </w:r>
      <w:r>
        <w:rPr>
          <w:rFonts w:asciiTheme="minorEastAsia" w:hAnsiTheme="minorEastAsia" w:eastAsiaTheme="minorEastAsia"/>
          <w:sz w:val="24"/>
        </w:rPr>
        <w:t>%。</w:t>
      </w:r>
      <w:r>
        <w:rPr>
          <w:rFonts w:hint="eastAsia" w:asciiTheme="minorEastAsia" w:hAnsiTheme="minorEastAsia" w:eastAsiaTheme="minorEastAsia"/>
          <w:sz w:val="24"/>
        </w:rPr>
        <w:t>鼓励和支持供应商以银行、保险公司出具的保函形式提供履约保证金。</w:t>
      </w:r>
      <w:r>
        <w:rPr>
          <w:rFonts w:hint="eastAsia" w:asciiTheme="minorEastAsia" w:hAnsiTheme="minorEastAsia" w:eastAsiaTheme="minorEastAsia"/>
          <w:b/>
          <w:snapToGrid w:val="0"/>
          <w:kern w:val="28"/>
          <w:sz w:val="24"/>
          <w:szCs w:val="32"/>
          <w:lang w:val="zh-CN"/>
        </w:rPr>
        <w:t>采购人不得拒收履约保函。</w:t>
      </w:r>
    </w:p>
    <w:p>
      <w:pPr>
        <w:pStyle w:val="524"/>
        <w:ind w:firstLine="480"/>
        <w:rPr>
          <w:rFonts w:cs="Helvetica" w:asciiTheme="minorEastAsia" w:hAnsiTheme="minorEastAsia" w:eastAsiaTheme="minorEastAsia"/>
          <w:kern w:val="0"/>
          <w:sz w:val="24"/>
          <w:szCs w:val="24"/>
        </w:rPr>
      </w:pPr>
      <w:r>
        <w:rPr>
          <w:rFonts w:hint="eastAsia" w:cs="Helvetica" w:asciiTheme="minorEastAsia" w:hAnsiTheme="minorEastAsia" w:eastAsiaTheme="minorEastAsia"/>
          <w:kern w:val="0"/>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widowControl/>
        <w:adjustRightInd/>
        <w:jc w:val="left"/>
        <w:rPr>
          <w:rFonts w:cs="仿宋_GB2312" w:asciiTheme="minorEastAsia" w:hAnsiTheme="minorEastAsia" w:eastAsiaTheme="minorEastAsia"/>
          <w:b/>
          <w:sz w:val="32"/>
        </w:rPr>
      </w:pPr>
      <w:r>
        <w:rPr>
          <w:rFonts w:cs="仿宋_GB2312" w:asciiTheme="minorEastAsia" w:hAnsiTheme="minorEastAsia" w:eastAsiaTheme="minorEastAsia"/>
          <w:b/>
          <w:sz w:val="32"/>
        </w:rPr>
        <w:br w:type="page"/>
      </w:r>
    </w:p>
    <w:p>
      <w:pPr>
        <w:snapToGrid w:val="0"/>
        <w:spacing w:line="360" w:lineRule="auto"/>
        <w:ind w:firstLine="3357" w:firstLineChars="1045"/>
        <w:rPr>
          <w:rFonts w:asciiTheme="minorEastAsia" w:hAnsiTheme="minorEastAsia" w:eastAsiaTheme="minorEastAsia"/>
          <w:b/>
          <w:sz w:val="24"/>
        </w:rPr>
      </w:pPr>
      <w:r>
        <w:rPr>
          <w:rFonts w:hint="eastAsia" w:cs="仿宋_GB2312" w:asciiTheme="minorEastAsia" w:hAnsiTheme="minorEastAsia" w:eastAsiaTheme="minorEastAsia"/>
          <w:b/>
          <w:sz w:val="32"/>
        </w:rPr>
        <w:t>八、电子交易活动的中止</w:t>
      </w:r>
    </w:p>
    <w:p>
      <w:pPr>
        <w:pStyle w:val="129"/>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b/>
          <w:szCs w:val="24"/>
        </w:rPr>
        <w:t>27.</w:t>
      </w:r>
      <w:r>
        <w:rPr>
          <w:rFonts w:hint="eastAsia" w:cs="仿宋_GB2312" w:asciiTheme="minorEastAsia" w:hAnsiTheme="minorEastAsia" w:eastAsiaTheme="minorEastAsia"/>
          <w:b/>
          <w:szCs w:val="24"/>
        </w:rPr>
        <w:t>电子交易活动的中止。</w:t>
      </w:r>
      <w:r>
        <w:rPr>
          <w:rFonts w:hint="eastAsia" w:cs="仿宋_GB2312" w:asciiTheme="minorEastAsia" w:hAnsiTheme="minorEastAsia" w:eastAsiaTheme="minorEastAsia"/>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27.1电子交易平台发生故障而无法登录访问的； </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27.2电子交易平台应用或数据库出现错误，不能进行正常操作的；</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27.3电子交易平台发现严重安全漏洞，有潜在泄密危险的；</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 xml:space="preserve">27.4病毒发作导致不能进行正常操作的； </w:t>
      </w:r>
    </w:p>
    <w:p>
      <w:pPr>
        <w:pStyle w:val="129"/>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27.5其他无法保证电子交易的公平、公正和安全的情况。</w:t>
      </w:r>
    </w:p>
    <w:p>
      <w:pPr>
        <w:pStyle w:val="129"/>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rPr>
        <w:t>28.出现以上情形，不影响采购公平、公正性的，采购组织机构可以待上述情形消除后继续组织电子交易活动，也可以决定某些环节以纸质形式进行；影响或可能影响采购公平、公正性的，应当重新采购。</w:t>
      </w:r>
    </w:p>
    <w:p>
      <w:pPr>
        <w:pStyle w:val="6"/>
        <w:rPr>
          <w:sz w:val="24"/>
          <w:szCs w:val="20"/>
        </w:rPr>
      </w:pPr>
      <w:r>
        <w:br w:type="page"/>
      </w: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九、验收</w:t>
      </w:r>
    </w:p>
    <w:p>
      <w:pPr>
        <w:pStyle w:val="25"/>
        <w:spacing w:line="360" w:lineRule="auto"/>
        <w:ind w:firstLine="0" w:firstLineChars="0"/>
        <w:rPr>
          <w:rFonts w:cs="仿宋_GB2312" w:asciiTheme="minorEastAsia" w:hAnsiTheme="minorEastAsia" w:eastAsiaTheme="minorEastAsia"/>
          <w:b/>
        </w:rPr>
      </w:pPr>
      <w:r>
        <w:rPr>
          <w:rFonts w:cs="仿宋_GB2312" w:asciiTheme="minorEastAsia" w:hAnsiTheme="minorEastAsia" w:eastAsiaTheme="minorEastAsia"/>
          <w:b/>
        </w:rPr>
        <w:t>29.验收</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29.2采购人可以邀请参加本项目的其他投标人或者</w:t>
      </w:r>
      <w:r>
        <w:rPr>
          <w:rFonts w:hint="eastAsia" w:cs="Helvetica" w:asciiTheme="minorEastAsia" w:hAnsiTheme="minorEastAsia" w:eastAsiaTheme="minorEastAsia"/>
          <w:kern w:val="0"/>
          <w:sz w:val="24"/>
        </w:rPr>
        <w:t>采购代理机构</w:t>
      </w:r>
      <w:r>
        <w:rPr>
          <w:rFonts w:cs="Helvetica" w:asciiTheme="minorEastAsia" w:hAnsiTheme="minorEastAsia" w:eastAsiaTheme="minorEastAsia"/>
          <w:kern w:val="0"/>
          <w:sz w:val="24"/>
        </w:rPr>
        <w:t>参与验收。参与验收的投标人或者</w:t>
      </w:r>
      <w:r>
        <w:rPr>
          <w:rFonts w:hint="eastAsia" w:cs="Helvetica" w:asciiTheme="minorEastAsia" w:hAnsiTheme="minorEastAsia" w:eastAsiaTheme="minorEastAsia"/>
          <w:kern w:val="0"/>
          <w:sz w:val="24"/>
        </w:rPr>
        <w:t>采购代理机构</w:t>
      </w:r>
      <w:r>
        <w:rPr>
          <w:rFonts w:cs="Helvetica" w:asciiTheme="minorEastAsia" w:hAnsiTheme="minorEastAsia" w:eastAsiaTheme="minorEastAsia"/>
          <w:kern w:val="0"/>
          <w:sz w:val="24"/>
        </w:rPr>
        <w:t>的意见作为</w:t>
      </w:r>
      <w:r>
        <w:rPr>
          <w:rFonts w:hint="eastAsia" w:cs="Helvetica" w:asciiTheme="minorEastAsia" w:hAnsiTheme="minorEastAsia" w:eastAsiaTheme="minorEastAsia"/>
          <w:kern w:val="0"/>
          <w:sz w:val="24"/>
        </w:rPr>
        <w:t>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cs="Helvetica" w:asciiTheme="minorEastAsia" w:hAnsiTheme="minorEastAsia" w:eastAsiaTheme="min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仿宋_GB2312" w:asciiTheme="minorEastAsia" w:hAnsiTheme="minorEastAsia" w:eastAsiaTheme="minorEastAsia"/>
          <w:sz w:val="18"/>
          <w:szCs w:val="18"/>
        </w:rPr>
      </w:pPr>
      <w:r>
        <w:rPr>
          <w:rFonts w:cs="Helvetica" w:asciiTheme="minorEastAsia" w:hAnsiTheme="minorEastAsia" w:eastAsiaTheme="min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End w:id="14"/>
      <w:bookmarkEnd w:id="20"/>
    </w:p>
    <w:p>
      <w:pPr>
        <w:tabs>
          <w:tab w:val="left" w:pos="0"/>
        </w:tabs>
        <w:spacing w:line="360" w:lineRule="auto"/>
        <w:ind w:firstLine="480"/>
        <w:rPr>
          <w:rFonts w:cs="Helvetica"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2" w:name="_Hlt68057669"/>
      <w:bookmarkEnd w:id="22"/>
      <w:bookmarkStart w:id="23" w:name="_Hlt74714665"/>
      <w:bookmarkEnd w:id="23"/>
      <w:bookmarkStart w:id="24" w:name="_Hlt68073093"/>
      <w:bookmarkEnd w:id="24"/>
      <w:bookmarkStart w:id="25" w:name="_Hlt75236290"/>
      <w:bookmarkEnd w:id="25"/>
      <w:bookmarkStart w:id="26" w:name="_Hlt75236011"/>
      <w:bookmarkEnd w:id="26"/>
      <w:bookmarkStart w:id="27" w:name="_Hlt68403820"/>
      <w:bookmarkEnd w:id="27"/>
      <w:bookmarkStart w:id="28" w:name="_Hlt74707468"/>
      <w:bookmarkEnd w:id="28"/>
      <w:bookmarkStart w:id="29" w:name="_Hlt74729768"/>
      <w:bookmarkEnd w:id="29"/>
      <w:bookmarkStart w:id="30" w:name="_Hlt75236101"/>
      <w:bookmarkEnd w:id="30"/>
      <w:bookmarkStart w:id="31" w:name="_Hlt68072990"/>
      <w:bookmarkEnd w:id="31"/>
      <w:bookmarkStart w:id="32" w:name="_Hlt74730295"/>
      <w:bookmarkEnd w:id="32"/>
      <w:bookmarkStart w:id="33" w:name="_Hlt68072998"/>
      <w:bookmarkEnd w:id="33"/>
    </w:p>
    <w:p>
      <w:pPr>
        <w:spacing w:line="360" w:lineRule="auto"/>
        <w:jc w:val="center"/>
        <w:outlineLvl w:val="0"/>
        <w:rPr>
          <w:rFonts w:cs="仿宋_GB2312" w:asciiTheme="minorEastAsia" w:hAnsiTheme="minorEastAsia" w:eastAsiaTheme="minorEastAsia"/>
          <w:b/>
          <w:sz w:val="36"/>
          <w:szCs w:val="36"/>
        </w:rPr>
      </w:pPr>
      <w:bookmarkStart w:id="34" w:name="_Toc9342"/>
      <w:bookmarkStart w:id="35" w:name="第四部分"/>
      <w:r>
        <w:rPr>
          <w:rFonts w:hint="eastAsia" w:cs="仿宋_GB2312" w:asciiTheme="minorEastAsia" w:hAnsiTheme="minorEastAsia" w:eastAsiaTheme="minorEastAsia"/>
          <w:b/>
          <w:sz w:val="36"/>
          <w:szCs w:val="36"/>
        </w:rPr>
        <w:t>第三部分 采购需求</w:t>
      </w:r>
      <w:bookmarkEnd w:id="34"/>
    </w:p>
    <w:p>
      <w:pPr>
        <w:spacing w:line="360" w:lineRule="auto"/>
        <w:ind w:firstLine="480"/>
        <w:rPr>
          <w:rFonts w:hint="eastAsia" w:ascii="宋体" w:hAnsi="宋体" w:eastAsia="宋体" w:cs="宋体"/>
          <w:color w:val="000000" w:themeColor="text1"/>
          <w:kern w:val="0"/>
          <w:sz w:val="24"/>
          <w14:textFill>
            <w14:solidFill>
              <w14:schemeClr w14:val="tx1"/>
            </w14:solidFill>
          </w14:textFill>
        </w:rPr>
      </w:pPr>
      <w:bookmarkStart w:id="36" w:name="_Toc31754"/>
      <w:bookmarkStart w:id="37" w:name="_Toc450840086"/>
      <w:bookmarkStart w:id="38" w:name="_Toc1963"/>
      <w:bookmarkStart w:id="39" w:name="_Toc419213780"/>
      <w:r>
        <w:rPr>
          <w:rFonts w:hint="eastAsia" w:ascii="宋体" w:hAnsi="宋体" w:eastAsia="宋体" w:cs="宋体"/>
          <w:sz w:val="24"/>
        </w:rPr>
        <w:t>浙江工商大学杭州商学院人工智能综合实验室建设项目依托校方人工智能与电子商务学院的办学及师资基础，开展人工智能机器人特色方向的实验室建设，在计算机科学与技术专业基础上，升级课程体系，将人工智能与智能机器人教育相关课程纳入形成特色课程体系，建设计算机视觉实验室、智能机器人基础实验室和机器人实训区等。在满足计算机类、电子类专业课程拓展延伸的基础上，建设人工智能和智能机器人专业体系课程，所建设的实验室及设备能</w:t>
      </w:r>
      <w:r>
        <w:rPr>
          <w:rFonts w:hint="eastAsia" w:ascii="宋体" w:hAnsi="宋体" w:eastAsia="宋体" w:cs="宋体"/>
          <w:color w:val="000000" w:themeColor="text1"/>
          <w:kern w:val="0"/>
          <w:sz w:val="24"/>
          <w14:textFill>
            <w14:solidFill>
              <w14:schemeClr w14:val="tx1"/>
            </w14:solidFill>
          </w14:textFill>
        </w:rPr>
        <w:t>满足专业教学实验实训、1+X证书培训及认证等各类应用场景。</w:t>
      </w:r>
    </w:p>
    <w:p>
      <w:pPr>
        <w:pStyle w:val="2"/>
        <w:rPr>
          <w:rFonts w:hint="eastAsia" w:ascii="宋体" w:hAnsi="宋体" w:eastAsia="宋体" w:cs="宋体"/>
          <w:szCs w:val="24"/>
        </w:rPr>
      </w:pPr>
      <w:r>
        <w:rPr>
          <w:rFonts w:hint="eastAsia" w:ascii="宋体" w:hAnsi="宋体" w:eastAsia="宋体" w:cs="宋体"/>
          <w:szCs w:val="24"/>
        </w:rPr>
        <w:drawing>
          <wp:inline distT="0" distB="0" distL="114300" distR="114300">
            <wp:extent cx="5756275" cy="1417320"/>
            <wp:effectExtent l="0" t="0" r="1587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0"/>
                    <a:stretch>
                      <a:fillRect/>
                    </a:stretch>
                  </pic:blipFill>
                  <pic:spPr>
                    <a:xfrm>
                      <a:off x="0" y="0"/>
                      <a:ext cx="5756275" cy="1417320"/>
                    </a:xfrm>
                    <a:prstGeom prst="rect">
                      <a:avLst/>
                    </a:prstGeom>
                    <a:noFill/>
                    <a:ln>
                      <a:noFill/>
                    </a:ln>
                  </pic:spPr>
                </pic:pic>
              </a:graphicData>
            </a:graphic>
          </wp:inline>
        </w:drawing>
      </w:r>
    </w:p>
    <w:p>
      <w:pPr>
        <w:pStyle w:val="3"/>
        <w:jc w:val="center"/>
        <w:rPr>
          <w:rFonts w:hint="eastAsia" w:ascii="宋体" w:hAnsi="宋体" w:eastAsia="宋体" w:cs="宋体"/>
          <w:szCs w:val="24"/>
          <w:lang w:val="en-US" w:eastAsia="zh-CN"/>
        </w:rPr>
      </w:pPr>
      <w:r>
        <w:rPr>
          <w:rFonts w:hint="eastAsia" w:ascii="宋体" w:hAnsi="宋体" w:eastAsia="宋体" w:cs="宋体"/>
          <w:szCs w:val="24"/>
          <w:lang w:val="en-US"/>
        </w:rPr>
        <w:t>人工智能综合实验室</w:t>
      </w:r>
      <w:r>
        <w:rPr>
          <w:rFonts w:hint="eastAsia" w:ascii="宋体" w:hAnsi="宋体" w:eastAsia="宋体" w:cs="宋体"/>
          <w:szCs w:val="24"/>
          <w:lang w:val="en-US" w:eastAsia="zh-CN"/>
        </w:rPr>
        <w:t>示意图</w:t>
      </w:r>
    </w:p>
    <w:p>
      <w:pPr>
        <w:pStyle w:val="2"/>
        <w:rPr>
          <w:rFonts w:hint="eastAsia" w:ascii="宋体" w:hAnsi="宋体" w:eastAsia="宋体" w:cs="宋体"/>
          <w:szCs w:val="24"/>
        </w:rPr>
      </w:pPr>
      <w:r>
        <w:rPr>
          <w:rFonts w:hint="eastAsia" w:ascii="宋体" w:hAnsi="宋体" w:eastAsia="宋体" w:cs="宋体"/>
          <w:szCs w:val="24"/>
          <w:lang w:val="en-US"/>
        </w:rPr>
        <w:t>一</w:t>
      </w:r>
      <w:r>
        <w:rPr>
          <w:rFonts w:hint="eastAsia" w:ascii="宋体" w:hAnsi="宋体" w:eastAsia="宋体" w:cs="宋体"/>
          <w:szCs w:val="24"/>
        </w:rPr>
        <w:t>、采购清单</w:t>
      </w:r>
    </w:p>
    <w:tbl>
      <w:tblPr>
        <w:tblStyle w:val="63"/>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710"/>
        <w:gridCol w:w="4988"/>
        <w:gridCol w:w="103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71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名称</w:t>
            </w:r>
          </w:p>
        </w:tc>
        <w:tc>
          <w:tcPr>
            <w:tcW w:w="4988"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参数</w:t>
            </w:r>
          </w:p>
        </w:tc>
        <w:tc>
          <w:tcPr>
            <w:tcW w:w="103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121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p>
        </w:tc>
        <w:tc>
          <w:tcPr>
            <w:tcW w:w="1710" w:type="dxa"/>
            <w:vAlign w:val="center"/>
          </w:tcPr>
          <w:p>
            <w:pPr>
              <w:spacing w:line="360" w:lineRule="auto"/>
              <w:jc w:val="center"/>
              <w:rPr>
                <w:rFonts w:hint="eastAsia" w:ascii="宋体" w:hAnsi="宋体" w:eastAsia="宋体" w:cs="宋体"/>
                <w:color w:val="auto"/>
                <w:sz w:val="24"/>
              </w:rPr>
            </w:pPr>
          </w:p>
        </w:tc>
        <w:tc>
          <w:tcPr>
            <w:tcW w:w="4988" w:type="dxa"/>
            <w:vAlign w:val="center"/>
          </w:tcPr>
          <w:p>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rPr>
              <w:t>基础装修</w:t>
            </w:r>
          </w:p>
        </w:tc>
        <w:tc>
          <w:tcPr>
            <w:tcW w:w="1035" w:type="dxa"/>
            <w:vAlign w:val="center"/>
          </w:tcPr>
          <w:p>
            <w:pPr>
              <w:spacing w:line="360" w:lineRule="auto"/>
              <w:jc w:val="center"/>
              <w:rPr>
                <w:rFonts w:hint="eastAsia" w:ascii="宋体" w:hAnsi="宋体" w:eastAsia="宋体" w:cs="宋体"/>
                <w:color w:val="auto"/>
                <w:sz w:val="24"/>
              </w:rPr>
            </w:pPr>
          </w:p>
        </w:tc>
        <w:tc>
          <w:tcPr>
            <w:tcW w:w="1215"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71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原场地处理</w:t>
            </w:r>
          </w:p>
        </w:tc>
        <w:tc>
          <w:tcPr>
            <w:tcW w:w="4988" w:type="dxa"/>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原地面处理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拆除原有地盒、拆除原有地面线路、地面清洁等，约247平米</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原墙面处理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破损处修补、20厚干混砂浆抹灰等</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原门处理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原门门框缝隙处理等</w:t>
            </w:r>
          </w:p>
          <w:p>
            <w:p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rPr>
              <w:t>地面开槽及修补</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线路管道地面开槽及修补等</w:t>
            </w:r>
          </w:p>
          <w:p>
            <w:pPr>
              <w:spacing w:line="360" w:lineRule="auto"/>
              <w:jc w:val="left"/>
              <w:rPr>
                <w:rFonts w:hint="eastAsia" w:ascii="宋体" w:hAnsi="宋体" w:eastAsia="宋体" w:cs="宋体"/>
                <w:color w:val="auto"/>
                <w:sz w:val="24"/>
                <w:lang w:val="en-US"/>
              </w:rPr>
            </w:pPr>
            <w:r>
              <w:rPr>
                <w:rFonts w:hint="eastAsia" w:ascii="宋体" w:hAnsi="宋体" w:eastAsia="宋体" w:cs="宋体"/>
                <w:color w:val="auto"/>
                <w:sz w:val="24"/>
              </w:rPr>
              <w:t>顶面处理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600*600轻质龙骨格栅、支架搭设等，约247平米</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强弱电隐蔽工程</w:t>
            </w:r>
          </w:p>
        </w:tc>
        <w:tc>
          <w:tcPr>
            <w:tcW w:w="4988" w:type="dxa"/>
            <w:vAlign w:val="center"/>
          </w:tcPr>
          <w:p>
            <w:pPr>
              <w:widowControl/>
              <w:spacing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包含</w:t>
            </w:r>
            <w:r>
              <w:rPr>
                <w:rFonts w:hint="eastAsia" w:ascii="宋体" w:hAnsi="宋体" w:eastAsia="宋体" w:cs="宋体"/>
                <w:color w:val="auto"/>
                <w:kern w:val="0"/>
                <w:sz w:val="24"/>
                <w:lang w:val="en-US" w:eastAsia="zh-CN"/>
              </w:rPr>
              <w:t>阻燃防火86型三联三控嵌入式</w:t>
            </w:r>
            <w:r>
              <w:rPr>
                <w:rFonts w:hint="eastAsia" w:ascii="宋体" w:hAnsi="宋体" w:eastAsia="宋体" w:cs="宋体"/>
                <w:color w:val="auto"/>
                <w:kern w:val="0"/>
                <w:sz w:val="24"/>
              </w:rPr>
              <w:t>开关面板安装</w:t>
            </w:r>
            <w:r>
              <w:rPr>
                <w:rFonts w:hint="eastAsia" w:ascii="宋体" w:hAnsi="宋体" w:eastAsia="宋体" w:cs="宋体"/>
                <w:color w:val="auto"/>
                <w:kern w:val="0"/>
                <w:sz w:val="24"/>
                <w:lang w:val="en-US" w:eastAsia="zh-CN"/>
              </w:rPr>
              <w:t>6套</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LED24W平板</w:t>
            </w:r>
            <w:r>
              <w:rPr>
                <w:rFonts w:hint="eastAsia" w:ascii="宋体" w:hAnsi="宋体" w:eastAsia="宋体" w:cs="宋体"/>
                <w:color w:val="auto"/>
                <w:kern w:val="0"/>
                <w:sz w:val="24"/>
              </w:rPr>
              <w:t>灯</w:t>
            </w:r>
            <w:r>
              <w:rPr>
                <w:rFonts w:hint="eastAsia" w:ascii="宋体" w:hAnsi="宋体" w:eastAsia="宋体" w:cs="宋体"/>
                <w:color w:val="auto"/>
                <w:kern w:val="0"/>
                <w:sz w:val="24"/>
                <w:lang w:val="en-US" w:eastAsia="zh-CN"/>
              </w:rPr>
              <w:t>吊装54套</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LED4W</w:t>
            </w:r>
            <w:r>
              <w:rPr>
                <w:rFonts w:hint="eastAsia" w:ascii="宋体" w:hAnsi="宋体" w:eastAsia="宋体" w:cs="宋体"/>
                <w:color w:val="auto"/>
                <w:kern w:val="0"/>
                <w:sz w:val="24"/>
              </w:rPr>
              <w:t>射灯</w:t>
            </w:r>
            <w:r>
              <w:rPr>
                <w:rFonts w:hint="eastAsia" w:ascii="宋体" w:hAnsi="宋体" w:eastAsia="宋体" w:cs="宋体"/>
                <w:color w:val="auto"/>
                <w:kern w:val="0"/>
                <w:sz w:val="24"/>
                <w:lang w:val="en-US" w:eastAsia="zh-CN"/>
              </w:rPr>
              <w:t>吊装12套</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LED12W柔光</w:t>
            </w:r>
            <w:r>
              <w:rPr>
                <w:rFonts w:hint="eastAsia" w:ascii="宋体" w:hAnsi="宋体" w:eastAsia="宋体" w:cs="宋体"/>
                <w:color w:val="auto"/>
                <w:kern w:val="0"/>
                <w:sz w:val="24"/>
              </w:rPr>
              <w:t>灯带</w:t>
            </w:r>
            <w:r>
              <w:rPr>
                <w:rFonts w:hint="eastAsia" w:ascii="宋体" w:hAnsi="宋体" w:eastAsia="宋体" w:cs="宋体"/>
                <w:color w:val="auto"/>
                <w:kern w:val="0"/>
                <w:sz w:val="24"/>
                <w:lang w:val="en-US" w:eastAsia="zh-CN"/>
              </w:rPr>
              <w:t>10套</w:t>
            </w:r>
            <w:r>
              <w:rPr>
                <w:rFonts w:hint="eastAsia" w:ascii="宋体" w:hAnsi="宋体" w:eastAsia="宋体" w:cs="宋体"/>
                <w:color w:val="auto"/>
                <w:kern w:val="0"/>
                <w:sz w:val="24"/>
              </w:rPr>
              <w:t>安装+</w:t>
            </w:r>
            <w:r>
              <w:rPr>
                <w:rFonts w:hint="eastAsia" w:ascii="宋体" w:hAnsi="宋体" w:eastAsia="宋体" w:cs="宋体"/>
                <w:color w:val="auto"/>
                <w:kern w:val="0"/>
                <w:sz w:val="24"/>
                <w:lang w:val="en-US" w:eastAsia="zh-CN"/>
              </w:rPr>
              <w:t>低烟无卤阻燃</w:t>
            </w:r>
            <w:r>
              <w:rPr>
                <w:rFonts w:hint="eastAsia" w:ascii="宋体" w:hAnsi="宋体" w:eastAsia="宋体" w:cs="宋体"/>
                <w:color w:val="auto"/>
                <w:kern w:val="0"/>
                <w:sz w:val="24"/>
              </w:rPr>
              <w:t>WDZ-BYJR2.5平方</w:t>
            </w:r>
            <w:r>
              <w:rPr>
                <w:rFonts w:hint="eastAsia" w:ascii="宋体" w:hAnsi="宋体" w:eastAsia="宋体" w:cs="宋体"/>
                <w:color w:val="auto"/>
                <w:kern w:val="0"/>
                <w:sz w:val="24"/>
                <w:lang w:val="en-US" w:eastAsia="zh-CN"/>
              </w:rPr>
              <w:t>单芯三色电线各约350米</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低烟无卤阻燃</w:t>
            </w:r>
            <w:r>
              <w:rPr>
                <w:rFonts w:hint="eastAsia" w:ascii="宋体" w:hAnsi="宋体" w:eastAsia="宋体" w:cs="宋体"/>
                <w:color w:val="auto"/>
                <w:kern w:val="0"/>
                <w:sz w:val="24"/>
              </w:rPr>
              <w:t>WDZ-BYJR</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平方</w:t>
            </w:r>
            <w:r>
              <w:rPr>
                <w:rFonts w:hint="eastAsia" w:ascii="宋体" w:hAnsi="宋体" w:eastAsia="宋体" w:cs="宋体"/>
                <w:color w:val="auto"/>
                <w:kern w:val="0"/>
                <w:sz w:val="24"/>
                <w:lang w:val="en-US" w:eastAsia="zh-CN"/>
              </w:rPr>
              <w:t>单芯三相五线电线约50米</w:t>
            </w:r>
            <w:r>
              <w:rPr>
                <w:rFonts w:hint="eastAsia" w:ascii="宋体" w:hAnsi="宋体" w:eastAsia="宋体" w:cs="宋体"/>
                <w:color w:val="auto"/>
                <w:kern w:val="0"/>
                <w:sz w:val="24"/>
              </w:rPr>
              <w:t>，含空调强电点位</w:t>
            </w:r>
            <w:r>
              <w:rPr>
                <w:rFonts w:hint="eastAsia" w:ascii="宋体" w:hAnsi="宋体" w:eastAsia="宋体" w:cs="宋体"/>
                <w:color w:val="auto"/>
                <w:kern w:val="0"/>
                <w:sz w:val="24"/>
                <w:lang w:val="en-US" w:eastAsia="zh-CN"/>
              </w:rPr>
              <w:t>4个，电脑强电点位52个</w:t>
            </w:r>
            <w:r>
              <w:rPr>
                <w:rFonts w:hint="eastAsia" w:ascii="宋体" w:hAnsi="宋体" w:eastAsia="宋体" w:cs="宋体"/>
                <w:color w:val="auto"/>
                <w:kern w:val="0"/>
                <w:sz w:val="24"/>
              </w:rPr>
              <w:t>。不含消防，空气开关</w:t>
            </w:r>
            <w:r>
              <w:rPr>
                <w:rFonts w:hint="eastAsia" w:ascii="宋体" w:hAnsi="宋体" w:eastAsia="宋体" w:cs="宋体"/>
                <w:color w:val="auto"/>
                <w:kern w:val="0"/>
                <w:sz w:val="24"/>
                <w:lang w:val="en-US" w:eastAsia="zh-CN"/>
              </w:rPr>
              <w:t>16套（C16空开7套，C10空开3套，C16空开4套，C40空开2套）</w:t>
            </w:r>
            <w:r>
              <w:rPr>
                <w:rFonts w:hint="eastAsia" w:ascii="宋体" w:hAnsi="宋体" w:eastAsia="宋体" w:cs="宋体"/>
                <w:color w:val="auto"/>
                <w:kern w:val="0"/>
                <w:sz w:val="24"/>
              </w:rPr>
              <w:t>以及</w:t>
            </w:r>
            <w:r>
              <w:rPr>
                <w:rFonts w:hint="eastAsia" w:ascii="宋体" w:hAnsi="宋体" w:eastAsia="宋体" w:cs="宋体"/>
                <w:color w:val="auto"/>
                <w:kern w:val="0"/>
                <w:sz w:val="24"/>
                <w:lang w:val="en-US" w:eastAsia="zh-CN"/>
              </w:rPr>
              <w:t>冷轧钢板10回路</w:t>
            </w:r>
            <w:r>
              <w:rPr>
                <w:rFonts w:hint="eastAsia" w:ascii="宋体" w:hAnsi="宋体" w:eastAsia="宋体" w:cs="宋体"/>
                <w:color w:val="auto"/>
                <w:kern w:val="0"/>
                <w:sz w:val="24"/>
              </w:rPr>
              <w:t>配电箱</w:t>
            </w:r>
            <w:r>
              <w:rPr>
                <w:rFonts w:hint="eastAsia" w:ascii="宋体" w:hAnsi="宋体" w:eastAsia="宋体" w:cs="宋体"/>
                <w:color w:val="auto"/>
                <w:sz w:val="24"/>
                <w:lang w:val="en-US" w:eastAsia="zh-CN"/>
              </w:rPr>
              <w:t>嵌入式安装2套，</w:t>
            </w:r>
            <w:r>
              <w:rPr>
                <w:rFonts w:hint="eastAsia" w:ascii="宋体" w:hAnsi="宋体" w:eastAsia="宋体" w:cs="宋体"/>
                <w:color w:val="auto"/>
                <w:kern w:val="0"/>
                <w:sz w:val="24"/>
              </w:rPr>
              <w:t>含</w:t>
            </w:r>
            <w:r>
              <w:rPr>
                <w:rFonts w:hint="eastAsia" w:ascii="宋体" w:hAnsi="宋体" w:eastAsia="宋体" w:cs="宋体"/>
                <w:color w:val="auto"/>
                <w:kern w:val="0"/>
                <w:sz w:val="24"/>
                <w:lang w:val="en-US" w:eastAsia="zh-CN"/>
              </w:rPr>
              <w:t>PVC阻燃A16</w:t>
            </w:r>
            <w:r>
              <w:rPr>
                <w:rFonts w:hint="eastAsia" w:ascii="宋体" w:hAnsi="宋体" w:eastAsia="宋体" w:cs="宋体"/>
                <w:color w:val="auto"/>
                <w:kern w:val="0"/>
                <w:sz w:val="24"/>
              </w:rPr>
              <w:t>预埋管线、</w:t>
            </w:r>
            <w:r>
              <w:rPr>
                <w:rFonts w:hint="eastAsia" w:ascii="宋体" w:hAnsi="宋体" w:eastAsia="宋体" w:cs="宋体"/>
                <w:color w:val="auto"/>
                <w:kern w:val="0"/>
                <w:sz w:val="24"/>
                <w:lang w:val="en-US" w:eastAsia="zh-CN"/>
              </w:rPr>
              <w:t>52个网络点位，采用CAT6非屏蔽标准网络线缆，RJ45非屏蔽标准网络水晶头制作</w:t>
            </w:r>
            <w:r>
              <w:rPr>
                <w:rFonts w:hint="eastAsia" w:ascii="宋体" w:hAnsi="宋体" w:eastAsia="宋体" w:cs="宋体"/>
                <w:color w:val="auto"/>
                <w:kern w:val="0"/>
                <w:sz w:val="24"/>
              </w:rPr>
              <w:t>等</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工地日常垃圾清理及保洁</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工地现场施工垃圾清扫、堆放、搬运至物管指定地点</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基础装修</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讲台基础</w:t>
            </w:r>
            <w:r>
              <w:rPr>
                <w:rFonts w:hint="eastAsia" w:ascii="宋体" w:hAnsi="宋体" w:eastAsia="宋体" w:cs="宋体"/>
                <w:color w:val="auto"/>
                <w:kern w:val="0"/>
                <w:sz w:val="24"/>
                <w:lang w:val="en-US" w:eastAsia="zh-CN"/>
              </w:rPr>
              <w:t>碎红砖回填，高约20cm，1/4弧形设计，3mm厚</w:t>
            </w:r>
            <w:r>
              <w:rPr>
                <w:rFonts w:hint="eastAsia" w:ascii="宋体" w:hAnsi="宋体" w:eastAsia="宋体" w:cs="宋体"/>
                <w:color w:val="auto"/>
                <w:kern w:val="0"/>
                <w:sz w:val="24"/>
              </w:rPr>
              <w:t>地面自流平+</w:t>
            </w:r>
            <w:r>
              <w:rPr>
                <w:rFonts w:hint="eastAsia" w:ascii="宋体" w:hAnsi="宋体" w:eastAsia="宋体" w:cs="宋体"/>
                <w:color w:val="auto"/>
                <w:kern w:val="0"/>
                <w:sz w:val="24"/>
                <w:lang w:val="en-US" w:eastAsia="zh-CN"/>
              </w:rPr>
              <w:t>2mm厚</w:t>
            </w:r>
            <w:r>
              <w:rPr>
                <w:rFonts w:hint="eastAsia" w:ascii="宋体" w:hAnsi="宋体" w:eastAsia="宋体" w:cs="宋体"/>
                <w:color w:val="auto"/>
                <w:kern w:val="0"/>
                <w:sz w:val="24"/>
              </w:rPr>
              <w:t>地胶、顶面造型</w:t>
            </w:r>
            <w:r>
              <w:rPr>
                <w:rFonts w:hint="eastAsia" w:ascii="宋体" w:hAnsi="宋体" w:eastAsia="宋体" w:cs="宋体"/>
                <w:color w:val="auto"/>
                <w:kern w:val="0"/>
                <w:sz w:val="24"/>
                <w:lang w:val="en-US" w:eastAsia="zh-CN"/>
              </w:rPr>
              <w:t>亚克力</w:t>
            </w:r>
            <w:r>
              <w:rPr>
                <w:rFonts w:hint="eastAsia" w:ascii="宋体" w:hAnsi="宋体" w:eastAsia="宋体" w:cs="宋体"/>
                <w:color w:val="auto"/>
                <w:kern w:val="0"/>
                <w:sz w:val="24"/>
              </w:rPr>
              <w:t>吊顶、墙面</w:t>
            </w:r>
            <w:r>
              <w:rPr>
                <w:rFonts w:hint="eastAsia" w:ascii="宋体" w:hAnsi="宋体" w:eastAsia="宋体" w:cs="宋体"/>
                <w:color w:val="auto"/>
                <w:kern w:val="0"/>
                <w:sz w:val="24"/>
                <w:lang w:val="en-US" w:eastAsia="zh-CN"/>
              </w:rPr>
              <w:t>批刮腻子，</w:t>
            </w:r>
            <w:r>
              <w:rPr>
                <w:rFonts w:hint="eastAsia" w:ascii="宋体" w:hAnsi="宋体" w:eastAsia="宋体" w:cs="宋体"/>
                <w:color w:val="auto"/>
                <w:kern w:val="0"/>
                <w:sz w:val="24"/>
              </w:rPr>
              <w:t>乳胶漆</w:t>
            </w:r>
            <w:r>
              <w:rPr>
                <w:rFonts w:hint="eastAsia" w:ascii="宋体" w:hAnsi="宋体" w:eastAsia="宋体" w:cs="宋体"/>
                <w:color w:val="auto"/>
                <w:kern w:val="0"/>
                <w:sz w:val="24"/>
                <w:lang w:val="en-US" w:eastAsia="zh-CN"/>
              </w:rPr>
              <w:t>墙面</w:t>
            </w:r>
            <w:r>
              <w:rPr>
                <w:rFonts w:hint="eastAsia" w:ascii="宋体" w:hAnsi="宋体" w:eastAsia="宋体" w:cs="宋体"/>
                <w:color w:val="auto"/>
                <w:kern w:val="0"/>
                <w:sz w:val="24"/>
              </w:rPr>
              <w:t>，定制发光LOGO等</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p>
        </w:tc>
        <w:tc>
          <w:tcPr>
            <w:tcW w:w="1710" w:type="dxa"/>
            <w:vAlign w:val="center"/>
          </w:tcPr>
          <w:p>
            <w:pPr>
              <w:widowControl/>
              <w:spacing w:line="360" w:lineRule="auto"/>
              <w:jc w:val="center"/>
              <w:rPr>
                <w:rFonts w:hint="eastAsia" w:ascii="宋体" w:hAnsi="宋体" w:eastAsia="宋体" w:cs="宋体"/>
                <w:color w:val="auto"/>
                <w:kern w:val="0"/>
                <w:sz w:val="24"/>
              </w:rPr>
            </w:pPr>
          </w:p>
        </w:tc>
        <w:tc>
          <w:tcPr>
            <w:tcW w:w="4988" w:type="dxa"/>
            <w:vAlign w:val="center"/>
          </w:tcPr>
          <w:p>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rPr>
              <w:t>计算机视觉/智能机器人基础实验室</w:t>
            </w:r>
          </w:p>
        </w:tc>
        <w:tc>
          <w:tcPr>
            <w:tcW w:w="1035" w:type="dxa"/>
            <w:vAlign w:val="center"/>
          </w:tcPr>
          <w:p>
            <w:pPr>
              <w:widowControl/>
              <w:spacing w:line="360" w:lineRule="auto"/>
              <w:jc w:val="center"/>
              <w:rPr>
                <w:rFonts w:hint="eastAsia" w:ascii="宋体" w:hAnsi="宋体" w:eastAsia="宋体" w:cs="宋体"/>
                <w:color w:val="auto"/>
                <w:kern w:val="0"/>
                <w:sz w:val="24"/>
              </w:rPr>
            </w:pPr>
          </w:p>
        </w:tc>
        <w:tc>
          <w:tcPr>
            <w:tcW w:w="1215" w:type="dxa"/>
            <w:vAlign w:val="center"/>
          </w:tcPr>
          <w:p>
            <w:pPr>
              <w:widowControl/>
              <w:spacing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弧形桌</w:t>
            </w:r>
          </w:p>
        </w:tc>
        <w:tc>
          <w:tcPr>
            <w:tcW w:w="4988" w:type="dxa"/>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课桌椅：≥2800*700*750，4/1弧形设计，材质说明：</w:t>
            </w:r>
          </w:p>
          <w:p>
            <w:pPr>
              <w:pStyle w:val="2"/>
              <w:rPr>
                <w:rFonts w:hint="eastAsia" w:ascii="宋体" w:hAnsi="宋体" w:eastAsia="宋体" w:cs="宋体"/>
                <w:color w:val="auto"/>
                <w:szCs w:val="24"/>
                <w:lang w:val="en-US" w:eastAsia="zh-CN"/>
              </w:rPr>
            </w:pPr>
            <w:r>
              <w:rPr>
                <w:rFonts w:hint="eastAsia" w:ascii="宋体" w:hAnsi="宋体" w:eastAsia="宋体" w:cs="宋体"/>
                <w:color w:val="auto"/>
                <w:szCs w:val="24"/>
              </w:rPr>
              <w:t>基材：E1级中纤板、E1级刨花板，甲醛释放量≤3mg/100g。油漆：采用环保型透明哑光PU聚酯面漆，达到E1级环保标准。油漆工艺五底三面，表面硬度达到3H级，白色烤漆或各色烤漆（贴木皮烤漆、大理石贴面）；3、五金件：采用国产优质五金件</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张</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实验椅</w:t>
            </w:r>
          </w:p>
        </w:tc>
        <w:tc>
          <w:tcPr>
            <w:tcW w:w="4988" w:type="dxa"/>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·白色尼龙加玻纤背架</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·白色尼龙固定扶手</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·座包采用40密度高弹力海绵</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·配中班蝴蝶底盘，带原位锁定功能</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·固定扶手连接椅背和椅座，自动逍遥贴背功能</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·85#沉口50mm黑色气杆</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·320mm电镀五星脚</w:t>
            </w:r>
          </w:p>
          <w:p>
            <w:pPr>
              <w:pStyle w:val="2"/>
              <w:rPr>
                <w:rFonts w:hint="eastAsia" w:ascii="宋体" w:hAnsi="宋体" w:eastAsia="宋体" w:cs="宋体"/>
                <w:color w:val="auto"/>
                <w:szCs w:val="24"/>
                <w:lang w:val="en-US" w:eastAsia="zh-CN"/>
              </w:rPr>
            </w:pPr>
            <w:r>
              <w:rPr>
                <w:rFonts w:hint="eastAsia" w:ascii="宋体" w:hAnsi="宋体" w:eastAsia="宋体" w:cs="宋体"/>
                <w:color w:val="auto"/>
                <w:szCs w:val="24"/>
              </w:rPr>
              <w:t>·φ50mm黑色耐磨尼龙轮</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把</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讲台</w:t>
            </w:r>
          </w:p>
        </w:tc>
        <w:tc>
          <w:tcPr>
            <w:tcW w:w="4988" w:type="dxa"/>
            <w:vAlign w:val="center"/>
          </w:tcPr>
          <w:p>
            <w:pPr>
              <w:pStyle w:val="2"/>
              <w:rPr>
                <w:rFonts w:hint="eastAsia" w:ascii="宋体" w:hAnsi="宋体" w:eastAsia="宋体" w:cs="宋体"/>
                <w:color w:val="auto"/>
                <w:szCs w:val="24"/>
                <w:lang w:val="en-US" w:eastAsia="zh-CN"/>
              </w:rPr>
            </w:pPr>
            <w:r>
              <w:rPr>
                <w:rFonts w:hint="eastAsia" w:ascii="宋体" w:hAnsi="宋体" w:eastAsia="宋体" w:cs="宋体"/>
                <w:color w:val="auto"/>
                <w:szCs w:val="24"/>
              </w:rPr>
              <w:t>材质说明：1、基材：E1级中纤板、E1级刨花板，甲醛释放量≤3mg/100g。2、油漆：采用环保型透明哑光PU聚酯面漆，达到E1级环保标准。油漆工艺五底三面，表面硬度达到3H级，白色烤漆或各色烤漆（贴木皮烤漆、大理石贴面）；3、五金件：采用国产优质五金件</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台</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教学电脑</w:t>
            </w:r>
          </w:p>
        </w:tc>
        <w:tc>
          <w:tcPr>
            <w:tcW w:w="4988"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处理器</w:t>
            </w:r>
            <w:r>
              <w:rPr>
                <w:rFonts w:hint="eastAsia" w:ascii="宋体" w:hAnsi="宋体" w:eastAsia="宋体" w:cs="宋体"/>
                <w:sz w:val="24"/>
              </w:rPr>
              <w:tab/>
            </w:r>
            <w:r>
              <w:rPr>
                <w:rFonts w:hint="eastAsia" w:ascii="宋体" w:hAnsi="宋体" w:eastAsia="宋体" w:cs="宋体"/>
                <w:sz w:val="24"/>
              </w:rPr>
              <w:t>≥ Intel i5-11500，具备智能风扇功能，可根据CPU温度自动调节转速，保证系统稳定运行。</w:t>
            </w:r>
          </w:p>
          <w:p>
            <w:pPr>
              <w:widowControl/>
              <w:spacing w:line="360" w:lineRule="auto"/>
              <w:jc w:val="left"/>
              <w:rPr>
                <w:rFonts w:hint="eastAsia" w:ascii="宋体" w:hAnsi="宋体" w:eastAsia="宋体" w:cs="宋体"/>
                <w:sz w:val="24"/>
              </w:rPr>
            </w:pPr>
            <w:r>
              <w:rPr>
                <w:rFonts w:hint="eastAsia" w:ascii="宋体" w:hAnsi="宋体" w:eastAsia="宋体" w:cs="宋体"/>
                <w:sz w:val="24"/>
              </w:rPr>
              <w:t>硬盘</w:t>
            </w:r>
            <w:r>
              <w:rPr>
                <w:rFonts w:hint="eastAsia" w:ascii="宋体" w:hAnsi="宋体" w:eastAsia="宋体" w:cs="宋体"/>
                <w:sz w:val="24"/>
              </w:rPr>
              <w:tab/>
            </w:r>
            <w:r>
              <w:rPr>
                <w:rFonts w:hint="eastAsia" w:ascii="宋体" w:hAnsi="宋体" w:eastAsia="宋体" w:cs="宋体"/>
                <w:sz w:val="24"/>
              </w:rPr>
              <w:t>≥256G M.2 NVMe固态硬盘，1TB 3.5英寸7200转机械硬盘，支持双硬盘SSD+HDD;</w:t>
            </w:r>
          </w:p>
          <w:p>
            <w:pPr>
              <w:widowControl/>
              <w:spacing w:line="360" w:lineRule="auto"/>
              <w:jc w:val="left"/>
              <w:rPr>
                <w:rFonts w:hint="eastAsia" w:ascii="宋体" w:hAnsi="宋体" w:eastAsia="宋体" w:cs="宋体"/>
                <w:sz w:val="24"/>
              </w:rPr>
            </w:pPr>
            <w:r>
              <w:rPr>
                <w:rFonts w:hint="eastAsia" w:ascii="宋体" w:hAnsi="宋体" w:eastAsia="宋体" w:cs="宋体"/>
                <w:sz w:val="24"/>
              </w:rPr>
              <w:t>内存</w:t>
            </w:r>
            <w:r>
              <w:rPr>
                <w:rFonts w:hint="eastAsia" w:ascii="宋体" w:hAnsi="宋体" w:eastAsia="宋体" w:cs="宋体"/>
                <w:sz w:val="24"/>
              </w:rPr>
              <w:tab/>
            </w:r>
            <w:r>
              <w:rPr>
                <w:rFonts w:hint="eastAsia" w:ascii="宋体" w:hAnsi="宋体" w:eastAsia="宋体" w:cs="宋体"/>
                <w:sz w:val="24"/>
              </w:rPr>
              <w:t xml:space="preserve">≥8G DDR4-3200内存(不少于2个内存槽) </w:t>
            </w:r>
          </w:p>
          <w:p>
            <w:pPr>
              <w:widowControl/>
              <w:spacing w:line="360" w:lineRule="auto"/>
              <w:jc w:val="left"/>
              <w:rPr>
                <w:rFonts w:hint="eastAsia" w:ascii="宋体" w:hAnsi="宋体" w:eastAsia="宋体" w:cs="宋体"/>
                <w:sz w:val="24"/>
              </w:rPr>
            </w:pPr>
            <w:r>
              <w:rPr>
                <w:rFonts w:hint="eastAsia" w:ascii="宋体" w:hAnsi="宋体" w:eastAsia="宋体" w:cs="宋体"/>
                <w:sz w:val="24"/>
              </w:rPr>
              <w:t>主板</w:t>
            </w:r>
            <w:r>
              <w:rPr>
                <w:rFonts w:hint="eastAsia" w:ascii="宋体" w:hAnsi="宋体" w:eastAsia="宋体" w:cs="宋体"/>
                <w:sz w:val="24"/>
              </w:rPr>
              <w:tab/>
            </w:r>
            <w:r>
              <w:rPr>
                <w:rFonts w:hint="eastAsia" w:ascii="宋体" w:hAnsi="宋体" w:eastAsia="宋体" w:cs="宋体"/>
                <w:sz w:val="24"/>
              </w:rPr>
              <w:t>≥英特尔B560芯片组</w:t>
            </w:r>
          </w:p>
          <w:p>
            <w:pPr>
              <w:widowControl/>
              <w:spacing w:line="360" w:lineRule="auto"/>
              <w:jc w:val="left"/>
              <w:rPr>
                <w:rFonts w:hint="eastAsia" w:ascii="宋体" w:hAnsi="宋体" w:eastAsia="宋体" w:cs="宋体"/>
                <w:sz w:val="24"/>
              </w:rPr>
            </w:pPr>
            <w:r>
              <w:rPr>
                <w:rFonts w:hint="eastAsia" w:ascii="宋体" w:hAnsi="宋体" w:eastAsia="宋体" w:cs="宋体"/>
                <w:sz w:val="24"/>
              </w:rPr>
              <w:t>显卡</w:t>
            </w:r>
            <w:r>
              <w:rPr>
                <w:rFonts w:hint="eastAsia" w:ascii="宋体" w:hAnsi="宋体" w:eastAsia="宋体" w:cs="宋体"/>
                <w:sz w:val="24"/>
              </w:rPr>
              <w:tab/>
            </w:r>
            <w:r>
              <w:rPr>
                <w:rFonts w:hint="eastAsia" w:ascii="宋体" w:hAnsi="宋体" w:eastAsia="宋体" w:cs="宋体"/>
                <w:sz w:val="24"/>
              </w:rPr>
              <w:t>2G独立显卡</w:t>
            </w:r>
          </w:p>
          <w:p>
            <w:pPr>
              <w:widowControl/>
              <w:spacing w:line="360" w:lineRule="auto"/>
              <w:jc w:val="left"/>
              <w:rPr>
                <w:rFonts w:hint="eastAsia" w:ascii="宋体" w:hAnsi="宋体" w:eastAsia="宋体" w:cs="宋体"/>
                <w:sz w:val="24"/>
              </w:rPr>
            </w:pPr>
            <w:r>
              <w:rPr>
                <w:rFonts w:hint="eastAsia" w:ascii="宋体" w:hAnsi="宋体" w:eastAsia="宋体" w:cs="宋体"/>
                <w:sz w:val="24"/>
              </w:rPr>
              <w:t>通信</w:t>
            </w:r>
            <w:r>
              <w:rPr>
                <w:rFonts w:hint="eastAsia" w:ascii="宋体" w:hAnsi="宋体" w:eastAsia="宋体" w:cs="宋体"/>
                <w:sz w:val="24"/>
              </w:rPr>
              <w:tab/>
            </w:r>
            <w:r>
              <w:rPr>
                <w:rFonts w:hint="eastAsia" w:ascii="宋体" w:hAnsi="宋体" w:eastAsia="宋体" w:cs="宋体"/>
                <w:sz w:val="24"/>
              </w:rPr>
              <w:t>主板集成自适应千兆网卡，可选英特尔WiFi 6无线网卡</w:t>
            </w:r>
          </w:p>
          <w:p>
            <w:pPr>
              <w:widowControl/>
              <w:spacing w:line="360" w:lineRule="auto"/>
              <w:jc w:val="left"/>
              <w:rPr>
                <w:rFonts w:hint="eastAsia" w:ascii="宋体" w:hAnsi="宋体" w:eastAsia="宋体" w:cs="宋体"/>
                <w:sz w:val="24"/>
              </w:rPr>
            </w:pPr>
            <w:r>
              <w:rPr>
                <w:rFonts w:hint="eastAsia" w:ascii="宋体" w:hAnsi="宋体" w:eastAsia="宋体" w:cs="宋体"/>
                <w:sz w:val="24"/>
              </w:rPr>
              <w:t>声卡</w:t>
            </w:r>
            <w:r>
              <w:rPr>
                <w:rFonts w:hint="eastAsia" w:ascii="宋体" w:hAnsi="宋体" w:eastAsia="宋体" w:cs="宋体"/>
                <w:sz w:val="24"/>
              </w:rPr>
              <w:tab/>
            </w:r>
            <w:r>
              <w:rPr>
                <w:rFonts w:hint="eastAsia" w:ascii="宋体" w:hAnsi="宋体" w:eastAsia="宋体" w:cs="宋体"/>
                <w:sz w:val="24"/>
              </w:rPr>
              <w:t>集成声卡，支持5.1声道</w:t>
            </w:r>
          </w:p>
          <w:p>
            <w:pPr>
              <w:widowControl/>
              <w:spacing w:line="360" w:lineRule="auto"/>
              <w:jc w:val="left"/>
              <w:rPr>
                <w:rFonts w:hint="eastAsia" w:ascii="宋体" w:hAnsi="宋体" w:eastAsia="宋体" w:cs="宋体"/>
                <w:sz w:val="24"/>
              </w:rPr>
            </w:pPr>
            <w:r>
              <w:rPr>
                <w:rFonts w:hint="eastAsia" w:ascii="宋体" w:hAnsi="宋体" w:eastAsia="宋体" w:cs="宋体"/>
                <w:sz w:val="24"/>
              </w:rPr>
              <w:t>扩展槽</w:t>
            </w:r>
            <w:r>
              <w:rPr>
                <w:rFonts w:hint="eastAsia" w:ascii="宋体" w:hAnsi="宋体" w:eastAsia="宋体" w:cs="宋体"/>
                <w:sz w:val="24"/>
              </w:rPr>
              <w:tab/>
            </w:r>
            <w:r>
              <w:rPr>
                <w:rFonts w:hint="eastAsia" w:ascii="宋体" w:hAnsi="宋体" w:eastAsia="宋体" w:cs="宋体"/>
                <w:sz w:val="24"/>
              </w:rPr>
              <w:t>≥2 个 PCIe x1；1个PCIe x16；1个 PCI; ≥2个M.2</w:t>
            </w:r>
          </w:p>
          <w:p>
            <w:pPr>
              <w:widowControl/>
              <w:spacing w:line="360" w:lineRule="auto"/>
              <w:jc w:val="left"/>
              <w:rPr>
                <w:rFonts w:hint="eastAsia" w:ascii="宋体" w:hAnsi="宋体" w:eastAsia="宋体" w:cs="宋体"/>
                <w:sz w:val="24"/>
              </w:rPr>
            </w:pPr>
            <w:r>
              <w:rPr>
                <w:rFonts w:hint="eastAsia" w:ascii="宋体" w:hAnsi="宋体" w:eastAsia="宋体" w:cs="宋体"/>
                <w:sz w:val="24"/>
              </w:rPr>
              <w:t>键盘</w:t>
            </w:r>
            <w:r>
              <w:rPr>
                <w:rFonts w:hint="eastAsia" w:ascii="宋体" w:hAnsi="宋体" w:eastAsia="宋体" w:cs="宋体"/>
                <w:sz w:val="24"/>
              </w:rPr>
              <w:tab/>
            </w:r>
            <w:r>
              <w:rPr>
                <w:rFonts w:hint="eastAsia" w:ascii="宋体" w:hAnsi="宋体" w:eastAsia="宋体" w:cs="宋体"/>
                <w:sz w:val="24"/>
              </w:rPr>
              <w:t>同品牌USB键盘、USB光电鼠标</w:t>
            </w:r>
          </w:p>
          <w:p>
            <w:pPr>
              <w:widowControl/>
              <w:spacing w:line="360" w:lineRule="auto"/>
              <w:jc w:val="left"/>
              <w:rPr>
                <w:rFonts w:hint="eastAsia" w:ascii="宋体" w:hAnsi="宋体" w:eastAsia="宋体" w:cs="宋体"/>
                <w:sz w:val="24"/>
              </w:rPr>
            </w:pPr>
            <w:r>
              <w:rPr>
                <w:rFonts w:hint="eastAsia" w:ascii="宋体" w:hAnsi="宋体" w:eastAsia="宋体" w:cs="宋体"/>
                <w:sz w:val="24"/>
              </w:rPr>
              <w:t>电源</w:t>
            </w:r>
            <w:r>
              <w:rPr>
                <w:rFonts w:hint="eastAsia" w:ascii="宋体" w:hAnsi="宋体" w:eastAsia="宋体" w:cs="宋体"/>
                <w:sz w:val="24"/>
              </w:rPr>
              <w:tab/>
            </w:r>
            <w:r>
              <w:rPr>
                <w:rFonts w:hint="eastAsia" w:ascii="宋体" w:hAnsi="宋体" w:eastAsia="宋体" w:cs="宋体"/>
                <w:sz w:val="24"/>
              </w:rPr>
              <w:t>≥180W 电源</w:t>
            </w:r>
          </w:p>
          <w:p>
            <w:pPr>
              <w:widowControl/>
              <w:spacing w:line="360" w:lineRule="auto"/>
              <w:jc w:val="left"/>
              <w:rPr>
                <w:rFonts w:hint="eastAsia" w:ascii="宋体" w:hAnsi="宋体" w:eastAsia="宋体" w:cs="宋体"/>
                <w:sz w:val="24"/>
              </w:rPr>
            </w:pPr>
            <w:r>
              <w:rPr>
                <w:rFonts w:hint="eastAsia" w:ascii="宋体" w:hAnsi="宋体" w:eastAsia="宋体" w:cs="宋体"/>
                <w:sz w:val="24"/>
              </w:rPr>
              <w:t>机箱</w:t>
            </w:r>
            <w:r>
              <w:rPr>
                <w:rFonts w:hint="eastAsia" w:ascii="宋体" w:hAnsi="宋体" w:eastAsia="宋体" w:cs="宋体"/>
                <w:sz w:val="24"/>
              </w:rPr>
              <w:tab/>
            </w:r>
            <w:r>
              <w:rPr>
                <w:rFonts w:hint="eastAsia" w:ascii="宋体" w:hAnsi="宋体" w:eastAsia="宋体" w:cs="宋体"/>
                <w:sz w:val="24"/>
              </w:rPr>
              <w:t>≤12L标准机箱，高效散热，静音设计，配备可拆洗防尘网罩，后置安全锁孔。</w:t>
            </w:r>
          </w:p>
          <w:p>
            <w:pPr>
              <w:widowControl/>
              <w:spacing w:line="360" w:lineRule="auto"/>
              <w:jc w:val="left"/>
              <w:rPr>
                <w:rFonts w:hint="eastAsia" w:ascii="宋体" w:hAnsi="宋体" w:eastAsia="宋体" w:cs="宋体"/>
                <w:sz w:val="24"/>
              </w:rPr>
            </w:pPr>
            <w:r>
              <w:rPr>
                <w:rFonts w:hint="eastAsia" w:ascii="宋体" w:hAnsi="宋体" w:eastAsia="宋体" w:cs="宋体"/>
                <w:sz w:val="24"/>
              </w:rPr>
              <w:t>系统</w:t>
            </w:r>
            <w:r>
              <w:rPr>
                <w:rFonts w:hint="eastAsia" w:ascii="宋体" w:hAnsi="宋体" w:eastAsia="宋体" w:cs="宋体"/>
                <w:sz w:val="24"/>
              </w:rPr>
              <w:tab/>
            </w:r>
            <w:r>
              <w:rPr>
                <w:rFonts w:hint="eastAsia" w:ascii="宋体" w:hAnsi="宋体" w:eastAsia="宋体" w:cs="宋体"/>
                <w:sz w:val="24"/>
              </w:rPr>
              <w:t>原厂预装正版windows系统</w:t>
            </w:r>
          </w:p>
          <w:p>
            <w:pPr>
              <w:widowControl/>
              <w:spacing w:line="360" w:lineRule="auto"/>
              <w:jc w:val="left"/>
              <w:rPr>
                <w:rFonts w:hint="eastAsia" w:ascii="宋体" w:hAnsi="宋体" w:eastAsia="宋体" w:cs="宋体"/>
                <w:sz w:val="24"/>
              </w:rPr>
            </w:pPr>
            <w:r>
              <w:rPr>
                <w:rFonts w:hint="eastAsia" w:ascii="宋体" w:hAnsi="宋体" w:eastAsia="宋体" w:cs="宋体"/>
                <w:sz w:val="24"/>
              </w:rPr>
              <w:t>端口</w:t>
            </w:r>
            <w:r>
              <w:rPr>
                <w:rFonts w:hint="eastAsia" w:ascii="宋体" w:hAnsi="宋体" w:eastAsia="宋体" w:cs="宋体"/>
                <w:sz w:val="24"/>
              </w:rPr>
              <w:tab/>
            </w:r>
            <w:r>
              <w:rPr>
                <w:rFonts w:hint="eastAsia" w:ascii="宋体" w:hAnsi="宋体" w:eastAsia="宋体" w:cs="宋体"/>
                <w:sz w:val="24"/>
              </w:rPr>
              <w:t>前置≥6*USB接口，后置≥4*USB接口；前置2*音频接口，后置3*音频接口；主板原生VGA、HDMI、 DisplayPort视频输出端口；2 * PS/2 键盘鼠标口；1 * RJ45 千兆网线口</w:t>
            </w:r>
          </w:p>
          <w:p>
            <w:pPr>
              <w:widowControl/>
              <w:spacing w:line="360" w:lineRule="auto"/>
              <w:jc w:val="left"/>
              <w:rPr>
                <w:rFonts w:hint="eastAsia" w:ascii="宋体" w:hAnsi="宋体" w:eastAsia="宋体" w:cs="宋体"/>
                <w:sz w:val="24"/>
              </w:rPr>
            </w:pPr>
            <w:r>
              <w:rPr>
                <w:rFonts w:hint="eastAsia" w:ascii="宋体" w:hAnsi="宋体" w:eastAsia="宋体" w:cs="宋体"/>
                <w:sz w:val="24"/>
              </w:rPr>
              <w:t>安全保障</w:t>
            </w:r>
            <w:r>
              <w:rPr>
                <w:rFonts w:hint="eastAsia" w:ascii="宋体" w:hAnsi="宋体" w:eastAsia="宋体" w:cs="宋体"/>
                <w:sz w:val="24"/>
              </w:rPr>
              <w:tab/>
            </w:r>
            <w:r>
              <w:rPr>
                <w:rFonts w:hint="eastAsia" w:ascii="宋体" w:hAnsi="宋体" w:eastAsia="宋体" w:cs="宋体"/>
                <w:sz w:val="24"/>
              </w:rPr>
              <w:t>①具备USB端口智能控制功能，可设置屏蔽U盘，仅识别键鼠，保证数据安全；②可对主机USB接口逐个设置开启/关闭，方便管理；③随机配置原厂管理软件：支持本机当前运行状态监控、更新重要软件和驱动程序、精确诊断硬件和软件问题、个性化按键设置、 获取官方支持、检查保修状态等功能。</w:t>
            </w:r>
          </w:p>
          <w:p>
            <w:pPr>
              <w:widowControl/>
              <w:spacing w:line="360" w:lineRule="auto"/>
              <w:jc w:val="left"/>
              <w:rPr>
                <w:rFonts w:hint="eastAsia" w:ascii="宋体" w:hAnsi="宋体" w:eastAsia="宋体" w:cs="宋体"/>
                <w:sz w:val="24"/>
              </w:rPr>
            </w:pPr>
            <w:r>
              <w:rPr>
                <w:rFonts w:hint="eastAsia" w:ascii="宋体" w:hAnsi="宋体" w:eastAsia="宋体" w:cs="宋体"/>
                <w:sz w:val="24"/>
              </w:rPr>
              <w:t>设备管理</w:t>
            </w:r>
            <w:r>
              <w:rPr>
                <w:rFonts w:hint="eastAsia" w:ascii="宋体" w:hAnsi="宋体" w:eastAsia="宋体" w:cs="宋体"/>
                <w:sz w:val="24"/>
              </w:rPr>
              <w:tab/>
            </w:r>
            <w:r>
              <w:rPr>
                <w:rFonts w:hint="eastAsia" w:ascii="宋体" w:hAnsi="宋体" w:eastAsia="宋体" w:cs="宋体"/>
                <w:sz w:val="24"/>
              </w:rPr>
              <w:t>所投电脑具备中文BIOS安全操作界面；</w:t>
            </w:r>
          </w:p>
          <w:p>
            <w:pPr>
              <w:widowControl/>
              <w:spacing w:line="360" w:lineRule="auto"/>
              <w:jc w:val="left"/>
              <w:rPr>
                <w:rFonts w:hint="eastAsia" w:ascii="宋体" w:hAnsi="宋体" w:eastAsia="宋体" w:cs="宋体"/>
                <w:sz w:val="24"/>
              </w:rPr>
            </w:pPr>
            <w:r>
              <w:rPr>
                <w:rFonts w:hint="eastAsia" w:ascii="宋体" w:hAnsi="宋体" w:eastAsia="宋体" w:cs="宋体"/>
                <w:sz w:val="24"/>
              </w:rPr>
              <w:t>网络同传硬盘保护：采用C/S和B/S架构，支持跨校区、跨楼栋统一管理，可以实现对各类电脑终端进行统一部署和运维。支持系统快照技术，快速创建新系统，且快照之间相互独立，可独立设置还原方式与计算机名、IP。支持多操作系统的统一部署，包含：windows、Linux、Unix等，满足不同学校对教学系统的需求。下发的操作系统，包括winxp\win7\win10\linux\Unix等都可实现立即还原，即重启便可还原，无需其他操作，且还原方式可设定。兼容固态硬盘结合机械硬盘的混合模式，终端存在多块不同的硬盘时也可实现正常的系统下发。下发系统时支持自动分配计算机名、IP地址、登录用户名，可针对不同的系统分配不同网段的IP地址。支持制定时间策略，开启和关闭客户端的USB、物理光驱和虚拟光驱的使用权限。管理端可对机房进行资产监控，内置动态数据库,可生成变更记录，资产报表，当资产发生人为的变更时,可进行报警处理。支持教师一键式切换学生端系统,也可学生自主选择，并可授权分级权限。支持学生通过帐号和密码进入私有系统，与教学系统相隔离。支持对3DMAX、CAD、Maya等图形设计、工程设计类软件的统一注册，无需手动逐台激活。</w:t>
            </w:r>
          </w:p>
          <w:p>
            <w:pPr>
              <w:widowControl/>
              <w:spacing w:line="360" w:lineRule="auto"/>
              <w:jc w:val="left"/>
              <w:rPr>
                <w:rFonts w:hint="eastAsia" w:ascii="宋体" w:hAnsi="宋体" w:eastAsia="宋体" w:cs="宋体"/>
                <w:sz w:val="24"/>
              </w:rPr>
            </w:pPr>
            <w:r>
              <w:rPr>
                <w:rFonts w:hint="eastAsia" w:ascii="宋体" w:hAnsi="宋体" w:eastAsia="宋体" w:cs="宋体"/>
                <w:sz w:val="24"/>
              </w:rPr>
              <w:t>服务要求</w:t>
            </w:r>
            <w:r>
              <w:rPr>
                <w:rFonts w:hint="eastAsia" w:ascii="宋体" w:hAnsi="宋体" w:eastAsia="宋体" w:cs="宋体"/>
                <w:sz w:val="24"/>
              </w:rPr>
              <w:tab/>
            </w:r>
            <w:r>
              <w:rPr>
                <w:rFonts w:hint="eastAsia" w:ascii="宋体" w:hAnsi="宋体" w:eastAsia="宋体" w:cs="宋体"/>
                <w:sz w:val="24"/>
              </w:rPr>
              <w:t>原厂三年整机保修、三年免费上门售后服务，提供原厂售后服务承诺函，并400电话可查询</w:t>
            </w:r>
          </w:p>
          <w:p>
            <w:pPr>
              <w:widowControl/>
              <w:spacing w:line="360" w:lineRule="auto"/>
              <w:jc w:val="left"/>
              <w:rPr>
                <w:rFonts w:hint="eastAsia" w:ascii="宋体" w:hAnsi="宋体" w:eastAsia="宋体" w:cs="宋体"/>
                <w:sz w:val="24"/>
              </w:rPr>
            </w:pPr>
            <w:r>
              <w:rPr>
                <w:rFonts w:hint="eastAsia" w:ascii="宋体" w:hAnsi="宋体" w:eastAsia="宋体" w:cs="宋体"/>
                <w:color w:val="auto"/>
                <w:sz w:val="24"/>
                <w:lang w:val="en-US" w:eastAsia="zh-CN"/>
              </w:rPr>
              <w:t>搭配开机</w:t>
            </w:r>
            <w:r>
              <w:rPr>
                <w:rFonts w:hint="eastAsia" w:ascii="宋体" w:hAnsi="宋体" w:eastAsia="宋体" w:cs="宋体"/>
                <w:color w:val="auto"/>
                <w:sz w:val="24"/>
              </w:rPr>
              <w:t>延长线1.6米</w:t>
            </w:r>
            <w:r>
              <w:rPr>
                <w:rFonts w:hint="eastAsia" w:ascii="宋体" w:hAnsi="宋体" w:eastAsia="宋体" w:cs="宋体"/>
                <w:color w:val="auto"/>
                <w:sz w:val="24"/>
                <w:lang w:eastAsia="zh-CN"/>
              </w:rPr>
              <w:t>，</w:t>
            </w:r>
            <w:r>
              <w:rPr>
                <w:rFonts w:hint="eastAsia" w:ascii="宋体" w:hAnsi="宋体" w:eastAsia="宋体" w:cs="宋体"/>
                <w:color w:val="auto"/>
                <w:sz w:val="24"/>
              </w:rPr>
              <w:t>双开机键设计</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台</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显示器</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品牌</w:t>
            </w:r>
            <w:r>
              <w:rPr>
                <w:rFonts w:hint="eastAsia" w:ascii="宋体" w:hAnsi="宋体" w:eastAsia="宋体" w:cs="宋体"/>
                <w:color w:val="auto"/>
                <w:kern w:val="0"/>
                <w:sz w:val="24"/>
              </w:rPr>
              <w:tab/>
            </w:r>
            <w:r>
              <w:rPr>
                <w:rFonts w:hint="eastAsia" w:ascii="宋体" w:hAnsi="宋体" w:eastAsia="宋体" w:cs="宋体"/>
                <w:color w:val="auto"/>
                <w:kern w:val="0"/>
                <w:sz w:val="24"/>
              </w:rPr>
              <w:t>跟电脑主机同品牌；</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分辨率</w:t>
            </w:r>
            <w:r>
              <w:rPr>
                <w:rFonts w:hint="eastAsia" w:ascii="宋体" w:hAnsi="宋体" w:eastAsia="宋体" w:cs="宋体"/>
                <w:color w:val="auto"/>
                <w:kern w:val="0"/>
                <w:sz w:val="24"/>
              </w:rPr>
              <w:tab/>
            </w:r>
            <w:r>
              <w:rPr>
                <w:rFonts w:hint="eastAsia" w:ascii="宋体" w:hAnsi="宋体" w:eastAsia="宋体" w:cs="宋体"/>
                <w:color w:val="auto"/>
                <w:kern w:val="0"/>
                <w:sz w:val="24"/>
              </w:rPr>
              <w:t>1920 x 1080</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尺寸</w:t>
            </w:r>
            <w:r>
              <w:rPr>
                <w:rFonts w:hint="eastAsia" w:ascii="宋体" w:hAnsi="宋体" w:eastAsia="宋体" w:cs="宋体"/>
                <w:color w:val="auto"/>
                <w:kern w:val="0"/>
                <w:sz w:val="24"/>
              </w:rPr>
              <w:tab/>
            </w:r>
            <w:r>
              <w:rPr>
                <w:rFonts w:hint="eastAsia" w:ascii="宋体" w:hAnsi="宋体" w:eastAsia="宋体" w:cs="宋体"/>
                <w:color w:val="auto"/>
                <w:kern w:val="0"/>
                <w:sz w:val="24"/>
              </w:rPr>
              <w:t>≥23.8英寸显示器，高宽比16：9，三边窄边框。</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对比度</w:t>
            </w:r>
            <w:r>
              <w:rPr>
                <w:rFonts w:hint="eastAsia" w:ascii="宋体" w:hAnsi="宋体" w:eastAsia="宋体" w:cs="宋体"/>
                <w:color w:val="auto"/>
                <w:kern w:val="0"/>
                <w:sz w:val="24"/>
              </w:rPr>
              <w:tab/>
            </w:r>
            <w:r>
              <w:rPr>
                <w:rFonts w:hint="eastAsia" w:ascii="宋体" w:hAnsi="宋体" w:eastAsia="宋体" w:cs="宋体"/>
                <w:color w:val="auto"/>
                <w:kern w:val="0"/>
                <w:sz w:val="24"/>
              </w:rPr>
              <w:t>对比度：3000：1</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面板</w:t>
            </w:r>
            <w:r>
              <w:rPr>
                <w:rFonts w:hint="eastAsia" w:ascii="宋体" w:hAnsi="宋体" w:eastAsia="宋体" w:cs="宋体"/>
                <w:color w:val="auto"/>
                <w:kern w:val="0"/>
                <w:sz w:val="24"/>
              </w:rPr>
              <w:tab/>
            </w:r>
            <w:r>
              <w:rPr>
                <w:rFonts w:hint="eastAsia" w:ascii="宋体" w:hAnsi="宋体" w:eastAsia="宋体" w:cs="宋体"/>
                <w:color w:val="auto"/>
                <w:kern w:val="0"/>
                <w:sz w:val="24"/>
              </w:rPr>
              <w:t>IPS面板，带VGA+HDMI接口，并随机附配HDMI连接线；</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响应时间</w:t>
            </w:r>
            <w:r>
              <w:rPr>
                <w:rFonts w:hint="eastAsia" w:ascii="宋体" w:hAnsi="宋体" w:eastAsia="宋体" w:cs="宋体"/>
                <w:color w:val="auto"/>
                <w:kern w:val="0"/>
                <w:sz w:val="24"/>
              </w:rPr>
              <w:tab/>
            </w:r>
            <w:r>
              <w:rPr>
                <w:rFonts w:hint="eastAsia" w:ascii="宋体" w:hAnsi="宋体" w:eastAsia="宋体" w:cs="宋体"/>
                <w:color w:val="auto"/>
                <w:kern w:val="0"/>
                <w:sz w:val="24"/>
              </w:rPr>
              <w:t>响应时间：≤5ms，功耗（待机/典型值/最大值）：≤0.5W/18W/21W</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最大刷新率</w:t>
            </w:r>
            <w:r>
              <w:rPr>
                <w:rFonts w:hint="eastAsia" w:ascii="宋体" w:hAnsi="宋体" w:eastAsia="宋体" w:cs="宋体"/>
                <w:color w:val="auto"/>
                <w:kern w:val="0"/>
                <w:sz w:val="24"/>
              </w:rPr>
              <w:tab/>
            </w:r>
            <w:r>
              <w:rPr>
                <w:rFonts w:hint="eastAsia" w:ascii="宋体" w:hAnsi="宋体" w:eastAsia="宋体" w:cs="宋体"/>
                <w:color w:val="auto"/>
                <w:kern w:val="0"/>
                <w:sz w:val="24"/>
              </w:rPr>
              <w:t xml:space="preserve">60Hz </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屏幕表面处理</w:t>
            </w:r>
            <w:r>
              <w:rPr>
                <w:rFonts w:hint="eastAsia" w:ascii="宋体" w:hAnsi="宋体" w:eastAsia="宋体" w:cs="宋体"/>
                <w:color w:val="auto"/>
                <w:kern w:val="0"/>
                <w:sz w:val="24"/>
              </w:rPr>
              <w:tab/>
            </w:r>
            <w:r>
              <w:rPr>
                <w:rFonts w:hint="eastAsia" w:ascii="宋体" w:hAnsi="宋体" w:eastAsia="宋体" w:cs="宋体"/>
                <w:color w:val="auto"/>
                <w:kern w:val="0"/>
                <w:sz w:val="24"/>
              </w:rPr>
              <w:t>防眩光</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台</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千兆交换机</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48个10/100/1000Base-T以太网端口，4个100/1000 Base-X SFP光口,81/96Mpps</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台</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教学大屏</w:t>
            </w:r>
          </w:p>
        </w:tc>
        <w:tc>
          <w:tcPr>
            <w:tcW w:w="4988" w:type="dxa"/>
            <w:vAlign w:val="center"/>
          </w:tcPr>
          <w:p>
            <w:pPr>
              <w:widowControl/>
              <w:spacing w:line="360" w:lineRule="auto"/>
              <w:jc w:val="left"/>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DID 55"超窄边屏，1.88mm拼接缝，支持：365（天）×24（时）不间断工作，无故障寿命：50000小时，背光：LED光源，显示比例：16:9 S-PVA，分辨率：1920*1080，显示区域：1209mm x680mm　高亮度：500cd/m2，对比度：3000:1，可视角度：178°,响应时间：8ms，边框颜色：黑色，外框尺寸：1211.5*682   接口方式：VGA、DVI、HDMI，电源：110-240V/50/60Hz，55寸落地整体支架</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台</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710"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管理系统软件</w:t>
            </w:r>
          </w:p>
        </w:tc>
        <w:tc>
          <w:tcPr>
            <w:tcW w:w="4988" w:type="dxa"/>
            <w:vAlign w:val="center"/>
          </w:tcPr>
          <w:p>
            <w:pPr>
              <w:widowControl/>
              <w:spacing w:line="360" w:lineRule="auto"/>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lang w:val="en-US" w:eastAsia="zh-CN"/>
              </w:rPr>
              <w:t>提供</w:t>
            </w:r>
            <w:r>
              <w:rPr>
                <w:rFonts w:hint="eastAsia" w:ascii="宋体" w:hAnsi="宋体" w:eastAsia="宋体" w:cs="宋体"/>
                <w:color w:val="auto"/>
                <w:kern w:val="0"/>
                <w:sz w:val="24"/>
              </w:rPr>
              <w:t>对显示</w:t>
            </w:r>
            <w:r>
              <w:rPr>
                <w:rFonts w:hint="eastAsia" w:ascii="宋体" w:hAnsi="宋体" w:eastAsia="宋体" w:cs="宋体"/>
                <w:color w:val="auto"/>
                <w:kern w:val="0"/>
                <w:sz w:val="24"/>
                <w:lang w:val="en-US" w:eastAsia="zh-CN"/>
              </w:rPr>
              <w:t>大屏</w:t>
            </w:r>
            <w:r>
              <w:rPr>
                <w:rFonts w:hint="eastAsia" w:ascii="宋体" w:hAnsi="宋体" w:eastAsia="宋体" w:cs="宋体"/>
                <w:color w:val="auto"/>
                <w:kern w:val="0"/>
                <w:sz w:val="24"/>
              </w:rPr>
              <w:t>的各类应用窗口的控制和管理，对外部输入信号的调用，对显示屏的控制以及实现对矩阵、集中控制设备等相关外围设备的控制与管理</w:t>
            </w:r>
          </w:p>
        </w:tc>
        <w:tc>
          <w:tcPr>
            <w:tcW w:w="103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项</w:t>
            </w:r>
          </w:p>
        </w:tc>
        <w:tc>
          <w:tcPr>
            <w:tcW w:w="121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710"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信号控制线缆及辅件</w:t>
            </w:r>
          </w:p>
        </w:tc>
        <w:tc>
          <w:tcPr>
            <w:tcW w:w="4988" w:type="dxa"/>
            <w:vAlign w:val="center"/>
          </w:tcPr>
          <w:p>
            <w:pPr>
              <w:widowControl/>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大屏幕系统专用集成线缆15米</w:t>
            </w:r>
            <w:r>
              <w:rPr>
                <w:rFonts w:hint="eastAsia" w:ascii="宋体" w:hAnsi="宋体" w:eastAsia="宋体" w:cs="宋体"/>
                <w:color w:val="auto"/>
                <w:kern w:val="0"/>
                <w:sz w:val="24"/>
                <w:lang w:val="en-US" w:eastAsia="zh-CN"/>
              </w:rPr>
              <w:t>及一批辅件</w:t>
            </w:r>
          </w:p>
        </w:tc>
        <w:tc>
          <w:tcPr>
            <w:tcW w:w="103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批</w:t>
            </w:r>
          </w:p>
        </w:tc>
        <w:tc>
          <w:tcPr>
            <w:tcW w:w="121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710"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机器人视觉应用课程</w:t>
            </w:r>
          </w:p>
        </w:tc>
        <w:tc>
          <w:tcPr>
            <w:tcW w:w="4988" w:type="dxa"/>
            <w:vAlign w:val="top"/>
          </w:tcPr>
          <w:p>
            <w:pPr>
              <w:adjustRightInd/>
              <w:spacing w:line="360" w:lineRule="auto"/>
              <w:rPr>
                <w:rFonts w:hint="eastAsia" w:ascii="宋体" w:hAnsi="宋体" w:eastAsia="宋体" w:cs="宋体"/>
                <w:color w:val="auto"/>
                <w:sz w:val="24"/>
              </w:rPr>
            </w:pPr>
            <w:r>
              <w:rPr>
                <w:rFonts w:hint="eastAsia" w:ascii="宋体" w:hAnsi="宋体" w:eastAsia="宋体" w:cs="宋体"/>
                <w:color w:val="auto"/>
                <w:sz w:val="24"/>
              </w:rPr>
              <w:t>课程资源要求：</w:t>
            </w:r>
          </w:p>
          <w:p>
            <w:pPr>
              <w:adjustRightInd/>
              <w:spacing w:line="360" w:lineRule="auto"/>
              <w:rPr>
                <w:rFonts w:hint="eastAsia" w:ascii="宋体" w:hAnsi="宋体" w:eastAsia="宋体" w:cs="宋体"/>
                <w:color w:val="auto"/>
                <w:sz w:val="24"/>
              </w:rPr>
            </w:pPr>
            <w:r>
              <w:rPr>
                <w:rFonts w:hint="eastAsia" w:ascii="宋体" w:hAnsi="宋体" w:eastAsia="宋体" w:cs="宋体"/>
                <w:color w:val="auto"/>
                <w:sz w:val="24"/>
              </w:rPr>
              <w:t>★1、提供深度学习与机器视觉方向的实验课程资源（提供课程目录及章节截图）；</w:t>
            </w:r>
          </w:p>
          <w:p>
            <w:pPr>
              <w:adjustRightInd/>
              <w:spacing w:line="360" w:lineRule="auto"/>
              <w:rPr>
                <w:rFonts w:hint="eastAsia" w:ascii="宋体" w:hAnsi="宋体" w:eastAsia="宋体" w:cs="宋体"/>
                <w:color w:val="auto"/>
                <w:sz w:val="24"/>
              </w:rPr>
            </w:pPr>
            <w:r>
              <w:rPr>
                <w:rFonts w:hint="eastAsia" w:ascii="宋体" w:hAnsi="宋体" w:eastAsia="宋体" w:cs="宋体"/>
                <w:color w:val="auto"/>
                <w:sz w:val="24"/>
              </w:rPr>
              <w:t>2、课程资源需包括但不限于：配套实验课程的课件、实验报告、微课、实验源代码包；</w:t>
            </w:r>
          </w:p>
          <w:p>
            <w:pPr>
              <w:adjustRightInd/>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rPr>
              <w:t>★3、需提供纸质版实验指导书，其中实验项目≥8个，指导书中的实验项目均能由便携式人工智能教学平台或开源人形双足教育机器人套件支撑完成。</w:t>
            </w:r>
          </w:p>
        </w:tc>
        <w:tc>
          <w:tcPr>
            <w:tcW w:w="103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项</w:t>
            </w:r>
          </w:p>
        </w:tc>
        <w:tc>
          <w:tcPr>
            <w:tcW w:w="121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710"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多媒体教学软件</w:t>
            </w:r>
          </w:p>
        </w:tc>
        <w:tc>
          <w:tcPr>
            <w:tcW w:w="4988" w:type="dxa"/>
            <w:vAlign w:val="center"/>
          </w:tcPr>
          <w:p>
            <w:pPr>
              <w:widowControl/>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支持屏幕广播功能，教师机屏幕上的内容可实时广播给单个、部分或全体学生，可选定一个学生操作本机或操作教师机进行教学演示，云服务器宕机时亦可使用；可向学生终端发布消息和文件、锁定屏幕等，也可通过该软件布置课堂作业并进行批改，亦支持在线考试功能、屏幕广播时实现注解讲解、轮流监看学生屏幕辅助教学，下课后也可一键关闭学生机。</w:t>
            </w:r>
          </w:p>
        </w:tc>
        <w:tc>
          <w:tcPr>
            <w:tcW w:w="103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项</w:t>
            </w:r>
          </w:p>
        </w:tc>
        <w:tc>
          <w:tcPr>
            <w:tcW w:w="121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710"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教学壁挂音箱</w:t>
            </w:r>
          </w:p>
        </w:tc>
        <w:tc>
          <w:tcPr>
            <w:tcW w:w="4988" w:type="dxa"/>
            <w:vAlign w:val="center"/>
          </w:tcPr>
          <w:p>
            <w:pPr>
              <w:widowControl/>
              <w:spacing w:line="360" w:lineRule="auto"/>
              <w:jc w:val="left"/>
              <w:rPr>
                <w:rFonts w:hint="eastAsia" w:ascii="宋体" w:hAnsi="宋体" w:eastAsia="宋体" w:cs="宋体"/>
                <w:sz w:val="24"/>
              </w:rPr>
            </w:pPr>
            <w:r>
              <w:rPr>
                <w:rFonts w:hint="eastAsia" w:ascii="宋体" w:hAnsi="宋体" w:eastAsia="宋体" w:cs="宋体"/>
                <w:sz w:val="24"/>
              </w:rPr>
              <w:t>功率：60-150w</w:t>
            </w:r>
          </w:p>
          <w:p>
            <w:pPr>
              <w:widowControl/>
              <w:spacing w:line="360" w:lineRule="auto"/>
              <w:jc w:val="left"/>
              <w:rPr>
                <w:rFonts w:hint="eastAsia" w:ascii="宋体" w:hAnsi="宋体" w:eastAsia="宋体" w:cs="宋体"/>
                <w:sz w:val="24"/>
              </w:rPr>
            </w:pPr>
            <w:r>
              <w:rPr>
                <w:rFonts w:hint="eastAsia" w:ascii="宋体" w:hAnsi="宋体" w:eastAsia="宋体" w:cs="宋体"/>
                <w:sz w:val="24"/>
              </w:rPr>
              <w:t>阻抗：6Ω</w:t>
            </w:r>
          </w:p>
          <w:p>
            <w:pPr>
              <w:widowControl/>
              <w:spacing w:line="360" w:lineRule="auto"/>
              <w:jc w:val="left"/>
              <w:rPr>
                <w:rFonts w:hint="eastAsia" w:ascii="宋体" w:hAnsi="宋体" w:eastAsia="宋体" w:cs="宋体"/>
                <w:sz w:val="24"/>
              </w:rPr>
            </w:pPr>
            <w:r>
              <w:rPr>
                <w:rFonts w:hint="eastAsia" w:ascii="宋体" w:hAnsi="宋体" w:eastAsia="宋体" w:cs="宋体"/>
                <w:sz w:val="24"/>
              </w:rPr>
              <w:t>响应频率：55Hz-18KHz</w:t>
            </w:r>
          </w:p>
          <w:p>
            <w:pPr>
              <w:widowControl/>
              <w:spacing w:line="360" w:lineRule="auto"/>
              <w:jc w:val="left"/>
              <w:rPr>
                <w:rFonts w:hint="eastAsia" w:ascii="宋体" w:hAnsi="宋体" w:eastAsia="宋体" w:cs="宋体"/>
                <w:sz w:val="24"/>
              </w:rPr>
            </w:pPr>
            <w:r>
              <w:rPr>
                <w:rFonts w:hint="eastAsia" w:ascii="宋体" w:hAnsi="宋体" w:eastAsia="宋体" w:cs="宋体"/>
                <w:sz w:val="24"/>
              </w:rPr>
              <w:t>低音单位：8英寸</w:t>
            </w:r>
          </w:p>
          <w:p>
            <w:pPr>
              <w:widowControl/>
              <w:spacing w:line="360" w:lineRule="auto"/>
              <w:jc w:val="left"/>
              <w:rPr>
                <w:rFonts w:hint="eastAsia" w:ascii="宋体" w:hAnsi="宋体" w:eastAsia="宋体" w:cs="宋体"/>
                <w:sz w:val="24"/>
              </w:rPr>
            </w:pPr>
            <w:r>
              <w:rPr>
                <w:rFonts w:hint="eastAsia" w:ascii="宋体" w:hAnsi="宋体" w:eastAsia="宋体" w:cs="宋体"/>
                <w:sz w:val="24"/>
              </w:rPr>
              <w:t>中音单元：3.5英寸</w:t>
            </w:r>
          </w:p>
          <w:p>
            <w:pPr>
              <w:widowControl/>
              <w:spacing w:line="360" w:lineRule="auto"/>
              <w:jc w:val="left"/>
              <w:rPr>
                <w:rFonts w:hint="eastAsia" w:ascii="宋体" w:hAnsi="宋体" w:eastAsia="宋体" w:cs="宋体"/>
                <w:sz w:val="24"/>
              </w:rPr>
            </w:pPr>
            <w:r>
              <w:rPr>
                <w:rFonts w:hint="eastAsia" w:ascii="宋体" w:hAnsi="宋体" w:eastAsia="宋体" w:cs="宋体"/>
                <w:sz w:val="24"/>
              </w:rPr>
              <w:t>高音单元：3.5英寸</w:t>
            </w:r>
          </w:p>
          <w:p>
            <w:pPr>
              <w:pStyle w:val="2"/>
              <w:rPr>
                <w:rFonts w:hint="eastAsia" w:ascii="宋体" w:hAnsi="宋体" w:eastAsia="宋体" w:cs="宋体"/>
                <w:snapToGrid w:val="0"/>
                <w:kern w:val="2"/>
                <w:sz w:val="24"/>
                <w:szCs w:val="24"/>
                <w:lang w:val="en-US" w:eastAsia="zh-CN" w:bidi="ar-SA"/>
              </w:rPr>
            </w:pPr>
            <w:r>
              <w:rPr>
                <w:rFonts w:hint="eastAsia" w:ascii="宋体" w:hAnsi="宋体" w:eastAsia="宋体" w:cs="宋体"/>
                <w:szCs w:val="24"/>
                <w:lang w:val="en-US" w:eastAsia="zh-CN"/>
              </w:rPr>
              <w:t>壁挂支架</w:t>
            </w:r>
          </w:p>
        </w:tc>
        <w:tc>
          <w:tcPr>
            <w:tcW w:w="103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对</w:t>
            </w:r>
          </w:p>
        </w:tc>
        <w:tc>
          <w:tcPr>
            <w:tcW w:w="121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710"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音箱功放</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功率150W+150W</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峰值功率380W+380W</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信噪比：85dB</w:t>
            </w:r>
          </w:p>
          <w:p>
            <w:pPr>
              <w:widowControl/>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输入灵敏度：300±30Mv</w:t>
            </w:r>
          </w:p>
        </w:tc>
        <w:tc>
          <w:tcPr>
            <w:tcW w:w="103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对</w:t>
            </w:r>
          </w:p>
        </w:tc>
        <w:tc>
          <w:tcPr>
            <w:tcW w:w="121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14</w:t>
            </w:r>
          </w:p>
        </w:tc>
        <w:tc>
          <w:tcPr>
            <w:tcW w:w="1710"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一拖二无线话筒</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接收机：</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频道组数：双频道</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接收方式：双频谐自动选讯</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振动模式：PLL相位锁定频率合成</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载波波段：UHF639-699MHZ</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频率稳定度：±0.005%</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频带宽度：60MHz</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可切换频率组数：200组</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发射器：</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管体材质：铝合金</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震荡模式：PLL相位锁定频率合成</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载波波段：UHF639-699MHZ</w:t>
            </w:r>
          </w:p>
          <w:p>
            <w:pPr>
              <w:widowControl/>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频率稳定度：±0.005%</w:t>
            </w:r>
          </w:p>
        </w:tc>
        <w:tc>
          <w:tcPr>
            <w:tcW w:w="103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对</w:t>
            </w:r>
          </w:p>
        </w:tc>
        <w:tc>
          <w:tcPr>
            <w:tcW w:w="121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15</w:t>
            </w:r>
          </w:p>
        </w:tc>
        <w:tc>
          <w:tcPr>
            <w:tcW w:w="1710"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机柜</w:t>
            </w:r>
          </w:p>
        </w:tc>
        <w:tc>
          <w:tcPr>
            <w:tcW w:w="4988" w:type="dxa"/>
            <w:vAlign w:val="center"/>
          </w:tcPr>
          <w:p>
            <w:pPr>
              <w:widowControl/>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交换机32U机柜</w:t>
            </w:r>
          </w:p>
        </w:tc>
        <w:tc>
          <w:tcPr>
            <w:tcW w:w="103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台</w:t>
            </w:r>
          </w:p>
        </w:tc>
        <w:tc>
          <w:tcPr>
            <w:tcW w:w="1215" w:type="dxa"/>
            <w:vAlign w:val="center"/>
          </w:tcPr>
          <w:p>
            <w:pPr>
              <w:widowControl/>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b/>
                <w:bCs/>
                <w:color w:val="auto"/>
                <w:sz w:val="24"/>
              </w:rPr>
            </w:pPr>
          </w:p>
        </w:tc>
        <w:tc>
          <w:tcPr>
            <w:tcW w:w="1710" w:type="dxa"/>
            <w:vAlign w:val="center"/>
          </w:tcPr>
          <w:p>
            <w:pPr>
              <w:widowControl/>
              <w:spacing w:line="360" w:lineRule="auto"/>
              <w:jc w:val="center"/>
              <w:rPr>
                <w:rFonts w:hint="eastAsia" w:ascii="宋体" w:hAnsi="宋体" w:eastAsia="宋体" w:cs="宋体"/>
                <w:b/>
                <w:bCs/>
                <w:color w:val="auto"/>
                <w:kern w:val="0"/>
                <w:sz w:val="24"/>
              </w:rPr>
            </w:pPr>
          </w:p>
        </w:tc>
        <w:tc>
          <w:tcPr>
            <w:tcW w:w="4988" w:type="dxa"/>
            <w:vAlign w:val="center"/>
          </w:tcPr>
          <w:p>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rPr>
              <w:t>机器人实训区</w:t>
            </w:r>
          </w:p>
        </w:tc>
        <w:tc>
          <w:tcPr>
            <w:tcW w:w="1035" w:type="dxa"/>
            <w:vAlign w:val="center"/>
          </w:tcPr>
          <w:p>
            <w:pPr>
              <w:widowControl/>
              <w:spacing w:line="360" w:lineRule="auto"/>
              <w:jc w:val="center"/>
              <w:rPr>
                <w:rFonts w:hint="eastAsia" w:ascii="宋体" w:hAnsi="宋体" w:eastAsia="宋体" w:cs="宋体"/>
                <w:b/>
                <w:bCs/>
                <w:color w:val="auto"/>
                <w:kern w:val="0"/>
                <w:sz w:val="24"/>
              </w:rPr>
            </w:pPr>
          </w:p>
        </w:tc>
        <w:tc>
          <w:tcPr>
            <w:tcW w:w="1215" w:type="dxa"/>
            <w:vAlign w:val="center"/>
          </w:tcPr>
          <w:p>
            <w:pPr>
              <w:widowControl/>
              <w:spacing w:line="360" w:lineRule="auto"/>
              <w:jc w:val="center"/>
              <w:rPr>
                <w:rFonts w:hint="eastAsia" w:ascii="宋体" w:hAnsi="宋体" w:eastAsia="宋体" w:cs="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储存柜</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恒温恒湿防潮储存柜</w:t>
            </w:r>
            <w:r>
              <w:rPr>
                <w:rFonts w:hint="eastAsia" w:ascii="宋体" w:hAnsi="宋体" w:eastAsia="宋体" w:cs="宋体"/>
                <w:color w:val="auto"/>
                <w:kern w:val="0"/>
                <w:sz w:val="24"/>
                <w:lang w:val="en-US" w:eastAsia="zh-CN"/>
              </w:rPr>
              <w:t>≥600L容积</w:t>
            </w:r>
            <w:r>
              <w:rPr>
                <w:rFonts w:hint="eastAsia" w:ascii="宋体" w:hAnsi="宋体" w:eastAsia="宋体" w:cs="宋体"/>
                <w:color w:val="auto"/>
                <w:kern w:val="0"/>
                <w:sz w:val="24"/>
              </w:rPr>
              <w:t>，实时温湿度显示，加强冷轧钢板+钢化玻璃</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sz w:val="24"/>
              </w:rPr>
              <w:t>开源人形双足教育机器人套件（含传感器）</w:t>
            </w:r>
          </w:p>
        </w:tc>
        <w:tc>
          <w:tcPr>
            <w:tcW w:w="4988" w:type="dxa"/>
          </w:tcPr>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一、功能描述：</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1、机器人平台搭载摄像头、麦克风、扬声器、指示灯、传感器、伺服驱动器等设备，具备视觉、语音（包括连续语音交互）、动作互动等基本功能；</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2、人形形态机器人，可行走、可跳舞、可模拟人类肢体动作，采用模块化设计，四肢可拆装；</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3、采用Raspberry Pi + STM32开放式的硬件平台架构及ROS开源机器人操作系统，支持用户调用或集成丰富的Raspberry Pi的开源软件模块，支持基于Linux的开源软件架构，支持Python、Java、C/C++、Blockly等多种编程语言；</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4、集成AI语音/视觉算法，支持语音识别、语义识别、人脸分析、人脸跟踪、手势识别等功能，支持语音应用和视觉识别算法的开发；</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5、支持外接传感器，支持WiFi、蓝牙通信；</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6、支持Ros-Gazebo 机器人运动仿真，以及Rviz+Moveit 运动规划；</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二、产品参数</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1、铝合金结构，PC+ABS外壳材质；</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2、产品尺寸：≥370*190*100（mm）,重量≥2 kg</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★3、机器人整机自由度（舵机）≥17；</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4、舵机最大扭矩≥8kg•cm；精度≤1°；</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5、主芯片≥1.2GHz、ARMv8及以上；运行内存≥1GB，内部存储≥16GB；</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6、摄像头：≥800万像素，定焦，支持FPV控制，RGB三色可编程摄像头状态指示灯；</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7、传感器拓展接口：采用磁吸式4PIN接口，数量≥6个；</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8、其他接口：HDMI接口≥1；USB接口≥2，GPIO接口≥40。</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三、配置要求</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1、在无阻断开阔空间下有效拾音距离约1米左右；支持通过麦克风语音控制机器人；</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2、具有至少三种不同状态下的颜色指示灯；</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3、具有头顶紧急停止按键。机器人工作状态下，按下紧急停止键，机器人立刻断电并停止运行；</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4、具有DC、USB、HDMI接口；</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★5、配套专属教学App，教学App支持iOS和Android等主流移动设备，支持Wifi网络下接入机器人、控制机器人，包括“运动控制”“Blockly编程”“回读(PRP)编程”“传感器”等；</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6、产品经过SRRC检测且获得SRRC证书，获得软件著作权证书，并提供相关证书复印件。</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四、传感器套件</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1、要求与开源人形双足教育机器人配套，可以开展相关连接及编程实验；</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2、传感器种类≥3种，需包含红外、触摸、温湿度三种传感模块；</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★3、支持 4PIN 磁吸式接口，方便与开源人形双足教育机器人便捷连接；</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4、红外传感器：红外波长：≥940nm；最小红外测距距离≤8cm，最大红外测距距离≥100cm；</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sz w:val="24"/>
              </w:rPr>
              <w:t>5、温湿度传感器：测试范围：温度0~+45℃，湿度50~95%RH。</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sz w:val="24"/>
              </w:rPr>
              <w:t>便携式人工智能教学平台（含师资培训）</w:t>
            </w:r>
          </w:p>
        </w:tc>
        <w:tc>
          <w:tcPr>
            <w:tcW w:w="4988" w:type="dxa"/>
          </w:tcPr>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一、产品参数</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1、CPU：≥ARMA57 </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2、内存RAM≥4G；</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3、存储≥128G；</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4、集成DIMM接口、GPIO接口</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5、有TF卡槽；≥4个以上USB接口；有Micro USB接口；DP接口；HDMI接口；</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6、采用linux操作系统或其他主流系统；</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7、支持多种主流深度学习框架。</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二、配置要求</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 包括机器主体、电源适配器、USB数据线等</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★2、提供20个以上的AI学习和推理API；（提供软件界面截图加盖投标人公章）</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3、具备3C、SRRC认证。（提供3C、SRRC认证证书复印件加盖投标人公章）</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三、师资培训要求</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1、对任课老师开展现场师资培训，培训时间≥4天（每天按正常工作时间计算）；</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2、现场技术培训包含：针对便携式人工智能教学平台和 开源人形双足教育机器人套装的设备使用方法现场操作、设备正常维护类及常见故障答疑及指导等；</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sz w:val="24"/>
              </w:rPr>
              <w:t>2、企业工程师现场教学指导，包含：设备对应教学内容指导、设备教学项目演示、实验指导书与设备配合使用方法指导等。</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智能迎宾机器人</w:t>
            </w:r>
          </w:p>
        </w:tc>
        <w:tc>
          <w:tcPr>
            <w:tcW w:w="4988" w:type="dxa"/>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可自主选择歌曲，机器人会根据不同的歌曲旋律翩翩起舞。</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可将常用垂直领域类的知识保存到机器人的大脑里，可以实现专业知识的语音问答、图片呈现、视频播放的功能。经过简单的配置后，机器人可根据设置的问题准确的回答提出的问题。</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两米内自动唤醒，主动与来人打招呼，并说出欢迎词。</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基于人脸的特征信息进行面部识别，精准对应师生，为用户提供个性化、身份确认等基础服务。</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机器人与客户交流时，单方面隐秘的视频通讯技术，可做到人工后台控制和模仿机器人对话，从而让机器人更加人性化服务。</w:t>
            </w:r>
          </w:p>
          <w:p>
            <w:pPr>
              <w:pStyle w:val="2"/>
              <w:rPr>
                <w:rFonts w:hint="eastAsia" w:ascii="宋体" w:hAnsi="宋体" w:eastAsia="宋体" w:cs="宋体"/>
                <w:color w:val="auto"/>
                <w:szCs w:val="24"/>
                <w:lang w:val="en-US" w:eastAsia="zh-CN"/>
              </w:rPr>
            </w:pPr>
            <w:r>
              <w:rPr>
                <w:rFonts w:hint="eastAsia" w:ascii="宋体" w:hAnsi="宋体" w:eastAsia="宋体" w:cs="宋体"/>
                <w:color w:val="auto"/>
                <w:kern w:val="0"/>
                <w:sz w:val="24"/>
                <w:szCs w:val="24"/>
                <w:lang w:val="en-US" w:eastAsia="zh-CN"/>
              </w:rPr>
              <w:t>净重≥18KG，尺寸≥450*400*1000mm</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智能仿生四足机器人</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尺寸：</w:t>
            </w:r>
            <w:r>
              <w:rPr>
                <w:rFonts w:hint="eastAsia" w:ascii="宋体" w:hAnsi="宋体" w:eastAsia="宋体" w:cs="宋体"/>
                <w:color w:val="auto"/>
                <w:sz w:val="24"/>
              </w:rPr>
              <w:t>≥</w:t>
            </w:r>
            <w:r>
              <w:rPr>
                <w:rFonts w:hint="eastAsia" w:ascii="宋体" w:hAnsi="宋体" w:eastAsia="宋体" w:cs="宋体"/>
                <w:color w:val="auto"/>
                <w:kern w:val="0"/>
                <w:sz w:val="24"/>
              </w:rPr>
              <w:t>771*355*400mm</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重量：</w:t>
            </w:r>
            <w:r>
              <w:rPr>
                <w:rFonts w:hint="eastAsia" w:ascii="宋体" w:hAnsi="宋体" w:eastAsia="宋体" w:cs="宋体"/>
                <w:color w:val="auto"/>
                <w:sz w:val="24"/>
              </w:rPr>
              <w:t>≥</w:t>
            </w:r>
            <w:r>
              <w:rPr>
                <w:rFonts w:hint="eastAsia" w:ascii="宋体" w:hAnsi="宋体" w:eastAsia="宋体" w:cs="宋体"/>
                <w:color w:val="auto"/>
                <w:kern w:val="0"/>
                <w:sz w:val="24"/>
              </w:rPr>
              <w:t>14kg</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支持地图构建、自主定位、导航规划、自动避障、人脸识别、人体跟随、高清图传、影像拍摄、语音交互等</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机器人后台管理系统</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包括但不限于：</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A.让机器人动起来</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B.远程（手机APP）控制</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C.跟着你走</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D.使用激光雷达绘制地图</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a)Gmapping</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b)Karto</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c)Frontier Exploration</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d)Hector</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E.使用深度摄像头绘制地图</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a)Gmapping</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b)Karto</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c)Frontier Exploration</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d)Hector</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e)rtab_map </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F.使用激光雷达进行导航</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G.使用深度摄像头进行导航</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H.机械臂与摄像头标定</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I.通过机械臂进行视觉抓取</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J.进行物品检测</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K.语音移动控制              </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实训桌</w:t>
            </w:r>
          </w:p>
        </w:tc>
        <w:tc>
          <w:tcPr>
            <w:tcW w:w="4988" w:type="dxa"/>
            <w:vAlign w:val="center"/>
          </w:tcPr>
          <w:p>
            <w:pPr>
              <w:pStyle w:val="2"/>
              <w:rPr>
                <w:rFonts w:hint="eastAsia" w:ascii="宋体" w:hAnsi="宋体" w:eastAsia="宋体" w:cs="宋体"/>
                <w:color w:val="auto"/>
                <w:szCs w:val="24"/>
                <w:lang w:val="en-US" w:eastAsia="zh-CN"/>
              </w:rPr>
            </w:pPr>
            <w:r>
              <w:rPr>
                <w:rFonts w:hint="eastAsia" w:ascii="宋体" w:hAnsi="宋体" w:eastAsia="宋体" w:cs="宋体"/>
                <w:color w:val="auto"/>
                <w:szCs w:val="24"/>
              </w:rPr>
              <w:t>1、基材：E1级中纤板、E1级刨花板，甲醛释放量≤3mg/100g。2、油漆：采用环保型透明哑光PU聚酯面漆，达到E1级环保标准。油漆工艺五底三面，表面硬度达到3H级，白色烤漆或各色烤漆（贴木皮烤漆、大理石贴面）；3、五金件：采用国产优质五金件</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4</w:t>
            </w:r>
            <w:r>
              <w:rPr>
                <w:rFonts w:hint="eastAsia" w:ascii="宋体" w:hAnsi="宋体" w:eastAsia="宋体" w:cs="宋体"/>
                <w:color w:val="auto"/>
                <w:szCs w:val="24"/>
              </w:rPr>
              <w:t>、结构：全铝合金脚架，模具一次成型组装，静电粉末喷涂和抛光工艺，环保大气，折叠存放，底部带万向和可锁定耐磨脚轮，多种组合使用方便快捷</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张</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智慧教室终端</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智慧教室终端为嵌入式架构一体化设备，集成10寸高清触摸屏、无线AP、IC读卡器、语音控制、环境感知、网络中控、吊麦扩声、数字功放、IP广播、可视对讲、视频会议、有线无线双模物联、一师一麦接收、音频DSP处理等功能模块，仅需一个触摸终端实现智慧教室功能；终端尺寸≤26*28*4CM，可挂墙或嵌入式安装，提供安装底盒。</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2、双模物联、网络中控、IP广播、可视对讲等共用一个网口或WIFI，需提供终端只有一个网口的接口图片证明。</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3、10寸真彩色，1024*600分辨率，可编程的控制界面及功能；屏幕界面、功能支持可编程；支持单界面或多界面跳转等多种触控及显示方式，支持200个界面转换； </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4、内置RTC时钟，支持日期及时间显示；支持亮度调节及屏幕保护，空闲时电子时钟屏保显示模式可编程；</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5、全贴合玻璃集成5个可编程触摸实体按键，快速实现对讲呼叫、上/下课、设备开/关，灯光开/关、静音等功能；</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6、集成路由器，可选无线AP、有线网络和WIFI连接模式；自主开发的嵌入式系统集成IIS服务器，可以在WEB界面直接登录设置网络参数及无线物联设备搜索和设置；</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7、支持SC50、SC70标准的非接触式IC卡，老师经授权后只需刷卡系统能按照开启步骤自动打开所有设备，老师可直接进行教学；</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8、带3级用户权限管理及自定义课表功能，至少存储一个学期的教师课表刷卡权限和刷卡记录，根据课表时间段刷卡，断网能独立运行；</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9、AI智能语音识别控制，无需网络独立运行；多达150条语音指令，可编程修改唤醒词、命令词和回复语；</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10、终端集成温度和湿度环境感知传感器，数据自动传输到后台，实现对室内环境的调整和联动控制；</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11、≥1路USB控制和数据编程接口，≥3路独立RS232控制端口，≥1路红外接口，≥1路LPBUS总线接口，≥3路检测输入接口，≥1路可控制12V输出；</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12、≥2路3.5音频输入，≥1路3.5音频输入，≥1路凤凰端子话筒平衡输入接口，带48V幻象供电开关，直接连接吊麦实现远距离拾音；支持对音频通道和吊麦等独立≥80级数字音量调节，支持对音频输出通道进行静音设置；</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13、终端集成80W*2数字智能功放，直接接入无源音箱扩声，也可外接功放扩声；</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14、可配专业DSP音频处理模块，具备AEC(自动回声消除)、AFC(自动反馈抑制)、ANC(自动降噪)、自动增益(AGC)，提供清晰的授课环境，每间教室只需安装一只吊麦拾取教室内老师及学生的声音来实现本地扩音和音频录音；</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15、集成对讲、广播、拾音三合一功能，内置高灵敏度拾音器与数字高保真喇叭输出，带回音反馈抑制功能；</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16、支持标准onvif协议、SIP协议、GB28181协议，可单独接入VOIP电话系统并与主流NVR监控平台实现无缝对接；</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17、支持音频采集功能，自带音频降噪、回音消除、人声增强能可实现10米半径范围人声采集清晰明亮，让终端变身音频采集终端；</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18、智能识别媒体文件播放格式，支持MP3、WAV、MP4、AAC、AVI、flac等音视频媒体文件播放时，能实现音频视频分离播放；</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19、内置200万摄像头，支持480P-1080P分辨率，可清晰识别呼叫人员面部特征，也可做监控连接NVR等存储设备实现24小时录音录像，支持H264和H265视频编码格式；</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20、内置3W全频腔体扬声器和MIC，实现音视频通话，支持回音消除算法，降噪；</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21、采用SUBGHZ低功耗无线联网，无线设备自动搜索自动加入；</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22、可配置多达64个物联设备，兼容有线LPBUS协议，根据教室环境灵活部署；</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23、集成双频无线话筒接收，支持话筒ID身份认证、自动对频、锁频、物联管控和语音控制等；</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台</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一师一麦</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一师一麦的教师数字助理（TDA），除了具有无线话筒扩声外，还提供身份认证、激光教鞭、PPT翻页、无线鼠标、教室管控、语音控制、对讲报障等功能；</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个</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智能开关</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1、3个16A回路，微动按键控制，可通过自发电开关、遥控器、手机、IPAD或集控平台进行灯光及其它负载设备的控制；</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2、SUBGHZ协议无线连接智慧教室网关，可实现单开、联动开启、自定义场景模式等多种开启方式；</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3、16A大电流继电器，强电控制采用过零触发方式，保护设备上电安全；</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4、32路无线自发电开关对接，无线距离：室外100m，室内30m；</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5、工作电压：AC 220V，待机功耗小于1W；</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6、工作类型：86型自复位，可以安装在墙壁86底盒上；</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个</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自发电开关</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1、不需布线、不用安装电池、防潮、防水、防火；</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2、可以对多种控制目标进行控制，包括灯光回路、场景等，通过一键场景控制功能，对于室内的灯光、窗帘等控制；</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3、工作类型：86型自复位，可以安装在墙壁86底盒上；也可以贴在玻璃门、大理石上；</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4、电源模式：动能自发电；</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5、无线模式：SUBGHZ FSK；</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6、无线距离：室外100m，室内30m；</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7、开关次数：大于20万次；</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8、外型尺寸：L86*W86*H4.5mm；</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9、重量：86g-110g；</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10、产品不侵权</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个</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红外遥控转发器</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连接智慧教室终端，控制空调电视等红外遥控设备，带红外自学习功能；</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个</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电动窗帘电机及轨道</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1、轨道表面采用特殊工艺，确保同步齿形带在轨道内部运行灵滑；</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2、支持手拉启动以及停电手拉功能，不影响窗帘常规的手动使用功能；</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3、支持最大承重为50KG；</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4、无线数据传输方式连接智慧教室网关；</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14</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传感器</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1、设备采用工业级芯片和专业级系统设计，确保长期稳定运行；</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2、八大检测功能：温度、湿度、光照度、PM2.5、PM10、CO2浓度、甲醛、TVOC；</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3、LPBUS连接网关，通过触摸屏或大屏幕显示；</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4、设备功耗：运行功耗1W；</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5、CO2浓度：400～5000PPM；</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6、PM2.5和PM10：0～1000UG/每立方；</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7、温度：0～60度；</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8、湿度：0～100%RH；</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9、TVOC：0～1000UG/每立方；</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10、CH2O：0～400UG/每立方；</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11、光照度：0～65535LUX；</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12、安装方式：吸顶安装；</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个</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15</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遮光窗帘</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遮光隔热，防水降噪，耐脏易清洗，搭配挂钩吊环，与电动窗帘轨道搭配使用</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批</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p>
        </w:tc>
        <w:tc>
          <w:tcPr>
            <w:tcW w:w="1710" w:type="dxa"/>
            <w:vAlign w:val="center"/>
          </w:tcPr>
          <w:p>
            <w:pPr>
              <w:widowControl/>
              <w:spacing w:line="360" w:lineRule="auto"/>
              <w:jc w:val="center"/>
              <w:rPr>
                <w:rFonts w:hint="eastAsia" w:ascii="宋体" w:hAnsi="宋体" w:eastAsia="宋体" w:cs="宋体"/>
                <w:color w:val="auto"/>
                <w:kern w:val="0"/>
                <w:sz w:val="24"/>
              </w:rPr>
            </w:pPr>
          </w:p>
        </w:tc>
        <w:tc>
          <w:tcPr>
            <w:tcW w:w="4988" w:type="dxa"/>
            <w:vAlign w:val="center"/>
          </w:tcPr>
          <w:p>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rPr>
              <w:t>智慧物流VR展示平台</w:t>
            </w:r>
          </w:p>
        </w:tc>
        <w:tc>
          <w:tcPr>
            <w:tcW w:w="1035" w:type="dxa"/>
            <w:vAlign w:val="center"/>
          </w:tcPr>
          <w:p>
            <w:pPr>
              <w:widowControl/>
              <w:spacing w:line="360" w:lineRule="auto"/>
              <w:jc w:val="center"/>
              <w:rPr>
                <w:rFonts w:hint="eastAsia" w:ascii="宋体" w:hAnsi="宋体" w:eastAsia="宋体" w:cs="宋体"/>
                <w:color w:val="auto"/>
                <w:kern w:val="0"/>
                <w:sz w:val="24"/>
              </w:rPr>
            </w:pPr>
          </w:p>
        </w:tc>
        <w:tc>
          <w:tcPr>
            <w:tcW w:w="1215" w:type="dxa"/>
            <w:vAlign w:val="center"/>
          </w:tcPr>
          <w:p>
            <w:pPr>
              <w:widowControl/>
              <w:spacing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sz w:val="24"/>
              </w:rPr>
              <w:t>智慧物流管理课程软件</w:t>
            </w:r>
          </w:p>
        </w:tc>
        <w:tc>
          <w:tcPr>
            <w:tcW w:w="4988" w:type="dxa"/>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一、教学内容要求</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1.智慧物流中心认知</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(1)掌握操作技能及任务的流程和方法；</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(2)采用自动无人叉车；</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(3)采用智能搬运机器人；</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(4)采用打包及自动分拣线；</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(5)采用货到人拣选系统；</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(6)所有仿真设备均能第一和第三人称视角下仿真现实运行与控制操作。</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(7)要求对智能搬运机器人、工作站台、无人叉车等设备进行WCS配置管理。须现场演示。</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2.智慧物流中心商品入库作业任务</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(1)根据任务要求，制定入库计划，并完成卸货，与理货验收与上架作业；</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(2)要求根据入库单使用液压托盘车自主在对应月台卸货；</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(3)要求入库货物箱子规格至少包括：430X320X300；310X240X230；600X400X500；370X240X270；480X380X360；400X300X260；340X250X280；440X270X250mm（须现场演示）。</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(4)要求组托时自主控制码放位置与码放方向；</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(5)要求使用WCS系统确定商品入库完成（须现场演示）。</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3.智慧物流中心商品补货作业任务</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(1)根据任务要求，制定补货计划，并完成补货下架与上架作业；</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(2)要求分区补货，大件物品与小件物品分区补货；</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(3)要求可按补货策略确定商品补货库位。</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(4)要求根据盘点计划在WMS系统中对补货计划进行录入，并下达补货作业命令；</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(5)要求根据补货作业命令，在制定补货站台，正确使用WCS系统完成补货作业；</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(6)要求智能补货工位不少于3个。</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4.智慧物流中心商品盘点作业任务</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(1)根据任务要求，制定盘点计划，并完成商品盘点作业；</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(2)要求根据盘点计划在WMS系统中对盘点计划进行录入，并下达盘点作业命令；</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(3)要求根据盘点作业命令，在指定补货站台，正确使用WCS系统进行盘点作业。</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5.智慧物流中心商品出库作业任务</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(1)根据任务要求，制定出库计划，并按订单要求拣货和复核打包。</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(2)要求大件商品与小件商品分离出库；</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(3)要求根据出库计划，在WMS系统中对出库计划进行录入，并下达拣货作业命令；</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(4)要求根据拣货作业命令，在大件拣选打包台正确使用WCS系统完成商品的打包出库；</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(5)要求根据拣选作业命令，依次在小件拣选台和打包台正确使用WCS系统完成商品的打包出库。</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(6)要求货到人拣选工位不少于6个；打包工位19个；须现场演示</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6.智慧物流中心商品储配作业优化方案设计与实施（单人作业）</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(1)根据作业任务，制定储配作业方案，根据方案进行实施；</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(2)要求自主指定月台、补货台、拣选台、打包台完成作业；</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(3)要求自主储配作业方案在WMS系统中的录入；</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(4)要求在指定站台正确使用WCS系统自主完成各个环节作业。</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7.智慧物流中心商品储配作业优化方案设计与实施（小组作业）</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(1)要求补货站台、拣选站台、打包站台均开放不少于3个；</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(2)要求使用打包流水线；</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(3)要求学生根据订单数量确定站台资源配置；</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(4)任务要求不少于三名学生参与，扮演相同或不同的岗位协力完成任务；</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二、一体化教学功能要求</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1.教学活动设计</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教学活动形式包括：</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(1)课堂调查/投票：在课堂开始或课堂进行中，针对教学内容或学习预习/复习情况进行调研，根据调查结束进行精准教学。</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(2)课堂测验：在课堂上针对学习掌握知识或技能进行随堂测验，测验形式灵活多样，可以电子答卷，也可以仿真技能作业。</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(3)课外作业/任务：课后作业在线布置，作业形式多样，包括知识调研、社会实践和模拟作业等。</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(4)作业/作品提交：针对每一项课外作业进行管理，提交的形式多种，包括文档和压缩文件等。</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(5)仿真任务：系统支持融合虚拟仿真运营实践项目开展，支持课程实践环节引用虚拟仿真项目，支持对虚拟仿真相关教学资源引用。可以直接进入仿真虚拟环境进行操作运营。小组模式时，教师可以进入学生工作场景观察学生的任务操作过程和完成情况。须现场演示</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(6)话题讨论：系统支持课内、课外话题讨论，可设置有效时间。</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2.支持资源类型</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(1)文本内容；</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(2)课件：文档WORD\PPT\PDF，视频与音频文件，FLASH等；</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(3)外部链接；</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(4)压缩包。</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3.考核与评价</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(1)支持自评、小组评和教师评三种评价模式，支持仿真系统自动打分。使用智能评价算法保证分数评价的公平公正性。</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(2)支持过程性与终结性考核模式。</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(3)成绩评价：作业得分、作品得分、测验得分、仿真得分以及综合得分。须现场演示</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4.教学资源</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(1)视频资源，包含物流作业流程，管理技能技巧；</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(2)理论知识链接，包括对应理论知识及应用内容；</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(3)管理技能链接，包括理论应用的技巧、管理技能总结以及分析工具应用等技能拓展链接；</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(4)考核测验题库，包括知识链接、课堂互动以及课外测验题目；</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(5)方案设计模版库。</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5.统计分析</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(1)分类权重设计：理论与实践</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(2)成绩分析：分数段分析、分数等级分析、能力诊断与反馈和排行榜。</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(3)对测验完成度错误率、易错、难点进行分析，对学生仿真任务的各种能力进行评测分析。</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6.题库管理</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题库支持常见的诸如单选、多选、判断、连线、排序、表格与填空等题型。题库支持多种规则的抽取组卷。题库可以关联知识点，方便教师组卷。</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7.教学步骤管理</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课程教学实施的主要采取“项目导向，任务驱动”的方法。过程包括如下：</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(1)任务描述：主要说明本任务的内容要求和方法要求；</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(2)知识链接：主要讲解完成任务所需要的相关理论知识；</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(3)教师演示：教师演示任务内容的设计（或实施）步骤和具体方法；</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(4)模仿训练：学生依据教师讲授的相关知识和任务内容设计（或实施）的具体方法独立进行模仿练习；</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(5)强化训练：学生在模仿训练的基础上在规定时间内独立进行强化训练；</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(6)评价总结：教师依据方案设计（或方案实施）评价标准对学生强化训练的结果进行点评，学生对任务完成情况进行总结，形成总结报告。</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8.职业技能测评（须现场演示）</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(1)根据COMET职业能力测评模型，关注职业效度，以典型工作任务作为考题，对学习者功能性能力、过程能力与设计能力等方面进行评价；</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(2)测评覆盖过程性与终结性考核；</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(3)测评类型包括测验、作业、作品、方案设计、仿真实施等；</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(4)系统支持导出测评报告。</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9.方案设计自动评价</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系统支持线上作业方案设计，提交后系统自动批改，批改可给出正确答案与答案解析。</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10.仿真评分成绩与设定（须现场演示）</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(1)包括操作步骤成绩、成本明细成绩、操作质量成绩和日志列表；</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(2)项目成本设定：包括人员、设备与耗材，成本值可设定；</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(3)权重设定：包括完成任务时间权重、操作成本权重、任务完成权重、操作质量权重与方案设计权重，各权重值可调整；</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(4)评分细则设定：包括流程失误与操作不规范等情况进行扣分，分值可设定。</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11．仿真任务编辑</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(1)新建与修改教学任务，要求可以设定小组或单人任务，</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(2)要求可以设定是否自动生成单据，设定自动生成单据后，学生进入虚拟场景不需要进行单据的录入，直接根据自动生成的单据进行操作。</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(3)要求可以设定样板数据；</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(4)要求可以设定操作评分步骤。</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12.同时在线并发数100人。</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要求提供现场演示，演示内容与标书不相符时，以演示内容为准。</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★要求提供包含教学内容的理实一体化教材，要求每一个实验项目具有详细开展步骤截图。</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sz w:val="24"/>
              </w:rPr>
              <w:t>★投标人针对本产品所有功能要求，进行对应截图，作为技术文件提交，此部分为重要技术评审依据。提供不实内容骗取中标的，依法取消中标资格与合同，并报政府采购中心处理。</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710" w:type="dxa"/>
            <w:vAlign w:val="center"/>
          </w:tcPr>
          <w:p>
            <w:pPr>
              <w:widowControl/>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物流配送VR实训软件</w:t>
            </w:r>
          </w:p>
        </w:tc>
        <w:tc>
          <w:tcPr>
            <w:tcW w:w="4988" w:type="dxa"/>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1.功能：</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1)基于VR 互动可视化及3D虚拟仿真技术推出的集行业认知、流程模拟、岗位体验、工作仿真、专业训练为一体的虚拟现实仿真实训软件平台。它以现代物流企业为蓝本，以岗位为基础，以流程为导向，以交互式模拟操作来提高学生实践就业能力为目的，具有展示和各工作岗位模拟操作的一款全新的教学和实训软件。可安装在 VR 头盔所在电脑中，可带上头盔使用本软件进行配送流程实训</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2.主要技术指标</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(1)包含行业认知学习和岗位实训模拟</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(2)在虚拟环境中，学生可以身临其境，以真实物流企业配送中心为业务环境，根据正式业务，学习配送知识体验配送流程。系统全面营造身临其境的体验环境，通过光学最终手柄和外设驾驶设备对场景中的设备进行交互</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(3)包含配送相关知识的学习及实训模拟</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(4)通过学习和实训认识物流配送中不同的六种模式，包含中央发货、看板补货、循环取货、供应商管理库存直线上送、台套配送等</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(5)通过学习和实训认识 KANBAN 配送及实训配送模式</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(6)认识了解配送的过程中的不同工序及作用</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(7)系统需有效利用 VR 虚拟现实技术全沉浸式的特点，融入全新的交互方式和游戏化元素，加深学生的体验印象</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头戴式VR眼镜</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头戴式眼镜：</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屏幕：2个3.4英寸屏幕</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分辨率：单眼分辨率1440*1700（双眼分辨率2880*1700）</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刷新率：90Hz</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视场角：最大110度</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音频：立体声耳机</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输入：集成麦克风，头戴式设备按钮</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连接口:USB-C 3.0，DP1.2</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传感器：G-SENSOR校正，陀螺仪，瞳距校正</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人工工程学设计：覆盖式面罩，可调整瞳距，可调式头带</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控制手柄：</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传感器：内置传感器，陀螺仪和G-SENSOR校正，霍尔传感器，触摸传感器</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输入：系统按钮，2个应用程序按钮，扳机，缓冲按钮，摇杆，抓握按钮</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电池：2节AA碱性电池</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虚拟仿真主机</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Intel Core I5 12400F，16G内存，RTX3050显卡</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虚拟仿真显示器</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65英寸显示器 全面屏 逐台校准4K超高清 60Hz刷新</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p>
        </w:tc>
        <w:tc>
          <w:tcPr>
            <w:tcW w:w="1710" w:type="dxa"/>
            <w:vAlign w:val="center"/>
          </w:tcPr>
          <w:p>
            <w:pPr>
              <w:widowControl/>
              <w:spacing w:line="360" w:lineRule="auto"/>
              <w:jc w:val="center"/>
              <w:rPr>
                <w:rFonts w:hint="eastAsia" w:ascii="宋体" w:hAnsi="宋体" w:eastAsia="宋体" w:cs="宋体"/>
                <w:color w:val="auto"/>
                <w:kern w:val="0"/>
                <w:sz w:val="24"/>
              </w:rPr>
            </w:pPr>
          </w:p>
        </w:tc>
        <w:tc>
          <w:tcPr>
            <w:tcW w:w="4988" w:type="dxa"/>
            <w:vAlign w:val="center"/>
          </w:tcPr>
          <w:p>
            <w:pPr>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rPr>
              <w:t>智慧物流无人配送车</w:t>
            </w:r>
          </w:p>
        </w:tc>
        <w:tc>
          <w:tcPr>
            <w:tcW w:w="1035" w:type="dxa"/>
            <w:vAlign w:val="center"/>
          </w:tcPr>
          <w:p>
            <w:pPr>
              <w:widowControl/>
              <w:spacing w:line="360" w:lineRule="auto"/>
              <w:jc w:val="center"/>
              <w:rPr>
                <w:rFonts w:hint="eastAsia" w:ascii="宋体" w:hAnsi="宋体" w:eastAsia="宋体" w:cs="宋体"/>
                <w:color w:val="auto"/>
                <w:kern w:val="0"/>
                <w:sz w:val="24"/>
              </w:rPr>
            </w:pPr>
          </w:p>
        </w:tc>
        <w:tc>
          <w:tcPr>
            <w:tcW w:w="1215" w:type="dxa"/>
            <w:vAlign w:val="center"/>
          </w:tcPr>
          <w:p>
            <w:pPr>
              <w:widowControl/>
              <w:spacing w:line="360" w:lineRule="auto"/>
              <w:jc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无人配送车</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1）最高时速：最大时速不低于25km/h。 车辆行驶速度可调；</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2）综合定位精度：≤20cm;</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3）运行环境温度：-20℃ ~ 60℃;</w:t>
            </w:r>
          </w:p>
          <w:p>
            <w:pPr>
              <w:widowControl/>
              <w:spacing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4）最大载重量（含货箱）：≥400kg;</w:t>
            </w:r>
            <w:r>
              <w:rPr>
                <w:rFonts w:hint="eastAsia" w:ascii="宋体" w:hAnsi="宋体" w:eastAsia="宋体" w:cs="宋体"/>
                <w:color w:val="auto"/>
                <w:kern w:val="0"/>
                <w:sz w:val="24"/>
                <w:lang w:val="en-US" w:eastAsia="zh-CN"/>
              </w:rPr>
              <w:t>最大容积：</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90L</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5）爬坡能力：≥20%;</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6）最小通行宽度：≤ 1.4m</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7）最大空载续航里程：≥60km，充电时间≤4h</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8）最大涉水深度：100mm；</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9）核心导航部件，激光雷达不低于4个。</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10）车辆需具备全天候、全场景高精度定位，满足在白天黑夜、室内室外、地下车库、架空层自动驾驶都能正常行驶；</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11）车辆需采用全自主的自动驾驶软、硬件架构，不依赖开源软件系统；</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12）不完全依赖于GPS，可实现无GPS信号或信号弱的条件下建图和定位；</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13）自动驾驶硬件配置：由异构的自动驾驶控制器、激光雷达、超声波雷达、视觉系统等组成；自动驾驶系统软件：需包括环境感知模块、环境感知算法、规划决策算法、导航定位算法、底层控制算法等；</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14）智能规划包含自主避障、自主绕障等功能；</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15）任务下发模式：支持业务系统平台化管理;</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16）环境适应能力：晴天、阴天，中雨、小雪且未结冰路面；</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17） 场景部署应用：可快速响应高精度建图、路径规划、业务站点部署；</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18）核心零部件防护等级需达IP67。</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台</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无人配送车后台管理系统</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1）提供后台监控管理系统，车辆状态视频监控，速度、电量等车辆状态数据监控功能；</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2）提供配送管理系统，具备监控视频、巡逻状态数据、设备位置数据、任务状态数据、异常情况数据等追溯回放能力；</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3）车辆运营管理系统：车辆状态、辅助定位、地图管理、数据采集、移动控制、维护更新、移动控制、系统管理。</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4）具备遥控驾驶、自动驾驶能力。</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5）具备完善的多车调度功能，保障多车运行时不发生碰撞等安全事故；</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6）现全数据链物资配送、取件能力。</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智能货柜</w:t>
            </w:r>
          </w:p>
        </w:tc>
        <w:tc>
          <w:tcPr>
            <w:tcW w:w="4988"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1）智能货柜尺寸（长x宽x高）：长不低于1米，宽不低于</w:t>
            </w: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0cm，高不低于90cm；</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2）可根据使用功能要求设计定制货柜样式；</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3）支持app开锁和机械开锁两种模式；</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4）支持开关门状态检测；</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5）支持通信状态检测；</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6）执行和响应开门请求时间小于1s；</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7）执行查询和设置命令时间小于0.1s；</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710"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充电桩</w:t>
            </w:r>
          </w:p>
        </w:tc>
        <w:tc>
          <w:tcPr>
            <w:tcW w:w="4988" w:type="dxa"/>
            <w:vAlign w:val="center"/>
          </w:tcPr>
          <w:p>
            <w:pPr>
              <w:spacing w:line="360" w:lineRule="auto"/>
              <w:rPr>
                <w:rFonts w:hint="eastAsia" w:ascii="宋体" w:hAnsi="宋体" w:eastAsia="宋体" w:cs="宋体"/>
                <w:sz w:val="24"/>
              </w:rPr>
            </w:pPr>
            <w:r>
              <w:rPr>
                <w:rFonts w:hint="eastAsia" w:ascii="宋体" w:hAnsi="宋体" w:eastAsia="宋体" w:cs="宋体"/>
                <w:sz w:val="24"/>
              </w:rPr>
              <w:t>设计尺寸：260*174*340mm</w:t>
            </w:r>
          </w:p>
          <w:p>
            <w:pPr>
              <w:spacing w:line="360" w:lineRule="auto"/>
              <w:rPr>
                <w:rFonts w:hint="default" w:ascii="宋体" w:hAnsi="宋体" w:eastAsia="宋体" w:cs="宋体"/>
                <w:sz w:val="24"/>
                <w:lang w:val="en-US" w:eastAsia="zh-CN"/>
              </w:rPr>
            </w:pPr>
            <w:r>
              <w:rPr>
                <w:rFonts w:hint="eastAsia" w:ascii="宋体" w:hAnsi="宋体" w:eastAsia="宋体" w:cs="宋体"/>
                <w:sz w:val="24"/>
              </w:rPr>
              <w:t>整体质量：7kg</w:t>
            </w:r>
            <w:r>
              <w:rPr>
                <w:rFonts w:hint="eastAsia" w:ascii="宋体" w:hAnsi="宋体" w:cs="宋体"/>
                <w:sz w:val="24"/>
                <w:lang w:val="en-US" w:eastAsia="zh-CN"/>
              </w:rPr>
              <w:t>-10kg</w:t>
            </w:r>
          </w:p>
          <w:p>
            <w:pPr>
              <w:spacing w:line="360" w:lineRule="auto"/>
              <w:rPr>
                <w:rFonts w:hint="eastAsia" w:ascii="宋体" w:hAnsi="宋体" w:eastAsia="宋体" w:cs="宋体"/>
                <w:sz w:val="24"/>
              </w:rPr>
            </w:pPr>
            <w:r>
              <w:rPr>
                <w:rFonts w:hint="eastAsia" w:ascii="宋体" w:hAnsi="宋体" w:eastAsia="宋体" w:cs="宋体"/>
                <w:sz w:val="24"/>
              </w:rPr>
              <w:t>结构形式：接驳式充电，弹性装置</w:t>
            </w:r>
          </w:p>
          <w:p>
            <w:pPr>
              <w:spacing w:line="360" w:lineRule="auto"/>
              <w:rPr>
                <w:rFonts w:hint="eastAsia" w:ascii="宋体" w:hAnsi="宋体" w:eastAsia="宋体" w:cs="宋体"/>
                <w:sz w:val="24"/>
              </w:rPr>
            </w:pPr>
            <w:r>
              <w:rPr>
                <w:rFonts w:hint="eastAsia" w:ascii="宋体" w:hAnsi="宋体" w:eastAsia="宋体" w:cs="宋体"/>
                <w:sz w:val="24"/>
              </w:rPr>
              <w:t>底盘主要材质：Q235</w:t>
            </w:r>
          </w:p>
          <w:p>
            <w:pPr>
              <w:spacing w:line="360" w:lineRule="auto"/>
              <w:rPr>
                <w:rFonts w:hint="eastAsia" w:ascii="宋体" w:hAnsi="宋体" w:eastAsia="宋体" w:cs="宋体"/>
                <w:sz w:val="24"/>
              </w:rPr>
            </w:pPr>
            <w:r>
              <w:rPr>
                <w:rFonts w:hint="eastAsia" w:ascii="宋体" w:hAnsi="宋体" w:eastAsia="宋体" w:cs="宋体"/>
                <w:sz w:val="24"/>
              </w:rPr>
              <w:t>充电中心点离地间隙：240mm（可调）</w:t>
            </w:r>
          </w:p>
          <w:p>
            <w:pPr>
              <w:spacing w:line="360" w:lineRule="auto"/>
              <w:rPr>
                <w:rFonts w:hint="eastAsia" w:ascii="宋体" w:hAnsi="宋体" w:eastAsia="宋体" w:cs="宋体"/>
                <w:sz w:val="24"/>
              </w:rPr>
            </w:pPr>
            <w:r>
              <w:rPr>
                <w:rFonts w:hint="eastAsia" w:ascii="宋体" w:hAnsi="宋体" w:eastAsia="宋体" w:cs="宋体"/>
                <w:sz w:val="24"/>
              </w:rPr>
              <w:t>回弹距离：18mm</w:t>
            </w:r>
          </w:p>
          <w:p>
            <w:pPr>
              <w:spacing w:line="360" w:lineRule="auto"/>
              <w:rPr>
                <w:rFonts w:hint="eastAsia" w:ascii="宋体" w:hAnsi="宋体" w:eastAsia="宋体" w:cs="宋体"/>
                <w:sz w:val="24"/>
              </w:rPr>
            </w:pPr>
            <w:r>
              <w:rPr>
                <w:rFonts w:hint="eastAsia" w:ascii="宋体" w:hAnsi="宋体" w:eastAsia="宋体" w:cs="宋体"/>
                <w:sz w:val="24"/>
              </w:rPr>
              <w:t>接驳充电条中心距：30mm</w:t>
            </w:r>
          </w:p>
          <w:p>
            <w:pPr>
              <w:spacing w:line="360" w:lineRule="auto"/>
              <w:rPr>
                <w:rFonts w:hint="eastAsia" w:ascii="宋体" w:hAnsi="宋体" w:eastAsia="宋体" w:cs="宋体"/>
                <w:sz w:val="24"/>
              </w:rPr>
            </w:pPr>
            <w:r>
              <w:rPr>
                <w:rFonts w:hint="eastAsia" w:ascii="宋体" w:hAnsi="宋体" w:eastAsia="宋体" w:cs="宋体"/>
                <w:sz w:val="24"/>
              </w:rPr>
              <w:t>充电功率：≤500W</w:t>
            </w:r>
          </w:p>
          <w:p>
            <w:pPr>
              <w:spacing w:line="360" w:lineRule="auto"/>
              <w:rPr>
                <w:rFonts w:hint="eastAsia" w:ascii="宋体" w:hAnsi="宋体" w:eastAsia="宋体" w:cs="宋体"/>
                <w:sz w:val="24"/>
              </w:rPr>
            </w:pPr>
            <w:r>
              <w:rPr>
                <w:rFonts w:hint="eastAsia" w:ascii="宋体" w:hAnsi="宋体" w:eastAsia="宋体" w:cs="宋体"/>
                <w:sz w:val="24"/>
              </w:rPr>
              <w:t>供电电压：24V(可定制)</w:t>
            </w:r>
          </w:p>
          <w:p>
            <w:pPr>
              <w:spacing w:line="360" w:lineRule="auto"/>
              <w:rPr>
                <w:rFonts w:hint="eastAsia" w:ascii="宋体" w:hAnsi="宋体" w:eastAsia="宋体" w:cs="宋体"/>
                <w:sz w:val="24"/>
              </w:rPr>
            </w:pPr>
            <w:r>
              <w:rPr>
                <w:rFonts w:hint="eastAsia" w:ascii="宋体" w:hAnsi="宋体" w:eastAsia="宋体" w:cs="宋体"/>
                <w:sz w:val="24"/>
              </w:rPr>
              <w:t>充电导航偏移：≤50mm</w:t>
            </w:r>
          </w:p>
          <w:p>
            <w:pPr>
              <w:spacing w:line="360" w:lineRule="auto"/>
              <w:rPr>
                <w:rFonts w:hint="eastAsia" w:ascii="宋体" w:hAnsi="宋体" w:eastAsia="宋体" w:cs="宋体"/>
                <w:sz w:val="24"/>
              </w:rPr>
            </w:pPr>
            <w:r>
              <w:rPr>
                <w:rFonts w:hint="eastAsia" w:ascii="宋体" w:hAnsi="宋体" w:eastAsia="宋体" w:cs="宋体"/>
                <w:sz w:val="24"/>
              </w:rPr>
              <w:t>接通信号电压：12V</w:t>
            </w:r>
          </w:p>
          <w:p>
            <w:pPr>
              <w:spacing w:line="360" w:lineRule="auto"/>
              <w:rPr>
                <w:rFonts w:hint="eastAsia" w:ascii="宋体" w:hAnsi="宋体" w:eastAsia="宋体" w:cs="宋体"/>
                <w:sz w:val="24"/>
              </w:rPr>
            </w:pPr>
            <w:r>
              <w:rPr>
                <w:rFonts w:hint="eastAsia" w:ascii="宋体" w:hAnsi="宋体" w:eastAsia="宋体" w:cs="宋体"/>
                <w:sz w:val="24"/>
              </w:rPr>
              <w:t>防护等级：IP41</w:t>
            </w:r>
          </w:p>
          <w:p>
            <w:pPr>
              <w:spacing w:line="360" w:lineRule="auto"/>
              <w:rPr>
                <w:rFonts w:hint="eastAsia" w:ascii="宋体" w:hAnsi="宋体" w:eastAsia="宋体" w:cs="宋体"/>
                <w:sz w:val="24"/>
              </w:rPr>
            </w:pPr>
            <w:r>
              <w:rPr>
                <w:rFonts w:hint="eastAsia" w:ascii="宋体" w:hAnsi="宋体" w:eastAsia="宋体" w:cs="宋体"/>
                <w:sz w:val="24"/>
              </w:rPr>
              <w:t>工作温度：-10℃~40℃</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sz w:val="24"/>
              </w:rPr>
              <w:t>存储温度：-20℃~60℃</w:t>
            </w:r>
          </w:p>
        </w:tc>
        <w:tc>
          <w:tcPr>
            <w:tcW w:w="103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套</w:t>
            </w:r>
          </w:p>
        </w:tc>
        <w:tc>
          <w:tcPr>
            <w:tcW w:w="1215"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r>
    </w:tbl>
    <w:p>
      <w:pPr>
        <w:spacing w:line="360" w:lineRule="auto"/>
        <w:jc w:val="left"/>
        <w:rPr>
          <w:rFonts w:hint="eastAsia" w:ascii="宋体" w:hAnsi="宋体" w:eastAsia="宋体" w:cs="宋体"/>
          <w:b w:val="0"/>
          <w:bCs/>
          <w:sz w:val="24"/>
          <w:szCs w:val="24"/>
          <w:lang w:val="en-US" w:eastAsia="zh-CN"/>
        </w:rPr>
      </w:pPr>
    </w:p>
    <w:p>
      <w:pPr>
        <w:spacing w:line="360" w:lineRule="auto"/>
        <w:jc w:val="left"/>
        <w:rPr>
          <w:rFonts w:hint="eastAsia" w:ascii="宋体" w:hAnsi="宋体" w:eastAsia="宋体" w:cs="宋体"/>
          <w:b w:val="0"/>
          <w:bCs/>
          <w:sz w:val="24"/>
          <w:szCs w:val="24"/>
          <w:lang w:val="en-US" w:eastAsia="zh-CN"/>
        </w:rPr>
      </w:pPr>
    </w:p>
    <w:p>
      <w:pPr>
        <w:spacing w:line="360" w:lineRule="auto"/>
        <w:jc w:val="left"/>
        <w:rPr>
          <w:rFonts w:hint="eastAsia" w:ascii="宋体" w:hAnsi="宋体" w:eastAsia="宋体" w:cs="宋体"/>
          <w:b w:val="0"/>
          <w:bCs/>
          <w:sz w:val="24"/>
          <w:szCs w:val="24"/>
          <w:lang w:val="en-US" w:eastAsia="zh-CN"/>
        </w:rPr>
      </w:pPr>
    </w:p>
    <w:p>
      <w:pPr>
        <w:spacing w:line="360" w:lineRule="auto"/>
        <w:jc w:val="left"/>
        <w:rPr>
          <w:rFonts w:hint="eastAsia" w:ascii="宋体" w:hAnsi="宋体" w:eastAsia="宋体" w:cs="宋体"/>
          <w:b w:val="0"/>
          <w:bCs/>
          <w:sz w:val="24"/>
          <w:szCs w:val="24"/>
          <w:lang w:val="en-US" w:eastAsia="zh-CN"/>
        </w:rPr>
      </w:pPr>
    </w:p>
    <w:p>
      <w:pPr>
        <w:spacing w:line="360" w:lineRule="auto"/>
        <w:jc w:val="left"/>
        <w:rPr>
          <w:rFonts w:hint="eastAsia" w:ascii="宋体" w:hAnsi="宋体" w:eastAsia="宋体" w:cs="宋体"/>
          <w:b w:val="0"/>
          <w:bCs/>
          <w:sz w:val="24"/>
          <w:szCs w:val="24"/>
          <w:lang w:val="en-US"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left"/>
        <w:rPr>
          <w:rFonts w:hint="eastAsia" w:ascii="宋体" w:hAnsi="宋体" w:eastAsia="宋体" w:cs="宋体"/>
          <w:b w:val="0"/>
          <w:bCs/>
          <w:sz w:val="24"/>
          <w:szCs w:val="24"/>
          <w:lang w:val="en-US" w:eastAsia="zh-CN"/>
        </w:rPr>
      </w:pPr>
    </w:p>
    <w:p>
      <w:p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家具样式：</w:t>
      </w:r>
    </w:p>
    <w:p>
      <w:pPr>
        <w:spacing w:line="360" w:lineRule="auto"/>
        <w:jc w:val="left"/>
        <w:rPr>
          <w:rFonts w:hint="eastAsia" w:ascii="宋体" w:hAnsi="宋体" w:eastAsia="宋体" w:cs="宋体"/>
          <w:sz w:val="24"/>
          <w:lang w:val="en-US" w:eastAsia="zh-CN"/>
        </w:rPr>
      </w:pPr>
      <w:r>
        <w:rPr>
          <w:rFonts w:hint="eastAsia" w:ascii="宋体" w:hAnsi="宋体" w:eastAsia="宋体" w:cs="宋体"/>
          <w:sz w:val="24"/>
        </w:rPr>
        <w:drawing>
          <wp:inline distT="0" distB="0" distL="114300" distR="114300">
            <wp:extent cx="4050665" cy="2278380"/>
            <wp:effectExtent l="0" t="0" r="6985" b="7620"/>
            <wp:docPr id="7" name="图片 7" descr="8822c0fc94fb4c2ab2ce6f02d36c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822c0fc94fb4c2ab2ce6f02d36c7d8"/>
                    <pic:cNvPicPr>
                      <a:picLocks noChangeAspect="1"/>
                    </pic:cNvPicPr>
                  </pic:nvPicPr>
                  <pic:blipFill>
                    <a:blip r:embed="rId31"/>
                    <a:stretch>
                      <a:fillRect/>
                    </a:stretch>
                  </pic:blipFill>
                  <pic:spPr>
                    <a:xfrm>
                      <a:off x="0" y="0"/>
                      <a:ext cx="4050665" cy="2278380"/>
                    </a:xfrm>
                    <a:prstGeom prst="rect">
                      <a:avLst/>
                    </a:prstGeom>
                  </pic:spPr>
                </pic:pic>
              </a:graphicData>
            </a:graphic>
          </wp:inline>
        </w:drawing>
      </w:r>
      <w:r>
        <w:rPr>
          <w:rFonts w:hint="eastAsia" w:ascii="宋体" w:hAnsi="宋体" w:eastAsia="宋体" w:cs="宋体"/>
          <w:sz w:val="24"/>
          <w:lang w:val="en-US" w:eastAsia="zh-CN"/>
        </w:rPr>
        <w:t>弧形桌参考样图</w:t>
      </w:r>
    </w:p>
    <w:p>
      <w:pPr>
        <w:spacing w:line="360" w:lineRule="auto"/>
        <w:jc w:val="left"/>
        <w:rPr>
          <w:rFonts w:hint="eastAsia" w:ascii="宋体" w:hAnsi="宋体" w:eastAsia="宋体" w:cs="宋体"/>
          <w:sz w:val="24"/>
          <w:lang w:val="en-US" w:eastAsia="zh-CN"/>
        </w:rPr>
      </w:pP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drawing>
          <wp:inline distT="0" distB="0" distL="114300" distR="114300">
            <wp:extent cx="1743075" cy="1961515"/>
            <wp:effectExtent l="0" t="0" r="9525" b="635"/>
            <wp:docPr id="8" name="图片 8" descr="aa8d97ca6058c64bfdc22dda8d41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a8d97ca6058c64bfdc22dda8d416d0"/>
                    <pic:cNvPicPr>
                      <a:picLocks noChangeAspect="1"/>
                    </pic:cNvPicPr>
                  </pic:nvPicPr>
                  <pic:blipFill>
                    <a:blip r:embed="rId32"/>
                    <a:stretch>
                      <a:fillRect/>
                    </a:stretch>
                  </pic:blipFill>
                  <pic:spPr>
                    <a:xfrm>
                      <a:off x="0" y="0"/>
                      <a:ext cx="1743075" cy="1961515"/>
                    </a:xfrm>
                    <a:prstGeom prst="rect">
                      <a:avLst/>
                    </a:prstGeom>
                  </pic:spPr>
                </pic:pic>
              </a:graphicData>
            </a:graphic>
          </wp:inline>
        </w:drawing>
      </w:r>
      <w:r>
        <w:rPr>
          <w:rFonts w:hint="eastAsia" w:ascii="宋体" w:hAnsi="宋体" w:eastAsia="宋体" w:cs="宋体"/>
          <w:b w:val="0"/>
          <w:bCs/>
          <w:sz w:val="24"/>
          <w:szCs w:val="24"/>
          <w:lang w:val="en-US" w:eastAsia="zh-CN"/>
        </w:rPr>
        <w:t>实验椅参考样图</w:t>
      </w:r>
    </w:p>
    <w:p>
      <w:pPr>
        <w:spacing w:line="360" w:lineRule="auto"/>
        <w:jc w:val="left"/>
        <w:rPr>
          <w:rFonts w:hint="eastAsia"/>
          <w:lang w:val="en-US" w:eastAsia="zh-CN"/>
        </w:rPr>
      </w:pPr>
      <w:r>
        <w:rPr>
          <w:rFonts w:hint="eastAsia" w:ascii="宋体" w:hAnsi="宋体" w:eastAsia="宋体" w:cs="宋体"/>
          <w:sz w:val="24"/>
        </w:rPr>
        <w:br w:type="textWrapping"/>
      </w:r>
      <w:r>
        <w:drawing>
          <wp:inline distT="0" distB="0" distL="114300" distR="114300">
            <wp:extent cx="3360420" cy="2000250"/>
            <wp:effectExtent l="0" t="0" r="1143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33"/>
                    <a:stretch>
                      <a:fillRect/>
                    </a:stretch>
                  </pic:blipFill>
                  <pic:spPr>
                    <a:xfrm>
                      <a:off x="0" y="0"/>
                      <a:ext cx="3360420" cy="2000250"/>
                    </a:xfrm>
                    <a:prstGeom prst="rect">
                      <a:avLst/>
                    </a:prstGeom>
                    <a:noFill/>
                    <a:ln>
                      <a:noFill/>
                    </a:ln>
                  </pic:spPr>
                </pic:pic>
              </a:graphicData>
            </a:graphic>
          </wp:inline>
        </w:drawing>
      </w:r>
      <w:r>
        <w:rPr>
          <w:rFonts w:hint="eastAsia" w:ascii="宋体" w:hAnsi="宋体" w:eastAsia="宋体" w:cs="宋体"/>
          <w:bCs/>
          <w:sz w:val="24"/>
          <w:lang w:val="en-US" w:eastAsia="zh-CN"/>
        </w:rPr>
        <w:t>讲台参考样图</w:t>
      </w:r>
    </w:p>
    <w:p>
      <w:pPr>
        <w:spacing w:line="360" w:lineRule="auto"/>
        <w:jc w:val="left"/>
        <w:rPr>
          <w:rFonts w:hint="default" w:ascii="Times New Roman" w:hAnsi="Times New Roman" w:eastAsia="宋体" w:cs="Times New Roman"/>
          <w:b w:val="0"/>
          <w:sz w:val="21"/>
          <w:szCs w:val="24"/>
        </w:rPr>
      </w:pPr>
      <w:r>
        <w:drawing>
          <wp:inline distT="0" distB="0" distL="114300" distR="114300">
            <wp:extent cx="3326130" cy="1904365"/>
            <wp:effectExtent l="0" t="0" r="7620" b="63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4"/>
                    <a:stretch>
                      <a:fillRect/>
                    </a:stretch>
                  </pic:blipFill>
                  <pic:spPr>
                    <a:xfrm>
                      <a:off x="0" y="0"/>
                      <a:ext cx="3326130" cy="1904365"/>
                    </a:xfrm>
                    <a:prstGeom prst="rect">
                      <a:avLst/>
                    </a:prstGeom>
                    <a:noFill/>
                    <a:ln>
                      <a:noFill/>
                    </a:ln>
                  </pic:spPr>
                </pic:pic>
              </a:graphicData>
            </a:graphic>
          </wp:inline>
        </w:drawing>
      </w:r>
      <w:r>
        <w:rPr>
          <w:rFonts w:hint="eastAsia" w:ascii="宋体" w:hAnsi="宋体" w:eastAsia="宋体" w:cs="宋体"/>
          <w:bCs/>
          <w:sz w:val="24"/>
          <w:lang w:val="en-US" w:eastAsia="zh-CN"/>
        </w:rPr>
        <w:t>实训桌参考图样</w:t>
      </w:r>
    </w:p>
    <w:p>
      <w:pPr>
        <w:spacing w:line="360" w:lineRule="auto"/>
        <w:ind w:firstLine="0"/>
        <w:rPr>
          <w:rFonts w:hint="eastAsia" w:ascii="宋体" w:hAnsi="宋体" w:cs="宋体"/>
          <w:sz w:val="24"/>
        </w:rPr>
      </w:pPr>
    </w:p>
    <w:p>
      <w:pPr>
        <w:pStyle w:val="21"/>
        <w:spacing w:line="360" w:lineRule="auto"/>
        <w:ind w:firstLine="480" w:firstLineChars="200"/>
        <w:rPr>
          <w:rFonts w:ascii="宋体" w:hAnsi="宋体" w:cs="宋体"/>
          <w:sz w:val="24"/>
        </w:rPr>
      </w:pPr>
      <w:r>
        <w:rPr>
          <w:rFonts w:hint="eastAsia" w:ascii="宋体" w:hAnsi="宋体" w:cs="宋体"/>
          <w:sz w:val="24"/>
        </w:rPr>
        <w:t>注：1、以上施工内容仅供参考，具体以实际为准；本环境布局配套施工部分需有相关资质的单位完成，再进场施工前，需将相关图纸与甲方对接，经甲方同意后方可进行施工。</w:t>
      </w:r>
    </w:p>
    <w:p>
      <w:pPr>
        <w:spacing w:line="360" w:lineRule="auto"/>
        <w:ind w:firstLine="480" w:firstLineChars="200"/>
        <w:rPr>
          <w:rFonts w:ascii="宋体" w:hAnsi="宋体" w:cs="宋体"/>
          <w:sz w:val="24"/>
        </w:rPr>
      </w:pPr>
      <w:r>
        <w:rPr>
          <w:rFonts w:hint="eastAsia" w:ascii="宋体" w:hAnsi="宋体" w:cs="宋体"/>
          <w:sz w:val="24"/>
        </w:rPr>
        <w:t>2、措施费、二次搬运费等其它费用须单列包含在总的报价内。</w:t>
      </w:r>
    </w:p>
    <w:p>
      <w:pPr>
        <w:spacing w:line="360" w:lineRule="auto"/>
        <w:ind w:firstLine="480" w:firstLineChars="200"/>
        <w:rPr>
          <w:rFonts w:ascii="宋体" w:hAnsi="宋体" w:cs="宋体"/>
          <w:sz w:val="24"/>
        </w:rPr>
      </w:pPr>
      <w:r>
        <w:rPr>
          <w:rFonts w:hint="eastAsia" w:ascii="宋体" w:hAnsi="宋体" w:cs="宋体"/>
          <w:sz w:val="24"/>
        </w:rPr>
        <w:t>3、建议投标人到现场进行踏勘，须完成该项目正常使用及质量要求所需要的相关配套设施设备，均须纳入本次总报价中，后期不再追加。</w:t>
      </w:r>
    </w:p>
    <w:p>
      <w:pPr>
        <w:spacing w:line="360" w:lineRule="auto"/>
        <w:ind w:firstLine="480" w:firstLineChars="200"/>
        <w:rPr>
          <w:rFonts w:ascii="宋体" w:hAnsi="宋体" w:cs="宋体"/>
          <w:sz w:val="24"/>
        </w:rPr>
      </w:pPr>
      <w:r>
        <w:rPr>
          <w:rFonts w:hint="eastAsia" w:ascii="宋体" w:hAnsi="宋体" w:cs="宋体"/>
          <w:sz w:val="24"/>
        </w:rPr>
        <w:t>4、本项目产品、产地、品牌、型号均须填入相应表内。</w:t>
      </w:r>
    </w:p>
    <w:p>
      <w:pPr>
        <w:pStyle w:val="3"/>
        <w:ind w:firstLine="0"/>
        <w:rPr>
          <w:rFonts w:hint="default" w:eastAsia="宋体"/>
          <w:lang w:val="en-US" w:eastAsia="zh-CN"/>
        </w:rPr>
      </w:pPr>
      <w:r>
        <w:rPr>
          <w:rFonts w:hint="eastAsia"/>
          <w:lang w:val="en-US" w:eastAsia="zh-CN"/>
        </w:rPr>
        <w:t xml:space="preserve">    5、中标后家具需与采购人确认再生产。</w:t>
      </w:r>
    </w:p>
    <w:bookmarkEnd w:id="36"/>
    <w:bookmarkEnd w:id="37"/>
    <w:bookmarkEnd w:id="38"/>
    <w:bookmarkEnd w:id="39"/>
    <w:p>
      <w:pPr>
        <w:pStyle w:val="5"/>
        <w:ind w:left="0" w:firstLine="482" w:firstLineChars="200"/>
        <w:rPr>
          <w:rFonts w:ascii="宋体" w:hAnsi="宋体" w:eastAsia="宋体" w:cs="宋体"/>
          <w:sz w:val="24"/>
          <w:szCs w:val="24"/>
        </w:rPr>
      </w:pPr>
      <w:bookmarkStart w:id="40" w:name="_Toc22665160"/>
      <w:bookmarkStart w:id="41" w:name="_Toc493751539"/>
      <w:bookmarkStart w:id="42" w:name="_Toc525925391"/>
      <w:bookmarkStart w:id="43" w:name="_Toc28976"/>
      <w:r>
        <w:rPr>
          <w:rFonts w:hint="eastAsia" w:ascii="宋体" w:hAnsi="宋体" w:eastAsia="宋体" w:cs="宋体"/>
          <w:sz w:val="24"/>
          <w:szCs w:val="24"/>
          <w:lang w:val="en-US"/>
        </w:rPr>
        <w:t>二</w:t>
      </w:r>
      <w:r>
        <w:rPr>
          <w:rFonts w:hint="eastAsia" w:ascii="宋体" w:hAnsi="宋体" w:eastAsia="宋体" w:cs="宋体"/>
          <w:sz w:val="24"/>
          <w:szCs w:val="24"/>
        </w:rPr>
        <w:t>、</w:t>
      </w:r>
      <w:bookmarkEnd w:id="40"/>
      <w:bookmarkEnd w:id="41"/>
      <w:bookmarkEnd w:id="42"/>
      <w:r>
        <w:rPr>
          <w:rFonts w:hint="eastAsia" w:ascii="宋体" w:hAnsi="宋体" w:eastAsia="宋体" w:cs="宋体"/>
          <w:sz w:val="24"/>
          <w:szCs w:val="24"/>
        </w:rPr>
        <w:t>交付时间</w:t>
      </w:r>
      <w:bookmarkEnd w:id="43"/>
    </w:p>
    <w:p>
      <w:pPr>
        <w:spacing w:line="360" w:lineRule="auto"/>
        <w:ind w:firstLine="480" w:firstLineChars="200"/>
        <w:rPr>
          <w:rFonts w:ascii="宋体" w:hAnsi="宋体" w:cs="宋体"/>
          <w:sz w:val="24"/>
        </w:rPr>
      </w:pPr>
      <w:r>
        <w:rPr>
          <w:rFonts w:hint="eastAsia" w:ascii="宋体" w:hAnsi="宋体" w:cs="宋体"/>
          <w:sz w:val="24"/>
        </w:rPr>
        <w:t>签订合同之后30个工作日内完成到货，60个工作日内完成项目实施交付工作。</w:t>
      </w:r>
    </w:p>
    <w:p>
      <w:pPr>
        <w:pStyle w:val="5"/>
        <w:ind w:left="0" w:firstLine="482" w:firstLineChars="200"/>
        <w:rPr>
          <w:rFonts w:ascii="宋体" w:hAnsi="宋体" w:eastAsia="宋体" w:cs="宋体"/>
          <w:sz w:val="24"/>
          <w:szCs w:val="24"/>
        </w:rPr>
      </w:pPr>
      <w:bookmarkStart w:id="44" w:name="_Toc16979"/>
      <w:bookmarkStart w:id="45" w:name="_Toc22665161"/>
      <w:bookmarkStart w:id="46" w:name="_Toc493751540"/>
      <w:bookmarkStart w:id="47" w:name="_Toc525925392"/>
      <w:r>
        <w:rPr>
          <w:rFonts w:hint="eastAsia" w:ascii="宋体" w:hAnsi="宋体" w:eastAsia="宋体" w:cs="宋体"/>
          <w:sz w:val="24"/>
          <w:szCs w:val="24"/>
          <w:lang w:val="en-US"/>
        </w:rPr>
        <w:t>三</w:t>
      </w:r>
      <w:r>
        <w:rPr>
          <w:rFonts w:hint="eastAsia" w:ascii="宋体" w:hAnsi="宋体" w:eastAsia="宋体" w:cs="宋体"/>
          <w:sz w:val="24"/>
          <w:szCs w:val="24"/>
        </w:rPr>
        <w:t>、服务地点</w:t>
      </w:r>
      <w:bookmarkEnd w:id="44"/>
      <w:bookmarkEnd w:id="45"/>
      <w:bookmarkEnd w:id="46"/>
      <w:bookmarkEnd w:id="47"/>
    </w:p>
    <w:p>
      <w:pPr>
        <w:spacing w:line="360" w:lineRule="auto"/>
        <w:ind w:firstLine="480" w:firstLineChars="200"/>
        <w:rPr>
          <w:rFonts w:ascii="宋体" w:hAnsi="宋体" w:cs="宋体"/>
          <w:sz w:val="24"/>
        </w:rPr>
      </w:pPr>
      <w:r>
        <w:rPr>
          <w:rFonts w:hint="eastAsia" w:ascii="宋体" w:hAnsi="宋体" w:cs="宋体"/>
          <w:sz w:val="24"/>
        </w:rPr>
        <w:t>用户指定地点。</w:t>
      </w:r>
    </w:p>
    <w:p>
      <w:pPr>
        <w:pStyle w:val="5"/>
        <w:ind w:left="0" w:firstLine="482" w:firstLineChars="200"/>
        <w:rPr>
          <w:rFonts w:ascii="宋体" w:hAnsi="宋体" w:eastAsia="宋体" w:cs="宋体"/>
          <w:sz w:val="24"/>
          <w:szCs w:val="24"/>
        </w:rPr>
      </w:pPr>
      <w:bookmarkStart w:id="48" w:name="_Toc493751541"/>
      <w:bookmarkStart w:id="49" w:name="_Toc22665162"/>
      <w:bookmarkStart w:id="50" w:name="_Toc23750"/>
      <w:bookmarkStart w:id="51" w:name="_Toc525925393"/>
      <w:r>
        <w:rPr>
          <w:rFonts w:hint="eastAsia" w:ascii="宋体" w:hAnsi="宋体" w:eastAsia="宋体" w:cs="宋体"/>
          <w:sz w:val="24"/>
          <w:szCs w:val="24"/>
          <w:lang w:val="en-US"/>
        </w:rPr>
        <w:t>四</w:t>
      </w:r>
      <w:r>
        <w:rPr>
          <w:rFonts w:hint="eastAsia" w:ascii="宋体" w:hAnsi="宋体" w:eastAsia="宋体" w:cs="宋体"/>
          <w:sz w:val="24"/>
          <w:szCs w:val="24"/>
        </w:rPr>
        <w:t>、售后服务保障要求</w:t>
      </w:r>
      <w:bookmarkEnd w:id="48"/>
      <w:bookmarkEnd w:id="49"/>
      <w:bookmarkEnd w:id="50"/>
      <w:bookmarkEnd w:id="51"/>
    </w:p>
    <w:p>
      <w:pPr>
        <w:spacing w:before="120" w:beforeLines="50" w:after="120" w:afterLines="50" w:line="360" w:lineRule="auto"/>
        <w:ind w:firstLine="480" w:firstLineChars="200"/>
        <w:rPr>
          <w:rFonts w:ascii="宋体" w:hAnsi="宋体" w:cs="宋体"/>
          <w:snapToGrid w:val="0"/>
          <w:kern w:val="0"/>
          <w:sz w:val="24"/>
        </w:rPr>
      </w:pPr>
      <w:r>
        <w:rPr>
          <w:rFonts w:hint="eastAsia" w:ascii="宋体" w:hAnsi="宋体" w:cs="宋体"/>
          <w:snapToGrid w:val="0"/>
          <w:kern w:val="0"/>
          <w:sz w:val="24"/>
        </w:rPr>
        <w:t>4.1技术支撑：提供维护保养的具体内容和售后服务内容。</w:t>
      </w:r>
    </w:p>
    <w:p>
      <w:pPr>
        <w:spacing w:before="120" w:beforeLines="50" w:after="120" w:afterLines="50" w:line="360" w:lineRule="auto"/>
        <w:ind w:firstLine="480" w:firstLineChars="200"/>
        <w:rPr>
          <w:rFonts w:ascii="宋体" w:hAnsi="宋体" w:cs="宋体"/>
          <w:snapToGrid w:val="0"/>
          <w:kern w:val="0"/>
          <w:sz w:val="24"/>
        </w:rPr>
      </w:pPr>
      <w:r>
        <w:rPr>
          <w:rFonts w:hint="eastAsia" w:ascii="宋体" w:hAnsi="宋体" w:cs="宋体"/>
          <w:snapToGrid w:val="0"/>
          <w:kern w:val="0"/>
          <w:sz w:val="24"/>
        </w:rPr>
        <w:t>4.2</w:t>
      </w:r>
      <w:bookmarkStart w:id="52" w:name="_Toc22665163"/>
      <w:bookmarkStart w:id="53" w:name="_Toc493751542"/>
      <w:bookmarkStart w:id="54" w:name="_Toc525925394"/>
      <w:r>
        <w:rPr>
          <w:rFonts w:hint="eastAsia" w:ascii="宋体" w:hAnsi="宋体" w:cs="宋体"/>
          <w:snapToGrid w:val="0"/>
          <w:kern w:val="0"/>
          <w:sz w:val="24"/>
        </w:rPr>
        <w:t>提供终身维修服务。紧急问题接到采购人通知后1小时内到达现场，2小时内出具解决方案，3小时内解决故障（硬件故障除外）；一般零配件5天内到货。</w:t>
      </w:r>
    </w:p>
    <w:p>
      <w:pPr>
        <w:spacing w:before="120" w:beforeLines="50" w:after="120" w:afterLines="50" w:line="360" w:lineRule="auto"/>
        <w:ind w:firstLine="480" w:firstLineChars="200"/>
        <w:rPr>
          <w:rFonts w:ascii="宋体" w:hAnsi="宋体" w:cs="宋体"/>
          <w:snapToGrid w:val="0"/>
          <w:kern w:val="0"/>
          <w:sz w:val="24"/>
        </w:rPr>
      </w:pPr>
      <w:r>
        <w:rPr>
          <w:rFonts w:hint="eastAsia" w:ascii="宋体" w:hAnsi="宋体" w:cs="宋体"/>
          <w:snapToGrid w:val="0"/>
          <w:kern w:val="0"/>
          <w:sz w:val="24"/>
        </w:rPr>
        <w:t>4.3在设备保修期内如设备损坏时的一切备品备件供应商应迅速派员及时提供。</w:t>
      </w:r>
    </w:p>
    <w:p>
      <w:pPr>
        <w:spacing w:before="120" w:beforeLines="50" w:after="120" w:afterLines="50" w:line="360" w:lineRule="auto"/>
        <w:ind w:firstLine="480" w:firstLineChars="200"/>
        <w:rPr>
          <w:rFonts w:ascii="宋体" w:hAnsi="宋体" w:cs="宋体"/>
          <w:snapToGrid w:val="0"/>
          <w:kern w:val="0"/>
          <w:sz w:val="24"/>
        </w:rPr>
      </w:pPr>
      <w:r>
        <w:rPr>
          <w:rFonts w:hint="eastAsia" w:ascii="宋体" w:hAnsi="宋体" w:cs="宋体"/>
          <w:snapToGrid w:val="0"/>
          <w:kern w:val="0"/>
          <w:sz w:val="24"/>
        </w:rPr>
        <w:t>4.4及时提供设备使用和维护技术方面的信息和技术资料。</w:t>
      </w:r>
    </w:p>
    <w:p>
      <w:pPr>
        <w:spacing w:before="120" w:beforeLines="50" w:after="120" w:afterLines="50" w:line="360" w:lineRule="auto"/>
        <w:ind w:firstLine="480" w:firstLineChars="200"/>
        <w:rPr>
          <w:rFonts w:ascii="宋体" w:hAnsi="宋体" w:cs="宋体"/>
          <w:snapToGrid w:val="0"/>
          <w:kern w:val="0"/>
          <w:sz w:val="24"/>
        </w:rPr>
      </w:pPr>
      <w:r>
        <w:rPr>
          <w:rFonts w:hint="eastAsia" w:ascii="宋体" w:hAnsi="宋体" w:cs="宋体"/>
          <w:snapToGrid w:val="0"/>
          <w:kern w:val="0"/>
          <w:sz w:val="24"/>
        </w:rPr>
        <w:t>4.5应对招标人技术人员进行技术培训，并提供培训资料。</w:t>
      </w:r>
    </w:p>
    <w:p>
      <w:pPr>
        <w:spacing w:before="120" w:beforeLines="50" w:after="120" w:afterLines="50" w:line="360" w:lineRule="auto"/>
        <w:ind w:firstLine="480" w:firstLineChars="200"/>
        <w:rPr>
          <w:rFonts w:ascii="宋体" w:hAnsi="宋体" w:cs="宋体"/>
          <w:snapToGrid w:val="0"/>
          <w:color w:val="FF0000"/>
          <w:kern w:val="0"/>
          <w:sz w:val="24"/>
        </w:rPr>
      </w:pPr>
      <w:r>
        <w:rPr>
          <w:rFonts w:hint="eastAsia" w:ascii="宋体" w:hAnsi="宋体" w:cs="宋体"/>
          <w:snapToGrid w:val="0"/>
          <w:kern w:val="0"/>
          <w:sz w:val="24"/>
        </w:rPr>
        <w:t>4.6应对招标设备，质保期满后每年维保费用，应在报价文件开标一览表备注中体现。</w:t>
      </w:r>
    </w:p>
    <w:p>
      <w:pPr>
        <w:pStyle w:val="5"/>
        <w:ind w:left="0" w:firstLine="482" w:firstLineChars="200"/>
        <w:rPr>
          <w:rFonts w:ascii="宋体" w:hAnsi="宋体" w:eastAsia="宋体" w:cs="宋体"/>
          <w:sz w:val="24"/>
          <w:szCs w:val="24"/>
        </w:rPr>
      </w:pPr>
      <w:bookmarkStart w:id="55" w:name="_Toc13447"/>
      <w:r>
        <w:rPr>
          <w:rFonts w:hint="eastAsia" w:ascii="宋体" w:hAnsi="宋体" w:eastAsia="宋体" w:cs="宋体"/>
          <w:sz w:val="24"/>
          <w:szCs w:val="24"/>
          <w:lang w:val="en-US"/>
        </w:rPr>
        <w:t>五</w:t>
      </w:r>
      <w:r>
        <w:rPr>
          <w:rFonts w:hint="eastAsia" w:ascii="宋体" w:hAnsi="宋体" w:eastAsia="宋体" w:cs="宋体"/>
          <w:sz w:val="24"/>
          <w:szCs w:val="24"/>
        </w:rPr>
        <w:t>、本地化服务要求</w:t>
      </w:r>
      <w:bookmarkEnd w:id="52"/>
      <w:bookmarkEnd w:id="53"/>
      <w:bookmarkEnd w:id="54"/>
      <w:bookmarkEnd w:id="55"/>
    </w:p>
    <w:p>
      <w:pPr>
        <w:spacing w:line="360" w:lineRule="auto"/>
        <w:ind w:firstLine="480" w:firstLineChars="200"/>
        <w:rPr>
          <w:rFonts w:hint="eastAsia" w:ascii="宋体" w:hAnsi="宋体" w:eastAsia="宋体" w:cs="宋体"/>
          <w:b/>
          <w:bCs/>
          <w:sz w:val="24"/>
          <w:lang w:eastAsia="zh-CN"/>
        </w:rPr>
      </w:pPr>
      <w:r>
        <w:rPr>
          <w:rFonts w:hint="eastAsia" w:ascii="宋体" w:hAnsi="宋体" w:cs="宋体"/>
          <w:sz w:val="24"/>
        </w:rPr>
        <w:t>在本地设立售后服务机构</w:t>
      </w:r>
      <w:r>
        <w:rPr>
          <w:rFonts w:hint="eastAsia" w:ascii="宋体" w:hAnsi="宋体" w:cs="宋体"/>
          <w:sz w:val="24"/>
          <w:lang w:eastAsia="zh-CN"/>
        </w:rPr>
        <w:t>。</w:t>
      </w:r>
    </w:p>
    <w:p>
      <w:pPr>
        <w:pStyle w:val="5"/>
        <w:ind w:left="0" w:firstLine="482" w:firstLineChars="200"/>
        <w:rPr>
          <w:rFonts w:hint="eastAsia" w:ascii="宋体" w:hAnsi="宋体" w:eastAsia="宋体" w:cs="宋体"/>
          <w:sz w:val="24"/>
          <w:szCs w:val="24"/>
        </w:rPr>
      </w:pPr>
      <w:bookmarkStart w:id="56" w:name="_Toc525925395"/>
      <w:bookmarkStart w:id="57" w:name="_Toc1508"/>
      <w:bookmarkStart w:id="58" w:name="_Toc493751543"/>
      <w:bookmarkStart w:id="59" w:name="_Toc22665164"/>
      <w:r>
        <w:rPr>
          <w:rFonts w:hint="eastAsia" w:ascii="宋体" w:hAnsi="宋体" w:eastAsia="宋体" w:cs="宋体"/>
          <w:sz w:val="24"/>
          <w:szCs w:val="24"/>
          <w:lang w:val="en-US"/>
        </w:rPr>
        <w:t>六</w:t>
      </w:r>
      <w:r>
        <w:rPr>
          <w:rFonts w:hint="eastAsia" w:ascii="宋体" w:hAnsi="宋体" w:eastAsia="宋体" w:cs="宋体"/>
          <w:sz w:val="24"/>
          <w:szCs w:val="24"/>
        </w:rPr>
        <w:t>、付款方式</w:t>
      </w:r>
      <w:bookmarkEnd w:id="56"/>
      <w:bookmarkEnd w:id="57"/>
      <w:bookmarkEnd w:id="58"/>
      <w:bookmarkEnd w:id="59"/>
    </w:p>
    <w:p>
      <w:pPr>
        <w:spacing w:before="120" w:beforeLines="50" w:after="120" w:afterLines="50" w:line="360" w:lineRule="auto"/>
        <w:ind w:firstLine="480" w:firstLineChars="200"/>
        <w:rPr>
          <w:rFonts w:hint="eastAsia" w:ascii="宋体" w:hAnsi="宋体" w:eastAsia="宋体" w:cs="宋体"/>
          <w:bCs w:val="0"/>
          <w:snapToGrid w:val="0"/>
          <w:color w:val="auto"/>
          <w:kern w:val="0"/>
          <w:sz w:val="24"/>
        </w:rPr>
      </w:pPr>
      <w:r>
        <w:rPr>
          <w:rFonts w:hint="eastAsia" w:ascii="宋体" w:hAnsi="宋体" w:cs="宋体"/>
          <w:bCs w:val="0"/>
          <w:snapToGrid w:val="0"/>
          <w:kern w:val="0"/>
          <w:sz w:val="24"/>
          <w:lang w:val="en-US" w:eastAsia="zh-CN"/>
        </w:rPr>
        <w:t>6.1</w:t>
      </w:r>
      <w:r>
        <w:rPr>
          <w:rFonts w:hint="eastAsia" w:ascii="宋体" w:hAnsi="宋体" w:eastAsia="宋体" w:cs="宋体"/>
          <w:bCs w:val="0"/>
          <w:snapToGrid w:val="0"/>
          <w:color w:val="auto"/>
          <w:kern w:val="0"/>
          <w:sz w:val="24"/>
        </w:rPr>
        <w:t>供应商提交银行、保险公司等金融机构出具的预付款保函</w:t>
      </w:r>
      <w:r>
        <w:rPr>
          <w:rFonts w:hint="eastAsia" w:ascii="宋体" w:hAnsi="宋体" w:eastAsia="宋体" w:cs="宋体"/>
          <w:snapToGrid w:val="0"/>
          <w:color w:val="auto"/>
          <w:kern w:val="0"/>
          <w:sz w:val="24"/>
        </w:rPr>
        <w:t>（验收合格后7个工作日内无息退还）</w:t>
      </w:r>
      <w:r>
        <w:rPr>
          <w:rFonts w:hint="eastAsia" w:ascii="宋体" w:hAnsi="宋体" w:eastAsia="宋体" w:cs="宋体"/>
          <w:bCs w:val="0"/>
          <w:snapToGrid w:val="0"/>
          <w:color w:val="auto"/>
          <w:kern w:val="0"/>
          <w:sz w:val="24"/>
        </w:rPr>
        <w:t>；支付时间和数额：合同生效并具备实施条件后7个工作日内，采购人向中标人支付合同金额40%的预付款。剩余合同款项在验收合格后，凭验收合格证明材料、发票、履约保证金凭证到采购人处结算。采购人在7个工作日内向成交供应商支付全部合同余款。</w:t>
      </w:r>
    </w:p>
    <w:p>
      <w:pPr>
        <w:spacing w:before="120" w:beforeLines="50" w:after="120" w:afterLines="50" w:line="360" w:lineRule="auto"/>
        <w:ind w:firstLine="480" w:firstLineChars="200"/>
        <w:rPr>
          <w:rFonts w:hint="eastAsia" w:ascii="宋体" w:hAnsi="宋体" w:eastAsia="宋体" w:cs="宋体"/>
          <w:snapToGrid w:val="0"/>
          <w:kern w:val="0"/>
          <w:sz w:val="24"/>
          <w:lang w:val="en-US" w:eastAsia="zh-CN"/>
        </w:rPr>
      </w:pPr>
      <w:r>
        <w:rPr>
          <w:rFonts w:hint="eastAsia" w:ascii="宋体" w:hAnsi="宋体" w:cs="宋体"/>
          <w:bCs w:val="0"/>
          <w:snapToGrid w:val="0"/>
          <w:kern w:val="0"/>
          <w:sz w:val="24"/>
          <w:lang w:val="en-US" w:eastAsia="zh-CN"/>
        </w:rPr>
        <w:t>6.</w:t>
      </w:r>
      <w:r>
        <w:rPr>
          <w:rFonts w:hint="eastAsia" w:ascii="宋体" w:hAnsi="宋体" w:eastAsia="宋体" w:cs="宋体"/>
          <w:bCs w:val="0"/>
          <w:snapToGrid w:val="0"/>
          <w:color w:val="auto"/>
          <w:kern w:val="0"/>
          <w:sz w:val="24"/>
          <w:lang w:val="en-US" w:eastAsia="zh-CN"/>
        </w:rPr>
        <w:t>2</w:t>
      </w:r>
      <w:r>
        <w:rPr>
          <w:rFonts w:hint="eastAsia" w:ascii="宋体" w:hAnsi="宋体" w:eastAsia="宋体" w:cs="宋体"/>
          <w:bCs w:val="0"/>
          <w:snapToGrid w:val="0"/>
          <w:color w:val="auto"/>
          <w:kern w:val="0"/>
          <w:sz w:val="24"/>
        </w:rPr>
        <w:t>在签订合同时，供应商主动要求降低预付款比例的，按实际比例计。供应商明确表示无需预付款的，采用下述付款方式：验收合格后，凭验收合格证明材料、发票、履约保证金凭证到采购人处结算合同金额的100%。采购人在7个工作日内向成交供应商支付合同货款）</w:t>
      </w:r>
      <w:r>
        <w:rPr>
          <w:rFonts w:hint="eastAsia" w:ascii="宋体" w:hAnsi="宋体" w:eastAsia="宋体" w:cs="宋体"/>
          <w:bCs w:val="0"/>
          <w:snapToGrid w:val="0"/>
          <w:color w:val="auto"/>
          <w:kern w:val="0"/>
          <w:sz w:val="24"/>
          <w:lang w:eastAsia="zh-CN"/>
        </w:rPr>
        <w:t>。</w:t>
      </w:r>
    </w:p>
    <w:p>
      <w:pPr>
        <w:numPr>
          <w:ilvl w:val="255"/>
          <w:numId w:val="0"/>
        </w:numPr>
        <w:spacing w:before="120" w:beforeLines="50" w:after="120" w:afterLines="50"/>
        <w:ind w:firstLine="482" w:firstLineChars="200"/>
        <w:rPr>
          <w:rFonts w:hint="eastAsia" w:ascii="宋体" w:hAnsi="宋体" w:cs="宋体"/>
          <w:b/>
          <w:bCs/>
          <w:snapToGrid w:val="0"/>
          <w:kern w:val="0"/>
          <w:sz w:val="24"/>
        </w:rPr>
      </w:pPr>
      <w:r>
        <w:rPr>
          <w:rFonts w:hint="eastAsia" w:ascii="宋体" w:hAnsi="宋体" w:eastAsia="宋体" w:cs="宋体"/>
          <w:b/>
          <w:bCs/>
          <w:snapToGrid w:val="0"/>
          <w:kern w:val="0"/>
          <w:sz w:val="24"/>
          <w:szCs w:val="24"/>
          <w:lang w:val="en-US"/>
        </w:rPr>
        <w:t>七、履约保证金</w:t>
      </w:r>
    </w:p>
    <w:p>
      <w:pPr>
        <w:pStyle w:val="3"/>
        <w:ind w:firstLine="480" w:firstLineChars="200"/>
        <w:rPr>
          <w:rFonts w:hAnsi="宋体" w:cs="宋体"/>
          <w:szCs w:val="24"/>
          <w:highlight w:val="yellow"/>
        </w:rPr>
      </w:pPr>
      <w:r>
        <w:rPr>
          <w:rFonts w:hint="eastAsia" w:hAnsi="宋体" w:cs="宋体"/>
          <w:szCs w:val="24"/>
        </w:rPr>
        <w:t>合同总价的1%作为合同履约保证金，合同签订时，由乙方交入甲方账户，合同商品安装、调试验收合格后无息退还。</w:t>
      </w:r>
    </w:p>
    <w:p>
      <w:pPr>
        <w:pStyle w:val="3"/>
        <w:rPr>
          <w:highlight w:val="yellow"/>
          <w:lang w:val="en-US"/>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仿宋_GB2312" w:asciiTheme="minorEastAsia" w:hAnsiTheme="minorEastAsia" w:eastAsiaTheme="minorEastAsia"/>
          <w:b/>
          <w:sz w:val="36"/>
          <w:szCs w:val="36"/>
        </w:rPr>
      </w:pPr>
      <w:bookmarkStart w:id="60" w:name="_Toc27601"/>
      <w:r>
        <w:rPr>
          <w:rFonts w:hint="eastAsia" w:cs="仿宋_GB2312" w:asciiTheme="minorEastAsia" w:hAnsiTheme="minorEastAsia" w:eastAsiaTheme="minorEastAsia"/>
          <w:b/>
          <w:sz w:val="36"/>
          <w:szCs w:val="36"/>
        </w:rPr>
        <w:t>第四部分</w:t>
      </w:r>
      <w:bookmarkStart w:id="61" w:name="_Toc184308054"/>
      <w:bookmarkEnd w:id="61"/>
      <w:bookmarkStart w:id="62" w:name="_Toc184312119"/>
      <w:bookmarkEnd w:id="62"/>
      <w:bookmarkStart w:id="63" w:name="_Toc184313264"/>
      <w:bookmarkEnd w:id="63"/>
      <w:bookmarkStart w:id="64" w:name="_Toc184313246"/>
      <w:bookmarkEnd w:id="64"/>
      <w:bookmarkStart w:id="65" w:name="_Toc184308067"/>
      <w:bookmarkEnd w:id="65"/>
      <w:bookmarkStart w:id="66" w:name="_Toc184314421"/>
      <w:bookmarkEnd w:id="66"/>
      <w:bookmarkStart w:id="67" w:name="_Toc184308037"/>
      <w:bookmarkEnd w:id="67"/>
      <w:bookmarkStart w:id="68" w:name="_Toc184308057"/>
      <w:bookmarkEnd w:id="68"/>
      <w:bookmarkStart w:id="69" w:name="_Toc184312094"/>
      <w:bookmarkEnd w:id="69"/>
      <w:bookmarkStart w:id="70" w:name="_Toc184310283"/>
      <w:bookmarkEnd w:id="70"/>
      <w:bookmarkStart w:id="71" w:name="_Toc184312130"/>
      <w:bookmarkEnd w:id="71"/>
      <w:bookmarkStart w:id="72" w:name="_Toc184310334"/>
      <w:bookmarkEnd w:id="72"/>
      <w:bookmarkStart w:id="73" w:name="_Toc184313287"/>
      <w:bookmarkEnd w:id="73"/>
      <w:bookmarkStart w:id="74" w:name="_Toc184312081"/>
      <w:bookmarkEnd w:id="74"/>
      <w:bookmarkStart w:id="75" w:name="_Toc184310297"/>
      <w:bookmarkEnd w:id="75"/>
      <w:bookmarkStart w:id="76" w:name="_Toc184312082"/>
      <w:bookmarkEnd w:id="76"/>
      <w:bookmarkStart w:id="77" w:name="_Toc184310272"/>
      <w:bookmarkEnd w:id="77"/>
      <w:bookmarkStart w:id="78" w:name="_Toc184310316"/>
      <w:bookmarkEnd w:id="78"/>
      <w:bookmarkStart w:id="79" w:name="_Toc184310279"/>
      <w:bookmarkEnd w:id="79"/>
      <w:bookmarkStart w:id="80" w:name="_Toc184314439"/>
      <w:bookmarkEnd w:id="80"/>
      <w:bookmarkStart w:id="81" w:name="_Toc184314410"/>
      <w:bookmarkEnd w:id="81"/>
      <w:bookmarkStart w:id="82" w:name="_Toc184314413"/>
      <w:bookmarkEnd w:id="82"/>
      <w:bookmarkStart w:id="83" w:name="_Toc184312102"/>
      <w:bookmarkEnd w:id="83"/>
      <w:bookmarkStart w:id="84" w:name="_Toc184308088"/>
      <w:bookmarkEnd w:id="84"/>
      <w:bookmarkStart w:id="85" w:name="_Toc184314465"/>
      <w:bookmarkEnd w:id="85"/>
      <w:bookmarkStart w:id="86" w:name="_Toc184312068"/>
      <w:bookmarkEnd w:id="86"/>
      <w:bookmarkStart w:id="87" w:name="_Toc184312091"/>
      <w:bookmarkEnd w:id="87"/>
      <w:bookmarkStart w:id="88" w:name="_Toc184314443"/>
      <w:bookmarkEnd w:id="88"/>
      <w:bookmarkStart w:id="89" w:name="_Toc184312098"/>
      <w:bookmarkEnd w:id="89"/>
      <w:bookmarkStart w:id="90" w:name="_Toc184308099"/>
      <w:bookmarkEnd w:id="90"/>
      <w:bookmarkStart w:id="91" w:name="_Toc184312083"/>
      <w:bookmarkEnd w:id="91"/>
      <w:bookmarkStart w:id="92" w:name="_Toc184314472"/>
      <w:bookmarkEnd w:id="92"/>
      <w:bookmarkStart w:id="93" w:name="_Toc184308083"/>
      <w:bookmarkEnd w:id="93"/>
      <w:bookmarkStart w:id="94" w:name="_Toc184308076"/>
      <w:bookmarkEnd w:id="94"/>
      <w:bookmarkStart w:id="95" w:name="_Toc184308050"/>
      <w:bookmarkEnd w:id="95"/>
      <w:bookmarkStart w:id="96" w:name="_Toc184314463"/>
      <w:bookmarkEnd w:id="96"/>
      <w:bookmarkStart w:id="97" w:name="_Toc184312127"/>
      <w:bookmarkEnd w:id="97"/>
      <w:bookmarkStart w:id="98" w:name="_Toc184313255"/>
      <w:bookmarkEnd w:id="98"/>
      <w:bookmarkStart w:id="99" w:name="_Toc184312136"/>
      <w:bookmarkEnd w:id="99"/>
      <w:bookmarkStart w:id="100" w:name="_Toc184314468"/>
      <w:bookmarkEnd w:id="100"/>
      <w:bookmarkStart w:id="101" w:name="_Toc184312089"/>
      <w:bookmarkEnd w:id="101"/>
      <w:bookmarkStart w:id="102" w:name="_Toc184308079"/>
      <w:bookmarkEnd w:id="102"/>
      <w:bookmarkStart w:id="103" w:name="_Toc184312074"/>
      <w:bookmarkEnd w:id="103"/>
      <w:bookmarkStart w:id="104" w:name="_Toc184308052"/>
      <w:bookmarkEnd w:id="104"/>
      <w:bookmarkStart w:id="105" w:name="_Toc184310273"/>
      <w:bookmarkEnd w:id="105"/>
      <w:bookmarkStart w:id="106" w:name="_Toc184314435"/>
      <w:bookmarkEnd w:id="106"/>
      <w:bookmarkStart w:id="107" w:name="_Toc184312093"/>
      <w:bookmarkEnd w:id="107"/>
      <w:bookmarkStart w:id="108" w:name="_Toc184313302"/>
      <w:bookmarkEnd w:id="108"/>
      <w:bookmarkStart w:id="109" w:name="_Toc184308090"/>
      <w:bookmarkEnd w:id="109"/>
      <w:bookmarkStart w:id="110" w:name="_Toc184308103"/>
      <w:bookmarkEnd w:id="110"/>
      <w:bookmarkStart w:id="111" w:name="_Toc184313256"/>
      <w:bookmarkEnd w:id="111"/>
      <w:bookmarkStart w:id="112" w:name="_Toc184313283"/>
      <w:bookmarkEnd w:id="112"/>
      <w:bookmarkStart w:id="113" w:name="_Toc184313257"/>
      <w:bookmarkEnd w:id="113"/>
      <w:bookmarkStart w:id="114" w:name="_Toc184312135"/>
      <w:bookmarkEnd w:id="114"/>
      <w:bookmarkStart w:id="115" w:name="_Toc184314448"/>
      <w:bookmarkEnd w:id="115"/>
      <w:bookmarkStart w:id="116" w:name="_Toc184308055"/>
      <w:bookmarkEnd w:id="116"/>
      <w:bookmarkStart w:id="117" w:name="_Toc184310294"/>
      <w:bookmarkEnd w:id="117"/>
      <w:bookmarkStart w:id="118" w:name="_Toc184310322"/>
      <w:bookmarkEnd w:id="118"/>
      <w:bookmarkStart w:id="119" w:name="_Toc184308082"/>
      <w:bookmarkEnd w:id="119"/>
      <w:bookmarkStart w:id="120" w:name="_Toc184310341"/>
      <w:bookmarkEnd w:id="120"/>
      <w:bookmarkStart w:id="121" w:name="_Toc184310335"/>
      <w:bookmarkEnd w:id="121"/>
      <w:bookmarkStart w:id="122" w:name="_Toc184312105"/>
      <w:bookmarkEnd w:id="122"/>
      <w:bookmarkStart w:id="123" w:name="_Toc184312121"/>
      <w:bookmarkEnd w:id="123"/>
      <w:bookmarkStart w:id="124" w:name="_Toc184310332"/>
      <w:bookmarkEnd w:id="124"/>
      <w:bookmarkStart w:id="125" w:name="_Toc184314480"/>
      <w:bookmarkEnd w:id="125"/>
      <w:bookmarkStart w:id="126" w:name="_Toc184310293"/>
      <w:bookmarkEnd w:id="126"/>
      <w:bookmarkStart w:id="127" w:name="_Toc184313247"/>
      <w:bookmarkEnd w:id="127"/>
      <w:bookmarkStart w:id="128" w:name="_Toc184312075"/>
      <w:bookmarkEnd w:id="128"/>
      <w:bookmarkStart w:id="129" w:name="_Toc184308064"/>
      <w:bookmarkEnd w:id="129"/>
      <w:bookmarkStart w:id="130" w:name="_Toc184312069"/>
      <w:bookmarkEnd w:id="130"/>
      <w:bookmarkStart w:id="131" w:name="_Toc184313275"/>
      <w:bookmarkEnd w:id="131"/>
      <w:bookmarkStart w:id="132" w:name="_Toc184310304"/>
      <w:bookmarkEnd w:id="132"/>
      <w:bookmarkStart w:id="133" w:name="_Toc184313268"/>
      <w:bookmarkEnd w:id="133"/>
      <w:bookmarkStart w:id="134" w:name="_Toc184314451"/>
      <w:bookmarkEnd w:id="134"/>
      <w:bookmarkStart w:id="135" w:name="_Toc184313272"/>
      <w:bookmarkEnd w:id="135"/>
      <w:bookmarkStart w:id="136" w:name="_Toc184314429"/>
      <w:bookmarkEnd w:id="136"/>
      <w:bookmarkStart w:id="137" w:name="_Toc184310324"/>
      <w:bookmarkEnd w:id="137"/>
      <w:bookmarkStart w:id="138" w:name="_Toc184308107"/>
      <w:bookmarkEnd w:id="138"/>
      <w:bookmarkStart w:id="139" w:name="_Toc184314481"/>
      <w:bookmarkEnd w:id="139"/>
      <w:bookmarkStart w:id="140" w:name="_Toc184310331"/>
      <w:bookmarkEnd w:id="140"/>
      <w:bookmarkStart w:id="141" w:name="_Toc184313245"/>
      <w:bookmarkEnd w:id="141"/>
      <w:bookmarkStart w:id="142" w:name="_Toc184312139"/>
      <w:bookmarkEnd w:id="142"/>
      <w:bookmarkStart w:id="143" w:name="_Toc184312088"/>
      <w:bookmarkEnd w:id="143"/>
      <w:bookmarkStart w:id="144" w:name="_Toc184313305"/>
      <w:bookmarkEnd w:id="144"/>
      <w:bookmarkStart w:id="145" w:name="_Toc184314422"/>
      <w:bookmarkEnd w:id="145"/>
      <w:bookmarkStart w:id="146" w:name="_Toc184308096"/>
      <w:bookmarkEnd w:id="146"/>
      <w:bookmarkStart w:id="147" w:name="_Toc184314424"/>
      <w:bookmarkEnd w:id="147"/>
      <w:bookmarkStart w:id="148" w:name="_Toc184308101"/>
      <w:bookmarkEnd w:id="148"/>
      <w:bookmarkStart w:id="149" w:name="_Toc184312134"/>
      <w:bookmarkEnd w:id="149"/>
      <w:bookmarkStart w:id="150" w:name="_Toc184310295"/>
      <w:bookmarkEnd w:id="150"/>
      <w:bookmarkStart w:id="151" w:name="_Toc184310286"/>
      <w:bookmarkEnd w:id="151"/>
      <w:bookmarkStart w:id="152" w:name="_Toc184312122"/>
      <w:bookmarkEnd w:id="152"/>
      <w:bookmarkStart w:id="153" w:name="_Toc184312107"/>
      <w:bookmarkEnd w:id="153"/>
      <w:bookmarkStart w:id="154" w:name="_Toc184314436"/>
      <w:bookmarkEnd w:id="154"/>
      <w:bookmarkStart w:id="155" w:name="_Toc184312101"/>
      <w:bookmarkEnd w:id="155"/>
      <w:bookmarkStart w:id="156" w:name="_Toc184308087"/>
      <w:bookmarkEnd w:id="156"/>
      <w:bookmarkStart w:id="157" w:name="_Toc184312100"/>
      <w:bookmarkEnd w:id="157"/>
      <w:bookmarkStart w:id="158" w:name="_Toc184312111"/>
      <w:bookmarkEnd w:id="158"/>
      <w:bookmarkStart w:id="159" w:name="_Toc184308049"/>
      <w:bookmarkEnd w:id="159"/>
      <w:bookmarkStart w:id="160" w:name="_Toc184313267"/>
      <w:bookmarkEnd w:id="160"/>
      <w:bookmarkStart w:id="161" w:name="_Toc184310292"/>
      <w:bookmarkEnd w:id="161"/>
      <w:bookmarkStart w:id="162" w:name="_Toc184308084"/>
      <w:bookmarkEnd w:id="162"/>
      <w:bookmarkStart w:id="163" w:name="_Toc184308105"/>
      <w:bookmarkEnd w:id="163"/>
      <w:bookmarkStart w:id="164" w:name="_Toc184308059"/>
      <w:bookmarkEnd w:id="164"/>
      <w:bookmarkStart w:id="165" w:name="_Toc184314467"/>
      <w:bookmarkEnd w:id="165"/>
      <w:bookmarkStart w:id="166" w:name="_Toc184314476"/>
      <w:bookmarkEnd w:id="166"/>
      <w:bookmarkStart w:id="167" w:name="_Toc184314440"/>
      <w:bookmarkEnd w:id="167"/>
      <w:bookmarkStart w:id="168" w:name="_Toc184312072"/>
      <w:bookmarkEnd w:id="168"/>
      <w:bookmarkStart w:id="169" w:name="_Toc184313248"/>
      <w:bookmarkEnd w:id="169"/>
      <w:bookmarkStart w:id="170" w:name="_Toc184313241"/>
      <w:bookmarkEnd w:id="170"/>
      <w:bookmarkStart w:id="171" w:name="_Toc184314459"/>
      <w:bookmarkEnd w:id="171"/>
      <w:bookmarkStart w:id="172" w:name="_Toc184312112"/>
      <w:bookmarkEnd w:id="172"/>
      <w:bookmarkStart w:id="173" w:name="_Toc184314456"/>
      <w:bookmarkEnd w:id="173"/>
      <w:bookmarkStart w:id="174" w:name="_Toc184312138"/>
      <w:bookmarkEnd w:id="174"/>
      <w:bookmarkStart w:id="175" w:name="_Toc184313238"/>
      <w:bookmarkEnd w:id="175"/>
      <w:bookmarkStart w:id="176" w:name="_Toc184314482"/>
      <w:bookmarkEnd w:id="176"/>
      <w:bookmarkStart w:id="177" w:name="_Toc184308075"/>
      <w:bookmarkEnd w:id="177"/>
      <w:bookmarkStart w:id="178" w:name="_Toc184308066"/>
      <w:bookmarkEnd w:id="178"/>
      <w:bookmarkStart w:id="179" w:name="_Toc184313260"/>
      <w:bookmarkEnd w:id="179"/>
      <w:bookmarkStart w:id="180" w:name="_Toc184314430"/>
      <w:bookmarkEnd w:id="180"/>
      <w:bookmarkStart w:id="181" w:name="_Toc184312071"/>
      <w:bookmarkEnd w:id="181"/>
      <w:bookmarkStart w:id="182" w:name="_Toc184314478"/>
      <w:bookmarkEnd w:id="182"/>
      <w:bookmarkStart w:id="183" w:name="_Toc184310310"/>
      <w:bookmarkEnd w:id="183"/>
      <w:bookmarkStart w:id="184" w:name="_Toc184314445"/>
      <w:bookmarkEnd w:id="184"/>
      <w:bookmarkStart w:id="185" w:name="_Toc184314469"/>
      <w:bookmarkEnd w:id="185"/>
      <w:bookmarkStart w:id="186" w:name="_Toc184310337"/>
      <w:bookmarkEnd w:id="186"/>
      <w:bookmarkStart w:id="187" w:name="_Toc184313298"/>
      <w:bookmarkEnd w:id="187"/>
      <w:bookmarkStart w:id="188" w:name="_Toc184310311"/>
      <w:bookmarkEnd w:id="188"/>
      <w:bookmarkStart w:id="189" w:name="_Toc184314457"/>
      <w:bookmarkEnd w:id="189"/>
      <w:bookmarkStart w:id="190" w:name="_Toc184313280"/>
      <w:bookmarkEnd w:id="190"/>
      <w:bookmarkStart w:id="191" w:name="_Toc184313252"/>
      <w:bookmarkEnd w:id="191"/>
      <w:bookmarkStart w:id="192" w:name="_Toc184310309"/>
      <w:bookmarkEnd w:id="192"/>
      <w:bookmarkStart w:id="193" w:name="_Toc184313253"/>
      <w:bookmarkEnd w:id="193"/>
      <w:bookmarkStart w:id="194" w:name="_Toc184312097"/>
      <w:bookmarkEnd w:id="194"/>
      <w:bookmarkStart w:id="195" w:name="_Toc184310298"/>
      <w:bookmarkEnd w:id="195"/>
      <w:bookmarkStart w:id="196" w:name="_Toc184313292"/>
      <w:bookmarkEnd w:id="196"/>
      <w:bookmarkStart w:id="197" w:name="_Toc184313269"/>
      <w:bookmarkEnd w:id="197"/>
      <w:bookmarkStart w:id="198" w:name="_Toc184313290"/>
      <w:bookmarkEnd w:id="198"/>
      <w:bookmarkStart w:id="199" w:name="_Toc184308089"/>
      <w:bookmarkEnd w:id="199"/>
      <w:bookmarkStart w:id="200" w:name="_Toc184310326"/>
      <w:bookmarkEnd w:id="200"/>
      <w:bookmarkStart w:id="201" w:name="_Toc184308069"/>
      <w:bookmarkEnd w:id="201"/>
      <w:bookmarkStart w:id="202" w:name="_Toc184314479"/>
      <w:bookmarkEnd w:id="202"/>
      <w:bookmarkStart w:id="203" w:name="_Toc184313289"/>
      <w:bookmarkEnd w:id="203"/>
      <w:bookmarkStart w:id="204" w:name="_Toc184308098"/>
      <w:bookmarkEnd w:id="204"/>
      <w:bookmarkStart w:id="205" w:name="_Toc184312129"/>
      <w:bookmarkEnd w:id="205"/>
      <w:bookmarkStart w:id="206" w:name="_Toc184312095"/>
      <w:bookmarkEnd w:id="206"/>
      <w:bookmarkStart w:id="207" w:name="_Toc184312076"/>
      <w:bookmarkEnd w:id="207"/>
      <w:bookmarkStart w:id="208" w:name="_Toc184312104"/>
      <w:bookmarkEnd w:id="208"/>
      <w:bookmarkStart w:id="209" w:name="_Toc184314473"/>
      <w:bookmarkEnd w:id="209"/>
      <w:bookmarkStart w:id="210" w:name="_Toc184310305"/>
      <w:bookmarkEnd w:id="210"/>
      <w:bookmarkStart w:id="211" w:name="_Toc184313299"/>
      <w:bookmarkEnd w:id="211"/>
      <w:bookmarkStart w:id="212" w:name="_Toc184314425"/>
      <w:bookmarkEnd w:id="212"/>
      <w:bookmarkStart w:id="213" w:name="_Toc184313270"/>
      <w:bookmarkEnd w:id="213"/>
      <w:bookmarkStart w:id="214" w:name="_Toc184313242"/>
      <w:bookmarkEnd w:id="214"/>
      <w:bookmarkStart w:id="215" w:name="_Toc184314477"/>
      <w:bookmarkEnd w:id="215"/>
      <w:bookmarkStart w:id="216" w:name="_Toc184312079"/>
      <w:bookmarkEnd w:id="216"/>
      <w:bookmarkStart w:id="217" w:name="_Toc184312108"/>
      <w:bookmarkEnd w:id="217"/>
      <w:bookmarkStart w:id="218" w:name="_Toc184313249"/>
      <w:bookmarkEnd w:id="218"/>
      <w:bookmarkStart w:id="219" w:name="_Toc184308072"/>
      <w:bookmarkEnd w:id="219"/>
      <w:bookmarkStart w:id="220" w:name="_Toc184310303"/>
      <w:bookmarkEnd w:id="220"/>
      <w:bookmarkStart w:id="221" w:name="_Toc184314432"/>
      <w:bookmarkEnd w:id="221"/>
      <w:bookmarkStart w:id="222" w:name="_Toc184313243"/>
      <w:bookmarkEnd w:id="222"/>
      <w:bookmarkStart w:id="223" w:name="_Toc184313261"/>
      <w:bookmarkEnd w:id="223"/>
      <w:bookmarkStart w:id="224" w:name="_Toc184308053"/>
      <w:bookmarkEnd w:id="224"/>
      <w:bookmarkStart w:id="225" w:name="_Toc184310274"/>
      <w:bookmarkEnd w:id="225"/>
      <w:bookmarkStart w:id="226" w:name="_Toc184310328"/>
      <w:bookmarkEnd w:id="226"/>
      <w:bookmarkStart w:id="227" w:name="_Toc184312070"/>
      <w:bookmarkEnd w:id="227"/>
      <w:bookmarkStart w:id="228" w:name="_Toc184308065"/>
      <w:bookmarkEnd w:id="228"/>
      <w:bookmarkStart w:id="229" w:name="_Toc184308039"/>
      <w:bookmarkEnd w:id="229"/>
      <w:bookmarkStart w:id="230" w:name="_Toc184308051"/>
      <w:bookmarkEnd w:id="230"/>
      <w:bookmarkStart w:id="231" w:name="_Toc184308106"/>
      <w:bookmarkEnd w:id="231"/>
      <w:bookmarkStart w:id="232" w:name="_Toc184310338"/>
      <w:bookmarkEnd w:id="232"/>
      <w:bookmarkStart w:id="233" w:name="_Toc184314442"/>
      <w:bookmarkEnd w:id="233"/>
      <w:bookmarkStart w:id="234" w:name="_Toc184314453"/>
      <w:bookmarkEnd w:id="234"/>
      <w:bookmarkStart w:id="235" w:name="_Toc184308074"/>
      <w:bookmarkEnd w:id="235"/>
      <w:bookmarkStart w:id="236" w:name="_Toc184313271"/>
      <w:bookmarkEnd w:id="236"/>
      <w:bookmarkStart w:id="237" w:name="_Toc184312137"/>
      <w:bookmarkEnd w:id="237"/>
      <w:bookmarkStart w:id="238" w:name="_Toc184313239"/>
      <w:bookmarkEnd w:id="238"/>
      <w:bookmarkStart w:id="239" w:name="_Toc184310343"/>
      <w:bookmarkEnd w:id="239"/>
      <w:bookmarkStart w:id="240" w:name="_Toc184314446"/>
      <w:bookmarkEnd w:id="240"/>
      <w:bookmarkStart w:id="241" w:name="_Toc184308043"/>
      <w:bookmarkEnd w:id="241"/>
      <w:bookmarkStart w:id="242" w:name="_Toc184313286"/>
      <w:bookmarkEnd w:id="242"/>
      <w:bookmarkStart w:id="243" w:name="_Toc184310340"/>
      <w:bookmarkEnd w:id="243"/>
      <w:bookmarkStart w:id="244" w:name="_Toc184314470"/>
      <w:bookmarkEnd w:id="244"/>
      <w:bookmarkStart w:id="245" w:name="_Toc184312073"/>
      <w:bookmarkEnd w:id="245"/>
      <w:bookmarkStart w:id="246" w:name="_Toc184313274"/>
      <w:bookmarkEnd w:id="246"/>
      <w:bookmarkStart w:id="247" w:name="_Toc184308077"/>
      <w:bookmarkEnd w:id="247"/>
      <w:bookmarkStart w:id="248" w:name="_Toc184308068"/>
      <w:bookmarkEnd w:id="248"/>
      <w:bookmarkStart w:id="249" w:name="_Toc184313281"/>
      <w:bookmarkEnd w:id="249"/>
      <w:bookmarkStart w:id="250" w:name="_Toc184314444"/>
      <w:bookmarkEnd w:id="250"/>
      <w:bookmarkStart w:id="251" w:name="_Toc184313291"/>
      <w:bookmarkEnd w:id="251"/>
      <w:bookmarkStart w:id="252" w:name="_Toc184312087"/>
      <w:bookmarkEnd w:id="252"/>
      <w:bookmarkStart w:id="253" w:name="_Toc184313279"/>
      <w:bookmarkEnd w:id="253"/>
      <w:bookmarkStart w:id="254" w:name="_Toc184314437"/>
      <w:bookmarkEnd w:id="254"/>
      <w:bookmarkStart w:id="255" w:name="_Toc184312133"/>
      <w:bookmarkEnd w:id="255"/>
      <w:bookmarkStart w:id="256" w:name="_Toc184314450"/>
      <w:bookmarkEnd w:id="256"/>
      <w:bookmarkStart w:id="257" w:name="_Toc184314428"/>
      <w:bookmarkEnd w:id="257"/>
      <w:bookmarkStart w:id="258" w:name="_Toc184313259"/>
      <w:bookmarkEnd w:id="258"/>
      <w:bookmarkStart w:id="259" w:name="_Toc184310325"/>
      <w:bookmarkEnd w:id="259"/>
      <w:bookmarkStart w:id="260" w:name="_Toc184314411"/>
      <w:bookmarkEnd w:id="260"/>
      <w:bookmarkStart w:id="261" w:name="_Toc184314466"/>
      <w:bookmarkEnd w:id="261"/>
      <w:bookmarkStart w:id="262" w:name="_Toc184313307"/>
      <w:bookmarkEnd w:id="262"/>
      <w:bookmarkStart w:id="263" w:name="_Toc184310280"/>
      <w:bookmarkEnd w:id="263"/>
      <w:bookmarkStart w:id="264" w:name="_Toc184308073"/>
      <w:bookmarkEnd w:id="264"/>
      <w:bookmarkStart w:id="265" w:name="_Toc184310312"/>
      <w:bookmarkEnd w:id="265"/>
      <w:bookmarkStart w:id="266" w:name="_Toc184312131"/>
      <w:bookmarkEnd w:id="266"/>
      <w:bookmarkStart w:id="267" w:name="_Toc184310319"/>
      <w:bookmarkEnd w:id="267"/>
      <w:bookmarkStart w:id="268" w:name="_Toc184310320"/>
      <w:bookmarkEnd w:id="268"/>
      <w:bookmarkStart w:id="269" w:name="_Toc184310342"/>
      <w:bookmarkEnd w:id="269"/>
      <w:bookmarkStart w:id="270" w:name="_Toc184314412"/>
      <w:bookmarkEnd w:id="270"/>
      <w:bookmarkStart w:id="271" w:name="_Toc184308078"/>
      <w:bookmarkEnd w:id="271"/>
      <w:bookmarkStart w:id="272" w:name="_Toc184310301"/>
      <w:bookmarkEnd w:id="272"/>
      <w:bookmarkStart w:id="273" w:name="_Toc184312125"/>
      <w:bookmarkEnd w:id="273"/>
      <w:bookmarkStart w:id="274" w:name="_Toc184308038"/>
      <w:bookmarkEnd w:id="274"/>
      <w:bookmarkStart w:id="275" w:name="_Toc184313240"/>
      <w:bookmarkEnd w:id="275"/>
      <w:bookmarkStart w:id="276" w:name="_Toc184313265"/>
      <w:bookmarkEnd w:id="276"/>
      <w:bookmarkStart w:id="277" w:name="_Toc184314471"/>
      <w:bookmarkEnd w:id="277"/>
      <w:bookmarkStart w:id="278" w:name="_Toc184308070"/>
      <w:bookmarkEnd w:id="278"/>
      <w:bookmarkStart w:id="279" w:name="_Toc184313277"/>
      <w:bookmarkEnd w:id="279"/>
      <w:bookmarkStart w:id="280" w:name="_Toc184308060"/>
      <w:bookmarkEnd w:id="280"/>
      <w:bookmarkStart w:id="281" w:name="_Toc184310276"/>
      <w:bookmarkEnd w:id="281"/>
      <w:bookmarkStart w:id="282" w:name="_Toc184312123"/>
      <w:bookmarkEnd w:id="282"/>
      <w:bookmarkStart w:id="283" w:name="_Toc184314414"/>
      <w:bookmarkEnd w:id="283"/>
      <w:bookmarkStart w:id="284" w:name="_Toc184314474"/>
      <w:bookmarkEnd w:id="284"/>
      <w:bookmarkStart w:id="285" w:name="_Toc184314447"/>
      <w:bookmarkEnd w:id="285"/>
      <w:bookmarkStart w:id="286" w:name="_Toc184314426"/>
      <w:bookmarkEnd w:id="286"/>
      <w:bookmarkStart w:id="287" w:name="_Toc184308108"/>
      <w:bookmarkEnd w:id="287"/>
      <w:bookmarkStart w:id="288" w:name="_Toc184313244"/>
      <w:bookmarkEnd w:id="288"/>
      <w:bookmarkStart w:id="289" w:name="_Toc184312085"/>
      <w:bookmarkEnd w:id="289"/>
      <w:bookmarkStart w:id="290" w:name="_Toc184308091"/>
      <w:bookmarkEnd w:id="290"/>
      <w:bookmarkStart w:id="291" w:name="_Toc184308094"/>
      <w:bookmarkEnd w:id="291"/>
      <w:bookmarkStart w:id="292" w:name="_Toc184313254"/>
      <w:bookmarkEnd w:id="292"/>
      <w:bookmarkStart w:id="293" w:name="_Toc184313285"/>
      <w:bookmarkEnd w:id="293"/>
      <w:bookmarkStart w:id="294" w:name="_Toc184314464"/>
      <w:bookmarkEnd w:id="294"/>
      <w:bookmarkStart w:id="295" w:name="_Toc184308095"/>
      <w:bookmarkEnd w:id="295"/>
      <w:bookmarkStart w:id="296" w:name="_Toc184308040"/>
      <w:bookmarkEnd w:id="296"/>
      <w:bookmarkStart w:id="297" w:name="_Toc184312077"/>
      <w:bookmarkEnd w:id="297"/>
      <w:bookmarkStart w:id="298" w:name="_Toc184310281"/>
      <w:bookmarkEnd w:id="298"/>
      <w:bookmarkStart w:id="299" w:name="_Toc184313301"/>
      <w:bookmarkEnd w:id="299"/>
      <w:bookmarkStart w:id="300" w:name="_Toc184314418"/>
      <w:bookmarkEnd w:id="300"/>
      <w:bookmarkStart w:id="301" w:name="_Toc184312084"/>
      <w:bookmarkEnd w:id="301"/>
      <w:bookmarkStart w:id="302" w:name="_Toc184314431"/>
      <w:bookmarkEnd w:id="302"/>
      <w:bookmarkStart w:id="303" w:name="_Toc184313250"/>
      <w:bookmarkEnd w:id="303"/>
      <w:bookmarkStart w:id="304" w:name="_Toc184312099"/>
      <w:bookmarkEnd w:id="304"/>
      <w:bookmarkStart w:id="305" w:name="_Toc184308093"/>
      <w:bookmarkEnd w:id="305"/>
      <w:bookmarkStart w:id="306" w:name="_Toc184308085"/>
      <w:bookmarkEnd w:id="306"/>
      <w:bookmarkStart w:id="307" w:name="_Toc184314419"/>
      <w:bookmarkEnd w:id="307"/>
      <w:bookmarkStart w:id="308" w:name="_Toc184314460"/>
      <w:bookmarkEnd w:id="308"/>
      <w:bookmarkStart w:id="309" w:name="_Toc184310315"/>
      <w:bookmarkEnd w:id="309"/>
      <w:bookmarkStart w:id="310" w:name="_Toc184314420"/>
      <w:bookmarkEnd w:id="310"/>
      <w:bookmarkStart w:id="311" w:name="_Toc184312092"/>
      <w:bookmarkEnd w:id="311"/>
      <w:bookmarkStart w:id="312" w:name="_Toc184310277"/>
      <w:bookmarkEnd w:id="312"/>
      <w:bookmarkStart w:id="313" w:name="_Toc184308048"/>
      <w:bookmarkEnd w:id="313"/>
      <w:bookmarkStart w:id="314" w:name="_Toc184313309"/>
      <w:bookmarkEnd w:id="314"/>
      <w:bookmarkStart w:id="315" w:name="_Toc184310336"/>
      <w:bookmarkEnd w:id="315"/>
      <w:bookmarkStart w:id="316" w:name="_Toc184313300"/>
      <w:bookmarkEnd w:id="316"/>
      <w:bookmarkStart w:id="317" w:name="_Toc184310317"/>
      <w:bookmarkEnd w:id="317"/>
      <w:bookmarkStart w:id="318" w:name="_Toc184310321"/>
      <w:bookmarkEnd w:id="318"/>
      <w:bookmarkStart w:id="319" w:name="_Toc184310285"/>
      <w:bookmarkEnd w:id="319"/>
      <w:bookmarkStart w:id="320" w:name="_Toc184312118"/>
      <w:bookmarkEnd w:id="320"/>
      <w:bookmarkStart w:id="321" w:name="_Toc184313282"/>
      <w:bookmarkEnd w:id="321"/>
      <w:bookmarkStart w:id="322" w:name="_Toc184308045"/>
      <w:bookmarkEnd w:id="322"/>
      <w:bookmarkStart w:id="323" w:name="_Toc184308041"/>
      <w:bookmarkEnd w:id="323"/>
      <w:bookmarkStart w:id="324" w:name="_Toc184310278"/>
      <w:bookmarkEnd w:id="324"/>
      <w:bookmarkStart w:id="325" w:name="_Toc184310323"/>
      <w:bookmarkEnd w:id="325"/>
      <w:bookmarkStart w:id="326" w:name="_Toc184314427"/>
      <w:bookmarkEnd w:id="326"/>
      <w:bookmarkStart w:id="327" w:name="_Toc184312120"/>
      <w:bookmarkEnd w:id="327"/>
      <w:bookmarkStart w:id="328" w:name="_Toc184310291"/>
      <w:bookmarkEnd w:id="328"/>
      <w:bookmarkStart w:id="329" w:name="_Toc184310330"/>
      <w:bookmarkEnd w:id="329"/>
      <w:bookmarkStart w:id="330" w:name="_Toc184313310"/>
      <w:bookmarkEnd w:id="330"/>
      <w:bookmarkStart w:id="331" w:name="_Toc184308100"/>
      <w:bookmarkEnd w:id="331"/>
      <w:bookmarkStart w:id="332" w:name="_Toc184308097"/>
      <w:bookmarkEnd w:id="332"/>
      <w:bookmarkStart w:id="333" w:name="_Toc184310333"/>
      <w:bookmarkEnd w:id="333"/>
      <w:bookmarkStart w:id="334" w:name="_Toc184310290"/>
      <w:bookmarkEnd w:id="334"/>
      <w:bookmarkStart w:id="335" w:name="_Toc184310306"/>
      <w:bookmarkEnd w:id="335"/>
      <w:bookmarkStart w:id="336" w:name="_Toc184313295"/>
      <w:bookmarkEnd w:id="336"/>
      <w:bookmarkStart w:id="337" w:name="_Toc184313297"/>
      <w:bookmarkEnd w:id="337"/>
      <w:bookmarkStart w:id="338" w:name="_Toc184313296"/>
      <w:bookmarkEnd w:id="338"/>
      <w:bookmarkStart w:id="339" w:name="_Toc184312080"/>
      <w:bookmarkEnd w:id="339"/>
      <w:bookmarkStart w:id="340" w:name="_Toc184313262"/>
      <w:bookmarkEnd w:id="340"/>
      <w:bookmarkStart w:id="341" w:name="_Toc184312086"/>
      <w:bookmarkEnd w:id="341"/>
      <w:bookmarkStart w:id="342" w:name="_Toc184313278"/>
      <w:bookmarkEnd w:id="342"/>
      <w:bookmarkStart w:id="343" w:name="_Toc184313308"/>
      <w:bookmarkEnd w:id="343"/>
      <w:bookmarkStart w:id="344" w:name="_Toc184308086"/>
      <w:bookmarkEnd w:id="344"/>
      <w:bookmarkStart w:id="345" w:name="_Toc184308046"/>
      <w:bookmarkEnd w:id="345"/>
      <w:bookmarkStart w:id="346" w:name="_Toc184314449"/>
      <w:bookmarkEnd w:id="346"/>
      <w:bookmarkStart w:id="347" w:name="_Toc184310287"/>
      <w:bookmarkEnd w:id="347"/>
      <w:bookmarkStart w:id="348" w:name="_Toc184312067"/>
      <w:bookmarkEnd w:id="348"/>
      <w:bookmarkStart w:id="349" w:name="_Toc184308042"/>
      <w:bookmarkEnd w:id="349"/>
      <w:bookmarkStart w:id="350" w:name="_Toc184308081"/>
      <w:bookmarkEnd w:id="350"/>
      <w:bookmarkStart w:id="351" w:name="_Toc184313263"/>
      <w:bookmarkEnd w:id="351"/>
      <w:bookmarkStart w:id="352" w:name="_Toc184312124"/>
      <w:bookmarkEnd w:id="352"/>
      <w:bookmarkStart w:id="353" w:name="_Toc184314475"/>
      <w:bookmarkEnd w:id="353"/>
      <w:bookmarkStart w:id="354" w:name="_Toc184310318"/>
      <w:bookmarkEnd w:id="354"/>
      <w:bookmarkStart w:id="355" w:name="_Toc184312117"/>
      <w:bookmarkEnd w:id="355"/>
      <w:bookmarkStart w:id="356" w:name="_Toc184314434"/>
      <w:bookmarkEnd w:id="356"/>
      <w:bookmarkStart w:id="357" w:name="_Toc184313303"/>
      <w:bookmarkEnd w:id="357"/>
      <w:bookmarkStart w:id="358" w:name="_Toc184310275"/>
      <w:bookmarkEnd w:id="358"/>
      <w:bookmarkStart w:id="359" w:name="_Toc184314452"/>
      <w:bookmarkEnd w:id="359"/>
      <w:bookmarkStart w:id="360" w:name="_Toc184312132"/>
      <w:bookmarkEnd w:id="360"/>
      <w:bookmarkStart w:id="361" w:name="_Toc184308058"/>
      <w:bookmarkEnd w:id="361"/>
      <w:bookmarkStart w:id="362" w:name="_Toc184308071"/>
      <w:bookmarkEnd w:id="362"/>
      <w:bookmarkStart w:id="363" w:name="_Toc184312103"/>
      <w:bookmarkEnd w:id="363"/>
      <w:bookmarkStart w:id="364" w:name="_Toc184308080"/>
      <w:bookmarkEnd w:id="364"/>
      <w:bookmarkStart w:id="365" w:name="_Toc184310339"/>
      <w:bookmarkEnd w:id="365"/>
      <w:bookmarkStart w:id="366" w:name="_Toc184312115"/>
      <w:bookmarkEnd w:id="366"/>
      <w:bookmarkStart w:id="367" w:name="_Toc184313273"/>
      <w:bookmarkEnd w:id="367"/>
      <w:bookmarkStart w:id="368" w:name="_Toc184314454"/>
      <w:bookmarkEnd w:id="368"/>
      <w:bookmarkStart w:id="369" w:name="_Toc184312078"/>
      <w:bookmarkEnd w:id="369"/>
      <w:bookmarkStart w:id="370" w:name="_Toc184310282"/>
      <w:bookmarkEnd w:id="370"/>
      <w:bookmarkStart w:id="371" w:name="_Toc184310299"/>
      <w:bookmarkEnd w:id="371"/>
      <w:bookmarkStart w:id="372" w:name="_Toc184313294"/>
      <w:bookmarkEnd w:id="372"/>
      <w:bookmarkStart w:id="373" w:name="_Toc184313306"/>
      <w:bookmarkEnd w:id="373"/>
      <w:bookmarkStart w:id="374" w:name="_Toc184314455"/>
      <w:bookmarkEnd w:id="374"/>
      <w:bookmarkStart w:id="375" w:name="_Toc184314438"/>
      <w:bookmarkEnd w:id="375"/>
      <w:bookmarkStart w:id="376" w:name="_Toc184313304"/>
      <w:bookmarkEnd w:id="376"/>
      <w:bookmarkStart w:id="377" w:name="_Toc184310300"/>
      <w:bookmarkEnd w:id="377"/>
      <w:bookmarkStart w:id="378" w:name="_Toc184308104"/>
      <w:bookmarkEnd w:id="378"/>
      <w:bookmarkStart w:id="379" w:name="_Toc184308036"/>
      <w:bookmarkEnd w:id="379"/>
      <w:bookmarkStart w:id="380" w:name="_Toc184310308"/>
      <w:bookmarkEnd w:id="380"/>
      <w:bookmarkStart w:id="381" w:name="_Toc184313293"/>
      <w:bookmarkEnd w:id="381"/>
      <w:bookmarkStart w:id="382" w:name="_Toc184314458"/>
      <w:bookmarkEnd w:id="382"/>
      <w:bookmarkStart w:id="383" w:name="_Toc184308044"/>
      <w:bookmarkEnd w:id="383"/>
      <w:bookmarkStart w:id="384" w:name="_Toc184310284"/>
      <w:bookmarkEnd w:id="384"/>
      <w:bookmarkStart w:id="385" w:name="_Toc184312110"/>
      <w:bookmarkEnd w:id="385"/>
      <w:bookmarkStart w:id="386" w:name="_Toc184310307"/>
      <w:bookmarkEnd w:id="386"/>
      <w:bookmarkStart w:id="387" w:name="_Toc184308047"/>
      <w:bookmarkEnd w:id="387"/>
      <w:bookmarkStart w:id="388" w:name="_Toc184308061"/>
      <w:bookmarkEnd w:id="388"/>
      <w:bookmarkStart w:id="389" w:name="_Toc184310289"/>
      <w:bookmarkEnd w:id="389"/>
      <w:bookmarkStart w:id="390" w:name="_Toc184310314"/>
      <w:bookmarkEnd w:id="390"/>
      <w:bookmarkStart w:id="391" w:name="_Toc184313288"/>
      <w:bookmarkEnd w:id="391"/>
      <w:bookmarkStart w:id="392" w:name="_Toc184310313"/>
      <w:bookmarkEnd w:id="392"/>
      <w:bookmarkStart w:id="393" w:name="_Toc184313284"/>
      <w:bookmarkEnd w:id="393"/>
      <w:bookmarkStart w:id="394" w:name="_Toc184314423"/>
      <w:bookmarkEnd w:id="394"/>
      <w:bookmarkStart w:id="395" w:name="_Toc184314441"/>
      <w:bookmarkEnd w:id="395"/>
      <w:bookmarkStart w:id="396" w:name="_Toc184313276"/>
      <w:bookmarkEnd w:id="396"/>
      <w:bookmarkStart w:id="397" w:name="_Toc184312114"/>
      <w:bookmarkEnd w:id="397"/>
      <w:bookmarkStart w:id="398" w:name="_Toc184314461"/>
      <w:bookmarkEnd w:id="398"/>
      <w:bookmarkStart w:id="399" w:name="_Toc184313251"/>
      <w:bookmarkEnd w:id="399"/>
      <w:bookmarkStart w:id="400" w:name="_Toc184312113"/>
      <w:bookmarkEnd w:id="400"/>
      <w:bookmarkStart w:id="401" w:name="_Toc184308056"/>
      <w:bookmarkEnd w:id="401"/>
      <w:bookmarkStart w:id="402" w:name="_Toc184314433"/>
      <w:bookmarkEnd w:id="402"/>
      <w:bookmarkStart w:id="403" w:name="_Toc184312090"/>
      <w:bookmarkEnd w:id="403"/>
      <w:bookmarkStart w:id="404" w:name="_Toc184312096"/>
      <w:bookmarkEnd w:id="404"/>
      <w:bookmarkStart w:id="405" w:name="_Toc184312116"/>
      <w:bookmarkEnd w:id="405"/>
      <w:bookmarkStart w:id="406" w:name="_Toc184310288"/>
      <w:bookmarkEnd w:id="406"/>
      <w:bookmarkStart w:id="407" w:name="_Toc184308062"/>
      <w:bookmarkEnd w:id="407"/>
      <w:bookmarkStart w:id="408" w:name="_Toc184312128"/>
      <w:bookmarkEnd w:id="408"/>
      <w:bookmarkStart w:id="409" w:name="_Toc184314416"/>
      <w:bookmarkEnd w:id="409"/>
      <w:bookmarkStart w:id="410" w:name="_Toc184313258"/>
      <w:bookmarkEnd w:id="410"/>
      <w:bookmarkStart w:id="411" w:name="_Toc184308102"/>
      <w:bookmarkEnd w:id="411"/>
      <w:bookmarkStart w:id="412" w:name="_Toc184312109"/>
      <w:bookmarkEnd w:id="412"/>
      <w:bookmarkStart w:id="413" w:name="_Toc184314415"/>
      <w:bookmarkEnd w:id="413"/>
      <w:bookmarkStart w:id="414" w:name="_Toc184312106"/>
      <w:bookmarkEnd w:id="414"/>
      <w:bookmarkStart w:id="415" w:name="_Toc184314462"/>
      <w:bookmarkEnd w:id="415"/>
      <w:bookmarkStart w:id="416" w:name="_Toc184310344"/>
      <w:bookmarkEnd w:id="416"/>
      <w:bookmarkStart w:id="417" w:name="_Toc184308063"/>
      <w:bookmarkEnd w:id="417"/>
      <w:bookmarkStart w:id="418" w:name="_Toc184308092"/>
      <w:bookmarkEnd w:id="418"/>
      <w:bookmarkStart w:id="419" w:name="_Toc184310329"/>
      <w:bookmarkEnd w:id="419"/>
      <w:bookmarkStart w:id="420" w:name="_Toc184313266"/>
      <w:bookmarkEnd w:id="420"/>
      <w:bookmarkStart w:id="421" w:name="_Toc184314417"/>
      <w:bookmarkEnd w:id="421"/>
      <w:bookmarkStart w:id="422" w:name="_Toc184310302"/>
      <w:bookmarkEnd w:id="422"/>
      <w:bookmarkStart w:id="423" w:name="_Toc184310296"/>
      <w:bookmarkEnd w:id="423"/>
      <w:bookmarkStart w:id="424" w:name="_Toc184312126"/>
      <w:bookmarkEnd w:id="424"/>
      <w:bookmarkStart w:id="425" w:name="_Toc184310327"/>
      <w:bookmarkEnd w:id="425"/>
      <w:r>
        <w:rPr>
          <w:rFonts w:hint="eastAsia" w:cs="仿宋_GB2312" w:asciiTheme="minorEastAsia" w:hAnsiTheme="minorEastAsia" w:eastAsiaTheme="minorEastAsia"/>
          <w:b/>
          <w:sz w:val="36"/>
          <w:szCs w:val="36"/>
        </w:rPr>
        <w:t xml:space="preserve"> 评标办法</w:t>
      </w:r>
      <w:bookmarkEnd w:id="60"/>
    </w:p>
    <w:p>
      <w:pPr>
        <w:pStyle w:val="5"/>
        <w:rPr>
          <w:rFonts w:cs="仿宋_GB2312" w:asciiTheme="minorEastAsia" w:hAnsiTheme="minorEastAsia" w:eastAsiaTheme="minorEastAsia"/>
          <w:sz w:val="24"/>
          <w:lang w:val="en-US"/>
        </w:rPr>
      </w:pPr>
      <w:bookmarkStart w:id="426" w:name="_Toc28626"/>
      <w:r>
        <w:rPr>
          <w:rFonts w:hint="eastAsia" w:cs="仿宋_GB2312" w:asciiTheme="minorEastAsia" w:hAnsiTheme="minorEastAsia" w:eastAsiaTheme="minorEastAsia"/>
          <w:sz w:val="24"/>
          <w:lang w:val="en-US"/>
        </w:rPr>
        <w:t>一、评标方法</w:t>
      </w:r>
      <w:bookmarkEnd w:id="426"/>
    </w:p>
    <w:p>
      <w:pPr>
        <w:adjustRightInd/>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1.</w:t>
      </w:r>
      <w:r>
        <w:rPr>
          <w:rFonts w:hint="eastAsia" w:cs="Arial" w:asciiTheme="minorEastAsia" w:hAnsiTheme="minorEastAsia" w:eastAsiaTheme="minorEastAsia"/>
          <w:b/>
          <w:kern w:val="0"/>
          <w:sz w:val="24"/>
        </w:rPr>
        <w:t>本项目采用综合评分法。</w:t>
      </w:r>
      <w:r>
        <w:rPr>
          <w:rFonts w:hint="eastAsia" w:cs="Arial"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pStyle w:val="5"/>
        <w:rPr>
          <w:rFonts w:cs="仿宋_GB2312" w:asciiTheme="minorEastAsia" w:hAnsiTheme="minorEastAsia" w:eastAsiaTheme="minorEastAsia"/>
          <w:sz w:val="24"/>
          <w:lang w:val="en-US"/>
        </w:rPr>
      </w:pPr>
      <w:bookmarkStart w:id="427" w:name="_Toc10405"/>
      <w:r>
        <w:rPr>
          <w:rFonts w:hint="eastAsia" w:cs="仿宋_GB2312" w:asciiTheme="minorEastAsia" w:hAnsiTheme="minorEastAsia" w:eastAsiaTheme="minorEastAsia"/>
          <w:sz w:val="24"/>
          <w:lang w:val="en-US"/>
        </w:rPr>
        <w:t>二、评标标准</w:t>
      </w:r>
      <w:bookmarkEnd w:id="427"/>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每个投标人最终得分=商务报价分+资信分+技术分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2.1 商务报价分30分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商务报价评分将在有效投标人范围内进行，最高得30分，小数点后保留2位小数。满足招标文件要求且投标价格最低的投标报价为评标基准价，其商务报价分为满分。其他投标人的价格分按照下列公式计算：</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商务报价分=(评标基准价／投标报价)×30。</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此项由评标委员会集体核实后统一打分。</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2.2 资信评分5分</w:t>
      </w:r>
    </w:p>
    <w:p>
      <w:pPr>
        <w:spacing w:line="360" w:lineRule="auto"/>
        <w:ind w:firstLine="420"/>
        <w:rPr>
          <w:rFonts w:ascii="宋体" w:hAnsi="宋体" w:cs="宋体"/>
          <w:sz w:val="24"/>
        </w:rPr>
      </w:pPr>
      <w:r>
        <w:rPr>
          <w:rFonts w:hint="eastAsia" w:cs="仿宋_GB2312" w:asciiTheme="minorEastAsia" w:hAnsiTheme="minorEastAsia" w:eastAsiaTheme="minorEastAsia"/>
          <w:sz w:val="24"/>
        </w:rPr>
        <w:t>2.2.1</w:t>
      </w:r>
      <w:r>
        <w:rPr>
          <w:rFonts w:hint="eastAsia" w:ascii="宋体" w:hAnsi="宋体" w:cs="宋体"/>
          <w:sz w:val="24"/>
        </w:rPr>
        <w:t>供应商自</w:t>
      </w:r>
      <w:r>
        <w:rPr>
          <w:rFonts w:hint="eastAsia" w:ascii="宋体" w:hAnsi="宋体" w:cs="仿宋"/>
          <w:sz w:val="24"/>
        </w:rPr>
        <w:t>2</w:t>
      </w:r>
      <w:r>
        <w:rPr>
          <w:rFonts w:ascii="宋体" w:hAnsi="宋体" w:cs="仿宋"/>
          <w:sz w:val="24"/>
        </w:rPr>
        <w:t>0</w:t>
      </w:r>
      <w:r>
        <w:rPr>
          <w:rFonts w:hint="eastAsia" w:ascii="宋体" w:hAnsi="宋体" w:cs="仿宋"/>
          <w:sz w:val="24"/>
        </w:rPr>
        <w:t>19年8月</w:t>
      </w:r>
      <w:r>
        <w:rPr>
          <w:rFonts w:hint="eastAsia" w:ascii="宋体" w:hAnsi="宋体" w:cs="宋体"/>
          <w:sz w:val="24"/>
        </w:rPr>
        <w:t>以来承接过的同类项目业绩，每个得1分，最高3分；（业绩必须提供相应的证明文件，时间以合同签订时间为准。原则上以响应文件中的复印件为准）（0-3分）</w:t>
      </w:r>
    </w:p>
    <w:p>
      <w:pPr>
        <w:pStyle w:val="3"/>
        <w:rPr>
          <w:lang w:val="en-US"/>
        </w:rPr>
      </w:pPr>
      <w:r>
        <w:rPr>
          <w:rFonts w:hint="eastAsia" w:hAnsi="宋体" w:cs="宋体"/>
          <w:szCs w:val="24"/>
          <w:lang w:val="en-US"/>
        </w:rPr>
        <w:t>2.2.2投标人具有有效的ISO质量管理体系认证证书、ISO环境认证体系认证证书、ISO职业安全健康管理体系认证证书、ITSS信息技术服务运行维护标准符合性认证证书的，每提供一个得0.5分，最高2分，不提供不得分。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此项由评标委员会集体核实后统一打分。</w:t>
      </w:r>
    </w:p>
    <w:p>
      <w:pPr>
        <w:keepNext/>
        <w:keepLines/>
        <w:spacing w:line="360" w:lineRule="auto"/>
        <w:ind w:firstLine="422"/>
        <w:outlineLvl w:val="2"/>
        <w:rPr>
          <w:rFonts w:cs="仿宋_GB2312" w:asciiTheme="minorEastAsia" w:hAnsiTheme="minorEastAsia" w:eastAsiaTheme="minorEastAsia"/>
          <w:b/>
          <w:bCs/>
          <w:kern w:val="0"/>
          <w:sz w:val="24"/>
        </w:rPr>
      </w:pPr>
      <w:r>
        <w:rPr>
          <w:rFonts w:hint="eastAsia" w:cs="仿宋_GB2312" w:asciiTheme="minorEastAsia" w:hAnsiTheme="minorEastAsia" w:eastAsiaTheme="minorEastAsia"/>
          <w:b/>
          <w:bCs/>
          <w:kern w:val="0"/>
          <w:sz w:val="24"/>
        </w:rPr>
        <w:t>2.3 技术评分65分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该评分分值由评标委员会根据评审情况在分值范围内独立打分（具体分值设定详见表格），小数点后保留2位小数。每个投标人的最终技术得分为评标委员会打分的算术平均值。</w:t>
      </w:r>
    </w:p>
    <w:tbl>
      <w:tblPr>
        <w:tblStyle w:val="62"/>
        <w:tblW w:w="566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53"/>
        <w:gridCol w:w="1378"/>
        <w:gridCol w:w="5995"/>
        <w:gridCol w:w="1037"/>
        <w:gridCol w:w="13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blHeader/>
          <w:jc w:val="center"/>
        </w:trPr>
        <w:tc>
          <w:tcPr>
            <w:tcW w:w="358" w:type="pct"/>
            <w:vAlign w:val="center"/>
          </w:tcPr>
          <w:p>
            <w:pPr>
              <w:pStyle w:val="480"/>
              <w:snapToGrid w:val="0"/>
              <w:spacing w:line="360" w:lineRule="auto"/>
              <w:rPr>
                <w:rFonts w:ascii="宋体" w:hAnsi="宋体" w:cs="宋体"/>
                <w:b/>
                <w:kern w:val="0"/>
                <w:szCs w:val="21"/>
              </w:rPr>
            </w:pPr>
            <w:r>
              <w:rPr>
                <w:rFonts w:hint="eastAsia" w:ascii="宋体" w:hAnsi="宋体" w:cs="宋体"/>
                <w:b/>
                <w:kern w:val="0"/>
                <w:szCs w:val="21"/>
              </w:rPr>
              <w:t>序号</w:t>
            </w:r>
          </w:p>
        </w:tc>
        <w:tc>
          <w:tcPr>
            <w:tcW w:w="655" w:type="pct"/>
          </w:tcPr>
          <w:p>
            <w:pPr>
              <w:pStyle w:val="480"/>
              <w:snapToGrid w:val="0"/>
              <w:spacing w:line="360" w:lineRule="auto"/>
              <w:rPr>
                <w:rFonts w:ascii="宋体" w:hAnsi="宋体" w:cs="宋体"/>
                <w:b/>
                <w:kern w:val="0"/>
                <w:szCs w:val="21"/>
              </w:rPr>
            </w:pPr>
            <w:r>
              <w:rPr>
                <w:rFonts w:hint="eastAsia" w:ascii="宋体" w:hAnsi="宋体" w:cs="宋体"/>
                <w:b/>
                <w:kern w:val="0"/>
                <w:szCs w:val="21"/>
              </w:rPr>
              <w:t>评分内容</w:t>
            </w:r>
          </w:p>
        </w:tc>
        <w:tc>
          <w:tcPr>
            <w:tcW w:w="2850" w:type="pct"/>
            <w:vAlign w:val="center"/>
          </w:tcPr>
          <w:p>
            <w:pPr>
              <w:pStyle w:val="480"/>
              <w:snapToGrid w:val="0"/>
              <w:spacing w:line="360" w:lineRule="auto"/>
              <w:rPr>
                <w:rFonts w:ascii="宋体" w:hAnsi="宋体" w:cs="宋体"/>
                <w:b/>
                <w:kern w:val="0"/>
                <w:szCs w:val="21"/>
              </w:rPr>
            </w:pPr>
            <w:r>
              <w:rPr>
                <w:rFonts w:hint="eastAsia" w:ascii="宋体" w:hAnsi="宋体" w:cs="宋体"/>
                <w:b/>
                <w:kern w:val="0"/>
                <w:szCs w:val="21"/>
              </w:rPr>
              <w:t>评分标准</w:t>
            </w:r>
          </w:p>
        </w:tc>
        <w:tc>
          <w:tcPr>
            <w:tcW w:w="493" w:type="pct"/>
            <w:vAlign w:val="center"/>
          </w:tcPr>
          <w:p>
            <w:pPr>
              <w:pStyle w:val="480"/>
              <w:snapToGrid w:val="0"/>
              <w:spacing w:line="360" w:lineRule="auto"/>
              <w:rPr>
                <w:rFonts w:ascii="宋体" w:hAnsi="宋体" w:cs="宋体"/>
                <w:b/>
                <w:kern w:val="0"/>
                <w:szCs w:val="21"/>
              </w:rPr>
            </w:pPr>
            <w:r>
              <w:rPr>
                <w:rFonts w:hint="eastAsia" w:ascii="宋体" w:hAnsi="宋体" w:cs="宋体"/>
                <w:b/>
                <w:kern w:val="0"/>
                <w:szCs w:val="21"/>
              </w:rPr>
              <w:t>分值</w:t>
            </w:r>
          </w:p>
        </w:tc>
        <w:tc>
          <w:tcPr>
            <w:tcW w:w="642" w:type="pct"/>
          </w:tcPr>
          <w:p>
            <w:pPr>
              <w:pStyle w:val="480"/>
              <w:snapToGrid w:val="0"/>
              <w:spacing w:line="360" w:lineRule="auto"/>
              <w:rPr>
                <w:rFonts w:ascii="宋体" w:hAnsi="宋体" w:cs="宋体"/>
                <w:b/>
                <w:kern w:val="0"/>
                <w:szCs w:val="21"/>
              </w:rPr>
            </w:pPr>
            <w:r>
              <w:rPr>
                <w:rFonts w:hint="eastAsia" w:ascii="宋体" w:hAnsi="宋体" w:cs="宋体"/>
                <w:b/>
                <w:kern w:val="0"/>
                <w:szCs w:val="21"/>
              </w:rPr>
              <w:t>评分类型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0" w:hRule="atLeast"/>
          <w:jc w:val="center"/>
        </w:trPr>
        <w:tc>
          <w:tcPr>
            <w:tcW w:w="358" w:type="pct"/>
            <w:vAlign w:val="center"/>
          </w:tcPr>
          <w:p>
            <w:pPr>
              <w:pStyle w:val="480"/>
              <w:snapToGrid w:val="0"/>
              <w:spacing w:line="360" w:lineRule="auto"/>
              <w:rPr>
                <w:rFonts w:ascii="宋体" w:hAnsi="宋体" w:cs="宋体"/>
                <w:kern w:val="0"/>
                <w:szCs w:val="21"/>
              </w:rPr>
            </w:pPr>
            <w:r>
              <w:rPr>
                <w:rFonts w:hint="eastAsia" w:ascii="宋体" w:hAnsi="宋体" w:cs="宋体"/>
                <w:kern w:val="0"/>
                <w:szCs w:val="21"/>
              </w:rPr>
              <w:t>1</w:t>
            </w:r>
          </w:p>
        </w:tc>
        <w:tc>
          <w:tcPr>
            <w:tcW w:w="655" w:type="pct"/>
            <w:vAlign w:val="center"/>
          </w:tcPr>
          <w:p>
            <w:pPr>
              <w:pStyle w:val="480"/>
              <w:snapToGrid w:val="0"/>
              <w:spacing w:line="360" w:lineRule="auto"/>
              <w:rPr>
                <w:rFonts w:ascii="宋体" w:hAnsi="宋体" w:cs="宋体"/>
                <w:szCs w:val="21"/>
              </w:rPr>
            </w:pPr>
            <w:r>
              <w:rPr>
                <w:rFonts w:hint="eastAsia" w:ascii="宋体" w:hAnsi="宋体" w:cs="宋体"/>
                <w:szCs w:val="21"/>
              </w:rPr>
              <w:t>项目理解</w:t>
            </w:r>
          </w:p>
        </w:tc>
        <w:tc>
          <w:tcPr>
            <w:tcW w:w="2850" w:type="pct"/>
            <w:vAlign w:val="center"/>
          </w:tcPr>
          <w:p>
            <w:pPr>
              <w:pStyle w:val="480"/>
              <w:snapToGrid w:val="0"/>
              <w:spacing w:line="360" w:lineRule="auto"/>
              <w:jc w:val="left"/>
              <w:rPr>
                <w:rFonts w:ascii="宋体" w:hAnsi="宋体" w:cs="宋体"/>
                <w:szCs w:val="21"/>
              </w:rPr>
            </w:pPr>
            <w:r>
              <w:rPr>
                <w:rFonts w:hint="eastAsia" w:ascii="宋体" w:hAnsi="宋体" w:cs="宋体"/>
                <w:szCs w:val="21"/>
              </w:rPr>
              <w:t>响应供应商提供的针对本项目的建设总体要求的理解、建设重点难点分析、针对本项目实现的目标、交付成果的明确程度进行评审：分析全面、准确5分；分析基本合理3分；分析欠全面合理1分；没有不得分。</w:t>
            </w:r>
          </w:p>
        </w:tc>
        <w:tc>
          <w:tcPr>
            <w:tcW w:w="493" w:type="pct"/>
            <w:vAlign w:val="center"/>
          </w:tcPr>
          <w:p>
            <w:pPr>
              <w:pStyle w:val="480"/>
              <w:snapToGrid w:val="0"/>
              <w:spacing w:line="360" w:lineRule="auto"/>
              <w:rPr>
                <w:rFonts w:ascii="宋体" w:hAnsi="宋体" w:cs="宋体"/>
                <w:szCs w:val="21"/>
              </w:rPr>
            </w:pPr>
            <w:r>
              <w:rPr>
                <w:rFonts w:hint="eastAsia" w:ascii="宋体" w:hAnsi="宋体" w:cs="宋体"/>
                <w:szCs w:val="21"/>
              </w:rPr>
              <w:t>0-5分</w:t>
            </w:r>
          </w:p>
        </w:tc>
        <w:tc>
          <w:tcPr>
            <w:tcW w:w="642" w:type="pct"/>
            <w:vAlign w:val="center"/>
          </w:tcPr>
          <w:p>
            <w:pPr>
              <w:pStyle w:val="480"/>
              <w:snapToGrid w:val="0"/>
              <w:spacing w:line="360" w:lineRule="auto"/>
              <w:rPr>
                <w:rFonts w:ascii="宋体" w:hAnsi="宋体" w:cs="宋体"/>
                <w:szCs w:val="21"/>
              </w:rPr>
            </w:pPr>
            <w:r>
              <w:rPr>
                <w:rFonts w:hint="eastAsia" w:ascii="宋体" w:hAnsi="宋体" w:cs="宋体"/>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58" w:type="pct"/>
            <w:vAlign w:val="center"/>
          </w:tcPr>
          <w:p>
            <w:pPr>
              <w:pStyle w:val="480"/>
              <w:snapToGrid w:val="0"/>
              <w:spacing w:line="360" w:lineRule="auto"/>
              <w:rPr>
                <w:rFonts w:ascii="宋体" w:hAnsi="宋体" w:cs="宋体"/>
                <w:kern w:val="0"/>
                <w:szCs w:val="21"/>
              </w:rPr>
            </w:pPr>
            <w:r>
              <w:rPr>
                <w:rFonts w:hint="eastAsia" w:ascii="宋体" w:hAnsi="宋体" w:cs="宋体"/>
                <w:kern w:val="0"/>
                <w:szCs w:val="21"/>
              </w:rPr>
              <w:t>2</w:t>
            </w:r>
          </w:p>
        </w:tc>
        <w:tc>
          <w:tcPr>
            <w:tcW w:w="655" w:type="pct"/>
            <w:vAlign w:val="center"/>
          </w:tcPr>
          <w:p>
            <w:pPr>
              <w:pStyle w:val="480"/>
              <w:snapToGrid w:val="0"/>
              <w:spacing w:line="360" w:lineRule="auto"/>
              <w:rPr>
                <w:rFonts w:ascii="宋体" w:hAnsi="宋体" w:cs="宋体"/>
                <w:szCs w:val="21"/>
              </w:rPr>
            </w:pPr>
            <w:r>
              <w:rPr>
                <w:rFonts w:hint="eastAsia" w:ascii="宋体" w:hAnsi="宋体" w:cs="宋体"/>
                <w:szCs w:val="21"/>
              </w:rPr>
              <w:t>项目演示</w:t>
            </w:r>
          </w:p>
        </w:tc>
        <w:tc>
          <w:tcPr>
            <w:tcW w:w="2850" w:type="pct"/>
            <w:vAlign w:val="center"/>
          </w:tcPr>
          <w:p>
            <w:pPr>
              <w:pStyle w:val="480"/>
              <w:snapToGrid w:val="0"/>
              <w:spacing w:line="360" w:lineRule="auto"/>
              <w:rPr>
                <w:rFonts w:ascii="宋体" w:hAnsi="宋体" w:cs="宋体"/>
                <w:szCs w:val="21"/>
                <w:lang w:bidi="ar"/>
              </w:rPr>
            </w:pPr>
            <w:r>
              <w:rPr>
                <w:rFonts w:hint="eastAsia" w:ascii="宋体" w:hAnsi="宋体" w:cs="宋体"/>
                <w:szCs w:val="21"/>
                <w:lang w:bidi="ar"/>
              </w:rPr>
              <w:t>一、便携式人工智能教学平台（含师资培训）提供便携式人工智能教学平台，展示其利用外接的摄像头实现人脸识别及口罩佩戴识别的应用。全部演示成功得1分，其他不得分</w:t>
            </w:r>
          </w:p>
          <w:p>
            <w:pPr>
              <w:pStyle w:val="480"/>
              <w:snapToGrid w:val="0"/>
              <w:spacing w:line="360" w:lineRule="auto"/>
              <w:rPr>
                <w:rFonts w:ascii="宋体" w:hAnsi="宋体" w:cs="宋体"/>
                <w:szCs w:val="21"/>
                <w:lang w:bidi="ar"/>
              </w:rPr>
            </w:pPr>
            <w:r>
              <w:rPr>
                <w:rFonts w:hint="eastAsia" w:ascii="宋体" w:hAnsi="宋体" w:cs="宋体"/>
                <w:szCs w:val="21"/>
                <w:lang w:bidi="ar"/>
              </w:rPr>
              <w:t>二、开源人形双足教育机器人套件（含传感器）</w:t>
            </w:r>
            <w:r>
              <w:rPr>
                <w:rFonts w:hint="eastAsia" w:ascii="宋体" w:hAnsi="宋体" w:cs="宋体"/>
                <w:szCs w:val="21"/>
                <w:lang w:bidi="ar"/>
              </w:rPr>
              <w:tab/>
            </w:r>
            <w:r>
              <w:rPr>
                <w:rFonts w:hint="eastAsia" w:ascii="宋体" w:hAnsi="宋体" w:cs="宋体"/>
                <w:szCs w:val="21"/>
                <w:lang w:bidi="ar"/>
              </w:rPr>
              <w:t>演示开源人形双足教育机器人套装的样品，并展示其头部、双眼、双手、双脚、以及身体关节（≥16个自由度），演示连接HDMI后，调用机器人本体系统中的图形化编程工具，控制机器人的运动能力，做出≥4种运动动作。全部演示成功得1分，其他不得分</w:t>
            </w:r>
          </w:p>
          <w:p>
            <w:pPr>
              <w:pStyle w:val="480"/>
              <w:snapToGrid w:val="0"/>
              <w:spacing w:line="360" w:lineRule="auto"/>
              <w:rPr>
                <w:rFonts w:ascii="宋体" w:hAnsi="宋体" w:cs="宋体"/>
                <w:szCs w:val="21"/>
                <w:lang w:bidi="ar"/>
              </w:rPr>
            </w:pPr>
            <w:r>
              <w:rPr>
                <w:rFonts w:hint="eastAsia" w:ascii="宋体" w:hAnsi="宋体" w:cs="宋体"/>
                <w:szCs w:val="21"/>
                <w:lang w:bidi="ar"/>
              </w:rPr>
              <w:t>三、提供开源人形双足教育机器人套装样品，演示其视觉识别功能：识别颜色（如红色和绿色）。全部演示成功得1分，其他不得分</w:t>
            </w:r>
          </w:p>
          <w:p>
            <w:pPr>
              <w:pStyle w:val="480"/>
              <w:snapToGrid w:val="0"/>
              <w:spacing w:line="360" w:lineRule="auto"/>
              <w:rPr>
                <w:rFonts w:ascii="宋体" w:hAnsi="宋体" w:cs="宋体"/>
                <w:szCs w:val="21"/>
                <w:lang w:bidi="ar"/>
              </w:rPr>
            </w:pPr>
            <w:r>
              <w:rPr>
                <w:rFonts w:hint="eastAsia" w:ascii="宋体" w:hAnsi="宋体" w:cs="宋体"/>
                <w:szCs w:val="21"/>
                <w:lang w:bidi="ar"/>
              </w:rPr>
              <w:t>四、提供开源人形双足教育机器人套装样品，演示其视觉识别功能：识别颜色（如红色和绿色）。全部演示成功得1分，其他不得分</w:t>
            </w:r>
          </w:p>
          <w:p>
            <w:pPr>
              <w:pStyle w:val="480"/>
              <w:snapToGrid w:val="0"/>
              <w:spacing w:line="360" w:lineRule="auto"/>
              <w:rPr>
                <w:rFonts w:ascii="宋体" w:hAnsi="宋体" w:cs="宋体"/>
                <w:szCs w:val="21"/>
                <w:lang w:bidi="ar"/>
              </w:rPr>
            </w:pPr>
            <w:r>
              <w:rPr>
                <w:rFonts w:hint="eastAsia" w:ascii="宋体" w:hAnsi="宋体" w:cs="宋体"/>
                <w:szCs w:val="21"/>
                <w:lang w:bidi="ar"/>
              </w:rPr>
              <w:t xml:space="preserve">五、实验课程资源提供深度学习和机器视觉方向的微课片段，片段时长各约1分钟，一个方向0.5分，共1分。满足以上方向和时长的视频得分，其他不得分。  </w:t>
            </w:r>
          </w:p>
          <w:p>
            <w:pPr>
              <w:pStyle w:val="480"/>
              <w:snapToGrid w:val="0"/>
              <w:spacing w:line="360" w:lineRule="auto"/>
              <w:rPr>
                <w:rFonts w:ascii="宋体" w:hAnsi="宋体" w:cs="宋体"/>
                <w:szCs w:val="21"/>
                <w:lang w:bidi="ar"/>
              </w:rPr>
            </w:pPr>
            <w:r>
              <w:rPr>
                <w:rFonts w:hint="eastAsia" w:ascii="宋体" w:hAnsi="宋体" w:cs="宋体"/>
                <w:szCs w:val="21"/>
                <w:lang w:bidi="ar"/>
              </w:rPr>
              <w:t>六、智慧物流管理课程软件演示内容；</w:t>
            </w:r>
          </w:p>
          <w:p>
            <w:pPr>
              <w:pStyle w:val="480"/>
              <w:snapToGrid w:val="0"/>
              <w:spacing w:line="360" w:lineRule="auto"/>
              <w:rPr>
                <w:rFonts w:ascii="宋体" w:hAnsi="宋体" w:cs="宋体"/>
                <w:szCs w:val="21"/>
                <w:lang w:bidi="ar"/>
              </w:rPr>
            </w:pPr>
            <w:r>
              <w:rPr>
                <w:rFonts w:hint="eastAsia" w:ascii="宋体" w:hAnsi="宋体" w:cs="宋体"/>
                <w:szCs w:val="21"/>
                <w:lang w:bidi="ar"/>
              </w:rPr>
              <w:t>1、要求对智能搬运机器人、工作站台、无人叉车等设备进行WCS配置管理。投标时须演示该项功能。全部演示成功得0.5分，其他不得分</w:t>
            </w:r>
          </w:p>
          <w:p>
            <w:pPr>
              <w:pStyle w:val="480"/>
              <w:snapToGrid w:val="0"/>
              <w:spacing w:line="360" w:lineRule="auto"/>
              <w:rPr>
                <w:rFonts w:ascii="宋体" w:hAnsi="宋体" w:cs="宋体"/>
                <w:szCs w:val="21"/>
                <w:lang w:bidi="ar"/>
              </w:rPr>
            </w:pPr>
            <w:r>
              <w:rPr>
                <w:rFonts w:hint="eastAsia" w:ascii="宋体" w:hAnsi="宋体" w:cs="宋体"/>
                <w:szCs w:val="21"/>
                <w:lang w:bidi="ar"/>
              </w:rPr>
              <w:t>2、要求入库货物箱子规格至少包括：430X320X300；310X240X230；600X400X500；370X240X270；480X380X360；400X300X260；340X250X280；440X270X250mm（投标时须演示该项功能。）全部演示成功得0.5分，其他不得分</w:t>
            </w:r>
          </w:p>
          <w:p>
            <w:pPr>
              <w:pStyle w:val="480"/>
              <w:snapToGrid w:val="0"/>
              <w:spacing w:line="360" w:lineRule="auto"/>
              <w:rPr>
                <w:rFonts w:ascii="宋体" w:hAnsi="宋体" w:cs="宋体"/>
                <w:szCs w:val="21"/>
                <w:lang w:bidi="ar"/>
              </w:rPr>
            </w:pPr>
            <w:r>
              <w:rPr>
                <w:rFonts w:hint="eastAsia" w:ascii="宋体" w:hAnsi="宋体" w:cs="宋体"/>
                <w:szCs w:val="21"/>
                <w:lang w:bidi="ar"/>
              </w:rPr>
              <w:t>3、要求使用WCS系统确定商品入库完成（投标时须演示该项功能。）全部演示成功得0.5分，其他不得分</w:t>
            </w:r>
          </w:p>
          <w:p>
            <w:pPr>
              <w:pStyle w:val="480"/>
              <w:snapToGrid w:val="0"/>
              <w:spacing w:line="360" w:lineRule="auto"/>
              <w:rPr>
                <w:rFonts w:ascii="宋体" w:hAnsi="宋体" w:cs="宋体"/>
                <w:szCs w:val="21"/>
                <w:lang w:bidi="ar"/>
              </w:rPr>
            </w:pPr>
            <w:r>
              <w:rPr>
                <w:rFonts w:hint="eastAsia" w:ascii="宋体" w:hAnsi="宋体" w:cs="宋体"/>
                <w:szCs w:val="21"/>
                <w:lang w:bidi="ar"/>
              </w:rPr>
              <w:t>4、要求货到人拣选工位不少于6个；打包工位19个；投标时须演示该项功能。全部演示成功得0.5分，其他不得分</w:t>
            </w:r>
          </w:p>
          <w:p>
            <w:pPr>
              <w:pStyle w:val="480"/>
              <w:snapToGrid w:val="0"/>
              <w:spacing w:line="360" w:lineRule="auto"/>
              <w:rPr>
                <w:rFonts w:ascii="宋体" w:hAnsi="宋体" w:cs="宋体"/>
                <w:szCs w:val="21"/>
                <w:lang w:bidi="ar"/>
              </w:rPr>
            </w:pPr>
            <w:r>
              <w:rPr>
                <w:rFonts w:hint="eastAsia" w:ascii="宋体" w:hAnsi="宋体" w:cs="宋体"/>
                <w:szCs w:val="21"/>
                <w:lang w:bidi="ar"/>
              </w:rPr>
              <w:t>5、仿真任务：系统支持融合虚拟仿真运营实践项目开展，支持课程实践环节引用虚拟仿真项目，支持对虚拟仿真相关教学资源引用。可以直接进入仿真虚拟环境进行操作运营。小组模式时，教师可以进入学生工作场景观察学生的任务操作过程和完成情况。投标时须演示该项功能。全部演示成功得0.5分，其他不得分</w:t>
            </w:r>
          </w:p>
          <w:p>
            <w:pPr>
              <w:pStyle w:val="480"/>
              <w:snapToGrid w:val="0"/>
              <w:spacing w:line="360" w:lineRule="auto"/>
              <w:rPr>
                <w:rFonts w:ascii="宋体" w:hAnsi="宋体" w:cs="宋体"/>
                <w:szCs w:val="21"/>
                <w:lang w:bidi="ar"/>
              </w:rPr>
            </w:pPr>
            <w:r>
              <w:rPr>
                <w:rFonts w:hint="eastAsia" w:ascii="宋体" w:hAnsi="宋体" w:cs="宋体"/>
                <w:szCs w:val="21"/>
                <w:lang w:bidi="ar"/>
              </w:rPr>
              <w:t>6、成绩评价：作业得分、作品得分、测验得分、仿真得分以及综合得分。投标时须演示该项功能。全部演示成功得0.5分，其他不得分</w:t>
            </w:r>
          </w:p>
          <w:p>
            <w:pPr>
              <w:pStyle w:val="480"/>
              <w:snapToGrid w:val="0"/>
              <w:spacing w:line="360" w:lineRule="auto"/>
              <w:rPr>
                <w:rFonts w:ascii="宋体" w:hAnsi="宋体" w:cs="宋体"/>
                <w:szCs w:val="21"/>
                <w:lang w:bidi="ar"/>
              </w:rPr>
            </w:pPr>
            <w:r>
              <w:rPr>
                <w:rFonts w:hint="eastAsia" w:ascii="宋体" w:hAnsi="宋体" w:cs="宋体"/>
                <w:szCs w:val="21"/>
                <w:lang w:bidi="ar"/>
              </w:rPr>
              <w:t>7、职业技能测评（投标时须演示以下功能。全部演示成功得1分，其他不得分）</w:t>
            </w:r>
          </w:p>
          <w:p>
            <w:pPr>
              <w:pStyle w:val="480"/>
              <w:snapToGrid w:val="0"/>
              <w:spacing w:line="360" w:lineRule="auto"/>
              <w:rPr>
                <w:rFonts w:ascii="宋体" w:hAnsi="宋体" w:cs="宋体"/>
                <w:szCs w:val="21"/>
                <w:lang w:bidi="ar"/>
              </w:rPr>
            </w:pPr>
            <w:r>
              <w:rPr>
                <w:rFonts w:hint="eastAsia" w:ascii="宋体" w:hAnsi="宋体" w:cs="宋体"/>
                <w:szCs w:val="21"/>
                <w:lang w:bidi="ar"/>
              </w:rPr>
              <w:t>(1)根据COMET职业能力测评模型，关注职业效度，以典型工作任务作为考题，对学习者功能性能力、过程能力与设计能力等方面进行评价；</w:t>
            </w:r>
          </w:p>
          <w:p>
            <w:pPr>
              <w:pStyle w:val="480"/>
              <w:snapToGrid w:val="0"/>
              <w:spacing w:line="360" w:lineRule="auto"/>
              <w:rPr>
                <w:rFonts w:ascii="宋体" w:hAnsi="宋体" w:cs="宋体"/>
                <w:szCs w:val="21"/>
                <w:lang w:bidi="ar"/>
              </w:rPr>
            </w:pPr>
            <w:r>
              <w:rPr>
                <w:rFonts w:hint="eastAsia" w:ascii="宋体" w:hAnsi="宋体" w:cs="宋体"/>
                <w:szCs w:val="21"/>
                <w:lang w:bidi="ar"/>
              </w:rPr>
              <w:t>(2)测评覆盖过程性与终结性考核；</w:t>
            </w:r>
          </w:p>
          <w:p>
            <w:pPr>
              <w:pStyle w:val="480"/>
              <w:snapToGrid w:val="0"/>
              <w:spacing w:line="360" w:lineRule="auto"/>
              <w:rPr>
                <w:rFonts w:ascii="宋体" w:hAnsi="宋体" w:cs="宋体"/>
                <w:szCs w:val="21"/>
                <w:lang w:bidi="ar"/>
              </w:rPr>
            </w:pPr>
            <w:r>
              <w:rPr>
                <w:rFonts w:hint="eastAsia" w:ascii="宋体" w:hAnsi="宋体" w:cs="宋体"/>
                <w:szCs w:val="21"/>
                <w:lang w:bidi="ar"/>
              </w:rPr>
              <w:t>(3)测评类型包括测验、作业、作品、方案设计、仿真实施等；</w:t>
            </w:r>
          </w:p>
          <w:p>
            <w:pPr>
              <w:pStyle w:val="480"/>
              <w:snapToGrid w:val="0"/>
              <w:spacing w:line="360" w:lineRule="auto"/>
              <w:rPr>
                <w:rFonts w:ascii="宋体" w:hAnsi="宋体" w:cs="宋体"/>
                <w:szCs w:val="21"/>
                <w:lang w:bidi="ar"/>
              </w:rPr>
            </w:pPr>
            <w:r>
              <w:rPr>
                <w:rFonts w:hint="eastAsia" w:ascii="宋体" w:hAnsi="宋体" w:cs="宋体"/>
                <w:szCs w:val="21"/>
                <w:lang w:bidi="ar"/>
              </w:rPr>
              <w:t>(4)系统支持导出测评报告。</w:t>
            </w:r>
          </w:p>
          <w:p>
            <w:pPr>
              <w:pStyle w:val="480"/>
              <w:snapToGrid w:val="0"/>
              <w:spacing w:line="360" w:lineRule="auto"/>
              <w:rPr>
                <w:rFonts w:ascii="宋体" w:hAnsi="宋体" w:cs="宋体"/>
                <w:szCs w:val="21"/>
                <w:lang w:bidi="ar"/>
              </w:rPr>
            </w:pPr>
            <w:r>
              <w:rPr>
                <w:rFonts w:hint="eastAsia" w:ascii="宋体" w:hAnsi="宋体" w:cs="宋体"/>
                <w:szCs w:val="21"/>
                <w:lang w:bidi="ar"/>
              </w:rPr>
              <w:t>8、仿真评分成绩与设定（投标时须演示以下功能。全部演示成功得1分，其他不得分）</w:t>
            </w:r>
          </w:p>
          <w:p>
            <w:pPr>
              <w:pStyle w:val="480"/>
              <w:snapToGrid w:val="0"/>
              <w:spacing w:line="360" w:lineRule="auto"/>
              <w:rPr>
                <w:rFonts w:ascii="宋体" w:hAnsi="宋体" w:cs="宋体"/>
                <w:szCs w:val="21"/>
                <w:lang w:bidi="ar"/>
              </w:rPr>
            </w:pPr>
            <w:r>
              <w:rPr>
                <w:rFonts w:hint="eastAsia" w:ascii="宋体" w:hAnsi="宋体" w:cs="宋体"/>
                <w:szCs w:val="21"/>
                <w:lang w:bidi="ar"/>
              </w:rPr>
              <w:t>(1)包括操作步骤成绩、成本明细成绩、操作质量成绩和日志列表；</w:t>
            </w:r>
          </w:p>
          <w:p>
            <w:pPr>
              <w:pStyle w:val="480"/>
              <w:snapToGrid w:val="0"/>
              <w:spacing w:line="360" w:lineRule="auto"/>
              <w:rPr>
                <w:rFonts w:ascii="宋体" w:hAnsi="宋体" w:cs="宋体"/>
                <w:szCs w:val="21"/>
                <w:lang w:bidi="ar"/>
              </w:rPr>
            </w:pPr>
            <w:r>
              <w:rPr>
                <w:rFonts w:hint="eastAsia" w:ascii="宋体" w:hAnsi="宋体" w:cs="宋体"/>
                <w:szCs w:val="21"/>
                <w:lang w:bidi="ar"/>
              </w:rPr>
              <w:t>(2)项目成本设定：包括人员、设备与耗材，成本值可设定；</w:t>
            </w:r>
          </w:p>
          <w:p>
            <w:pPr>
              <w:pStyle w:val="480"/>
              <w:snapToGrid w:val="0"/>
              <w:spacing w:line="360" w:lineRule="auto"/>
              <w:rPr>
                <w:rFonts w:ascii="宋体" w:hAnsi="宋体" w:cs="宋体"/>
                <w:szCs w:val="21"/>
                <w:lang w:bidi="ar"/>
              </w:rPr>
            </w:pPr>
            <w:r>
              <w:rPr>
                <w:rFonts w:hint="eastAsia" w:ascii="宋体" w:hAnsi="宋体" w:cs="宋体"/>
                <w:szCs w:val="21"/>
                <w:lang w:bidi="ar"/>
              </w:rPr>
              <w:t>(3)权重设定：包括完成任务时间权重、操作成本权重、任务完成权重、操作质量权重与方案设计权重，各权重值可调整；</w:t>
            </w:r>
          </w:p>
          <w:p>
            <w:pPr>
              <w:pStyle w:val="480"/>
              <w:spacing w:line="360" w:lineRule="auto"/>
              <w:jc w:val="left"/>
              <w:rPr>
                <w:rFonts w:ascii="宋体" w:hAnsi="宋体" w:cs="宋体"/>
                <w:szCs w:val="21"/>
                <w:lang w:bidi="ar"/>
              </w:rPr>
            </w:pPr>
            <w:r>
              <w:rPr>
                <w:rFonts w:hint="eastAsia" w:ascii="宋体" w:hAnsi="宋体" w:cs="宋体"/>
                <w:szCs w:val="21"/>
                <w:lang w:bidi="ar"/>
              </w:rPr>
              <w:t>(4)评分细则设定：包括流程失误与操作不规范等情况进行扣分，分值可设定。</w:t>
            </w:r>
          </w:p>
          <w:p>
            <w:pPr>
              <w:pStyle w:val="480"/>
              <w:spacing w:line="360" w:lineRule="auto"/>
              <w:jc w:val="left"/>
              <w:rPr>
                <w:rFonts w:ascii="宋体" w:hAnsi="宋体" w:cs="宋体"/>
                <w:szCs w:val="21"/>
              </w:rPr>
            </w:pPr>
            <w:r>
              <w:rPr>
                <w:rFonts w:hint="eastAsia" w:ascii="宋体" w:hAnsi="宋体" w:cs="宋体"/>
                <w:szCs w:val="21"/>
                <w:lang w:bidi="ar"/>
              </w:rPr>
              <w:t>注：由每个投标人以录制视频的方式进行视频演示讲解，视频演示时间不超过20分钟</w:t>
            </w:r>
          </w:p>
        </w:tc>
        <w:tc>
          <w:tcPr>
            <w:tcW w:w="493" w:type="pct"/>
            <w:vAlign w:val="center"/>
          </w:tcPr>
          <w:p>
            <w:pPr>
              <w:pStyle w:val="480"/>
              <w:snapToGrid w:val="0"/>
              <w:spacing w:line="360" w:lineRule="auto"/>
              <w:jc w:val="left"/>
              <w:rPr>
                <w:rFonts w:ascii="宋体" w:hAnsi="宋体" w:cs="宋体"/>
                <w:szCs w:val="21"/>
              </w:rPr>
            </w:pPr>
            <w:r>
              <w:rPr>
                <w:rFonts w:hint="eastAsia" w:ascii="宋体" w:hAnsi="宋体" w:cs="宋体"/>
                <w:szCs w:val="21"/>
              </w:rPr>
              <w:t>0-10分</w:t>
            </w:r>
          </w:p>
        </w:tc>
        <w:tc>
          <w:tcPr>
            <w:tcW w:w="642" w:type="pct"/>
            <w:vAlign w:val="center"/>
          </w:tcPr>
          <w:p>
            <w:pPr>
              <w:pStyle w:val="480"/>
              <w:snapToGrid w:val="0"/>
              <w:spacing w:line="360" w:lineRule="auto"/>
              <w:rPr>
                <w:rFonts w:ascii="宋体" w:hAnsi="宋体" w:cs="宋体"/>
                <w:szCs w:val="21"/>
              </w:rPr>
            </w:pPr>
            <w:r>
              <w:rPr>
                <w:rFonts w:hint="eastAsia" w:ascii="宋体" w:hAnsi="宋体" w:cs="宋体"/>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58" w:type="pct"/>
            <w:vAlign w:val="center"/>
          </w:tcPr>
          <w:p>
            <w:pPr>
              <w:pStyle w:val="480"/>
              <w:snapToGrid w:val="0"/>
              <w:spacing w:line="360" w:lineRule="auto"/>
              <w:rPr>
                <w:rFonts w:ascii="宋体" w:hAnsi="宋体" w:cs="宋体"/>
                <w:kern w:val="0"/>
                <w:szCs w:val="21"/>
              </w:rPr>
            </w:pPr>
            <w:r>
              <w:rPr>
                <w:rFonts w:hint="eastAsia" w:ascii="宋体" w:hAnsi="宋体" w:cs="宋体"/>
                <w:kern w:val="0"/>
                <w:szCs w:val="21"/>
              </w:rPr>
              <w:t>3</w:t>
            </w:r>
          </w:p>
        </w:tc>
        <w:tc>
          <w:tcPr>
            <w:tcW w:w="655" w:type="pct"/>
            <w:vAlign w:val="center"/>
          </w:tcPr>
          <w:p>
            <w:pPr>
              <w:pStyle w:val="480"/>
              <w:snapToGrid w:val="0"/>
              <w:spacing w:line="360" w:lineRule="auto"/>
              <w:rPr>
                <w:rFonts w:ascii="宋体" w:hAnsi="宋体" w:cs="宋体"/>
                <w:kern w:val="0"/>
                <w:szCs w:val="21"/>
              </w:rPr>
            </w:pPr>
            <w:r>
              <w:rPr>
                <w:rFonts w:hint="eastAsia" w:ascii="宋体" w:hAnsi="宋体" w:cs="宋体"/>
                <w:bCs/>
                <w:szCs w:val="21"/>
              </w:rPr>
              <w:t>产品性能及配置方案</w:t>
            </w:r>
          </w:p>
        </w:tc>
        <w:tc>
          <w:tcPr>
            <w:tcW w:w="2850" w:type="pct"/>
            <w:tcBorders>
              <w:bottom w:val="single" w:color="auto" w:sz="4" w:space="0"/>
            </w:tcBorders>
            <w:vAlign w:val="center"/>
          </w:tcPr>
          <w:p>
            <w:pPr>
              <w:pStyle w:val="480"/>
              <w:snapToGrid w:val="0"/>
              <w:spacing w:line="360" w:lineRule="auto"/>
              <w:rPr>
                <w:rFonts w:ascii="宋体" w:hAnsi="宋体" w:cs="宋体"/>
                <w:kern w:val="0"/>
                <w:szCs w:val="21"/>
              </w:rPr>
            </w:pPr>
            <w:r>
              <w:rPr>
                <w:rFonts w:hint="eastAsia" w:ascii="宋体" w:hAnsi="宋体" w:cs="宋体"/>
                <w:bCs/>
                <w:szCs w:val="21"/>
              </w:rPr>
              <w:t>产品性能指标及配置方案总体满足需求程度（0-5分）：满足采购文件要求的得5分，基本满足的得3分，部分满足的得1分，不满足不得分。</w:t>
            </w:r>
          </w:p>
        </w:tc>
        <w:tc>
          <w:tcPr>
            <w:tcW w:w="493" w:type="pct"/>
            <w:vAlign w:val="center"/>
          </w:tcPr>
          <w:p>
            <w:pPr>
              <w:pStyle w:val="480"/>
              <w:snapToGrid w:val="0"/>
              <w:spacing w:line="360" w:lineRule="auto"/>
              <w:rPr>
                <w:rFonts w:ascii="宋体" w:hAnsi="宋体" w:cs="宋体"/>
                <w:kern w:val="0"/>
                <w:szCs w:val="21"/>
              </w:rPr>
            </w:pPr>
            <w:r>
              <w:rPr>
                <w:rFonts w:hint="eastAsia" w:ascii="宋体" w:hAnsi="宋体" w:cs="宋体"/>
                <w:szCs w:val="21"/>
              </w:rPr>
              <w:t>0-5分</w:t>
            </w:r>
          </w:p>
        </w:tc>
        <w:tc>
          <w:tcPr>
            <w:tcW w:w="642" w:type="pct"/>
            <w:vAlign w:val="center"/>
          </w:tcPr>
          <w:p>
            <w:pPr>
              <w:pStyle w:val="480"/>
              <w:snapToGrid w:val="0"/>
              <w:spacing w:line="360" w:lineRule="auto"/>
              <w:rPr>
                <w:rFonts w:ascii="宋体" w:hAnsi="宋体" w:cs="宋体"/>
                <w:kern w:val="0"/>
                <w:szCs w:val="21"/>
              </w:rPr>
            </w:pPr>
            <w:r>
              <w:rPr>
                <w:rFonts w:hint="eastAsia" w:ascii="宋体" w:hAnsi="宋体" w:cs="宋体"/>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58" w:type="pct"/>
            <w:vAlign w:val="center"/>
          </w:tcPr>
          <w:p>
            <w:pPr>
              <w:pStyle w:val="480"/>
              <w:snapToGrid w:val="0"/>
              <w:spacing w:line="360" w:lineRule="auto"/>
              <w:rPr>
                <w:rFonts w:ascii="宋体" w:hAnsi="宋体" w:cs="宋体"/>
                <w:kern w:val="0"/>
                <w:szCs w:val="21"/>
              </w:rPr>
            </w:pPr>
            <w:r>
              <w:rPr>
                <w:rFonts w:hint="eastAsia" w:ascii="宋体" w:hAnsi="宋体" w:cs="宋体"/>
                <w:kern w:val="0"/>
                <w:szCs w:val="21"/>
              </w:rPr>
              <w:t>4</w:t>
            </w:r>
          </w:p>
        </w:tc>
        <w:tc>
          <w:tcPr>
            <w:tcW w:w="655" w:type="pct"/>
            <w:vAlign w:val="center"/>
          </w:tcPr>
          <w:p>
            <w:pPr>
              <w:pStyle w:val="480"/>
              <w:snapToGrid w:val="0"/>
              <w:spacing w:line="360" w:lineRule="auto"/>
              <w:rPr>
                <w:rFonts w:ascii="宋体" w:hAnsi="宋体" w:cs="宋体"/>
                <w:szCs w:val="21"/>
              </w:rPr>
            </w:pPr>
            <w:r>
              <w:rPr>
                <w:rFonts w:hint="eastAsia" w:ascii="宋体" w:hAnsi="宋体" w:cs="宋体"/>
                <w:bCs/>
                <w:szCs w:val="21"/>
              </w:rPr>
              <w:t>软件的升级维护方案</w:t>
            </w:r>
          </w:p>
        </w:tc>
        <w:tc>
          <w:tcPr>
            <w:tcW w:w="2850" w:type="pct"/>
            <w:vAlign w:val="center"/>
          </w:tcPr>
          <w:p>
            <w:pPr>
              <w:pStyle w:val="480"/>
              <w:snapToGrid w:val="0"/>
              <w:spacing w:line="360" w:lineRule="auto"/>
              <w:rPr>
                <w:rFonts w:ascii="宋体" w:hAnsi="宋体" w:cs="宋体"/>
              </w:rPr>
            </w:pPr>
            <w:r>
              <w:rPr>
                <w:rFonts w:hint="eastAsia" w:ascii="宋体" w:hAnsi="宋体" w:cs="宋体"/>
                <w:bCs/>
                <w:szCs w:val="21"/>
              </w:rPr>
              <w:t>软件的升级维护方案</w:t>
            </w:r>
          </w:p>
        </w:tc>
        <w:tc>
          <w:tcPr>
            <w:tcW w:w="493" w:type="pct"/>
            <w:vAlign w:val="center"/>
          </w:tcPr>
          <w:p>
            <w:pPr>
              <w:pStyle w:val="480"/>
              <w:snapToGrid w:val="0"/>
              <w:spacing w:line="360" w:lineRule="auto"/>
              <w:rPr>
                <w:rFonts w:ascii="宋体" w:hAnsi="宋体" w:cs="宋体"/>
                <w:szCs w:val="21"/>
              </w:rPr>
            </w:pPr>
            <w:r>
              <w:rPr>
                <w:rFonts w:hint="eastAsia" w:ascii="宋体" w:hAnsi="宋体" w:cs="宋体"/>
                <w:szCs w:val="21"/>
              </w:rPr>
              <w:t>0-2分</w:t>
            </w:r>
          </w:p>
        </w:tc>
        <w:tc>
          <w:tcPr>
            <w:tcW w:w="642" w:type="pct"/>
            <w:vAlign w:val="center"/>
          </w:tcPr>
          <w:p>
            <w:pPr>
              <w:pStyle w:val="480"/>
              <w:snapToGrid w:val="0"/>
              <w:spacing w:line="360" w:lineRule="auto"/>
              <w:rPr>
                <w:rFonts w:ascii="宋体" w:hAnsi="宋体" w:cs="宋体"/>
                <w:szCs w:val="21"/>
              </w:rPr>
            </w:pPr>
            <w:r>
              <w:rPr>
                <w:rFonts w:hint="eastAsia" w:ascii="宋体" w:hAnsi="宋体" w:cs="宋体"/>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58" w:type="pct"/>
            <w:vAlign w:val="center"/>
          </w:tcPr>
          <w:p>
            <w:pPr>
              <w:pStyle w:val="480"/>
              <w:snapToGrid w:val="0"/>
              <w:spacing w:line="360" w:lineRule="auto"/>
              <w:rPr>
                <w:rFonts w:ascii="宋体" w:hAnsi="宋体" w:cs="宋体"/>
                <w:kern w:val="0"/>
                <w:szCs w:val="21"/>
              </w:rPr>
            </w:pPr>
            <w:r>
              <w:rPr>
                <w:rFonts w:hint="eastAsia" w:ascii="宋体" w:hAnsi="宋体" w:cs="宋体"/>
                <w:kern w:val="0"/>
                <w:szCs w:val="21"/>
              </w:rPr>
              <w:t>5</w:t>
            </w:r>
          </w:p>
        </w:tc>
        <w:tc>
          <w:tcPr>
            <w:tcW w:w="655" w:type="pct"/>
            <w:vAlign w:val="center"/>
          </w:tcPr>
          <w:p>
            <w:pPr>
              <w:pStyle w:val="480"/>
              <w:snapToGrid w:val="0"/>
              <w:spacing w:line="360" w:lineRule="auto"/>
              <w:rPr>
                <w:rFonts w:ascii="宋体" w:hAnsi="宋体" w:cs="宋体"/>
                <w:kern w:val="0"/>
                <w:szCs w:val="21"/>
              </w:rPr>
            </w:pPr>
            <w:r>
              <w:rPr>
                <w:rFonts w:hint="eastAsia" w:ascii="宋体" w:hAnsi="宋体" w:cs="宋体"/>
                <w:szCs w:val="21"/>
              </w:rPr>
              <w:t>产品参数偏离情况</w:t>
            </w:r>
          </w:p>
        </w:tc>
        <w:tc>
          <w:tcPr>
            <w:tcW w:w="2850" w:type="pct"/>
            <w:vAlign w:val="center"/>
          </w:tcPr>
          <w:p>
            <w:pPr>
              <w:pStyle w:val="480"/>
              <w:snapToGrid w:val="0"/>
              <w:spacing w:line="360" w:lineRule="auto"/>
              <w:jc w:val="left"/>
              <w:rPr>
                <w:rFonts w:ascii="宋体" w:hAnsi="宋体" w:cs="宋体"/>
                <w:szCs w:val="21"/>
              </w:rPr>
            </w:pPr>
            <w:r>
              <w:rPr>
                <w:rFonts w:hint="eastAsia" w:ascii="宋体" w:hAnsi="宋体" w:cs="宋体"/>
              </w:rPr>
              <w:t>所投产品技术、商务条款偏离情况，一般参数（除“</w:t>
            </w:r>
            <w:r>
              <w:rPr>
                <w:rFonts w:hint="eastAsia" w:ascii="宋体" w:hAnsi="宋体" w:cs="宋体"/>
                <w:bCs/>
                <w:szCs w:val="21"/>
                <w:lang w:val="zh-TW" w:eastAsia="zh-TW"/>
              </w:rPr>
              <w:t>★</w:t>
            </w:r>
            <w:r>
              <w:rPr>
                <w:rFonts w:hint="eastAsia" w:ascii="宋体" w:hAnsi="宋体" w:cs="宋体"/>
              </w:rPr>
              <w:t>”、“</w:t>
            </w:r>
            <w:r>
              <w:rPr>
                <w:rFonts w:hint="eastAsia" w:ascii="楷体" w:hAnsi="楷体" w:eastAsia="楷体" w:cs="楷体"/>
                <w:sz w:val="24"/>
              </w:rPr>
              <w:t>▲</w:t>
            </w:r>
            <w:r>
              <w:rPr>
                <w:rFonts w:hint="eastAsia" w:ascii="宋体" w:hAnsi="宋体" w:cs="宋体"/>
              </w:rPr>
              <w:t>”以外），每一项负偏离扣1分，扣完为止。“</w:t>
            </w:r>
            <w:r>
              <w:rPr>
                <w:rFonts w:hint="eastAsia" w:ascii="宋体" w:hAnsi="宋体" w:cs="宋体"/>
                <w:bCs/>
                <w:szCs w:val="21"/>
                <w:lang w:val="zh-TW" w:eastAsia="zh-TW"/>
              </w:rPr>
              <w:t>★</w:t>
            </w:r>
            <w:r>
              <w:rPr>
                <w:rFonts w:hint="eastAsia" w:ascii="宋体" w:hAnsi="宋体" w:cs="宋体"/>
              </w:rPr>
              <w:t>”项不满足的，每一项负偏离扣2分，扣完为止。</w:t>
            </w:r>
          </w:p>
        </w:tc>
        <w:tc>
          <w:tcPr>
            <w:tcW w:w="493" w:type="pct"/>
            <w:vAlign w:val="center"/>
          </w:tcPr>
          <w:p>
            <w:pPr>
              <w:pStyle w:val="480"/>
              <w:snapToGrid w:val="0"/>
              <w:spacing w:line="360" w:lineRule="auto"/>
              <w:rPr>
                <w:rFonts w:ascii="宋体" w:hAnsi="宋体" w:cs="宋体"/>
                <w:szCs w:val="21"/>
              </w:rPr>
            </w:pPr>
            <w:r>
              <w:rPr>
                <w:rFonts w:hint="eastAsia" w:ascii="宋体" w:hAnsi="宋体" w:cs="宋体"/>
                <w:szCs w:val="21"/>
              </w:rPr>
              <w:t>0-18分</w:t>
            </w:r>
          </w:p>
        </w:tc>
        <w:tc>
          <w:tcPr>
            <w:tcW w:w="642" w:type="pct"/>
            <w:vAlign w:val="center"/>
          </w:tcPr>
          <w:p>
            <w:pPr>
              <w:pStyle w:val="480"/>
              <w:snapToGrid w:val="0"/>
              <w:spacing w:line="360" w:lineRule="auto"/>
              <w:rPr>
                <w:rFonts w:ascii="宋体" w:hAnsi="宋体" w:cs="宋体"/>
                <w:kern w:val="0"/>
                <w:szCs w:val="21"/>
              </w:rPr>
            </w:pPr>
            <w:r>
              <w:rPr>
                <w:rFonts w:hint="eastAsia" w:ascii="宋体" w:hAnsi="宋体" w:cs="宋体"/>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58" w:type="pct"/>
            <w:vAlign w:val="center"/>
          </w:tcPr>
          <w:p>
            <w:pPr>
              <w:pStyle w:val="480"/>
              <w:snapToGrid w:val="0"/>
              <w:spacing w:line="360" w:lineRule="auto"/>
              <w:jc w:val="left"/>
              <w:rPr>
                <w:rFonts w:ascii="宋体" w:hAnsi="宋体" w:cs="宋体"/>
              </w:rPr>
            </w:pPr>
            <w:r>
              <w:rPr>
                <w:rFonts w:hint="eastAsia" w:ascii="宋体" w:hAnsi="宋体" w:cs="宋体"/>
              </w:rPr>
              <w:t>6</w:t>
            </w:r>
          </w:p>
        </w:tc>
        <w:tc>
          <w:tcPr>
            <w:tcW w:w="655" w:type="pct"/>
            <w:vAlign w:val="center"/>
          </w:tcPr>
          <w:p>
            <w:pPr>
              <w:pStyle w:val="480"/>
              <w:snapToGrid w:val="0"/>
              <w:spacing w:line="360" w:lineRule="auto"/>
              <w:jc w:val="left"/>
              <w:rPr>
                <w:rFonts w:ascii="宋体" w:hAnsi="宋体" w:cs="宋体"/>
              </w:rPr>
            </w:pPr>
            <w:r>
              <w:rPr>
                <w:rFonts w:hint="eastAsia" w:ascii="宋体" w:hAnsi="宋体" w:cs="宋体"/>
              </w:rPr>
              <w:t>技术资料</w:t>
            </w:r>
          </w:p>
        </w:tc>
        <w:tc>
          <w:tcPr>
            <w:tcW w:w="2850" w:type="pct"/>
            <w:vAlign w:val="center"/>
          </w:tcPr>
          <w:p>
            <w:pPr>
              <w:pStyle w:val="480"/>
              <w:snapToGrid w:val="0"/>
              <w:spacing w:line="360" w:lineRule="auto"/>
              <w:jc w:val="left"/>
              <w:rPr>
                <w:rFonts w:ascii="宋体" w:hAnsi="宋体" w:cs="宋体"/>
              </w:rPr>
            </w:pPr>
            <w:r>
              <w:rPr>
                <w:rFonts w:hint="eastAsia" w:ascii="宋体" w:hAnsi="宋体" w:cs="宋体"/>
              </w:rPr>
              <w:t>根据投标产品情况，投标文件提供的技术资料（如制造商官网截图、制造商产品技术说明书、检测报告等）0-3分</w:t>
            </w:r>
          </w:p>
          <w:p>
            <w:pPr>
              <w:pStyle w:val="480"/>
              <w:snapToGrid w:val="0"/>
              <w:spacing w:line="360" w:lineRule="auto"/>
              <w:jc w:val="left"/>
              <w:rPr>
                <w:rFonts w:ascii="宋体" w:hAnsi="宋体" w:cs="宋体"/>
              </w:rPr>
            </w:pPr>
            <w:r>
              <w:rPr>
                <w:rFonts w:hint="eastAsia" w:ascii="宋体" w:hAnsi="宋体" w:cs="宋体"/>
              </w:rPr>
              <w:t>所投产品明细清晰完整程度（产地、厂家、规格型号等）0-2分。</w:t>
            </w:r>
          </w:p>
        </w:tc>
        <w:tc>
          <w:tcPr>
            <w:tcW w:w="493" w:type="pct"/>
            <w:vAlign w:val="center"/>
          </w:tcPr>
          <w:p>
            <w:pPr>
              <w:pStyle w:val="480"/>
              <w:snapToGrid w:val="0"/>
              <w:spacing w:line="360" w:lineRule="auto"/>
              <w:jc w:val="left"/>
              <w:rPr>
                <w:rFonts w:ascii="宋体" w:hAnsi="宋体" w:cs="宋体"/>
              </w:rPr>
            </w:pPr>
            <w:r>
              <w:rPr>
                <w:rFonts w:hint="eastAsia" w:ascii="宋体" w:hAnsi="宋体" w:cs="宋体"/>
              </w:rPr>
              <w:t>0-5分</w:t>
            </w:r>
          </w:p>
        </w:tc>
        <w:tc>
          <w:tcPr>
            <w:tcW w:w="642" w:type="pct"/>
            <w:vAlign w:val="center"/>
          </w:tcPr>
          <w:p>
            <w:pPr>
              <w:pStyle w:val="480"/>
              <w:snapToGrid w:val="0"/>
              <w:spacing w:line="360" w:lineRule="auto"/>
              <w:jc w:val="left"/>
              <w:rPr>
                <w:rFonts w:ascii="宋体" w:hAnsi="宋体" w:cs="宋体"/>
              </w:rPr>
            </w:pPr>
            <w:r>
              <w:rPr>
                <w:rFonts w:hint="eastAsia" w:ascii="宋体" w:hAnsi="宋体" w:cs="宋体"/>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58" w:type="pct"/>
            <w:vAlign w:val="center"/>
          </w:tcPr>
          <w:p>
            <w:pPr>
              <w:pStyle w:val="480"/>
              <w:snapToGrid w:val="0"/>
              <w:spacing w:line="360" w:lineRule="auto"/>
              <w:rPr>
                <w:rFonts w:ascii="宋体" w:hAnsi="宋体" w:cs="宋体"/>
                <w:kern w:val="0"/>
                <w:szCs w:val="21"/>
              </w:rPr>
            </w:pPr>
            <w:r>
              <w:rPr>
                <w:rFonts w:hint="eastAsia" w:ascii="宋体" w:hAnsi="宋体" w:cs="宋体"/>
                <w:kern w:val="0"/>
                <w:szCs w:val="21"/>
              </w:rPr>
              <w:t>7</w:t>
            </w:r>
          </w:p>
        </w:tc>
        <w:tc>
          <w:tcPr>
            <w:tcW w:w="655" w:type="pct"/>
            <w:vAlign w:val="center"/>
          </w:tcPr>
          <w:p>
            <w:pPr>
              <w:pStyle w:val="480"/>
              <w:snapToGrid w:val="0"/>
              <w:spacing w:line="360" w:lineRule="auto"/>
              <w:rPr>
                <w:rFonts w:ascii="宋体" w:hAnsi="宋体" w:cs="宋体"/>
                <w:bCs/>
                <w:szCs w:val="21"/>
              </w:rPr>
            </w:pPr>
            <w:r>
              <w:rPr>
                <w:rFonts w:hint="eastAsia" w:ascii="宋体" w:hAnsi="宋体" w:cs="宋体"/>
                <w:bCs/>
                <w:szCs w:val="21"/>
              </w:rPr>
              <w:t>组织实施方案</w:t>
            </w:r>
          </w:p>
        </w:tc>
        <w:tc>
          <w:tcPr>
            <w:tcW w:w="2850" w:type="pct"/>
            <w:vAlign w:val="center"/>
          </w:tcPr>
          <w:p>
            <w:pPr>
              <w:pStyle w:val="480"/>
              <w:snapToGrid w:val="0"/>
              <w:spacing w:line="360" w:lineRule="auto"/>
              <w:jc w:val="left"/>
              <w:rPr>
                <w:rFonts w:ascii="宋体" w:hAnsi="宋体" w:cs="宋体"/>
                <w:bCs/>
                <w:szCs w:val="21"/>
              </w:rPr>
            </w:pPr>
            <w:r>
              <w:rPr>
                <w:rFonts w:hint="eastAsia" w:ascii="宋体" w:hAnsi="宋体" w:cs="宋体"/>
                <w:bCs/>
                <w:szCs w:val="21"/>
              </w:rPr>
              <w:t>1、设备安装调试方案0-2分</w:t>
            </w:r>
          </w:p>
          <w:p>
            <w:pPr>
              <w:pStyle w:val="480"/>
              <w:snapToGrid w:val="0"/>
              <w:spacing w:line="360" w:lineRule="auto"/>
              <w:jc w:val="left"/>
              <w:rPr>
                <w:rFonts w:ascii="宋体" w:hAnsi="宋体" w:cs="宋体"/>
                <w:bCs/>
                <w:szCs w:val="21"/>
              </w:rPr>
            </w:pPr>
            <w:r>
              <w:rPr>
                <w:rFonts w:hint="eastAsia" w:ascii="宋体" w:hAnsi="宋体" w:cs="宋体"/>
                <w:bCs/>
                <w:szCs w:val="21"/>
              </w:rPr>
              <w:t>2、施工组织方案0-2分。</w:t>
            </w:r>
          </w:p>
        </w:tc>
        <w:tc>
          <w:tcPr>
            <w:tcW w:w="493" w:type="pct"/>
            <w:vAlign w:val="center"/>
          </w:tcPr>
          <w:p>
            <w:pPr>
              <w:pStyle w:val="480"/>
              <w:snapToGrid w:val="0"/>
              <w:spacing w:line="360" w:lineRule="auto"/>
              <w:rPr>
                <w:rFonts w:ascii="宋体" w:hAnsi="宋体" w:cs="宋体"/>
                <w:bCs/>
                <w:szCs w:val="21"/>
              </w:rPr>
            </w:pPr>
            <w:r>
              <w:rPr>
                <w:rFonts w:hint="eastAsia" w:ascii="宋体" w:hAnsi="宋体" w:cs="宋体"/>
                <w:bCs/>
                <w:szCs w:val="21"/>
              </w:rPr>
              <w:t>0-4分</w:t>
            </w:r>
          </w:p>
        </w:tc>
        <w:tc>
          <w:tcPr>
            <w:tcW w:w="642" w:type="pct"/>
            <w:vAlign w:val="center"/>
          </w:tcPr>
          <w:p>
            <w:pPr>
              <w:pStyle w:val="480"/>
              <w:snapToGrid w:val="0"/>
              <w:spacing w:line="360" w:lineRule="auto"/>
              <w:rPr>
                <w:rFonts w:ascii="宋体" w:hAnsi="宋体" w:cs="宋体"/>
                <w:szCs w:val="21"/>
              </w:rPr>
            </w:pPr>
            <w:r>
              <w:rPr>
                <w:rFonts w:hint="eastAsia" w:ascii="宋体" w:hAnsi="宋体" w:cs="宋体"/>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58" w:type="pct"/>
            <w:vAlign w:val="center"/>
          </w:tcPr>
          <w:p>
            <w:pPr>
              <w:widowControl/>
              <w:spacing w:line="360" w:lineRule="auto"/>
              <w:jc w:val="center"/>
              <w:textAlignment w:val="center"/>
              <w:rPr>
                <w:rFonts w:ascii="宋体" w:hAnsi="宋体" w:cs="宋体"/>
                <w:kern w:val="0"/>
                <w:szCs w:val="21"/>
              </w:rPr>
            </w:pPr>
            <w:r>
              <w:rPr>
                <w:rFonts w:hint="eastAsia" w:ascii="宋体" w:hAnsi="宋体" w:cs="宋体"/>
              </w:rPr>
              <w:t>8</w:t>
            </w:r>
          </w:p>
        </w:tc>
        <w:tc>
          <w:tcPr>
            <w:tcW w:w="655" w:type="pct"/>
            <w:vAlign w:val="center"/>
          </w:tcPr>
          <w:p>
            <w:pPr>
              <w:pStyle w:val="480"/>
              <w:snapToGrid w:val="0"/>
              <w:spacing w:line="360" w:lineRule="auto"/>
              <w:rPr>
                <w:rFonts w:ascii="宋体" w:hAnsi="宋体" w:cs="宋体"/>
                <w:kern w:val="0"/>
                <w:szCs w:val="21"/>
              </w:rPr>
            </w:pPr>
            <w:r>
              <w:rPr>
                <w:rFonts w:hint="eastAsia" w:ascii="宋体" w:hAnsi="宋体" w:cs="宋体"/>
                <w:kern w:val="0"/>
                <w:szCs w:val="21"/>
              </w:rPr>
              <w:t>项目组成员情况</w:t>
            </w:r>
          </w:p>
        </w:tc>
        <w:tc>
          <w:tcPr>
            <w:tcW w:w="2850" w:type="pct"/>
            <w:vAlign w:val="center"/>
          </w:tcPr>
          <w:p>
            <w:pPr>
              <w:widowControl/>
              <w:spacing w:line="360" w:lineRule="auto"/>
              <w:textAlignment w:val="center"/>
              <w:rPr>
                <w:rFonts w:ascii="宋体" w:hAnsi="宋体" w:cs="宋体"/>
                <w:szCs w:val="21"/>
              </w:rPr>
            </w:pPr>
            <w:r>
              <w:rPr>
                <w:rFonts w:hint="eastAsia" w:ascii="宋体" w:hAnsi="宋体" w:cs="宋体"/>
                <w:szCs w:val="21"/>
              </w:rPr>
              <w:t>1、拟派项目负责人年龄、学历、执业证书和同类工作经验情况。注：提供相关证明材料及在本单位近三个月的社保证明，否则该项不得分。（0-2分）</w:t>
            </w:r>
          </w:p>
          <w:p>
            <w:pPr>
              <w:widowControl/>
              <w:spacing w:line="360" w:lineRule="auto"/>
              <w:textAlignment w:val="center"/>
              <w:rPr>
                <w:rFonts w:ascii="宋体" w:hAnsi="宋体" w:cs="宋体"/>
                <w:szCs w:val="21"/>
              </w:rPr>
            </w:pPr>
            <w:r>
              <w:rPr>
                <w:rFonts w:hint="eastAsia" w:ascii="宋体" w:hAnsi="宋体" w:cs="宋体"/>
                <w:szCs w:val="21"/>
              </w:rPr>
              <w:t>2、</w:t>
            </w:r>
            <w:r>
              <w:rPr>
                <w:rFonts w:hint="eastAsia"/>
              </w:rPr>
              <w:t>投入本项目的拟派人员岗位设置、专业、年龄结构和学历、工作经历层次、持证情况是否满足需要等情况（附人员类似任职经历的证明材料及在本单位近三个月的社保证明，否则该项不得分。）0-2分</w:t>
            </w:r>
          </w:p>
        </w:tc>
        <w:tc>
          <w:tcPr>
            <w:tcW w:w="493" w:type="pct"/>
            <w:vAlign w:val="center"/>
          </w:tcPr>
          <w:p>
            <w:pPr>
              <w:pStyle w:val="480"/>
              <w:snapToGrid w:val="0"/>
              <w:spacing w:line="360" w:lineRule="auto"/>
              <w:rPr>
                <w:rFonts w:ascii="宋体" w:hAnsi="宋体" w:cs="宋体"/>
                <w:kern w:val="0"/>
                <w:szCs w:val="21"/>
              </w:rPr>
            </w:pPr>
            <w:r>
              <w:rPr>
                <w:rFonts w:hint="eastAsia" w:ascii="宋体" w:hAnsi="宋体" w:cs="宋体"/>
                <w:szCs w:val="21"/>
              </w:rPr>
              <w:t>0-</w:t>
            </w:r>
            <w:r>
              <w:rPr>
                <w:rFonts w:hint="eastAsia" w:ascii="宋体" w:hAnsi="宋体" w:cs="宋体"/>
                <w:kern w:val="0"/>
                <w:szCs w:val="21"/>
              </w:rPr>
              <w:t>4分</w:t>
            </w:r>
          </w:p>
        </w:tc>
        <w:tc>
          <w:tcPr>
            <w:tcW w:w="642" w:type="pct"/>
            <w:vAlign w:val="center"/>
          </w:tcPr>
          <w:p>
            <w:pPr>
              <w:pStyle w:val="480"/>
              <w:snapToGrid w:val="0"/>
              <w:spacing w:line="360" w:lineRule="auto"/>
              <w:rPr>
                <w:rFonts w:ascii="宋体" w:hAnsi="宋体" w:cs="宋体"/>
                <w:kern w:val="0"/>
                <w:szCs w:val="21"/>
              </w:rPr>
            </w:pPr>
            <w:r>
              <w:rPr>
                <w:rFonts w:hint="eastAsia" w:ascii="宋体" w:hAnsi="宋体" w:cs="宋体"/>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58" w:type="pct"/>
            <w:vAlign w:val="center"/>
          </w:tcPr>
          <w:p>
            <w:pPr>
              <w:widowControl/>
              <w:spacing w:line="360" w:lineRule="auto"/>
              <w:jc w:val="center"/>
              <w:textAlignment w:val="center"/>
              <w:rPr>
                <w:rFonts w:ascii="宋体" w:hAnsi="宋体" w:cs="宋体"/>
                <w:kern w:val="0"/>
                <w:szCs w:val="21"/>
              </w:rPr>
            </w:pPr>
            <w:r>
              <w:rPr>
                <w:rFonts w:hint="eastAsia" w:ascii="宋体" w:hAnsi="宋体" w:cs="宋体"/>
              </w:rPr>
              <w:t>9</w:t>
            </w:r>
          </w:p>
        </w:tc>
        <w:tc>
          <w:tcPr>
            <w:tcW w:w="655" w:type="pct"/>
            <w:vAlign w:val="center"/>
          </w:tcPr>
          <w:p>
            <w:pPr>
              <w:widowControl/>
              <w:spacing w:line="360" w:lineRule="auto"/>
              <w:jc w:val="center"/>
              <w:textAlignment w:val="center"/>
              <w:rPr>
                <w:rFonts w:ascii="宋体" w:hAnsi="宋体" w:cs="宋体"/>
                <w:szCs w:val="21"/>
              </w:rPr>
            </w:pPr>
            <w:r>
              <w:rPr>
                <w:rFonts w:hint="eastAsia" w:ascii="宋体" w:hAnsi="宋体" w:cs="宋体"/>
                <w:kern w:val="0"/>
                <w:szCs w:val="21"/>
              </w:rPr>
              <w:t>售后服务</w:t>
            </w:r>
          </w:p>
        </w:tc>
        <w:tc>
          <w:tcPr>
            <w:tcW w:w="2850" w:type="pct"/>
            <w:vAlign w:val="center"/>
          </w:tcPr>
          <w:p>
            <w:pPr>
              <w:widowControl/>
              <w:spacing w:line="360" w:lineRule="auto"/>
              <w:textAlignment w:val="center"/>
              <w:rPr>
                <w:rFonts w:ascii="宋体" w:hAnsi="宋体" w:cs="宋体"/>
                <w:szCs w:val="21"/>
              </w:rPr>
            </w:pPr>
            <w:r>
              <w:rPr>
                <w:rFonts w:hint="eastAsia" w:ascii="宋体" w:hAnsi="宋体" w:cs="宋体"/>
                <w:szCs w:val="21"/>
              </w:rPr>
              <w:t>供应商提供详细完整的售后服务方案（包括但不限于对质保期、售后服务响应时间、方式、售后服务承诺、售后服务网点情况、服务能力，专家根据方案完整性、合理性、可行性情况综合评议）：方案内容详实，逻辑缜密，具有针对性，可实施性强的得5分；方案内容较详实，基本能符合采购需要，针对性，可实施性一般的得3分；方案或明显存在缺陷的，得1分；未提供相关描述不得分。</w:t>
            </w:r>
          </w:p>
        </w:tc>
        <w:tc>
          <w:tcPr>
            <w:tcW w:w="493" w:type="pct"/>
            <w:vAlign w:val="center"/>
          </w:tcPr>
          <w:p>
            <w:pPr>
              <w:pStyle w:val="480"/>
              <w:snapToGrid w:val="0"/>
              <w:spacing w:line="360" w:lineRule="auto"/>
              <w:rPr>
                <w:rFonts w:ascii="宋体" w:hAnsi="宋体" w:cs="宋体"/>
                <w:szCs w:val="21"/>
              </w:rPr>
            </w:pPr>
            <w:r>
              <w:rPr>
                <w:rFonts w:hint="eastAsia" w:ascii="宋体" w:hAnsi="宋体" w:cs="宋体"/>
                <w:szCs w:val="21"/>
              </w:rPr>
              <w:t>0-5分</w:t>
            </w:r>
          </w:p>
        </w:tc>
        <w:tc>
          <w:tcPr>
            <w:tcW w:w="642" w:type="pct"/>
            <w:vAlign w:val="center"/>
          </w:tcPr>
          <w:p>
            <w:pPr>
              <w:pStyle w:val="480"/>
              <w:snapToGrid w:val="0"/>
              <w:spacing w:line="360" w:lineRule="auto"/>
              <w:rPr>
                <w:rFonts w:ascii="宋体" w:hAnsi="宋体" w:cs="宋体"/>
                <w:szCs w:val="21"/>
              </w:rPr>
            </w:pPr>
            <w:r>
              <w:rPr>
                <w:rFonts w:hint="eastAsia" w:ascii="宋体" w:hAnsi="宋体" w:cs="宋体"/>
                <w:szCs w:val="21"/>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58" w:type="pct"/>
            <w:vAlign w:val="center"/>
          </w:tcPr>
          <w:p>
            <w:pPr>
              <w:widowControl/>
              <w:spacing w:line="360" w:lineRule="auto"/>
              <w:jc w:val="center"/>
              <w:textAlignment w:val="center"/>
              <w:rPr>
                <w:rFonts w:ascii="宋体" w:hAnsi="宋体" w:cs="宋体"/>
                <w:szCs w:val="21"/>
              </w:rPr>
            </w:pPr>
            <w:r>
              <w:rPr>
                <w:rFonts w:hint="eastAsia" w:ascii="宋体" w:hAnsi="宋体" w:cs="宋体"/>
                <w:szCs w:val="21"/>
              </w:rPr>
              <w:t>10</w:t>
            </w:r>
          </w:p>
        </w:tc>
        <w:tc>
          <w:tcPr>
            <w:tcW w:w="655" w:type="pct"/>
            <w:vAlign w:val="center"/>
          </w:tcPr>
          <w:p>
            <w:pPr>
              <w:widowControl/>
              <w:spacing w:line="360" w:lineRule="auto"/>
              <w:jc w:val="center"/>
              <w:textAlignment w:val="center"/>
              <w:rPr>
                <w:rFonts w:ascii="宋体" w:hAnsi="宋体" w:cs="宋体"/>
                <w:kern w:val="0"/>
                <w:szCs w:val="21"/>
              </w:rPr>
            </w:pPr>
            <w:r>
              <w:rPr>
                <w:rFonts w:hint="eastAsia" w:ascii="宋体" w:hAnsi="宋体" w:cs="宋体"/>
              </w:rPr>
              <w:t>培训方案</w:t>
            </w:r>
          </w:p>
        </w:tc>
        <w:tc>
          <w:tcPr>
            <w:tcW w:w="5995" w:type="dxa"/>
          </w:tcPr>
          <w:p>
            <w:pPr>
              <w:widowControl/>
              <w:spacing w:line="360" w:lineRule="auto"/>
              <w:textAlignment w:val="center"/>
              <w:rPr>
                <w:rFonts w:ascii="宋体" w:hAnsi="宋体" w:cs="宋体"/>
                <w:szCs w:val="21"/>
              </w:rPr>
            </w:pPr>
            <w:r>
              <w:rPr>
                <w:rFonts w:hint="eastAsia" w:ascii="宋体" w:hAnsi="宋体" w:cs="宋体"/>
              </w:rPr>
              <w:t>根据培训方案的具体承诺、实施计划安排情况</w:t>
            </w:r>
            <w:r>
              <w:rPr>
                <w:rFonts w:hint="eastAsia" w:ascii="宋体" w:hAnsi="宋体" w:cs="宋体"/>
                <w:szCs w:val="21"/>
              </w:rPr>
              <w:t>：方案内容详实，逻辑缜密，具有针对性，可实施性强的得3分；方案内容较详实，基本能符合采购需要，针对性，可实施性一般的得2分；方案或明显存在缺陷的，得1分；未提供相关描述不得分。</w:t>
            </w:r>
          </w:p>
        </w:tc>
        <w:tc>
          <w:tcPr>
            <w:tcW w:w="493" w:type="pct"/>
            <w:vAlign w:val="center"/>
          </w:tcPr>
          <w:p>
            <w:pPr>
              <w:widowControl/>
              <w:spacing w:line="360" w:lineRule="auto"/>
              <w:jc w:val="center"/>
              <w:textAlignment w:val="center"/>
              <w:rPr>
                <w:rFonts w:ascii="宋体" w:hAnsi="宋体" w:cs="宋体"/>
                <w:szCs w:val="21"/>
              </w:rPr>
            </w:pPr>
            <w:r>
              <w:rPr>
                <w:rFonts w:hint="eastAsia" w:ascii="宋体" w:hAnsi="宋体" w:cs="宋体"/>
                <w:szCs w:val="21"/>
              </w:rPr>
              <w:t>0-</w:t>
            </w:r>
            <w:r>
              <w:rPr>
                <w:rFonts w:hint="eastAsia" w:ascii="宋体" w:hAnsi="宋体" w:cs="宋体"/>
              </w:rPr>
              <w:t>3分</w:t>
            </w:r>
          </w:p>
        </w:tc>
        <w:tc>
          <w:tcPr>
            <w:tcW w:w="642" w:type="pct"/>
            <w:vAlign w:val="center"/>
          </w:tcPr>
          <w:p>
            <w:pPr>
              <w:widowControl/>
              <w:spacing w:line="360" w:lineRule="auto"/>
              <w:jc w:val="center"/>
              <w:textAlignment w:val="center"/>
              <w:rPr>
                <w:rFonts w:ascii="宋体" w:hAnsi="宋体" w:cs="宋体"/>
                <w:szCs w:val="21"/>
              </w:rPr>
            </w:pPr>
            <w:r>
              <w:rPr>
                <w:rFonts w:hint="eastAsia" w:ascii="宋体" w:hAnsi="宋体" w:cs="宋体"/>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58" w:type="pct"/>
            <w:vAlign w:val="center"/>
          </w:tcPr>
          <w:p>
            <w:pPr>
              <w:widowControl/>
              <w:spacing w:line="360" w:lineRule="auto"/>
              <w:jc w:val="center"/>
              <w:textAlignment w:val="center"/>
              <w:rPr>
                <w:rFonts w:ascii="宋体" w:hAnsi="宋体" w:cs="宋体"/>
                <w:szCs w:val="21"/>
              </w:rPr>
            </w:pPr>
            <w:r>
              <w:rPr>
                <w:rFonts w:hint="eastAsia" w:ascii="宋体" w:hAnsi="宋体" w:cs="宋体"/>
                <w:szCs w:val="21"/>
              </w:rPr>
              <w:t>11</w:t>
            </w:r>
          </w:p>
        </w:tc>
        <w:tc>
          <w:tcPr>
            <w:tcW w:w="655" w:type="pct"/>
            <w:vAlign w:val="center"/>
          </w:tcPr>
          <w:p>
            <w:pPr>
              <w:widowControl/>
              <w:spacing w:line="360" w:lineRule="auto"/>
              <w:jc w:val="center"/>
              <w:textAlignment w:val="center"/>
              <w:rPr>
                <w:rFonts w:ascii="宋体" w:hAnsi="宋体" w:cs="宋体"/>
                <w:kern w:val="0"/>
                <w:szCs w:val="21"/>
              </w:rPr>
            </w:pPr>
            <w:r>
              <w:rPr>
                <w:rFonts w:hint="eastAsia" w:ascii="宋体" w:hAnsi="宋体" w:cs="宋体"/>
              </w:rPr>
              <w:t>质量保障</w:t>
            </w:r>
          </w:p>
        </w:tc>
        <w:tc>
          <w:tcPr>
            <w:tcW w:w="5995" w:type="dxa"/>
            <w:vAlign w:val="center"/>
          </w:tcPr>
          <w:p>
            <w:pPr>
              <w:widowControl/>
              <w:spacing w:line="360" w:lineRule="auto"/>
              <w:textAlignment w:val="center"/>
              <w:rPr>
                <w:rFonts w:ascii="宋体" w:hAnsi="宋体" w:cs="宋体"/>
                <w:szCs w:val="21"/>
              </w:rPr>
            </w:pPr>
            <w:r>
              <w:rPr>
                <w:rFonts w:hint="eastAsia" w:ascii="宋体" w:hAnsi="宋体" w:cs="宋体"/>
              </w:rPr>
              <w:t>本项目所投产品质量保障措施</w:t>
            </w:r>
            <w:r>
              <w:rPr>
                <w:rFonts w:hint="eastAsia" w:ascii="宋体" w:hAnsi="宋体" w:cs="宋体"/>
                <w:szCs w:val="21"/>
              </w:rPr>
              <w:t>：方案内容详实，逻辑缜密，具有针对性，可实施性强的得3分；方案内容较详实，基本能符合采购需要，针对性，可实施性一般的得2分；方案或明显存在缺陷的，得1分；未提供相关描述不得分。</w:t>
            </w:r>
          </w:p>
        </w:tc>
        <w:tc>
          <w:tcPr>
            <w:tcW w:w="493" w:type="pct"/>
            <w:vAlign w:val="center"/>
          </w:tcPr>
          <w:p>
            <w:pPr>
              <w:widowControl/>
              <w:spacing w:line="360" w:lineRule="auto"/>
              <w:jc w:val="center"/>
              <w:textAlignment w:val="center"/>
              <w:rPr>
                <w:rFonts w:ascii="宋体" w:hAnsi="宋体" w:cs="宋体"/>
                <w:szCs w:val="21"/>
              </w:rPr>
            </w:pPr>
            <w:r>
              <w:rPr>
                <w:rFonts w:hint="eastAsia" w:ascii="宋体" w:hAnsi="宋体" w:cs="宋体"/>
                <w:szCs w:val="21"/>
              </w:rPr>
              <w:t>0-</w:t>
            </w:r>
            <w:r>
              <w:rPr>
                <w:rFonts w:hint="eastAsia" w:ascii="宋体" w:hAnsi="宋体" w:cs="宋体"/>
              </w:rPr>
              <w:t>3分</w:t>
            </w:r>
          </w:p>
        </w:tc>
        <w:tc>
          <w:tcPr>
            <w:tcW w:w="642" w:type="pct"/>
            <w:vAlign w:val="center"/>
          </w:tcPr>
          <w:p>
            <w:pPr>
              <w:widowControl/>
              <w:spacing w:line="360" w:lineRule="auto"/>
              <w:jc w:val="center"/>
              <w:textAlignment w:val="center"/>
              <w:rPr>
                <w:rFonts w:ascii="宋体" w:hAnsi="宋体" w:cs="宋体"/>
                <w:szCs w:val="21"/>
              </w:rPr>
            </w:pPr>
            <w:r>
              <w:rPr>
                <w:rFonts w:hint="eastAsia" w:ascii="宋体" w:hAnsi="宋体" w:cs="宋体"/>
              </w:rPr>
              <w:t>主观分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58" w:type="pct"/>
            <w:vAlign w:val="center"/>
          </w:tcPr>
          <w:p>
            <w:pPr>
              <w:widowControl/>
              <w:spacing w:line="360" w:lineRule="auto"/>
              <w:jc w:val="center"/>
              <w:textAlignment w:val="center"/>
              <w:rPr>
                <w:rFonts w:ascii="宋体" w:hAnsi="宋体" w:cs="宋体"/>
                <w:szCs w:val="21"/>
              </w:rPr>
            </w:pPr>
            <w:r>
              <w:rPr>
                <w:rFonts w:hint="eastAsia" w:ascii="宋体" w:hAnsi="宋体" w:cs="宋体"/>
                <w:szCs w:val="21"/>
              </w:rPr>
              <w:t>12</w:t>
            </w:r>
          </w:p>
        </w:tc>
        <w:tc>
          <w:tcPr>
            <w:tcW w:w="655" w:type="pct"/>
            <w:vAlign w:val="center"/>
          </w:tcPr>
          <w:p>
            <w:pPr>
              <w:widowControl/>
              <w:spacing w:line="360" w:lineRule="auto"/>
              <w:jc w:val="center"/>
              <w:textAlignment w:val="center"/>
              <w:rPr>
                <w:rFonts w:ascii="宋体" w:hAnsi="宋体" w:cs="宋体"/>
                <w:szCs w:val="21"/>
              </w:rPr>
            </w:pPr>
            <w:r>
              <w:rPr>
                <w:rFonts w:hint="eastAsia" w:ascii="宋体" w:hAnsi="宋体" w:cs="宋体"/>
                <w:szCs w:val="21"/>
              </w:rPr>
              <w:t>政策功能</w:t>
            </w:r>
          </w:p>
        </w:tc>
        <w:tc>
          <w:tcPr>
            <w:tcW w:w="2850" w:type="pct"/>
            <w:vAlign w:val="center"/>
          </w:tcPr>
          <w:p>
            <w:pPr>
              <w:widowControl/>
              <w:spacing w:line="360" w:lineRule="auto"/>
              <w:textAlignment w:val="center"/>
              <w:rPr>
                <w:rFonts w:ascii="宋体" w:hAnsi="宋体" w:cs="宋体"/>
              </w:rPr>
            </w:pPr>
            <w:r>
              <w:rPr>
                <w:rFonts w:hint="eastAsia" w:ascii="宋体" w:hAnsi="宋体" w:cs="宋体"/>
              </w:rPr>
              <w:t>节能环保</w:t>
            </w:r>
          </w:p>
          <w:p>
            <w:pPr>
              <w:widowControl/>
              <w:spacing w:line="360" w:lineRule="auto"/>
              <w:textAlignment w:val="center"/>
              <w:rPr>
                <w:rFonts w:ascii="宋体" w:hAnsi="宋体" w:cs="宋体"/>
              </w:rPr>
            </w:pPr>
            <w:r>
              <w:rPr>
                <w:rFonts w:hint="eastAsia" w:ascii="宋体" w:hAnsi="宋体" w:cs="宋体"/>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w:t>
            </w:r>
          </w:p>
          <w:p>
            <w:pPr>
              <w:widowControl/>
              <w:spacing w:line="360" w:lineRule="auto"/>
              <w:textAlignment w:val="center"/>
              <w:rPr>
                <w:rFonts w:ascii="宋体" w:hAnsi="宋体" w:cs="宋体"/>
                <w:szCs w:val="21"/>
              </w:rPr>
            </w:pPr>
            <w:r>
              <w:rPr>
                <w:rFonts w:hint="eastAsia" w:ascii="宋体" w:hAnsi="宋体" w:cs="宋体"/>
              </w:rPr>
              <w:t>证明材料：提供国家确定的认证机构出具的、处于有效期之内的节能产品、环境标志产品认证证书复印件。</w:t>
            </w:r>
          </w:p>
        </w:tc>
        <w:tc>
          <w:tcPr>
            <w:tcW w:w="493" w:type="pct"/>
            <w:vAlign w:val="center"/>
          </w:tcPr>
          <w:p>
            <w:pPr>
              <w:widowControl/>
              <w:spacing w:line="360" w:lineRule="auto"/>
              <w:jc w:val="center"/>
              <w:textAlignment w:val="center"/>
              <w:rPr>
                <w:rFonts w:ascii="宋体" w:hAnsi="宋体" w:cs="宋体"/>
                <w:szCs w:val="21"/>
              </w:rPr>
            </w:pPr>
            <w:r>
              <w:rPr>
                <w:rFonts w:hint="eastAsia" w:ascii="宋体" w:hAnsi="宋体" w:cs="宋体"/>
                <w:szCs w:val="21"/>
              </w:rPr>
              <w:t>0-1分</w:t>
            </w:r>
          </w:p>
        </w:tc>
        <w:tc>
          <w:tcPr>
            <w:tcW w:w="642" w:type="pct"/>
            <w:vAlign w:val="center"/>
          </w:tcPr>
          <w:p>
            <w:pPr>
              <w:widowControl/>
              <w:spacing w:line="360" w:lineRule="auto"/>
              <w:jc w:val="center"/>
              <w:textAlignment w:val="center"/>
              <w:rPr>
                <w:rFonts w:ascii="宋体" w:hAnsi="宋体" w:cs="宋体"/>
                <w:szCs w:val="21"/>
              </w:rPr>
            </w:pPr>
            <w:r>
              <w:rPr>
                <w:rFonts w:hint="eastAsia" w:ascii="宋体" w:hAnsi="宋体" w:cs="宋体"/>
                <w:szCs w:val="21"/>
              </w:rPr>
              <w:t>客观分</w:t>
            </w:r>
          </w:p>
        </w:tc>
      </w:tr>
    </w:tbl>
    <w:p>
      <w:pPr>
        <w:pStyle w:val="710"/>
        <w:ind w:firstLine="480"/>
        <w:rPr>
          <w:rFonts w:asciiTheme="minorEastAsia" w:hAnsiTheme="minorEastAsia" w:eastAsiaTheme="minorEastAsia"/>
        </w:rPr>
      </w:pPr>
    </w:p>
    <w:p>
      <w:pPr>
        <w:pStyle w:val="5"/>
        <w:rPr>
          <w:rFonts w:cs="仿宋_GB2312" w:asciiTheme="minorEastAsia" w:hAnsiTheme="minorEastAsia" w:eastAsiaTheme="minorEastAsia"/>
          <w:sz w:val="24"/>
          <w:lang w:val="en-US"/>
        </w:rPr>
      </w:pPr>
      <w:bookmarkStart w:id="428" w:name="_Toc20052"/>
      <w:r>
        <w:rPr>
          <w:rFonts w:hint="eastAsia" w:cs="仿宋_GB2312" w:asciiTheme="minorEastAsia" w:hAnsiTheme="minorEastAsia" w:eastAsiaTheme="minorEastAsia"/>
          <w:sz w:val="24"/>
          <w:lang w:val="en-US"/>
        </w:rPr>
        <w:t>三、评标程序</w:t>
      </w:r>
      <w:bookmarkEnd w:id="428"/>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3.1符合性审查。</w:t>
      </w:r>
      <w:r>
        <w:rPr>
          <w:rFonts w:cs="Arial" w:asciiTheme="minorEastAsia" w:hAnsiTheme="minorEastAsia" w:eastAsiaTheme="minorEastAsia"/>
          <w:kern w:val="0"/>
          <w:sz w:val="24"/>
        </w:rPr>
        <w:t>评标委员会应当对符合资格的投标人的投标文件进行符合性审查，以确定其是否满足招标文件的实质性要求。</w:t>
      </w:r>
      <w:r>
        <w:rPr>
          <w:rFonts w:hint="eastAsia" w:cs="Arial" w:asciiTheme="minorEastAsia" w:hAnsiTheme="minorEastAsia" w:eastAsiaTheme="minorEastAsia"/>
          <w:kern w:val="0"/>
          <w:sz w:val="24"/>
        </w:rPr>
        <w:t>不</w:t>
      </w:r>
      <w:r>
        <w:rPr>
          <w:rFonts w:cs="Arial" w:asciiTheme="minorEastAsia" w:hAnsiTheme="minorEastAsia" w:eastAsiaTheme="minorEastAsia"/>
          <w:kern w:val="0"/>
          <w:sz w:val="24"/>
        </w:rPr>
        <w:t>满足招标文件的实质性要求</w:t>
      </w:r>
      <w:r>
        <w:rPr>
          <w:rFonts w:hint="eastAsia" w:cs="Arial" w:asciiTheme="minorEastAsia" w:hAnsiTheme="minorEastAsia" w:eastAsiaTheme="minorEastAsia"/>
          <w:kern w:val="0"/>
          <w:sz w:val="24"/>
        </w:rPr>
        <w:t>的，投标无效。</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3.2</w:t>
      </w:r>
      <w:r>
        <w:rPr>
          <w:rFonts w:hint="eastAsia" w:cs="Arial" w:asciiTheme="minorEastAsia" w:hAnsiTheme="minorEastAsia" w:eastAsiaTheme="minorEastAsia"/>
          <w:b/>
          <w:kern w:val="0"/>
          <w:sz w:val="24"/>
        </w:rPr>
        <w:t>比较与评价。</w:t>
      </w:r>
      <w:r>
        <w:rPr>
          <w:rFonts w:cs="Arial"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3.3汇总商务技术得分。</w:t>
      </w:r>
      <w:r>
        <w:rPr>
          <w:rFonts w:hint="eastAsia" w:cs="Arial" w:asciiTheme="minorEastAsia" w:hAnsiTheme="minorEastAsia"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cs="Arial" w:asciiTheme="minorEastAsia" w:hAnsiTheme="minorEastAsia" w:eastAsiaTheme="minorEastAsia"/>
          <w:b/>
          <w:kern w:val="0"/>
          <w:sz w:val="24"/>
        </w:rPr>
      </w:pPr>
      <w:r>
        <w:rPr>
          <w:rFonts w:cs="Arial" w:asciiTheme="minorEastAsia" w:hAnsiTheme="minorEastAsia" w:eastAsiaTheme="minorEastAsia"/>
          <w:b/>
          <w:kern w:val="0"/>
          <w:sz w:val="24"/>
        </w:rPr>
        <w:t>3.4报价评审。</w:t>
      </w:r>
    </w:p>
    <w:p>
      <w:pPr>
        <w:pStyle w:val="129"/>
        <w:spacing w:before="0"/>
        <w:ind w:firstLine="508" w:firstLineChars="212"/>
        <w:rPr>
          <w:rFonts w:cs="Arial" w:asciiTheme="minorEastAsia" w:hAnsiTheme="minorEastAsia" w:eastAsiaTheme="minorEastAsia"/>
          <w:kern w:val="0"/>
        </w:rPr>
      </w:pPr>
      <w:r>
        <w:rPr>
          <w:rFonts w:cs="Arial" w:asciiTheme="minorEastAsia" w:hAnsiTheme="minorEastAsia" w:eastAsiaTheme="minorEastAsia"/>
          <w:kern w:val="0"/>
        </w:rPr>
        <w:t>3.4.1投标文件报价出现前后不一致的，按照下列规定修正：</w:t>
      </w:r>
    </w:p>
    <w:p>
      <w:pPr>
        <w:pStyle w:val="129"/>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3.4.1.1投标文件中开标一览表(报价表)内容与投标文件中相应内容不一致的，以开标一览表(报价表)为准;</w:t>
      </w:r>
    </w:p>
    <w:p>
      <w:pPr>
        <w:pStyle w:val="129"/>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3.4.1.2大写金额和小写金额不一致的，以大写金额为准;</w:t>
      </w:r>
    </w:p>
    <w:p>
      <w:pPr>
        <w:pStyle w:val="129"/>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3.4.1.3单价金额小数点或者百分比有明显错位的，以开标一览表的总价为准，并修改单价;</w:t>
      </w:r>
    </w:p>
    <w:p>
      <w:pPr>
        <w:pStyle w:val="129"/>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3.4.1.4总价金额与按单价汇总金额不一致的，以单价金额计算结果为准。</w:t>
      </w:r>
    </w:p>
    <w:p>
      <w:pPr>
        <w:pStyle w:val="129"/>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3.4.1.5同时出现两种以上不一致的，按照3.4.1</w:t>
      </w:r>
      <w:r>
        <w:rPr>
          <w:rFonts w:hint="eastAsia" w:cs="仿宋" w:asciiTheme="minorEastAsia" w:hAnsiTheme="minorEastAsia" w:eastAsiaTheme="minorEastAsia"/>
          <w:kern w:val="0"/>
          <w:szCs w:val="24"/>
        </w:rPr>
        <w:t>规定的顺序修正。修正后的报价按照财政部第</w:t>
      </w:r>
      <w:r>
        <w:rPr>
          <w:rFonts w:cs="仿宋" w:asciiTheme="minorEastAsia" w:hAnsiTheme="minorEastAsia" w:eastAsiaTheme="minorEastAsia"/>
          <w:kern w:val="0"/>
          <w:szCs w:val="24"/>
        </w:rPr>
        <w:t xml:space="preserve">87号令 </w:t>
      </w:r>
      <w:r>
        <w:rPr>
          <w:rFonts w:hint="eastAsia" w:cs="仿宋" w:asciiTheme="minorEastAsia" w:hAnsiTheme="minorEastAsia" w:eastAsiaTheme="minorEastAsia"/>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3.4.2</w:t>
      </w:r>
      <w:r>
        <w:rPr>
          <w:rFonts w:hint="eastAsia" w:cs="仿宋" w:asciiTheme="minorEastAsia" w:hAnsiTheme="minorEastAsia" w:eastAsiaTheme="minorEastAsia"/>
          <w:kern w:val="0"/>
          <w:sz w:val="24"/>
        </w:rPr>
        <w:t>投标文件出现不是唯一的、有选择性投标报价的，投标无效。</w:t>
      </w:r>
    </w:p>
    <w:p>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3.4.3</w:t>
      </w:r>
      <w:r>
        <w:rPr>
          <w:rFonts w:hint="eastAsia" w:cs="仿宋" w:asciiTheme="minorEastAsia" w:hAnsiTheme="minorEastAsia" w:eastAsiaTheme="minorEastAsia"/>
          <w:kern w:val="0"/>
          <w:sz w:val="24"/>
        </w:rPr>
        <w:t>投标报价超过招标文件中规定的预算金额或者最高限价的，投标无效。</w:t>
      </w:r>
    </w:p>
    <w:p>
      <w:pPr>
        <w:pStyle w:val="129"/>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3.4.4</w:t>
      </w:r>
      <w:r>
        <w:rPr>
          <w:rFonts w:hint="eastAsia" w:cs="仿宋" w:asciiTheme="minorEastAsia" w:hAnsiTheme="minorEastAsia" w:eastAsiaTheme="minor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cs="仿宋" w:asciiTheme="minorEastAsia" w:hAnsiTheme="minorEastAsia" w:eastAsiaTheme="minorEastAsia"/>
          <w:kern w:val="0"/>
          <w:szCs w:val="24"/>
        </w:rPr>
        <w:t>;投标人不能证明其报价合理性的，评标委员会应当将其作为无效投标处理。</w:t>
      </w:r>
    </w:p>
    <w:p>
      <w:pPr>
        <w:pStyle w:val="129"/>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3.4.5</w:t>
      </w:r>
      <w:r>
        <w:rPr>
          <w:rFonts w:hint="eastAsia" w:cs="仿宋" w:asciiTheme="minorEastAsia" w:hAnsiTheme="minorEastAsia" w:eastAsiaTheme="minorEastAsia"/>
          <w:kern w:val="0"/>
          <w:szCs w:val="24"/>
        </w:rPr>
        <w:t>对于未预留份额专门面向中小企业的政府采购货物或服务项目，以及预留份额政府采购货物或服务项目中的非预留部分标项，对小型和微型企业的投标报价给予2</w:t>
      </w:r>
      <w:r>
        <w:rPr>
          <w:rFonts w:cs="仿宋" w:asciiTheme="minorEastAsia" w:hAnsiTheme="minorEastAsia" w:eastAsiaTheme="minorEastAsia"/>
          <w:kern w:val="0"/>
          <w:szCs w:val="24"/>
        </w:rPr>
        <w:t>0%的扣除，用扣除后的价格参与评审。接受大中型企业与小</w:t>
      </w:r>
      <w:r>
        <w:rPr>
          <w:rFonts w:hint="eastAsia" w:cs="仿宋" w:asciiTheme="minorEastAsia" w:hAnsiTheme="minorEastAsia" w:eastAsiaTheme="minor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cs="仿宋" w:asciiTheme="minorEastAsia" w:hAnsiTheme="minorEastAsia" w:eastAsiaTheme="minorEastAsia"/>
          <w:kern w:val="0"/>
          <w:szCs w:val="24"/>
        </w:rPr>
        <w:t>30%以上的，对联合体或者大中型企业的报价给予</w:t>
      </w:r>
      <w:r>
        <w:rPr>
          <w:rFonts w:hint="eastAsia" w:cs="仿宋" w:asciiTheme="minorEastAsia" w:hAnsiTheme="minorEastAsia" w:eastAsiaTheme="minorEastAsia"/>
          <w:kern w:val="0"/>
          <w:szCs w:val="24"/>
        </w:rPr>
        <w:t>6</w:t>
      </w:r>
      <w:r>
        <w:rPr>
          <w:rFonts w:cs="仿宋" w:asciiTheme="minorEastAsia" w:hAnsiTheme="minorEastAsia" w:eastAsiaTheme="minorEastAsia"/>
          <w:kern w:val="0"/>
          <w:szCs w:val="24"/>
        </w:rPr>
        <w:t>%的扣除，用扣除后的价格参加评审。组成联合体或者接受分包的小</w:t>
      </w:r>
      <w:r>
        <w:rPr>
          <w:rFonts w:hint="eastAsia" w:cs="仿宋" w:asciiTheme="minorEastAsia" w:hAnsiTheme="minorEastAsia" w:eastAsiaTheme="minorEastAsia"/>
          <w:kern w:val="0"/>
          <w:szCs w:val="24"/>
        </w:rPr>
        <w:t>微企业与联合体内其他企业、分包企业之间存在直接控股、管理关系的，不享受价格扣除优惠政策。</w:t>
      </w:r>
    </w:p>
    <w:p>
      <w:pPr>
        <w:spacing w:line="360" w:lineRule="auto"/>
        <w:ind w:firstLine="482" w:firstLineChars="200"/>
        <w:rPr>
          <w:rFonts w:cs="Arial" w:asciiTheme="minorEastAsia" w:hAnsiTheme="minorEastAsia" w:eastAsiaTheme="minorEastAsia"/>
          <w:kern w:val="0"/>
          <w:sz w:val="24"/>
        </w:rPr>
      </w:pPr>
      <w:r>
        <w:rPr>
          <w:rFonts w:cs="Arial" w:asciiTheme="minorEastAsia" w:hAnsiTheme="minorEastAsia" w:eastAsiaTheme="minorEastAsia"/>
          <w:b/>
          <w:kern w:val="0"/>
          <w:sz w:val="24"/>
        </w:rPr>
        <w:t>3.5</w:t>
      </w:r>
      <w:r>
        <w:rPr>
          <w:rFonts w:hint="eastAsia" w:cs="Arial" w:asciiTheme="minorEastAsia" w:hAnsiTheme="minorEastAsia" w:eastAsiaTheme="minorEastAsia"/>
          <w:b/>
          <w:kern w:val="0"/>
          <w:sz w:val="24"/>
        </w:rPr>
        <w:t>排序与推荐。</w:t>
      </w:r>
      <w:r>
        <w:rPr>
          <w:rFonts w:cs="Arial"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cs="Arial" w:asciiTheme="minorEastAsia" w:hAnsiTheme="minorEastAsia" w:eastAsiaTheme="minorEastAsia"/>
          <w:kern w:val="0"/>
          <w:sz w:val="24"/>
        </w:rPr>
        <w:t>。</w:t>
      </w:r>
    </w:p>
    <w:p>
      <w:pPr>
        <w:spacing w:line="360" w:lineRule="auto"/>
        <w:rPr>
          <w:rFonts w:cs="Arial" w:asciiTheme="minorEastAsia" w:hAnsiTheme="minorEastAsia" w:eastAsiaTheme="minorEastAsia"/>
          <w:b/>
          <w:kern w:val="0"/>
          <w:sz w:val="24"/>
        </w:rPr>
      </w:pPr>
      <w:r>
        <w:rPr>
          <w:rFonts w:hint="eastAsia" w:cs="Arial"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3.6编写评标报告。</w:t>
      </w:r>
      <w:r>
        <w:rPr>
          <w:rFonts w:cs="Arial" w:asciiTheme="minorEastAsia" w:hAnsiTheme="minorEastAsia" w:eastAsiaTheme="minorEastAsia"/>
          <w:kern w:val="0"/>
          <w:sz w:val="24"/>
        </w:rPr>
        <w:t>评标委员会根据全体评标成员签字的原始评标记录和评标结果编写评标报告。</w:t>
      </w:r>
      <w:r>
        <w:rPr>
          <w:rFonts w:hint="eastAsia" w:cs="Arial" w:asciiTheme="minorEastAsia" w:hAnsiTheme="minorEastAsia" w:eastAsiaTheme="minor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5"/>
        <w:rPr>
          <w:rFonts w:cs="仿宋_GB2312" w:asciiTheme="minorEastAsia" w:hAnsiTheme="minorEastAsia" w:eastAsiaTheme="minorEastAsia"/>
          <w:sz w:val="24"/>
          <w:lang w:val="en-US"/>
        </w:rPr>
      </w:pPr>
      <w:bookmarkStart w:id="429" w:name="_Toc20671"/>
      <w:r>
        <w:rPr>
          <w:rFonts w:hint="eastAsia" w:cs="仿宋_GB2312" w:asciiTheme="minorEastAsia" w:hAnsiTheme="minorEastAsia" w:eastAsiaTheme="minorEastAsia"/>
          <w:sz w:val="24"/>
          <w:lang w:val="en-US"/>
        </w:rPr>
        <w:t>四、评标中的其他事项</w:t>
      </w:r>
      <w:bookmarkEnd w:id="429"/>
    </w:p>
    <w:p>
      <w:pPr>
        <w:pStyle w:val="129"/>
        <w:spacing w:before="0"/>
        <w:ind w:firstLine="472" w:firstLineChars="196"/>
        <w:rPr>
          <w:rFonts w:cs="Arial" w:asciiTheme="minorEastAsia" w:hAnsiTheme="minorEastAsia" w:eastAsiaTheme="minorEastAsia"/>
          <w:kern w:val="0"/>
          <w:szCs w:val="24"/>
        </w:rPr>
      </w:pPr>
      <w:r>
        <w:rPr>
          <w:rFonts w:cs="Arial" w:asciiTheme="minorEastAsia" w:hAnsiTheme="minorEastAsia" w:eastAsiaTheme="minorEastAsia"/>
          <w:b/>
          <w:kern w:val="0"/>
          <w:szCs w:val="24"/>
        </w:rPr>
        <w:t>4.1</w:t>
      </w:r>
      <w:r>
        <w:rPr>
          <w:rFonts w:hint="eastAsia" w:cs="Arial" w:asciiTheme="minorEastAsia" w:hAnsiTheme="minorEastAsia" w:eastAsiaTheme="minorEastAsia"/>
          <w:b/>
          <w:kern w:val="0"/>
          <w:szCs w:val="24"/>
        </w:rPr>
        <w:t>投标人澄清、说明或者补正。</w:t>
      </w:r>
      <w:r>
        <w:rPr>
          <w:rFonts w:hint="eastAsia" w:cs="Arial"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仿宋_GB2312" w:asciiTheme="minorEastAsia" w:hAnsiTheme="minorEastAsia" w:eastAsiaTheme="minorEastAsia"/>
          <w:szCs w:val="21"/>
        </w:rPr>
      </w:pPr>
      <w:r>
        <w:rPr>
          <w:rFonts w:cs="Arial" w:asciiTheme="minorEastAsia" w:hAnsiTheme="minorEastAsia" w:eastAsiaTheme="minorEastAsia"/>
          <w:b/>
          <w:kern w:val="0"/>
        </w:rPr>
        <w:t>4.2投标无效。</w:t>
      </w:r>
      <w:r>
        <w:rPr>
          <w:rFonts w:hint="eastAsia" w:cs="仿宋_GB2312" w:asciiTheme="minorEastAsia" w:hAnsiTheme="minorEastAsia" w:eastAsiaTheme="minorEastAsia"/>
          <w:szCs w:val="21"/>
        </w:rPr>
        <w:t>有下列情况之一的，投标无效：</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4.2.2投标文件未按照招标文件要求签署、盖章的；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cs="Arial" w:asciiTheme="minorEastAsia" w:hAnsiTheme="minorEastAsia" w:eastAsiaTheme="minorEastAsia"/>
          <w:kern w:val="0"/>
          <w:sz w:val="24"/>
        </w:rPr>
        <w:t>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4.2.4投标文件含有采购人不能接受的附加条件的；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4.2.5投标文件中承诺的投标有效期少于招标文件中载明的投标有效</w:t>
      </w:r>
      <w:r>
        <w:rPr>
          <w:rFonts w:hint="eastAsia" w:cs="Arial" w:asciiTheme="minorEastAsia" w:hAnsiTheme="minorEastAsia" w:eastAsiaTheme="minorEastAsia"/>
          <w:kern w:val="0"/>
          <w:sz w:val="24"/>
        </w:rPr>
        <w:t>期的；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4.2.6投标文件出现不是唯一的、有选择性投标报价的;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4.2.9投标人对根据修正原则修正后的报价不确认的；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4.2.10投标人提供虚假材料投标的；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4.2.11投标人有恶意串通、妨碍其他投标人的竞争行为、损害采购人或者其他投标人的合法权益情形的；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4.2.12投标人仅提交备份投标文件，没有在电子交易平台传输递交投标文件的，投标无效；</w:t>
      </w:r>
    </w:p>
    <w:p>
      <w:pPr>
        <w:pStyle w:val="71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4.2.13</w:t>
      </w:r>
      <w:r>
        <w:rPr>
          <w:rFonts w:hint="eastAsia" w:cs="Arial" w:asciiTheme="minorEastAsia" w:hAnsiTheme="minorEastAsia" w:eastAsiaTheme="minorEastAsia"/>
          <w:kern w:val="0"/>
          <w:szCs w:val="24"/>
        </w:rPr>
        <w:t>投标文件不满足招标文件的其它实质性要求的；</w:t>
      </w:r>
    </w:p>
    <w:p>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4.2.14法律、法规、规章（适用本市的）及省级以上规范性文件（适用本市的）规定的其他无效情形。</w:t>
      </w:r>
    </w:p>
    <w:p>
      <w:pPr>
        <w:pStyle w:val="25"/>
        <w:snapToGrid w:val="0"/>
        <w:spacing w:line="360" w:lineRule="auto"/>
        <w:ind w:firstLine="472" w:firstLineChars="196"/>
        <w:rPr>
          <w:rFonts w:cs="仿宋_GB2312" w:asciiTheme="minorEastAsia" w:hAnsiTheme="minorEastAsia" w:eastAsiaTheme="minorEastAsia"/>
        </w:rPr>
      </w:pPr>
      <w:r>
        <w:rPr>
          <w:rFonts w:cs="仿宋_GB2312" w:asciiTheme="minorEastAsia" w:hAnsiTheme="minorEastAsia" w:eastAsiaTheme="minorEastAsia"/>
          <w:b/>
        </w:rPr>
        <w:t>5.废标。</w:t>
      </w:r>
      <w:r>
        <w:rPr>
          <w:rFonts w:hint="eastAsia" w:cs="仿宋_GB2312" w:asciiTheme="minorEastAsia" w:hAnsiTheme="minorEastAsia" w:eastAsiaTheme="minorEastAsia"/>
        </w:rPr>
        <w:t>根据《中华人民共和国政府采购法》第三十六条之规定，在采购中，出现下列情形之一的，应予废标：</w:t>
      </w:r>
    </w:p>
    <w:p>
      <w:pPr>
        <w:pStyle w:val="25"/>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5.1符合专业条件的供应商或者对招标文件作实质响应的供应商不足3家的；</w:t>
      </w:r>
    </w:p>
    <w:p>
      <w:pPr>
        <w:pStyle w:val="25"/>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5.2出现影响采购公正的违法、违规行为的；</w:t>
      </w:r>
    </w:p>
    <w:p>
      <w:pPr>
        <w:pStyle w:val="25"/>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5.3投标人的报价均超过了采购预算，采购人不能支付的；</w:t>
      </w:r>
    </w:p>
    <w:p>
      <w:pPr>
        <w:pStyle w:val="25"/>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5.4因重大变故，采购任务取消的。</w:t>
      </w:r>
    </w:p>
    <w:p>
      <w:pPr>
        <w:pStyle w:val="25"/>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废标后，采购机构应当将废标理由通知所有投标人。</w:t>
      </w:r>
    </w:p>
    <w:p>
      <w:pPr>
        <w:pStyle w:val="25"/>
        <w:snapToGrid w:val="0"/>
        <w:spacing w:line="360" w:lineRule="auto"/>
        <w:ind w:firstLine="590" w:firstLineChars="245"/>
        <w:rPr>
          <w:rFonts w:cs="仿宋_GB2312" w:asciiTheme="minorEastAsia" w:hAnsiTheme="minorEastAsia" w:eastAsiaTheme="minorEastAsia"/>
        </w:rPr>
      </w:pPr>
      <w:r>
        <w:rPr>
          <w:rFonts w:cs="仿宋_GB2312" w:asciiTheme="minorEastAsia" w:hAnsiTheme="minorEastAsia" w:eastAsiaTheme="minorEastAsia"/>
          <w:b/>
        </w:rPr>
        <w:t>6.修改招标文件，重新组织采购活动。</w:t>
      </w:r>
      <w:r>
        <w:rPr>
          <w:rFonts w:hint="eastAsia" w:cs="仿宋_GB2312"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cs="仿宋_GB2312" w:asciiTheme="minorEastAsia" w:hAnsiTheme="minorEastAsia" w:eastAsiaTheme="minorEastAsia"/>
        </w:rPr>
      </w:pPr>
      <w:r>
        <w:rPr>
          <w:rFonts w:hint="eastAsia" w:cs="Helvetica" w:asciiTheme="minorEastAsia" w:hAnsiTheme="minorEastAsia" w:eastAsiaTheme="minorEastAsia"/>
          <w:b/>
          <w:kern w:val="0"/>
        </w:rPr>
        <w:t>7.重新开展采购。</w:t>
      </w:r>
      <w:r>
        <w:rPr>
          <w:rFonts w:hint="eastAsia" w:cs="仿宋_GB2312" w:asciiTheme="minorEastAsia" w:hAnsiTheme="minorEastAsia" w:eastAsiaTheme="minorEastAsia"/>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7.1未确定中标或者中标人的，终止本次政府采购活动，重新开展政府采购</w:t>
      </w:r>
      <w:r>
        <w:rPr>
          <w:rFonts w:hint="eastAsia" w:cs="仿宋_GB2312" w:asciiTheme="minorEastAsia" w:hAnsiTheme="minorEastAsia" w:eastAsiaTheme="minorEastAsia"/>
        </w:rPr>
        <w:t>活动。</w:t>
      </w:r>
    </w:p>
    <w:p>
      <w:pPr>
        <w:pStyle w:val="25"/>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7.4政府采购合同已经履行，给采购人、供应</w:t>
      </w:r>
      <w:r>
        <w:rPr>
          <w:rFonts w:hint="eastAsia" w:cs="仿宋_GB2312" w:asciiTheme="minorEastAsia" w:hAnsiTheme="minorEastAsia" w:eastAsiaTheme="minorEastAsia"/>
        </w:rPr>
        <w:t>商造成损失的，由责任人承担赔偿责任。</w:t>
      </w:r>
    </w:p>
    <w:p>
      <w:pPr>
        <w:pStyle w:val="25"/>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7.5政府采购当事人有其他违反政府采购</w:t>
      </w:r>
      <w:r>
        <w:rPr>
          <w:rFonts w:hint="eastAsia" w:cs="仿宋_GB2312" w:asciiTheme="minorEastAsia" w:hAnsiTheme="minorEastAsia" w:eastAsiaTheme="minorEastAsia"/>
        </w:rPr>
        <w:t>法</w:t>
      </w:r>
      <w:r>
        <w:rPr>
          <w:rFonts w:hint="eastAsia" w:cs="Arial" w:asciiTheme="minorEastAsia" w:hAnsiTheme="minorEastAsia" w:eastAsiaTheme="minorEastAsia"/>
          <w:kern w:val="0"/>
        </w:rPr>
        <w:t>或者政府采购法实施条例等法律法规规定</w:t>
      </w:r>
      <w:r>
        <w:rPr>
          <w:rFonts w:hint="eastAsia" w:cs="仿宋_GB2312" w:asciiTheme="minorEastAsia" w:hAnsiTheme="minorEastAsia" w:eastAsiaTheme="minorEastAsia"/>
        </w:rPr>
        <w:t>的行为，经改正后仍然影响或者可能影响中标、成交结果或者依法被认定为中标、成交无效的，依照</w:t>
      </w:r>
      <w:r>
        <w:rPr>
          <w:rFonts w:cs="仿宋_GB2312" w:asciiTheme="minorEastAsia" w:hAnsiTheme="minorEastAsia" w:eastAsiaTheme="minorEastAsia"/>
        </w:rPr>
        <w:t>7.1-7.4规定处理。</w:t>
      </w:r>
      <w:bookmarkEnd w:id="35"/>
    </w:p>
    <w:p>
      <w:pPr>
        <w:rPr>
          <w:rFonts w:cs="仿宋_GB2312" w:asciiTheme="minorEastAsia" w:hAnsiTheme="minorEastAsia" w:eastAsiaTheme="minorEastAsia"/>
          <w:b/>
          <w:sz w:val="36"/>
          <w:szCs w:val="36"/>
        </w:rPr>
      </w:pPr>
      <w:bookmarkStart w:id="430" w:name="_Toc86217003"/>
      <w:bookmarkStart w:id="431" w:name="第五部分"/>
      <w:r>
        <w:rPr>
          <w:rFonts w:hint="eastAsia" w:cs="仿宋_GB2312" w:asciiTheme="minorEastAsia" w:hAnsiTheme="minorEastAsia" w:eastAsiaTheme="minorEastAsia"/>
          <w:b/>
          <w:sz w:val="36"/>
          <w:szCs w:val="36"/>
        </w:rPr>
        <w:br w:type="page"/>
      </w:r>
    </w:p>
    <w:p>
      <w:pPr>
        <w:spacing w:line="360" w:lineRule="auto"/>
        <w:ind w:left="720" w:leftChars="343" w:firstLine="1084" w:firstLineChars="300"/>
        <w:outlineLvl w:val="0"/>
        <w:rPr>
          <w:rFonts w:cs="仿宋_GB2312" w:asciiTheme="minorEastAsia" w:hAnsiTheme="minorEastAsia" w:eastAsiaTheme="minorEastAsia"/>
          <w:b/>
          <w:sz w:val="36"/>
          <w:szCs w:val="36"/>
        </w:rPr>
      </w:pPr>
      <w:bookmarkStart w:id="432" w:name="_Toc842"/>
      <w:r>
        <w:rPr>
          <w:rFonts w:hint="eastAsia" w:cs="仿宋_GB2312" w:asciiTheme="minorEastAsia" w:hAnsiTheme="minorEastAsia" w:eastAsiaTheme="minorEastAsia"/>
          <w:b/>
          <w:sz w:val="36"/>
          <w:szCs w:val="36"/>
        </w:rPr>
        <w:t>第五部分拟签订的合同文本</w:t>
      </w:r>
      <w:bookmarkEnd w:id="432"/>
    </w:p>
    <w:p>
      <w:pPr>
        <w:spacing w:line="360" w:lineRule="auto"/>
        <w:rPr>
          <w:rFonts w:ascii="宋体" w:hAnsi="宋体" w:cs="宋体"/>
          <w:b/>
          <w:bCs/>
          <w:sz w:val="24"/>
        </w:rPr>
      </w:pPr>
      <w:bookmarkStart w:id="433" w:name="_Ref467378121"/>
      <w:bookmarkStart w:id="434" w:name="_Toc487900364"/>
      <w:bookmarkStart w:id="435" w:name="_Toc279701254"/>
      <w:bookmarkStart w:id="436" w:name="_Toc259093683"/>
      <w:r>
        <w:rPr>
          <w:rFonts w:hint="eastAsia" w:ascii="宋体" w:hAnsi="宋体" w:cs="宋体"/>
          <w:b/>
          <w:bCs/>
          <w:sz w:val="24"/>
        </w:rPr>
        <w:t>1.政府采购合同</w:t>
      </w:r>
    </w:p>
    <w:p>
      <w:pPr>
        <w:spacing w:line="360" w:lineRule="auto"/>
        <w:ind w:firstLine="422"/>
        <w:rPr>
          <w:rFonts w:ascii="宋体" w:hAnsi="宋体" w:cs="宋体"/>
          <w:b/>
          <w:bCs/>
          <w:sz w:val="24"/>
          <w:u w:val="single"/>
        </w:rPr>
      </w:pPr>
      <w:r>
        <w:rPr>
          <w:rFonts w:hint="eastAsia" w:ascii="宋体" w:hAnsi="宋体" w:cs="宋体"/>
          <w:b/>
          <w:bCs/>
          <w:sz w:val="24"/>
        </w:rPr>
        <w:t>合同编号</w:t>
      </w:r>
      <w:r>
        <w:rPr>
          <w:rFonts w:hint="eastAsia" w:ascii="宋体" w:hAnsi="宋体" w:cs="宋体"/>
          <w:b/>
          <w:bCs/>
          <w:sz w:val="24"/>
          <w:u w:val="single"/>
        </w:rPr>
        <w:t xml:space="preserve">        </w:t>
      </w:r>
    </w:p>
    <w:p>
      <w:pPr>
        <w:spacing w:line="360" w:lineRule="auto"/>
        <w:ind w:firstLine="422"/>
        <w:jc w:val="center"/>
        <w:rPr>
          <w:rFonts w:ascii="宋体" w:hAnsi="宋体" w:cs="宋体"/>
          <w:b/>
          <w:bCs/>
          <w:sz w:val="24"/>
        </w:rPr>
      </w:pPr>
      <w:r>
        <w:rPr>
          <w:rFonts w:hint="eastAsia" w:ascii="宋体" w:hAnsi="宋体" w:cs="宋体"/>
          <w:b/>
          <w:bCs/>
          <w:sz w:val="24"/>
        </w:rPr>
        <w:t>浙江工商大学杭州商学院政府采购合同</w:t>
      </w:r>
    </w:p>
    <w:p>
      <w:pPr>
        <w:pStyle w:val="33"/>
        <w:spacing w:before="120" w:after="120" w:line="360" w:lineRule="auto"/>
        <w:ind w:firstLine="420"/>
        <w:jc w:val="center"/>
        <w:rPr>
          <w:rFonts w:hAnsi="宋体" w:cs="宋体"/>
          <w:b/>
          <w:sz w:val="24"/>
          <w:szCs w:val="24"/>
        </w:rPr>
      </w:pPr>
      <w:r>
        <w:rPr>
          <w:rFonts w:hint="eastAsia" w:hAnsi="宋体" w:cs="宋体"/>
          <w:sz w:val="24"/>
          <w:szCs w:val="24"/>
        </w:rPr>
        <w:t>（本合同为合同样稿，最终稿由三方协商后确定）</w:t>
      </w:r>
    </w:p>
    <w:p>
      <w:pPr>
        <w:pStyle w:val="5"/>
        <w:jc w:val="center"/>
        <w:rPr>
          <w:rFonts w:ascii="宋体" w:hAnsi="宋体" w:cs="宋体"/>
          <w:sz w:val="24"/>
          <w:szCs w:val="40"/>
        </w:rPr>
      </w:pPr>
      <w:bookmarkStart w:id="437" w:name="_Toc1295"/>
      <w:bookmarkStart w:id="438" w:name="_Toc21428"/>
      <w:bookmarkStart w:id="439" w:name="_Toc4443"/>
      <w:bookmarkStart w:id="440" w:name="_Toc7187"/>
      <w:bookmarkStart w:id="441" w:name="_Toc28103"/>
      <w:bookmarkStart w:id="442" w:name="_Toc7757"/>
      <w:r>
        <w:rPr>
          <w:rFonts w:hint="eastAsia" w:ascii="宋体" w:hAnsi="宋体" w:cs="宋体"/>
          <w:sz w:val="24"/>
          <w:szCs w:val="40"/>
        </w:rPr>
        <w:t>浙江省政府采购合同指引（货物）</w:t>
      </w:r>
      <w:bookmarkEnd w:id="437"/>
      <w:bookmarkEnd w:id="438"/>
      <w:bookmarkEnd w:id="439"/>
      <w:bookmarkEnd w:id="440"/>
      <w:bookmarkEnd w:id="441"/>
      <w:bookmarkEnd w:id="442"/>
    </w:p>
    <w:p>
      <w:pPr>
        <w:spacing w:line="360" w:lineRule="auto"/>
        <w:ind w:firstLine="480"/>
        <w:rPr>
          <w:rFonts w:ascii="宋体" w:hAnsi="宋体" w:cs="宋体"/>
          <w:sz w:val="24"/>
          <w:szCs w:val="32"/>
        </w:rPr>
      </w:pPr>
      <w:r>
        <w:rPr>
          <w:rFonts w:hint="eastAsia" w:ascii="宋体" w:hAnsi="宋体" w:cs="宋体"/>
          <w:sz w:val="24"/>
          <w:szCs w:val="32"/>
        </w:rPr>
        <w:t xml:space="preserve">项目名称                               项目编号 </w:t>
      </w:r>
    </w:p>
    <w:p>
      <w:pPr>
        <w:spacing w:line="360" w:lineRule="auto"/>
        <w:ind w:firstLine="480"/>
        <w:rPr>
          <w:rFonts w:ascii="宋体" w:hAnsi="宋体" w:cs="宋体"/>
          <w:sz w:val="24"/>
          <w:szCs w:val="32"/>
        </w:rPr>
      </w:pPr>
      <w:r>
        <w:rPr>
          <w:rFonts w:hint="eastAsia" w:ascii="宋体" w:hAnsi="宋体" w:cs="宋体"/>
          <w:sz w:val="24"/>
          <w:szCs w:val="32"/>
        </w:rPr>
        <w:t xml:space="preserve">甲方（买方、需方）： </w:t>
      </w:r>
    </w:p>
    <w:p>
      <w:pPr>
        <w:spacing w:line="360" w:lineRule="auto"/>
        <w:ind w:firstLine="480"/>
        <w:rPr>
          <w:rFonts w:ascii="宋体" w:hAnsi="宋体" w:cs="宋体"/>
          <w:sz w:val="24"/>
          <w:szCs w:val="32"/>
        </w:rPr>
      </w:pPr>
      <w:r>
        <w:rPr>
          <w:rFonts w:hint="eastAsia" w:ascii="宋体" w:hAnsi="宋体" w:cs="宋体"/>
          <w:sz w:val="24"/>
          <w:szCs w:val="32"/>
        </w:rPr>
        <w:t xml:space="preserve">乙方（卖方、供方）： </w:t>
      </w:r>
    </w:p>
    <w:p>
      <w:pPr>
        <w:spacing w:line="360" w:lineRule="auto"/>
        <w:ind w:firstLine="588" w:firstLineChars="245"/>
        <w:rPr>
          <w:rFonts w:ascii="宋体" w:hAnsi="宋体" w:cs="宋体"/>
          <w:sz w:val="24"/>
          <w:szCs w:val="32"/>
        </w:rPr>
      </w:pPr>
      <w:r>
        <w:rPr>
          <w:rFonts w:hint="eastAsia" w:ascii="宋体" w:hAnsi="宋体" w:cs="宋体"/>
          <w:sz w:val="24"/>
          <w:szCs w:val="32"/>
        </w:rPr>
        <w:t xml:space="preserve">甲、乙双方根据 </w:t>
      </w:r>
      <w:r>
        <w:rPr>
          <w:rFonts w:hint="eastAsia" w:ascii="宋体" w:hAnsi="宋体" w:cs="宋体"/>
          <w:sz w:val="24"/>
          <w:szCs w:val="32"/>
          <w:u w:val="single"/>
        </w:rPr>
        <w:t xml:space="preserve">                                    </w:t>
      </w:r>
      <w:r>
        <w:rPr>
          <w:rFonts w:hint="eastAsia" w:ascii="宋体" w:hAnsi="宋体" w:cs="宋体"/>
          <w:sz w:val="24"/>
          <w:szCs w:val="32"/>
        </w:rPr>
        <w:t>的结果，签署本合同。</w:t>
      </w:r>
    </w:p>
    <w:p>
      <w:pPr>
        <w:pStyle w:val="6"/>
        <w:spacing w:line="360" w:lineRule="auto"/>
        <w:rPr>
          <w:sz w:val="24"/>
          <w:szCs w:val="40"/>
        </w:rPr>
      </w:pPr>
      <w:r>
        <w:rPr>
          <w:rFonts w:hint="eastAsia"/>
          <w:sz w:val="24"/>
          <w:szCs w:val="40"/>
        </w:rPr>
        <w:t xml:space="preserve">一、货物内容 </w:t>
      </w:r>
    </w:p>
    <w:p>
      <w:pPr>
        <w:spacing w:line="360" w:lineRule="auto"/>
        <w:ind w:firstLine="480"/>
        <w:rPr>
          <w:rFonts w:ascii="宋体" w:hAnsi="宋体" w:cs="宋体"/>
          <w:sz w:val="24"/>
          <w:szCs w:val="32"/>
        </w:rPr>
      </w:pPr>
      <w:r>
        <w:rPr>
          <w:rFonts w:hint="eastAsia" w:ascii="宋体" w:hAnsi="宋体" w:cs="宋体"/>
          <w:sz w:val="24"/>
          <w:szCs w:val="32"/>
        </w:rPr>
        <w:t xml:space="preserve">1.1 货物名称： </w:t>
      </w:r>
    </w:p>
    <w:p>
      <w:pPr>
        <w:spacing w:line="360" w:lineRule="auto"/>
        <w:ind w:firstLine="480"/>
        <w:rPr>
          <w:rFonts w:ascii="宋体" w:hAnsi="宋体" w:cs="宋体"/>
          <w:sz w:val="24"/>
          <w:szCs w:val="32"/>
        </w:rPr>
      </w:pPr>
      <w:r>
        <w:rPr>
          <w:rFonts w:hint="eastAsia" w:ascii="宋体" w:hAnsi="宋体" w:cs="宋体"/>
          <w:sz w:val="24"/>
          <w:szCs w:val="32"/>
        </w:rPr>
        <w:t xml:space="preserve">1.2 型号规格： </w:t>
      </w:r>
    </w:p>
    <w:p>
      <w:pPr>
        <w:spacing w:line="360" w:lineRule="auto"/>
        <w:ind w:firstLine="480"/>
        <w:rPr>
          <w:rFonts w:ascii="宋体" w:hAnsi="宋体" w:cs="宋体"/>
          <w:sz w:val="24"/>
          <w:szCs w:val="32"/>
        </w:rPr>
      </w:pPr>
      <w:r>
        <w:rPr>
          <w:rFonts w:hint="eastAsia" w:ascii="宋体" w:hAnsi="宋体" w:cs="宋体"/>
          <w:sz w:val="24"/>
          <w:szCs w:val="32"/>
        </w:rPr>
        <w:t xml:space="preserve">1.3 技术参数： </w:t>
      </w:r>
    </w:p>
    <w:p>
      <w:pPr>
        <w:spacing w:line="360" w:lineRule="auto"/>
        <w:ind w:firstLine="480"/>
        <w:rPr>
          <w:rFonts w:ascii="宋体" w:hAnsi="宋体" w:cs="宋体"/>
          <w:sz w:val="24"/>
          <w:szCs w:val="32"/>
        </w:rPr>
      </w:pPr>
      <w:r>
        <w:rPr>
          <w:rFonts w:hint="eastAsia" w:ascii="宋体" w:hAnsi="宋体" w:cs="宋体"/>
          <w:sz w:val="24"/>
          <w:szCs w:val="32"/>
        </w:rPr>
        <w:t xml:space="preserve">1.4 数量、单位： </w:t>
      </w:r>
    </w:p>
    <w:p>
      <w:pPr>
        <w:pStyle w:val="6"/>
        <w:spacing w:line="360" w:lineRule="auto"/>
        <w:rPr>
          <w:sz w:val="24"/>
          <w:szCs w:val="40"/>
        </w:rPr>
      </w:pPr>
      <w:r>
        <w:rPr>
          <w:rFonts w:hint="eastAsia"/>
          <w:sz w:val="24"/>
          <w:szCs w:val="40"/>
        </w:rPr>
        <w:t xml:space="preserve">二、合同金额 </w:t>
      </w:r>
    </w:p>
    <w:p>
      <w:pPr>
        <w:spacing w:line="360" w:lineRule="auto"/>
        <w:ind w:firstLine="480"/>
        <w:rPr>
          <w:rFonts w:ascii="宋体" w:hAnsi="宋体" w:cs="宋体"/>
          <w:sz w:val="24"/>
          <w:szCs w:val="32"/>
        </w:rPr>
      </w:pPr>
      <w:r>
        <w:rPr>
          <w:rFonts w:hint="eastAsia" w:ascii="宋体" w:hAnsi="宋体" w:cs="宋体"/>
          <w:sz w:val="24"/>
          <w:szCs w:val="32"/>
        </w:rPr>
        <w:t xml:space="preserve">2.1本合同金额为（大写）：____________________________________元（￥_______________元）人民币。 </w:t>
      </w:r>
    </w:p>
    <w:p>
      <w:pPr>
        <w:pStyle w:val="6"/>
        <w:spacing w:line="360" w:lineRule="auto"/>
        <w:rPr>
          <w:sz w:val="24"/>
          <w:szCs w:val="40"/>
        </w:rPr>
      </w:pPr>
      <w:r>
        <w:rPr>
          <w:rFonts w:hint="eastAsia"/>
          <w:sz w:val="24"/>
          <w:szCs w:val="40"/>
        </w:rPr>
        <w:t xml:space="preserve">三、技术资料 </w:t>
      </w:r>
    </w:p>
    <w:p>
      <w:pPr>
        <w:spacing w:line="360" w:lineRule="auto"/>
        <w:ind w:firstLine="480"/>
        <w:rPr>
          <w:rFonts w:ascii="宋体" w:hAnsi="宋体" w:cs="宋体"/>
          <w:sz w:val="24"/>
          <w:szCs w:val="32"/>
        </w:rPr>
      </w:pPr>
      <w:r>
        <w:rPr>
          <w:rFonts w:hint="eastAsia" w:ascii="宋体" w:hAnsi="宋体" w:cs="宋体"/>
          <w:sz w:val="24"/>
          <w:szCs w:val="32"/>
        </w:rPr>
        <w:t xml:space="preserve">3.1乙方应按采购文件规定的时间向甲方提供使用货物的有关技术资料。 </w:t>
      </w:r>
    </w:p>
    <w:p>
      <w:pPr>
        <w:spacing w:line="360" w:lineRule="auto"/>
        <w:ind w:firstLine="480"/>
        <w:rPr>
          <w:rFonts w:ascii="宋体" w:hAnsi="宋体" w:cs="宋体"/>
          <w:sz w:val="24"/>
          <w:szCs w:val="32"/>
        </w:rPr>
      </w:pPr>
      <w:r>
        <w:rPr>
          <w:rFonts w:hint="eastAsia" w:ascii="宋体" w:hAnsi="宋体" w:cs="宋体"/>
          <w:sz w:val="24"/>
          <w:szCs w:val="32"/>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spacing w:line="360" w:lineRule="auto"/>
        <w:rPr>
          <w:sz w:val="24"/>
          <w:szCs w:val="40"/>
        </w:rPr>
      </w:pPr>
      <w:r>
        <w:rPr>
          <w:rFonts w:hint="eastAsia"/>
          <w:sz w:val="24"/>
          <w:szCs w:val="40"/>
        </w:rPr>
        <w:t>四、知识产权</w:t>
      </w:r>
    </w:p>
    <w:p>
      <w:pPr>
        <w:spacing w:line="360" w:lineRule="auto"/>
        <w:ind w:firstLine="480"/>
        <w:rPr>
          <w:rFonts w:ascii="宋体" w:hAnsi="宋体" w:cs="宋体"/>
          <w:sz w:val="24"/>
          <w:szCs w:val="32"/>
        </w:rPr>
      </w:pPr>
      <w:r>
        <w:rPr>
          <w:rFonts w:hint="eastAsia" w:ascii="宋体" w:hAnsi="宋体" w:cs="宋体"/>
          <w:sz w:val="24"/>
          <w:szCs w:val="32"/>
        </w:rPr>
        <w:t>4.1 乙方应保证所提供的货物或其任何一部分均不会侵犯任何第三方的知识产权。</w:t>
      </w:r>
    </w:p>
    <w:p>
      <w:pPr>
        <w:pStyle w:val="6"/>
        <w:spacing w:line="360" w:lineRule="auto"/>
        <w:rPr>
          <w:sz w:val="24"/>
          <w:szCs w:val="40"/>
        </w:rPr>
      </w:pPr>
      <w:r>
        <w:rPr>
          <w:rFonts w:hint="eastAsia"/>
          <w:sz w:val="24"/>
          <w:szCs w:val="40"/>
        </w:rPr>
        <w:t xml:space="preserve">五、产权担保 </w:t>
      </w:r>
    </w:p>
    <w:p>
      <w:pPr>
        <w:spacing w:line="360" w:lineRule="auto"/>
        <w:ind w:firstLine="480"/>
        <w:rPr>
          <w:rFonts w:ascii="宋体" w:hAnsi="宋体" w:cs="宋体"/>
          <w:sz w:val="24"/>
          <w:szCs w:val="32"/>
        </w:rPr>
      </w:pPr>
      <w:r>
        <w:rPr>
          <w:rFonts w:hint="eastAsia" w:ascii="宋体" w:hAnsi="宋体" w:cs="宋体"/>
          <w:sz w:val="24"/>
          <w:szCs w:val="32"/>
        </w:rPr>
        <w:t xml:space="preserve">5.1 乙方保证所交付的货物的所有权完全属于乙方且无任何抵押、查封等产权瑕疵。 </w:t>
      </w:r>
    </w:p>
    <w:p>
      <w:pPr>
        <w:keepNext/>
        <w:keepLines/>
        <w:spacing w:line="360" w:lineRule="auto"/>
        <w:outlineLvl w:val="2"/>
        <w:rPr>
          <w:rFonts w:ascii="宋体" w:hAnsi="宋体" w:cs="宋体"/>
          <w:b/>
          <w:bCs/>
          <w:sz w:val="24"/>
          <w:szCs w:val="40"/>
        </w:rPr>
      </w:pPr>
      <w:r>
        <w:rPr>
          <w:rFonts w:hint="eastAsia" w:ascii="宋体" w:hAnsi="宋体" w:cs="宋体"/>
          <w:b/>
          <w:bCs/>
          <w:sz w:val="24"/>
          <w:szCs w:val="40"/>
        </w:rPr>
        <w:t>六、履约保证金</w:t>
      </w:r>
    </w:p>
    <w:p>
      <w:pPr>
        <w:spacing w:before="24" w:beforeLines="10" w:line="360" w:lineRule="auto"/>
        <w:ind w:firstLine="360" w:firstLineChars="150"/>
        <w:jc w:val="left"/>
        <w:rPr>
          <w:rFonts w:ascii="宋体" w:hAnsi="宋体"/>
          <w:kern w:val="0"/>
          <w:sz w:val="24"/>
          <w:szCs w:val="32"/>
        </w:rPr>
      </w:pPr>
      <w:r>
        <w:rPr>
          <w:rFonts w:hint="eastAsia" w:ascii="宋体" w:hAnsi="宋体"/>
          <w:kern w:val="0"/>
          <w:sz w:val="24"/>
          <w:szCs w:val="32"/>
        </w:rPr>
        <w:t>中标人在合同签订后5个工作日内向采购人指定账户交纳合同总价1%的履约保证金。履约保证金的交付方式：以支票、汇票、本票或者金融机构、担保机构出具的保函等非现金形式提交。</w:t>
      </w:r>
    </w:p>
    <w:p>
      <w:pPr>
        <w:spacing w:line="360" w:lineRule="auto"/>
        <w:ind w:firstLine="480"/>
        <w:rPr>
          <w:rFonts w:ascii="宋体" w:hAnsi="宋体" w:cs="宋体"/>
          <w:sz w:val="24"/>
          <w:szCs w:val="32"/>
        </w:rPr>
      </w:pPr>
      <w:r>
        <w:rPr>
          <w:rFonts w:hint="eastAsia" w:ascii="宋体" w:hAnsi="宋体" w:cs="宋体"/>
          <w:sz w:val="24"/>
        </w:rPr>
        <w:t>履约保证金在货物交付后，经验收合格后30天内退还中标人。</w:t>
      </w:r>
    </w:p>
    <w:p>
      <w:pPr>
        <w:spacing w:line="360" w:lineRule="auto"/>
        <w:ind w:firstLine="480"/>
        <w:rPr>
          <w:sz w:val="24"/>
          <w:szCs w:val="32"/>
        </w:rPr>
      </w:pPr>
      <w:r>
        <w:rPr>
          <w:rFonts w:hint="eastAsia"/>
          <w:sz w:val="24"/>
          <w:szCs w:val="32"/>
        </w:rPr>
        <w:t>逾期支付银行同档利息。</w:t>
      </w:r>
    </w:p>
    <w:p>
      <w:pPr>
        <w:pStyle w:val="6"/>
        <w:spacing w:line="360" w:lineRule="auto"/>
        <w:rPr>
          <w:sz w:val="24"/>
          <w:szCs w:val="40"/>
        </w:rPr>
      </w:pPr>
      <w:r>
        <w:rPr>
          <w:rFonts w:hint="eastAsia"/>
          <w:sz w:val="24"/>
          <w:szCs w:val="40"/>
        </w:rPr>
        <w:t>七.、转包或</w:t>
      </w:r>
      <w:r>
        <w:rPr>
          <w:rStyle w:val="115"/>
          <w:rFonts w:hint="eastAsia"/>
          <w:b/>
          <w:bCs w:val="0"/>
          <w:sz w:val="24"/>
          <w:szCs w:val="40"/>
        </w:rPr>
        <w:t>分</w:t>
      </w:r>
      <w:r>
        <w:rPr>
          <w:rFonts w:hint="eastAsia"/>
          <w:sz w:val="24"/>
          <w:szCs w:val="40"/>
        </w:rPr>
        <w:t xml:space="preserve">包 </w:t>
      </w:r>
    </w:p>
    <w:p>
      <w:pPr>
        <w:spacing w:line="360" w:lineRule="auto"/>
        <w:ind w:firstLine="480"/>
        <w:rPr>
          <w:rFonts w:ascii="宋体" w:hAnsi="宋体" w:cs="宋体"/>
          <w:sz w:val="24"/>
          <w:szCs w:val="32"/>
        </w:rPr>
      </w:pPr>
      <w:r>
        <w:rPr>
          <w:rFonts w:hint="eastAsia" w:ascii="宋体" w:hAnsi="宋体" w:cs="宋体"/>
          <w:sz w:val="24"/>
          <w:szCs w:val="32"/>
        </w:rPr>
        <w:t>7.1本合同范围的货物，应由供方直接供应，不得转让他人供应。</w:t>
      </w:r>
    </w:p>
    <w:p>
      <w:pPr>
        <w:spacing w:line="360" w:lineRule="auto"/>
        <w:ind w:firstLine="480"/>
        <w:rPr>
          <w:rFonts w:ascii="宋体" w:hAnsi="宋体" w:cs="宋体"/>
          <w:sz w:val="24"/>
          <w:szCs w:val="32"/>
        </w:rPr>
      </w:pPr>
      <w:r>
        <w:rPr>
          <w:rFonts w:hint="eastAsia" w:ascii="宋体" w:hAnsi="宋体" w:cs="宋体"/>
          <w:sz w:val="24"/>
          <w:szCs w:val="32"/>
        </w:rPr>
        <w:t>7.2 除非得到需方的书面同意，供方不得部分分包给他人供应。</w:t>
      </w:r>
    </w:p>
    <w:p>
      <w:pPr>
        <w:spacing w:line="360" w:lineRule="auto"/>
        <w:ind w:firstLine="480"/>
        <w:rPr>
          <w:rFonts w:ascii="宋体" w:hAnsi="宋体" w:cs="宋体"/>
          <w:sz w:val="24"/>
          <w:szCs w:val="32"/>
        </w:rPr>
      </w:pPr>
      <w:r>
        <w:rPr>
          <w:rFonts w:hint="eastAsia" w:ascii="宋体" w:hAnsi="宋体" w:cs="宋体"/>
          <w:sz w:val="24"/>
          <w:szCs w:val="32"/>
        </w:rPr>
        <w:t xml:space="preserve">7.3如有转让和未经需方同意的分包行为，需方有权给予终止合同。 </w:t>
      </w:r>
    </w:p>
    <w:p>
      <w:pPr>
        <w:pStyle w:val="6"/>
        <w:spacing w:line="360" w:lineRule="auto"/>
        <w:rPr>
          <w:sz w:val="24"/>
          <w:szCs w:val="40"/>
        </w:rPr>
      </w:pPr>
      <w:r>
        <w:rPr>
          <w:rFonts w:hint="eastAsia"/>
          <w:sz w:val="24"/>
          <w:szCs w:val="40"/>
        </w:rPr>
        <w:t xml:space="preserve">八、质保期 </w:t>
      </w:r>
    </w:p>
    <w:p>
      <w:pPr>
        <w:spacing w:line="360" w:lineRule="auto"/>
        <w:ind w:firstLine="480"/>
        <w:rPr>
          <w:rFonts w:ascii="宋体" w:hAnsi="宋体" w:cs="宋体"/>
          <w:sz w:val="24"/>
          <w:szCs w:val="32"/>
        </w:rPr>
      </w:pPr>
      <w:r>
        <w:rPr>
          <w:rFonts w:hint="eastAsia" w:ascii="宋体" w:hAnsi="宋体" w:cs="宋体"/>
          <w:sz w:val="24"/>
          <w:szCs w:val="32"/>
        </w:rPr>
        <w:t>8.1 储存质保期：  年，自交货验收合格之日起计。</w:t>
      </w:r>
    </w:p>
    <w:p>
      <w:pPr>
        <w:pStyle w:val="6"/>
        <w:spacing w:line="360" w:lineRule="auto"/>
        <w:rPr>
          <w:sz w:val="24"/>
          <w:szCs w:val="40"/>
        </w:rPr>
      </w:pPr>
      <w:r>
        <w:rPr>
          <w:rFonts w:hint="eastAsia"/>
          <w:sz w:val="24"/>
          <w:szCs w:val="40"/>
        </w:rPr>
        <w:t xml:space="preserve">九、交货期、交货方式及交货地点 </w:t>
      </w:r>
    </w:p>
    <w:p>
      <w:pPr>
        <w:spacing w:line="360" w:lineRule="auto"/>
        <w:ind w:firstLine="480"/>
        <w:rPr>
          <w:rFonts w:ascii="宋体" w:hAnsi="宋体" w:cs="宋体"/>
          <w:sz w:val="24"/>
          <w:szCs w:val="32"/>
        </w:rPr>
      </w:pPr>
      <w:r>
        <w:rPr>
          <w:rFonts w:hint="eastAsia" w:ascii="宋体" w:hAnsi="宋体" w:cs="宋体"/>
          <w:sz w:val="24"/>
          <w:szCs w:val="32"/>
        </w:rPr>
        <w:t xml:space="preserve">9.1 交货期： </w:t>
      </w:r>
    </w:p>
    <w:p>
      <w:pPr>
        <w:spacing w:line="360" w:lineRule="auto"/>
        <w:ind w:firstLine="480"/>
        <w:rPr>
          <w:rFonts w:ascii="宋体" w:hAnsi="宋体" w:cs="宋体"/>
          <w:sz w:val="24"/>
          <w:szCs w:val="32"/>
        </w:rPr>
      </w:pPr>
      <w:r>
        <w:rPr>
          <w:rFonts w:hint="eastAsia" w:ascii="宋体" w:hAnsi="宋体" w:cs="宋体"/>
          <w:sz w:val="24"/>
          <w:szCs w:val="32"/>
        </w:rPr>
        <w:t xml:space="preserve">9.2 交货方式： </w:t>
      </w:r>
    </w:p>
    <w:p>
      <w:pPr>
        <w:spacing w:line="360" w:lineRule="auto"/>
        <w:ind w:firstLine="480"/>
        <w:rPr>
          <w:rFonts w:ascii="宋体" w:hAnsi="宋体" w:cs="宋体"/>
          <w:sz w:val="24"/>
          <w:szCs w:val="32"/>
        </w:rPr>
      </w:pPr>
      <w:r>
        <w:rPr>
          <w:rFonts w:hint="eastAsia" w:ascii="宋体" w:hAnsi="宋体" w:cs="宋体"/>
          <w:sz w:val="24"/>
          <w:szCs w:val="32"/>
        </w:rPr>
        <w:t>9.3 交货地点：</w:t>
      </w:r>
    </w:p>
    <w:p>
      <w:pPr>
        <w:pStyle w:val="6"/>
        <w:spacing w:line="360" w:lineRule="auto"/>
        <w:rPr>
          <w:sz w:val="24"/>
          <w:szCs w:val="40"/>
        </w:rPr>
      </w:pPr>
      <w:r>
        <w:rPr>
          <w:rFonts w:hint="eastAsia"/>
          <w:sz w:val="24"/>
          <w:szCs w:val="40"/>
        </w:rPr>
        <w:t xml:space="preserve">十、货款支付 </w:t>
      </w:r>
    </w:p>
    <w:p>
      <w:pPr>
        <w:spacing w:line="360" w:lineRule="auto"/>
        <w:ind w:firstLine="480"/>
        <w:rPr>
          <w:rFonts w:ascii="宋体" w:hAnsi="宋体" w:cs="宋体"/>
          <w:sz w:val="24"/>
          <w:szCs w:val="32"/>
        </w:rPr>
      </w:pPr>
      <w:r>
        <w:rPr>
          <w:rFonts w:hint="eastAsia" w:ascii="宋体" w:hAnsi="宋体" w:cs="宋体"/>
          <w:sz w:val="24"/>
          <w:szCs w:val="32"/>
        </w:rPr>
        <w:t>10.1 付款方式：</w:t>
      </w:r>
    </w:p>
    <w:p>
      <w:pPr>
        <w:spacing w:line="360" w:lineRule="auto"/>
        <w:ind w:firstLine="480"/>
        <w:rPr>
          <w:rFonts w:ascii="宋体" w:hAnsi="宋体" w:cs="宋体"/>
          <w:sz w:val="24"/>
          <w:szCs w:val="32"/>
        </w:rPr>
      </w:pPr>
      <w:r>
        <w:rPr>
          <w:rFonts w:hint="eastAsia" w:ascii="宋体" w:hAnsi="宋体" w:cs="宋体"/>
          <w:sz w:val="24"/>
          <w:szCs w:val="32"/>
        </w:rPr>
        <w:t xml:space="preserve">10.2 当采购数量与实际使用数量不一致时，供应商应根据实际使用量，供货合同的最终结算金额按实际使用量乘以成交单价进行计算。 </w:t>
      </w:r>
    </w:p>
    <w:p>
      <w:pPr>
        <w:pStyle w:val="6"/>
        <w:spacing w:line="360" w:lineRule="auto"/>
        <w:rPr>
          <w:sz w:val="24"/>
          <w:szCs w:val="40"/>
        </w:rPr>
      </w:pPr>
      <w:r>
        <w:rPr>
          <w:rFonts w:hint="eastAsia"/>
          <w:sz w:val="24"/>
          <w:szCs w:val="40"/>
        </w:rPr>
        <w:t xml:space="preserve">十一、税费 </w:t>
      </w:r>
    </w:p>
    <w:p>
      <w:pPr>
        <w:spacing w:line="360" w:lineRule="auto"/>
        <w:ind w:firstLine="480"/>
        <w:rPr>
          <w:rFonts w:ascii="宋体" w:hAnsi="宋体" w:cs="宋体"/>
          <w:sz w:val="24"/>
          <w:szCs w:val="32"/>
        </w:rPr>
      </w:pPr>
      <w:r>
        <w:rPr>
          <w:rFonts w:hint="eastAsia" w:ascii="宋体" w:hAnsi="宋体" w:cs="宋体"/>
          <w:sz w:val="24"/>
          <w:szCs w:val="32"/>
        </w:rPr>
        <w:t xml:space="preserve">11.1本合同执行中相关的一切税费均由供方负担。 </w:t>
      </w:r>
    </w:p>
    <w:p>
      <w:pPr>
        <w:pStyle w:val="6"/>
        <w:spacing w:line="360" w:lineRule="auto"/>
        <w:rPr>
          <w:sz w:val="24"/>
          <w:szCs w:val="40"/>
        </w:rPr>
      </w:pPr>
      <w:r>
        <w:rPr>
          <w:rFonts w:hint="eastAsia"/>
          <w:sz w:val="24"/>
          <w:szCs w:val="40"/>
        </w:rPr>
        <w:t xml:space="preserve">十二、质量保证及售后服务 </w:t>
      </w:r>
    </w:p>
    <w:p>
      <w:pPr>
        <w:spacing w:line="360" w:lineRule="auto"/>
        <w:ind w:firstLine="480"/>
        <w:rPr>
          <w:rFonts w:ascii="宋体" w:hAnsi="宋体" w:cs="宋体"/>
          <w:sz w:val="24"/>
          <w:szCs w:val="32"/>
        </w:rPr>
      </w:pPr>
      <w:r>
        <w:rPr>
          <w:rFonts w:hint="eastAsia" w:ascii="宋体" w:hAnsi="宋体" w:cs="宋体"/>
          <w:sz w:val="24"/>
          <w:szCs w:val="32"/>
        </w:rPr>
        <w:t>12.1 乙方应按采购文件规定的货物性能、技术要求、质量标准向甲方提供未经使用的全新产品。</w:t>
      </w:r>
    </w:p>
    <w:p>
      <w:pPr>
        <w:spacing w:line="360" w:lineRule="auto"/>
        <w:ind w:firstLine="480"/>
        <w:rPr>
          <w:rFonts w:ascii="宋体" w:hAnsi="宋体" w:cs="宋体"/>
          <w:sz w:val="24"/>
          <w:szCs w:val="32"/>
        </w:rPr>
      </w:pPr>
      <w:r>
        <w:rPr>
          <w:rFonts w:hint="eastAsia" w:ascii="宋体" w:hAnsi="宋体" w:cs="宋体"/>
          <w:sz w:val="24"/>
          <w:szCs w:val="32"/>
        </w:rPr>
        <w:t>12.2 乙方提供的货物在质量期内因货物本身的质量问题发生故障，乙方应负责免费更换。对达不到技术要求者，根据实际情况，经双方协商，可按以下办法处理：</w:t>
      </w:r>
    </w:p>
    <w:p>
      <w:pPr>
        <w:spacing w:line="360" w:lineRule="auto"/>
        <w:ind w:firstLine="480"/>
        <w:rPr>
          <w:rFonts w:ascii="宋体" w:hAnsi="宋体" w:cs="宋体"/>
          <w:sz w:val="24"/>
          <w:szCs w:val="32"/>
        </w:rPr>
      </w:pPr>
      <w:r>
        <w:rPr>
          <w:rFonts w:hint="eastAsia" w:ascii="宋体" w:hAnsi="宋体" w:cs="宋体"/>
          <w:sz w:val="24"/>
          <w:szCs w:val="32"/>
        </w:rPr>
        <w:t>⑴更换。由乙方承担所发生的全部费用。</w:t>
      </w:r>
    </w:p>
    <w:p>
      <w:pPr>
        <w:spacing w:line="360" w:lineRule="auto"/>
        <w:ind w:firstLine="480"/>
        <w:rPr>
          <w:rFonts w:ascii="宋体" w:hAnsi="宋体" w:cs="宋体"/>
          <w:sz w:val="24"/>
          <w:szCs w:val="32"/>
        </w:rPr>
      </w:pPr>
      <w:r>
        <w:rPr>
          <w:rFonts w:hint="eastAsia" w:ascii="宋体" w:hAnsi="宋体" w:cs="宋体"/>
          <w:sz w:val="24"/>
          <w:szCs w:val="32"/>
        </w:rPr>
        <w:t>⑵贬值处理。由甲乙双方合议定价。</w:t>
      </w:r>
    </w:p>
    <w:p>
      <w:pPr>
        <w:spacing w:line="360" w:lineRule="auto"/>
        <w:ind w:firstLine="480"/>
        <w:rPr>
          <w:rFonts w:ascii="宋体" w:hAnsi="宋体" w:cs="宋体"/>
          <w:sz w:val="24"/>
          <w:szCs w:val="32"/>
        </w:rPr>
      </w:pPr>
      <w:r>
        <w:rPr>
          <w:rFonts w:hint="eastAsia" w:ascii="宋体" w:hAnsi="宋体" w:cs="宋体"/>
          <w:sz w:val="24"/>
          <w:szCs w:val="32"/>
        </w:rPr>
        <w:t>⑶退货处理。乙方应退还甲方支付的合同款，同时应承担该货物的直接费用、运输、保险、检验、货款利息及银行手续费等。</w:t>
      </w:r>
    </w:p>
    <w:p>
      <w:pPr>
        <w:spacing w:line="360" w:lineRule="auto"/>
        <w:ind w:firstLine="480"/>
        <w:rPr>
          <w:rFonts w:ascii="宋体" w:hAnsi="宋体" w:cs="宋体"/>
          <w:sz w:val="24"/>
          <w:szCs w:val="32"/>
        </w:rPr>
      </w:pPr>
      <w:r>
        <w:rPr>
          <w:rFonts w:hint="eastAsia" w:ascii="宋体" w:hAnsi="宋体" w:cs="宋体"/>
          <w:sz w:val="24"/>
          <w:szCs w:val="32"/>
        </w:rPr>
        <w:t xml:space="preserve">12.3 如在使用过程中发生质量问题，乙方在接到甲方通知后在4小时内到达甲方现场。 </w:t>
      </w:r>
    </w:p>
    <w:p>
      <w:pPr>
        <w:spacing w:line="360" w:lineRule="auto"/>
        <w:ind w:firstLine="480"/>
        <w:rPr>
          <w:rFonts w:ascii="宋体" w:hAnsi="宋体" w:cs="宋体"/>
          <w:sz w:val="24"/>
          <w:szCs w:val="32"/>
        </w:rPr>
      </w:pPr>
      <w:r>
        <w:rPr>
          <w:rFonts w:hint="eastAsia" w:ascii="宋体" w:hAnsi="宋体" w:cs="宋体"/>
          <w:sz w:val="24"/>
          <w:szCs w:val="32"/>
        </w:rPr>
        <w:t xml:space="preserve">12.4 在质保期内，乙方应对货物出现的质量及安全问题负责处理解决并承担一切费用。 </w:t>
      </w:r>
    </w:p>
    <w:p>
      <w:pPr>
        <w:spacing w:line="360" w:lineRule="auto"/>
        <w:ind w:firstLine="480"/>
        <w:rPr>
          <w:rFonts w:ascii="宋体" w:hAnsi="宋体" w:cs="宋体"/>
          <w:sz w:val="24"/>
          <w:szCs w:val="32"/>
        </w:rPr>
      </w:pPr>
      <w:r>
        <w:rPr>
          <w:rFonts w:hint="eastAsia" w:ascii="宋体" w:hAnsi="宋体" w:cs="宋体"/>
          <w:sz w:val="24"/>
          <w:szCs w:val="32"/>
        </w:rPr>
        <w:t xml:space="preserve">12.5上述的货物免费保修期为三年，因人为因素出现的故障不在免费保修范围内。超过保修期的机器设备终生维修，维修时只收部件成本费。 </w:t>
      </w:r>
    </w:p>
    <w:p>
      <w:pPr>
        <w:pStyle w:val="6"/>
        <w:spacing w:line="360" w:lineRule="auto"/>
        <w:rPr>
          <w:sz w:val="24"/>
          <w:szCs w:val="40"/>
        </w:rPr>
      </w:pPr>
      <w:r>
        <w:rPr>
          <w:rFonts w:hint="eastAsia"/>
          <w:sz w:val="24"/>
          <w:szCs w:val="40"/>
        </w:rPr>
        <w:t xml:space="preserve">十三、调试和验收 </w:t>
      </w:r>
    </w:p>
    <w:p>
      <w:pPr>
        <w:spacing w:line="360" w:lineRule="auto"/>
        <w:ind w:firstLine="480"/>
        <w:rPr>
          <w:rFonts w:ascii="宋体" w:hAnsi="宋体" w:cs="宋体"/>
          <w:sz w:val="24"/>
          <w:szCs w:val="32"/>
        </w:rPr>
      </w:pPr>
      <w:r>
        <w:rPr>
          <w:rFonts w:hint="eastAsia" w:ascii="宋体" w:hAnsi="宋体" w:cs="宋体"/>
          <w:sz w:val="24"/>
          <w:szCs w:val="32"/>
        </w:rPr>
        <w:t>13.1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spacing w:line="360" w:lineRule="auto"/>
        <w:ind w:firstLine="480"/>
        <w:rPr>
          <w:rFonts w:ascii="宋体" w:hAnsi="宋体" w:cs="宋体"/>
          <w:sz w:val="24"/>
          <w:szCs w:val="32"/>
        </w:rPr>
      </w:pPr>
      <w:r>
        <w:rPr>
          <w:rFonts w:hint="eastAsia" w:ascii="宋体" w:hAnsi="宋体" w:cs="宋体"/>
          <w:sz w:val="24"/>
          <w:szCs w:val="32"/>
        </w:rPr>
        <w:t>13.2 乙方交货前应对产品作出全面检查和对验收文件进行整理并列出清单作为甲方收货验收和使用的技术条件依据，检验的结果应随货物交甲方。</w:t>
      </w:r>
    </w:p>
    <w:p>
      <w:pPr>
        <w:spacing w:line="360" w:lineRule="auto"/>
        <w:ind w:firstLine="480"/>
        <w:rPr>
          <w:rFonts w:ascii="宋体" w:hAnsi="宋体" w:cs="宋体"/>
          <w:sz w:val="24"/>
          <w:szCs w:val="32"/>
        </w:rPr>
      </w:pPr>
      <w:r>
        <w:rPr>
          <w:rFonts w:hint="eastAsia" w:ascii="宋体" w:hAnsi="宋体" w:cs="宋体"/>
          <w:sz w:val="24"/>
          <w:szCs w:val="32"/>
        </w:rPr>
        <w:t>13.3 甲方对乙方提供的货物在使用前进行调试时，乙方需负责安装并培训甲方的使用操作人员，并协助甲方一起调试，直到符合技术要求，甲方才做最终验收。</w:t>
      </w:r>
    </w:p>
    <w:p>
      <w:pPr>
        <w:spacing w:line="360" w:lineRule="auto"/>
        <w:ind w:firstLine="480"/>
        <w:rPr>
          <w:rFonts w:ascii="宋体" w:hAnsi="宋体" w:cs="宋体"/>
          <w:sz w:val="24"/>
          <w:szCs w:val="32"/>
        </w:rPr>
      </w:pPr>
      <w:r>
        <w:rPr>
          <w:rFonts w:hint="eastAsia" w:ascii="宋体" w:hAnsi="宋体" w:cs="宋体"/>
          <w:sz w:val="24"/>
          <w:szCs w:val="32"/>
        </w:rPr>
        <w:t>13.4 甲方自行或委托</w:t>
      </w:r>
      <w:r>
        <w:rPr>
          <w:rFonts w:hint="eastAsia" w:ascii="宋体" w:hAnsi="宋体" w:cs="宋体"/>
          <w:sz w:val="24"/>
        </w:rPr>
        <w:t>第三方</w:t>
      </w:r>
      <w:r>
        <w:rPr>
          <w:rFonts w:hint="eastAsia" w:ascii="宋体" w:hAnsi="宋体" w:cs="宋体"/>
          <w:sz w:val="24"/>
          <w:szCs w:val="32"/>
        </w:rPr>
        <w:t>进行最终履约验收并由其出具验收报告（含检测报告）。</w:t>
      </w:r>
    </w:p>
    <w:p>
      <w:pPr>
        <w:spacing w:line="360" w:lineRule="auto"/>
        <w:ind w:firstLine="480"/>
        <w:rPr>
          <w:rFonts w:ascii="宋体" w:hAnsi="宋体" w:cs="宋体"/>
          <w:sz w:val="24"/>
          <w:szCs w:val="32"/>
        </w:rPr>
      </w:pPr>
      <w:r>
        <w:rPr>
          <w:rFonts w:hint="eastAsia" w:ascii="宋体" w:hAnsi="宋体" w:cs="宋体"/>
          <w:sz w:val="24"/>
          <w:szCs w:val="32"/>
        </w:rPr>
        <w:t>13.5 验收时乙方必须在现场，验收完毕后作出验收结果报告，验收费用由乙方负责。</w:t>
      </w:r>
    </w:p>
    <w:p>
      <w:pPr>
        <w:pStyle w:val="6"/>
        <w:spacing w:line="360" w:lineRule="auto"/>
        <w:rPr>
          <w:sz w:val="24"/>
          <w:szCs w:val="40"/>
        </w:rPr>
      </w:pPr>
      <w:r>
        <w:rPr>
          <w:rFonts w:hint="eastAsia"/>
          <w:sz w:val="24"/>
          <w:szCs w:val="40"/>
        </w:rPr>
        <w:t xml:space="preserve">十四、货物包装、发运及运输 </w:t>
      </w:r>
    </w:p>
    <w:p>
      <w:pPr>
        <w:spacing w:line="360" w:lineRule="auto"/>
        <w:ind w:firstLine="480"/>
        <w:rPr>
          <w:rFonts w:ascii="宋体" w:hAnsi="宋体" w:cs="宋体"/>
          <w:sz w:val="24"/>
          <w:szCs w:val="32"/>
        </w:rPr>
      </w:pPr>
      <w:r>
        <w:rPr>
          <w:rFonts w:hint="eastAsia" w:ascii="宋体" w:hAnsi="宋体" w:cs="宋体"/>
          <w:sz w:val="24"/>
          <w:szCs w:val="32"/>
        </w:rPr>
        <w:t>14.1 乙方应在货物发运前对其进行满足运输距离、防潮、防震、防锈和防破损装卸等要求包装以保证货物安全运达甲方指定地点。</w:t>
      </w:r>
    </w:p>
    <w:p>
      <w:pPr>
        <w:spacing w:line="360" w:lineRule="auto"/>
        <w:ind w:firstLine="480"/>
        <w:rPr>
          <w:rFonts w:ascii="宋体" w:hAnsi="宋体" w:cs="宋体"/>
          <w:sz w:val="24"/>
          <w:szCs w:val="32"/>
        </w:rPr>
      </w:pPr>
      <w:r>
        <w:rPr>
          <w:rFonts w:hint="eastAsia" w:ascii="宋体" w:hAnsi="宋体" w:cs="宋体"/>
          <w:sz w:val="24"/>
          <w:szCs w:val="32"/>
        </w:rPr>
        <w:t>14.2 使用说明书、质量检验证明书、随配附件和工具以及清单一并附于货物内。</w:t>
      </w:r>
    </w:p>
    <w:p>
      <w:pPr>
        <w:spacing w:line="360" w:lineRule="auto"/>
        <w:ind w:firstLine="480"/>
        <w:rPr>
          <w:rFonts w:ascii="宋体" w:hAnsi="宋体" w:cs="宋体"/>
          <w:sz w:val="24"/>
          <w:szCs w:val="32"/>
        </w:rPr>
      </w:pPr>
      <w:r>
        <w:rPr>
          <w:rFonts w:hint="eastAsia" w:ascii="宋体" w:hAnsi="宋体" w:cs="宋体"/>
          <w:sz w:val="24"/>
          <w:szCs w:val="32"/>
        </w:rPr>
        <w:t xml:space="preserve">14.3 乙方在货物发运手续办理完毕后24小时内或货到甲方48小时前通知甲方以准备接货。 </w:t>
      </w:r>
    </w:p>
    <w:p>
      <w:pPr>
        <w:spacing w:line="360" w:lineRule="auto"/>
        <w:ind w:firstLine="480"/>
        <w:rPr>
          <w:rFonts w:ascii="宋体" w:hAnsi="宋体" w:cs="宋体"/>
          <w:sz w:val="24"/>
          <w:szCs w:val="32"/>
        </w:rPr>
      </w:pPr>
      <w:r>
        <w:rPr>
          <w:rFonts w:hint="eastAsia" w:ascii="宋体" w:hAnsi="宋体" w:cs="宋体"/>
          <w:sz w:val="24"/>
          <w:szCs w:val="32"/>
        </w:rPr>
        <w:t>14.3 货物在交付甲方前发生的风险均由乙方负责。</w:t>
      </w:r>
    </w:p>
    <w:p>
      <w:pPr>
        <w:spacing w:line="360" w:lineRule="auto"/>
        <w:ind w:firstLine="480"/>
        <w:rPr>
          <w:rFonts w:ascii="宋体" w:hAnsi="宋体" w:cs="宋体"/>
          <w:sz w:val="24"/>
          <w:szCs w:val="32"/>
        </w:rPr>
      </w:pPr>
      <w:r>
        <w:rPr>
          <w:rFonts w:hint="eastAsia" w:ascii="宋体" w:hAnsi="宋体" w:cs="宋体"/>
          <w:sz w:val="24"/>
          <w:szCs w:val="32"/>
        </w:rPr>
        <w:t>14.5 货物在规定的交付期限内由乙方送达甲方指定的地点视为交付，乙方同时需通知甲方货物已送达。</w:t>
      </w:r>
    </w:p>
    <w:p>
      <w:pPr>
        <w:pStyle w:val="6"/>
        <w:spacing w:line="360" w:lineRule="auto"/>
        <w:rPr>
          <w:sz w:val="24"/>
          <w:szCs w:val="40"/>
        </w:rPr>
      </w:pPr>
      <w:r>
        <w:rPr>
          <w:rFonts w:hint="eastAsia"/>
          <w:sz w:val="24"/>
          <w:szCs w:val="40"/>
        </w:rPr>
        <w:t xml:space="preserve">十五、违约责任 </w:t>
      </w:r>
    </w:p>
    <w:p>
      <w:pPr>
        <w:pStyle w:val="33"/>
        <w:snapToGrid w:val="0"/>
        <w:spacing w:before="120" w:after="120" w:line="360" w:lineRule="auto"/>
        <w:ind w:left="1" w:firstLine="511" w:firstLineChars="213"/>
        <w:rPr>
          <w:rFonts w:hAnsi="宋体" w:cs="宋体"/>
          <w:sz w:val="24"/>
          <w:szCs w:val="32"/>
        </w:rPr>
      </w:pPr>
      <w:r>
        <w:rPr>
          <w:rFonts w:hint="eastAsia" w:hAnsi="宋体" w:cs="宋体"/>
          <w:sz w:val="24"/>
          <w:szCs w:val="32"/>
        </w:rPr>
        <w:t>15.1 甲方无正当理由拒绝验收或者逾期验收项目的，约定的验收期限届满后甲方应向乙方支付拒绝或逾期验收合同金额每日千分之六的违约金，逾期超过十个工作日的，乙方有权单方面解除合同，同时有权要求甲方另外向乙方支付合同总价10%的违约金。</w:t>
      </w:r>
    </w:p>
    <w:p>
      <w:pPr>
        <w:pStyle w:val="33"/>
        <w:snapToGrid w:val="0"/>
        <w:spacing w:before="120" w:after="120" w:line="360" w:lineRule="auto"/>
        <w:ind w:left="1" w:firstLine="511" w:firstLineChars="213"/>
        <w:rPr>
          <w:rFonts w:hAnsi="宋体" w:cs="宋体"/>
          <w:sz w:val="24"/>
          <w:szCs w:val="32"/>
        </w:rPr>
      </w:pPr>
      <w:r>
        <w:rPr>
          <w:rFonts w:hint="eastAsia" w:hAnsi="宋体" w:cs="宋体"/>
          <w:sz w:val="24"/>
          <w:szCs w:val="32"/>
        </w:rPr>
        <w:t>15.2 甲方无故逾期办理合同款项支付手续的,甲方应按逾期付款总额每日万分之五向乙方支付违约金。</w:t>
      </w:r>
    </w:p>
    <w:p>
      <w:pPr>
        <w:pStyle w:val="33"/>
        <w:snapToGrid w:val="0"/>
        <w:spacing w:before="120" w:after="120" w:line="360" w:lineRule="auto"/>
        <w:ind w:left="1" w:firstLine="511" w:firstLineChars="213"/>
        <w:rPr>
          <w:rFonts w:hAnsi="宋体" w:cs="宋体"/>
          <w:sz w:val="24"/>
          <w:szCs w:val="32"/>
        </w:rPr>
      </w:pPr>
      <w:r>
        <w:rPr>
          <w:rFonts w:hint="eastAsia" w:hAnsi="宋体" w:cs="宋体"/>
          <w:sz w:val="24"/>
          <w:szCs w:val="32"/>
        </w:rPr>
        <w:t>15.3 乙方单方面表示不履行合同的，或可以预见乙方不履行合同的，甲方可以单方解除合同，乙方应全额返还甲方已付价款，并支付合同总价款20%的违约金。</w:t>
      </w:r>
    </w:p>
    <w:p>
      <w:pPr>
        <w:pStyle w:val="33"/>
        <w:snapToGrid w:val="0"/>
        <w:spacing w:before="120" w:after="120" w:line="360" w:lineRule="auto"/>
        <w:ind w:left="1" w:firstLine="511" w:firstLineChars="213"/>
        <w:rPr>
          <w:rFonts w:hAnsi="宋体" w:cs="宋体"/>
          <w:sz w:val="24"/>
          <w:szCs w:val="32"/>
        </w:rPr>
      </w:pPr>
      <w:r>
        <w:rPr>
          <w:rFonts w:hint="eastAsia" w:hAnsi="宋体" w:cs="宋体"/>
          <w:sz w:val="24"/>
          <w:szCs w:val="32"/>
        </w:rPr>
        <w:t>15.4 乙方逾期交付项目的，乙方应按逾期交付项目总额每日千分之六向甲方支付违约金，由甲方从合同款项中扣除。逾期超过10个工作日不能交付的，甲方可单方面解除本合同，乙方应另外向甲方支付合同总值10%的违约金，如造成甲方损失超过违约金的，超出部分由乙方继续承担赔偿责任。</w:t>
      </w:r>
    </w:p>
    <w:p>
      <w:pPr>
        <w:pStyle w:val="33"/>
        <w:snapToGrid w:val="0"/>
        <w:spacing w:before="120" w:after="120" w:line="360" w:lineRule="auto"/>
        <w:ind w:left="1" w:firstLine="511" w:firstLineChars="213"/>
        <w:rPr>
          <w:rFonts w:hAnsi="宋体" w:cs="宋体"/>
          <w:sz w:val="24"/>
          <w:szCs w:val="32"/>
        </w:rPr>
      </w:pPr>
      <w:r>
        <w:rPr>
          <w:rFonts w:hint="eastAsia" w:hAnsi="宋体" w:cs="宋体"/>
          <w:sz w:val="24"/>
          <w:szCs w:val="32"/>
        </w:rPr>
        <w:t>15.5 乙方所交的货物品种、型号、规格、技术参数、质量不符合合同规定及采购文件规定标准的，甲方有权拒收该货物，乙方愿意更换货物但逾期交货的，按乙方逾期交货处理。乙方拒绝更换货物的，甲方可单方面解除合同，乙方应向甲方支付合同总值10%的违约金，如造成甲方损失超过违约金的，超出部分由乙方继续承担赔偿责任。</w:t>
      </w:r>
    </w:p>
    <w:p>
      <w:pPr>
        <w:pStyle w:val="33"/>
        <w:snapToGrid w:val="0"/>
        <w:spacing w:before="120" w:after="120" w:line="360" w:lineRule="auto"/>
        <w:ind w:firstLine="600"/>
        <w:rPr>
          <w:rFonts w:hAnsi="宋体" w:cs="宋体"/>
          <w:sz w:val="24"/>
          <w:szCs w:val="32"/>
        </w:rPr>
      </w:pPr>
      <w:r>
        <w:rPr>
          <w:rFonts w:hint="eastAsia" w:hAnsi="宋体" w:cs="宋体"/>
          <w:sz w:val="24"/>
          <w:szCs w:val="32"/>
        </w:rPr>
        <w:t>15.6 乙方所提交的货物，在约定的有效期内违反本合同有关质量保证及售后服务的，甲方可要求乙方按照合同规定的标准退换合格货物，对已造成的损失从合同款项中扣除。若乙方退换后的货物仍不符合合同标准，甲方可单方面解除合同，乙方应全额返还甲方已付价款，并支付总价款10%的违约金。</w:t>
      </w:r>
    </w:p>
    <w:p>
      <w:pPr>
        <w:pStyle w:val="33"/>
        <w:snapToGrid w:val="0"/>
        <w:spacing w:before="120" w:after="120" w:line="360" w:lineRule="auto"/>
        <w:ind w:left="1" w:firstLine="511" w:firstLineChars="213"/>
        <w:rPr>
          <w:rFonts w:hAnsi="宋体" w:cs="宋体"/>
          <w:sz w:val="24"/>
          <w:szCs w:val="32"/>
        </w:rPr>
      </w:pPr>
      <w:r>
        <w:rPr>
          <w:rFonts w:hint="eastAsia" w:hAnsi="宋体" w:cs="宋体"/>
          <w:sz w:val="24"/>
          <w:szCs w:val="32"/>
        </w:rPr>
        <w:t>15.7 出现合同中未曾约定的其他违约情形，则双方严格执行《中华人民共和国民法典》的有关违约责任规定。</w:t>
      </w:r>
    </w:p>
    <w:p>
      <w:pPr>
        <w:pStyle w:val="6"/>
        <w:spacing w:line="360" w:lineRule="auto"/>
        <w:rPr>
          <w:sz w:val="24"/>
          <w:szCs w:val="40"/>
        </w:rPr>
      </w:pPr>
      <w:r>
        <w:rPr>
          <w:rFonts w:hint="eastAsia"/>
          <w:sz w:val="24"/>
          <w:szCs w:val="40"/>
        </w:rPr>
        <w:t xml:space="preserve">十六、不可抗力事件处理 </w:t>
      </w:r>
    </w:p>
    <w:p>
      <w:pPr>
        <w:spacing w:line="360" w:lineRule="auto"/>
        <w:ind w:firstLine="480"/>
        <w:rPr>
          <w:rFonts w:ascii="宋体" w:hAnsi="宋体" w:cs="宋体"/>
          <w:sz w:val="24"/>
          <w:szCs w:val="32"/>
        </w:rPr>
      </w:pPr>
      <w:r>
        <w:rPr>
          <w:rFonts w:hint="eastAsia" w:ascii="宋体" w:hAnsi="宋体" w:cs="宋体"/>
          <w:sz w:val="24"/>
          <w:szCs w:val="32"/>
        </w:rPr>
        <w:t>16.1 在合同有效期内，任何一方因不可抗力事件导致不能履行合同，则合同履行期可延长其延长期与不可抗力影响期相同。</w:t>
      </w:r>
    </w:p>
    <w:p>
      <w:pPr>
        <w:spacing w:line="360" w:lineRule="auto"/>
        <w:ind w:firstLine="480"/>
        <w:rPr>
          <w:rFonts w:ascii="宋体" w:hAnsi="宋体" w:cs="宋体"/>
          <w:sz w:val="24"/>
          <w:szCs w:val="32"/>
        </w:rPr>
      </w:pPr>
      <w:r>
        <w:rPr>
          <w:rFonts w:hint="eastAsia" w:ascii="宋体" w:hAnsi="宋体" w:cs="宋体"/>
          <w:sz w:val="24"/>
          <w:szCs w:val="32"/>
        </w:rPr>
        <w:t>16.2 不可抗力事件发生后，应立即通知对方，并寄送有关权威机构出具的证明。</w:t>
      </w:r>
    </w:p>
    <w:p>
      <w:pPr>
        <w:spacing w:line="360" w:lineRule="auto"/>
        <w:ind w:firstLine="480"/>
        <w:rPr>
          <w:rFonts w:ascii="宋体" w:hAnsi="宋体" w:cs="宋体"/>
          <w:sz w:val="24"/>
          <w:szCs w:val="32"/>
        </w:rPr>
      </w:pPr>
      <w:r>
        <w:rPr>
          <w:rFonts w:hint="eastAsia" w:ascii="宋体" w:hAnsi="宋体" w:cs="宋体"/>
          <w:sz w:val="24"/>
          <w:szCs w:val="32"/>
        </w:rPr>
        <w:t xml:space="preserve">16.3 不可抗力事件延续120天以上，双方应通过友好协商，确定是否继续履行合同。 </w:t>
      </w:r>
    </w:p>
    <w:p>
      <w:pPr>
        <w:pStyle w:val="6"/>
        <w:spacing w:line="360" w:lineRule="auto"/>
        <w:rPr>
          <w:sz w:val="24"/>
          <w:szCs w:val="40"/>
        </w:rPr>
      </w:pPr>
      <w:r>
        <w:rPr>
          <w:rFonts w:hint="eastAsia"/>
          <w:sz w:val="24"/>
          <w:szCs w:val="40"/>
        </w:rPr>
        <w:t xml:space="preserve">十七、诉讼 </w:t>
      </w:r>
    </w:p>
    <w:p>
      <w:pPr>
        <w:spacing w:line="360" w:lineRule="auto"/>
        <w:ind w:firstLine="480"/>
        <w:rPr>
          <w:rFonts w:ascii="宋体" w:hAnsi="宋体" w:cs="宋体"/>
          <w:sz w:val="24"/>
          <w:szCs w:val="32"/>
        </w:rPr>
      </w:pPr>
      <w:r>
        <w:rPr>
          <w:rFonts w:hint="eastAsia" w:ascii="宋体" w:hAnsi="宋体" w:cs="宋体"/>
          <w:sz w:val="24"/>
          <w:szCs w:val="32"/>
        </w:rPr>
        <w:t xml:space="preserve">17.1 双方在执行合同中所发生的一切争议，应通过协商解决。如协商不成，可向合同签订地法院起诉，合同签订地在此约定为杭州市。 </w:t>
      </w:r>
    </w:p>
    <w:p>
      <w:pPr>
        <w:pStyle w:val="6"/>
        <w:spacing w:line="360" w:lineRule="auto"/>
        <w:rPr>
          <w:sz w:val="24"/>
          <w:szCs w:val="40"/>
        </w:rPr>
      </w:pPr>
      <w:r>
        <w:rPr>
          <w:rFonts w:hint="eastAsia"/>
          <w:sz w:val="24"/>
          <w:szCs w:val="40"/>
        </w:rPr>
        <w:t xml:space="preserve">十八、合同生效及其它 </w:t>
      </w:r>
    </w:p>
    <w:p>
      <w:pPr>
        <w:spacing w:line="360" w:lineRule="auto"/>
        <w:ind w:firstLine="480"/>
        <w:rPr>
          <w:rFonts w:ascii="宋体" w:hAnsi="宋体" w:cs="宋体"/>
          <w:sz w:val="24"/>
          <w:szCs w:val="32"/>
        </w:rPr>
      </w:pPr>
      <w:r>
        <w:rPr>
          <w:rFonts w:hint="eastAsia" w:ascii="宋体" w:hAnsi="宋体" w:cs="宋体"/>
          <w:sz w:val="24"/>
          <w:szCs w:val="32"/>
        </w:rPr>
        <w:t xml:space="preserve">18.1 合同经双方法定代表人或授权委托代理人签字并加盖单位公章后生效。 </w:t>
      </w:r>
    </w:p>
    <w:p>
      <w:pPr>
        <w:spacing w:line="360" w:lineRule="auto"/>
        <w:ind w:firstLine="480"/>
        <w:rPr>
          <w:rFonts w:ascii="宋体" w:hAnsi="宋体" w:cs="宋体"/>
          <w:sz w:val="24"/>
          <w:szCs w:val="32"/>
        </w:rPr>
      </w:pPr>
      <w:r>
        <w:rPr>
          <w:rFonts w:hint="eastAsia" w:ascii="宋体" w:hAnsi="宋体" w:cs="宋体"/>
          <w:sz w:val="24"/>
          <w:szCs w:val="32"/>
        </w:rPr>
        <w:t xml:space="preserve">18.2合同执行中涉及采购资金和采购内容修改或补充的，须经财政部门审批，并签书面补充协议报采购监督管理部门备案，方可作为主合同不可分割的一部分。 </w:t>
      </w:r>
    </w:p>
    <w:p>
      <w:pPr>
        <w:spacing w:line="360" w:lineRule="auto"/>
        <w:ind w:firstLine="480"/>
        <w:rPr>
          <w:rFonts w:ascii="宋体" w:hAnsi="宋体" w:cs="宋体"/>
          <w:sz w:val="24"/>
          <w:szCs w:val="32"/>
        </w:rPr>
      </w:pPr>
      <w:r>
        <w:rPr>
          <w:rFonts w:hint="eastAsia" w:ascii="宋体" w:hAnsi="宋体" w:cs="宋体"/>
          <w:sz w:val="24"/>
          <w:szCs w:val="32"/>
        </w:rPr>
        <w:t xml:space="preserve">18.3本合同未尽事宜，遵照《民法典》有关条文执行。 </w:t>
      </w:r>
    </w:p>
    <w:p>
      <w:pPr>
        <w:spacing w:line="360" w:lineRule="auto"/>
        <w:ind w:firstLine="480"/>
        <w:rPr>
          <w:rFonts w:ascii="宋体" w:hAnsi="宋体" w:cs="宋体"/>
          <w:sz w:val="24"/>
          <w:szCs w:val="32"/>
        </w:rPr>
      </w:pPr>
      <w:r>
        <w:rPr>
          <w:rFonts w:hint="eastAsia" w:ascii="宋体" w:hAnsi="宋体" w:cs="宋体"/>
          <w:sz w:val="24"/>
          <w:szCs w:val="32"/>
        </w:rPr>
        <w:t xml:space="preserve">18.4 本合同正本一式两份，具有同等法律效力，甲乙双方各执一份，副本三份(用途)。 </w:t>
      </w:r>
    </w:p>
    <w:p>
      <w:pPr>
        <w:spacing w:line="360" w:lineRule="auto"/>
        <w:ind w:firstLine="480"/>
        <w:rPr>
          <w:sz w:val="24"/>
          <w:szCs w:val="32"/>
        </w:rPr>
      </w:pPr>
    </w:p>
    <w:p>
      <w:pPr>
        <w:spacing w:line="360" w:lineRule="auto"/>
        <w:ind w:firstLine="480"/>
        <w:rPr>
          <w:sz w:val="24"/>
          <w:szCs w:val="32"/>
        </w:rPr>
      </w:pPr>
      <w:r>
        <w:rPr>
          <w:rFonts w:hint="eastAsia"/>
          <w:sz w:val="24"/>
          <w:szCs w:val="32"/>
        </w:rPr>
        <w:t>甲方（</w:t>
      </w:r>
      <w:r>
        <w:rPr>
          <w:sz w:val="24"/>
          <w:szCs w:val="32"/>
        </w:rPr>
        <w:t>盖章）</w:t>
      </w:r>
      <w:r>
        <w:rPr>
          <w:rFonts w:hint="eastAsia"/>
          <w:sz w:val="24"/>
          <w:szCs w:val="32"/>
        </w:rPr>
        <w:t xml:space="preserve">：      </w:t>
      </w:r>
      <w:r>
        <w:rPr>
          <w:sz w:val="24"/>
          <w:szCs w:val="32"/>
        </w:rPr>
        <w:t xml:space="preserve"> </w:t>
      </w:r>
      <w:r>
        <w:rPr>
          <w:rFonts w:hint="eastAsia"/>
          <w:sz w:val="24"/>
          <w:szCs w:val="32"/>
        </w:rPr>
        <w:t xml:space="preserve">             乙方（</w:t>
      </w:r>
      <w:r>
        <w:rPr>
          <w:sz w:val="24"/>
          <w:szCs w:val="32"/>
        </w:rPr>
        <w:t>盖章）</w:t>
      </w:r>
      <w:r>
        <w:rPr>
          <w:rFonts w:hint="eastAsia"/>
          <w:sz w:val="24"/>
          <w:szCs w:val="32"/>
        </w:rPr>
        <w:t>：</w:t>
      </w:r>
    </w:p>
    <w:p>
      <w:pPr>
        <w:spacing w:line="360" w:lineRule="auto"/>
        <w:ind w:firstLine="480"/>
        <w:rPr>
          <w:sz w:val="24"/>
          <w:szCs w:val="32"/>
        </w:rPr>
      </w:pPr>
      <w:r>
        <w:rPr>
          <w:rFonts w:hint="eastAsia"/>
          <w:sz w:val="24"/>
          <w:szCs w:val="32"/>
        </w:rPr>
        <w:t>法定代表人（</w:t>
      </w:r>
      <w:r>
        <w:rPr>
          <w:sz w:val="24"/>
          <w:szCs w:val="32"/>
        </w:rPr>
        <w:t>或授权代表）</w:t>
      </w:r>
      <w:r>
        <w:rPr>
          <w:rFonts w:hint="eastAsia"/>
          <w:sz w:val="24"/>
          <w:szCs w:val="32"/>
        </w:rPr>
        <w:t>：        法定代表人（</w:t>
      </w:r>
      <w:r>
        <w:rPr>
          <w:sz w:val="24"/>
          <w:szCs w:val="32"/>
        </w:rPr>
        <w:t>或授权代表）</w:t>
      </w:r>
      <w:r>
        <w:rPr>
          <w:rFonts w:hint="eastAsia"/>
          <w:sz w:val="24"/>
          <w:szCs w:val="32"/>
        </w:rPr>
        <w:t>：</w:t>
      </w:r>
    </w:p>
    <w:p>
      <w:pPr>
        <w:spacing w:line="360" w:lineRule="auto"/>
        <w:ind w:firstLine="480"/>
        <w:rPr>
          <w:sz w:val="24"/>
          <w:szCs w:val="32"/>
        </w:rPr>
      </w:pPr>
      <w:r>
        <w:rPr>
          <w:rFonts w:hint="eastAsia"/>
          <w:sz w:val="24"/>
          <w:szCs w:val="32"/>
        </w:rPr>
        <w:t>地址：                           地址：</w:t>
      </w:r>
    </w:p>
    <w:p>
      <w:pPr>
        <w:spacing w:line="360" w:lineRule="auto"/>
        <w:ind w:firstLine="480"/>
        <w:rPr>
          <w:sz w:val="24"/>
          <w:szCs w:val="32"/>
        </w:rPr>
      </w:pPr>
      <w:r>
        <w:rPr>
          <w:rFonts w:hint="eastAsia"/>
          <w:sz w:val="24"/>
          <w:szCs w:val="32"/>
        </w:rPr>
        <w:t>联系人</w:t>
      </w:r>
      <w:r>
        <w:rPr>
          <w:sz w:val="24"/>
          <w:szCs w:val="32"/>
        </w:rPr>
        <w:t>：</w:t>
      </w:r>
      <w:r>
        <w:rPr>
          <w:rFonts w:hint="eastAsia"/>
          <w:sz w:val="24"/>
          <w:szCs w:val="32"/>
        </w:rPr>
        <w:t xml:space="preserve">                           联系人</w:t>
      </w:r>
      <w:r>
        <w:rPr>
          <w:sz w:val="24"/>
          <w:szCs w:val="32"/>
        </w:rPr>
        <w:t>：</w:t>
      </w:r>
    </w:p>
    <w:p>
      <w:pPr>
        <w:spacing w:line="360" w:lineRule="auto"/>
        <w:ind w:firstLine="480"/>
        <w:rPr>
          <w:sz w:val="24"/>
          <w:szCs w:val="32"/>
        </w:rPr>
      </w:pPr>
      <w:r>
        <w:rPr>
          <w:rFonts w:hint="eastAsia"/>
          <w:sz w:val="24"/>
          <w:szCs w:val="32"/>
        </w:rPr>
        <w:t>联系</w:t>
      </w:r>
      <w:r>
        <w:rPr>
          <w:sz w:val="24"/>
          <w:szCs w:val="32"/>
        </w:rPr>
        <w:t>电话：</w:t>
      </w:r>
      <w:r>
        <w:rPr>
          <w:rFonts w:hint="eastAsia"/>
          <w:sz w:val="24"/>
          <w:szCs w:val="32"/>
        </w:rPr>
        <w:t xml:space="preserve">                         联系</w:t>
      </w:r>
      <w:r>
        <w:rPr>
          <w:sz w:val="24"/>
          <w:szCs w:val="32"/>
        </w:rPr>
        <w:t>电话：</w:t>
      </w:r>
    </w:p>
    <w:p>
      <w:pPr>
        <w:spacing w:line="360" w:lineRule="auto"/>
        <w:ind w:firstLine="480"/>
        <w:rPr>
          <w:sz w:val="24"/>
          <w:szCs w:val="32"/>
        </w:rPr>
      </w:pPr>
      <w:r>
        <w:rPr>
          <w:rFonts w:hint="eastAsia"/>
          <w:sz w:val="24"/>
          <w:szCs w:val="32"/>
        </w:rPr>
        <w:t>传真</w:t>
      </w:r>
      <w:r>
        <w:rPr>
          <w:sz w:val="24"/>
          <w:szCs w:val="32"/>
        </w:rPr>
        <w:t>：</w:t>
      </w:r>
      <w:r>
        <w:rPr>
          <w:rFonts w:hint="eastAsia"/>
          <w:sz w:val="24"/>
          <w:szCs w:val="32"/>
        </w:rPr>
        <w:t xml:space="preserve">                             传真</w:t>
      </w:r>
      <w:r>
        <w:rPr>
          <w:sz w:val="24"/>
          <w:szCs w:val="32"/>
        </w:rPr>
        <w:t>：</w:t>
      </w:r>
    </w:p>
    <w:p>
      <w:pPr>
        <w:spacing w:line="360" w:lineRule="auto"/>
        <w:ind w:firstLine="480"/>
        <w:rPr>
          <w:sz w:val="24"/>
          <w:szCs w:val="32"/>
        </w:rPr>
      </w:pPr>
      <w:r>
        <w:rPr>
          <w:rFonts w:hint="eastAsia"/>
          <w:sz w:val="24"/>
          <w:szCs w:val="32"/>
        </w:rPr>
        <w:t>开户银行</w:t>
      </w:r>
      <w:r>
        <w:rPr>
          <w:sz w:val="24"/>
          <w:szCs w:val="32"/>
        </w:rPr>
        <w:t>：</w:t>
      </w:r>
      <w:r>
        <w:rPr>
          <w:rFonts w:hint="eastAsia"/>
          <w:sz w:val="24"/>
          <w:szCs w:val="32"/>
        </w:rPr>
        <w:t xml:space="preserve">                         开户</w:t>
      </w:r>
      <w:r>
        <w:rPr>
          <w:sz w:val="24"/>
          <w:szCs w:val="32"/>
        </w:rPr>
        <w:t>银行：</w:t>
      </w:r>
    </w:p>
    <w:p>
      <w:pPr>
        <w:spacing w:line="360" w:lineRule="auto"/>
        <w:ind w:firstLine="480"/>
        <w:rPr>
          <w:sz w:val="24"/>
          <w:szCs w:val="32"/>
        </w:rPr>
      </w:pPr>
      <w:r>
        <w:rPr>
          <w:rFonts w:hint="eastAsia"/>
          <w:sz w:val="24"/>
          <w:szCs w:val="32"/>
        </w:rPr>
        <w:t>银行账号</w:t>
      </w:r>
      <w:r>
        <w:rPr>
          <w:sz w:val="24"/>
          <w:szCs w:val="32"/>
        </w:rPr>
        <w:t>：</w:t>
      </w:r>
      <w:r>
        <w:rPr>
          <w:rFonts w:hint="eastAsia"/>
          <w:sz w:val="24"/>
          <w:szCs w:val="32"/>
        </w:rPr>
        <w:t xml:space="preserve">                         银行账号</w:t>
      </w:r>
      <w:r>
        <w:rPr>
          <w:sz w:val="24"/>
          <w:szCs w:val="32"/>
        </w:rPr>
        <w:t>：</w:t>
      </w:r>
    </w:p>
    <w:p>
      <w:pPr>
        <w:spacing w:line="360" w:lineRule="auto"/>
        <w:ind w:firstLine="480" w:firstLineChars="200"/>
        <w:rPr>
          <w:rFonts w:asciiTheme="minorEastAsia" w:hAnsiTheme="minorEastAsia" w:eastAsiaTheme="minorEastAsia"/>
          <w:b/>
          <w:bCs/>
          <w:sz w:val="24"/>
        </w:rPr>
      </w:pPr>
      <w:r>
        <w:rPr>
          <w:rFonts w:hint="eastAsia"/>
          <w:sz w:val="24"/>
          <w:szCs w:val="32"/>
        </w:rPr>
        <w:t>签订地点：                       签订日期：</w:t>
      </w:r>
      <w:r>
        <w:rPr>
          <w:rFonts w:hint="eastAsia" w:ascii="宋体" w:hAnsi="宋体" w:cs="宋体"/>
          <w:b/>
          <w:sz w:val="24"/>
        </w:rPr>
        <w:br w:type="page"/>
      </w:r>
      <w:r>
        <w:rPr>
          <w:rFonts w:asciiTheme="minorEastAsia" w:hAnsiTheme="minorEastAsia" w:eastAsiaTheme="minorEastAsia"/>
          <w:b/>
          <w:sz w:val="24"/>
        </w:rPr>
        <w:t>2</w:t>
      </w:r>
      <w:bookmarkStart w:id="443" w:name="_Hlk82256745"/>
      <w:r>
        <w:rPr>
          <w:rFonts w:hint="eastAsia" w:asciiTheme="minorEastAsia" w:hAnsiTheme="minorEastAsia" w:eastAsiaTheme="minorEastAsia"/>
          <w:b/>
          <w:sz w:val="24"/>
        </w:rPr>
        <w:t>.</w:t>
      </w:r>
      <w:r>
        <w:rPr>
          <w:rFonts w:hint="eastAsia" w:asciiTheme="minorEastAsia" w:hAnsiTheme="minorEastAsia" w:eastAsiaTheme="minorEastAsia"/>
          <w:b/>
          <w:bCs/>
          <w:sz w:val="24"/>
        </w:rPr>
        <w:t>政府采购项目验收书</w:t>
      </w:r>
      <w:bookmarkEnd w:id="443"/>
    </w:p>
    <w:p>
      <w:pPr>
        <w:ind w:firstLine="3855" w:firstLineChars="1600"/>
        <w:rPr>
          <w:rFonts w:asciiTheme="minorEastAsia" w:hAnsiTheme="minorEastAsia" w:eastAsiaTheme="minorEastAsia"/>
          <w:b/>
          <w:bCs/>
          <w:sz w:val="24"/>
        </w:rPr>
      </w:pPr>
      <w:r>
        <w:rPr>
          <w:rFonts w:hint="eastAsia" w:asciiTheme="minorEastAsia" w:hAnsiTheme="minorEastAsia" w:eastAsiaTheme="minorEastAsia"/>
          <w:b/>
          <w:bCs/>
          <w:sz w:val="24"/>
        </w:rPr>
        <w:t>政府采购项目验收书</w:t>
      </w:r>
    </w:p>
    <w:tbl>
      <w:tblPr>
        <w:tblStyle w:val="62"/>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443"/>
        <w:gridCol w:w="1915"/>
        <w:gridCol w:w="1312"/>
        <w:gridCol w:w="1559"/>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4358"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312"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项目编号</w:t>
            </w:r>
          </w:p>
        </w:tc>
        <w:tc>
          <w:tcPr>
            <w:tcW w:w="246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招标项目</w:t>
            </w:r>
          </w:p>
        </w:tc>
        <w:tc>
          <w:tcPr>
            <w:tcW w:w="8131" w:type="dxa"/>
            <w:gridSpan w:val="5"/>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3010"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验收内容</w:t>
            </w:r>
          </w:p>
        </w:tc>
        <w:tc>
          <w:tcPr>
            <w:tcW w:w="1915"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合同约定</w:t>
            </w:r>
          </w:p>
        </w:tc>
        <w:tc>
          <w:tcPr>
            <w:tcW w:w="2871"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执行情况</w:t>
            </w:r>
          </w:p>
        </w:tc>
        <w:tc>
          <w:tcPr>
            <w:tcW w:w="902" w:type="dxa"/>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120" w:beforeLines="50" w:after="120" w:afterLines="50"/>
              <w:jc w:val="center"/>
              <w:rPr>
                <w:rFonts w:asciiTheme="minorEastAsia" w:hAnsiTheme="minorEastAsia" w:eastAsiaTheme="minorEastAsia"/>
                <w:sz w:val="24"/>
              </w:rPr>
            </w:pPr>
          </w:p>
        </w:tc>
        <w:tc>
          <w:tcPr>
            <w:tcW w:w="3010"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1915" w:type="dxa"/>
            <w:vAlign w:val="center"/>
          </w:tcPr>
          <w:p>
            <w:pPr>
              <w:snapToGrid w:val="0"/>
              <w:spacing w:before="120" w:beforeLines="50" w:after="120" w:afterLines="50"/>
              <w:jc w:val="center"/>
              <w:rPr>
                <w:rFonts w:asciiTheme="minorEastAsia" w:hAnsiTheme="minorEastAsia" w:eastAsiaTheme="minorEastAsia"/>
                <w:b/>
                <w:bCs/>
                <w:sz w:val="24"/>
              </w:rPr>
            </w:pPr>
          </w:p>
        </w:tc>
        <w:tc>
          <w:tcPr>
            <w:tcW w:w="2871" w:type="dxa"/>
            <w:gridSpan w:val="2"/>
            <w:vAlign w:val="center"/>
          </w:tcPr>
          <w:p>
            <w:pPr>
              <w:snapToGrid w:val="0"/>
              <w:spacing w:before="120" w:beforeLines="50" w:after="120" w:afterLines="50"/>
              <w:jc w:val="center"/>
              <w:rPr>
                <w:rFonts w:asciiTheme="minorEastAsia" w:hAnsiTheme="minorEastAsia" w:eastAsiaTheme="minorEastAsia"/>
                <w:b/>
                <w:bCs/>
                <w:sz w:val="24"/>
              </w:rPr>
            </w:pPr>
          </w:p>
        </w:tc>
        <w:tc>
          <w:tcPr>
            <w:tcW w:w="902" w:type="dxa"/>
            <w:vAlign w:val="center"/>
          </w:tcPr>
          <w:p>
            <w:pPr>
              <w:snapToGrid w:val="0"/>
              <w:spacing w:before="120" w:beforeLines="50" w:after="120" w:afterLines="50"/>
              <w:jc w:val="center"/>
              <w:rPr>
                <w:rFonts w:asciiTheme="minorEastAsia" w:hAnsiTheme="minorEastAsia" w:eastAsia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招标人</w:t>
            </w:r>
          </w:p>
        </w:tc>
        <w:tc>
          <w:tcPr>
            <w:tcW w:w="8131" w:type="dxa"/>
            <w:gridSpan w:val="5"/>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投标人</w:t>
            </w:r>
          </w:p>
        </w:tc>
        <w:tc>
          <w:tcPr>
            <w:tcW w:w="8131" w:type="dxa"/>
            <w:gridSpan w:val="5"/>
            <w:vAlign w:val="center"/>
          </w:tcPr>
          <w:p>
            <w:pPr>
              <w:snapToGrid w:val="0"/>
              <w:spacing w:before="120" w:beforeLines="50" w:after="120" w:afterLines="50"/>
              <w:jc w:val="center"/>
              <w:rPr>
                <w:rFonts w:asciiTheme="minorEastAsia" w:hAnsiTheme="minorEastAsia" w:eastAsiaTheme="minorEastAsia"/>
                <w:sz w:val="24"/>
              </w:rPr>
            </w:pPr>
            <w:r>
              <w:rPr>
                <w:rFonts w:hint="eastAsia" w:asciiTheme="minorEastAsia" w:hAnsiTheme="minorEastAsia" w:eastAsiaTheme="minorEastAsia"/>
                <w:sz w:val="24"/>
              </w:rPr>
              <w:t>盖章</w:t>
            </w:r>
          </w:p>
        </w:tc>
      </w:tr>
    </w:tbl>
    <w:p>
      <w:pPr>
        <w:ind w:firstLine="420"/>
        <w:rPr>
          <w:rFonts w:asciiTheme="minorEastAsia" w:hAnsiTheme="minorEastAsia" w:eastAsiaTheme="minorEastAsia"/>
          <w:sz w:val="24"/>
        </w:rPr>
      </w:pPr>
      <w:r>
        <w:rPr>
          <w:rFonts w:hint="eastAsia" w:asciiTheme="minorEastAsia" w:hAnsiTheme="minorEastAsia" w:eastAsiaTheme="minorEastAsia"/>
          <w:sz w:val="24"/>
        </w:rPr>
        <w:t>注：</w:t>
      </w:r>
      <w:r>
        <w:rPr>
          <w:rFonts w:asciiTheme="minorEastAsia" w:hAnsiTheme="minorEastAsia" w:eastAsiaTheme="minorEastAsia"/>
          <w:sz w:val="24"/>
        </w:rPr>
        <w:t>1</w:t>
      </w:r>
      <w:r>
        <w:rPr>
          <w:rFonts w:hint="eastAsia" w:asciiTheme="minorEastAsia" w:hAnsiTheme="minorEastAsia" w:eastAsiaTheme="minorEastAsia"/>
          <w:sz w:val="24"/>
        </w:rPr>
        <w:t>、采购人应当按照合同规定的技术、服务、安全标准，组织对投标人履约情况进行验收，并出具验收书。验收书应当包括每一项技术、服务、安全标准履约情况。</w:t>
      </w:r>
    </w:p>
    <w:p>
      <w:pPr>
        <w:ind w:firstLine="42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、政府向社会公众提供的公共服务项目，验收时应当邀请服务对象参与并出具意见，验收结果应当向社会公告。</w:t>
      </w:r>
    </w:p>
    <w:p>
      <w:pPr>
        <w:spacing w:line="560" w:lineRule="exact"/>
        <w:ind w:firstLine="420" w:firstLineChars="200"/>
        <w:rPr>
          <w:rFonts w:asciiTheme="minorEastAsia" w:hAnsiTheme="minorEastAsia" w:eastAsiaTheme="minorEastAsia"/>
          <w:sz w:val="24"/>
        </w:rPr>
      </w:pPr>
      <w:r>
        <w:rPr>
          <w:rFonts w:asciiTheme="minorEastAsia" w:hAnsiTheme="minorEastAsia" w:eastAsiaTheme="minorEastAsia"/>
        </w:rPr>
        <w:br w:type="page"/>
      </w:r>
      <w:bookmarkEnd w:id="433"/>
      <w:bookmarkEnd w:id="434"/>
      <w:bookmarkEnd w:id="435"/>
      <w:bookmarkEnd w:id="436"/>
    </w:p>
    <w:p>
      <w:pPr>
        <w:spacing w:line="360" w:lineRule="auto"/>
        <w:ind w:left="720" w:firstLine="723" w:firstLineChars="200"/>
        <w:outlineLvl w:val="0"/>
        <w:rPr>
          <w:rFonts w:cs="仿宋_GB2312" w:asciiTheme="minorEastAsia" w:hAnsiTheme="minorEastAsia" w:eastAsiaTheme="minorEastAsia"/>
          <w:b/>
          <w:sz w:val="36"/>
          <w:szCs w:val="20"/>
        </w:rPr>
      </w:pPr>
      <w:bookmarkStart w:id="444" w:name="_Toc16826"/>
      <w:r>
        <w:rPr>
          <w:rFonts w:hint="eastAsia" w:cs="仿宋_GB2312" w:asciiTheme="minorEastAsia" w:hAnsiTheme="minorEastAsia" w:eastAsiaTheme="minorEastAsia"/>
          <w:b/>
          <w:sz w:val="36"/>
          <w:szCs w:val="20"/>
        </w:rPr>
        <w:t>第六部分</w:t>
      </w:r>
      <w:bookmarkEnd w:id="430"/>
      <w:bookmarkEnd w:id="431"/>
      <w:r>
        <w:rPr>
          <w:rFonts w:hint="eastAsia" w:cs="仿宋_GB2312" w:asciiTheme="minorEastAsia" w:hAnsiTheme="minorEastAsia" w:eastAsiaTheme="minorEastAsia"/>
          <w:b/>
          <w:sz w:val="36"/>
          <w:szCs w:val="20"/>
        </w:rPr>
        <w:t>应提交的有关格式范例</w:t>
      </w:r>
      <w:bookmarkEnd w:id="444"/>
    </w:p>
    <w:p>
      <w:pPr>
        <w:pStyle w:val="710"/>
        <w:ind w:firstLine="480"/>
        <w:rPr>
          <w:rFonts w:asciiTheme="minorEastAsia" w:hAnsiTheme="minorEastAsia" w:eastAsiaTheme="minorEastAsia"/>
        </w:rPr>
      </w:pPr>
    </w:p>
    <w:p>
      <w:pPr>
        <w:spacing w:line="360" w:lineRule="auto"/>
        <w:jc w:val="center"/>
        <w:outlineLvl w:val="0"/>
        <w:rPr>
          <w:rFonts w:cs="仿宋_GB2312" w:asciiTheme="minorEastAsia" w:hAnsiTheme="minorEastAsia" w:eastAsiaTheme="minorEastAsia"/>
          <w:b/>
          <w:kern w:val="0"/>
          <w:sz w:val="36"/>
          <w:szCs w:val="36"/>
        </w:rPr>
      </w:pPr>
      <w:bookmarkStart w:id="445" w:name="_Toc14820"/>
      <w:r>
        <w:rPr>
          <w:rFonts w:hint="eastAsia" w:cs="仿宋_GB2312" w:asciiTheme="minorEastAsia" w:hAnsiTheme="minorEastAsia" w:eastAsiaTheme="minorEastAsia"/>
          <w:b/>
          <w:kern w:val="0"/>
          <w:sz w:val="36"/>
          <w:szCs w:val="36"/>
        </w:rPr>
        <w:t>资格文件部分</w:t>
      </w:r>
      <w:bookmarkEnd w:id="445"/>
    </w:p>
    <w:p>
      <w:pPr>
        <w:spacing w:line="360" w:lineRule="auto"/>
        <w:jc w:val="center"/>
        <w:outlineLvl w:val="0"/>
        <w:rPr>
          <w:rFonts w:cs="仿宋_GB2312" w:asciiTheme="minorEastAsia" w:hAnsiTheme="minorEastAsia" w:eastAsiaTheme="minorEastAsia"/>
          <w:b/>
          <w:kern w:val="0"/>
          <w:sz w:val="36"/>
          <w:szCs w:val="36"/>
        </w:rPr>
      </w:pPr>
      <w:bookmarkStart w:id="446" w:name="_Toc21989"/>
      <w:r>
        <w:rPr>
          <w:rFonts w:hint="eastAsia" w:cs="仿宋_GB2312" w:asciiTheme="minorEastAsia" w:hAnsiTheme="minorEastAsia" w:eastAsiaTheme="minorEastAsia"/>
          <w:b/>
          <w:kern w:val="0"/>
          <w:sz w:val="36"/>
          <w:szCs w:val="36"/>
        </w:rPr>
        <w:t>目录</w:t>
      </w:r>
      <w:bookmarkEnd w:id="446"/>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1）符合参加政府采购活动应当具备的一般条件的承诺函……</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2）落实政府采购政策需满足的资格要求……</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3）本项目的特定资格要求……</w:t>
      </w:r>
      <w:r>
        <w:rPr>
          <w:rFonts w:hint="eastAsia" w:cs="仿宋_GB2312" w:asciiTheme="minorEastAsia" w:hAnsiTheme="minorEastAsia" w:eastAsiaTheme="minorEastAsia"/>
          <w:sz w:val="24"/>
        </w:rPr>
        <w:t>…………………………………………（页码）</w:t>
      </w:r>
    </w:p>
    <w:p>
      <w:pPr>
        <w:snapToGrid w:val="0"/>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snapToGrid w:val="0"/>
        <w:spacing w:line="360" w:lineRule="auto"/>
        <w:ind w:right="480"/>
        <w:jc w:val="center"/>
        <w:rPr>
          <w:rFonts w:cs="仿宋_GB2312" w:asciiTheme="minorEastAsia" w:hAnsiTheme="minorEastAsia" w:eastAsiaTheme="minorEastAsia"/>
          <w:b/>
          <w:kern w:val="0"/>
          <w:sz w:val="32"/>
          <w:szCs w:val="32"/>
        </w:rPr>
      </w:pPr>
      <w:r>
        <w:rPr>
          <w:rFonts w:cs="仿宋_GB2312" w:asciiTheme="minorEastAsia" w:hAnsiTheme="minorEastAsia" w:eastAsiaTheme="minorEastAsia"/>
          <w:kern w:val="0"/>
          <w:sz w:val="24"/>
        </w:rPr>
        <w:br w:type="page"/>
      </w:r>
      <w:r>
        <w:rPr>
          <w:rFonts w:cs="仿宋_GB2312" w:asciiTheme="minorEastAsia" w:hAnsiTheme="minorEastAsia" w:eastAsiaTheme="minorEastAsia"/>
          <w:b/>
          <w:kern w:val="0"/>
          <w:sz w:val="32"/>
          <w:szCs w:val="32"/>
        </w:rPr>
        <w:t>一、 符合参加政府采购活动应当具备的一般条件的承诺函</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浙江工商大学杭州商学院、浙江信镧建设工程咨询有限公司：</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我方参与</w:t>
      </w:r>
      <w:r>
        <w:rPr>
          <w:rFonts w:hint="eastAsia" w:cs="仿宋_GB2312" w:asciiTheme="minorEastAsia" w:hAnsiTheme="minorEastAsia" w:eastAsiaTheme="minorEastAsia"/>
          <w:sz w:val="24"/>
          <w:lang w:eastAsia="zh-CN"/>
        </w:rPr>
        <w:t>人工智能综合实验室建设项目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rPr>
        <w:t>ZJXL-HSY-202204</w:t>
      </w:r>
      <w:r>
        <w:rPr>
          <w:rFonts w:hint="eastAsia" w:cs="仿宋_GB2312" w:asciiTheme="minorEastAsia" w:hAnsiTheme="minorEastAsia" w:eastAsiaTheme="minorEastAsia"/>
          <w:sz w:val="24"/>
        </w:rPr>
        <w:t>】政府采购活动，郑重承诺：</w:t>
      </w:r>
    </w:p>
    <w:p>
      <w:pPr>
        <w:snapToGrid w:val="0"/>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具有独立承担民事责任的能力；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xml:space="preserve">具有良好的商业信誉和健全的财务会计制度； </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具有履行合同所必需的设备和专业技术能力；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有依法缴纳税收和社会保障资金的良好记录；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参加政府采购活动前三年内，在经营活动中没有重大违法记录；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具有法律、行政法规规定的其他条件。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（二）未被信用中国（</w:t>
      </w:r>
      <w:r>
        <w:rPr>
          <w:rFonts w:asciiTheme="minorEastAsia" w:hAnsiTheme="minorEastAsia" w:eastAsiaTheme="minorEastAsia"/>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（三）不存在以下情况：</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单位负责人为同一人或者存在直接控股、管理关系的不同供应商参加同一合同项下的政府采购活动的；</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为采购项目提供整体设计、规范编制或者项目管理、监理、检测等服务后再参加该采购项目的其他采购活动的。</w:t>
      </w:r>
    </w:p>
    <w:p>
      <w:pPr>
        <w:snapToGrid w:val="0"/>
        <w:spacing w:line="360" w:lineRule="auto"/>
        <w:ind w:firstLine="5520" w:firstLineChars="2300"/>
        <w:rPr>
          <w:rFonts w:cs="仿宋_GB2312" w:asciiTheme="minorEastAsia" w:hAnsiTheme="minorEastAsia" w:eastAsiaTheme="minorEastAsia"/>
          <w:kern w:val="0"/>
          <w:sz w:val="24"/>
          <w:lang w:val="zh-CN"/>
        </w:rPr>
      </w:pPr>
    </w:p>
    <w:p>
      <w:pPr>
        <w:snapToGrid w:val="0"/>
        <w:spacing w:line="360" w:lineRule="auto"/>
        <w:ind w:firstLine="5520" w:firstLineChars="2300"/>
        <w:rPr>
          <w:rFonts w:cs="仿宋_GB2312" w:asciiTheme="minorEastAsia" w:hAnsiTheme="minorEastAsia" w:eastAsiaTheme="minorEastAsia"/>
          <w:kern w:val="0"/>
          <w:sz w:val="24"/>
          <w:lang w:val="zh-CN"/>
        </w:rPr>
      </w:pPr>
    </w:p>
    <w:p>
      <w:pPr>
        <w:snapToGrid w:val="0"/>
        <w:spacing w:line="360" w:lineRule="auto"/>
        <w:ind w:firstLine="5520" w:firstLineChars="23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pPr>
        <w:snapToGrid w:val="0"/>
        <w:spacing w:line="360" w:lineRule="auto"/>
        <w:ind w:right="480"/>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3"/>
        <w:rPr>
          <w:rFonts w:asciiTheme="minorEastAsia" w:hAnsiTheme="minorEastAsia" w:eastAsiaTheme="minorEastAsia"/>
          <w:lang w:val="en-US"/>
        </w:rPr>
      </w:pPr>
    </w:p>
    <w:p>
      <w:pPr>
        <w:snapToGrid w:val="0"/>
        <w:spacing w:line="360" w:lineRule="auto"/>
        <w:ind w:right="480"/>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二、落实政府采购政策需满足的资格要求</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（根据招标公告</w:t>
      </w:r>
      <w:r>
        <w:rPr>
          <w:rFonts w:hint="eastAsia" w:asciiTheme="minorEastAsia" w:hAnsiTheme="minorEastAsia" w:eastAsiaTheme="minorEastAsia"/>
          <w:sz w:val="24"/>
        </w:rPr>
        <w:t>落实政府采购政策需满足的资格要求选择提供相应的材料；未要求的，无需提供</w:t>
      </w:r>
      <w:r>
        <w:rPr>
          <w:rFonts w:hint="eastAsia" w:cs="仿宋_GB2312" w:asciiTheme="minorEastAsia" w:hAnsiTheme="minorEastAsia" w:eastAsiaTheme="minorEastAsia"/>
          <w:sz w:val="24"/>
        </w:rPr>
        <w:t>）</w:t>
      </w:r>
    </w:p>
    <w:p>
      <w:pPr>
        <w:snapToGrid w:val="0"/>
        <w:spacing w:before="50" w:after="50" w:line="360" w:lineRule="auto"/>
        <w:ind w:firstLine="472" w:firstLineChars="196"/>
        <w:jc w:val="left"/>
        <w:rPr>
          <w:rFonts w:cs="仿宋_GB2312" w:asciiTheme="minorEastAsia" w:hAnsiTheme="minorEastAsia" w:eastAsiaTheme="minorEastAsia"/>
          <w:sz w:val="24"/>
        </w:rPr>
      </w:pPr>
      <w:r>
        <w:rPr>
          <w:rFonts w:cs="仿宋_GB2312" w:asciiTheme="minorEastAsia" w:hAnsiTheme="minorEastAsia" w:eastAsiaTheme="minorEastAsia"/>
          <w:b/>
          <w:sz w:val="24"/>
        </w:rPr>
        <w:t>A</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专门面向中小企业，货物全部由符合政策要求的中小企业（或小微企业）制造或者服务全部由符合政策要求的中小企业（或小微企业）承接的，提供相应的中小企业声明函（附件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w:t>
      </w:r>
    </w:p>
    <w:p>
      <w:pPr>
        <w:widowControl/>
        <w:spacing w:line="360" w:lineRule="auto"/>
        <w:ind w:firstLine="480"/>
        <w:jc w:val="left"/>
        <w:rPr>
          <w:rFonts w:asciiTheme="minorEastAsia" w:hAnsiTheme="minorEastAsia" w:eastAsiaTheme="minorEastAsia"/>
          <w:sz w:val="24"/>
        </w:rPr>
      </w:pPr>
    </w:p>
    <w:p>
      <w:pPr>
        <w:widowControl/>
        <w:spacing w:line="360" w:lineRule="auto"/>
        <w:ind w:firstLine="472" w:firstLineChars="196"/>
        <w:jc w:val="left"/>
        <w:rPr>
          <w:rFonts w:cs="仿宋_GB2312" w:asciiTheme="minorEastAsia" w:hAnsiTheme="minorEastAsia" w:eastAsiaTheme="minorEastAsia"/>
          <w:sz w:val="24"/>
        </w:rPr>
      </w:pPr>
      <w:r>
        <w:rPr>
          <w:rFonts w:cs="仿宋_GB2312" w:asciiTheme="minorEastAsia" w:hAnsiTheme="minorEastAsia" w:eastAsiaTheme="minorEastAsia"/>
          <w:b/>
          <w:sz w:val="24"/>
        </w:rPr>
        <w:t>B.</w:t>
      </w:r>
      <w:r>
        <w:rPr>
          <w:rFonts w:hint="eastAsia" w:cs="仿宋_GB2312" w:asciiTheme="minorEastAsia" w:hAnsiTheme="minorEastAsia" w:eastAsiaTheme="minorEastAsia"/>
          <w:sz w:val="24"/>
        </w:rPr>
        <w:t>要求以联合体形式参加的，提供联合协议和中小企业声明函（附件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联合协议</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（联合体所有成员名称）</w:t>
      </w:r>
      <w:r>
        <w:rPr>
          <w:rFonts w:hint="eastAsia" w:cs="仿宋_GB2312" w:asciiTheme="minorEastAsia" w:hAnsiTheme="minorEastAsia" w:eastAsiaTheme="minorEastAsia"/>
          <w:kern w:val="0"/>
          <w:sz w:val="24"/>
        </w:rPr>
        <w:t>自愿</w:t>
      </w:r>
      <w:r>
        <w:rPr>
          <w:rFonts w:hint="eastAsia" w:cs="仿宋_GB2312" w:asciiTheme="minorEastAsia" w:hAnsiTheme="minorEastAsia" w:eastAsiaTheme="minorEastAsia"/>
          <w:kern w:val="0"/>
          <w:sz w:val="24"/>
          <w:lang w:val="zh-CN"/>
        </w:rPr>
        <w:t>组成一个联合体，以一个投标人的身份</w:t>
      </w:r>
      <w:r>
        <w:rPr>
          <w:rFonts w:hint="eastAsia" w:cs="仿宋_GB2312" w:asciiTheme="minorEastAsia" w:hAnsiTheme="minorEastAsia" w:eastAsiaTheme="minorEastAsia"/>
          <w:kern w:val="0"/>
          <w:sz w:val="24"/>
        </w:rPr>
        <w:t>参加</w:t>
      </w:r>
      <w:r>
        <w:rPr>
          <w:rFonts w:hint="eastAsia" w:cs="仿宋_GB2312" w:asciiTheme="minorEastAsia" w:hAnsiTheme="minorEastAsia" w:eastAsiaTheme="minorEastAsia"/>
          <w:sz w:val="24"/>
          <w:lang w:eastAsia="zh-CN"/>
        </w:rPr>
        <w:t>人工智能综合实验室建设项目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rPr>
        <w:t>ZJXL-HSY-202204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投标。</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一、各方一致决定，</w:t>
      </w:r>
      <w:r>
        <w:rPr>
          <w:rFonts w:hint="eastAsia" w:cs="仿宋_GB2312" w:asciiTheme="minorEastAsia" w:hAnsiTheme="minorEastAsia" w:eastAsiaTheme="minorEastAsia"/>
          <w:kern w:val="0"/>
          <w:sz w:val="24"/>
          <w:u w:val="single"/>
        </w:rPr>
        <w:t>（某联合体成员名称）</w:t>
      </w:r>
      <w:r>
        <w:rPr>
          <w:rFonts w:hint="eastAsia" w:cs="仿宋_GB2312" w:asciiTheme="minorEastAsia" w:hAnsiTheme="minorEastAsia" w:eastAsiaTheme="minorEastAsia"/>
          <w:kern w:val="0"/>
          <w:sz w:val="24"/>
        </w:rPr>
        <w:t>为联合体</w:t>
      </w:r>
      <w:r>
        <w:rPr>
          <w:rFonts w:hint="eastAsia" w:cs="仿宋_GB2312" w:asciiTheme="minorEastAsia" w:hAnsiTheme="minorEastAsia" w:eastAsiaTheme="minorEastAsia"/>
          <w:kern w:val="0"/>
          <w:sz w:val="24"/>
          <w:lang w:val="zh-CN"/>
        </w:rPr>
        <w:t>牵头人</w:t>
      </w:r>
      <w:r>
        <w:rPr>
          <w:rFonts w:hint="eastAsia" w:cs="Arial" w:asciiTheme="minorEastAsia" w:hAnsiTheme="minorEastAsia" w:eastAsiaTheme="minorEastAsia"/>
          <w:sz w:val="24"/>
        </w:rPr>
        <w:t>，代表所有联合体成员负责投标和合同实施阶段的主办、协调工作</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w:t>
      </w:r>
      <w:r>
        <w:rPr>
          <w:rFonts w:hint="eastAsia" w:cs="Arial" w:asciiTheme="minorEastAsia" w:hAnsiTheme="minorEastAsia" w:eastAsiaTheme="minorEastAsia"/>
          <w:sz w:val="24"/>
        </w:rPr>
        <w:t>所有联合体成员各方签署授权书，授权书载明的</w:t>
      </w:r>
      <w:r>
        <w:rPr>
          <w:rFonts w:hint="eastAsia" w:cs="仿宋_GB2312"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三、本次联合投标中，分工如下：</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cs="仿宋_GB2312" w:asciiTheme="minorEastAsia" w:hAnsiTheme="minorEastAsia" w:eastAsiaTheme="minorEastAsia"/>
          <w:kern w:val="0"/>
          <w:sz w:val="24"/>
          <w:lang w:val="zh-CN"/>
        </w:rPr>
        <w:t xml:space="preserve"> ；……。</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w:t>
      </w:r>
      <w:r>
        <w:rPr>
          <w:rFonts w:hint="eastAsia" w:asciiTheme="minorEastAsia" w:hAnsiTheme="minorEastAsia" w:eastAsiaTheme="minorEastAsia"/>
          <w:sz w:val="24"/>
        </w:rPr>
        <w:t>中小企业合同金额达到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微企业合同金额达到</w:t>
      </w:r>
      <w:r>
        <w:rPr>
          <w:rFonts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五、如果中标，</w:t>
      </w:r>
      <w:r>
        <w:rPr>
          <w:rFonts w:hint="eastAsia"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1、联合体各方不再单独参加或者与其</w:t>
      </w:r>
      <w:r>
        <w:rPr>
          <w:rFonts w:hint="eastAsia" w:cs="仿宋_GB2312" w:asciiTheme="minorEastAsia" w:hAnsiTheme="minorEastAsia" w:eastAsiaTheme="minorEastAsia"/>
          <w:kern w:val="0"/>
          <w:sz w:val="24"/>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spacing w:line="360" w:lineRule="auto"/>
        <w:ind w:firstLine="480" w:firstLineChars="200"/>
        <w:rPr>
          <w:rFonts w:cs="仿宋_GB2312" w:asciiTheme="minorEastAsia" w:hAnsiTheme="minorEastAsia" w:eastAsiaTheme="minorEastAsia"/>
          <w:sz w:val="24"/>
        </w:rPr>
      </w:pPr>
    </w:p>
    <w:p>
      <w:pPr>
        <w:spacing w:line="360" w:lineRule="auto"/>
        <w:ind w:firstLine="482" w:firstLineChars="200"/>
        <w:rPr>
          <w:rFonts w:asciiTheme="minorEastAsia" w:hAnsiTheme="minorEastAsia" w:eastAsiaTheme="minorEastAsia"/>
          <w:sz w:val="24"/>
        </w:rPr>
      </w:pPr>
      <w:r>
        <w:rPr>
          <w:rFonts w:cs="仿宋_GB2312" w:asciiTheme="minorEastAsia" w:hAnsiTheme="minorEastAsia" w:eastAsiaTheme="minorEastAsia"/>
          <w:b/>
          <w:sz w:val="24"/>
        </w:rPr>
        <w:t>C、</w:t>
      </w:r>
      <w:r>
        <w:rPr>
          <w:rFonts w:hint="eastAsia" w:cs="仿宋_GB2312" w:asciiTheme="minorEastAsia" w:hAnsiTheme="minorEastAsia" w:eastAsiaTheme="minorEastAsia"/>
          <w:sz w:val="24"/>
        </w:rPr>
        <w:t>要求合同分包的，提供分包意向协议和中小企业声明函（附件</w:t>
      </w:r>
      <w:r>
        <w:rPr>
          <w:rFonts w:cs="仿宋_GB2312" w:asciiTheme="minorEastAsia" w:hAnsiTheme="minorEastAsia" w:eastAsiaTheme="minorEastAsia"/>
          <w:sz w:val="24"/>
        </w:rPr>
        <w:t>5</w:t>
      </w:r>
      <w:r>
        <w:rPr>
          <w:rFonts w:hint="eastAsia" w:cs="仿宋_GB2312" w:asciiTheme="minorEastAsia" w:hAnsiTheme="minorEastAsia" w:eastAsiaTheme="minor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分包意向协议</w:t>
      </w:r>
    </w:p>
    <w:p>
      <w:pPr>
        <w:widowControl/>
        <w:spacing w:line="360" w:lineRule="auto"/>
        <w:ind w:firstLine="120" w:firstLineChar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若成为</w:t>
      </w:r>
      <w:r>
        <w:rPr>
          <w:rFonts w:hint="eastAsia" w:cs="仿宋_GB2312" w:asciiTheme="minorEastAsia" w:hAnsiTheme="minorEastAsia" w:eastAsiaTheme="minorEastAsia"/>
          <w:sz w:val="24"/>
          <w:lang w:eastAsia="zh-CN"/>
        </w:rPr>
        <w:t>人工智能综合实验室建设项目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rPr>
        <w:t>ZJXL-HSY-202204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的中标供应商，将依法采取分包方式履行合同。</w:t>
      </w: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rPr>
        <w:t>与</w:t>
      </w:r>
      <w:r>
        <w:rPr>
          <w:rFonts w:hint="eastAsia" w:cs="仿宋_GB2312" w:asciiTheme="minorEastAsia" w:hAnsiTheme="minorEastAsia" w:eastAsiaTheme="minorEastAsia"/>
          <w:kern w:val="0"/>
          <w:sz w:val="24"/>
          <w:u w:val="single"/>
        </w:rPr>
        <w:t>（所有分包供应商名称）</w:t>
      </w:r>
      <w:r>
        <w:rPr>
          <w:rFonts w:hint="eastAsia" w:cs="仿宋_GB2312" w:asciiTheme="minorEastAsia" w:hAnsiTheme="minorEastAsia" w:eastAsiaTheme="minorEastAsia"/>
          <w:kern w:val="0"/>
          <w:sz w:val="24"/>
        </w:rPr>
        <w:t>达成分包意向协议</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一、分包标的及数量</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将</w:t>
      </w:r>
      <w:r>
        <w:rPr>
          <w:rFonts w:asciiTheme="minorEastAsia" w:hAnsiTheme="minorEastAsia" w:eastAsiaTheme="minorEastAsia"/>
          <w:u w:val="single"/>
        </w:rPr>
        <w:t xml:space="preserve">   XX工作内容   </w:t>
      </w:r>
      <w:r>
        <w:rPr>
          <w:rFonts w:hint="eastAsia" w:cs="Arial" w:asciiTheme="minorEastAsia" w:hAnsiTheme="minorEastAsia" w:eastAsiaTheme="minorEastAsia"/>
          <w:sz w:val="24"/>
        </w:rPr>
        <w:t>分包给</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具备承</w:t>
      </w:r>
      <w:r>
        <w:rPr>
          <w:rFonts w:hint="eastAsia" w:cs="仿宋_GB2312" w:asciiTheme="minorEastAsia" w:hAnsiTheme="minorEastAsia" w:eastAsiaTheme="minorEastAsia"/>
          <w:kern w:val="0"/>
          <w:sz w:val="24"/>
        </w:rPr>
        <w:t>担</w:t>
      </w:r>
      <w:r>
        <w:rPr>
          <w:rFonts w:cs="仿宋_GB2312" w:asciiTheme="minorEastAsia" w:hAnsiTheme="minorEastAsia" w:eastAsiaTheme="minorEastAsia"/>
          <w:kern w:val="0"/>
          <w:sz w:val="24"/>
          <w:u w:val="single"/>
          <w:lang w:val="zh-CN"/>
        </w:rPr>
        <w:t>XX工作内容</w:t>
      </w:r>
      <w:r>
        <w:rPr>
          <w:rFonts w:hint="eastAsia" w:cs="仿宋_GB2312" w:asciiTheme="minorEastAsia" w:hAnsiTheme="minorEastAsia" w:eastAsiaTheme="minorEastAsia"/>
          <w:kern w:val="0"/>
          <w:sz w:val="24"/>
          <w:lang w:val="zh-CN"/>
        </w:rPr>
        <w:t>相应资质条件且不得再次分包；</w:t>
      </w:r>
    </w:p>
    <w:p>
      <w:pPr>
        <w:pStyle w:val="5"/>
        <w:ind w:left="664" w:leftChars="316" w:firstLine="229" w:firstLineChars="95"/>
        <w:rPr>
          <w:rFonts w:asciiTheme="minorEastAsia" w:hAnsiTheme="minorEastAsia" w:eastAsiaTheme="minorEastAsia"/>
        </w:rPr>
      </w:pPr>
      <w:bookmarkStart w:id="447" w:name="_Toc22422"/>
      <w:r>
        <w:rPr>
          <w:rFonts w:hint="eastAsia" w:cs="仿宋_GB2312" w:asciiTheme="minorEastAsia" w:hAnsiTheme="minorEastAsia" w:eastAsiaTheme="minorEastAsia"/>
          <w:kern w:val="0"/>
          <w:sz w:val="24"/>
          <w:szCs w:val="24"/>
        </w:rPr>
        <w:t>……</w:t>
      </w:r>
      <w:bookmarkEnd w:id="447"/>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二、分包工作履行期限、地点、方式</w:t>
      </w:r>
    </w:p>
    <w:p>
      <w:pPr>
        <w:snapToGrid w:val="0"/>
        <w:spacing w:line="360" w:lineRule="auto"/>
        <w:ind w:firstLine="576"/>
        <w:rPr>
          <w:rFonts w:asciiTheme="minorEastAsia" w:hAnsiTheme="minorEastAsia" w:eastAsiaTheme="minorEastAsia"/>
          <w:u w:val="single"/>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三、质量</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四、价款或者报酬</w:t>
      </w:r>
    </w:p>
    <w:p>
      <w:pPr>
        <w:snapToGrid w:val="0"/>
        <w:spacing w:line="360" w:lineRule="auto"/>
        <w:ind w:left="573" w:leftChars="273"/>
        <w:rPr>
          <w:rFonts w:cs="仿宋_GB2312" w:asciiTheme="minorEastAsia" w:hAnsiTheme="minorEastAsia" w:eastAsiaTheme="minorEastAsia"/>
          <w:kern w:val="0"/>
          <w:sz w:val="24"/>
          <w:lang w:val="zh-CN"/>
        </w:rPr>
      </w:pPr>
    </w:p>
    <w:p>
      <w:pPr>
        <w:snapToGrid w:val="0"/>
        <w:spacing w:line="360" w:lineRule="auto"/>
        <w:ind w:left="573" w:leftChars="273"/>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五、违约责任</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六、争议解决的办法</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七、其他</w:t>
      </w:r>
    </w:p>
    <w:p>
      <w:pPr>
        <w:snapToGrid w:val="0"/>
        <w:spacing w:line="360" w:lineRule="auto"/>
        <w:ind w:left="5758" w:leftChars="342" w:hanging="5040" w:hangingChars="2100"/>
        <w:rPr>
          <w:rFonts w:cs="仿宋_GB2312" w:asciiTheme="minorEastAsia" w:hAnsiTheme="minorEastAsia" w:eastAsiaTheme="minorEastAsia"/>
          <w:kern w:val="0"/>
          <w:sz w:val="24"/>
          <w:lang w:val="zh-CN"/>
        </w:rPr>
      </w:pPr>
      <w:r>
        <w:rPr>
          <w:rFonts w:hint="eastAsia" w:asciiTheme="minorEastAsia" w:hAnsiTheme="minorEastAsia" w:eastAsiaTheme="minorEastAsia"/>
          <w:sz w:val="24"/>
        </w:rPr>
        <w:t>中小企业合同金额达到</w:t>
      </w:r>
      <w:r>
        <w:rPr>
          <w:rFonts w:asciiTheme="minorEastAsia" w:hAnsiTheme="minorEastAsia" w:eastAsiaTheme="minorEastAsia"/>
          <w:sz w:val="24"/>
        </w:rPr>
        <w:t>%，小</w:t>
      </w:r>
      <w:r>
        <w:rPr>
          <w:rFonts w:hint="eastAsia" w:asciiTheme="minorEastAsia" w:hAnsiTheme="minorEastAsia" w:eastAsiaTheme="minorEastAsia"/>
          <w:sz w:val="24"/>
        </w:rPr>
        <w:t>微企业合同金额达到</w:t>
      </w:r>
      <w:r>
        <w:rPr>
          <w:rFonts w:asciiTheme="minorEastAsia" w:hAnsiTheme="minorEastAsia" w:eastAsiaTheme="minorEastAsia"/>
          <w:sz w:val="24"/>
        </w:rPr>
        <w:t>%</w:t>
      </w:r>
      <w:r>
        <w:rPr>
          <w:rFonts w:cs="仿宋_GB2312" w:asciiTheme="minorEastAsia" w:hAnsiTheme="minorEastAsia" w:eastAsiaTheme="minorEastAsia"/>
          <w:kern w:val="0"/>
          <w:sz w:val="24"/>
          <w:lang w:val="zh-CN"/>
        </w:rPr>
        <w:t xml:space="preserve">  。                                           投标人名称(电子签名)：</w:t>
      </w:r>
    </w:p>
    <w:p>
      <w:pPr>
        <w:snapToGrid w:val="0"/>
        <w:spacing w:line="360" w:lineRule="auto"/>
        <w:ind w:firstLine="5640" w:firstLineChars="23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分包供应商名称：</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widowControl/>
        <w:spacing w:line="360" w:lineRule="auto"/>
        <w:ind w:left="150"/>
        <w:jc w:val="center"/>
        <w:rPr>
          <w:rFonts w:cs="仿宋_GB2312" w:asciiTheme="minorEastAsia" w:hAnsiTheme="minorEastAsia" w:eastAsiaTheme="minorEastAsia"/>
          <w:b/>
          <w:kern w:val="0"/>
          <w:sz w:val="32"/>
          <w:szCs w:val="32"/>
        </w:rPr>
      </w:pPr>
    </w:p>
    <w:p>
      <w:pP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br w:type="page"/>
      </w:r>
    </w:p>
    <w:p>
      <w:pPr>
        <w:widowControl/>
        <w:spacing w:line="360" w:lineRule="auto"/>
        <w:ind w:left="150"/>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三、本项目的特定资格要求</w:t>
      </w:r>
    </w:p>
    <w:p>
      <w:pPr>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sz w:val="24"/>
        </w:rPr>
        <w:t>（根据招标公告本项目的特定资格要求</w:t>
      </w:r>
      <w:r>
        <w:rPr>
          <w:rFonts w:hint="eastAsia" w:asciiTheme="minorEastAsia" w:hAnsiTheme="minorEastAsia" w:eastAsiaTheme="minorEastAsia"/>
          <w:sz w:val="24"/>
        </w:rPr>
        <w:t>提供相应的材料；未要求的，无需提供</w:t>
      </w:r>
      <w:r>
        <w:rPr>
          <w:rFonts w:hint="eastAsia" w:cs="仿宋_GB2312" w:asciiTheme="minorEastAsia" w:hAnsiTheme="minorEastAsia" w:eastAsiaTheme="minorEastAsia"/>
          <w:sz w:val="24"/>
        </w:rPr>
        <w:t>）</w:t>
      </w:r>
    </w:p>
    <w:p>
      <w:pPr>
        <w:rPr>
          <w:rFonts w:asciiTheme="minorEastAsia" w:hAnsiTheme="minorEastAsia" w:eastAsiaTheme="minorEastAsia"/>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ind w:right="480"/>
        <w:jc w:val="center"/>
        <w:rPr>
          <w:rFonts w:cs="仿宋_GB2312" w:asciiTheme="minorEastAsia" w:hAnsiTheme="minorEastAsia" w:eastAsiaTheme="minorEastAsia"/>
          <w:b/>
          <w:kern w:val="0"/>
          <w:sz w:val="32"/>
          <w:szCs w:val="32"/>
        </w:rPr>
      </w:pPr>
    </w:p>
    <w:p>
      <w:pPr>
        <w:spacing w:line="360" w:lineRule="auto"/>
        <w:jc w:val="center"/>
        <w:outlineLvl w:val="0"/>
        <w:rPr>
          <w:rFonts w:cs="仿宋_GB2312" w:asciiTheme="minorEastAsia" w:hAnsiTheme="minorEastAsia" w:eastAsiaTheme="minorEastAsia"/>
          <w:b/>
          <w:kern w:val="0"/>
          <w:sz w:val="36"/>
          <w:szCs w:val="36"/>
        </w:rPr>
      </w:pPr>
    </w:p>
    <w:p>
      <w:pP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br w:type="page"/>
      </w:r>
    </w:p>
    <w:p>
      <w:pPr>
        <w:spacing w:line="360" w:lineRule="auto"/>
        <w:ind w:right="420" w:firstLine="3614" w:firstLineChars="100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商务技术文件部分</w:t>
      </w:r>
    </w:p>
    <w:p>
      <w:pPr>
        <w:spacing w:line="360" w:lineRule="auto"/>
        <w:jc w:val="center"/>
        <w:outlineLvl w:val="0"/>
        <w:rPr>
          <w:rFonts w:cs="仿宋_GB2312" w:asciiTheme="minorEastAsia" w:hAnsiTheme="minorEastAsia" w:eastAsiaTheme="minorEastAsia"/>
          <w:b/>
          <w:kern w:val="0"/>
          <w:sz w:val="24"/>
        </w:rPr>
      </w:pPr>
    </w:p>
    <w:p>
      <w:pPr>
        <w:spacing w:line="360" w:lineRule="auto"/>
        <w:jc w:val="center"/>
        <w:outlineLvl w:val="0"/>
        <w:rPr>
          <w:rFonts w:cs="仿宋_GB2312" w:asciiTheme="minorEastAsia" w:hAnsiTheme="minorEastAsia" w:eastAsiaTheme="minorEastAsia"/>
          <w:b/>
          <w:kern w:val="0"/>
          <w:sz w:val="28"/>
          <w:szCs w:val="28"/>
        </w:rPr>
      </w:pPr>
      <w:bookmarkStart w:id="448" w:name="_Toc26587"/>
      <w:r>
        <w:rPr>
          <w:rFonts w:hint="eastAsia" w:cs="仿宋_GB2312" w:asciiTheme="minorEastAsia" w:hAnsiTheme="minorEastAsia" w:eastAsiaTheme="minorEastAsia"/>
          <w:b/>
          <w:kern w:val="0"/>
          <w:sz w:val="28"/>
          <w:szCs w:val="28"/>
        </w:rPr>
        <w:t>目录</w:t>
      </w:r>
      <w:bookmarkEnd w:id="448"/>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1）投标函</w:t>
      </w:r>
      <w:r>
        <w:rPr>
          <w:rFonts w:hint="eastAsia" w:cs="仿宋_GB2312" w:asciiTheme="minorEastAsia" w:hAnsiTheme="minorEastAsia" w:eastAsiaTheme="minorEastAsia"/>
        </w:rPr>
        <w:t>…………………………………………………………………………………（页码）</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2）授权委托书或法定代表人（单位负责人、自然人本人）身份证明</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3）联合协议</w:t>
      </w:r>
      <w:r>
        <w:rPr>
          <w:rFonts w:hint="eastAsia" w:cs="仿宋_GB2312" w:asciiTheme="minorEastAsia" w:hAnsiTheme="minorEastAsia" w:eastAsiaTheme="minorEastAsia"/>
        </w:rPr>
        <w:t>………………………………………………………………………………（页码）</w:t>
      </w:r>
    </w:p>
    <w:p>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4）分包意向协议</w:t>
      </w:r>
      <w:r>
        <w:rPr>
          <w:rFonts w:hint="eastAsia" w:cs="仿宋_GB2312" w:asciiTheme="minorEastAsia" w:hAnsiTheme="minorEastAsia" w:eastAsiaTheme="minorEastAsia"/>
        </w:rPr>
        <w:t>…………………………………………………………………………（页码）</w:t>
      </w:r>
    </w:p>
    <w:p>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5）符合性审查资料</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6）评标标准相应的商务技术资料</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7）商务技术偏离表</w:t>
      </w:r>
      <w:r>
        <w:rPr>
          <w:rFonts w:hint="eastAsia" w:cs="仿宋_GB2312" w:asciiTheme="minorEastAsia" w:hAnsiTheme="minorEastAsia" w:eastAsiaTheme="minorEastAsia"/>
        </w:rPr>
        <w:t>………………………………………………………………………（页码）</w:t>
      </w:r>
    </w:p>
    <w:p>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r>
        <w:rPr>
          <w:rFonts w:hint="eastAsia" w:cs="仿宋_GB2312" w:asciiTheme="minorEastAsia" w:hAnsiTheme="minorEastAsia" w:eastAsiaTheme="minorEastAsia"/>
        </w:rPr>
        <w:t>…………………………………………………（页码）</w:t>
      </w: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kern w:val="0"/>
          <w:sz w:val="32"/>
          <w:szCs w:val="32"/>
        </w:rPr>
      </w:pPr>
    </w:p>
    <w:p>
      <w:pPr>
        <w:snapToGrid w:val="0"/>
        <w:spacing w:line="360" w:lineRule="auto"/>
        <w:jc w:val="center"/>
        <w:outlineLvl w:val="0"/>
        <w:rPr>
          <w:rFonts w:cs="仿宋_GB2312" w:asciiTheme="minorEastAsia" w:hAnsiTheme="minorEastAsia" w:eastAsiaTheme="minorEastAsia"/>
          <w:b/>
          <w:sz w:val="32"/>
          <w:szCs w:val="32"/>
        </w:rPr>
      </w:pPr>
      <w:bookmarkStart w:id="449" w:name="_Toc29621"/>
      <w:r>
        <w:rPr>
          <w:rFonts w:hint="eastAsia" w:cs="仿宋_GB2312" w:asciiTheme="minorEastAsia" w:hAnsiTheme="minorEastAsia" w:eastAsiaTheme="minorEastAsia"/>
          <w:b/>
          <w:kern w:val="0"/>
          <w:sz w:val="32"/>
          <w:szCs w:val="32"/>
        </w:rPr>
        <w:t>一、投标</w:t>
      </w:r>
      <w:r>
        <w:rPr>
          <w:rFonts w:hint="eastAsia" w:cs="仿宋_GB2312" w:asciiTheme="minorEastAsia" w:hAnsiTheme="minorEastAsia" w:eastAsiaTheme="minorEastAsia"/>
          <w:b/>
          <w:sz w:val="32"/>
          <w:szCs w:val="32"/>
        </w:rPr>
        <w:t>函</w:t>
      </w:r>
      <w:bookmarkEnd w:id="449"/>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浙江工商大学杭州商学院、浙江信镧建设工程咨询有限公司：</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我方参加你方组织的</w:t>
      </w:r>
      <w:r>
        <w:rPr>
          <w:rFonts w:hint="eastAsia" w:cs="仿宋_GB2312" w:asciiTheme="minorEastAsia" w:hAnsiTheme="minorEastAsia" w:eastAsiaTheme="minorEastAsia"/>
          <w:sz w:val="24"/>
          <w:lang w:eastAsia="zh-CN"/>
        </w:rPr>
        <w:t>人工智能综合实验室建设项目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rPr>
        <w:t>ZJXL-HSY-202204</w:t>
      </w:r>
      <w:r>
        <w:rPr>
          <w:rFonts w:hint="eastAsia" w:cs="仿宋_GB2312" w:asciiTheme="minorEastAsia" w:hAnsiTheme="minorEastAsia" w:eastAsiaTheme="minorEastAsia"/>
          <w:sz w:val="24"/>
        </w:rPr>
        <w:t>】招标的有关活动，并对此项目进行投标。为此：</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1、我方承诺投标有效期从提交投标文件的截止之日起</w:t>
      </w:r>
      <w:r>
        <w:rPr>
          <w:rFonts w:hint="eastAsia" w:cs="仿宋_GB2312" w:asciiTheme="minorEastAsia" w:hAnsiTheme="minorEastAsia" w:eastAsiaTheme="minorEastAsia"/>
          <w:sz w:val="24"/>
        </w:rPr>
        <w:t>天（不少于</w:t>
      </w:r>
      <w:r>
        <w:rPr>
          <w:rFonts w:cs="仿宋_GB2312" w:asciiTheme="minorEastAsia" w:hAnsiTheme="minorEastAsia" w:eastAsiaTheme="minorEastAsia"/>
          <w:sz w:val="24"/>
        </w:rPr>
        <w:t>90天）</w:t>
      </w:r>
      <w:r>
        <w:rPr>
          <w:rFonts w:hint="eastAsia" w:asciiTheme="minorEastAsia" w:hAnsiTheme="minorEastAsia" w:eastAsiaTheme="minorEastAsia"/>
        </w:rPr>
        <w:t>，</w:t>
      </w:r>
      <w:r>
        <w:rPr>
          <w:rFonts w:hint="eastAsia" w:cs="仿宋_GB2312" w:asciiTheme="minorEastAsia" w:hAnsiTheme="minorEastAsia" w:eastAsiaTheme="minorEastAsia"/>
          <w:sz w:val="24"/>
        </w:rPr>
        <w:t>本投标文件在投标有效期满之前均具有约束力。</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2、我方的投标文件包括以下内容：</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2.1资格文件：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2.1.1</w:t>
      </w:r>
      <w:r>
        <w:rPr>
          <w:rFonts w:hint="eastAsia" w:cs="仿宋_GB2312" w:asciiTheme="minorEastAsia" w:hAnsiTheme="minorEastAsia" w:eastAsiaTheme="minorEastAsia"/>
          <w:sz w:val="24"/>
        </w:rPr>
        <w:t>承诺函；</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2.1.2落实政府采购政策需满足的资格要求</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2.1.3本项目的特定资格要求</w:t>
      </w:r>
      <w:r>
        <w:rPr>
          <w:rFonts w:hint="eastAsia" w:cs="仿宋_GB2312" w:asciiTheme="minorEastAsia" w:hAnsiTheme="minorEastAsia" w:eastAsiaTheme="minorEastAsia"/>
          <w:sz w:val="24"/>
        </w:rPr>
        <w:t>（如果有）。</w:t>
      </w:r>
    </w:p>
    <w:p>
      <w:pPr>
        <w:snapToGrid w:val="0"/>
        <w:spacing w:line="360" w:lineRule="auto"/>
        <w:ind w:left="210" w:leftChars="1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商务技术</w:t>
      </w:r>
      <w:r>
        <w:rPr>
          <w:rFonts w:hint="eastAsia" w:cs="仿宋_GB2312" w:asciiTheme="minorEastAsia" w:hAnsiTheme="minorEastAsia" w:eastAsiaTheme="minorEastAsia"/>
          <w:sz w:val="24"/>
          <w:lang w:val="zh-CN"/>
        </w:rPr>
        <w:t>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2.2.1投标函；</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2.2.2授权委托书或法定代表人（单位负责人）身份证明；</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2.2.3联合协议</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2.2.4分包意向协议</w:t>
      </w:r>
      <w:r>
        <w:rPr>
          <w:rFonts w:hint="eastAsia" w:cs="仿宋_GB2312" w:asciiTheme="minorEastAsia" w:hAnsiTheme="minorEastAsia" w:eastAsiaTheme="minorEastAsia"/>
          <w:sz w:val="24"/>
        </w:rPr>
        <w:t>（如果有）；</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2.2.5符合性审查资料；</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2.2.6评标标准相应的商务技术资料；</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2.2.7商务技术偏离表；</w:t>
      </w:r>
    </w:p>
    <w:p>
      <w:pPr>
        <w:snapToGrid w:val="0"/>
        <w:spacing w:line="360" w:lineRule="auto"/>
        <w:ind w:left="420" w:leftChars="200"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8</w:t>
      </w:r>
      <w:r>
        <w:rPr>
          <w:rFonts w:hint="eastAsia" w:cs="仿宋_GB2312" w:asciiTheme="minorEastAsia" w:hAnsiTheme="minorEastAsia" w:eastAsiaTheme="minorEastAsia"/>
          <w:sz w:val="24"/>
          <w:lang w:val="zh-CN"/>
        </w:rPr>
        <w:t>政府采购供应商廉洁自律承诺书；</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3报价文件</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2.3.1开标一览表（报价表）；</w:t>
      </w:r>
    </w:p>
    <w:p>
      <w:pPr>
        <w:snapToGrid w:val="0"/>
        <w:spacing w:line="36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2.3.2中小企业声明函</w:t>
      </w:r>
      <w:r>
        <w:rPr>
          <w:rFonts w:hint="eastAsia" w:cs="仿宋_GB2312" w:asciiTheme="minorEastAsia" w:hAnsiTheme="minorEastAsia" w:eastAsiaTheme="minorEastAsia"/>
          <w:sz w:val="24"/>
        </w:rPr>
        <w:t>（如果有）。</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4、如我方中标，我方承诺：</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5、其他补充说明:</w:t>
      </w:r>
      <w:r>
        <w:rPr>
          <w:rFonts w:hint="eastAsia" w:cs="仿宋_GB2312" w:asciiTheme="minorEastAsia" w:hAnsiTheme="minorEastAsia" w:eastAsiaTheme="minorEastAsia"/>
          <w:sz w:val="24"/>
        </w:rPr>
        <w:t>。</w:t>
      </w: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投标人名称（电子签名）：</w:t>
      </w:r>
    </w:p>
    <w:p>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日期：  年   月   日</w:t>
      </w:r>
    </w:p>
    <w:p>
      <w:pPr>
        <w:snapToGrid w:val="0"/>
        <w:spacing w:line="360" w:lineRule="auto"/>
        <w:ind w:left="420" w:leftChars="200" w:firstLine="4200" w:firstLineChars="1750"/>
        <w:rPr>
          <w:rFonts w:cs="仿宋_GB2312" w:asciiTheme="minorEastAsia" w:hAnsiTheme="minorEastAsia" w:eastAsiaTheme="minorEastAsia"/>
          <w:kern w:val="0"/>
          <w:sz w:val="24"/>
          <w:u w:val="single"/>
          <w:lang w:val="zh-CN"/>
        </w:rPr>
      </w:pPr>
    </w:p>
    <w:p>
      <w:pPr>
        <w:snapToGrid w:val="0"/>
        <w:spacing w:line="360" w:lineRule="auto"/>
        <w:jc w:val="center"/>
        <w:rPr>
          <w:rFonts w:cs="仿宋_GB2312" w:asciiTheme="minorEastAsia" w:hAnsiTheme="minorEastAsia" w:eastAsiaTheme="minorEastAsia"/>
          <w:b/>
          <w:kern w:val="0"/>
          <w:sz w:val="32"/>
          <w:szCs w:val="32"/>
          <w:lang w:val="zh-CN"/>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p>
    <w:p>
      <w:pPr>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仿宋_GB2312" w:asciiTheme="minorEastAsia" w:hAnsiTheme="minorEastAsia" w:eastAsiaTheme="minorEastAsia"/>
          <w:sz w:val="24"/>
        </w:rPr>
      </w:pPr>
    </w:p>
    <w:p>
      <w:pPr>
        <w:snapToGrid w:val="0"/>
        <w:spacing w:line="360" w:lineRule="auto"/>
        <w:ind w:firstLine="2872" w:firstLineChars="894"/>
        <w:rPr>
          <w:rFonts w:asciiTheme="minorEastAsia" w:hAnsiTheme="minorEastAsia" w:eastAsiaTheme="minorEastAsia"/>
        </w:rPr>
      </w:pPr>
      <w:r>
        <w:rPr>
          <w:rFonts w:hint="eastAsia" w:cs="仿宋_GB2312" w:asciiTheme="minorEastAsia" w:hAnsiTheme="minorEastAsia" w:eastAsiaTheme="minorEastAsia"/>
          <w:b/>
          <w:kern w:val="0"/>
          <w:sz w:val="32"/>
          <w:szCs w:val="32"/>
          <w:lang w:val="zh-CN"/>
        </w:rPr>
        <w:t>授权委托书（适用于非联合体投标）</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浙江工商大学杭州商学院、浙江信镧建设工程咨询有限公司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lang w:eastAsia="zh-CN"/>
        </w:rPr>
        <w:t>人工智能综合实验室建设项目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rPr>
        <w:t>ZJXL-HSY-202204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pPr>
        <w:snapToGrid w:val="0"/>
        <w:spacing w:line="360" w:lineRule="auto"/>
        <w:rPr>
          <w:rFonts w:cs="仿宋_GB2312" w:asciiTheme="minorEastAsia" w:hAnsiTheme="minorEastAsia" w:eastAsiaTheme="minorEastAsia"/>
          <w:kern w:val="0"/>
          <w:sz w:val="24"/>
        </w:rPr>
      </w:pPr>
      <w:r>
        <w:rPr>
          <w:rFonts w:cs="仿宋_GB2312" w:asciiTheme="minorEastAsia" w:hAnsiTheme="minorEastAsia" w:eastAsiaTheme="minorEastAsia"/>
          <w:kern w:val="0"/>
          <w:sz w:val="24"/>
          <w:lang w:val="zh-CN"/>
        </w:rPr>
        <w:t xml:space="preserve">                                                 投标人名称(电子签名)：</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签发日期：  年  月   日</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sz w:val="24"/>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授权委托书（适用于联合体投标）</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浙江工商大学杭州商学院、浙江信镧建设工程咨询有限公司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现</w:t>
      </w:r>
      <w:r>
        <w:rPr>
          <w:rFonts w:hint="eastAsia" w:cs="仿宋_GB2312" w:asciiTheme="minorEastAsia" w:hAnsiTheme="minorEastAsia" w:eastAsiaTheme="minorEastAsia"/>
          <w:kern w:val="0"/>
          <w:sz w:val="24"/>
          <w:lang w:val="zh-CN"/>
        </w:rPr>
        <w:t>委托（姓名）为我方代理人（身份证号码：，手机：），以我方名义处理</w:t>
      </w:r>
      <w:r>
        <w:rPr>
          <w:rFonts w:hint="eastAsia" w:cs="仿宋_GB2312" w:asciiTheme="minorEastAsia" w:hAnsiTheme="minorEastAsia" w:eastAsiaTheme="minorEastAsia"/>
          <w:sz w:val="24"/>
          <w:lang w:eastAsia="zh-CN"/>
        </w:rPr>
        <w:t>人工智能综合实验室建设项目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rPr>
        <w:t>ZJXL-HSY-202204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政府采购投标的一切事项，其法律后果由我方承担。</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委托期限</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自年月日起至年月日止。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特此告知。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rPr>
          <w:rFonts w:asciiTheme="minorEastAsia" w:hAnsiTheme="minorEastAsia" w:eastAsiaTheme="minorEastAsia"/>
        </w:rPr>
      </w:pP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autoSpaceDE w:val="0"/>
        <w:autoSpaceDN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kern w:val="0"/>
          <w:sz w:val="32"/>
          <w:szCs w:val="32"/>
          <w:lang w:val="zh-CN"/>
        </w:rPr>
        <w:t>法定代表人、单位负责人或自然人本人</w:t>
      </w:r>
      <w:r>
        <w:rPr>
          <w:rFonts w:hint="eastAsia" w:cs="仿宋_GB2312" w:asciiTheme="minorEastAsia" w:hAnsiTheme="minorEastAsia" w:eastAsiaTheme="minorEastAsia"/>
          <w:b/>
          <w:sz w:val="30"/>
          <w:szCs w:val="30"/>
        </w:rPr>
        <w:t>的身份证明（适用于法定代表人、单位负责人或者自然人本人代表投标人参加投标）</w:t>
      </w:r>
    </w:p>
    <w:p>
      <w:pPr>
        <w:pStyle w:val="147"/>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147"/>
              <w:adjustRightInd w:val="0"/>
              <w:spacing w:line="360" w:lineRule="auto"/>
              <w:rPr>
                <w:rFonts w:asciiTheme="minorEastAsia" w:hAnsiTheme="minorEastAsia" w:eastAsiaTheme="minorEastAsia"/>
                <w:bCs/>
                <w:sz w:val="24"/>
              </w:rPr>
            </w:pPr>
          </w:p>
        </w:tc>
      </w:tr>
    </w:tbl>
    <w:p>
      <w:pPr>
        <w:snapToGrid w:val="0"/>
        <w:spacing w:line="360" w:lineRule="auto"/>
        <w:ind w:firstLine="576"/>
        <w:jc w:val="center"/>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                              </w:t>
      </w:r>
    </w:p>
    <w:p>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pStyle w:val="6"/>
        <w:ind w:left="0" w:firstLine="0"/>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rPr>
        <w:t>三、</w:t>
      </w:r>
      <w:r>
        <w:rPr>
          <w:rFonts w:hint="eastAsia" w:cs="仿宋_GB2312" w:asciiTheme="minorEastAsia" w:hAnsiTheme="minorEastAsia" w:eastAsiaTheme="minorEastAsia"/>
          <w:b/>
          <w:kern w:val="0"/>
          <w:sz w:val="32"/>
          <w:szCs w:val="32"/>
          <w:lang w:val="zh-CN"/>
        </w:rPr>
        <w:t>联合协议</w:t>
      </w:r>
    </w:p>
    <w:p>
      <w:pPr>
        <w:widowControl/>
        <w:spacing w:line="360" w:lineRule="auto"/>
        <w:ind w:firstLine="482" w:firstLineChars="20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（以联合体形式投标的，提供联合协议；本项目不接受联合体投标或者投标人不以联合体形式投标的，则不需要提供）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（联合体所有成员名称）</w:t>
      </w:r>
      <w:r>
        <w:rPr>
          <w:rFonts w:hint="eastAsia" w:cs="仿宋_GB2312" w:asciiTheme="minorEastAsia" w:hAnsiTheme="minorEastAsia" w:eastAsiaTheme="minorEastAsia"/>
          <w:kern w:val="0"/>
          <w:sz w:val="24"/>
        </w:rPr>
        <w:t>自愿</w:t>
      </w:r>
      <w:r>
        <w:rPr>
          <w:rFonts w:hint="eastAsia" w:cs="仿宋_GB2312" w:asciiTheme="minorEastAsia" w:hAnsiTheme="minorEastAsia" w:eastAsiaTheme="minorEastAsia"/>
          <w:kern w:val="0"/>
          <w:sz w:val="24"/>
          <w:lang w:val="zh-CN"/>
        </w:rPr>
        <w:t>组成一个联合体，以一个投标人的身份</w:t>
      </w:r>
      <w:r>
        <w:rPr>
          <w:rFonts w:hint="eastAsia" w:cs="仿宋_GB2312" w:asciiTheme="minorEastAsia" w:hAnsiTheme="minorEastAsia" w:eastAsiaTheme="minorEastAsia"/>
          <w:kern w:val="0"/>
          <w:sz w:val="24"/>
        </w:rPr>
        <w:t>参加</w:t>
      </w:r>
      <w:r>
        <w:rPr>
          <w:rFonts w:hint="eastAsia" w:cs="仿宋_GB2312" w:asciiTheme="minorEastAsia" w:hAnsiTheme="minorEastAsia" w:eastAsiaTheme="minorEastAsia"/>
          <w:sz w:val="24"/>
          <w:lang w:eastAsia="zh-CN"/>
        </w:rPr>
        <w:t>人工智能综合实验室建设项目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rPr>
        <w:t>ZJXL-HSY-202204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投标。</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一、各方一致决定，</w:t>
      </w:r>
      <w:r>
        <w:rPr>
          <w:rFonts w:hint="eastAsia" w:cs="仿宋_GB2312" w:asciiTheme="minorEastAsia" w:hAnsiTheme="minorEastAsia" w:eastAsiaTheme="minorEastAsia"/>
          <w:kern w:val="0"/>
          <w:sz w:val="24"/>
          <w:u w:val="single"/>
        </w:rPr>
        <w:t>（某联合体成员名称）</w:t>
      </w:r>
      <w:r>
        <w:rPr>
          <w:rFonts w:hint="eastAsia" w:cs="仿宋_GB2312" w:asciiTheme="minorEastAsia" w:hAnsiTheme="minorEastAsia" w:eastAsiaTheme="minorEastAsia"/>
          <w:kern w:val="0"/>
          <w:sz w:val="24"/>
        </w:rPr>
        <w:t>为联合体</w:t>
      </w:r>
      <w:r>
        <w:rPr>
          <w:rFonts w:hint="eastAsia" w:cs="仿宋_GB2312" w:asciiTheme="minorEastAsia" w:hAnsiTheme="minorEastAsia" w:eastAsiaTheme="minorEastAsia"/>
          <w:kern w:val="0"/>
          <w:sz w:val="24"/>
          <w:lang w:val="zh-CN"/>
        </w:rPr>
        <w:t>牵头人</w:t>
      </w:r>
      <w:r>
        <w:rPr>
          <w:rFonts w:hint="eastAsia" w:cs="Arial" w:asciiTheme="minorEastAsia" w:hAnsiTheme="minorEastAsia" w:eastAsiaTheme="minorEastAsia"/>
          <w:sz w:val="24"/>
        </w:rPr>
        <w:t>，代表所有联合体成员负责投标和合同实施阶段的主办、协调工作</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w:t>
      </w:r>
      <w:r>
        <w:rPr>
          <w:rFonts w:hint="eastAsia" w:cs="Arial" w:asciiTheme="minorEastAsia" w:hAnsiTheme="minorEastAsia" w:eastAsiaTheme="minorEastAsia"/>
          <w:sz w:val="24"/>
        </w:rPr>
        <w:t>所有联合体成员各方签署授权书，授权书载明的</w:t>
      </w:r>
      <w:r>
        <w:rPr>
          <w:rFonts w:hint="eastAsia" w:cs="仿宋_GB2312"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三、本次联合投标中，分工如下：</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lang w:val="zh-CN"/>
        </w:rPr>
        <w:t>承担的工作和义务为：；</w:t>
      </w:r>
      <w:r>
        <w:rPr>
          <w:rFonts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kern w:val="0"/>
          <w:sz w:val="24"/>
          <w:lang w:val="zh-CN"/>
        </w:rPr>
        <w:t>四、</w:t>
      </w:r>
      <w:r>
        <w:rPr>
          <w:rFonts w:hint="eastAsia" w:cs="仿宋_GB2312" w:asciiTheme="minorEastAsia" w:hAnsiTheme="minorEastAsia" w:eastAsiaTheme="minorEastAsia"/>
          <w:kern w:val="0"/>
          <w:sz w:val="24"/>
          <w:u w:val="single"/>
        </w:rPr>
        <w:t>（联合体其中一方成员名称）</w:t>
      </w:r>
      <w:r>
        <w:rPr>
          <w:rFonts w:hint="eastAsia" w:cs="仿宋_GB2312" w:asciiTheme="minorEastAsia" w:hAnsiTheme="minorEastAsia" w:eastAsiaTheme="minorEastAsia"/>
          <w:kern w:val="0"/>
          <w:sz w:val="24"/>
        </w:rPr>
        <w:t>提供的全部货物由小微企业制造，其合同份额占到合同总金额</w:t>
      </w:r>
      <w:r>
        <w:rPr>
          <w:rFonts w:cs="仿宋_GB2312" w:asciiTheme="minorEastAsia" w:hAnsiTheme="minorEastAsia" w:eastAsiaTheme="minorEastAsia"/>
          <w:kern w:val="0"/>
          <w:sz w:val="24"/>
        </w:rPr>
        <w:t>%以上；</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cs="仿宋_GB2312" w:asciiTheme="minorEastAsia" w:hAnsiTheme="minorEastAsia" w:eastAsiaTheme="minorEastAsia"/>
          <w:b/>
          <w:kern w:val="0"/>
          <w:sz w:val="24"/>
          <w:lang w:val="zh-CN"/>
        </w:rPr>
        <w:t xml:space="preserve"> 30%以上</w:t>
      </w:r>
      <w:r>
        <w:rPr>
          <w:rFonts w:hint="eastAsia" w:cs="仿宋_GB2312" w:asciiTheme="minorEastAsia" w:hAnsiTheme="minorEastAsia" w:eastAsiaTheme="minorEastAsia"/>
          <w:b/>
          <w:kern w:val="0"/>
          <w:sz w:val="24"/>
          <w:lang w:val="zh-CN"/>
        </w:rPr>
        <w:t>，对联合体报价给予</w:t>
      </w:r>
      <w:r>
        <w:rPr>
          <w:rFonts w:hint="eastAsia" w:cs="仿宋_GB2312" w:asciiTheme="minorEastAsia" w:hAnsiTheme="minorEastAsia" w:eastAsiaTheme="minorEastAsia"/>
          <w:b/>
          <w:kern w:val="0"/>
          <w:sz w:val="24"/>
        </w:rPr>
        <w:t>6</w:t>
      </w:r>
      <w:r>
        <w:rPr>
          <w:rFonts w:cs="仿宋_GB2312" w:asciiTheme="minorEastAsia" w:hAnsiTheme="minorEastAsia" w:eastAsiaTheme="minorEastAsia"/>
          <w:b/>
          <w:kern w:val="0"/>
          <w:sz w:val="24"/>
          <w:lang w:val="zh-CN"/>
        </w:rPr>
        <w:t>%的扣除</w:t>
      </w:r>
      <w:r>
        <w:rPr>
          <w:rFonts w:hint="eastAsia" w:cs="仿宋_GB2312" w:asciiTheme="minorEastAsia" w:hAnsiTheme="minorEastAsia" w:eastAsiaTheme="minorEastAsia"/>
          <w:b/>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五、如果中标，</w:t>
      </w:r>
      <w:r>
        <w:rPr>
          <w:rFonts w:hint="eastAsia"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六、有关本次联合投标的其他事宜：</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1、联合体各方不再单独参加或者与其</w:t>
      </w:r>
      <w:r>
        <w:rPr>
          <w:rFonts w:hint="eastAsia" w:cs="仿宋_GB2312" w:asciiTheme="minorEastAsia" w:hAnsiTheme="minorEastAsia" w:eastAsiaTheme="minorEastAsia"/>
          <w:kern w:val="0"/>
          <w:sz w:val="24"/>
          <w:lang w:val="zh-CN"/>
        </w:rPr>
        <w:t>他供应商另外组成联合体参加同一合同项下的政府采购活动。</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联合体成员名称</w:t>
      </w:r>
      <w:r>
        <w:rPr>
          <w:rFonts w:cs="仿宋_GB2312" w:asciiTheme="minorEastAsia" w:hAnsiTheme="minorEastAsia" w:eastAsiaTheme="minorEastAsia"/>
          <w:kern w:val="0"/>
          <w:sz w:val="24"/>
          <w:lang w:val="zh-CN"/>
        </w:rPr>
        <w:t>(电子签名/公章)：</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snapToGrid w:val="0"/>
        <w:spacing w:line="360" w:lineRule="auto"/>
        <w:ind w:right="480"/>
        <w:rPr>
          <w:rFonts w:cs="仿宋_GB2312" w:asciiTheme="minorEastAsia" w:hAnsiTheme="minorEastAsia" w:eastAsiaTheme="minorEastAsia"/>
          <w:b/>
          <w:kern w:val="0"/>
          <w:sz w:val="32"/>
          <w:szCs w:val="32"/>
          <w:lang w:val="zh-CN"/>
        </w:rPr>
        <w:sectPr>
          <w:pgSz w:w="11906" w:h="16838"/>
          <w:pgMar w:top="1276" w:right="1418" w:bottom="1247" w:left="1418" w:header="851" w:footer="992" w:gutter="0"/>
          <w:cols w:space="720" w:num="1"/>
          <w:titlePg/>
          <w:docGrid w:linePitch="312" w:charSpace="0"/>
        </w:sectPr>
      </w:pPr>
    </w:p>
    <w:p>
      <w:pPr>
        <w:adjustRightInd/>
        <w:snapToGrid w:val="0"/>
        <w:spacing w:line="360" w:lineRule="auto"/>
        <w:ind w:firstLine="3534" w:firstLineChars="110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四、分包意向协议</w:t>
      </w:r>
    </w:p>
    <w:p>
      <w:pPr>
        <w:widowControl/>
        <w:adjustRightInd/>
        <w:spacing w:line="360" w:lineRule="auto"/>
        <w:ind w:firstLine="120" w:firstLineChars="5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仿宋_GB2312" w:asciiTheme="minorEastAsia" w:hAnsiTheme="minorEastAsia" w:eastAsiaTheme="minorEastAsia"/>
          <w:sz w:val="24"/>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若成为</w:t>
      </w:r>
      <w:r>
        <w:rPr>
          <w:rFonts w:hint="eastAsia" w:cs="仿宋_GB2312" w:asciiTheme="minorEastAsia" w:hAnsiTheme="minorEastAsia" w:eastAsiaTheme="minorEastAsia"/>
          <w:sz w:val="24"/>
          <w:lang w:eastAsia="zh-CN"/>
        </w:rPr>
        <w:t>人工智能综合实验室建设项目</w:t>
      </w:r>
      <w:r>
        <w:rPr>
          <w:rFonts w:hint="eastAsia" w:cs="仿宋_GB2312" w:asciiTheme="minorEastAsia" w:hAnsiTheme="minorEastAsia" w:eastAsiaTheme="minorEastAsia"/>
          <w:sz w:val="24"/>
        </w:rPr>
        <w:t>【招标编号：</w:t>
      </w:r>
      <w:r>
        <w:rPr>
          <w:rFonts w:hint="eastAsia" w:asciiTheme="minorEastAsia" w:hAnsiTheme="minorEastAsia" w:eastAsiaTheme="minorEastAsia"/>
          <w:sz w:val="24"/>
        </w:rPr>
        <w:t>ZJXL-HSY-202204</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的中标供应商，将依法采取分包方式履行合同。</w:t>
      </w: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rPr>
        <w:t>与</w:t>
      </w:r>
      <w:r>
        <w:rPr>
          <w:rFonts w:hint="eastAsia" w:cs="仿宋_GB2312" w:asciiTheme="minorEastAsia" w:hAnsiTheme="minorEastAsia" w:eastAsiaTheme="minorEastAsia"/>
          <w:kern w:val="0"/>
          <w:sz w:val="24"/>
          <w:u w:val="single"/>
        </w:rPr>
        <w:t>（所有分包供应商名称）</w:t>
      </w:r>
      <w:r>
        <w:rPr>
          <w:rFonts w:hint="eastAsia" w:cs="仿宋_GB2312" w:asciiTheme="minorEastAsia" w:hAnsiTheme="minorEastAsia" w:eastAsiaTheme="minorEastAsia"/>
          <w:kern w:val="0"/>
          <w:sz w:val="24"/>
        </w:rPr>
        <w:t>达成分包意向协议</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一、分包标的及数量</w:t>
      </w: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u w:val="single"/>
        </w:rPr>
        <w:t>（投标人名称）</w:t>
      </w:r>
      <w:r>
        <w:rPr>
          <w:rFonts w:hint="eastAsia" w:cs="仿宋_GB2312" w:asciiTheme="minorEastAsia" w:hAnsiTheme="minorEastAsia" w:eastAsiaTheme="minorEastAsia"/>
          <w:kern w:val="0"/>
          <w:sz w:val="24"/>
          <w:lang w:val="zh-CN"/>
        </w:rPr>
        <w:t>将</w:t>
      </w:r>
      <w:r>
        <w:rPr>
          <w:rFonts w:asciiTheme="minorEastAsia" w:hAnsiTheme="minorEastAsia" w:eastAsiaTheme="minorEastAsia"/>
          <w:u w:val="single"/>
        </w:rPr>
        <w:t xml:space="preserve">   XX工作内容   </w:t>
      </w:r>
      <w:r>
        <w:rPr>
          <w:rFonts w:hint="eastAsia" w:cs="Arial" w:asciiTheme="minorEastAsia" w:hAnsiTheme="minorEastAsia" w:eastAsiaTheme="minorEastAsia"/>
          <w:sz w:val="24"/>
        </w:rPr>
        <w:t>分包给</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u w:val="single"/>
        </w:rPr>
        <w:t>（某分包供应商名称），</w:t>
      </w:r>
      <w:r>
        <w:rPr>
          <w:rFonts w:hint="eastAsia" w:cs="仿宋_GB2312" w:asciiTheme="minorEastAsia" w:hAnsiTheme="minorEastAsia" w:eastAsiaTheme="minorEastAsia"/>
          <w:kern w:val="0"/>
          <w:sz w:val="24"/>
          <w:lang w:val="zh-CN"/>
        </w:rPr>
        <w:t>具备承</w:t>
      </w:r>
      <w:r>
        <w:rPr>
          <w:rFonts w:hint="eastAsia" w:cs="仿宋_GB2312" w:asciiTheme="minorEastAsia" w:hAnsiTheme="minorEastAsia" w:eastAsiaTheme="minorEastAsia"/>
          <w:kern w:val="0"/>
          <w:sz w:val="24"/>
        </w:rPr>
        <w:t>担</w:t>
      </w:r>
      <w:r>
        <w:rPr>
          <w:rFonts w:cs="仿宋_GB2312" w:asciiTheme="minorEastAsia" w:hAnsiTheme="minorEastAsia" w:eastAsiaTheme="minorEastAsia"/>
          <w:kern w:val="0"/>
          <w:sz w:val="24"/>
          <w:u w:val="single"/>
          <w:lang w:val="zh-CN"/>
        </w:rPr>
        <w:t>XX工作内容</w:t>
      </w:r>
      <w:r>
        <w:rPr>
          <w:rFonts w:hint="eastAsia" w:cs="仿宋_GB2312" w:asciiTheme="minorEastAsia" w:hAnsiTheme="minorEastAsia" w:eastAsiaTheme="minorEastAsia"/>
          <w:kern w:val="0"/>
          <w:sz w:val="24"/>
          <w:lang w:val="zh-CN"/>
        </w:rPr>
        <w:t>相应资质条件且不得再次分包；</w:t>
      </w:r>
    </w:p>
    <w:p>
      <w:pPr>
        <w:pStyle w:val="5"/>
        <w:ind w:left="664" w:leftChars="316" w:firstLine="229" w:firstLineChars="95"/>
        <w:rPr>
          <w:rFonts w:asciiTheme="minorEastAsia" w:hAnsiTheme="minorEastAsia" w:eastAsiaTheme="minorEastAsia"/>
        </w:rPr>
      </w:pPr>
      <w:bookmarkStart w:id="450" w:name="_Toc25626"/>
      <w:r>
        <w:rPr>
          <w:rFonts w:hint="eastAsia" w:cs="仿宋_GB2312" w:asciiTheme="minorEastAsia" w:hAnsiTheme="minorEastAsia" w:eastAsiaTheme="minorEastAsia"/>
          <w:kern w:val="0"/>
          <w:sz w:val="24"/>
          <w:szCs w:val="24"/>
        </w:rPr>
        <w:t>……</w:t>
      </w:r>
      <w:bookmarkEnd w:id="450"/>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二、分包工作履行期限、地点、方式</w:t>
      </w:r>
    </w:p>
    <w:p>
      <w:pPr>
        <w:snapToGrid w:val="0"/>
        <w:spacing w:line="360" w:lineRule="auto"/>
        <w:ind w:firstLine="576"/>
        <w:rPr>
          <w:rFonts w:asciiTheme="minorEastAsia" w:hAnsiTheme="minorEastAsia" w:eastAsiaTheme="minorEastAsia"/>
          <w:u w:val="single"/>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三、质量</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四、价款或者报酬</w:t>
      </w:r>
    </w:p>
    <w:p>
      <w:pPr>
        <w:snapToGrid w:val="0"/>
        <w:spacing w:line="360" w:lineRule="auto"/>
        <w:ind w:left="573" w:leftChars="273"/>
        <w:rPr>
          <w:rFonts w:cs="仿宋_GB2312" w:asciiTheme="minorEastAsia" w:hAnsiTheme="minorEastAsia" w:eastAsiaTheme="minorEastAsia"/>
          <w:kern w:val="0"/>
          <w:sz w:val="24"/>
          <w:lang w:val="zh-CN"/>
        </w:rPr>
      </w:pPr>
    </w:p>
    <w:p>
      <w:pPr>
        <w:snapToGrid w:val="0"/>
        <w:spacing w:line="360" w:lineRule="auto"/>
        <w:ind w:left="573" w:leftChars="273"/>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五、违约责任</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六、争议解决的办法</w:t>
      </w:r>
    </w:p>
    <w:p>
      <w:pPr>
        <w:snapToGrid w:val="0"/>
        <w:spacing w:line="360" w:lineRule="auto"/>
        <w:ind w:firstLine="576"/>
        <w:rPr>
          <w:rFonts w:cs="仿宋_GB2312" w:asciiTheme="minorEastAsia" w:hAnsiTheme="minorEastAsia" w:eastAsiaTheme="minorEastAsia"/>
          <w:kern w:val="0"/>
          <w:sz w:val="24"/>
          <w:lang w:val="zh-CN"/>
        </w:rPr>
      </w:pPr>
    </w:p>
    <w:p>
      <w:pPr>
        <w:snapToGrid w:val="0"/>
        <w:spacing w:line="360" w:lineRule="auto"/>
        <w:ind w:firstLine="576"/>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七、其他</w:t>
      </w:r>
    </w:p>
    <w:p>
      <w:pPr>
        <w:snapToGrid w:val="0"/>
        <w:spacing w:line="360" w:lineRule="auto"/>
        <w:ind w:firstLine="576"/>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kern w:val="0"/>
          <w:sz w:val="24"/>
          <w:u w:val="single"/>
        </w:rPr>
        <w:t>（分包供应商名称）提供的货物全部由小微企业制造，</w:t>
      </w:r>
      <w:r>
        <w:rPr>
          <w:rFonts w:hint="eastAsia" w:cs="仿宋_GB2312" w:asciiTheme="minorEastAsia" w:hAnsiTheme="minorEastAsia" w:eastAsiaTheme="minorEastAsia"/>
          <w:kern w:val="0"/>
          <w:sz w:val="24"/>
        </w:rPr>
        <w:t>其合同份额占到合同总金额</w:t>
      </w:r>
      <w:r>
        <w:rPr>
          <w:rFonts w:cs="仿宋_GB2312" w:asciiTheme="minorEastAsia" w:hAnsiTheme="minorEastAsia" w:eastAsiaTheme="minorEastAsia"/>
          <w:kern w:val="0"/>
          <w:sz w:val="24"/>
        </w:rPr>
        <w:t>%以上</w:t>
      </w:r>
      <w:r>
        <w:rPr>
          <w:rFonts w:hint="eastAsia" w:asciiTheme="minorEastAsia" w:hAnsiTheme="minorEastAsia" w:eastAsiaTheme="minorEastAsia"/>
        </w:rPr>
        <w:t>。</w:t>
      </w:r>
      <w:r>
        <w:rPr>
          <w:rFonts w:hint="eastAsia" w:cs="仿宋_GB2312" w:asciiTheme="minorEastAsia" w:hAnsiTheme="minorEastAsia" w:eastAsiaTheme="minor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asciiTheme="minorEastAsia" w:hAnsiTheme="minorEastAsia" w:eastAsiaTheme="minorEastAsia"/>
          <w:b/>
          <w:kern w:val="0"/>
          <w:sz w:val="24"/>
          <w:lang w:val="zh-CN"/>
        </w:rPr>
        <w:t xml:space="preserve"> 30%以上</w:t>
      </w:r>
      <w:r>
        <w:rPr>
          <w:rFonts w:hint="eastAsia" w:cs="仿宋_GB2312" w:asciiTheme="minorEastAsia" w:hAnsiTheme="minorEastAsia" w:eastAsiaTheme="minorEastAsia"/>
          <w:b/>
          <w:kern w:val="0"/>
          <w:sz w:val="24"/>
          <w:lang w:val="zh-CN"/>
        </w:rPr>
        <w:t>的，对大中型企业的报价给予</w:t>
      </w:r>
      <w:r>
        <w:rPr>
          <w:rFonts w:hint="eastAsia" w:cs="仿宋_GB2312" w:asciiTheme="minorEastAsia" w:hAnsiTheme="minorEastAsia" w:eastAsiaTheme="minorEastAsia"/>
          <w:b/>
          <w:kern w:val="0"/>
          <w:sz w:val="24"/>
        </w:rPr>
        <w:t>6</w:t>
      </w:r>
      <w:r>
        <w:rPr>
          <w:rFonts w:cs="仿宋_GB2312" w:asciiTheme="minorEastAsia" w:hAnsiTheme="minorEastAsia" w:eastAsiaTheme="minorEastAsia"/>
          <w:b/>
          <w:kern w:val="0"/>
          <w:sz w:val="24"/>
          <w:lang w:val="zh-CN"/>
        </w:rPr>
        <w:t>%的扣除</w:t>
      </w:r>
      <w:r>
        <w:rPr>
          <w:rFonts w:hint="eastAsia" w:cs="仿宋_GB2312" w:asciiTheme="minorEastAsia" w:hAnsiTheme="minorEastAsia" w:eastAsiaTheme="minorEastAsia"/>
          <w:b/>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w:t>
      </w:r>
    </w:p>
    <w:p>
      <w:pPr>
        <w:snapToGrid w:val="0"/>
        <w:spacing w:line="360" w:lineRule="auto"/>
        <w:ind w:firstLine="5640" w:firstLineChars="23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分包供应商名称：</w:t>
      </w:r>
    </w:p>
    <w:p>
      <w:pPr>
        <w:snapToGrid w:val="0"/>
        <w:spacing w:line="360" w:lineRule="auto"/>
        <w:ind w:firstLine="5760" w:firstLineChars="2400"/>
        <w:rPr>
          <w:rFonts w:asciiTheme="minorEastAsia" w:hAnsiTheme="minorEastAsia" w:eastAsiaTheme="minorEastAsia"/>
        </w:rPr>
      </w:pPr>
      <w:r>
        <w:rPr>
          <w:rFonts w:hint="eastAsia" w:cs="仿宋_GB2312" w:asciiTheme="minorEastAsia" w:hAnsiTheme="minorEastAsia" w:eastAsiaTheme="minorEastAsia"/>
          <w:kern w:val="0"/>
          <w:sz w:val="24"/>
          <w:lang w:val="zh-CN"/>
        </w:rPr>
        <w:t>……</w:t>
      </w:r>
    </w:p>
    <w:p>
      <w:pPr>
        <w:snapToGrid w:val="0"/>
        <w:spacing w:line="360" w:lineRule="auto"/>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五、符合性审查资料</w:t>
      </w:r>
    </w:p>
    <w:p>
      <w:pPr>
        <w:jc w:val="center"/>
        <w:rPr>
          <w:rFonts w:cs="仿宋_GB2312" w:asciiTheme="minorEastAsia" w:hAnsiTheme="minorEastAsia"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4991"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实质性要求</w:t>
            </w:r>
          </w:p>
        </w:tc>
        <w:tc>
          <w:tcPr>
            <w:tcW w:w="2551"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投标文件中的</w:t>
            </w:r>
          </w:p>
          <w:p>
            <w:pPr>
              <w:snapToGrid w:val="0"/>
              <w:spacing w:line="240" w:lineRule="atLeast"/>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投标文件按照招标文件要求签署、盖章。</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需要使用电子签名或者签字盖章的投标文件的组成部分</w:t>
            </w:r>
          </w:p>
        </w:tc>
        <w:tc>
          <w:tcPr>
            <w:tcW w:w="1418" w:type="dxa"/>
          </w:tcPr>
          <w:p>
            <w:pPr>
              <w:rPr>
                <w:rFonts w:cs="仿宋_GB2312" w:asciiTheme="minorEastAsia" w:hAnsiTheme="minorEastAsia" w:eastAsiaTheme="minorEastAsia"/>
                <w:sz w:val="24"/>
              </w:rPr>
            </w:pPr>
          </w:p>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节能产品认证证书（本项目拟采购的产品不属于政府强制采购的节能产品品目清单范围的，无需提供）</w:t>
            </w:r>
          </w:p>
        </w:tc>
        <w:tc>
          <w:tcPr>
            <w:tcW w:w="1418" w:type="dxa"/>
          </w:tcPr>
          <w:p>
            <w:pPr>
              <w:rPr>
                <w:rFonts w:cs="仿宋_GB2312" w:asciiTheme="minorEastAsia" w:hAnsiTheme="minorEastAsia" w:eastAsiaTheme="minorEastAsia"/>
                <w:sz w:val="24"/>
              </w:rPr>
            </w:pPr>
          </w:p>
          <w:p>
            <w:pPr>
              <w:rPr>
                <w:rFonts w:cs="仿宋_GB2312" w:asciiTheme="minorEastAsia" w:hAnsiTheme="minorEastAsia" w:eastAsiaTheme="minorEastAsia"/>
                <w:sz w:val="24"/>
              </w:rPr>
            </w:pPr>
          </w:p>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w:t>
            </w:r>
          </w:p>
          <w:p>
            <w:pPr>
              <w:pStyle w:val="5"/>
              <w:rPr>
                <w:rFonts w:cs="仿宋_GB2312" w:asciiTheme="minorEastAsia" w:hAnsiTheme="minorEastAsia" w:eastAsiaTheme="minorEastAsia"/>
                <w:sz w:val="24"/>
                <w:szCs w:val="24"/>
                <w:lang w:val="en-US"/>
              </w:rPr>
            </w:pPr>
            <w:bookmarkStart w:id="451" w:name="_Toc14658"/>
            <w:r>
              <w:rPr>
                <w:rFonts w:hint="eastAsia" w:cs="仿宋_GB2312" w:asciiTheme="minorEastAsia" w:hAnsiTheme="minorEastAsia" w:eastAsiaTheme="minorEastAsia"/>
                <w:b w:val="0"/>
                <w:bCs w:val="0"/>
                <w:sz w:val="24"/>
                <w:szCs w:val="24"/>
                <w:lang w:val="en-US"/>
              </w:rPr>
              <w:t>第页</w:t>
            </w:r>
            <w:bookmarkEnd w:id="4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投标文件中承诺的投标有效期不少于招标文件中载明的投标有效期。</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投标函</w:t>
            </w:r>
          </w:p>
        </w:tc>
        <w:tc>
          <w:tcPr>
            <w:tcW w:w="1418" w:type="dxa"/>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4991" w:type="dxa"/>
          </w:tcPr>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投标文件满足招标文件的其它实质性要求。</w:t>
            </w:r>
          </w:p>
        </w:tc>
        <w:tc>
          <w:tcPr>
            <w:tcW w:w="2551" w:type="dxa"/>
            <w:vAlign w:val="center"/>
          </w:tcPr>
          <w:p>
            <w:pP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tcPr>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见投标文件第页</w:t>
            </w:r>
          </w:p>
        </w:tc>
      </w:tr>
    </w:tbl>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asciiTheme="minorEastAsia" w:hAnsiTheme="minorEastAsia" w:eastAsiaTheme="minorEastAsia"/>
        </w:rPr>
      </w:pPr>
      <w:r>
        <w:rPr>
          <w:rFonts w:hint="eastAsia" w:cs="仿宋_GB2312" w:asciiTheme="minorEastAsia" w:hAnsiTheme="minorEastAsia" w:eastAsiaTheme="minorEastAsia"/>
          <w:b/>
          <w:kern w:val="0"/>
          <w:sz w:val="32"/>
          <w:szCs w:val="32"/>
        </w:rPr>
        <w:t>六、评标标准相应的商务技术资料</w:t>
      </w:r>
    </w:p>
    <w:p>
      <w:pPr>
        <w:snapToGrid w:val="0"/>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（按招标文件第四部分评标办法中“投标文件中评标标准相应的商务技术资料目录”提供资料）</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3683"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招标文件章节及具体内容</w:t>
            </w:r>
          </w:p>
        </w:tc>
        <w:tc>
          <w:tcPr>
            <w:tcW w:w="3546"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投标文件章节及具体内容</w:t>
            </w:r>
          </w:p>
        </w:tc>
        <w:tc>
          <w:tcPr>
            <w:tcW w:w="1276" w:type="dxa"/>
          </w:tcPr>
          <w:p>
            <w:pPr>
              <w:jc w:val="center"/>
              <w:rPr>
                <w:rFonts w:asciiTheme="minorEastAsia" w:hAnsiTheme="minorEastAsia" w:eastAsiaTheme="minorEastAsia"/>
                <w:b/>
                <w:bCs/>
                <w:sz w:val="24"/>
              </w:rPr>
            </w:pPr>
            <w:r>
              <w:rPr>
                <w:rFonts w:hint="eastAsia"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2</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p>
        </w:tc>
        <w:tc>
          <w:tcPr>
            <w:tcW w:w="3683" w:type="dxa"/>
          </w:tcPr>
          <w:p>
            <w:pPr>
              <w:jc w:val="center"/>
              <w:rPr>
                <w:rFonts w:cs="仿宋_GB2312" w:asciiTheme="minorEastAsia" w:hAnsiTheme="minorEastAsia" w:eastAsiaTheme="minorEastAsia"/>
                <w:b/>
                <w:kern w:val="0"/>
                <w:sz w:val="32"/>
                <w:szCs w:val="32"/>
              </w:rPr>
            </w:pPr>
          </w:p>
        </w:tc>
        <w:tc>
          <w:tcPr>
            <w:tcW w:w="3546" w:type="dxa"/>
          </w:tcPr>
          <w:p>
            <w:pPr>
              <w:jc w:val="center"/>
              <w:rPr>
                <w:rFonts w:cs="仿宋_GB2312" w:asciiTheme="minorEastAsia" w:hAnsiTheme="minorEastAsia" w:eastAsiaTheme="minorEastAsia"/>
                <w:b/>
                <w:kern w:val="0"/>
                <w:sz w:val="32"/>
                <w:szCs w:val="32"/>
              </w:rPr>
            </w:pPr>
          </w:p>
        </w:tc>
        <w:tc>
          <w:tcPr>
            <w:tcW w:w="1276" w:type="dxa"/>
          </w:tcPr>
          <w:p>
            <w:pPr>
              <w:jc w:val="center"/>
              <w:rPr>
                <w:rFonts w:cs="仿宋_GB2312" w:asciiTheme="minorEastAsia" w:hAnsiTheme="minorEastAsia" w:eastAsiaTheme="minorEastAsia"/>
                <w:b/>
                <w:kern w:val="0"/>
                <w:sz w:val="32"/>
                <w:szCs w:val="32"/>
              </w:rPr>
            </w:pPr>
          </w:p>
        </w:tc>
      </w:tr>
    </w:tbl>
    <w:p>
      <w:pPr>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投标人保证：除商务技术偏离表列出的偏离外，投标人响应招标文件的全部要求</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autoSpaceDE w:val="0"/>
        <w:autoSpaceDN w:val="0"/>
        <w:spacing w:line="360" w:lineRule="auto"/>
        <w:ind w:right="1120" w:firstLine="5280" w:firstLineChars="2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jc w:val="center"/>
        <w:rPr>
          <w:rFonts w:cs="仿宋_GB2312" w:asciiTheme="minorEastAsia" w:hAnsiTheme="minorEastAsia" w:eastAsiaTheme="minorEastAsia"/>
          <w:b/>
          <w:kern w:val="0"/>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asciiTheme="minorEastAsia" w:hAnsiTheme="minorEastAsia" w:eastAsiaTheme="minorEastAsia"/>
          <w:b/>
          <w:bCs/>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2891" w:firstLineChars="900"/>
        <w:rPr>
          <w:rFonts w:cs="仿宋_GB2312" w:asciiTheme="minorEastAsia" w:hAnsiTheme="minorEastAsia" w:eastAsiaTheme="minorEastAsia"/>
          <w:b/>
          <w:kern w:val="0"/>
          <w:sz w:val="32"/>
          <w:szCs w:val="32"/>
        </w:rPr>
      </w:pPr>
    </w:p>
    <w:p>
      <w:pPr>
        <w:ind w:firstLine="1911" w:firstLineChars="595"/>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八、</w:t>
      </w:r>
      <w:r>
        <w:rPr>
          <w:rFonts w:hint="eastAsia" w:cs="仿宋_GB2312" w:asciiTheme="minorEastAsia" w:hAnsiTheme="minorEastAsia" w:eastAsiaTheme="minorEastAsia"/>
          <w:b/>
          <w:kern w:val="0"/>
          <w:sz w:val="32"/>
          <w:szCs w:val="32"/>
          <w:lang w:val="zh-CN"/>
        </w:rPr>
        <w:t>政府采购供应商廉洁自律承诺书</w:t>
      </w:r>
    </w:p>
    <w:p>
      <w:pPr>
        <w:snapToGrid w:val="0"/>
        <w:spacing w:line="360" w:lineRule="auto"/>
        <w:rPr>
          <w:rFonts w:cs="仿宋_GB2312" w:asciiTheme="minorEastAsia" w:hAnsiTheme="minorEastAsia" w:eastAsiaTheme="minorEastAsia"/>
          <w:sz w:val="24"/>
        </w:rPr>
      </w:pP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浙江工商大学杭州商学院、浙江信镧建设工程咨询有限公司</w:t>
      </w:r>
      <w:r>
        <w:rPr>
          <w:rFonts w:hint="eastAsia" w:cs="仿宋_GB2312"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六、严格遵守《</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政府采购法》《</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招标投标</w:t>
      </w:r>
    </w:p>
    <w:p>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法》</w:t>
      </w:r>
      <w:r>
        <w:rPr>
          <w:rFonts w:hint="eastAsia" w:asciiTheme="minorEastAsia" w:hAnsiTheme="minorEastAsia" w:eastAsiaTheme="minorEastAsia"/>
          <w:sz w:val="24"/>
          <w:lang w:val="zh-CN"/>
        </w:rPr>
        <w:t>《中华人民共和国民法典》</w:t>
      </w:r>
      <w:r>
        <w:rPr>
          <w:rFonts w:hint="eastAsia" w:cs="仿宋_GB2312" w:asciiTheme="minorEastAsia" w:hAnsiTheme="minorEastAsia" w:eastAsiaTheme="minorEastAsia"/>
          <w:kern w:val="0"/>
          <w:sz w:val="24"/>
          <w:lang w:val="zh-CN"/>
        </w:rPr>
        <w:t>等法律法规，诚实守信，合法经营，坚决抵制各种违法违纪行为。</w:t>
      </w:r>
    </w:p>
    <w:p>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jc w:val="left"/>
        <w:rPr>
          <w:rFonts w:cs="仿宋_GB2312"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pPr>
        <w:spacing w:line="360" w:lineRule="auto"/>
        <w:jc w:val="center"/>
        <w:rPr>
          <w:rFonts w:cs="仿宋_GB2312" w:asciiTheme="minorEastAsia" w:hAnsiTheme="minorEastAsia" w:eastAsiaTheme="minorEastAsia"/>
          <w:b/>
          <w:bCs/>
          <w:sz w:val="24"/>
        </w:rPr>
      </w:pPr>
    </w:p>
    <w:p>
      <w:pPr>
        <w:spacing w:line="360" w:lineRule="auto"/>
        <w:jc w:val="center"/>
        <w:rPr>
          <w:rFonts w:cs="仿宋_GB2312" w:asciiTheme="minorEastAsia" w:hAnsiTheme="minorEastAsia" w:eastAsiaTheme="minorEastAsia"/>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仿宋_GB2312" w:asciiTheme="minorEastAsia" w:hAnsiTheme="minorEastAsia" w:eastAsiaTheme="minorEastAsia"/>
          <w:b/>
          <w:kern w:val="0"/>
          <w:sz w:val="36"/>
          <w:szCs w:val="36"/>
        </w:rPr>
      </w:pPr>
      <w:bookmarkStart w:id="452" w:name="_Toc24626"/>
      <w:r>
        <w:rPr>
          <w:rFonts w:hint="eastAsia" w:cs="仿宋_GB2312" w:asciiTheme="minorEastAsia" w:hAnsiTheme="minorEastAsia" w:eastAsiaTheme="minorEastAsia"/>
          <w:b/>
          <w:kern w:val="0"/>
          <w:sz w:val="36"/>
          <w:szCs w:val="36"/>
        </w:rPr>
        <w:t>报价文件部分</w:t>
      </w:r>
      <w:bookmarkEnd w:id="452"/>
    </w:p>
    <w:p>
      <w:pPr>
        <w:spacing w:line="360" w:lineRule="auto"/>
        <w:jc w:val="center"/>
        <w:outlineLvl w:val="0"/>
        <w:rPr>
          <w:rFonts w:cs="仿宋_GB2312" w:asciiTheme="minorEastAsia" w:hAnsiTheme="minorEastAsia" w:eastAsiaTheme="minorEastAsia"/>
          <w:b/>
          <w:kern w:val="0"/>
          <w:sz w:val="36"/>
          <w:szCs w:val="36"/>
        </w:rPr>
      </w:pPr>
      <w:bookmarkStart w:id="453" w:name="_Toc27606"/>
      <w:r>
        <w:rPr>
          <w:rFonts w:hint="eastAsia" w:cs="仿宋_GB2312" w:asciiTheme="minorEastAsia" w:hAnsiTheme="minorEastAsia" w:eastAsiaTheme="minorEastAsia"/>
          <w:b/>
          <w:kern w:val="0"/>
          <w:sz w:val="36"/>
          <w:szCs w:val="36"/>
        </w:rPr>
        <w:t>目录</w:t>
      </w:r>
      <w:bookmarkEnd w:id="453"/>
    </w:p>
    <w:p>
      <w:pPr>
        <w:spacing w:line="360" w:lineRule="auto"/>
        <w:jc w:val="center"/>
        <w:outlineLvl w:val="0"/>
        <w:rPr>
          <w:rFonts w:cs="仿宋_GB2312" w:asciiTheme="minorEastAsia" w:hAnsiTheme="minorEastAsia" w:eastAsiaTheme="minorEastAsia"/>
          <w:b/>
          <w:kern w:val="0"/>
          <w:sz w:val="36"/>
          <w:szCs w:val="36"/>
        </w:rPr>
      </w:pP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1）开标一览表（报价表）……</w:t>
      </w:r>
      <w:r>
        <w:rPr>
          <w:rFonts w:hint="eastAsia" w:cs="仿宋_GB2312" w:asciiTheme="minorEastAsia" w:hAnsiTheme="minorEastAsia" w:eastAsiaTheme="minorEastAsia"/>
          <w:sz w:val="24"/>
        </w:rPr>
        <w:t>…………………………………………………（页码）</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2）中小企业声明函……</w:t>
      </w:r>
      <w:r>
        <w:rPr>
          <w:rFonts w:hint="eastAsia" w:cs="仿宋_GB2312" w:asciiTheme="minorEastAsia" w:hAnsiTheme="minorEastAsia" w:eastAsiaTheme="minorEastAsia"/>
          <w:sz w:val="24"/>
        </w:rPr>
        <w:t>…………………………………………………………（页码）</w:t>
      </w: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snapToGrid w:val="0"/>
        <w:spacing w:line="360" w:lineRule="auto"/>
        <w:ind w:right="480"/>
        <w:jc w:val="center"/>
        <w:rPr>
          <w:rFonts w:cs="仿宋_GB2312" w:asciiTheme="minorEastAsia" w:hAnsiTheme="minorEastAsia" w:eastAsiaTheme="minorEastAsia"/>
          <w:b/>
          <w:kern w:val="0"/>
          <w:sz w:val="32"/>
          <w:szCs w:val="32"/>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bookmarkStart w:id="454" w:name="_Toc11389"/>
      <w:r>
        <w:rPr>
          <w:rFonts w:hint="eastAsia" w:cs="仿宋_GB2312" w:asciiTheme="minorEastAsia" w:hAnsiTheme="minorEastAsia" w:eastAsiaTheme="minorEastAsia"/>
          <w:kern w:val="2"/>
          <w:sz w:val="32"/>
          <w:szCs w:val="32"/>
        </w:rPr>
        <w:t>一、开标一览表（报价表）</w:t>
      </w:r>
      <w:bookmarkEnd w:id="454"/>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浙江工商大学杭州商学院、浙江信镧建设工程咨询有限公司</w:t>
      </w:r>
      <w:r>
        <w:rPr>
          <w:rFonts w:hint="eastAsia" w:cs="仿宋_GB2312" w:asciiTheme="minorEastAsia" w:hAnsiTheme="minorEastAsia" w:eastAsiaTheme="minorEastAsia"/>
          <w:kern w:val="0"/>
          <w:sz w:val="24"/>
          <w:lang w:val="zh-CN"/>
        </w:rPr>
        <w:t>：</w:t>
      </w:r>
    </w:p>
    <w:p>
      <w:pPr>
        <w:snapToGrid w:val="0"/>
        <w:spacing w:line="360" w:lineRule="auto"/>
        <w:ind w:firstLine="482"/>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仿宋_GB2312" w:asciiTheme="minorEastAsia" w:hAnsiTheme="minorEastAsia" w:eastAsiaTheme="minorEastAsia"/>
          <w:sz w:val="24"/>
          <w:lang w:eastAsia="zh-CN"/>
        </w:rPr>
        <w:t>人工智能综合实验室建设项目</w:t>
      </w:r>
      <w:r>
        <w:rPr>
          <w:rFonts w:hint="eastAsia" w:cs="仿宋_GB2312" w:asciiTheme="minorEastAsia" w:hAnsiTheme="minorEastAsia" w:eastAsiaTheme="minorEastAsia"/>
          <w:kern w:val="0"/>
          <w:sz w:val="24"/>
          <w:lang w:val="zh-CN"/>
        </w:rPr>
        <w:t>【招标编号：</w:t>
      </w:r>
      <w:r>
        <w:rPr>
          <w:rFonts w:hint="eastAsia" w:asciiTheme="minorEastAsia" w:hAnsiTheme="minorEastAsia" w:eastAsiaTheme="minorEastAsia"/>
          <w:sz w:val="24"/>
        </w:rPr>
        <w:t>ZJXL-HSY-202204</w:t>
      </w:r>
      <w:r>
        <w:rPr>
          <w:rFonts w:hint="eastAsia" w:cs="仿宋_GB2312" w:asciiTheme="minorEastAsia" w:hAnsiTheme="minorEastAsia" w:eastAsiaTheme="minorEastAsia"/>
          <w:sz w:val="24"/>
        </w:rPr>
        <w:t>】的实施</w:t>
      </w:r>
      <w:r>
        <w:rPr>
          <w:rFonts w:hint="eastAsia" w:cs="仿宋_GB2312" w:asciiTheme="minorEastAsia" w:hAnsiTheme="minorEastAsia" w:eastAsiaTheme="minorEastAsia"/>
          <w:kern w:val="0"/>
          <w:sz w:val="24"/>
          <w:lang w:val="zh-CN"/>
        </w:rPr>
        <w:t>。</w:t>
      </w:r>
    </w:p>
    <w:p>
      <w:pPr>
        <w:spacing w:line="360" w:lineRule="auto"/>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开标一览表（报价表）</w:t>
      </w:r>
      <w:r>
        <w:rPr>
          <w:rFonts w:cs="仿宋_GB2312" w:asciiTheme="minorEastAsia" w:hAnsiTheme="minorEastAsia" w:eastAsiaTheme="minorEastAsia"/>
          <w:b/>
          <w:kern w:val="0"/>
          <w:sz w:val="24"/>
          <w:lang w:val="zh-CN"/>
        </w:rPr>
        <w:t>(单位均为人民币元)</w:t>
      </w:r>
    </w:p>
    <w:tbl>
      <w:tblPr>
        <w:tblStyle w:val="6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240"/>
        <w:gridCol w:w="1246"/>
        <w:gridCol w:w="2752"/>
        <w:gridCol w:w="1115"/>
        <w:gridCol w:w="1089"/>
        <w:gridCol w:w="871"/>
        <w:gridCol w:w="1246"/>
        <w:gridCol w:w="1739"/>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427"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名称</w:t>
            </w:r>
          </w:p>
        </w:tc>
        <w:tc>
          <w:tcPr>
            <w:tcW w:w="429" w:type="pct"/>
          </w:tcPr>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品牌（如果有）</w:t>
            </w:r>
          </w:p>
        </w:tc>
        <w:tc>
          <w:tcPr>
            <w:tcW w:w="946"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规格型号</w:t>
            </w:r>
          </w:p>
        </w:tc>
        <w:tc>
          <w:tcPr>
            <w:tcW w:w="384"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原产地</w:t>
            </w:r>
          </w:p>
        </w:tc>
        <w:tc>
          <w:tcPr>
            <w:tcW w:w="375"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制造商名称</w:t>
            </w:r>
          </w:p>
        </w:tc>
        <w:tc>
          <w:tcPr>
            <w:tcW w:w="300"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429"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单价</w:t>
            </w:r>
          </w:p>
        </w:tc>
        <w:tc>
          <w:tcPr>
            <w:tcW w:w="599"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总价</w:t>
            </w:r>
          </w:p>
        </w:tc>
        <w:tc>
          <w:tcPr>
            <w:tcW w:w="950" w:type="pct"/>
            <w:vAlign w:val="center"/>
          </w:tcPr>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质保期</w:t>
            </w:r>
          </w:p>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1</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w:t>
            </w: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8" w:type="pct"/>
            <w:vAlign w:val="center"/>
          </w:tcPr>
          <w:p>
            <w:pPr>
              <w:spacing w:line="360" w:lineRule="auto"/>
              <w:jc w:val="center"/>
              <w:rPr>
                <w:rFonts w:cs="仿宋_GB2312" w:asciiTheme="minorEastAsia" w:hAnsiTheme="minorEastAsia" w:eastAsiaTheme="minorEastAsia"/>
                <w:b/>
                <w:sz w:val="24"/>
              </w:rPr>
            </w:pPr>
          </w:p>
        </w:tc>
        <w:tc>
          <w:tcPr>
            <w:tcW w:w="427"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napToGrid w:val="0"/>
              <w:spacing w:line="360" w:lineRule="auto"/>
              <w:jc w:val="center"/>
              <w:rPr>
                <w:rFonts w:cs="仿宋_GB2312" w:asciiTheme="minorEastAsia" w:hAnsiTheme="minorEastAsia" w:eastAsiaTheme="minorEastAsia"/>
                <w:b/>
                <w:sz w:val="24"/>
              </w:rPr>
            </w:pPr>
          </w:p>
        </w:tc>
        <w:tc>
          <w:tcPr>
            <w:tcW w:w="946" w:type="pct"/>
            <w:vAlign w:val="center"/>
          </w:tcPr>
          <w:p>
            <w:pPr>
              <w:snapToGrid w:val="0"/>
              <w:spacing w:line="360" w:lineRule="auto"/>
              <w:jc w:val="center"/>
              <w:rPr>
                <w:rFonts w:cs="仿宋_GB2312" w:asciiTheme="minorEastAsia" w:hAnsiTheme="minorEastAsia" w:eastAsiaTheme="minorEastAsia"/>
                <w:b/>
                <w:sz w:val="24"/>
              </w:rPr>
            </w:pPr>
          </w:p>
        </w:tc>
        <w:tc>
          <w:tcPr>
            <w:tcW w:w="384" w:type="pct"/>
            <w:vAlign w:val="center"/>
          </w:tcPr>
          <w:p>
            <w:pPr>
              <w:snapToGrid w:val="0"/>
              <w:spacing w:line="360" w:lineRule="auto"/>
              <w:jc w:val="center"/>
              <w:rPr>
                <w:rFonts w:cs="仿宋_GB2312" w:asciiTheme="minorEastAsia" w:hAnsiTheme="minorEastAsia" w:eastAsiaTheme="minorEastAsia"/>
                <w:b/>
                <w:sz w:val="24"/>
              </w:rPr>
            </w:pPr>
          </w:p>
        </w:tc>
        <w:tc>
          <w:tcPr>
            <w:tcW w:w="375" w:type="pct"/>
            <w:vAlign w:val="center"/>
          </w:tcPr>
          <w:p>
            <w:pPr>
              <w:snapToGrid w:val="0"/>
              <w:spacing w:line="360" w:lineRule="auto"/>
              <w:jc w:val="center"/>
              <w:rPr>
                <w:rFonts w:cs="仿宋_GB2312" w:asciiTheme="minorEastAsia" w:hAnsiTheme="minorEastAsia" w:eastAsiaTheme="minorEastAsia"/>
                <w:b/>
                <w:sz w:val="24"/>
              </w:rPr>
            </w:pPr>
          </w:p>
        </w:tc>
        <w:tc>
          <w:tcPr>
            <w:tcW w:w="300" w:type="pct"/>
            <w:vAlign w:val="center"/>
          </w:tcPr>
          <w:p>
            <w:pPr>
              <w:snapToGrid w:val="0"/>
              <w:spacing w:line="360" w:lineRule="auto"/>
              <w:jc w:val="center"/>
              <w:rPr>
                <w:rFonts w:cs="仿宋_GB2312" w:asciiTheme="minorEastAsia" w:hAnsiTheme="minorEastAsia" w:eastAsiaTheme="minorEastAsia"/>
                <w:b/>
                <w:sz w:val="24"/>
              </w:rPr>
            </w:pPr>
          </w:p>
        </w:tc>
        <w:tc>
          <w:tcPr>
            <w:tcW w:w="429" w:type="pct"/>
            <w:vAlign w:val="center"/>
          </w:tcPr>
          <w:p>
            <w:pPr>
              <w:spacing w:line="360" w:lineRule="auto"/>
              <w:jc w:val="center"/>
              <w:rPr>
                <w:rFonts w:cs="仿宋_GB2312" w:asciiTheme="minorEastAsia" w:hAnsiTheme="minorEastAsia" w:eastAsiaTheme="minorEastAsia"/>
                <w:b/>
                <w:sz w:val="24"/>
              </w:rPr>
            </w:pPr>
          </w:p>
        </w:tc>
        <w:tc>
          <w:tcPr>
            <w:tcW w:w="599" w:type="pct"/>
            <w:vAlign w:val="center"/>
          </w:tcPr>
          <w:p>
            <w:pPr>
              <w:spacing w:line="360" w:lineRule="auto"/>
              <w:jc w:val="center"/>
              <w:rPr>
                <w:rFonts w:cs="仿宋_GB2312" w:asciiTheme="minorEastAsia" w:hAnsiTheme="minorEastAsia" w:eastAsiaTheme="minorEastAsia"/>
                <w:b/>
                <w:sz w:val="24"/>
              </w:rPr>
            </w:pPr>
          </w:p>
        </w:tc>
        <w:tc>
          <w:tcPr>
            <w:tcW w:w="950" w:type="pct"/>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62" w:type="pct"/>
            <w:gridSpan w:val="4"/>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投标报价（小写）</w:t>
            </w:r>
          </w:p>
        </w:tc>
        <w:tc>
          <w:tcPr>
            <w:tcW w:w="3037" w:type="pct"/>
            <w:gridSpan w:val="6"/>
            <w:vAlign w:val="center"/>
          </w:tcPr>
          <w:p>
            <w:pPr>
              <w:spacing w:line="360" w:lineRule="auto"/>
              <w:jc w:val="center"/>
              <w:rPr>
                <w:rFonts w:cs="仿宋_GB2312"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62" w:type="pct"/>
            <w:gridSpan w:val="4"/>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投标报价（大写）</w:t>
            </w:r>
          </w:p>
        </w:tc>
        <w:tc>
          <w:tcPr>
            <w:tcW w:w="3037" w:type="pct"/>
            <w:gridSpan w:val="6"/>
            <w:vAlign w:val="center"/>
          </w:tcPr>
          <w:p>
            <w:pPr>
              <w:spacing w:line="360" w:lineRule="auto"/>
              <w:jc w:val="center"/>
              <w:rPr>
                <w:rFonts w:cs="仿宋_GB2312" w:asciiTheme="minorEastAsia" w:hAnsiTheme="minorEastAsia" w:eastAsiaTheme="minorEastAsia"/>
                <w:b/>
                <w:sz w:val="24"/>
              </w:rPr>
            </w:pPr>
          </w:p>
        </w:tc>
      </w:tr>
    </w:tbl>
    <w:p>
      <w:pPr>
        <w:snapToGrid w:val="0"/>
        <w:spacing w:line="360" w:lineRule="auto"/>
        <w:ind w:left="480"/>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注：</w:t>
      </w:r>
    </w:p>
    <w:p>
      <w:pPr>
        <w:spacing w:line="360" w:lineRule="auto"/>
        <w:ind w:left="-2" w:leftChars="-1"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1、投标人需按本表格式填写，不得自行更改。</w:t>
      </w:r>
    </w:p>
    <w:p>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2、有关本项目实施所涉及的一切费用均计入报价。</w:t>
      </w:r>
      <w:r>
        <w:rPr>
          <w:rFonts w:hint="eastAsia" w:cs="仿宋_GB2312" w:asciiTheme="minorEastAsia" w:hAnsiTheme="minorEastAsia" w:eastAsiaTheme="minorEastAsia"/>
          <w:b/>
          <w:kern w:val="0"/>
          <w:sz w:val="24"/>
          <w:lang w:val="zh-CN"/>
        </w:rPr>
        <w:t>采购人将以合同形式有偿取得货物，不接受投标人给予的赠品、回扣或者与采购无关的其他商品、服务</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b/>
          <w:kern w:val="0"/>
          <w:sz w:val="24"/>
          <w:lang w:val="zh-CN"/>
        </w:rPr>
        <w:t>不得出现“</w:t>
      </w:r>
      <w:r>
        <w:rPr>
          <w:rFonts w:cs="仿宋_GB2312" w:asciiTheme="minorEastAsia" w:hAnsiTheme="minorEastAsia" w:eastAsiaTheme="minorEastAsia"/>
          <w:b/>
          <w:kern w:val="0"/>
          <w:sz w:val="24"/>
          <w:lang w:val="zh-CN"/>
        </w:rPr>
        <w:t>0元”“免费赠送”等形式的无偿报价</w:t>
      </w:r>
      <w:r>
        <w:rPr>
          <w:rFonts w:hint="eastAsia" w:cs="仿宋_GB2312" w:asciiTheme="minorEastAsia" w:hAnsiTheme="minorEastAsia" w:eastAsiaTheme="minorEastAsia"/>
          <w:b/>
          <w:kern w:val="0"/>
          <w:sz w:val="24"/>
          <w:lang w:val="zh-CN"/>
        </w:rPr>
        <w:t>，</w:t>
      </w:r>
      <w:r>
        <w:rPr>
          <w:rFonts w:hint="eastAsia" w:cs="仿宋_GB2312" w:asciiTheme="minorEastAsia" w:hAnsiTheme="minorEastAsia" w:eastAsiaTheme="minorEastAsia"/>
          <w:b/>
          <w:kern w:val="0"/>
          <w:sz w:val="24"/>
        </w:rPr>
        <w:t>否则视为</w:t>
      </w:r>
      <w:r>
        <w:rPr>
          <w:rFonts w:hint="eastAsia" w:asciiTheme="minorEastAsia" w:hAnsiTheme="minorEastAsia" w:eastAsiaTheme="minorEastAsia"/>
          <w:b/>
          <w:sz w:val="24"/>
        </w:rPr>
        <w:t>投标文件含有采购人不能接受的附加条件的，投标无效</w:t>
      </w:r>
      <w:r>
        <w:rPr>
          <w:rFonts w:hint="eastAsia" w:cs="仿宋_GB2312" w:asciiTheme="minorEastAsia" w:hAnsiTheme="minorEastAsia" w:eastAsiaTheme="minorEastAsia"/>
          <w:b/>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3、以上表格要求细分项目及报价。</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4、特别提示：采购机构将对项目名称和项目编号，中标供应商名称、地址和中标金额，主要中标标的</w:t>
      </w:r>
      <w:r>
        <w:rPr>
          <w:rFonts w:hint="eastAsia" w:cs="仿宋_GB2312" w:asciiTheme="minorEastAsia" w:hAnsiTheme="minorEastAsia" w:eastAsiaTheme="minorEastAsia"/>
          <w:kern w:val="0"/>
          <w:sz w:val="24"/>
          <w:lang w:val="zh-CN"/>
        </w:rPr>
        <w:t>的名称、规格型号、数量、单价等予以公示。</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szCs w:val="22"/>
          <w:lang w:val="zh-CN"/>
        </w:rPr>
        <w:t>5、</w:t>
      </w:r>
      <w:r>
        <w:rPr>
          <w:rFonts w:hint="eastAsia" w:cs="仿宋_GB2312" w:asciiTheme="minorEastAsia" w:hAnsiTheme="minorEastAsia" w:eastAsiaTheme="minorEastAsia"/>
          <w:kern w:val="0"/>
          <w:sz w:val="24"/>
          <w:lang w:val="zh-CN"/>
        </w:rPr>
        <w:t>符合招标文件中列明的可享受中小企业扶持政策的投标人，请填写中小企业声明函。注：投标人</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Theme="minorEastAsia" w:hAnsiTheme="minorEastAsia" w:eastAsiaTheme="minorEastAsia"/>
          <w:b/>
          <w:kern w:val="0"/>
          <w:sz w:val="24"/>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p>
    <w:p>
      <w:pPr>
        <w:pStyle w:val="690"/>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Theme="minorEastAsia" w:hAnsiTheme="minorEastAsia" w:eastAsiaTheme="minorEastAsia"/>
          <w:sz w:val="32"/>
          <w:szCs w:val="32"/>
        </w:rPr>
      </w:pPr>
      <w:bookmarkStart w:id="455" w:name="_Toc20736"/>
      <w:r>
        <w:rPr>
          <w:rFonts w:hint="eastAsia" w:cs="仿宋_GB2312" w:asciiTheme="minorEastAsia" w:hAnsiTheme="minorEastAsia" w:eastAsiaTheme="minorEastAsia"/>
          <w:kern w:val="2"/>
          <w:sz w:val="32"/>
          <w:szCs w:val="32"/>
        </w:rPr>
        <w:t>二、</w:t>
      </w:r>
      <w:r>
        <w:rPr>
          <w:rFonts w:hint="eastAsia" w:asciiTheme="minorEastAsia" w:hAnsiTheme="minorEastAsia" w:eastAsiaTheme="minorEastAsia"/>
          <w:sz w:val="32"/>
          <w:szCs w:val="32"/>
        </w:rPr>
        <w:t>中小企业声明函</w:t>
      </w:r>
      <w:bookmarkEnd w:id="455"/>
    </w:p>
    <w:p>
      <w:pPr>
        <w:widowControl/>
        <w:spacing w:line="360" w:lineRule="auto"/>
        <w:ind w:firstLine="120" w:firstLineChars="5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仿宋_GB2312" w:asciiTheme="minorEastAsia" w:hAnsiTheme="minorEastAsia" w:eastAsiaTheme="minorEastAsia"/>
          <w:b/>
          <w:sz w:val="24"/>
        </w:rPr>
        <w:t>5）。</w:t>
      </w:r>
      <w:r>
        <w:rPr>
          <w:rFonts w:hint="eastAsia" w:cs="仿宋_GB2312" w:asciiTheme="minorEastAsia" w:hAnsiTheme="minorEastAsia" w:eastAsiaTheme="minorEastAsia"/>
          <w:b/>
          <w:sz w:val="24"/>
        </w:rPr>
        <w:t>]</w:t>
      </w:r>
    </w:p>
    <w:p>
      <w:pPr>
        <w:pStyle w:val="690"/>
        <w:keepNext w:val="0"/>
        <w:pageBreakBefore w:val="0"/>
        <w:tabs>
          <w:tab w:val="clear" w:pos="720"/>
        </w:tabs>
        <w:snapToGrid w:val="0"/>
        <w:spacing w:before="120" w:after="120"/>
        <w:ind w:firstLine="643"/>
        <w:outlineLvl w:val="9"/>
        <w:rPr>
          <w:rFonts w:asciiTheme="minorEastAsia" w:hAnsiTheme="minorEastAsia" w:eastAsiaTheme="minorEastAsia"/>
          <w:b w:val="0"/>
          <w:sz w:val="32"/>
          <w:szCs w:val="32"/>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spacing w:line="360" w:lineRule="auto"/>
        <w:ind w:right="420" w:firstLine="3614" w:firstLineChars="1000"/>
        <w:rPr>
          <w:rFonts w:cs="仿宋_GB2312" w:asciiTheme="minorEastAsia" w:hAnsiTheme="minorEastAsia" w:eastAsiaTheme="minorEastAsia"/>
          <w:b/>
          <w:kern w:val="0"/>
          <w:sz w:val="36"/>
          <w:szCs w:val="36"/>
        </w:rPr>
      </w:pPr>
    </w:p>
    <w:p>
      <w:pPr>
        <w:tabs>
          <w:tab w:val="left" w:pos="8085"/>
        </w:tabs>
        <w:spacing w:line="360" w:lineRule="auto"/>
        <w:ind w:firstLine="1285" w:firstLineChars="40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政府采购支持中小企业信用融资相关事项通知</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一、适用对象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二、相关信息获取方式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　政府采购信用融资操作流程：</w:t>
      </w:r>
    </w:p>
    <w:p>
      <w:pPr>
        <w:spacing w:line="360" w:lineRule="auto"/>
        <w:ind w:firstLine="960" w:firstLineChars="400"/>
        <w:rPr>
          <w:rFonts w:asciiTheme="minorEastAsia" w:hAnsiTheme="minorEastAsia" w:eastAsiaTheme="minorEastAsia"/>
          <w:sz w:val="24"/>
        </w:rPr>
      </w:pPr>
      <w:r>
        <w:rPr>
          <w:rFonts w:hint="eastAsia" w:asciiTheme="minorEastAsia" w:hAnsiTheme="minorEastAsia" w:eastAsiaTheme="minorEastAsia"/>
          <w:sz w:val="24"/>
        </w:rPr>
        <w:t>（一）线上融资模式：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1.供应商根据合作银行提供的方案，自行选择金融产品，并办理开户等手续；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2.供应商中标后，可通过杭州市政府采购网或“浙里办”测算授信额度；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3.采购合同签订后，供应商在杭州市政府采购网或“浙里办”向合作银行发出融资申请；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4.审批通过后，在线办理放贷手续。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（二）线下融资模式：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1.供应商根据合作银行提供的方案，自行选择金融产品，向合作银行提出信用资格预审，并办理开户等手续；</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2.采购合同签订后，供应商在杭州市政府采购网或“浙里办”向合作银行发出融资申请；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w:t>
      </w:r>
      <w:r>
        <w:rPr>
          <w:rFonts w:asciiTheme="minorEastAsia" w:hAnsiTheme="minorEastAsia" w:eastAsiaTheme="minorEastAsia"/>
          <w:sz w:val="24"/>
        </w:rPr>
        <w:t>4.审批通过后，合作银行应按照合作备忘录中约定的审批放款期限和优惠利率及时予以放款。</w:t>
      </w:r>
    </w:p>
    <w:p>
      <w:pPr>
        <w:pStyle w:val="5"/>
        <w:numPr>
          <w:ilvl w:val="255"/>
          <w:numId w:val="0"/>
        </w:numPr>
        <w:ind w:firstLine="960" w:firstLineChars="400"/>
        <w:rPr>
          <w:rFonts w:asciiTheme="minorEastAsia" w:hAnsiTheme="minorEastAsia" w:eastAsiaTheme="minorEastAsia"/>
          <w:b w:val="0"/>
          <w:bCs w:val="0"/>
          <w:sz w:val="24"/>
          <w:szCs w:val="24"/>
          <w:lang w:val="en-US"/>
        </w:rPr>
      </w:pPr>
      <w:bookmarkStart w:id="456" w:name="_Toc15487"/>
      <w:r>
        <w:rPr>
          <w:rFonts w:hint="eastAsia" w:asciiTheme="minorEastAsia" w:hAnsiTheme="minorEastAsia" w:eastAsiaTheme="minorEastAsia"/>
          <w:b w:val="0"/>
          <w:bCs w:val="0"/>
          <w:sz w:val="24"/>
          <w:szCs w:val="24"/>
          <w:lang w:val="en-US"/>
        </w:rPr>
        <w:t>（三）杭州e融平台申请融资</w:t>
      </w:r>
      <w:bookmarkEnd w:id="456"/>
    </w:p>
    <w:p>
      <w:pPr>
        <w:pStyle w:val="5"/>
        <w:numPr>
          <w:ilvl w:val="255"/>
          <w:numId w:val="0"/>
        </w:numPr>
        <w:ind w:firstLine="960" w:firstLineChars="400"/>
        <w:rPr>
          <w:rFonts w:asciiTheme="minorEastAsia" w:hAnsiTheme="minorEastAsia" w:eastAsiaTheme="minorEastAsia"/>
          <w:b w:val="0"/>
          <w:bCs w:val="0"/>
          <w:sz w:val="24"/>
          <w:szCs w:val="24"/>
          <w:lang w:val="en-US"/>
        </w:rPr>
      </w:pPr>
      <w:bookmarkStart w:id="457" w:name="_Toc2463"/>
      <w:r>
        <w:rPr>
          <w:rFonts w:hint="eastAsia" w:asciiTheme="minorEastAsia" w:hAnsiTheme="minorEastAsia" w:eastAsiaTheme="minorEastAsia"/>
          <w:b w:val="0"/>
          <w:bCs w:val="0"/>
          <w:sz w:val="24"/>
          <w:szCs w:val="24"/>
          <w:lang w:val="en-US"/>
        </w:rPr>
        <w:t>供应商通过杭州e融平台政采贷专区，自行选择金融产品，按规定手续办理贷款流程。</w:t>
      </w:r>
      <w:bookmarkEnd w:id="457"/>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四、注意事项</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cs="仿宋_GB2312" w:asciiTheme="minorEastAsia" w:hAnsiTheme="minorEastAsia" w:eastAsiaTheme="minorEastAsia"/>
          <w:sz w:val="24"/>
        </w:rPr>
        <w:t>。</w:t>
      </w:r>
    </w:p>
    <w:p>
      <w:pPr>
        <w:spacing w:line="360" w:lineRule="auto"/>
        <w:ind w:left="5060" w:hanging="5060" w:hangingChars="2100"/>
        <w:rPr>
          <w:rFonts w:cs="仿宋_GB2312" w:asciiTheme="minorEastAsia" w:hAnsiTheme="minorEastAsia" w:eastAsiaTheme="minorEastAsia"/>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rPr>
      </w:pPr>
      <w:bookmarkStart w:id="458" w:name="_Toc465665161"/>
      <w:bookmarkStart w:id="459" w:name="_Toc25436"/>
      <w:r>
        <w:rPr>
          <w:rFonts w:hint="eastAsia" w:asciiTheme="minorEastAsia" w:hAnsiTheme="minorEastAsia" w:eastAsiaTheme="minorEastAsia"/>
        </w:rPr>
        <w:t>附件</w:t>
      </w:r>
      <w:bookmarkEnd w:id="458"/>
      <w:bookmarkEnd w:id="459"/>
    </w:p>
    <w:p>
      <w:pPr>
        <w:spacing w:line="360" w:lineRule="auto"/>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1：</w:t>
      </w:r>
    </w:p>
    <w:p>
      <w:pPr>
        <w:spacing w:line="360" w:lineRule="auto"/>
        <w:jc w:val="center"/>
        <w:rPr>
          <w:rFonts w:asciiTheme="minorEastAsia" w:hAnsiTheme="minorEastAsia" w:eastAsiaTheme="minorEastAsia"/>
          <w:b/>
          <w:spacing w:val="6"/>
          <w:sz w:val="32"/>
          <w:szCs w:val="32"/>
        </w:rPr>
      </w:pPr>
      <w:bookmarkStart w:id="460" w:name="OLE_LINK13"/>
      <w:bookmarkStart w:id="461" w:name="OLE_LINK14"/>
      <w:r>
        <w:rPr>
          <w:rFonts w:hint="eastAsia" w:asciiTheme="minorEastAsia" w:hAnsiTheme="minorEastAsia" w:eastAsiaTheme="minorEastAsia"/>
          <w:b/>
          <w:spacing w:val="6"/>
          <w:sz w:val="32"/>
          <w:szCs w:val="32"/>
        </w:rPr>
        <w:t>残疾人福利性单位声明函</w:t>
      </w:r>
      <w:bookmarkEnd w:id="460"/>
      <w:bookmarkEnd w:id="461"/>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本单位郑重声明，根据《财政部民政部中国残疾人联合会关于促进残疾人就业政府采购政策的通知》（财库〔</w:t>
      </w:r>
      <w:r>
        <w:rPr>
          <w:rFonts w:cs="仿宋_GB2312" w:asciiTheme="minorEastAsia" w:hAnsiTheme="minorEastAsia" w:eastAsiaTheme="minorEastAsia"/>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lang w:val="zh-CN"/>
        </w:rPr>
        <w:t>投标人名称（电子签名）</w:t>
      </w:r>
      <w:r>
        <w:rPr>
          <w:rFonts w:hint="eastAsia" w:cs="仿宋_GB2312" w:asciiTheme="minorEastAsia" w:hAnsiTheme="minorEastAsia" w:eastAsiaTheme="minorEastAsia"/>
          <w:sz w:val="24"/>
        </w:rPr>
        <w:t>：</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  期：</w:t>
      </w:r>
    </w:p>
    <w:p>
      <w:pPr>
        <w:spacing w:line="360" w:lineRule="auto"/>
        <w:ind w:firstLine="480" w:firstLineChars="200"/>
        <w:rPr>
          <w:rFonts w:cs="仿宋_GB2312" w:asciiTheme="minorEastAsia" w:hAnsiTheme="minorEastAsia" w:eastAsiaTheme="minorEastAsia"/>
          <w:sz w:val="24"/>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rPr>
          <w:rFonts w:cs="仿宋_GB2312" w:asciiTheme="minorEastAsia" w:hAnsiTheme="minorEastAsia" w:eastAsiaTheme="minorEastAsia"/>
          <w:b/>
          <w:sz w:val="24"/>
        </w:rPr>
      </w:pPr>
    </w:p>
    <w:p>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2：质疑函范本及制作说明</w:t>
      </w: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质疑函范本</w:t>
      </w:r>
    </w:p>
    <w:p>
      <w:pPr>
        <w:snapToGrid w:val="0"/>
        <w:spacing w:before="240" w:beforeLines="100"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一、质疑供应商基本信息</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质疑供应商：</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联系人：联系电话：</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授权代表：</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联系电话：</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地址：邮编：</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二、质疑项目基本情况</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质疑项目的名称：</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质疑项目的编号：包号：</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采购人名称：</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采购文件获取日期：</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三、质疑事项具体内容</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1：</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事实依据：</w:t>
      </w:r>
    </w:p>
    <w:p>
      <w:pPr>
        <w:snapToGrid w:val="0"/>
        <w:spacing w:line="360" w:lineRule="auto"/>
        <w:rPr>
          <w:rFonts w:cs="仿宋" w:asciiTheme="minorEastAsia" w:hAnsiTheme="minorEastAsia" w:eastAsiaTheme="minorEastAsia"/>
          <w:sz w:val="24"/>
        </w:rPr>
      </w:pP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法律依据：</w:t>
      </w:r>
    </w:p>
    <w:p>
      <w:pPr>
        <w:snapToGrid w:val="0"/>
        <w:spacing w:line="360" w:lineRule="auto"/>
        <w:rPr>
          <w:rFonts w:cs="仿宋" w:asciiTheme="minorEastAsia" w:hAnsiTheme="minorEastAsia" w:eastAsiaTheme="minorEastAsia"/>
          <w:sz w:val="24"/>
          <w:u w:val="dotted"/>
        </w:rPr>
      </w:pP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质疑事项</w:t>
      </w:r>
      <w:r>
        <w:rPr>
          <w:rFonts w:cs="仿宋" w:asciiTheme="minorEastAsia" w:hAnsiTheme="minorEastAsia" w:eastAsiaTheme="minorEastAsia"/>
          <w:sz w:val="24"/>
        </w:rPr>
        <w:t>2</w:t>
      </w:r>
    </w:p>
    <w:p>
      <w:pPr>
        <w:snapToGrid w:val="0"/>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w:t>
      </w:r>
    </w:p>
    <w:p>
      <w:pPr>
        <w:snapToGri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四、与质疑事项相关的质疑请求</w:t>
      </w:r>
    </w:p>
    <w:p>
      <w:pPr>
        <w:snapToGrid w:val="0"/>
        <w:spacing w:line="360" w:lineRule="auto"/>
        <w:rPr>
          <w:rFonts w:cs="仿宋" w:asciiTheme="minorEastAsia" w:hAnsiTheme="minorEastAsia" w:eastAsiaTheme="minorEastAsia"/>
          <w:sz w:val="24"/>
          <w:u w:val="dotted"/>
        </w:rPr>
      </w:pPr>
      <w:r>
        <w:rPr>
          <w:rFonts w:hint="eastAsia" w:cs="仿宋" w:asciiTheme="minorEastAsia" w:hAnsiTheme="minorEastAsia" w:eastAsiaTheme="minorEastAsia"/>
          <w:sz w:val="24"/>
        </w:rPr>
        <w:t>请求：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p>
      <w:pPr>
        <w:spacing w:line="360" w:lineRule="auto"/>
        <w:jc w:val="center"/>
        <w:rPr>
          <w:rFonts w:cs="仿宋" w:asciiTheme="minorEastAsia" w:hAnsiTheme="minorEastAsia" w:eastAsiaTheme="minorEastAsia"/>
          <w:b/>
          <w:bCs/>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质疑函制作说明：</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2.质疑供应商若委托代理人进行质疑的，</w:t>
      </w:r>
      <w:r>
        <w:rPr>
          <w:rFonts w:hint="eastAsia" w:asciiTheme="minorEastAsia" w:hAnsiTheme="minorEastAsia" w:eastAsiaTheme="minorEastAsia"/>
          <w:sz w:val="24"/>
        </w:rPr>
        <w:t>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5.质疑函的质疑请求应与质疑事项相关。</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6.质疑供应商为自然人的，</w:t>
      </w:r>
      <w:r>
        <w:rPr>
          <w:rFonts w:hint="eastAsia" w:asciiTheme="minorEastAsia" w:hAnsiTheme="minorEastAsia" w:eastAsiaTheme="minorEastAsia"/>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Theme="minorEastAsia" w:hAnsiTheme="minorEastAsia" w:eastAsiaTheme="minorEastAsia"/>
          <w:sz w:val="30"/>
          <w:szCs w:val="30"/>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p>
    <w:p>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3：投诉书范本及制作说明</w:t>
      </w: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投诉书范本</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一、投诉相关主体基本情况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投诉人：</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tabs>
          <w:tab w:val="left" w:pos="6510"/>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法定代表人</w:t>
      </w:r>
      <w:r>
        <w:rPr>
          <w:rFonts w:asciiTheme="minorEastAsia" w:hAnsiTheme="minorEastAsia" w:eastAsiaTheme="minorEastAsia"/>
          <w:sz w:val="24"/>
        </w:rPr>
        <w:t>/主要负责人：</w:t>
      </w:r>
    </w:p>
    <w:p>
      <w:pPr>
        <w:tabs>
          <w:tab w:val="left" w:pos="6510"/>
        </w:tabs>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联系电话：</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授权代表：联系电话</w:t>
      </w:r>
      <w:r>
        <w:rPr>
          <w:rFonts w:hint="eastAsia" w:asciiTheme="minorEastAsia" w:hAnsiTheme="minorEastAsia" w:eastAsiaTheme="minorEastAsia"/>
          <w:sz w:val="24"/>
          <w:u w:val="dotted"/>
        </w:rPr>
        <w:t>：</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被投诉人</w:t>
      </w:r>
      <w:r>
        <w:rPr>
          <w:rFonts w:asciiTheme="minorEastAsia" w:hAnsiTheme="minorEastAsia" w:eastAsiaTheme="minorEastAsia"/>
          <w:sz w:val="24"/>
        </w:rPr>
        <w:t>1：</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被投诉人</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相关供应商：</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地址：邮编：</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联系人：联系电话：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二、投诉项目基本情况</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采购项目名称：</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采购项目编号：包号：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采购人名称：</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代理机构名称：</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采购文件公告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采购结果公告</w:t>
      </w:r>
      <w:r>
        <w:rPr>
          <w:rFonts w:asciiTheme="minorEastAsia" w:hAnsiTheme="minorEastAsia" w:eastAsiaTheme="minorEastAsia"/>
          <w:sz w:val="24"/>
        </w:rPr>
        <w:t>:</w:t>
      </w:r>
      <w:r>
        <w:rPr>
          <w:rFonts w:hint="eastAsia" w:asciiTheme="minorEastAsia" w:hAnsiTheme="minorEastAsia" w:eastAsiaTheme="minorEastAsia"/>
          <w:sz w:val="24"/>
          <w:u w:val="dotted"/>
        </w:rPr>
        <w:t>是</w:t>
      </w:r>
      <w:r>
        <w:rPr>
          <w:rFonts w:asciiTheme="minorEastAsia" w:hAnsiTheme="minorEastAsia" w:eastAsiaTheme="minorEastAsia"/>
          <w:sz w:val="24"/>
          <w:u w:val="dotted"/>
        </w:rPr>
        <w:t xml:space="preserve">/否 </w:t>
      </w:r>
      <w:r>
        <w:rPr>
          <w:rFonts w:hint="eastAsia" w:asciiTheme="minorEastAsia" w:hAnsiTheme="minorEastAsia" w:eastAsiaTheme="minorEastAsia"/>
          <w:sz w:val="24"/>
        </w:rPr>
        <w:t>公告期限：</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三、质疑基本情况</w:t>
      </w:r>
    </w:p>
    <w:p>
      <w:pPr>
        <w:spacing w:line="360" w:lineRule="auto"/>
        <w:ind w:firstLine="480" w:firstLineChars="200"/>
        <w:rPr>
          <w:rFonts w:asciiTheme="minorEastAsia" w:hAnsiTheme="minorEastAsia" w:eastAsiaTheme="minorEastAsia"/>
          <w:sz w:val="24"/>
          <w:u w:val="dotted"/>
        </w:rPr>
      </w:pPr>
      <w:r>
        <w:rPr>
          <w:rFonts w:hint="eastAsia" w:asciiTheme="minorEastAsia" w:hAnsiTheme="minorEastAsia" w:eastAsiaTheme="minorEastAsia"/>
          <w:sz w:val="24"/>
        </w:rPr>
        <w:t>投诉人于年月日</w:t>
      </w:r>
      <w:r>
        <w:rPr>
          <w:rFonts w:asciiTheme="minorEastAsia" w:hAnsiTheme="minorEastAsia" w:eastAsiaTheme="minorEastAsia"/>
          <w:sz w:val="24"/>
        </w:rPr>
        <w:t>,向</w:t>
      </w:r>
      <w:r>
        <w:rPr>
          <w:rFonts w:hint="eastAsia" w:asciiTheme="minorEastAsia" w:hAnsiTheme="minorEastAsia" w:eastAsiaTheme="minorEastAsia"/>
          <w:sz w:val="24"/>
        </w:rPr>
        <w:t>提出质疑，质疑事项为：</w:t>
      </w:r>
    </w:p>
    <w:p>
      <w:pPr>
        <w:spacing w:line="360" w:lineRule="auto"/>
        <w:rPr>
          <w:rFonts w:asciiTheme="minorEastAsia" w:hAnsiTheme="minorEastAsia" w:eastAsiaTheme="minorEastAsia"/>
          <w:sz w:val="24"/>
          <w:u w:val="dotted"/>
        </w:rPr>
      </w:pP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u w:val="dotted"/>
        </w:rPr>
        <w:t>采购人</w:t>
      </w:r>
      <w:r>
        <w:rPr>
          <w:rFonts w:asciiTheme="minorEastAsia" w:hAnsiTheme="minorEastAsia" w:eastAsiaTheme="minorEastAsia"/>
          <w:sz w:val="24"/>
          <w:u w:val="dotted"/>
        </w:rPr>
        <w:t>/代理机构</w:t>
      </w:r>
      <w:r>
        <w:rPr>
          <w:rFonts w:hint="eastAsia" w:asciiTheme="minorEastAsia" w:hAnsiTheme="minorEastAsia" w:eastAsiaTheme="minorEastAsia"/>
          <w:sz w:val="24"/>
        </w:rPr>
        <w:t>于年月日</w:t>
      </w:r>
      <w:r>
        <w:rPr>
          <w:rFonts w:asciiTheme="minorEastAsia" w:hAnsiTheme="minorEastAsia" w:eastAsiaTheme="minorEastAsia"/>
          <w:sz w:val="24"/>
        </w:rPr>
        <w:t>,就质疑事项</w:t>
      </w:r>
      <w:r>
        <w:rPr>
          <w:rFonts w:hint="eastAsia" w:asciiTheme="minorEastAsia" w:hAnsiTheme="minorEastAsia" w:eastAsiaTheme="minorEastAsia"/>
          <w:sz w:val="24"/>
        </w:rPr>
        <w:t>作出了答复</w:t>
      </w:r>
      <w:r>
        <w:rPr>
          <w:rFonts w:asciiTheme="minorEastAsia" w:hAnsiTheme="minorEastAsia" w:eastAsiaTheme="minorEastAsia"/>
          <w:sz w:val="24"/>
        </w:rPr>
        <w:t>/没有在法定期限内</w:t>
      </w:r>
      <w:r>
        <w:rPr>
          <w:rFonts w:hint="eastAsia" w:asciiTheme="minorEastAsia" w:hAnsiTheme="minorEastAsia" w:eastAsiaTheme="minorEastAsia"/>
          <w:sz w:val="24"/>
        </w:rPr>
        <w:t>作出答复。</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四、投诉事项具体内容</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投诉事项</w:t>
      </w:r>
      <w:r>
        <w:rPr>
          <w:rFonts w:asciiTheme="minorEastAsia" w:hAnsiTheme="minorEastAsia" w:eastAsiaTheme="minorEastAsia"/>
          <w:sz w:val="24"/>
        </w:rPr>
        <w:t xml:space="preserve"> 1：</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事实依据：</w:t>
      </w:r>
    </w:p>
    <w:p>
      <w:pPr>
        <w:spacing w:line="360" w:lineRule="auto"/>
        <w:rPr>
          <w:rFonts w:asciiTheme="minorEastAsia" w:hAnsiTheme="minorEastAsia" w:eastAsiaTheme="minorEastAsia"/>
          <w:sz w:val="24"/>
          <w:u w:val="dotted"/>
        </w:rPr>
      </w:pP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法律依据：</w:t>
      </w:r>
    </w:p>
    <w:p>
      <w:pPr>
        <w:spacing w:line="360" w:lineRule="auto"/>
        <w:rPr>
          <w:rFonts w:asciiTheme="minorEastAsia" w:hAnsiTheme="minorEastAsia" w:eastAsiaTheme="minorEastAsia"/>
          <w:sz w:val="24"/>
          <w:u w:val="dotted"/>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投诉事项</w:t>
      </w:r>
      <w:r>
        <w:rPr>
          <w:rFonts w:asciiTheme="minorEastAsia" w:hAnsiTheme="minorEastAsia" w:eastAsiaTheme="minorEastAsia"/>
          <w:sz w:val="24"/>
        </w:rPr>
        <w:t>2</w:t>
      </w:r>
    </w:p>
    <w:p>
      <w:pPr>
        <w:spacing w:line="360" w:lineRule="auto"/>
        <w:rPr>
          <w:rFonts w:asciiTheme="minorEastAsia" w:hAnsiTheme="minorEastAsia" w:eastAsiaTheme="minorEastAsia"/>
          <w:sz w:val="24"/>
          <w:u w:val="dotted"/>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五、与投诉事项相关的投诉请求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请求：</w:t>
      </w:r>
    </w:p>
    <w:p>
      <w:pPr>
        <w:spacing w:line="360" w:lineRule="auto"/>
        <w:rPr>
          <w:rFonts w:asciiTheme="minorEastAsia" w:hAnsiTheme="minorEastAsia" w:eastAsiaTheme="minorEastAsia"/>
          <w:sz w:val="24"/>
          <w:u w:val="single"/>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签字</w:t>
      </w:r>
      <w:r>
        <w:rPr>
          <w:rFonts w:asciiTheme="minorEastAsia" w:hAnsiTheme="minorEastAsia" w:eastAsiaTheme="minorEastAsia"/>
          <w:sz w:val="24"/>
        </w:rPr>
        <w:t xml:space="preserve">(签章)：                   公章：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asciiTheme="minorEastAsia" w:hAnsiTheme="minorEastAsia" w:eastAsiaTheme="minorEastAsia"/>
          <w:sz w:val="24"/>
        </w:rPr>
      </w:pPr>
      <w:r>
        <w:rPr>
          <w:rFonts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Theme="minorEastAsia" w:hAnsiTheme="minorEastAsia" w:eastAsiaTheme="minorEastAsia"/>
          <w:b/>
          <w:spacing w:val="6"/>
          <w:sz w:val="32"/>
          <w:szCs w:val="32"/>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4：</w:t>
      </w:r>
      <w:r>
        <w:rPr>
          <w:rFonts w:hint="eastAsia" w:asciiTheme="minorEastAsia" w:hAnsiTheme="minorEastAsia" w:eastAsiaTheme="minorEastAsia"/>
          <w:b/>
          <w:bCs/>
          <w:sz w:val="32"/>
          <w:szCs w:val="32"/>
        </w:rPr>
        <w:t>业务专用章使用说明函</w:t>
      </w:r>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u w:val="single"/>
        </w:rPr>
        <w:t>浙江工商大学杭州商学院、浙江信镧建设工程咨询有限公司</w:t>
      </w:r>
    </w:p>
    <w:p>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cs="仿宋_GB2312" w:asciiTheme="minorEastAsia" w:hAnsiTheme="minorEastAsia" w:eastAsiaTheme="minorEastAsia"/>
          <w:sz w:val="24"/>
        </w:rPr>
        <w:t>(投标人全称)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你方组织的</w:t>
      </w:r>
      <w:r>
        <w:rPr>
          <w:rFonts w:hint="eastAsia" w:cs="仿宋_GB2312" w:asciiTheme="minorEastAsia" w:hAnsiTheme="minorEastAsia" w:eastAsiaTheme="minorEastAsia"/>
          <w:sz w:val="24"/>
          <w:lang w:eastAsia="zh-CN"/>
        </w:rPr>
        <w:t>人工智能综合实验室建设项目</w:t>
      </w:r>
      <w:r>
        <w:rPr>
          <w:rFonts w:hint="eastAsia" w:cs="仿宋_GB2312" w:asciiTheme="minorEastAsia" w:hAnsiTheme="minorEastAsia" w:eastAsiaTheme="minorEastAsia"/>
          <w:sz w:val="24"/>
        </w:rPr>
        <w:t>项目【招标编号：ZJXL-HSY-202204</w:t>
      </w:r>
      <w:r>
        <w:rPr>
          <w:rFonts w:cs="仿宋_GB2312" w:asciiTheme="minorEastAsia" w:hAnsiTheme="minorEastAsia" w:eastAsiaTheme="minorEastAsia"/>
          <w:sz w:val="24"/>
        </w:rPr>
        <w:t>】</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我方所使用的“</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专用章”的行为予以完全承认，并愿意承担相应责任。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asciiTheme="minorEastAsia" w:hAnsiTheme="minorEastAsia" w:eastAsiaTheme="minorEastAsia"/>
          <w:bCs/>
          <w:sz w:val="24"/>
        </w:rPr>
      </w:pPr>
      <w:r>
        <w:rPr>
          <w:rFonts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0pt;margin-top:30.3pt;height:177.45pt;width:208.5pt;z-index:-251656192;mso-width-relative:page;mso-height-relative:page;" fillcolor="#FFFFFF" filled="t" stroked="t" coordsize="21600,21600" o:gfxdata="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2Q+JY1gAAAAcBAAAPAAAAAAAAAAEAIAAAACIAAABkcnMvZG93bnJldi54bWxQSwEC&#10;FAAUAAAACACHTuJATWcsNC8CAACCBAAADgAAAAAAAAABACAAAAAlAQAAZHJzL2Uyb0RvYy54bWxQ&#10;SwUGAAAAAAYABgBZAQAAxg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投标单位法定名称章（印模）投标单位“</w:t>
      </w:r>
      <w:r>
        <w:rPr>
          <w:rFonts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asciiTheme="minorEastAsia" w:hAnsiTheme="minorEastAsia" w:eastAsiaTheme="minorEastAsia"/>
          <w:b/>
          <w:spacing w:val="6"/>
          <w:sz w:val="32"/>
          <w:szCs w:val="32"/>
        </w:rPr>
      </w:pPr>
    </w:p>
    <w:p>
      <w:pPr>
        <w:autoSpaceDE w:val="0"/>
        <w:autoSpaceDN w:val="0"/>
        <w:jc w:val="center"/>
        <w:rPr>
          <w:rFonts w:hint="eastAsia" w:asciiTheme="minorEastAsia" w:hAnsiTheme="minorEastAsia" w:eastAsiaTheme="minorEastAsia"/>
          <w:b/>
          <w:spacing w:val="6"/>
          <w:sz w:val="32"/>
          <w:szCs w:val="32"/>
        </w:rPr>
        <w:sectPr>
          <w:pgSz w:w="11906" w:h="16838"/>
          <w:pgMar w:top="1276" w:right="1418" w:bottom="1247" w:left="1418" w:header="851" w:footer="992" w:gutter="0"/>
          <w:cols w:space="720" w:num="1"/>
          <w:titlePg/>
          <w:docGrid w:linePitch="312" w:charSpace="0"/>
        </w:sect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5</w:t>
      </w:r>
      <w:r>
        <w:rPr>
          <w:rFonts w:hint="eastAsia" w:asciiTheme="minorEastAsia" w:hAnsiTheme="minorEastAsia" w:eastAsiaTheme="minorEastAsia"/>
          <w:b/>
          <w:spacing w:val="6"/>
          <w:sz w:val="32"/>
          <w:szCs w:val="32"/>
        </w:rPr>
        <w:t>：</w:t>
      </w:r>
      <w:r>
        <w:rPr>
          <w:rFonts w:hint="eastAsia" w:asciiTheme="minorEastAsia" w:hAnsiTheme="minorEastAsia" w:eastAsiaTheme="minorEastAsia"/>
          <w:b/>
          <w:sz w:val="32"/>
          <w:szCs w:val="32"/>
        </w:rPr>
        <w:t>中小企业声明函</w:t>
      </w:r>
    </w:p>
    <w:p>
      <w:pPr>
        <w:spacing w:line="360" w:lineRule="auto"/>
        <w:jc w:val="center"/>
        <w:rPr>
          <w:rFonts w:cs="仿宋_GB2312" w:asciiTheme="minorEastAsia" w:hAnsiTheme="minorEastAsia" w:eastAsiaTheme="minorEastAsia"/>
          <w:sz w:val="24"/>
          <w:u w:val="single"/>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中小企业声明函（货物）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本公司（联合体）郑重声明，根据《政府采购促进中小企业发展管理办法》（财库</w:t>
      </w:r>
      <w:r>
        <w:rPr>
          <w:rFonts w:hint="eastAsia" w:cs="宋体" w:asciiTheme="minorEastAsia" w:hAnsiTheme="minorEastAsia" w:eastAsiaTheme="minorEastAsia"/>
          <w:sz w:val="24"/>
        </w:rPr>
        <w:t>﹝</w:t>
      </w:r>
      <w:r>
        <w:rPr>
          <w:rFonts w:asciiTheme="minorEastAsia" w:hAnsiTheme="minorEastAsia" w:eastAsiaTheme="minorEastAsia"/>
          <w:sz w:val="24"/>
        </w:rPr>
        <w:t>2020</w:t>
      </w:r>
      <w:r>
        <w:rPr>
          <w:rFonts w:hint="eastAsia" w:cs="宋体" w:asciiTheme="minorEastAsia" w:hAnsiTheme="minorEastAsia" w:eastAsiaTheme="minorEastAsia"/>
          <w:sz w:val="24"/>
        </w:rPr>
        <w:t>﹞</w:t>
      </w:r>
      <w:r>
        <w:rPr>
          <w:rFonts w:asciiTheme="minorEastAsia" w:hAnsiTheme="minorEastAsia" w:eastAsiaTheme="minorEastAsia"/>
          <w:sz w:val="24"/>
        </w:rPr>
        <w:t xml:space="preserve">46 </w:t>
      </w:r>
      <w:r>
        <w:rPr>
          <w:rFonts w:hint="eastAsia" w:asciiTheme="minorEastAsia" w:hAnsiTheme="minorEastAsia" w:eastAsiaTheme="minorEastAsia"/>
          <w:sz w:val="24"/>
        </w:rPr>
        <w:t>号）的规定，本公司（联合体）参加（单位名称）的</w:t>
      </w:r>
      <w:r>
        <w:rPr>
          <w:rFonts w:hint="eastAsia" w:asciiTheme="minorEastAsia" w:hAnsiTheme="minorEastAsia" w:eastAsiaTheme="minorEastAsia"/>
          <w:sz w:val="24"/>
          <w:lang w:eastAsia="zh-CN"/>
        </w:rPr>
        <w:t>人工智能综合实验室建设项目</w:t>
      </w:r>
      <w:r>
        <w:rPr>
          <w:rFonts w:hint="eastAsia" w:asciiTheme="minorEastAsia" w:hAnsiTheme="minorEastAsia" w:eastAsiaTheme="minorEastAsia"/>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u w:val="single"/>
        </w:rPr>
        <w:t>（标的名称）</w:t>
      </w:r>
      <w:r>
        <w:rPr>
          <w:rFonts w:asciiTheme="minorEastAsia" w:hAnsiTheme="minorEastAsia" w:eastAsiaTheme="minorEastAsia"/>
          <w:sz w:val="24"/>
        </w:rPr>
        <w:t xml:space="preserve"> ，属于 </w:t>
      </w:r>
      <w:r>
        <w:rPr>
          <w:rFonts w:hint="eastAsia" w:asciiTheme="minorEastAsia" w:hAnsiTheme="minorEastAsia" w:eastAsiaTheme="minorEastAsia"/>
          <w:sz w:val="24"/>
          <w:u w:val="single"/>
        </w:rPr>
        <w:t>（采购文件中明确的所属行业）</w:t>
      </w:r>
      <w:r>
        <w:rPr>
          <w:rFonts w:hint="eastAsia" w:asciiTheme="minorEastAsia" w:hAnsiTheme="minorEastAsia" w:eastAsiaTheme="minorEastAsia"/>
          <w:sz w:val="24"/>
        </w:rPr>
        <w:t>行业；制造商为</w:t>
      </w:r>
      <w:r>
        <w:rPr>
          <w:rFonts w:asciiTheme="minorEastAsia" w:hAnsiTheme="minorEastAsia" w:eastAsiaTheme="minorEastAsia"/>
          <w:sz w:val="24"/>
          <w:u w:val="single"/>
        </w:rPr>
        <w:t xml:space="preserve"> （企业名称）</w:t>
      </w:r>
      <w:r>
        <w:rPr>
          <w:rFonts w:asciiTheme="minorEastAsia" w:hAnsiTheme="minorEastAsia" w:eastAsiaTheme="minorEastAsia"/>
          <w:sz w:val="24"/>
        </w:rPr>
        <w:t xml:space="preserve"> ，从业人员</w:t>
      </w:r>
      <w:r>
        <w:rPr>
          <w:rFonts w:hint="eastAsia" w:asciiTheme="minorEastAsia" w:hAnsiTheme="minorEastAsia" w:eastAsiaTheme="minorEastAsia"/>
          <w:sz w:val="24"/>
        </w:rPr>
        <w:t>人，营业收入为万元，资产总额为万元，属于</w:t>
      </w:r>
      <w:r>
        <w:rPr>
          <w:rFonts w:asciiTheme="minorEastAsia" w:hAnsiTheme="minorEastAsia" w:eastAsiaTheme="minorEastAsia"/>
          <w:sz w:val="24"/>
          <w:u w:val="single"/>
        </w:rPr>
        <w:t xml:space="preserve"> （中型企业、小型企业、微型企业）</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u w:val="single"/>
        </w:rPr>
        <w:t>（标的名称）</w:t>
      </w:r>
      <w:r>
        <w:rPr>
          <w:rFonts w:asciiTheme="minorEastAsia" w:hAnsiTheme="minorEastAsia" w:eastAsiaTheme="minorEastAsia"/>
          <w:sz w:val="24"/>
        </w:rPr>
        <w:t xml:space="preserve"> ，属于 </w:t>
      </w:r>
      <w:r>
        <w:rPr>
          <w:rFonts w:hint="eastAsia" w:asciiTheme="minorEastAsia" w:hAnsiTheme="minorEastAsia" w:eastAsiaTheme="minorEastAsia"/>
          <w:sz w:val="24"/>
          <w:u w:val="single"/>
        </w:rPr>
        <w:t>（采购文件中明确的所属行业）</w:t>
      </w:r>
      <w:r>
        <w:rPr>
          <w:rFonts w:hint="eastAsia" w:asciiTheme="minorEastAsia" w:hAnsiTheme="minorEastAsia" w:eastAsiaTheme="minorEastAsia"/>
          <w:sz w:val="24"/>
        </w:rPr>
        <w:t>行业；制造商为</w:t>
      </w:r>
      <w:r>
        <w:rPr>
          <w:rFonts w:asciiTheme="minorEastAsia" w:hAnsiTheme="minorEastAsia" w:eastAsiaTheme="minorEastAsia"/>
          <w:sz w:val="24"/>
          <w:u w:val="single"/>
        </w:rPr>
        <w:t xml:space="preserve"> （企业名称）</w:t>
      </w:r>
      <w:r>
        <w:rPr>
          <w:rFonts w:asciiTheme="minorEastAsia" w:hAnsiTheme="minorEastAsia" w:eastAsiaTheme="minorEastAsia"/>
          <w:sz w:val="24"/>
        </w:rPr>
        <w:t xml:space="preserve"> ，从业人员</w:t>
      </w:r>
      <w:r>
        <w:rPr>
          <w:rFonts w:hint="eastAsia" w:asciiTheme="minorEastAsia" w:hAnsiTheme="minorEastAsia" w:eastAsiaTheme="minorEastAsia"/>
          <w:sz w:val="24"/>
        </w:rPr>
        <w:t>人，营业收入为万元，资产总额为万元，属于</w:t>
      </w:r>
      <w:r>
        <w:rPr>
          <w:rFonts w:asciiTheme="minorEastAsia" w:hAnsiTheme="minorEastAsia" w:eastAsiaTheme="minorEastAsia"/>
          <w:sz w:val="24"/>
          <w:u w:val="single"/>
        </w:rPr>
        <w:t xml:space="preserve"> （中型企业、小型企业、微型企业）</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本企业对上述声明内容的真实性负责。如有虚假，将依法承担相应责任。</w:t>
      </w:r>
    </w:p>
    <w:p>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投标人名称</w:t>
      </w:r>
      <w:r>
        <w:rPr>
          <w:rFonts w:cs="仿宋_GB2312" w:asciiTheme="minorEastAsia" w:hAnsiTheme="minorEastAsia" w:eastAsiaTheme="minorEastAsia"/>
          <w:kern w:val="0"/>
          <w:sz w:val="24"/>
          <w:lang w:val="zh-CN"/>
        </w:rPr>
        <w:t>(电子签名)：</w:t>
      </w:r>
    </w:p>
    <w:p>
      <w:pPr>
        <w:snapToGrid w:val="0"/>
        <w:spacing w:line="360" w:lineRule="auto"/>
        <w:rPr>
          <w:rFonts w:cs="仿宋_GB2312" w:asciiTheme="minorEastAsia" w:hAnsiTheme="minorEastAsia" w:eastAsiaTheme="minorEastAsia"/>
          <w:sz w:val="24"/>
        </w:rPr>
      </w:pPr>
      <w:r>
        <w:rPr>
          <w:rFonts w:cs="仿宋_GB2312" w:asciiTheme="minorEastAsia" w:hAnsiTheme="minorEastAsia" w:eastAsiaTheme="minorEastAsia"/>
          <w:kern w:val="0"/>
          <w:sz w:val="24"/>
          <w:lang w:val="zh-CN"/>
        </w:rPr>
        <w:t xml:space="preserve">                                           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月日</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2000019F" w:csb1="4F01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ingFang SC Regular">
    <w:altName w:val="宋体"/>
    <w:panose1 w:val="00000000000000000000"/>
    <w:charset w:val="86"/>
    <w:family w:val="roman"/>
    <w:pitch w:val="default"/>
    <w:sig w:usb0="00000000" w:usb1="00000000" w:usb2="00000017"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62" w:name="_Toc36110187"/>
    <w:bookmarkStart w:id="463" w:name="_Toc131845147"/>
    <w:bookmarkStart w:id="464" w:name="_Toc164085800"/>
    <w:bookmarkStart w:id="465" w:name="_Toc91899912"/>
    <w:r>
      <w:rPr>
        <w:rFonts w:hint="eastAsia" w:ascii="仿宋_GB2312" w:eastAsia="仿宋_GB2312"/>
        <w:kern w:val="0"/>
        <w:szCs w:val="21"/>
      </w:rPr>
      <w:t xml:space="preserve"> 页</w:t>
    </w:r>
    <w:bookmarkEnd w:id="462"/>
    <w:bookmarkEnd w:id="463"/>
    <w:bookmarkEnd w:id="464"/>
    <w:bookmarkEnd w:id="4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p>
  <w:p>
    <w:pPr>
      <w:pStyle w:val="41"/>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6563A"/>
    <w:multiLevelType w:val="multilevel"/>
    <w:tmpl w:val="1FF6563A"/>
    <w:lvl w:ilvl="0" w:tentative="0">
      <w:start w:val="1"/>
      <w:numFmt w:val="none"/>
      <w:pStyle w:val="96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Y2E0MzM3YTg4ODc3MWFkNmFlNjIyNzE2ZWZiM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6956"/>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80A"/>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694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A5"/>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2DA"/>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DD2"/>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513"/>
    <w:rsid w:val="000F3D08"/>
    <w:rsid w:val="000F3E93"/>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2D7"/>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F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340"/>
    <w:rsid w:val="001524DC"/>
    <w:rsid w:val="001525E5"/>
    <w:rsid w:val="00153859"/>
    <w:rsid w:val="00153915"/>
    <w:rsid w:val="001539F0"/>
    <w:rsid w:val="00153A04"/>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0C59"/>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71F"/>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582A"/>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F50"/>
    <w:rsid w:val="00224037"/>
    <w:rsid w:val="002244E4"/>
    <w:rsid w:val="00224D2A"/>
    <w:rsid w:val="00224D8D"/>
    <w:rsid w:val="00224E7D"/>
    <w:rsid w:val="0022555A"/>
    <w:rsid w:val="00227214"/>
    <w:rsid w:val="00227DDC"/>
    <w:rsid w:val="0023079F"/>
    <w:rsid w:val="00231135"/>
    <w:rsid w:val="00231829"/>
    <w:rsid w:val="00231B0B"/>
    <w:rsid w:val="00232555"/>
    <w:rsid w:val="0023343D"/>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96E"/>
    <w:rsid w:val="00292AA1"/>
    <w:rsid w:val="00294012"/>
    <w:rsid w:val="002945B0"/>
    <w:rsid w:val="0029499D"/>
    <w:rsid w:val="00294A13"/>
    <w:rsid w:val="00294B10"/>
    <w:rsid w:val="00294DF9"/>
    <w:rsid w:val="00295073"/>
    <w:rsid w:val="00295468"/>
    <w:rsid w:val="00296C32"/>
    <w:rsid w:val="00296DF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9C4"/>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4CE"/>
    <w:rsid w:val="003025FE"/>
    <w:rsid w:val="00302A27"/>
    <w:rsid w:val="00303AB6"/>
    <w:rsid w:val="00303CA3"/>
    <w:rsid w:val="00304640"/>
    <w:rsid w:val="00304AC1"/>
    <w:rsid w:val="00305090"/>
    <w:rsid w:val="00305454"/>
    <w:rsid w:val="00305B9F"/>
    <w:rsid w:val="00305E21"/>
    <w:rsid w:val="003066C6"/>
    <w:rsid w:val="003066FA"/>
    <w:rsid w:val="00306AD6"/>
    <w:rsid w:val="003072B1"/>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CD0"/>
    <w:rsid w:val="003235E6"/>
    <w:rsid w:val="00324038"/>
    <w:rsid w:val="00324951"/>
    <w:rsid w:val="003249F6"/>
    <w:rsid w:val="00324B2F"/>
    <w:rsid w:val="00325FCC"/>
    <w:rsid w:val="00326106"/>
    <w:rsid w:val="00326805"/>
    <w:rsid w:val="003269B7"/>
    <w:rsid w:val="00326C0E"/>
    <w:rsid w:val="003272A3"/>
    <w:rsid w:val="003272E4"/>
    <w:rsid w:val="00327B71"/>
    <w:rsid w:val="00327DC3"/>
    <w:rsid w:val="00330D8E"/>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39"/>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284"/>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438"/>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BD4"/>
    <w:rsid w:val="003971A1"/>
    <w:rsid w:val="003A0F6B"/>
    <w:rsid w:val="003A12B6"/>
    <w:rsid w:val="003A1C44"/>
    <w:rsid w:val="003A20D5"/>
    <w:rsid w:val="003A24CC"/>
    <w:rsid w:val="003A2512"/>
    <w:rsid w:val="003A2A53"/>
    <w:rsid w:val="003A2EE8"/>
    <w:rsid w:val="003A373C"/>
    <w:rsid w:val="003A3A76"/>
    <w:rsid w:val="003A5000"/>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3A9"/>
    <w:rsid w:val="003C0E32"/>
    <w:rsid w:val="003C11D7"/>
    <w:rsid w:val="003C16CB"/>
    <w:rsid w:val="003C1B97"/>
    <w:rsid w:val="003C247B"/>
    <w:rsid w:val="003C30F2"/>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26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25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C19"/>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4EC9"/>
    <w:rsid w:val="00425341"/>
    <w:rsid w:val="004255FE"/>
    <w:rsid w:val="00425674"/>
    <w:rsid w:val="00425A82"/>
    <w:rsid w:val="00425C60"/>
    <w:rsid w:val="00426B2C"/>
    <w:rsid w:val="00427FA8"/>
    <w:rsid w:val="0043009D"/>
    <w:rsid w:val="0043026B"/>
    <w:rsid w:val="00430299"/>
    <w:rsid w:val="004306D4"/>
    <w:rsid w:val="00431A2A"/>
    <w:rsid w:val="00432ECA"/>
    <w:rsid w:val="00433B59"/>
    <w:rsid w:val="0043554E"/>
    <w:rsid w:val="004355D4"/>
    <w:rsid w:val="004357B1"/>
    <w:rsid w:val="00435821"/>
    <w:rsid w:val="0043583E"/>
    <w:rsid w:val="00436CCE"/>
    <w:rsid w:val="00436EAD"/>
    <w:rsid w:val="00436FA7"/>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21B"/>
    <w:rsid w:val="00483984"/>
    <w:rsid w:val="00483BC7"/>
    <w:rsid w:val="00483CF0"/>
    <w:rsid w:val="00484D4D"/>
    <w:rsid w:val="00484E11"/>
    <w:rsid w:val="00486516"/>
    <w:rsid w:val="0048664F"/>
    <w:rsid w:val="004868AD"/>
    <w:rsid w:val="00486D00"/>
    <w:rsid w:val="00487FE1"/>
    <w:rsid w:val="00490403"/>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30A"/>
    <w:rsid w:val="004B0BE8"/>
    <w:rsid w:val="004B0E4A"/>
    <w:rsid w:val="004B1868"/>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4DA"/>
    <w:rsid w:val="0050079C"/>
    <w:rsid w:val="0050106A"/>
    <w:rsid w:val="005010BC"/>
    <w:rsid w:val="00501848"/>
    <w:rsid w:val="00502B31"/>
    <w:rsid w:val="00503875"/>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686"/>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3C7"/>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20B"/>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27"/>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AD3"/>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BCD"/>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124"/>
    <w:rsid w:val="006405EC"/>
    <w:rsid w:val="00640A4D"/>
    <w:rsid w:val="00641160"/>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032"/>
    <w:rsid w:val="0065343E"/>
    <w:rsid w:val="006536BB"/>
    <w:rsid w:val="0065398F"/>
    <w:rsid w:val="00653C7C"/>
    <w:rsid w:val="00654021"/>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C55"/>
    <w:rsid w:val="00683DAD"/>
    <w:rsid w:val="00684592"/>
    <w:rsid w:val="00684963"/>
    <w:rsid w:val="00685033"/>
    <w:rsid w:val="0068517F"/>
    <w:rsid w:val="00685D65"/>
    <w:rsid w:val="00685FC8"/>
    <w:rsid w:val="00686E80"/>
    <w:rsid w:val="00687314"/>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83D"/>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9D"/>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74D"/>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A4"/>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16E"/>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02"/>
    <w:rsid w:val="007C17B4"/>
    <w:rsid w:val="007C20F8"/>
    <w:rsid w:val="007C21C5"/>
    <w:rsid w:val="007C2229"/>
    <w:rsid w:val="007C2313"/>
    <w:rsid w:val="007C3590"/>
    <w:rsid w:val="007C387A"/>
    <w:rsid w:val="007C3A0D"/>
    <w:rsid w:val="007C3EB0"/>
    <w:rsid w:val="007C43D6"/>
    <w:rsid w:val="007C47FF"/>
    <w:rsid w:val="007C509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F71"/>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1A8"/>
    <w:rsid w:val="008308D8"/>
    <w:rsid w:val="008320D2"/>
    <w:rsid w:val="008321CE"/>
    <w:rsid w:val="0083257C"/>
    <w:rsid w:val="0083261B"/>
    <w:rsid w:val="00832B44"/>
    <w:rsid w:val="00832EC9"/>
    <w:rsid w:val="00833307"/>
    <w:rsid w:val="00833583"/>
    <w:rsid w:val="00833B5B"/>
    <w:rsid w:val="00833E9A"/>
    <w:rsid w:val="00834FEF"/>
    <w:rsid w:val="00836323"/>
    <w:rsid w:val="0083650E"/>
    <w:rsid w:val="00837D3D"/>
    <w:rsid w:val="00837E9B"/>
    <w:rsid w:val="008404AA"/>
    <w:rsid w:val="008406D7"/>
    <w:rsid w:val="0084074F"/>
    <w:rsid w:val="008407BA"/>
    <w:rsid w:val="00840AA3"/>
    <w:rsid w:val="00840AAC"/>
    <w:rsid w:val="0084101C"/>
    <w:rsid w:val="0084181B"/>
    <w:rsid w:val="00841F29"/>
    <w:rsid w:val="008425CC"/>
    <w:rsid w:val="00842DC2"/>
    <w:rsid w:val="00842E37"/>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8D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1B"/>
    <w:rsid w:val="008C0265"/>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374"/>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664"/>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6EB1"/>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1DCB"/>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3ED"/>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34D"/>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2B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C0B"/>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7E3"/>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135"/>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F02"/>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D3"/>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FC3"/>
    <w:rsid w:val="00AB3466"/>
    <w:rsid w:val="00AB38B2"/>
    <w:rsid w:val="00AB3BBB"/>
    <w:rsid w:val="00AB408C"/>
    <w:rsid w:val="00AB43AF"/>
    <w:rsid w:val="00AB4E41"/>
    <w:rsid w:val="00AB5EB1"/>
    <w:rsid w:val="00AB5F1D"/>
    <w:rsid w:val="00AB6003"/>
    <w:rsid w:val="00AB7474"/>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F0D"/>
    <w:rsid w:val="00AF03CF"/>
    <w:rsid w:val="00AF0A0A"/>
    <w:rsid w:val="00AF14FC"/>
    <w:rsid w:val="00AF1ED2"/>
    <w:rsid w:val="00AF1F4E"/>
    <w:rsid w:val="00AF2302"/>
    <w:rsid w:val="00AF262A"/>
    <w:rsid w:val="00AF3557"/>
    <w:rsid w:val="00AF3F86"/>
    <w:rsid w:val="00AF4BDB"/>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3AC"/>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17"/>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452"/>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C4D"/>
    <w:rsid w:val="00B55F64"/>
    <w:rsid w:val="00B56ECA"/>
    <w:rsid w:val="00B57093"/>
    <w:rsid w:val="00B57B5D"/>
    <w:rsid w:val="00B60613"/>
    <w:rsid w:val="00B61AEC"/>
    <w:rsid w:val="00B6244C"/>
    <w:rsid w:val="00B62A2F"/>
    <w:rsid w:val="00B62B7B"/>
    <w:rsid w:val="00B62F0A"/>
    <w:rsid w:val="00B63408"/>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545"/>
    <w:rsid w:val="00BE7F4D"/>
    <w:rsid w:val="00BF03C0"/>
    <w:rsid w:val="00BF0EBF"/>
    <w:rsid w:val="00BF1534"/>
    <w:rsid w:val="00BF1FB4"/>
    <w:rsid w:val="00BF1FEE"/>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09"/>
    <w:rsid w:val="00C1604F"/>
    <w:rsid w:val="00C16450"/>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94D"/>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E5E"/>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E0"/>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896"/>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64B"/>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EF6"/>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CE9"/>
    <w:rsid w:val="00DE5D48"/>
    <w:rsid w:val="00DE6E4D"/>
    <w:rsid w:val="00DE7498"/>
    <w:rsid w:val="00DE75EF"/>
    <w:rsid w:val="00DE7611"/>
    <w:rsid w:val="00DE7D19"/>
    <w:rsid w:val="00DF05A0"/>
    <w:rsid w:val="00DF1162"/>
    <w:rsid w:val="00DF1A68"/>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40"/>
    <w:rsid w:val="00E92FFF"/>
    <w:rsid w:val="00E93195"/>
    <w:rsid w:val="00E9391C"/>
    <w:rsid w:val="00E93D05"/>
    <w:rsid w:val="00E951D8"/>
    <w:rsid w:val="00E956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B1C"/>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12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67ED9"/>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CD"/>
    <w:rsid w:val="00FE1852"/>
    <w:rsid w:val="00FE1963"/>
    <w:rsid w:val="00FE1981"/>
    <w:rsid w:val="00FE1BF1"/>
    <w:rsid w:val="00FE33DB"/>
    <w:rsid w:val="00FE33F5"/>
    <w:rsid w:val="00FE352A"/>
    <w:rsid w:val="00FE37DD"/>
    <w:rsid w:val="00FE3C31"/>
    <w:rsid w:val="00FE3EC1"/>
    <w:rsid w:val="00FE4015"/>
    <w:rsid w:val="00FE44F5"/>
    <w:rsid w:val="00FE4783"/>
    <w:rsid w:val="00FE480D"/>
    <w:rsid w:val="00FE4ACC"/>
    <w:rsid w:val="00FE4F80"/>
    <w:rsid w:val="00FE570E"/>
    <w:rsid w:val="00FE6870"/>
    <w:rsid w:val="00FE713E"/>
    <w:rsid w:val="00FE7877"/>
    <w:rsid w:val="00FE7CE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4B27"/>
    <w:rsid w:val="011F6449"/>
    <w:rsid w:val="01236AFB"/>
    <w:rsid w:val="019F7441"/>
    <w:rsid w:val="01B37585"/>
    <w:rsid w:val="01D55165"/>
    <w:rsid w:val="01DF6BF8"/>
    <w:rsid w:val="01EC2C57"/>
    <w:rsid w:val="026B2E25"/>
    <w:rsid w:val="02824D4D"/>
    <w:rsid w:val="02B742E5"/>
    <w:rsid w:val="02DC4B10"/>
    <w:rsid w:val="02DD76CE"/>
    <w:rsid w:val="02F36323"/>
    <w:rsid w:val="02F5619C"/>
    <w:rsid w:val="02FC7879"/>
    <w:rsid w:val="0326446A"/>
    <w:rsid w:val="032D5555"/>
    <w:rsid w:val="036634D2"/>
    <w:rsid w:val="037527A1"/>
    <w:rsid w:val="037D3738"/>
    <w:rsid w:val="03DD35E4"/>
    <w:rsid w:val="03E2554B"/>
    <w:rsid w:val="04076900"/>
    <w:rsid w:val="041A5A3B"/>
    <w:rsid w:val="042311BA"/>
    <w:rsid w:val="04275653"/>
    <w:rsid w:val="042B157A"/>
    <w:rsid w:val="048F763B"/>
    <w:rsid w:val="049727D9"/>
    <w:rsid w:val="049F330E"/>
    <w:rsid w:val="04AA775C"/>
    <w:rsid w:val="04AF1889"/>
    <w:rsid w:val="04F66F48"/>
    <w:rsid w:val="05096B07"/>
    <w:rsid w:val="05251E14"/>
    <w:rsid w:val="056F1060"/>
    <w:rsid w:val="059211F2"/>
    <w:rsid w:val="05A16594"/>
    <w:rsid w:val="05A7762D"/>
    <w:rsid w:val="060E5941"/>
    <w:rsid w:val="06110FAF"/>
    <w:rsid w:val="06493CA7"/>
    <w:rsid w:val="065A6178"/>
    <w:rsid w:val="066F1CF3"/>
    <w:rsid w:val="06930BB8"/>
    <w:rsid w:val="06986394"/>
    <w:rsid w:val="069A210C"/>
    <w:rsid w:val="07235BE1"/>
    <w:rsid w:val="07245D42"/>
    <w:rsid w:val="07264C62"/>
    <w:rsid w:val="0779354C"/>
    <w:rsid w:val="079A4D38"/>
    <w:rsid w:val="07AB3EF9"/>
    <w:rsid w:val="08061376"/>
    <w:rsid w:val="08452D77"/>
    <w:rsid w:val="086401F8"/>
    <w:rsid w:val="08751CAA"/>
    <w:rsid w:val="087E4C40"/>
    <w:rsid w:val="08D66AD6"/>
    <w:rsid w:val="08DA33A3"/>
    <w:rsid w:val="08E80F13"/>
    <w:rsid w:val="091D0DD3"/>
    <w:rsid w:val="09335624"/>
    <w:rsid w:val="0944690F"/>
    <w:rsid w:val="09535675"/>
    <w:rsid w:val="095F057D"/>
    <w:rsid w:val="09642282"/>
    <w:rsid w:val="09733572"/>
    <w:rsid w:val="09772C16"/>
    <w:rsid w:val="098353B5"/>
    <w:rsid w:val="09A92330"/>
    <w:rsid w:val="09B06B87"/>
    <w:rsid w:val="09C13146"/>
    <w:rsid w:val="09E04166"/>
    <w:rsid w:val="0A002560"/>
    <w:rsid w:val="0A1C0718"/>
    <w:rsid w:val="0A3E7710"/>
    <w:rsid w:val="0A5B7E63"/>
    <w:rsid w:val="0A86192A"/>
    <w:rsid w:val="0AA374A5"/>
    <w:rsid w:val="0AAB7649"/>
    <w:rsid w:val="0ABC5606"/>
    <w:rsid w:val="0B30404E"/>
    <w:rsid w:val="0B4C6C14"/>
    <w:rsid w:val="0B631A88"/>
    <w:rsid w:val="0B683D45"/>
    <w:rsid w:val="0B7F3F11"/>
    <w:rsid w:val="0B884417"/>
    <w:rsid w:val="0B974E6D"/>
    <w:rsid w:val="0BF6188C"/>
    <w:rsid w:val="0BF73C91"/>
    <w:rsid w:val="0C170175"/>
    <w:rsid w:val="0C2A3F33"/>
    <w:rsid w:val="0C571A41"/>
    <w:rsid w:val="0C5C1171"/>
    <w:rsid w:val="0C5E1CBC"/>
    <w:rsid w:val="0C615B50"/>
    <w:rsid w:val="0C8445DA"/>
    <w:rsid w:val="0C87121B"/>
    <w:rsid w:val="0CC007F7"/>
    <w:rsid w:val="0CFE707A"/>
    <w:rsid w:val="0D063BDA"/>
    <w:rsid w:val="0D08375F"/>
    <w:rsid w:val="0D184CFB"/>
    <w:rsid w:val="0D33427A"/>
    <w:rsid w:val="0D497E42"/>
    <w:rsid w:val="0D4A3C1A"/>
    <w:rsid w:val="0D4A7419"/>
    <w:rsid w:val="0D7E5111"/>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5E7B"/>
    <w:rsid w:val="0F816ACD"/>
    <w:rsid w:val="0F9832DB"/>
    <w:rsid w:val="0FBF3FD2"/>
    <w:rsid w:val="0FBF7FF3"/>
    <w:rsid w:val="0FEA23BC"/>
    <w:rsid w:val="105B2DD7"/>
    <w:rsid w:val="10646583"/>
    <w:rsid w:val="107D4B15"/>
    <w:rsid w:val="108A3C80"/>
    <w:rsid w:val="10AD0F8B"/>
    <w:rsid w:val="10C26171"/>
    <w:rsid w:val="10F33360"/>
    <w:rsid w:val="10FC16EA"/>
    <w:rsid w:val="110F1D40"/>
    <w:rsid w:val="11266F33"/>
    <w:rsid w:val="118963A1"/>
    <w:rsid w:val="11BD13A5"/>
    <w:rsid w:val="11C6522A"/>
    <w:rsid w:val="11E104CC"/>
    <w:rsid w:val="11E20309"/>
    <w:rsid w:val="12183532"/>
    <w:rsid w:val="12255233"/>
    <w:rsid w:val="1226519C"/>
    <w:rsid w:val="12443EF1"/>
    <w:rsid w:val="12530213"/>
    <w:rsid w:val="127723A9"/>
    <w:rsid w:val="12862074"/>
    <w:rsid w:val="12883966"/>
    <w:rsid w:val="128F5C70"/>
    <w:rsid w:val="129E45B4"/>
    <w:rsid w:val="12D81596"/>
    <w:rsid w:val="13072A44"/>
    <w:rsid w:val="135F4BE2"/>
    <w:rsid w:val="139B1A0A"/>
    <w:rsid w:val="139D25C7"/>
    <w:rsid w:val="13BF3CE4"/>
    <w:rsid w:val="141008D8"/>
    <w:rsid w:val="14125FE6"/>
    <w:rsid w:val="146D271E"/>
    <w:rsid w:val="148B74E5"/>
    <w:rsid w:val="14982588"/>
    <w:rsid w:val="149A5AD9"/>
    <w:rsid w:val="14A7619D"/>
    <w:rsid w:val="14C16100"/>
    <w:rsid w:val="14C33176"/>
    <w:rsid w:val="14F44AB2"/>
    <w:rsid w:val="150536C3"/>
    <w:rsid w:val="150C1963"/>
    <w:rsid w:val="151447A0"/>
    <w:rsid w:val="154A6454"/>
    <w:rsid w:val="15762120"/>
    <w:rsid w:val="15B34F99"/>
    <w:rsid w:val="15BF393E"/>
    <w:rsid w:val="162B0FD3"/>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033B68"/>
    <w:rsid w:val="19157D18"/>
    <w:rsid w:val="196A3D4B"/>
    <w:rsid w:val="19932372"/>
    <w:rsid w:val="19A20DD5"/>
    <w:rsid w:val="19AE03F1"/>
    <w:rsid w:val="1A071A03"/>
    <w:rsid w:val="1A131575"/>
    <w:rsid w:val="1A1F16AE"/>
    <w:rsid w:val="1A3B5C77"/>
    <w:rsid w:val="1A613215"/>
    <w:rsid w:val="1A984BAD"/>
    <w:rsid w:val="1AB8220E"/>
    <w:rsid w:val="1AE4166C"/>
    <w:rsid w:val="1AF06CFB"/>
    <w:rsid w:val="1AF11B8D"/>
    <w:rsid w:val="1B11359C"/>
    <w:rsid w:val="1B2A271F"/>
    <w:rsid w:val="1B530544"/>
    <w:rsid w:val="1B6E5FB3"/>
    <w:rsid w:val="1B713184"/>
    <w:rsid w:val="1BA209CF"/>
    <w:rsid w:val="1BB4777D"/>
    <w:rsid w:val="1BCA0045"/>
    <w:rsid w:val="1BD75AB8"/>
    <w:rsid w:val="1C0459C2"/>
    <w:rsid w:val="1C146065"/>
    <w:rsid w:val="1C1B3B4A"/>
    <w:rsid w:val="1C5E2D90"/>
    <w:rsid w:val="1C8074D4"/>
    <w:rsid w:val="1C88086E"/>
    <w:rsid w:val="1CC46892"/>
    <w:rsid w:val="1D0460DA"/>
    <w:rsid w:val="1D266CE1"/>
    <w:rsid w:val="1D3963AF"/>
    <w:rsid w:val="1D552DD9"/>
    <w:rsid w:val="1D5B4ED9"/>
    <w:rsid w:val="1D6A673C"/>
    <w:rsid w:val="1D8D4321"/>
    <w:rsid w:val="1D9247AE"/>
    <w:rsid w:val="1DA04705"/>
    <w:rsid w:val="1DB567EC"/>
    <w:rsid w:val="1DF51A98"/>
    <w:rsid w:val="1DF61EC7"/>
    <w:rsid w:val="1E3D060F"/>
    <w:rsid w:val="1E3F7D2E"/>
    <w:rsid w:val="1E4134E4"/>
    <w:rsid w:val="1E5062B3"/>
    <w:rsid w:val="1E523514"/>
    <w:rsid w:val="1E714A66"/>
    <w:rsid w:val="1E802593"/>
    <w:rsid w:val="1EA21FD0"/>
    <w:rsid w:val="1EA703CC"/>
    <w:rsid w:val="1EB7330C"/>
    <w:rsid w:val="1F0A0FF3"/>
    <w:rsid w:val="1F5771FF"/>
    <w:rsid w:val="1FE868A9"/>
    <w:rsid w:val="20034907"/>
    <w:rsid w:val="20173E4B"/>
    <w:rsid w:val="204E48BC"/>
    <w:rsid w:val="20856F1F"/>
    <w:rsid w:val="208921B3"/>
    <w:rsid w:val="208C7D58"/>
    <w:rsid w:val="20973DEB"/>
    <w:rsid w:val="20B26522"/>
    <w:rsid w:val="20B44310"/>
    <w:rsid w:val="20C56224"/>
    <w:rsid w:val="20EE75C7"/>
    <w:rsid w:val="211116EB"/>
    <w:rsid w:val="216133FC"/>
    <w:rsid w:val="21615CE9"/>
    <w:rsid w:val="21D56769"/>
    <w:rsid w:val="21E52EF3"/>
    <w:rsid w:val="21FB5D7B"/>
    <w:rsid w:val="220B1C3D"/>
    <w:rsid w:val="221D1D20"/>
    <w:rsid w:val="22334A87"/>
    <w:rsid w:val="22BE6801"/>
    <w:rsid w:val="233500BF"/>
    <w:rsid w:val="23377FF7"/>
    <w:rsid w:val="233A662C"/>
    <w:rsid w:val="23483118"/>
    <w:rsid w:val="236B425F"/>
    <w:rsid w:val="23774B48"/>
    <w:rsid w:val="23836192"/>
    <w:rsid w:val="23901F29"/>
    <w:rsid w:val="239C0061"/>
    <w:rsid w:val="23B908A4"/>
    <w:rsid w:val="23DC1B5F"/>
    <w:rsid w:val="23E95BEF"/>
    <w:rsid w:val="23ED78C8"/>
    <w:rsid w:val="23FD0064"/>
    <w:rsid w:val="245375B0"/>
    <w:rsid w:val="245A2AD1"/>
    <w:rsid w:val="24642C0A"/>
    <w:rsid w:val="24650B5C"/>
    <w:rsid w:val="246A0F18"/>
    <w:rsid w:val="24A7216D"/>
    <w:rsid w:val="24B22173"/>
    <w:rsid w:val="24B93C4E"/>
    <w:rsid w:val="24B95AD9"/>
    <w:rsid w:val="24BE24DA"/>
    <w:rsid w:val="24CF5825"/>
    <w:rsid w:val="24D663E6"/>
    <w:rsid w:val="24D77F2B"/>
    <w:rsid w:val="24E8008F"/>
    <w:rsid w:val="24E82E11"/>
    <w:rsid w:val="24F41CE7"/>
    <w:rsid w:val="25237319"/>
    <w:rsid w:val="258B00E2"/>
    <w:rsid w:val="25A917A6"/>
    <w:rsid w:val="25BE27CC"/>
    <w:rsid w:val="25F74A5C"/>
    <w:rsid w:val="2628662C"/>
    <w:rsid w:val="262D45DE"/>
    <w:rsid w:val="26A53EF9"/>
    <w:rsid w:val="26A94201"/>
    <w:rsid w:val="26AC274F"/>
    <w:rsid w:val="26C069A4"/>
    <w:rsid w:val="27044A29"/>
    <w:rsid w:val="271D34C8"/>
    <w:rsid w:val="276142BF"/>
    <w:rsid w:val="27783712"/>
    <w:rsid w:val="27907362"/>
    <w:rsid w:val="279A191D"/>
    <w:rsid w:val="27A47C05"/>
    <w:rsid w:val="27F356C9"/>
    <w:rsid w:val="28333E1D"/>
    <w:rsid w:val="28335AC5"/>
    <w:rsid w:val="283D06F2"/>
    <w:rsid w:val="28454BD6"/>
    <w:rsid w:val="28455253"/>
    <w:rsid w:val="28551971"/>
    <w:rsid w:val="285B1C53"/>
    <w:rsid w:val="287B7B98"/>
    <w:rsid w:val="289B0647"/>
    <w:rsid w:val="289F7086"/>
    <w:rsid w:val="28C01A4F"/>
    <w:rsid w:val="28C32028"/>
    <w:rsid w:val="28CC490F"/>
    <w:rsid w:val="28DE40AA"/>
    <w:rsid w:val="290C6A42"/>
    <w:rsid w:val="2914146A"/>
    <w:rsid w:val="29345E77"/>
    <w:rsid w:val="294C65AD"/>
    <w:rsid w:val="29806583"/>
    <w:rsid w:val="298B3C4C"/>
    <w:rsid w:val="29F26D24"/>
    <w:rsid w:val="29F37C02"/>
    <w:rsid w:val="2A15033F"/>
    <w:rsid w:val="2A1662C1"/>
    <w:rsid w:val="2A1C7367"/>
    <w:rsid w:val="2A2815FA"/>
    <w:rsid w:val="2A32072A"/>
    <w:rsid w:val="2A5222B6"/>
    <w:rsid w:val="2A6D6092"/>
    <w:rsid w:val="2A7D76B4"/>
    <w:rsid w:val="2B437463"/>
    <w:rsid w:val="2B4D3E13"/>
    <w:rsid w:val="2B53598A"/>
    <w:rsid w:val="2B7807EE"/>
    <w:rsid w:val="2B8925CC"/>
    <w:rsid w:val="2BBF00EC"/>
    <w:rsid w:val="2BC37CFD"/>
    <w:rsid w:val="2BD5237F"/>
    <w:rsid w:val="2BE536CE"/>
    <w:rsid w:val="2BE758D9"/>
    <w:rsid w:val="2C09049E"/>
    <w:rsid w:val="2C0A653C"/>
    <w:rsid w:val="2C191F85"/>
    <w:rsid w:val="2CE82D6F"/>
    <w:rsid w:val="2D343236"/>
    <w:rsid w:val="2DD15014"/>
    <w:rsid w:val="2DEA1414"/>
    <w:rsid w:val="2DF72DE4"/>
    <w:rsid w:val="2E0220AF"/>
    <w:rsid w:val="2E4B082A"/>
    <w:rsid w:val="2E5D4E86"/>
    <w:rsid w:val="2E5D790B"/>
    <w:rsid w:val="2E956F51"/>
    <w:rsid w:val="2E9A3C18"/>
    <w:rsid w:val="2EBB0FEE"/>
    <w:rsid w:val="2EC13E2B"/>
    <w:rsid w:val="2EC63002"/>
    <w:rsid w:val="2F0A6B38"/>
    <w:rsid w:val="2F946CCB"/>
    <w:rsid w:val="2FAD1A53"/>
    <w:rsid w:val="2FB66570"/>
    <w:rsid w:val="2FD25781"/>
    <w:rsid w:val="2FFD7934"/>
    <w:rsid w:val="301B3A0F"/>
    <w:rsid w:val="30544670"/>
    <w:rsid w:val="305D6C11"/>
    <w:rsid w:val="30733ACD"/>
    <w:rsid w:val="308C3862"/>
    <w:rsid w:val="309379D8"/>
    <w:rsid w:val="30A270F7"/>
    <w:rsid w:val="30DF1478"/>
    <w:rsid w:val="30EC586F"/>
    <w:rsid w:val="30F249BC"/>
    <w:rsid w:val="313A2ECB"/>
    <w:rsid w:val="319C6071"/>
    <w:rsid w:val="31AC537E"/>
    <w:rsid w:val="31E3679B"/>
    <w:rsid w:val="31E732FD"/>
    <w:rsid w:val="32517576"/>
    <w:rsid w:val="325F576F"/>
    <w:rsid w:val="3268696E"/>
    <w:rsid w:val="32A35CCD"/>
    <w:rsid w:val="32AE2918"/>
    <w:rsid w:val="32BE5C2C"/>
    <w:rsid w:val="32F347CF"/>
    <w:rsid w:val="32FB6478"/>
    <w:rsid w:val="33263B3F"/>
    <w:rsid w:val="333A41AC"/>
    <w:rsid w:val="336963EB"/>
    <w:rsid w:val="33816EEB"/>
    <w:rsid w:val="33B25991"/>
    <w:rsid w:val="33E5430A"/>
    <w:rsid w:val="33EB55CD"/>
    <w:rsid w:val="33EC4C02"/>
    <w:rsid w:val="33ED4A37"/>
    <w:rsid w:val="340D2360"/>
    <w:rsid w:val="3410665D"/>
    <w:rsid w:val="34211214"/>
    <w:rsid w:val="342E63AB"/>
    <w:rsid w:val="344D6161"/>
    <w:rsid w:val="34950E68"/>
    <w:rsid w:val="34986E94"/>
    <w:rsid w:val="34AF62C9"/>
    <w:rsid w:val="34BC1C02"/>
    <w:rsid w:val="34C430E2"/>
    <w:rsid w:val="34CB4388"/>
    <w:rsid w:val="34FA6E12"/>
    <w:rsid w:val="34FD7B87"/>
    <w:rsid w:val="356203D0"/>
    <w:rsid w:val="358D5588"/>
    <w:rsid w:val="35BD5667"/>
    <w:rsid w:val="35C475F8"/>
    <w:rsid w:val="363A3B40"/>
    <w:rsid w:val="365302AE"/>
    <w:rsid w:val="36607A0A"/>
    <w:rsid w:val="366E227C"/>
    <w:rsid w:val="366F2E0D"/>
    <w:rsid w:val="367B6A5C"/>
    <w:rsid w:val="36A74ADA"/>
    <w:rsid w:val="36AD60D5"/>
    <w:rsid w:val="36B224F9"/>
    <w:rsid w:val="36E56B24"/>
    <w:rsid w:val="36EC0CC9"/>
    <w:rsid w:val="36EE5A63"/>
    <w:rsid w:val="373F410B"/>
    <w:rsid w:val="37BF2ED1"/>
    <w:rsid w:val="37DC3354"/>
    <w:rsid w:val="37DC59A5"/>
    <w:rsid w:val="37EE7094"/>
    <w:rsid w:val="38296C89"/>
    <w:rsid w:val="382F0057"/>
    <w:rsid w:val="383002EB"/>
    <w:rsid w:val="38306592"/>
    <w:rsid w:val="38586797"/>
    <w:rsid w:val="38AC16BA"/>
    <w:rsid w:val="38BC0149"/>
    <w:rsid w:val="38D87D1C"/>
    <w:rsid w:val="39007C46"/>
    <w:rsid w:val="391B682D"/>
    <w:rsid w:val="39636459"/>
    <w:rsid w:val="396B7F6C"/>
    <w:rsid w:val="39B417A9"/>
    <w:rsid w:val="39FC5695"/>
    <w:rsid w:val="3A006D8E"/>
    <w:rsid w:val="3A064D62"/>
    <w:rsid w:val="3A3651E5"/>
    <w:rsid w:val="3A744481"/>
    <w:rsid w:val="3A8C7BEF"/>
    <w:rsid w:val="3A906246"/>
    <w:rsid w:val="3AEC62ED"/>
    <w:rsid w:val="3B00217F"/>
    <w:rsid w:val="3B2349B7"/>
    <w:rsid w:val="3B616CFF"/>
    <w:rsid w:val="3B6259F6"/>
    <w:rsid w:val="3B976654"/>
    <w:rsid w:val="3BC01EFC"/>
    <w:rsid w:val="3BCA786A"/>
    <w:rsid w:val="3BD31E2F"/>
    <w:rsid w:val="3BF15831"/>
    <w:rsid w:val="3C105946"/>
    <w:rsid w:val="3C471448"/>
    <w:rsid w:val="3C5F759A"/>
    <w:rsid w:val="3C6C525A"/>
    <w:rsid w:val="3C7249B6"/>
    <w:rsid w:val="3CCE23CB"/>
    <w:rsid w:val="3CD17D17"/>
    <w:rsid w:val="3D0138A5"/>
    <w:rsid w:val="3D141F11"/>
    <w:rsid w:val="3D395ADC"/>
    <w:rsid w:val="3D3C7F39"/>
    <w:rsid w:val="3D440F09"/>
    <w:rsid w:val="3D4504A0"/>
    <w:rsid w:val="3D717A0C"/>
    <w:rsid w:val="3D8734BB"/>
    <w:rsid w:val="3D9A11D4"/>
    <w:rsid w:val="3DA16D89"/>
    <w:rsid w:val="3DA364BE"/>
    <w:rsid w:val="3DB8289D"/>
    <w:rsid w:val="3DC226DF"/>
    <w:rsid w:val="3DD60F75"/>
    <w:rsid w:val="3DDD67A7"/>
    <w:rsid w:val="3DE041CB"/>
    <w:rsid w:val="3E0D48F6"/>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F0234"/>
    <w:rsid w:val="3F6363FE"/>
    <w:rsid w:val="3F756B8F"/>
    <w:rsid w:val="3F7B0026"/>
    <w:rsid w:val="3F95482B"/>
    <w:rsid w:val="4019356B"/>
    <w:rsid w:val="40592157"/>
    <w:rsid w:val="406E1CAE"/>
    <w:rsid w:val="40890521"/>
    <w:rsid w:val="40893D34"/>
    <w:rsid w:val="40A0133A"/>
    <w:rsid w:val="40C31A53"/>
    <w:rsid w:val="40FF545D"/>
    <w:rsid w:val="410067C8"/>
    <w:rsid w:val="418F0D2A"/>
    <w:rsid w:val="41AE46E3"/>
    <w:rsid w:val="41C47DD5"/>
    <w:rsid w:val="41D01505"/>
    <w:rsid w:val="42474939"/>
    <w:rsid w:val="424C3C57"/>
    <w:rsid w:val="425E6521"/>
    <w:rsid w:val="42613FF3"/>
    <w:rsid w:val="42660D96"/>
    <w:rsid w:val="428667D2"/>
    <w:rsid w:val="429D1BD0"/>
    <w:rsid w:val="42CD1CE0"/>
    <w:rsid w:val="42E1381E"/>
    <w:rsid w:val="42ED6459"/>
    <w:rsid w:val="42FE58DD"/>
    <w:rsid w:val="43174B3D"/>
    <w:rsid w:val="433C3D82"/>
    <w:rsid w:val="434B790E"/>
    <w:rsid w:val="4360274F"/>
    <w:rsid w:val="43977AB6"/>
    <w:rsid w:val="43A3342B"/>
    <w:rsid w:val="43C77C27"/>
    <w:rsid w:val="43DE09EE"/>
    <w:rsid w:val="44002FAD"/>
    <w:rsid w:val="44316F05"/>
    <w:rsid w:val="447D0308"/>
    <w:rsid w:val="449101DD"/>
    <w:rsid w:val="44DE1391"/>
    <w:rsid w:val="451B225C"/>
    <w:rsid w:val="452410C9"/>
    <w:rsid w:val="452C1D16"/>
    <w:rsid w:val="45317DFB"/>
    <w:rsid w:val="456D3CE4"/>
    <w:rsid w:val="4579042C"/>
    <w:rsid w:val="457F0571"/>
    <w:rsid w:val="45851176"/>
    <w:rsid w:val="459A2FF4"/>
    <w:rsid w:val="45C63B94"/>
    <w:rsid w:val="45F0214F"/>
    <w:rsid w:val="460E7DA5"/>
    <w:rsid w:val="462F1B6A"/>
    <w:rsid w:val="46422483"/>
    <w:rsid w:val="4659254A"/>
    <w:rsid w:val="465B0637"/>
    <w:rsid w:val="465E3F0D"/>
    <w:rsid w:val="466A16E6"/>
    <w:rsid w:val="46893F2B"/>
    <w:rsid w:val="46C4686E"/>
    <w:rsid w:val="47086E14"/>
    <w:rsid w:val="4714323A"/>
    <w:rsid w:val="477B778F"/>
    <w:rsid w:val="478203EC"/>
    <w:rsid w:val="47B025FA"/>
    <w:rsid w:val="4809698F"/>
    <w:rsid w:val="4811697D"/>
    <w:rsid w:val="48615554"/>
    <w:rsid w:val="487A3E25"/>
    <w:rsid w:val="488B5503"/>
    <w:rsid w:val="48937E21"/>
    <w:rsid w:val="489A0361"/>
    <w:rsid w:val="48B94FF3"/>
    <w:rsid w:val="48CB7FB5"/>
    <w:rsid w:val="48E37AAB"/>
    <w:rsid w:val="48F350D1"/>
    <w:rsid w:val="48FD4B4C"/>
    <w:rsid w:val="490234FE"/>
    <w:rsid w:val="490A68E0"/>
    <w:rsid w:val="491055FE"/>
    <w:rsid w:val="49200821"/>
    <w:rsid w:val="49296D45"/>
    <w:rsid w:val="495F5B3E"/>
    <w:rsid w:val="496F77D7"/>
    <w:rsid w:val="497654FD"/>
    <w:rsid w:val="49B64211"/>
    <w:rsid w:val="49EA16E0"/>
    <w:rsid w:val="49F6167F"/>
    <w:rsid w:val="4A064FA0"/>
    <w:rsid w:val="4A16615C"/>
    <w:rsid w:val="4A4424D7"/>
    <w:rsid w:val="4AB82D0F"/>
    <w:rsid w:val="4AD03516"/>
    <w:rsid w:val="4AEB7664"/>
    <w:rsid w:val="4AFD7C19"/>
    <w:rsid w:val="4B0567D1"/>
    <w:rsid w:val="4B0F5719"/>
    <w:rsid w:val="4B236AAE"/>
    <w:rsid w:val="4B707271"/>
    <w:rsid w:val="4B7B40D9"/>
    <w:rsid w:val="4B9739F7"/>
    <w:rsid w:val="4BBF270A"/>
    <w:rsid w:val="4BEE2503"/>
    <w:rsid w:val="4C245A30"/>
    <w:rsid w:val="4C7E2F03"/>
    <w:rsid w:val="4CB6685F"/>
    <w:rsid w:val="4CC0176E"/>
    <w:rsid w:val="4CC367FE"/>
    <w:rsid w:val="4D077F3C"/>
    <w:rsid w:val="4D0E4287"/>
    <w:rsid w:val="4D123355"/>
    <w:rsid w:val="4D2A3B31"/>
    <w:rsid w:val="4D312C52"/>
    <w:rsid w:val="4D8C52E0"/>
    <w:rsid w:val="4D905305"/>
    <w:rsid w:val="4D964A72"/>
    <w:rsid w:val="4D9C1254"/>
    <w:rsid w:val="4E793892"/>
    <w:rsid w:val="4E800872"/>
    <w:rsid w:val="4EC569ED"/>
    <w:rsid w:val="4ED50EA1"/>
    <w:rsid w:val="4EEC050C"/>
    <w:rsid w:val="4F104EC3"/>
    <w:rsid w:val="4F45432B"/>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C6D34"/>
    <w:rsid w:val="514013BA"/>
    <w:rsid w:val="5142540C"/>
    <w:rsid w:val="51764AF1"/>
    <w:rsid w:val="518832C8"/>
    <w:rsid w:val="51A0432A"/>
    <w:rsid w:val="51A86090"/>
    <w:rsid w:val="51B7396D"/>
    <w:rsid w:val="522E2CD6"/>
    <w:rsid w:val="522E4CC3"/>
    <w:rsid w:val="5244713B"/>
    <w:rsid w:val="52615633"/>
    <w:rsid w:val="52977FD4"/>
    <w:rsid w:val="52A25790"/>
    <w:rsid w:val="52A96B6F"/>
    <w:rsid w:val="52AB74C4"/>
    <w:rsid w:val="52B45975"/>
    <w:rsid w:val="52C04ED3"/>
    <w:rsid w:val="52D94AA4"/>
    <w:rsid w:val="52EA3A62"/>
    <w:rsid w:val="52F50BB8"/>
    <w:rsid w:val="53097272"/>
    <w:rsid w:val="53227C0E"/>
    <w:rsid w:val="534722A1"/>
    <w:rsid w:val="53542667"/>
    <w:rsid w:val="53544462"/>
    <w:rsid w:val="53953895"/>
    <w:rsid w:val="5397158E"/>
    <w:rsid w:val="54013861"/>
    <w:rsid w:val="54487265"/>
    <w:rsid w:val="544D6070"/>
    <w:rsid w:val="54605E1E"/>
    <w:rsid w:val="54962D2E"/>
    <w:rsid w:val="54B3506A"/>
    <w:rsid w:val="54CA0D16"/>
    <w:rsid w:val="54DD4057"/>
    <w:rsid w:val="54E7490F"/>
    <w:rsid w:val="550764A4"/>
    <w:rsid w:val="550B2BF6"/>
    <w:rsid w:val="55214EB5"/>
    <w:rsid w:val="55364EFD"/>
    <w:rsid w:val="555D4828"/>
    <w:rsid w:val="557A4C8B"/>
    <w:rsid w:val="5580513A"/>
    <w:rsid w:val="558931E1"/>
    <w:rsid w:val="55923347"/>
    <w:rsid w:val="55925180"/>
    <w:rsid w:val="55983B1B"/>
    <w:rsid w:val="55A8376B"/>
    <w:rsid w:val="55DC29B6"/>
    <w:rsid w:val="55DD4241"/>
    <w:rsid w:val="55F3683A"/>
    <w:rsid w:val="566B6D1E"/>
    <w:rsid w:val="56B539C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D4D3F"/>
    <w:rsid w:val="57D675AB"/>
    <w:rsid w:val="57D95FDD"/>
    <w:rsid w:val="58444517"/>
    <w:rsid w:val="58917D2F"/>
    <w:rsid w:val="5894085C"/>
    <w:rsid w:val="58AE4F0C"/>
    <w:rsid w:val="58B201A0"/>
    <w:rsid w:val="58B85899"/>
    <w:rsid w:val="58DC4F76"/>
    <w:rsid w:val="58E363A9"/>
    <w:rsid w:val="595E1678"/>
    <w:rsid w:val="596D5BD4"/>
    <w:rsid w:val="597638E0"/>
    <w:rsid w:val="597E3DD8"/>
    <w:rsid w:val="59F80043"/>
    <w:rsid w:val="5A09252F"/>
    <w:rsid w:val="5A0B2778"/>
    <w:rsid w:val="5A2A7C7B"/>
    <w:rsid w:val="5A3E2560"/>
    <w:rsid w:val="5A5D3B6E"/>
    <w:rsid w:val="5A637A76"/>
    <w:rsid w:val="5A6D33BA"/>
    <w:rsid w:val="5A792B1F"/>
    <w:rsid w:val="5A7A2F5C"/>
    <w:rsid w:val="5A874767"/>
    <w:rsid w:val="5A972C10"/>
    <w:rsid w:val="5AAD6F28"/>
    <w:rsid w:val="5AD63A24"/>
    <w:rsid w:val="5B2E1A1D"/>
    <w:rsid w:val="5B6362F3"/>
    <w:rsid w:val="5B843A1C"/>
    <w:rsid w:val="5B873E3F"/>
    <w:rsid w:val="5B8F2A37"/>
    <w:rsid w:val="5C02690E"/>
    <w:rsid w:val="5C196DA7"/>
    <w:rsid w:val="5C2A048C"/>
    <w:rsid w:val="5C2B604B"/>
    <w:rsid w:val="5C790AF3"/>
    <w:rsid w:val="5C7D31D8"/>
    <w:rsid w:val="5C80234E"/>
    <w:rsid w:val="5C8A680C"/>
    <w:rsid w:val="5C8E54F6"/>
    <w:rsid w:val="5D0C4701"/>
    <w:rsid w:val="5D0F0395"/>
    <w:rsid w:val="5D221076"/>
    <w:rsid w:val="5D397964"/>
    <w:rsid w:val="5D3D1EE7"/>
    <w:rsid w:val="5D4C5544"/>
    <w:rsid w:val="5D5A391C"/>
    <w:rsid w:val="5D5F10C0"/>
    <w:rsid w:val="5D891B7B"/>
    <w:rsid w:val="5DAD38EE"/>
    <w:rsid w:val="5E0019CA"/>
    <w:rsid w:val="5E006862"/>
    <w:rsid w:val="5E0207B9"/>
    <w:rsid w:val="5E1834A1"/>
    <w:rsid w:val="5E261785"/>
    <w:rsid w:val="5E4A7017"/>
    <w:rsid w:val="5E552BBA"/>
    <w:rsid w:val="5E611C10"/>
    <w:rsid w:val="5EC251B6"/>
    <w:rsid w:val="5EFB03E4"/>
    <w:rsid w:val="5EFC7377"/>
    <w:rsid w:val="5F06174D"/>
    <w:rsid w:val="5F3A3602"/>
    <w:rsid w:val="5F6277C6"/>
    <w:rsid w:val="5F6D0B1D"/>
    <w:rsid w:val="5F8D0B82"/>
    <w:rsid w:val="5FCC5339"/>
    <w:rsid w:val="5FE34A5B"/>
    <w:rsid w:val="5FFE1E36"/>
    <w:rsid w:val="60232584"/>
    <w:rsid w:val="6037369D"/>
    <w:rsid w:val="607330CE"/>
    <w:rsid w:val="60825176"/>
    <w:rsid w:val="608A5EC3"/>
    <w:rsid w:val="609E371C"/>
    <w:rsid w:val="609F2AC4"/>
    <w:rsid w:val="60BA121F"/>
    <w:rsid w:val="60FA2EE8"/>
    <w:rsid w:val="61054A27"/>
    <w:rsid w:val="610A52BC"/>
    <w:rsid w:val="611D2366"/>
    <w:rsid w:val="612105D5"/>
    <w:rsid w:val="61421856"/>
    <w:rsid w:val="615227C4"/>
    <w:rsid w:val="61654E3F"/>
    <w:rsid w:val="6182292A"/>
    <w:rsid w:val="618648DC"/>
    <w:rsid w:val="619F7F92"/>
    <w:rsid w:val="61A77A49"/>
    <w:rsid w:val="61B56F70"/>
    <w:rsid w:val="61F94C26"/>
    <w:rsid w:val="62000E56"/>
    <w:rsid w:val="624F3E49"/>
    <w:rsid w:val="62632286"/>
    <w:rsid w:val="62885958"/>
    <w:rsid w:val="62F40B65"/>
    <w:rsid w:val="62F85378"/>
    <w:rsid w:val="62FC2CFE"/>
    <w:rsid w:val="63024505"/>
    <w:rsid w:val="635B1DB5"/>
    <w:rsid w:val="63711FED"/>
    <w:rsid w:val="63880DDC"/>
    <w:rsid w:val="638D750D"/>
    <w:rsid w:val="63AC6CC0"/>
    <w:rsid w:val="64055776"/>
    <w:rsid w:val="64240056"/>
    <w:rsid w:val="643E143A"/>
    <w:rsid w:val="643F60D1"/>
    <w:rsid w:val="64436AB5"/>
    <w:rsid w:val="644E01C0"/>
    <w:rsid w:val="646D62B7"/>
    <w:rsid w:val="648B6EEF"/>
    <w:rsid w:val="64A4620F"/>
    <w:rsid w:val="64C158BF"/>
    <w:rsid w:val="64CE2EAA"/>
    <w:rsid w:val="64EA6F30"/>
    <w:rsid w:val="65033F49"/>
    <w:rsid w:val="65095781"/>
    <w:rsid w:val="653C3090"/>
    <w:rsid w:val="65683DB3"/>
    <w:rsid w:val="65854376"/>
    <w:rsid w:val="658767BE"/>
    <w:rsid w:val="65892531"/>
    <w:rsid w:val="66195831"/>
    <w:rsid w:val="662E75B1"/>
    <w:rsid w:val="66342C2E"/>
    <w:rsid w:val="663E784C"/>
    <w:rsid w:val="66415276"/>
    <w:rsid w:val="665667E3"/>
    <w:rsid w:val="668B6A45"/>
    <w:rsid w:val="66BD2280"/>
    <w:rsid w:val="66F422E8"/>
    <w:rsid w:val="672F3F24"/>
    <w:rsid w:val="673E055F"/>
    <w:rsid w:val="67551CE3"/>
    <w:rsid w:val="6760172C"/>
    <w:rsid w:val="67A22552"/>
    <w:rsid w:val="67B22DCC"/>
    <w:rsid w:val="67BE71AA"/>
    <w:rsid w:val="67D07BC3"/>
    <w:rsid w:val="67D90273"/>
    <w:rsid w:val="67DE5875"/>
    <w:rsid w:val="67E55852"/>
    <w:rsid w:val="67EB1AB4"/>
    <w:rsid w:val="67FA1285"/>
    <w:rsid w:val="68551F4F"/>
    <w:rsid w:val="687C10C9"/>
    <w:rsid w:val="68840C16"/>
    <w:rsid w:val="68876EFB"/>
    <w:rsid w:val="68884654"/>
    <w:rsid w:val="689F444F"/>
    <w:rsid w:val="68A13DAA"/>
    <w:rsid w:val="68B96DBB"/>
    <w:rsid w:val="68CA2805"/>
    <w:rsid w:val="68D777CC"/>
    <w:rsid w:val="68E937A3"/>
    <w:rsid w:val="693E15D3"/>
    <w:rsid w:val="69627681"/>
    <w:rsid w:val="6977531D"/>
    <w:rsid w:val="69981651"/>
    <w:rsid w:val="69CC2BFF"/>
    <w:rsid w:val="69FD55B8"/>
    <w:rsid w:val="6A0224B7"/>
    <w:rsid w:val="6A0B1C62"/>
    <w:rsid w:val="6A2406C8"/>
    <w:rsid w:val="6A4E3A79"/>
    <w:rsid w:val="6A7761B3"/>
    <w:rsid w:val="6AA0724B"/>
    <w:rsid w:val="6ADE0BD1"/>
    <w:rsid w:val="6AE96859"/>
    <w:rsid w:val="6B147746"/>
    <w:rsid w:val="6B24787C"/>
    <w:rsid w:val="6B2A62D8"/>
    <w:rsid w:val="6B573233"/>
    <w:rsid w:val="6B5B6274"/>
    <w:rsid w:val="6B935D53"/>
    <w:rsid w:val="6C0F0C37"/>
    <w:rsid w:val="6C196F71"/>
    <w:rsid w:val="6C226FCB"/>
    <w:rsid w:val="6C31226F"/>
    <w:rsid w:val="6C552F0B"/>
    <w:rsid w:val="6C8C67B7"/>
    <w:rsid w:val="6C9D744C"/>
    <w:rsid w:val="6CB93DB8"/>
    <w:rsid w:val="6CD060BD"/>
    <w:rsid w:val="6CF60B3E"/>
    <w:rsid w:val="6CFB4195"/>
    <w:rsid w:val="6D167928"/>
    <w:rsid w:val="6D26299B"/>
    <w:rsid w:val="6D4772EC"/>
    <w:rsid w:val="6D527387"/>
    <w:rsid w:val="6D9078AF"/>
    <w:rsid w:val="6DAA3FEF"/>
    <w:rsid w:val="6DC0172B"/>
    <w:rsid w:val="6DCB690C"/>
    <w:rsid w:val="6DD41A5B"/>
    <w:rsid w:val="6DF43C2E"/>
    <w:rsid w:val="6DF51CA3"/>
    <w:rsid w:val="6E250FD9"/>
    <w:rsid w:val="6E8335BD"/>
    <w:rsid w:val="6E895A0C"/>
    <w:rsid w:val="6E8E12EF"/>
    <w:rsid w:val="6E972936"/>
    <w:rsid w:val="6ED446C5"/>
    <w:rsid w:val="6EEF208C"/>
    <w:rsid w:val="6F2A7D94"/>
    <w:rsid w:val="6F8331F1"/>
    <w:rsid w:val="6F9A34EE"/>
    <w:rsid w:val="6FAE1A09"/>
    <w:rsid w:val="6FD75BF8"/>
    <w:rsid w:val="70545BA6"/>
    <w:rsid w:val="706C6F68"/>
    <w:rsid w:val="707723D0"/>
    <w:rsid w:val="70CC6752"/>
    <w:rsid w:val="70F5661B"/>
    <w:rsid w:val="70FE448F"/>
    <w:rsid w:val="7121131A"/>
    <w:rsid w:val="71360107"/>
    <w:rsid w:val="713B688E"/>
    <w:rsid w:val="71D43752"/>
    <w:rsid w:val="71F1796A"/>
    <w:rsid w:val="72154626"/>
    <w:rsid w:val="72262B5D"/>
    <w:rsid w:val="72283FF7"/>
    <w:rsid w:val="722E7212"/>
    <w:rsid w:val="723A0474"/>
    <w:rsid w:val="725923E4"/>
    <w:rsid w:val="726A7902"/>
    <w:rsid w:val="72864BF7"/>
    <w:rsid w:val="729023FC"/>
    <w:rsid w:val="72E40ABE"/>
    <w:rsid w:val="736F3422"/>
    <w:rsid w:val="739F0CFB"/>
    <w:rsid w:val="73C0646E"/>
    <w:rsid w:val="74015BC5"/>
    <w:rsid w:val="742222F5"/>
    <w:rsid w:val="7431020B"/>
    <w:rsid w:val="74476126"/>
    <w:rsid w:val="74566390"/>
    <w:rsid w:val="74706664"/>
    <w:rsid w:val="747D56CB"/>
    <w:rsid w:val="747F3682"/>
    <w:rsid w:val="749C4185"/>
    <w:rsid w:val="75067759"/>
    <w:rsid w:val="752E6DCD"/>
    <w:rsid w:val="7551380D"/>
    <w:rsid w:val="75600BE5"/>
    <w:rsid w:val="7564475C"/>
    <w:rsid w:val="7583797F"/>
    <w:rsid w:val="75D20F1D"/>
    <w:rsid w:val="75DA2C18"/>
    <w:rsid w:val="75F54412"/>
    <w:rsid w:val="76116A13"/>
    <w:rsid w:val="761D08E0"/>
    <w:rsid w:val="765D347C"/>
    <w:rsid w:val="76826699"/>
    <w:rsid w:val="76BFBD1F"/>
    <w:rsid w:val="76C87133"/>
    <w:rsid w:val="76CD08D5"/>
    <w:rsid w:val="76DB4B92"/>
    <w:rsid w:val="76FA6EA9"/>
    <w:rsid w:val="77052AA4"/>
    <w:rsid w:val="77136511"/>
    <w:rsid w:val="77340A39"/>
    <w:rsid w:val="77351FD0"/>
    <w:rsid w:val="77472422"/>
    <w:rsid w:val="77496F27"/>
    <w:rsid w:val="777F31F2"/>
    <w:rsid w:val="77C86797"/>
    <w:rsid w:val="77D1700D"/>
    <w:rsid w:val="77EC04CC"/>
    <w:rsid w:val="7813692A"/>
    <w:rsid w:val="78775729"/>
    <w:rsid w:val="787913F5"/>
    <w:rsid w:val="78A42DB0"/>
    <w:rsid w:val="78A656AB"/>
    <w:rsid w:val="78B2245C"/>
    <w:rsid w:val="78D91FFF"/>
    <w:rsid w:val="78E172CC"/>
    <w:rsid w:val="78EA1D1F"/>
    <w:rsid w:val="78F32400"/>
    <w:rsid w:val="7904172F"/>
    <w:rsid w:val="790F7E27"/>
    <w:rsid w:val="7922433B"/>
    <w:rsid w:val="792A231A"/>
    <w:rsid w:val="79316829"/>
    <w:rsid w:val="79556C16"/>
    <w:rsid w:val="797E66A9"/>
    <w:rsid w:val="79A82FCF"/>
    <w:rsid w:val="79A97383"/>
    <w:rsid w:val="79C81D15"/>
    <w:rsid w:val="79E27E8B"/>
    <w:rsid w:val="79F850CE"/>
    <w:rsid w:val="79FD443C"/>
    <w:rsid w:val="7A1D1975"/>
    <w:rsid w:val="7A3E5150"/>
    <w:rsid w:val="7A4670D6"/>
    <w:rsid w:val="7A471879"/>
    <w:rsid w:val="7A534B63"/>
    <w:rsid w:val="7A615382"/>
    <w:rsid w:val="7A67303B"/>
    <w:rsid w:val="7A7B4D00"/>
    <w:rsid w:val="7AAB1D04"/>
    <w:rsid w:val="7ABA4368"/>
    <w:rsid w:val="7AD05746"/>
    <w:rsid w:val="7AF64429"/>
    <w:rsid w:val="7B257FFD"/>
    <w:rsid w:val="7B343476"/>
    <w:rsid w:val="7B5A2978"/>
    <w:rsid w:val="7B5A7E4C"/>
    <w:rsid w:val="7B667AF9"/>
    <w:rsid w:val="7B7468F8"/>
    <w:rsid w:val="7BCD518A"/>
    <w:rsid w:val="7BEE0103"/>
    <w:rsid w:val="7BFE17E7"/>
    <w:rsid w:val="7C0A0FE4"/>
    <w:rsid w:val="7C254906"/>
    <w:rsid w:val="7C590818"/>
    <w:rsid w:val="7C606846"/>
    <w:rsid w:val="7C7C10F6"/>
    <w:rsid w:val="7C853BEA"/>
    <w:rsid w:val="7C881368"/>
    <w:rsid w:val="7CE27788"/>
    <w:rsid w:val="7D0C32F1"/>
    <w:rsid w:val="7D0F408D"/>
    <w:rsid w:val="7D374D45"/>
    <w:rsid w:val="7D491C6C"/>
    <w:rsid w:val="7D5429C0"/>
    <w:rsid w:val="7D6E6D43"/>
    <w:rsid w:val="7DB57A34"/>
    <w:rsid w:val="7DE60973"/>
    <w:rsid w:val="7DEF0916"/>
    <w:rsid w:val="7E1E5218"/>
    <w:rsid w:val="7E9A4E1F"/>
    <w:rsid w:val="7EA30424"/>
    <w:rsid w:val="7EA7723A"/>
    <w:rsid w:val="7EF56FBB"/>
    <w:rsid w:val="7F0768EB"/>
    <w:rsid w:val="7F143BEC"/>
    <w:rsid w:val="7F2209F7"/>
    <w:rsid w:val="7F56040B"/>
    <w:rsid w:val="7F715AF2"/>
    <w:rsid w:val="7F886E69"/>
    <w:rsid w:val="7F954211"/>
    <w:rsid w:val="B1FE8D25"/>
    <w:rsid w:val="BB7FA927"/>
    <w:rsid w:val="DB13B0A6"/>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11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18"/>
    <w:qFormat/>
    <w:uiPriority w:val="99"/>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99"/>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2"/>
    <w:basedOn w:val="25"/>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link w:val="6"/>
    <w:qFormat/>
    <w:uiPriority w:val="9"/>
    <w:rPr>
      <w:b/>
      <w:bCs/>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69"/>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99"/>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表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0"/>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1"/>
    <w:link w:val="3"/>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basedOn w:val="69"/>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79"/>
    <w:next w:val="79"/>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79"/>
    <w:next w:val="79"/>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1"/>
    <w:basedOn w:val="1"/>
    <w:qFormat/>
    <w:uiPriority w:val="0"/>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rPr>
      <w:sz w:val="24"/>
    </w:r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basedOn w:val="69"/>
    <w:qFormat/>
    <w:uiPriority w:val="0"/>
  </w:style>
  <w:style w:type="character" w:customStyle="1" w:styleId="962">
    <w:name w:val="正文首行缩进 字符2"/>
    <w:qFormat/>
    <w:uiPriority w:val="99"/>
    <w:rPr>
      <w:rFonts w:eastAsia="仿宋_GB2312"/>
      <w:kern w:val="2"/>
      <w:sz w:val="21"/>
      <w:szCs w:val="24"/>
    </w:rPr>
  </w:style>
  <w:style w:type="paragraph" w:customStyle="1" w:styleId="963">
    <w:name w:val="默认"/>
    <w:qFormat/>
    <w:uiPriority w:val="0"/>
    <w:pPr>
      <w:spacing w:before="160" w:line="288" w:lineRule="auto"/>
    </w:pPr>
    <w:rPr>
      <w:rFonts w:ascii="PingFang SC Regular" w:hAnsi="PingFang SC Regular" w:eastAsia="Arial Unicode MS" w:cs="Arial Unicode MS"/>
      <w:color w:val="000000"/>
      <w:sz w:val="24"/>
      <w:szCs w:val="24"/>
      <w:lang w:val="en-US" w:eastAsia="zh-CN" w:bidi="ar-SA"/>
    </w:rPr>
  </w:style>
  <w:style w:type="paragraph" w:customStyle="1" w:styleId="964">
    <w:name w:val="_Style 963"/>
    <w:basedOn w:val="1"/>
    <w:next w:val="1"/>
    <w:link w:val="965"/>
    <w:qFormat/>
    <w:uiPriority w:val="39"/>
    <w:pPr>
      <w:adjustRightInd/>
      <w:ind w:left="1050"/>
      <w:jc w:val="left"/>
    </w:pPr>
    <w:rPr>
      <w:szCs w:val="21"/>
    </w:rPr>
  </w:style>
  <w:style w:type="character" w:customStyle="1" w:styleId="965">
    <w:name w:val="正文文本首行缩进 字符"/>
    <w:link w:val="964"/>
    <w:qFormat/>
    <w:uiPriority w:val="39"/>
    <w:rPr>
      <w:kern w:val="2"/>
      <w:sz w:val="21"/>
      <w:szCs w:val="21"/>
    </w:rPr>
  </w:style>
  <w:style w:type="paragraph" w:customStyle="1" w:styleId="966">
    <w:name w:val="_Style 2"/>
    <w:basedOn w:val="5"/>
    <w:next w:val="1"/>
    <w:qFormat/>
    <w:uiPriority w:val="39"/>
    <w:pPr>
      <w:widowControl/>
      <w:spacing w:line="240" w:lineRule="auto"/>
      <w:outlineLvl w:val="9"/>
    </w:pPr>
    <w:rPr>
      <w:rFonts w:ascii="Cambria" w:hAnsi="Cambria"/>
      <w:kern w:val="0"/>
      <w:sz w:val="21"/>
      <w:szCs w:val="28"/>
    </w:rPr>
  </w:style>
  <w:style w:type="paragraph" w:customStyle="1" w:styleId="967">
    <w:name w:val="Proposals body"/>
    <w:basedOn w:val="1"/>
    <w:next w:val="1"/>
    <w:qFormat/>
    <w:uiPriority w:val="0"/>
    <w:pPr>
      <w:widowControl/>
      <w:spacing w:line="360" w:lineRule="auto"/>
      <w:jc w:val="left"/>
    </w:pPr>
    <w:rPr>
      <w:rFonts w:ascii="宋体" w:hAnsi="Calibri"/>
      <w:snapToGrid w:val="0"/>
      <w:color w:val="000000"/>
      <w:kern w:val="0"/>
      <w:sz w:val="24"/>
      <w:szCs w:val="20"/>
    </w:rPr>
  </w:style>
  <w:style w:type="paragraph" w:customStyle="1" w:styleId="968">
    <w:name w:val="列项——"/>
    <w:qFormat/>
    <w:uiPriority w:val="0"/>
    <w:pPr>
      <w:widowControl w:val="0"/>
      <w:numPr>
        <w:ilvl w:val="0"/>
        <w:numId w:val="1"/>
      </w:numPr>
      <w:ind w:left="200" w:leftChars="200" w:hanging="200" w:hangingChars="200"/>
      <w:jc w:val="both"/>
    </w:pPr>
    <w:rPr>
      <w:rFonts w:ascii="宋体" w:hAnsi="Times New Roman" w:eastAsia="宋体" w:cs="Times New Roman"/>
      <w:sz w:val="21"/>
      <w:lang w:val="en-US" w:eastAsia="zh-CN" w:bidi="ar-SA"/>
    </w:rPr>
  </w:style>
  <w:style w:type="paragraph" w:customStyle="1" w:styleId="969">
    <w:name w:val="techspecs-subheader"/>
    <w:basedOn w:val="1"/>
    <w:qFormat/>
    <w:uiPriority w:val="0"/>
    <w:pPr>
      <w:widowControl/>
      <w:spacing w:before="100" w:beforeAutospacing="1" w:after="100" w:afterAutospacing="1"/>
      <w:jc w:val="left"/>
    </w:pPr>
    <w:rPr>
      <w:rFonts w:ascii="宋体" w:hAnsi="宋体" w:cs="宋体"/>
      <w:kern w:val="0"/>
      <w:sz w:val="24"/>
    </w:rPr>
  </w:style>
  <w:style w:type="paragraph" w:customStyle="1" w:styleId="97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7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jpeg"/><Relationship Id="rId31" Type="http://schemas.openxmlformats.org/officeDocument/2006/relationships/image" Target="media/image2.jpeg"/><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102</Pages>
  <Words>43546</Words>
  <Characters>47383</Characters>
  <Lines>361</Lines>
  <Paragraphs>101</Paragraphs>
  <TotalTime>5</TotalTime>
  <ScaleCrop>false</ScaleCrop>
  <LinksUpToDate>false</LinksUpToDate>
  <CharactersWithSpaces>48911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2022-03-11T22:22:00Z</dcterms:created>
  <dc:creator>玥</dc:creator>
  <cp:lastModifiedBy>xinlan</cp:lastModifiedBy>
  <cp:lastPrinted>2022-08-19T08:18:00Z</cp:lastPrinted>
  <dcterms:modified xsi:type="dcterms:W3CDTF">2022-09-30T05:16:12Z</dcterms:modified>
  <dc:title>杭州市市民卡扩大发卡工程</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046F088387CA421F97F5C1CB3F46A74B</vt:lpwstr>
  </property>
</Properties>
</file>