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sz w:val="48"/>
          <w:szCs w:val="48"/>
        </w:rPr>
      </w:pPr>
      <w:r>
        <w:rPr>
          <w:rFonts w:hint="eastAsia" w:ascii="宋体" w:hAnsi="宋体" w:cs="宋体"/>
          <w:sz w:val="48"/>
          <w:szCs w:val="48"/>
        </w:rPr>
        <w:t>浙江省核与辐射监督性监测及宣传教育专项</w:t>
      </w:r>
    </w:p>
    <w:p>
      <w:pPr>
        <w:adjustRightInd/>
        <w:spacing w:line="360" w:lineRule="auto"/>
        <w:jc w:val="center"/>
        <w:rPr>
          <w:rFonts w:ascii="宋体" w:hAnsi="宋体" w:cs="宋体"/>
          <w:sz w:val="48"/>
          <w:szCs w:val="48"/>
        </w:rPr>
      </w:pPr>
      <w:r>
        <w:rPr>
          <w:rFonts w:hint="eastAsia" w:ascii="宋体" w:hAnsi="宋体" w:cs="宋体"/>
          <w:sz w:val="48"/>
          <w:szCs w:val="48"/>
        </w:rPr>
        <w:t>招标文件</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编号:ZJXL-STHJT-202234</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pStyle w:val="25"/>
        <w:rPr>
          <w:rFonts w:hAnsi="宋体" w:cs="宋体"/>
          <w:b/>
          <w:sz w:val="44"/>
          <w:szCs w:val="44"/>
        </w:rPr>
      </w:pPr>
    </w:p>
    <w:p>
      <w:pPr>
        <w:pStyle w:val="26"/>
        <w:rPr>
          <w:rFonts w:ascii="宋体" w:hAnsi="宋体" w:cs="宋体"/>
          <w:b/>
          <w:sz w:val="44"/>
          <w:szCs w:val="44"/>
        </w:rPr>
      </w:pPr>
    </w:p>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sz w:val="32"/>
          <w:szCs w:val="32"/>
        </w:rPr>
      </w:pPr>
      <w:r>
        <w:rPr>
          <w:rFonts w:hint="eastAsia" w:ascii="宋体" w:hAnsi="宋体" w:cs="宋体"/>
          <w:sz w:val="32"/>
          <w:szCs w:val="32"/>
        </w:rPr>
        <w:t>浙江省生态环境厅</w:t>
      </w:r>
    </w:p>
    <w:p>
      <w:pPr>
        <w:spacing w:line="360" w:lineRule="auto"/>
        <w:jc w:val="center"/>
        <w:rPr>
          <w:rFonts w:ascii="宋体" w:hAnsi="宋体" w:cs="宋体"/>
          <w:bCs/>
          <w:sz w:val="32"/>
          <w:szCs w:val="32"/>
        </w:rPr>
      </w:pPr>
      <w:r>
        <w:rPr>
          <w:rFonts w:hint="eastAsia" w:ascii="宋体" w:hAnsi="宋体" w:cs="宋体"/>
          <w:bCs/>
          <w:sz w:val="32"/>
          <w:szCs w:val="32"/>
        </w:rPr>
        <w:t>浙江信镧建设工程咨询有限公司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二〇二二年九月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目录</w:t>
      </w:r>
    </w:p>
    <w:p>
      <w:pPr>
        <w:spacing w:line="360" w:lineRule="auto"/>
        <w:rPr>
          <w:rFonts w:ascii="宋体" w:hAnsi="宋体" w:cs="宋体"/>
          <w:sz w:val="32"/>
          <w:szCs w:val="32"/>
        </w:rPr>
      </w:pPr>
    </w:p>
    <w:p>
      <w:pPr>
        <w:pStyle w:val="45"/>
        <w:tabs>
          <w:tab w:val="right" w:leader="dot" w:pos="9070"/>
        </w:tabs>
        <w:spacing w:line="360" w:lineRule="auto"/>
        <w:rPr>
          <w:sz w:val="24"/>
        </w:rPr>
      </w:pPr>
      <w:bookmarkStart w:id="1" w:name="_Hlt91233176"/>
      <w:bookmarkEnd w:id="1"/>
      <w:bookmarkStart w:id="2" w:name="_Toc91899869"/>
      <w:r>
        <w:rPr>
          <w:sz w:val="24"/>
        </w:rPr>
        <w:fldChar w:fldCharType="begin"/>
      </w:r>
      <w:r>
        <w:rPr>
          <w:sz w:val="24"/>
        </w:rPr>
        <w:instrText xml:space="preserve"> TOC \o "1-2" \h \z \u </w:instrText>
      </w:r>
      <w:r>
        <w:rPr>
          <w:sz w:val="24"/>
        </w:rPr>
        <w:fldChar w:fldCharType="separate"/>
      </w:r>
      <w:r>
        <w:fldChar w:fldCharType="begin"/>
      </w:r>
      <w:r>
        <w:instrText xml:space="preserve"> HYPERLINK \l "_Toc14161" </w:instrText>
      </w:r>
      <w:r>
        <w:fldChar w:fldCharType="separate"/>
      </w:r>
      <w:r>
        <w:rPr>
          <w:rFonts w:hint="eastAsia" w:ascii="宋体" w:hAnsi="宋体" w:cs="宋体"/>
          <w:sz w:val="24"/>
        </w:rPr>
        <w:t>第一部分 招标公告</w:t>
      </w:r>
      <w:r>
        <w:rPr>
          <w:sz w:val="24"/>
        </w:rPr>
        <w:tab/>
      </w:r>
      <w:r>
        <w:rPr>
          <w:sz w:val="24"/>
        </w:rPr>
        <w:fldChar w:fldCharType="begin"/>
      </w:r>
      <w:r>
        <w:rPr>
          <w:sz w:val="24"/>
        </w:rPr>
        <w:instrText xml:space="preserve"> PAGEREF _Toc14161 \h </w:instrText>
      </w:r>
      <w:r>
        <w:rPr>
          <w:sz w:val="24"/>
        </w:rPr>
        <w:fldChar w:fldCharType="separate"/>
      </w:r>
      <w:r>
        <w:rPr>
          <w:sz w:val="24"/>
        </w:rPr>
        <w:t>3</w:t>
      </w:r>
      <w:r>
        <w:rPr>
          <w:sz w:val="24"/>
        </w:rPr>
        <w:fldChar w:fldCharType="end"/>
      </w:r>
      <w:r>
        <w:rPr>
          <w:sz w:val="24"/>
        </w:rPr>
        <w:fldChar w:fldCharType="end"/>
      </w:r>
    </w:p>
    <w:p>
      <w:pPr>
        <w:pStyle w:val="45"/>
        <w:tabs>
          <w:tab w:val="right" w:leader="dot" w:pos="9070"/>
        </w:tabs>
        <w:spacing w:line="360" w:lineRule="auto"/>
        <w:rPr>
          <w:sz w:val="24"/>
        </w:rPr>
      </w:pPr>
      <w:r>
        <w:fldChar w:fldCharType="begin"/>
      </w:r>
      <w:r>
        <w:instrText xml:space="preserve"> HYPERLINK \l "_Toc6635" </w:instrText>
      </w:r>
      <w:r>
        <w:fldChar w:fldCharType="separate"/>
      </w:r>
      <w:r>
        <w:rPr>
          <w:rFonts w:hint="eastAsia" w:ascii="宋体" w:hAnsi="宋体" w:cs="宋体"/>
          <w:sz w:val="24"/>
        </w:rPr>
        <w:t>第二部分 投标人须知</w:t>
      </w:r>
      <w:r>
        <w:rPr>
          <w:sz w:val="24"/>
        </w:rPr>
        <w:tab/>
      </w:r>
      <w:r>
        <w:rPr>
          <w:sz w:val="24"/>
        </w:rPr>
        <w:fldChar w:fldCharType="begin"/>
      </w:r>
      <w:r>
        <w:rPr>
          <w:sz w:val="24"/>
        </w:rPr>
        <w:instrText xml:space="preserve"> PAGEREF _Toc6635 \h </w:instrText>
      </w:r>
      <w:r>
        <w:rPr>
          <w:sz w:val="24"/>
        </w:rPr>
        <w:fldChar w:fldCharType="separate"/>
      </w:r>
      <w:r>
        <w:rPr>
          <w:sz w:val="24"/>
        </w:rPr>
        <w:t>8</w:t>
      </w:r>
      <w:r>
        <w:rPr>
          <w:sz w:val="24"/>
        </w:rPr>
        <w:fldChar w:fldCharType="end"/>
      </w:r>
      <w:r>
        <w:rPr>
          <w:sz w:val="24"/>
        </w:rPr>
        <w:fldChar w:fldCharType="end"/>
      </w:r>
    </w:p>
    <w:p>
      <w:pPr>
        <w:pStyle w:val="45"/>
        <w:tabs>
          <w:tab w:val="right" w:leader="dot" w:pos="9070"/>
        </w:tabs>
        <w:spacing w:line="360" w:lineRule="auto"/>
        <w:rPr>
          <w:sz w:val="24"/>
        </w:rPr>
      </w:pPr>
      <w:r>
        <w:fldChar w:fldCharType="begin"/>
      </w:r>
      <w:r>
        <w:instrText xml:space="preserve"> HYPERLINK \l "_Toc16440" </w:instrText>
      </w:r>
      <w:r>
        <w:fldChar w:fldCharType="separate"/>
      </w:r>
      <w:r>
        <w:rPr>
          <w:rFonts w:hint="eastAsia" w:ascii="宋体" w:hAnsi="宋体" w:cs="宋体"/>
          <w:sz w:val="24"/>
        </w:rPr>
        <w:t>第三部分 采购需求</w:t>
      </w:r>
      <w:r>
        <w:rPr>
          <w:sz w:val="24"/>
        </w:rPr>
        <w:tab/>
      </w:r>
      <w:r>
        <w:rPr>
          <w:sz w:val="24"/>
        </w:rPr>
        <w:fldChar w:fldCharType="begin"/>
      </w:r>
      <w:r>
        <w:rPr>
          <w:sz w:val="24"/>
        </w:rPr>
        <w:instrText xml:space="preserve"> PAGEREF _Toc16440 \h </w:instrText>
      </w:r>
      <w:r>
        <w:rPr>
          <w:sz w:val="24"/>
        </w:rPr>
        <w:fldChar w:fldCharType="separate"/>
      </w:r>
      <w:r>
        <w:rPr>
          <w:sz w:val="24"/>
        </w:rPr>
        <w:t>25</w:t>
      </w:r>
      <w:r>
        <w:rPr>
          <w:sz w:val="24"/>
        </w:rPr>
        <w:fldChar w:fldCharType="end"/>
      </w:r>
      <w:r>
        <w:rPr>
          <w:sz w:val="24"/>
        </w:rPr>
        <w:fldChar w:fldCharType="end"/>
      </w:r>
    </w:p>
    <w:p>
      <w:pPr>
        <w:pStyle w:val="45"/>
        <w:tabs>
          <w:tab w:val="right" w:leader="dot" w:pos="9070"/>
        </w:tabs>
        <w:spacing w:line="360" w:lineRule="auto"/>
        <w:rPr>
          <w:sz w:val="24"/>
        </w:rPr>
      </w:pPr>
      <w:r>
        <w:fldChar w:fldCharType="begin"/>
      </w:r>
      <w:r>
        <w:instrText xml:space="preserve"> HYPERLINK \l "_Toc19986" </w:instrText>
      </w:r>
      <w:r>
        <w:fldChar w:fldCharType="separate"/>
      </w:r>
      <w:r>
        <w:rPr>
          <w:rFonts w:hint="eastAsia" w:ascii="宋体" w:hAnsi="宋体" w:cs="宋体"/>
          <w:sz w:val="24"/>
        </w:rPr>
        <w:t>第四部分 评标办法</w:t>
      </w:r>
      <w:r>
        <w:rPr>
          <w:sz w:val="24"/>
        </w:rPr>
        <w:tab/>
      </w:r>
      <w:r>
        <w:rPr>
          <w:sz w:val="24"/>
        </w:rPr>
        <w:fldChar w:fldCharType="begin"/>
      </w:r>
      <w:r>
        <w:rPr>
          <w:sz w:val="24"/>
        </w:rPr>
        <w:instrText xml:space="preserve"> PAGEREF _Toc19986 \h </w:instrText>
      </w:r>
      <w:r>
        <w:rPr>
          <w:sz w:val="24"/>
        </w:rPr>
        <w:fldChar w:fldCharType="separate"/>
      </w:r>
      <w:r>
        <w:rPr>
          <w:sz w:val="24"/>
        </w:rPr>
        <w:t>25</w:t>
      </w:r>
      <w:r>
        <w:rPr>
          <w:sz w:val="24"/>
        </w:rPr>
        <w:fldChar w:fldCharType="end"/>
      </w:r>
      <w:r>
        <w:rPr>
          <w:sz w:val="24"/>
        </w:rPr>
        <w:fldChar w:fldCharType="end"/>
      </w:r>
    </w:p>
    <w:p>
      <w:pPr>
        <w:pStyle w:val="45"/>
        <w:tabs>
          <w:tab w:val="right" w:leader="dot" w:pos="9070"/>
        </w:tabs>
        <w:spacing w:line="360" w:lineRule="auto"/>
        <w:rPr>
          <w:sz w:val="24"/>
        </w:rPr>
      </w:pPr>
      <w:r>
        <w:fldChar w:fldCharType="begin"/>
      </w:r>
      <w:r>
        <w:instrText xml:space="preserve"> HYPERLINK \l "_Toc22571" </w:instrText>
      </w:r>
      <w:r>
        <w:fldChar w:fldCharType="separate"/>
      </w:r>
      <w:r>
        <w:rPr>
          <w:rFonts w:hint="eastAsia" w:ascii="宋体" w:hAnsi="宋体" w:cs="宋体"/>
          <w:sz w:val="24"/>
        </w:rPr>
        <w:t>第五部分 拟签订的合同文本</w:t>
      </w:r>
      <w:r>
        <w:rPr>
          <w:sz w:val="24"/>
        </w:rPr>
        <w:tab/>
      </w:r>
      <w:r>
        <w:rPr>
          <w:sz w:val="24"/>
        </w:rPr>
        <w:fldChar w:fldCharType="begin"/>
      </w:r>
      <w:r>
        <w:rPr>
          <w:sz w:val="24"/>
        </w:rPr>
        <w:instrText xml:space="preserve"> PAGEREF _Toc22571 \h </w:instrText>
      </w:r>
      <w:r>
        <w:rPr>
          <w:sz w:val="24"/>
        </w:rPr>
        <w:fldChar w:fldCharType="separate"/>
      </w:r>
      <w:r>
        <w:rPr>
          <w:sz w:val="24"/>
        </w:rPr>
        <w:t>36</w:t>
      </w:r>
      <w:r>
        <w:rPr>
          <w:sz w:val="24"/>
        </w:rPr>
        <w:fldChar w:fldCharType="end"/>
      </w:r>
      <w:r>
        <w:rPr>
          <w:sz w:val="24"/>
        </w:rPr>
        <w:fldChar w:fldCharType="end"/>
      </w:r>
    </w:p>
    <w:p>
      <w:pPr>
        <w:pStyle w:val="45"/>
        <w:tabs>
          <w:tab w:val="right" w:leader="dot" w:pos="9070"/>
        </w:tabs>
        <w:spacing w:line="360" w:lineRule="auto"/>
        <w:rPr>
          <w:sz w:val="24"/>
        </w:rPr>
      </w:pPr>
      <w:r>
        <w:fldChar w:fldCharType="begin"/>
      </w:r>
      <w:r>
        <w:instrText xml:space="preserve"> HYPERLINK \l "_Toc7034" </w:instrText>
      </w:r>
      <w:r>
        <w:fldChar w:fldCharType="separate"/>
      </w:r>
      <w:r>
        <w:rPr>
          <w:rFonts w:hint="eastAsia" w:ascii="宋体" w:hAnsi="宋体" w:cs="宋体"/>
          <w:sz w:val="24"/>
        </w:rPr>
        <w:t>第六部分 应提交的有关格式范例</w:t>
      </w:r>
      <w:r>
        <w:rPr>
          <w:sz w:val="24"/>
        </w:rPr>
        <w:tab/>
      </w:r>
      <w:r>
        <w:rPr>
          <w:sz w:val="24"/>
        </w:rPr>
        <w:fldChar w:fldCharType="begin"/>
      </w:r>
      <w:r>
        <w:rPr>
          <w:sz w:val="24"/>
        </w:rPr>
        <w:instrText xml:space="preserve"> PAGEREF _Toc7034 \h </w:instrText>
      </w:r>
      <w:r>
        <w:rPr>
          <w:sz w:val="24"/>
        </w:rPr>
        <w:fldChar w:fldCharType="separate"/>
      </w:r>
      <w:r>
        <w:rPr>
          <w:sz w:val="24"/>
        </w:rPr>
        <w:t>40</w:t>
      </w:r>
      <w:r>
        <w:rPr>
          <w:sz w:val="24"/>
        </w:rPr>
        <w:fldChar w:fldCharType="end"/>
      </w:r>
      <w:r>
        <w:rPr>
          <w:sz w:val="24"/>
        </w:rPr>
        <w:fldChar w:fldCharType="end"/>
      </w:r>
    </w:p>
    <w:p>
      <w:pPr>
        <w:spacing w:line="360" w:lineRule="auto"/>
        <w:ind w:firstLine="549" w:firstLineChars="229"/>
        <w:rPr>
          <w:rFonts w:ascii="宋体" w:hAnsi="宋体" w:cs="宋体"/>
          <w:sz w:val="24"/>
        </w:rPr>
      </w:pPr>
      <w:r>
        <w:rPr>
          <w:sz w:val="24"/>
        </w:rPr>
        <w:fldChar w:fldCharType="end"/>
      </w: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_Toc14161"/>
      <w:bookmarkStart w:id="9" w:name="第二部分"/>
      <w:bookmarkStart w:id="10" w:name="_Toc91899870"/>
      <w:bookmarkStart w:id="11" w:name="_Toc91899871"/>
      <w:r>
        <w:rPr>
          <w:rFonts w:hint="eastAsia" w:ascii="宋体" w:hAnsi="宋体" w:cs="宋体"/>
          <w:b/>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浙江省核与辐射监督性监测及宣传教育专项</w:t>
      </w:r>
      <w:r>
        <w:rPr>
          <w:rFonts w:hint="eastAsia" w:ascii="宋体" w:hAnsi="宋体" w:cs="宋体"/>
          <w:sz w:val="24"/>
        </w:rPr>
        <w:t>招标项目的潜在投标人应在政采云平台（</w:t>
      </w:r>
      <w:r>
        <w:fldChar w:fldCharType="begin"/>
      </w:r>
      <w:r>
        <w:instrText xml:space="preserve"> HYPERLINK "https://www.zcygov.cn/）获取（下载）招标文件，并于2021年" </w:instrText>
      </w:r>
      <w:r>
        <w:fldChar w:fldCharType="separate"/>
      </w:r>
      <w:r>
        <w:rPr>
          <w:rStyle w:val="77"/>
          <w:rFonts w:hint="eastAsia" w:ascii="宋体" w:hAnsi="宋体" w:eastAsia="宋体" w:cs="宋体"/>
          <w:snapToGrid/>
          <w:color w:val="auto"/>
          <w:kern w:val="2"/>
          <w:sz w:val="24"/>
          <w:szCs w:val="24"/>
        </w:rPr>
        <w:t>https://www.zcygov.cn/）获取（下载）招标文件，并于</w:t>
      </w:r>
      <w:r>
        <w:rPr>
          <w:rFonts w:hint="eastAsia" w:ascii="宋体" w:hAnsi="宋体" w:cs="宋体"/>
          <w:sz w:val="24"/>
          <w:u w:val="single"/>
        </w:rPr>
        <w:t>2022年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24</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w:t>
      </w:r>
      <w:r>
        <w:rPr>
          <w:rFonts w:hint="eastAsia" w:ascii="宋体" w:hAnsi="宋体" w:cs="宋体"/>
          <w:sz w:val="24"/>
          <w:u w:val="single"/>
        </w:rPr>
        <w:t>0分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一、项目基本情况</w:t>
      </w:r>
    </w:p>
    <w:p>
      <w:pPr>
        <w:spacing w:line="360" w:lineRule="auto"/>
        <w:rPr>
          <w:rFonts w:ascii="宋体" w:hAnsi="宋体" w:cs="宋体"/>
          <w:sz w:val="24"/>
        </w:rPr>
      </w:pPr>
      <w:r>
        <w:rPr>
          <w:rFonts w:hint="eastAsia" w:ascii="宋体" w:hAnsi="宋体" w:cs="宋体"/>
          <w:b/>
          <w:sz w:val="24"/>
        </w:rPr>
        <w:t>项目编号：</w:t>
      </w:r>
      <w:r>
        <w:rPr>
          <w:rFonts w:hint="eastAsia" w:ascii="宋体" w:hAnsi="宋体" w:cs="宋体"/>
          <w:sz w:val="24"/>
        </w:rPr>
        <w:t>ZJXL-STHJT-202234</w:t>
      </w:r>
    </w:p>
    <w:p>
      <w:pPr>
        <w:spacing w:line="360" w:lineRule="auto"/>
        <w:rPr>
          <w:rFonts w:ascii="宋体" w:hAnsi="宋体" w:cs="宋体"/>
          <w:sz w:val="24"/>
        </w:rPr>
      </w:pPr>
      <w:r>
        <w:rPr>
          <w:rFonts w:hint="eastAsia" w:ascii="宋体" w:hAnsi="宋体" w:cs="宋体"/>
          <w:b/>
          <w:sz w:val="24"/>
        </w:rPr>
        <w:t>项目名称</w:t>
      </w:r>
      <w:r>
        <w:rPr>
          <w:rFonts w:hint="eastAsia" w:ascii="宋体" w:hAnsi="宋体" w:cs="宋体"/>
          <w:sz w:val="24"/>
        </w:rPr>
        <w:t>：浙江省核与辐射监督性监测及宣传教育专项</w:t>
      </w:r>
    </w:p>
    <w:p>
      <w:pPr>
        <w:spacing w:line="360" w:lineRule="auto"/>
        <w:rPr>
          <w:rFonts w:ascii="宋体" w:hAnsi="宋体" w:cs="宋体"/>
          <w:sz w:val="24"/>
        </w:rPr>
      </w:pPr>
      <w:r>
        <w:rPr>
          <w:rFonts w:hint="eastAsia" w:ascii="宋体" w:hAnsi="宋体" w:cs="宋体"/>
          <w:b/>
          <w:sz w:val="24"/>
        </w:rPr>
        <w:t xml:space="preserve">预算金额（元）： 500000  </w:t>
      </w:r>
    </w:p>
    <w:p>
      <w:pPr>
        <w:spacing w:line="360" w:lineRule="auto"/>
        <w:rPr>
          <w:rFonts w:ascii="宋体" w:hAnsi="宋体" w:cs="宋体"/>
          <w:sz w:val="24"/>
        </w:rPr>
      </w:pPr>
      <w:r>
        <w:rPr>
          <w:rFonts w:hint="eastAsia" w:ascii="宋体" w:hAnsi="宋体" w:cs="宋体"/>
          <w:b/>
          <w:sz w:val="24"/>
        </w:rPr>
        <w:t>最高限价（元）： 500000</w:t>
      </w:r>
    </w:p>
    <w:p>
      <w:pPr>
        <w:pStyle w:val="16"/>
        <w:spacing w:line="360" w:lineRule="auto"/>
        <w:ind w:firstLine="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w:t>
      </w:r>
    </w:p>
    <w:tbl>
      <w:tblPr>
        <w:tblStyle w:val="64"/>
        <w:tblW w:w="951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9"/>
        <w:gridCol w:w="1697"/>
        <w:gridCol w:w="553"/>
        <w:gridCol w:w="1507"/>
        <w:gridCol w:w="553"/>
        <w:gridCol w:w="3859"/>
        <w:gridCol w:w="6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9" w:type="dxa"/>
            <w:vAlign w:val="center"/>
          </w:tcPr>
          <w:p>
            <w:pPr>
              <w:pStyle w:val="25"/>
              <w:ind w:firstLine="0"/>
              <w:jc w:val="center"/>
              <w:rPr>
                <w:rFonts w:hAnsi="宋体" w:cs="宋体"/>
                <w:szCs w:val="24"/>
              </w:rPr>
            </w:pPr>
            <w:r>
              <w:rPr>
                <w:rFonts w:hint="eastAsia" w:hAnsi="宋体" w:cs="宋体"/>
                <w:szCs w:val="24"/>
              </w:rPr>
              <w:t>标项序号</w:t>
            </w:r>
          </w:p>
        </w:tc>
        <w:tc>
          <w:tcPr>
            <w:tcW w:w="1697" w:type="dxa"/>
            <w:vAlign w:val="center"/>
          </w:tcPr>
          <w:p>
            <w:pPr>
              <w:pStyle w:val="25"/>
              <w:ind w:firstLine="0"/>
              <w:jc w:val="center"/>
              <w:rPr>
                <w:rFonts w:hAnsi="宋体" w:cs="宋体"/>
                <w:szCs w:val="24"/>
              </w:rPr>
            </w:pPr>
            <w:r>
              <w:rPr>
                <w:rFonts w:hint="eastAsia" w:hAnsi="宋体" w:cs="宋体"/>
                <w:szCs w:val="24"/>
              </w:rPr>
              <w:t>标项名称</w:t>
            </w:r>
          </w:p>
        </w:tc>
        <w:tc>
          <w:tcPr>
            <w:tcW w:w="553" w:type="dxa"/>
            <w:vAlign w:val="center"/>
          </w:tcPr>
          <w:p>
            <w:pPr>
              <w:pStyle w:val="25"/>
              <w:ind w:firstLine="0"/>
              <w:jc w:val="center"/>
              <w:rPr>
                <w:rFonts w:hAnsi="宋体" w:cs="宋体"/>
                <w:szCs w:val="24"/>
              </w:rPr>
            </w:pPr>
            <w:r>
              <w:rPr>
                <w:rFonts w:hint="eastAsia" w:hAnsi="宋体" w:cs="宋体"/>
                <w:szCs w:val="24"/>
              </w:rPr>
              <w:t>数量</w:t>
            </w:r>
          </w:p>
        </w:tc>
        <w:tc>
          <w:tcPr>
            <w:tcW w:w="1507" w:type="dxa"/>
            <w:vAlign w:val="center"/>
          </w:tcPr>
          <w:p>
            <w:pPr>
              <w:pStyle w:val="25"/>
              <w:ind w:firstLine="0"/>
              <w:jc w:val="center"/>
              <w:rPr>
                <w:rFonts w:hAnsi="宋体" w:cs="宋体"/>
                <w:szCs w:val="24"/>
              </w:rPr>
            </w:pPr>
            <w:r>
              <w:rPr>
                <w:rFonts w:hint="eastAsia" w:hAnsi="宋体" w:cs="宋体"/>
                <w:szCs w:val="24"/>
              </w:rPr>
              <w:t>预算金额(元)</w:t>
            </w:r>
          </w:p>
        </w:tc>
        <w:tc>
          <w:tcPr>
            <w:tcW w:w="553" w:type="dxa"/>
            <w:vAlign w:val="center"/>
          </w:tcPr>
          <w:p>
            <w:pPr>
              <w:pStyle w:val="25"/>
              <w:ind w:firstLine="0"/>
              <w:jc w:val="center"/>
              <w:rPr>
                <w:rFonts w:hAnsi="宋体" w:cs="宋体"/>
                <w:szCs w:val="24"/>
              </w:rPr>
            </w:pPr>
            <w:r>
              <w:rPr>
                <w:rFonts w:hint="eastAsia" w:hAnsi="宋体" w:cs="宋体"/>
                <w:szCs w:val="24"/>
              </w:rPr>
              <w:t>单位</w:t>
            </w:r>
          </w:p>
        </w:tc>
        <w:tc>
          <w:tcPr>
            <w:tcW w:w="3859" w:type="dxa"/>
            <w:vAlign w:val="center"/>
          </w:tcPr>
          <w:p>
            <w:pPr>
              <w:pStyle w:val="25"/>
              <w:ind w:firstLine="0"/>
              <w:jc w:val="center"/>
              <w:rPr>
                <w:rFonts w:hAnsi="宋体" w:cs="宋体"/>
                <w:szCs w:val="24"/>
              </w:rPr>
            </w:pPr>
            <w:r>
              <w:rPr>
                <w:rFonts w:hint="eastAsia" w:hAnsi="宋体" w:cs="宋体"/>
                <w:szCs w:val="24"/>
              </w:rPr>
              <w:t>简要规格描述</w:t>
            </w:r>
          </w:p>
        </w:tc>
        <w:tc>
          <w:tcPr>
            <w:tcW w:w="697" w:type="dxa"/>
            <w:vAlign w:val="center"/>
          </w:tcPr>
          <w:p>
            <w:pPr>
              <w:pStyle w:val="25"/>
              <w:ind w:firstLine="0"/>
              <w:jc w:val="center"/>
              <w:rPr>
                <w:rFonts w:hAnsi="宋体" w:cs="宋体"/>
                <w:szCs w:val="24"/>
              </w:rPr>
            </w:pPr>
            <w:r>
              <w:rPr>
                <w:rFonts w:hint="eastAsia" w:hAnsi="宋体" w:cs="宋体"/>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5" w:hRule="atLeast"/>
          <w:jc w:val="center"/>
        </w:trPr>
        <w:tc>
          <w:tcPr>
            <w:tcW w:w="649" w:type="dxa"/>
            <w:vAlign w:val="center"/>
          </w:tcPr>
          <w:p>
            <w:pPr>
              <w:pStyle w:val="481"/>
              <w:spacing w:line="360" w:lineRule="auto"/>
              <w:jc w:val="center"/>
              <w:rPr>
                <w:rFonts w:ascii="宋体" w:hAnsi="宋体" w:cs="宋体"/>
                <w:sz w:val="24"/>
                <w:szCs w:val="24"/>
              </w:rPr>
            </w:pPr>
            <w:r>
              <w:rPr>
                <w:rFonts w:hint="eastAsia" w:ascii="宋体" w:hAnsi="宋体" w:cs="宋体"/>
                <w:sz w:val="24"/>
                <w:szCs w:val="24"/>
              </w:rPr>
              <w:t>1</w:t>
            </w:r>
          </w:p>
        </w:tc>
        <w:tc>
          <w:tcPr>
            <w:tcW w:w="1697" w:type="dxa"/>
            <w:vAlign w:val="center"/>
          </w:tcPr>
          <w:p>
            <w:pPr>
              <w:pStyle w:val="481"/>
              <w:spacing w:line="360" w:lineRule="auto"/>
              <w:jc w:val="center"/>
              <w:rPr>
                <w:rFonts w:ascii="宋体" w:hAnsi="宋体" w:cs="宋体"/>
                <w:sz w:val="24"/>
                <w:szCs w:val="24"/>
              </w:rPr>
            </w:pPr>
            <w:r>
              <w:rPr>
                <w:rFonts w:hint="eastAsia" w:ascii="宋体" w:hAnsi="宋体" w:cs="宋体"/>
                <w:sz w:val="24"/>
                <w:szCs w:val="24"/>
                <w:shd w:val="clear" w:color="auto" w:fill="FFFFFF"/>
              </w:rPr>
              <w:t>浙江省核与辐射监督性监测及宣传教育专项</w:t>
            </w:r>
          </w:p>
        </w:tc>
        <w:tc>
          <w:tcPr>
            <w:tcW w:w="553" w:type="dxa"/>
            <w:vAlign w:val="center"/>
          </w:tcPr>
          <w:p>
            <w:pPr>
              <w:pStyle w:val="481"/>
              <w:spacing w:line="360" w:lineRule="auto"/>
              <w:jc w:val="center"/>
              <w:rPr>
                <w:rFonts w:ascii="宋体" w:hAnsi="宋体" w:cs="宋体"/>
                <w:sz w:val="24"/>
                <w:szCs w:val="24"/>
              </w:rPr>
            </w:pPr>
            <w:r>
              <w:rPr>
                <w:rFonts w:hint="eastAsia" w:ascii="宋体" w:hAnsi="宋体" w:cs="宋体"/>
                <w:sz w:val="24"/>
                <w:szCs w:val="24"/>
              </w:rPr>
              <w:t>1</w:t>
            </w:r>
          </w:p>
        </w:tc>
        <w:tc>
          <w:tcPr>
            <w:tcW w:w="1507" w:type="dxa"/>
            <w:vAlign w:val="center"/>
          </w:tcPr>
          <w:p>
            <w:pPr>
              <w:pStyle w:val="481"/>
              <w:spacing w:line="360" w:lineRule="auto"/>
              <w:ind w:firstLine="240" w:firstLineChars="100"/>
              <w:rPr>
                <w:rFonts w:ascii="宋体" w:hAnsi="宋体" w:cs="宋体"/>
                <w:sz w:val="24"/>
                <w:szCs w:val="24"/>
              </w:rPr>
            </w:pPr>
            <w:r>
              <w:rPr>
                <w:rFonts w:hint="eastAsia" w:ascii="宋体" w:hAnsi="宋体" w:cs="宋体"/>
                <w:sz w:val="24"/>
                <w:szCs w:val="24"/>
              </w:rPr>
              <w:t xml:space="preserve"> 500000</w:t>
            </w:r>
          </w:p>
        </w:tc>
        <w:tc>
          <w:tcPr>
            <w:tcW w:w="553" w:type="dxa"/>
            <w:vAlign w:val="center"/>
          </w:tcPr>
          <w:p>
            <w:pPr>
              <w:pStyle w:val="481"/>
              <w:spacing w:line="360" w:lineRule="auto"/>
              <w:jc w:val="center"/>
              <w:rPr>
                <w:rFonts w:ascii="宋体" w:hAnsi="宋体" w:cs="宋体"/>
                <w:sz w:val="24"/>
                <w:szCs w:val="24"/>
              </w:rPr>
            </w:pPr>
            <w:r>
              <w:rPr>
                <w:rFonts w:hint="eastAsia" w:ascii="宋体" w:hAnsi="宋体" w:cs="宋体"/>
                <w:sz w:val="24"/>
                <w:szCs w:val="24"/>
              </w:rPr>
              <w:t>项</w:t>
            </w:r>
          </w:p>
        </w:tc>
        <w:tc>
          <w:tcPr>
            <w:tcW w:w="3859" w:type="dxa"/>
            <w:vAlign w:val="center"/>
          </w:tcPr>
          <w:p>
            <w:pPr>
              <w:shd w:val="clear" w:color="auto" w:fill="FFFFFF"/>
              <w:rPr>
                <w:rFonts w:ascii="宋体" w:hAnsi="宋体" w:cs="宋体"/>
                <w:sz w:val="24"/>
              </w:rPr>
            </w:pPr>
            <w:r>
              <w:rPr>
                <w:rFonts w:hint="eastAsia" w:ascii="宋体" w:hAnsi="宋体" w:cs="宋体"/>
                <w:sz w:val="24"/>
                <w:shd w:val="clear" w:color="auto" w:fill="FFFFFF"/>
              </w:rPr>
              <w:t>按照生态环境部、国家核应急办的统一部署，以及省委、省政府、省核应急委、省生态环境厅统一部署，组织完成核与辐射普遍性监测、重点地区电磁辐射环境监测、辐射环境应急事故处置，开展核与辐射宣传教育。具体详见招标文件第三部分。</w:t>
            </w:r>
          </w:p>
        </w:tc>
        <w:tc>
          <w:tcPr>
            <w:tcW w:w="697" w:type="dxa"/>
            <w:vAlign w:val="center"/>
          </w:tcPr>
          <w:p>
            <w:pPr>
              <w:pStyle w:val="25"/>
              <w:ind w:firstLine="0"/>
              <w:jc w:val="center"/>
              <w:rPr>
                <w:rFonts w:hAnsi="宋体" w:cs="宋体"/>
                <w:szCs w:val="24"/>
              </w:rPr>
            </w:pPr>
          </w:p>
        </w:tc>
      </w:tr>
    </w:tbl>
    <w:p>
      <w:pPr>
        <w:shd w:val="clear" w:color="auto" w:fill="FFFFFF"/>
        <w:rPr>
          <w:color w:val="000000"/>
          <w:sz w:val="24"/>
        </w:rPr>
      </w:pPr>
      <w:r>
        <w:rPr>
          <w:color w:val="000000"/>
          <w:sz w:val="24"/>
        </w:rPr>
        <w:t>合同履约期限：见招标文件。</w:t>
      </w:r>
    </w:p>
    <w:p>
      <w:pPr>
        <w:pStyle w:val="16"/>
        <w:spacing w:line="360" w:lineRule="auto"/>
        <w:ind w:firstLine="480"/>
        <w:rPr>
          <w:rFonts w:hAnsi="宋体" w:cs="宋体"/>
          <w:b/>
          <w:sz w:val="24"/>
        </w:rPr>
      </w:pPr>
      <w:r>
        <w:rPr>
          <w:rFonts w:hint="eastAsia" w:hAnsi="宋体" w:cs="宋体"/>
          <w:b/>
          <w:color w:val="auto"/>
          <w:sz w:val="24"/>
        </w:rPr>
        <w:t>本项目接受联合体投标：</w:t>
      </w:r>
      <w:sdt>
        <w:sdtPr>
          <w:rPr>
            <w:rFonts w:hint="eastAsia" w:hAnsi="宋体" w:cs="宋体"/>
            <w:kern w:val="0"/>
            <w:sz w:val="24"/>
          </w:rPr>
          <w:id w:val="-1276331357"/>
        </w:sdtPr>
        <w:sdtEndPr>
          <w:rPr>
            <w:rFonts w:hint="eastAsia" w:hAnsi="宋体" w:cs="宋体"/>
            <w:kern w:val="0"/>
            <w:sz w:val="24"/>
          </w:rPr>
        </w:sdtEndPr>
        <w:sdtContent>
          <w:r>
            <w:rPr>
              <w:rFonts w:hint="eastAsia" w:hAnsi="宋体" w:cs="宋体"/>
              <w:kern w:val="0"/>
              <w:sz w:val="24"/>
            </w:rPr>
            <w:sym w:font="Wingdings" w:char="00FE"/>
          </w:r>
        </w:sdtContent>
      </w:sdt>
      <w:r>
        <w:rPr>
          <w:rFonts w:hint="eastAsia" w:hAnsi="宋体" w:cs="宋体"/>
          <w:kern w:val="0"/>
          <w:sz w:val="24"/>
        </w:rPr>
        <w:t xml:space="preserve"> </w:t>
      </w:r>
      <w:r>
        <w:rPr>
          <w:rFonts w:hint="eastAsia" w:hAnsi="宋体" w:cs="宋体"/>
          <w:b/>
          <w:color w:val="auto"/>
          <w:sz w:val="24"/>
        </w:rPr>
        <w:t xml:space="preserve">是， </w:t>
      </w:r>
      <w:sdt>
        <w:sdtPr>
          <w:rPr>
            <w:rFonts w:hint="eastAsia" w:hAnsi="宋体" w:cs="宋体"/>
            <w:kern w:val="0"/>
            <w:sz w:val="24"/>
          </w:rPr>
          <w:id w:val="-742414239"/>
        </w:sdtPr>
        <w:sdtEndPr>
          <w:rPr>
            <w:rFonts w:hint="eastAsia" w:hAnsi="宋体" w:cs="宋体"/>
            <w:kern w:val="0"/>
            <w:sz w:val="24"/>
          </w:rPr>
        </w:sdtEndPr>
        <w:sdtContent>
          <w:r>
            <w:rPr>
              <w:rFonts w:hint="eastAsia" w:hAnsi="宋体" w:cs="宋体"/>
              <w:kern w:val="0"/>
              <w:sz w:val="24"/>
            </w:rPr>
            <w:sym w:font="Wingdings" w:char="00A8"/>
          </w:r>
        </w:sdtContent>
      </w:sdt>
      <w:r>
        <w:rPr>
          <w:rFonts w:hint="eastAsia" w:hAnsi="宋体" w:cs="宋体"/>
          <w:kern w:val="0"/>
          <w:sz w:val="24"/>
        </w:rPr>
        <w:t xml:space="preserve"> </w:t>
      </w:r>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2.落实政府采购政策需满足的资格要求：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59256098"/>
        </w:sdtPr>
        <w:sdtEndPr>
          <w:rPr>
            <w:rFonts w:hint="eastAsia" w:ascii="宋体" w:hAnsi="宋体" w:cs="宋体"/>
            <w:kern w:val="0"/>
            <w:sz w:val="24"/>
          </w:rPr>
        </w:sdtEndPr>
        <w:sdtContent>
          <w:r>
            <w:rPr>
              <w:rFonts w:hint="eastAsia" w:ascii="宋体" w:hAnsi="宋体" w:cs="宋体"/>
              <w:kern w:val="0"/>
              <w:sz w:val="24"/>
            </w:rPr>
            <w:sym w:font="Wingdings" w:char="00FE"/>
          </w:r>
        </w:sdtContent>
      </w:sdt>
      <w:r>
        <w:rPr>
          <w:rFonts w:hint="eastAsia" w:ascii="宋体" w:hAnsi="宋体" w:cs="宋体"/>
          <w:kern w:val="0"/>
          <w:sz w:val="24"/>
        </w:rPr>
        <w:t xml:space="preserve"> </w:t>
      </w:r>
      <w:r>
        <w:rPr>
          <w:rFonts w:hint="eastAsia" w:ascii="宋体" w:hAnsi="宋体" w:cs="宋体"/>
          <w:sz w:val="24"/>
        </w:rPr>
        <w:t>无；</w:t>
      </w:r>
    </w:p>
    <w:p>
      <w:pPr>
        <w:spacing w:line="360" w:lineRule="auto"/>
        <w:ind w:firstLine="480" w:firstLineChars="200"/>
        <w:rPr>
          <w:rFonts w:ascii="宋体" w:hAnsi="宋体" w:cs="宋体"/>
          <w:sz w:val="24"/>
        </w:rPr>
      </w:pPr>
      <w:sdt>
        <w:sdtPr>
          <w:rPr>
            <w:rFonts w:hint="eastAsia" w:ascii="宋体" w:hAnsi="宋体" w:cs="宋体"/>
            <w:kern w:val="0"/>
            <w:sz w:val="24"/>
          </w:rPr>
          <w:id w:val="-182671158"/>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专</w:t>
      </w:r>
      <w:r>
        <w:rPr>
          <w:rFonts w:hint="eastAsia" w:ascii="宋体" w:hAnsi="宋体" w:cs="宋体"/>
          <w:sz w:val="24"/>
        </w:rPr>
        <w:t>门面向中小企业</w:t>
      </w:r>
    </w:p>
    <w:p>
      <w:pPr>
        <w:spacing w:line="360" w:lineRule="auto"/>
        <w:ind w:firstLine="897" w:firstLineChars="374"/>
        <w:rPr>
          <w:rFonts w:ascii="宋体" w:hAnsi="宋体" w:cs="宋体"/>
          <w:sz w:val="24"/>
        </w:rPr>
      </w:pPr>
      <w:sdt>
        <w:sdtPr>
          <w:rPr>
            <w:rFonts w:hint="eastAsia" w:ascii="宋体" w:hAnsi="宋体" w:cs="宋体"/>
            <w:kern w:val="0"/>
            <w:sz w:val="24"/>
          </w:rPr>
          <w:id w:val="-1415853968"/>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w:t>
      </w:r>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877551070"/>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w:t>
      </w:r>
      <w:r>
        <w:rPr>
          <w:rFonts w:hint="eastAsia" w:ascii="宋体" w:hAnsi="宋体" w:cs="宋体"/>
          <w:sz w:val="24"/>
        </w:rPr>
        <w:t>服务全部由符合政策要求的小微企业承接，提供中小企业声明函；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647475142"/>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w:t>
      </w:r>
      <w:r>
        <w:rPr>
          <w:rFonts w:hint="eastAsia" w:ascii="宋体" w:hAnsi="宋体" w:cs="宋体"/>
          <w:sz w:val="24"/>
        </w:rPr>
        <w:t>要求以联合体形式参加，提供联合协议和中小企业声明函，联合协议中中小企业合同金额应当达到%，小微企业合同金额应当达到%;</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297690269"/>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w:t>
      </w:r>
      <w:r>
        <w:rPr>
          <w:rFonts w:hint="eastAsia" w:ascii="宋体" w:hAnsi="宋体" w:cs="宋体"/>
          <w:sz w:val="24"/>
        </w:rPr>
        <w:t>要求合同分包，提供分包意向协议和中小企业声明函，分包意向协议中中小企业合同金额应当达到% ，小微企业合同金额应当达到%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pPr>
        <w:numPr>
          <w:ilvl w:val="0"/>
          <w:numId w:val="1"/>
        </w:numPr>
        <w:spacing w:line="360" w:lineRule="auto"/>
        <w:ind w:firstLine="420"/>
        <w:rPr>
          <w:rFonts w:ascii="宋体" w:hAnsi="宋体" w:cs="宋体"/>
          <w:sz w:val="24"/>
        </w:rPr>
      </w:pPr>
      <w:r>
        <w:rPr>
          <w:rFonts w:hint="eastAsia" w:ascii="宋体" w:hAnsi="宋体" w:cs="宋体"/>
          <w:sz w:val="24"/>
        </w:rPr>
        <w:t>本项目的特定资格要求：</w:t>
      </w:r>
    </w:p>
    <w:p>
      <w:pPr>
        <w:pStyle w:val="25"/>
        <w:rPr>
          <w:lang w:val="en-US"/>
        </w:rPr>
      </w:pPr>
      <w:r>
        <w:rPr>
          <w:rFonts w:hint="eastAsia" w:hAnsi="宋体" w:cs="宋体"/>
          <w:szCs w:val="21"/>
          <w:lang w:val="en-US"/>
        </w:rPr>
        <w:t>无。</w:t>
      </w:r>
    </w:p>
    <w:p>
      <w:pPr>
        <w:snapToGrid w:val="0"/>
        <w:spacing w:line="360" w:lineRule="auto"/>
        <w:ind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三、获取招标文件</w:t>
      </w:r>
    </w:p>
    <w:p>
      <w:pPr>
        <w:spacing w:line="360" w:lineRule="auto"/>
        <w:ind w:firstLine="482" w:firstLineChars="200"/>
        <w:rPr>
          <w:rFonts w:ascii="宋体" w:hAnsi="宋体" w:cs="宋体"/>
          <w:color w:val="FF0000"/>
          <w:sz w:val="24"/>
        </w:rPr>
      </w:pPr>
      <w:r>
        <w:rPr>
          <w:rFonts w:hint="eastAsia" w:ascii="宋体" w:hAnsi="宋体" w:cs="宋体"/>
          <w:b/>
          <w:sz w:val="24"/>
        </w:rPr>
        <w:t>时间：</w:t>
      </w:r>
      <w:r>
        <w:rPr>
          <w:rFonts w:hint="eastAsia" w:ascii="宋体" w:hAnsi="宋体" w:cs="宋体"/>
          <w:sz w:val="24"/>
          <w:u w:val="single"/>
        </w:rPr>
        <w:t>公告发布之日起至投标截止时间</w:t>
      </w:r>
      <w:r>
        <w:rPr>
          <w:rFonts w:hint="eastAsia" w:ascii="宋体" w:hAnsi="宋体" w:cs="宋体"/>
          <w:sz w:val="24"/>
        </w:rPr>
        <w:t>（北京时间，线上获取法定节假日均可，线下获取文件法定节假日除外）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2022年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24</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w:t>
      </w:r>
      <w:r>
        <w:rPr>
          <w:rFonts w:hint="eastAsia" w:ascii="宋体" w:hAnsi="宋体" w:cs="宋体"/>
          <w:sz w:val="24"/>
          <w:u w:val="single"/>
        </w:rPr>
        <w:t>0分</w:t>
      </w:r>
      <w:r>
        <w:rPr>
          <w:rFonts w:hint="eastAsia" w:ascii="宋体" w:hAnsi="宋体" w:cs="宋体"/>
          <w:bCs/>
          <w:sz w:val="24"/>
          <w:u w:val="single"/>
        </w:rPr>
        <w:t>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2022年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24</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w:t>
      </w:r>
      <w:r>
        <w:rPr>
          <w:rFonts w:hint="eastAsia" w:ascii="宋体" w:hAnsi="宋体" w:cs="宋体"/>
          <w:sz w:val="24"/>
          <w:u w:val="single"/>
        </w:rPr>
        <w:t>0分</w:t>
      </w:r>
      <w:r>
        <w:rPr>
          <w:rFonts w:hint="eastAsia" w:ascii="宋体" w:hAnsi="宋体" w:cs="宋体"/>
          <w:bCs/>
          <w:sz w:val="24"/>
          <w:u w:val="single"/>
        </w:rPr>
        <w:t>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五、公告期限</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ascii="宋体" w:hAnsi="宋体" w:cs="宋体"/>
          <w:sz w:val="24"/>
        </w:rPr>
      </w:pPr>
      <w:r>
        <w:rPr>
          <w:rFonts w:hint="eastAsia" w:ascii="宋体" w:hAnsi="宋体" w:cs="宋体"/>
          <w:sz w:val="24"/>
        </w:rPr>
        <w:t>1.采购人信息</w:t>
      </w:r>
    </w:p>
    <w:p>
      <w:pPr>
        <w:spacing w:line="360" w:lineRule="auto"/>
        <w:ind w:firstLine="480" w:firstLineChars="200"/>
        <w:rPr>
          <w:rFonts w:ascii="宋体" w:hAnsi="宋体" w:cs="宋体"/>
          <w:sz w:val="24"/>
        </w:rPr>
      </w:pPr>
      <w:r>
        <w:rPr>
          <w:rFonts w:hint="eastAsia" w:ascii="宋体" w:hAnsi="宋体" w:cs="宋体"/>
          <w:sz w:val="24"/>
        </w:rPr>
        <w:t>名    称：浙江省生态环境厅</w:t>
      </w:r>
    </w:p>
    <w:p>
      <w:pPr>
        <w:spacing w:line="360" w:lineRule="auto"/>
        <w:ind w:firstLine="480" w:firstLineChars="200"/>
        <w:rPr>
          <w:rFonts w:ascii="宋体" w:hAnsi="宋体" w:cs="宋体"/>
          <w:sz w:val="24"/>
        </w:rPr>
      </w:pPr>
      <w:r>
        <w:rPr>
          <w:rFonts w:hint="eastAsia" w:ascii="宋体" w:hAnsi="宋体" w:cs="宋体"/>
          <w:sz w:val="24"/>
        </w:rPr>
        <w:t>地    址：杭州市西湖区学院路117号</w:t>
      </w:r>
    </w:p>
    <w:p>
      <w:pPr>
        <w:pStyle w:val="59"/>
        <w:spacing w:before="75" w:beforeAutospacing="0" w:after="75" w:afterAutospacing="0" w:line="360" w:lineRule="auto"/>
        <w:ind w:firstLine="480" w:firstLineChars="200"/>
        <w:rPr>
          <w:rStyle w:val="962"/>
          <w:rFonts w:cs="宋体"/>
        </w:rPr>
      </w:pPr>
      <w:r>
        <w:rPr>
          <w:rFonts w:hint="eastAsia" w:cs="宋体"/>
        </w:rPr>
        <w:t xml:space="preserve">项目联系人（询问）：陈晓红 </w:t>
      </w:r>
    </w:p>
    <w:p>
      <w:pPr>
        <w:pStyle w:val="59"/>
        <w:spacing w:before="75" w:beforeAutospacing="0" w:after="75" w:afterAutospacing="0" w:line="360" w:lineRule="auto"/>
        <w:ind w:firstLine="480" w:firstLineChars="200"/>
        <w:rPr>
          <w:rStyle w:val="962"/>
          <w:rFonts w:cs="宋体"/>
        </w:rPr>
      </w:pPr>
      <w:r>
        <w:rPr>
          <w:rFonts w:hint="eastAsia" w:cs="宋体"/>
        </w:rPr>
        <w:t>项目联系方式（询问）：0571-28869173</w:t>
      </w:r>
    </w:p>
    <w:p>
      <w:pPr>
        <w:pStyle w:val="59"/>
        <w:spacing w:before="75" w:beforeAutospacing="0" w:after="75" w:afterAutospacing="0" w:line="360" w:lineRule="auto"/>
        <w:ind w:firstLine="480" w:firstLineChars="200"/>
        <w:rPr>
          <w:rStyle w:val="962"/>
          <w:rFonts w:cs="宋体"/>
        </w:rPr>
      </w:pPr>
      <w:r>
        <w:rPr>
          <w:rFonts w:hint="eastAsia" w:cs="宋体"/>
        </w:rPr>
        <w:t>质疑联系人：张平</w:t>
      </w:r>
    </w:p>
    <w:p>
      <w:pPr>
        <w:pStyle w:val="59"/>
        <w:spacing w:before="75" w:beforeAutospacing="0" w:after="75" w:afterAutospacing="0" w:line="360" w:lineRule="auto"/>
        <w:ind w:firstLine="480" w:firstLineChars="200"/>
        <w:rPr>
          <w:rFonts w:cs="宋体"/>
        </w:rPr>
      </w:pPr>
      <w:r>
        <w:rPr>
          <w:rFonts w:hint="eastAsia" w:cs="宋体"/>
        </w:rPr>
        <w:t>质疑联系方式：</w:t>
      </w:r>
      <w:r>
        <w:rPr>
          <w:rStyle w:val="962"/>
          <w:rFonts w:hint="eastAsia" w:cs="宋体"/>
        </w:rPr>
        <w:t>0571-28913055</w:t>
      </w:r>
    </w:p>
    <w:p>
      <w:pPr>
        <w:spacing w:line="360" w:lineRule="auto"/>
        <w:ind w:firstLine="480" w:firstLineChars="200"/>
        <w:rPr>
          <w:rFonts w:ascii="宋体" w:hAnsi="宋体" w:cs="宋体"/>
          <w:sz w:val="24"/>
        </w:rPr>
      </w:pPr>
      <w:r>
        <w:rPr>
          <w:rFonts w:hint="eastAsia" w:ascii="宋体" w:hAnsi="宋体" w:cs="宋体"/>
          <w:sz w:val="24"/>
        </w:rPr>
        <w:t>2.采购代理机构信息</w:t>
      </w:r>
    </w:p>
    <w:p>
      <w:pPr>
        <w:spacing w:line="360" w:lineRule="auto"/>
        <w:ind w:firstLine="480"/>
        <w:rPr>
          <w:rFonts w:ascii="宋体" w:hAnsi="宋体" w:cs="宋体"/>
          <w:sz w:val="24"/>
        </w:rPr>
      </w:pPr>
      <w:r>
        <w:rPr>
          <w:rFonts w:hint="eastAsia" w:ascii="宋体" w:hAnsi="宋体" w:cs="宋体"/>
          <w:sz w:val="24"/>
        </w:rPr>
        <w:t>名称：浙江信镧建设工程咨询有限公司</w:t>
      </w:r>
    </w:p>
    <w:p>
      <w:pPr>
        <w:pStyle w:val="59"/>
        <w:spacing w:before="75" w:beforeAutospacing="0" w:after="75" w:afterAutospacing="0" w:line="360" w:lineRule="auto"/>
        <w:ind w:firstLine="480" w:firstLineChars="200"/>
        <w:rPr>
          <w:rFonts w:cs="宋体"/>
        </w:rPr>
      </w:pPr>
      <w:r>
        <w:rPr>
          <w:rFonts w:hint="eastAsia" w:cs="宋体"/>
        </w:rPr>
        <w:t>地    址：</w:t>
      </w:r>
      <w:r>
        <w:rPr>
          <w:rStyle w:val="962"/>
          <w:rFonts w:hint="eastAsia" w:cs="宋体"/>
        </w:rPr>
        <w:t>浙江省杭州市西湖区文二路391号西湖国际科技大厦B2楼507室</w:t>
      </w:r>
    </w:p>
    <w:p>
      <w:pPr>
        <w:pStyle w:val="59"/>
        <w:spacing w:before="75" w:beforeAutospacing="0" w:after="75" w:afterAutospacing="0" w:line="360" w:lineRule="auto"/>
        <w:ind w:firstLine="480" w:firstLineChars="200"/>
        <w:rPr>
          <w:rFonts w:cs="宋体"/>
        </w:rPr>
      </w:pPr>
      <w:r>
        <w:rPr>
          <w:rFonts w:hint="eastAsia" w:cs="宋体"/>
        </w:rPr>
        <w:t>传真：</w:t>
      </w:r>
      <w:r>
        <w:rPr>
          <w:rStyle w:val="962"/>
          <w:rFonts w:hint="eastAsia" w:cs="宋体"/>
        </w:rPr>
        <w:t>0571-85024997</w:t>
      </w:r>
    </w:p>
    <w:p>
      <w:pPr>
        <w:pStyle w:val="59"/>
        <w:spacing w:before="75" w:beforeAutospacing="0" w:after="75" w:afterAutospacing="0" w:line="360" w:lineRule="auto"/>
        <w:ind w:firstLine="480" w:firstLineChars="200"/>
        <w:rPr>
          <w:rFonts w:cs="宋体"/>
        </w:rPr>
      </w:pPr>
      <w:r>
        <w:rPr>
          <w:rFonts w:hint="eastAsia" w:cs="宋体"/>
        </w:rPr>
        <w:t>项目联系人（询问）：曹威、叶鸣辉</w:t>
      </w:r>
    </w:p>
    <w:p>
      <w:pPr>
        <w:pStyle w:val="59"/>
        <w:spacing w:before="75" w:beforeAutospacing="0" w:after="75" w:afterAutospacing="0" w:line="360" w:lineRule="auto"/>
        <w:ind w:firstLine="480" w:firstLineChars="200"/>
        <w:rPr>
          <w:rFonts w:cs="宋体"/>
        </w:rPr>
      </w:pPr>
      <w:r>
        <w:rPr>
          <w:rFonts w:hint="eastAsia" w:cs="宋体"/>
        </w:rPr>
        <w:t>项目联系方式（询问）：</w:t>
      </w:r>
      <w:r>
        <w:rPr>
          <w:rStyle w:val="962"/>
          <w:rFonts w:hint="eastAsia" w:cs="宋体"/>
        </w:rPr>
        <w:t>0571-87967630</w:t>
      </w:r>
    </w:p>
    <w:p>
      <w:pPr>
        <w:pStyle w:val="59"/>
        <w:spacing w:before="75" w:beforeAutospacing="0" w:after="75" w:afterAutospacing="0" w:line="360" w:lineRule="auto"/>
        <w:ind w:firstLine="480" w:firstLineChars="200"/>
        <w:rPr>
          <w:rFonts w:cs="宋体"/>
        </w:rPr>
      </w:pPr>
      <w:r>
        <w:rPr>
          <w:rFonts w:hint="eastAsia" w:cs="宋体"/>
        </w:rPr>
        <w:t>质疑联系人：</w:t>
      </w:r>
      <w:r>
        <w:rPr>
          <w:rStyle w:val="962"/>
          <w:rFonts w:hint="eastAsia" w:cs="宋体"/>
        </w:rPr>
        <w:t>葛梅兰</w:t>
      </w:r>
    </w:p>
    <w:p>
      <w:pPr>
        <w:pStyle w:val="59"/>
        <w:spacing w:before="75" w:beforeAutospacing="0" w:after="75" w:afterAutospacing="0" w:line="360" w:lineRule="auto"/>
        <w:ind w:firstLine="480" w:firstLineChars="200"/>
        <w:rPr>
          <w:rStyle w:val="962"/>
          <w:rFonts w:cs="宋体"/>
        </w:rPr>
      </w:pPr>
      <w:r>
        <w:rPr>
          <w:rFonts w:hint="eastAsia" w:cs="宋体"/>
        </w:rPr>
        <w:t>质疑联系方式：</w:t>
      </w:r>
      <w:r>
        <w:rPr>
          <w:rStyle w:val="962"/>
          <w:rFonts w:hint="eastAsia" w:cs="宋体"/>
        </w:rPr>
        <w:t>0571-87967630</w:t>
      </w:r>
    </w:p>
    <w:p>
      <w:pPr>
        <w:pStyle w:val="25"/>
        <w:ind w:firstLine="482" w:firstLineChars="200"/>
        <w:rPr>
          <w:rFonts w:hAnsi="宋体" w:cs="宋体"/>
          <w:szCs w:val="24"/>
        </w:rPr>
      </w:pPr>
      <w:r>
        <w:rPr>
          <w:rFonts w:hint="eastAsia" w:hAnsi="宋体" w:cs="宋体"/>
          <w:b/>
          <w:bCs/>
          <w:szCs w:val="24"/>
        </w:rPr>
        <w:t>投标、中标通知书、合同签订联系人：</w:t>
      </w:r>
      <w:r>
        <w:rPr>
          <w:rFonts w:hint="eastAsia" w:hAnsi="宋体" w:cs="宋体"/>
          <w:szCs w:val="24"/>
        </w:rPr>
        <w:t>胡校芳</w:t>
      </w:r>
    </w:p>
    <w:p>
      <w:pPr>
        <w:pStyle w:val="59"/>
        <w:spacing w:before="75" w:beforeAutospacing="0" w:after="75" w:afterAutospacing="0" w:line="360" w:lineRule="auto"/>
        <w:ind w:firstLine="480" w:firstLineChars="200"/>
        <w:rPr>
          <w:rFonts w:cs="宋体"/>
        </w:rPr>
      </w:pPr>
      <w:r>
        <w:rPr>
          <w:rFonts w:hint="eastAsia" w:cs="宋体"/>
        </w:rPr>
        <w:t>联系电话：0571-87967630</w:t>
      </w:r>
    </w:p>
    <w:p>
      <w:pPr>
        <w:pStyle w:val="59"/>
        <w:spacing w:before="75" w:beforeAutospacing="0" w:after="75" w:afterAutospacing="0" w:line="360" w:lineRule="auto"/>
        <w:ind w:firstLine="482" w:firstLineChars="200"/>
        <w:rPr>
          <w:rFonts w:cs="宋体"/>
          <w:bCs/>
        </w:rPr>
      </w:pPr>
      <w:r>
        <w:rPr>
          <w:rFonts w:hint="eastAsia" w:cs="宋体"/>
          <w:b/>
          <w:bCs/>
        </w:rPr>
        <w:t>财务咨询（采购文件费、发票）联系人：</w:t>
      </w:r>
      <w:r>
        <w:rPr>
          <w:rFonts w:hint="eastAsia" w:cs="宋体"/>
        </w:rPr>
        <w:t>姚</w:t>
      </w:r>
      <w:r>
        <w:rPr>
          <w:rFonts w:hint="eastAsia" w:cs="宋体"/>
          <w:bCs/>
        </w:rPr>
        <w:t>会计</w:t>
      </w:r>
    </w:p>
    <w:p>
      <w:pPr>
        <w:pStyle w:val="59"/>
        <w:spacing w:before="75" w:beforeAutospacing="0" w:after="75" w:afterAutospacing="0" w:line="360" w:lineRule="auto"/>
        <w:ind w:firstLine="480" w:firstLineChars="200"/>
        <w:rPr>
          <w:rFonts w:cs="宋体"/>
        </w:rPr>
      </w:pPr>
      <w:r>
        <w:rPr>
          <w:rFonts w:hint="eastAsia" w:cs="宋体"/>
        </w:rPr>
        <w:t>联系电话：18905813512</w:t>
      </w:r>
    </w:p>
    <w:p>
      <w:pPr>
        <w:pStyle w:val="59"/>
        <w:spacing w:before="75" w:beforeAutospacing="0" w:after="75" w:afterAutospacing="0" w:line="360" w:lineRule="auto"/>
        <w:ind w:firstLine="480" w:firstLineChars="200"/>
        <w:rPr>
          <w:rFonts w:cs="宋体"/>
        </w:rPr>
      </w:pPr>
      <w:r>
        <w:rPr>
          <w:rFonts w:hint="eastAsia" w:cs="宋体"/>
        </w:rPr>
        <w:t>3.同级政府采购监督管理部门</w:t>
      </w:r>
    </w:p>
    <w:p>
      <w:pPr>
        <w:pStyle w:val="59"/>
        <w:spacing w:before="75" w:beforeAutospacing="0" w:after="75" w:afterAutospacing="0" w:line="360" w:lineRule="auto"/>
        <w:ind w:firstLine="480" w:firstLineChars="200"/>
        <w:rPr>
          <w:rFonts w:cs="宋体"/>
        </w:rPr>
      </w:pPr>
      <w:r>
        <w:rPr>
          <w:rFonts w:hint="eastAsia" w:cs="宋体"/>
        </w:rPr>
        <w:t>名    称：</w:t>
      </w:r>
      <w:r>
        <w:rPr>
          <w:rStyle w:val="962"/>
          <w:rFonts w:hint="eastAsia" w:cs="宋体"/>
        </w:rPr>
        <w:t>浙江省财政厅政府采购监管处</w:t>
      </w:r>
    </w:p>
    <w:p>
      <w:pPr>
        <w:pStyle w:val="59"/>
        <w:spacing w:before="75" w:beforeAutospacing="0" w:after="75" w:afterAutospacing="0" w:line="360" w:lineRule="auto"/>
        <w:ind w:firstLine="480" w:firstLineChars="200"/>
        <w:rPr>
          <w:rFonts w:cs="宋体"/>
        </w:rPr>
      </w:pPr>
      <w:r>
        <w:rPr>
          <w:rFonts w:hint="eastAsia" w:cs="宋体"/>
        </w:rPr>
        <w:t>地    址：</w:t>
      </w:r>
      <w:r>
        <w:rPr>
          <w:rStyle w:val="962"/>
          <w:rFonts w:hint="eastAsia" w:cs="宋体"/>
        </w:rPr>
        <w:t>杭州市环城西路37号</w:t>
      </w:r>
    </w:p>
    <w:p>
      <w:pPr>
        <w:pStyle w:val="59"/>
        <w:spacing w:before="75" w:beforeAutospacing="0" w:after="75" w:afterAutospacing="0" w:line="360" w:lineRule="auto"/>
        <w:ind w:firstLine="480" w:firstLineChars="200"/>
        <w:rPr>
          <w:rFonts w:cs="宋体"/>
        </w:rPr>
      </w:pPr>
      <w:r>
        <w:rPr>
          <w:rFonts w:hint="eastAsia" w:cs="宋体"/>
        </w:rPr>
        <w:t>联系人：</w:t>
      </w:r>
      <w:r>
        <w:rPr>
          <w:rStyle w:val="962"/>
          <w:rFonts w:hint="eastAsia" w:cs="宋体"/>
        </w:rPr>
        <w:t>倪文良</w:t>
      </w:r>
    </w:p>
    <w:p>
      <w:pPr>
        <w:spacing w:line="360" w:lineRule="auto"/>
        <w:ind w:firstLine="480" w:firstLineChars="200"/>
        <w:rPr>
          <w:rFonts w:ascii="宋体" w:hAnsi="宋体" w:cs="宋体"/>
          <w:sz w:val="24"/>
        </w:rPr>
      </w:pPr>
      <w:r>
        <w:rPr>
          <w:rFonts w:hint="eastAsia" w:ascii="宋体" w:hAnsi="宋体" w:cs="宋体"/>
          <w:sz w:val="24"/>
        </w:rPr>
        <w:t>监督投诉电话：</w:t>
      </w:r>
      <w:r>
        <w:rPr>
          <w:rStyle w:val="962"/>
          <w:rFonts w:hint="eastAsia" w:ascii="宋体" w:hAnsi="宋体" w:cs="宋体"/>
          <w:sz w:val="24"/>
        </w:rPr>
        <w:t>0571-87057615</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bookmarkStart w:id="12" w:name="_Toc6635"/>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bookmarkEnd w:id="12"/>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7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34759962"/>
              </w:sdtPr>
              <w:sdtEndPr>
                <w:rPr>
                  <w:rFonts w:hint="eastAsia" w:ascii="宋体" w:hAnsi="宋体" w:cs="宋体"/>
                  <w:kern w:val="0"/>
                  <w:sz w:val="24"/>
                </w:rPr>
              </w:sdtEndPr>
              <w:sdtContent>
                <w:r>
                  <w:rPr>
                    <w:rFonts w:hint="eastAsia" w:ascii="宋体" w:hAnsi="宋体" w:cs="宋体"/>
                    <w:kern w:val="0"/>
                    <w:sz w:val="24"/>
                  </w:rPr>
                  <w:sym w:font="Wingdings" w:char="00FE"/>
                </w:r>
              </w:sdtContent>
            </w:sdt>
            <w:r>
              <w:rPr>
                <w:rFonts w:hint="eastAsia" w:ascii="宋体" w:hAnsi="宋体" w:cs="宋体"/>
                <w:kern w:val="0"/>
                <w:sz w:val="24"/>
              </w:rPr>
              <w:t xml:space="preserve"> A</w:t>
            </w:r>
            <w:r>
              <w:rPr>
                <w:rFonts w:hint="eastAsia" w:ascii="宋体" w:hAnsi="宋体" w:cs="宋体"/>
                <w:sz w:val="24"/>
              </w:rPr>
              <w:t>同意将非主体、非关键性的工作分包。</w:t>
            </w:r>
            <w:sdt>
              <w:sdtPr>
                <w:rPr>
                  <w:rFonts w:hint="eastAsia" w:ascii="宋体" w:hAnsi="宋体" w:cs="宋体"/>
                  <w:kern w:val="0"/>
                  <w:sz w:val="24"/>
                </w:rPr>
                <w:id w:val="2064821333"/>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1653288286"/>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B组织，</w:t>
            </w:r>
            <w:r>
              <w:rPr>
                <w:rFonts w:hint="eastAsia" w:ascii="宋体" w:hAnsi="宋体" w:cs="宋体"/>
                <w:sz w:val="24"/>
              </w:rPr>
              <w:t>时间：,地点：，联系人：，联系方式：</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47488555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C</w:t>
            </w: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83"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sdt>
                  <w:sdtPr>
                    <w:rPr>
                      <w:rFonts w:hint="eastAsia" w:ascii="宋体" w:hAnsi="宋体" w:cs="宋体"/>
                      <w:kern w:val="0"/>
                      <w:sz w:val="24"/>
                    </w:rPr>
                    <w:id w:val="-418256748"/>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349569338"/>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B组织。</w:t>
            </w:r>
          </w:p>
          <w:p>
            <w:pPr>
              <w:snapToGrid w:val="0"/>
              <w:spacing w:line="360" w:lineRule="auto"/>
              <w:rPr>
                <w:rFonts w:ascii="宋体" w:hAnsi="宋体" w:cs="宋体"/>
                <w:b/>
                <w:kern w:val="0"/>
                <w:sz w:val="24"/>
                <w:lang w:val="zh-CN"/>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ind w:firstLine="240" w:firstLineChars="100"/>
              <w:rPr>
                <w:rFonts w:ascii="宋体" w:hAnsi="宋体" w:cs="宋体"/>
                <w:sz w:val="24"/>
              </w:rPr>
            </w:pPr>
            <w:r>
              <w:rPr>
                <w:rFonts w:hint="eastAsia" w:ascii="宋体" w:hAnsi="宋体" w:cs="宋体"/>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标的：</w:t>
            </w:r>
            <w:r>
              <w:rPr>
                <w:rFonts w:hint="eastAsia" w:ascii="宋体" w:hAnsi="宋体" w:cs="宋体"/>
                <w:sz w:val="24"/>
                <w:u w:val="single"/>
                <w:shd w:val="clear" w:color="auto" w:fill="FFFFFF"/>
              </w:rPr>
              <w:t>浙江省核与辐射监督性监测及宣传教育专项</w:t>
            </w:r>
            <w:r>
              <w:rPr>
                <w:rFonts w:hint="eastAsia" w:ascii="宋体" w:hAnsi="宋体" w:cs="宋体"/>
                <w:kern w:val="0"/>
                <w:sz w:val="24"/>
              </w:rPr>
              <w:t>，属于</w:t>
            </w:r>
            <w:r>
              <w:rPr>
                <w:rFonts w:hint="eastAsia" w:ascii="宋体" w:hAnsi="宋体" w:cs="宋体"/>
                <w:kern w:val="0"/>
                <w:sz w:val="24"/>
                <w:u w:val="single"/>
              </w:rPr>
              <w:t>其他</w:t>
            </w:r>
            <w:r>
              <w:rPr>
                <w:rFonts w:hint="eastAsia" w:ascii="宋体" w:hAnsi="宋体" w:cs="宋体"/>
                <w:sz w:val="24"/>
                <w:u w:val="single"/>
              </w:rPr>
              <w:t>未列明</w:t>
            </w:r>
            <w:r>
              <w:rPr>
                <w:rFonts w:hint="eastAsia" w:ascii="宋体" w:hAnsi="宋体" w:cs="宋体"/>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rPr>
            </w:pPr>
          </w:p>
          <w:p>
            <w:pPr>
              <w:snapToGrid w:val="0"/>
              <w:spacing w:line="360" w:lineRule="auto"/>
              <w:jc w:val="center"/>
              <w:rPr>
                <w:rFonts w:ascii="宋体" w:hAnsi="宋体" w:cs="宋体"/>
              </w:rPr>
            </w:pPr>
          </w:p>
          <w:p>
            <w:pPr>
              <w:pStyle w:val="25"/>
              <w:rPr>
                <w:rFonts w:hAnsi="宋体" w:cs="宋体"/>
              </w:rPr>
            </w:pPr>
          </w:p>
          <w:p>
            <w:pPr>
              <w:pStyle w:val="25"/>
              <w:rPr>
                <w:rFonts w:hAnsi="宋体" w:cs="宋体"/>
              </w:rPr>
            </w:pPr>
          </w:p>
          <w:p>
            <w:pPr>
              <w:pStyle w:val="25"/>
              <w:rPr>
                <w:rFonts w:hAnsi="宋体" w:cs="宋体"/>
              </w:rPr>
            </w:pPr>
          </w:p>
          <w:p>
            <w:pPr>
              <w:pStyle w:val="25"/>
              <w:ind w:firstLine="240" w:firstLineChars="100"/>
              <w:rPr>
                <w:rFonts w:hAnsi="宋体" w:cs="宋体"/>
                <w:lang w:val="en-US"/>
              </w:rPr>
            </w:pPr>
            <w:r>
              <w:rPr>
                <w:rFonts w:hint="eastAsia" w:hAnsi="宋体" w:cs="宋体"/>
                <w:lang w:val="en-US"/>
              </w:rPr>
              <w:t>8</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宋体" w:hAnsi="宋体" w:cs="宋体"/>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5"/>
              <w:ind w:firstLine="480" w:firstLineChars="200"/>
              <w:rPr>
                <w:rFonts w:hAnsi="宋体" w:cs="宋体"/>
                <w:kern w:val="28"/>
              </w:rPr>
            </w:pPr>
            <w:r>
              <w:rPr>
                <w:rFonts w:hint="eastAsia" w:hAnsi="宋体" w:cs="宋体"/>
                <w:kern w:val="28"/>
                <w:szCs w:val="24"/>
              </w:rPr>
              <w:t>备份投标文件送达地点：</w:t>
            </w:r>
            <w:r>
              <w:rPr>
                <w:rStyle w:val="962"/>
                <w:rFonts w:hint="eastAsia" w:hAnsi="宋体" w:cs="宋体"/>
                <w:szCs w:val="24"/>
                <w:u w:val="single"/>
              </w:rPr>
              <w:t>浙江省杭州市西湖区文二路391号西湖国际科技大厦B2楼507室</w:t>
            </w:r>
            <w:r>
              <w:rPr>
                <w:rFonts w:hint="eastAsia" w:hAnsi="宋体" w:cs="宋体"/>
                <w:kern w:val="28"/>
                <w:szCs w:val="24"/>
              </w:rPr>
              <w:t>；备份投标文件签收人员</w:t>
            </w:r>
            <w:r>
              <w:rPr>
                <w:rFonts w:hint="eastAsia" w:hAnsi="宋体" w:cs="宋体"/>
                <w:szCs w:val="24"/>
                <w:u w:val="single"/>
              </w:rPr>
              <w:t>胡校芳</w:t>
            </w:r>
            <w:r>
              <w:rPr>
                <w:rFonts w:hint="eastAsia" w:hAnsi="宋体" w:cs="宋体"/>
                <w:szCs w:val="24"/>
              </w:rPr>
              <w:t>；联系电话：</w:t>
            </w:r>
            <w:r>
              <w:rPr>
                <w:rFonts w:hint="eastAsia" w:hAnsi="宋体" w:cs="宋体"/>
                <w:szCs w:val="24"/>
                <w:u w:val="single"/>
              </w:rPr>
              <w:t>0571-87967630</w:t>
            </w:r>
            <w:r>
              <w:rPr>
                <w:rFonts w:hint="eastAsia" w:hAnsi="宋体" w:cs="宋体"/>
                <w:szCs w:val="24"/>
              </w:rPr>
              <w:t>。</w:t>
            </w:r>
            <w:r>
              <w:rPr>
                <w:rFonts w:hint="eastAsia" w:hAnsi="宋体" w:cs="宋体"/>
                <w:b/>
                <w:szCs w:val="24"/>
              </w:rPr>
              <w:t>采购人、采购</w:t>
            </w:r>
            <w:r>
              <w:rPr>
                <w:rFonts w:hint="eastAsia" w:hAnsi="宋体" w:cs="宋体"/>
                <w:b/>
                <w:szCs w:val="24"/>
                <w:lang w:val="en-US"/>
              </w:rPr>
              <w:t>代理</w:t>
            </w:r>
            <w:r>
              <w:rPr>
                <w:rFonts w:hint="eastAsia" w:hAnsi="宋体" w:cs="宋体"/>
                <w:b/>
                <w:szCs w:val="24"/>
              </w:rPr>
              <w:t>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rPr>
            </w:pPr>
          </w:p>
          <w:p>
            <w:pPr>
              <w:pStyle w:val="25"/>
              <w:rPr>
                <w:rFonts w:hAnsi="宋体" w:cs="宋体"/>
                <w:lang w:val="en-US"/>
              </w:rPr>
            </w:pPr>
          </w:p>
          <w:p>
            <w:pPr>
              <w:pStyle w:val="26"/>
              <w:rPr>
                <w:rFonts w:ascii="宋体" w:hAnsi="宋体" w:cs="宋体"/>
              </w:rPr>
            </w:pPr>
          </w:p>
          <w:p>
            <w:pPr>
              <w:rPr>
                <w:rFonts w:ascii="宋体" w:hAnsi="宋体" w:cs="宋体"/>
              </w:rPr>
            </w:pPr>
          </w:p>
          <w:p>
            <w:pPr>
              <w:pStyle w:val="25"/>
              <w:rPr>
                <w:rFonts w:hAnsi="宋体" w:cs="宋体"/>
                <w:lang w:val="en-US"/>
              </w:rPr>
            </w:pPr>
          </w:p>
          <w:p>
            <w:pPr>
              <w:pStyle w:val="26"/>
              <w:rPr>
                <w:rFonts w:ascii="宋体" w:hAnsi="宋体" w:cs="宋体"/>
              </w:rPr>
            </w:pPr>
          </w:p>
          <w:p>
            <w:pPr>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p>
            <w:pPr>
              <w:pStyle w:val="25"/>
              <w:rPr>
                <w:rFonts w:hAnsi="宋体" w:cs="宋体"/>
                <w:lang w:val="en-US"/>
              </w:rPr>
            </w:pPr>
          </w:p>
          <w:p>
            <w:pPr>
              <w:pStyle w:val="26"/>
              <w:rPr>
                <w:rFonts w:ascii="宋体" w:hAnsi="宋体" w:cs="宋体"/>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before="24" w:beforeLines="10" w:line="340" w:lineRule="atLeast"/>
              <w:jc w:val="left"/>
              <w:rPr>
                <w:rFonts w:ascii="宋体" w:hAnsi="宋体" w:cs="宋体"/>
                <w:kern w:val="0"/>
                <w:sz w:val="24"/>
              </w:rPr>
            </w:pPr>
            <w:r>
              <w:rPr>
                <w:rFonts w:hint="eastAsia" w:ascii="宋体" w:hAnsi="宋体" w:cs="宋体"/>
                <w:b/>
                <w:bCs/>
                <w:kern w:val="0"/>
                <w:sz w:val="24"/>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20"/>
              <w:rPr>
                <w:rFonts w:ascii="宋体" w:hAnsi="宋体" w:cs="宋体"/>
                <w:kern w:val="0"/>
                <w:sz w:val="24"/>
              </w:rPr>
            </w:pPr>
            <w:r>
              <w:rPr>
                <w:rFonts w:hint="eastAsia" w:ascii="宋体" w:hAnsi="宋体" w:cs="宋体"/>
                <w:kern w:val="0"/>
                <w:sz w:val="24"/>
              </w:rPr>
              <w:t>本项目的采购代理服务费为：</w:t>
            </w:r>
          </w:p>
          <w:p>
            <w:pPr>
              <w:spacing w:line="360" w:lineRule="auto"/>
              <w:ind w:firstLine="420"/>
              <w:rPr>
                <w:rFonts w:ascii="宋体" w:hAnsi="宋体" w:cs="宋体"/>
                <w:kern w:val="0"/>
                <w:sz w:val="24"/>
              </w:rPr>
            </w:pPr>
            <w:r>
              <w:rPr>
                <w:rFonts w:hint="eastAsia" w:ascii="宋体" w:hAnsi="宋体" w:cs="宋体"/>
                <w:kern w:val="0"/>
                <w:sz w:val="24"/>
              </w:rPr>
              <w:t>（1）采购代理服务收费采用差额定率累进计费方式，以成交金额为计算基数。</w:t>
            </w:r>
          </w:p>
          <w:p>
            <w:pPr>
              <w:spacing w:line="360" w:lineRule="auto"/>
              <w:ind w:firstLine="420"/>
              <w:rPr>
                <w:rFonts w:ascii="宋体" w:hAnsi="宋体" w:cs="宋体"/>
                <w:kern w:val="0"/>
                <w:sz w:val="24"/>
              </w:rPr>
            </w:pPr>
            <w:r>
              <w:rPr>
                <w:rFonts w:hint="eastAsia" w:ascii="宋体" w:hAnsi="宋体" w:cs="宋体"/>
                <w:kern w:val="0"/>
                <w:sz w:val="24"/>
              </w:rPr>
              <w:t>（2）各区段具体收费标准如下：</w:t>
            </w:r>
          </w:p>
          <w:p>
            <w:pPr>
              <w:spacing w:line="360" w:lineRule="auto"/>
              <w:ind w:firstLine="420"/>
              <w:rPr>
                <w:rFonts w:ascii="宋体" w:hAnsi="宋体" w:cs="宋体"/>
                <w:kern w:val="0"/>
                <w:sz w:val="24"/>
              </w:rPr>
            </w:pPr>
            <w:r>
              <w:rPr>
                <w:rFonts w:hint="eastAsia" w:ascii="宋体" w:hAnsi="宋体" w:cs="宋体"/>
                <w:kern w:val="0"/>
                <w:sz w:val="24"/>
              </w:rPr>
              <w:t>成交金额              费率</w:t>
            </w:r>
          </w:p>
          <w:p>
            <w:pPr>
              <w:spacing w:line="360" w:lineRule="auto"/>
              <w:ind w:firstLine="420"/>
              <w:rPr>
                <w:rFonts w:ascii="宋体" w:hAnsi="宋体" w:cs="宋体"/>
                <w:kern w:val="0"/>
                <w:sz w:val="24"/>
              </w:rPr>
            </w:pPr>
            <w:r>
              <w:rPr>
                <w:rFonts w:hint="eastAsia" w:ascii="宋体" w:hAnsi="宋体" w:cs="宋体"/>
                <w:kern w:val="0"/>
                <w:sz w:val="24"/>
              </w:rPr>
              <w:t>100万元以下         1.2%</w:t>
            </w:r>
          </w:p>
          <w:p>
            <w:pPr>
              <w:spacing w:line="360" w:lineRule="auto"/>
              <w:ind w:firstLine="420"/>
              <w:rPr>
                <w:rFonts w:ascii="宋体" w:hAnsi="宋体" w:cs="宋体"/>
                <w:kern w:val="0"/>
                <w:sz w:val="24"/>
              </w:rPr>
            </w:pPr>
            <w:r>
              <w:rPr>
                <w:rFonts w:hint="eastAsia" w:ascii="宋体" w:hAnsi="宋体" w:cs="宋体"/>
                <w:kern w:val="0"/>
                <w:sz w:val="24"/>
              </w:rPr>
              <w:t>100-500万元         0.64%</w:t>
            </w:r>
          </w:p>
          <w:p>
            <w:pPr>
              <w:spacing w:line="360" w:lineRule="auto"/>
              <w:ind w:firstLine="420"/>
              <w:rPr>
                <w:rFonts w:ascii="宋体" w:hAnsi="宋体" w:cs="宋体"/>
                <w:kern w:val="0"/>
                <w:sz w:val="24"/>
              </w:rPr>
            </w:pPr>
            <w:r>
              <w:rPr>
                <w:rFonts w:hint="eastAsia" w:ascii="宋体" w:hAnsi="宋体" w:cs="宋体"/>
                <w:kern w:val="0"/>
                <w:sz w:val="24"/>
              </w:rPr>
              <w:t>备注：本项费用在报价表中不单列报价子项，由供应商自行在企业运营成本等或各单价中列支。由成交人在领取成交通知书时一次性向采购代理机构付清。</w:t>
            </w:r>
          </w:p>
          <w:p>
            <w:pPr>
              <w:spacing w:line="360" w:lineRule="auto"/>
              <w:ind w:firstLine="420"/>
              <w:rPr>
                <w:rFonts w:ascii="宋体" w:hAnsi="宋体" w:cs="宋体"/>
                <w:sz w:val="24"/>
              </w:rPr>
            </w:pPr>
            <w:r>
              <w:rPr>
                <w:rFonts w:hint="eastAsia" w:ascii="宋体" w:hAnsi="宋体" w:cs="宋体"/>
                <w:kern w:val="0"/>
                <w:sz w:val="24"/>
              </w:rPr>
              <w:t>收款</w:t>
            </w:r>
            <w:r>
              <w:rPr>
                <w:rFonts w:hint="eastAsia" w:ascii="宋体" w:hAnsi="宋体" w:cs="宋体"/>
                <w:sz w:val="24"/>
              </w:rPr>
              <w:t>账号：</w:t>
            </w:r>
          </w:p>
          <w:p>
            <w:pPr>
              <w:spacing w:line="360" w:lineRule="auto"/>
              <w:ind w:firstLine="420"/>
              <w:rPr>
                <w:rFonts w:ascii="宋体" w:hAnsi="宋体" w:cs="宋体"/>
                <w:kern w:val="0"/>
                <w:sz w:val="24"/>
              </w:rPr>
            </w:pPr>
            <w:r>
              <w:rPr>
                <w:rFonts w:hint="eastAsia" w:ascii="宋体" w:hAnsi="宋体" w:cs="宋体"/>
                <w:kern w:val="0"/>
                <w:sz w:val="24"/>
              </w:rPr>
              <w:t>收款单位（户名）：浙江信镧建设工程咨询有限公司</w:t>
            </w:r>
          </w:p>
          <w:p>
            <w:pPr>
              <w:spacing w:line="360" w:lineRule="auto"/>
              <w:ind w:firstLine="420"/>
              <w:rPr>
                <w:rFonts w:ascii="宋体" w:hAnsi="宋体" w:cs="宋体"/>
                <w:kern w:val="0"/>
                <w:sz w:val="24"/>
              </w:rPr>
            </w:pPr>
            <w:r>
              <w:rPr>
                <w:rFonts w:hint="eastAsia" w:ascii="宋体" w:hAnsi="宋体" w:cs="宋体"/>
                <w:kern w:val="0"/>
                <w:sz w:val="24"/>
              </w:rPr>
              <w:t>开户银行：交通银行杭州华浙广场支行</w:t>
            </w:r>
          </w:p>
          <w:p>
            <w:pPr>
              <w:ind w:firstLine="420"/>
              <w:rPr>
                <w:rFonts w:ascii="宋体" w:hAnsi="宋体" w:cs="宋体"/>
                <w:sz w:val="24"/>
              </w:rPr>
            </w:pPr>
            <w:r>
              <w:rPr>
                <w:rFonts w:hint="eastAsia" w:ascii="宋体" w:hAnsi="宋体" w:cs="宋体"/>
                <w:kern w:val="0"/>
                <w:sz w:val="24"/>
              </w:rPr>
              <w:t>银行账号：331066090018170036304</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color w:val="000000" w:themeColor="text1"/>
                <w:sz w:val="24"/>
                <w14:textFill>
                  <w14:solidFill>
                    <w14:schemeClr w14:val="tx1"/>
                  </w14:solidFill>
                </w14:textFill>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kern w:val="28"/>
                <w:sz w:val="24"/>
              </w:rPr>
            </w:pPr>
            <w:r>
              <w:rPr>
                <w:rFonts w:hint="eastAsia" w:ascii="宋体" w:hAnsi="宋体" w:cs="宋体"/>
                <w:sz w:val="24"/>
              </w:rPr>
              <w:t>中标供应商在合同签订时须提供投标文件的纸质版正副本各一份</w:t>
            </w:r>
            <w:r>
              <w:rPr>
                <w:rFonts w:hint="eastAsia" w:ascii="宋体" w:hAnsi="宋体" w:cs="宋体"/>
                <w:b/>
                <w:kern w:val="0"/>
                <w:sz w:val="24"/>
              </w:rPr>
              <w:t>。</w:t>
            </w:r>
          </w:p>
        </w:tc>
      </w:tr>
    </w:tbl>
    <w:p>
      <w:pPr>
        <w:snapToGrid w:val="0"/>
        <w:spacing w:line="360" w:lineRule="auto"/>
        <w:jc w:val="center"/>
        <w:rPr>
          <w:rFonts w:ascii="宋体" w:hAnsi="宋体" w:cs="宋体"/>
          <w:b/>
          <w:sz w:val="32"/>
          <w:szCs w:val="20"/>
        </w:rPr>
      </w:pPr>
    </w:p>
    <w:bookmarkEnd w:id="11"/>
    <w:p>
      <w:pPr>
        <w:rPr>
          <w:rFonts w:ascii="宋体" w:hAnsi="宋体" w:cs="宋体"/>
          <w:b/>
          <w:sz w:val="32"/>
          <w:szCs w:val="20"/>
        </w:rPr>
      </w:pPr>
      <w:bookmarkStart w:id="13" w:name="_Toc164416483"/>
      <w:bookmarkStart w:id="14" w:name="第三部分"/>
      <w:r>
        <w:rPr>
          <w:rFonts w:hint="eastAsia" w:ascii="宋体" w:hAnsi="宋体" w:cs="宋体"/>
          <w:b/>
          <w:sz w:val="32"/>
          <w:szCs w:val="20"/>
        </w:rPr>
        <w:br w:type="page"/>
      </w:r>
    </w:p>
    <w:p>
      <w:pPr>
        <w:adjustRightInd/>
        <w:spacing w:line="360" w:lineRule="auto"/>
        <w:ind w:firstLine="3845" w:firstLineChars="1197"/>
        <w:outlineLvl w:val="0"/>
        <w:rPr>
          <w:rFonts w:ascii="宋体" w:hAnsi="宋体" w:cs="宋体"/>
          <w:b/>
          <w:sz w:val="32"/>
          <w:szCs w:val="20"/>
        </w:rPr>
      </w:pPr>
      <w:bookmarkStart w:id="15" w:name="_Toc364"/>
      <w:r>
        <w:rPr>
          <w:rFonts w:hint="eastAsia" w:ascii="宋体" w:hAnsi="宋体" w:cs="宋体"/>
          <w:b/>
          <w:sz w:val="32"/>
          <w:szCs w:val="20"/>
        </w:rPr>
        <w:t>一、总则</w:t>
      </w:r>
      <w:bookmarkEnd w:id="15"/>
    </w:p>
    <w:p>
      <w:pPr>
        <w:snapToGrid w:val="0"/>
        <w:spacing w:line="360" w:lineRule="auto"/>
        <w:jc w:val="left"/>
        <w:outlineLvl w:val="1"/>
        <w:rPr>
          <w:rFonts w:ascii="宋体" w:hAnsi="宋体" w:cs="宋体"/>
          <w:b/>
          <w:sz w:val="24"/>
        </w:rPr>
      </w:pPr>
      <w:bookmarkStart w:id="16" w:name="_Toc18470"/>
      <w:r>
        <w:rPr>
          <w:rFonts w:hint="eastAsia" w:ascii="宋体" w:hAnsi="宋体" w:cs="宋体"/>
          <w:b/>
          <w:sz w:val="24"/>
        </w:rPr>
        <w:t>1. 适用范围</w:t>
      </w:r>
      <w:bookmarkEnd w:id="16"/>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snapToGrid w:val="0"/>
        <w:spacing w:line="360" w:lineRule="auto"/>
        <w:jc w:val="left"/>
        <w:rPr>
          <w:rFonts w:ascii="宋体" w:hAnsi="宋体" w:cs="宋体"/>
          <w:b/>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“▲”系指实质性要求条款，“★” 指重要指标，“</w:t>
      </w:r>
      <w:sdt>
        <w:sdtPr>
          <w:rPr>
            <w:rFonts w:hint="eastAsia" w:ascii="宋体" w:hAnsi="宋体" w:cs="宋体"/>
            <w:kern w:val="0"/>
            <w:sz w:val="24"/>
          </w:rPr>
          <w:id w:val="512970236"/>
        </w:sdtPr>
        <w:sdtEndPr>
          <w:rPr>
            <w:rFonts w:hint="eastAsia" w:ascii="宋体" w:hAnsi="宋体" w:cs="宋体"/>
            <w:kern w:val="0"/>
            <w:sz w:val="24"/>
          </w:rPr>
        </w:sdtEndPr>
        <w:sdtContent>
          <w:sdt>
            <w:sdtPr>
              <w:rPr>
                <w:rFonts w:hint="eastAsia" w:ascii="宋体" w:hAnsi="宋体" w:cs="宋体"/>
                <w:kern w:val="0"/>
                <w:sz w:val="24"/>
              </w:rPr>
              <w:id w:val="1849205359"/>
            </w:sdtPr>
            <w:sdtEndPr>
              <w:rPr>
                <w:rFonts w:hint="eastAsia" w:ascii="宋体" w:hAnsi="宋体" w:cs="宋体"/>
                <w:kern w:val="0"/>
                <w:sz w:val="24"/>
              </w:rPr>
            </w:sdtEndPr>
            <w:sdtContent>
              <w:r>
                <w:rPr>
                  <w:rFonts w:hint="eastAsia" w:ascii="宋体" w:hAnsi="宋体" w:cs="宋体"/>
                  <w:kern w:val="0"/>
                  <w:sz w:val="24"/>
                </w:rPr>
                <w:sym w:font="Wingdings" w:char="F0FE"/>
              </w:r>
            </w:sdtContent>
          </w:sdt>
        </w:sdtContent>
      </w:sdt>
      <w:r>
        <w:rPr>
          <w:rFonts w:hint="eastAsia" w:ascii="宋体" w:hAnsi="宋体" w:cs="宋体"/>
          <w:sz w:val="24"/>
        </w:rPr>
        <w:t>”系指适用本项目的要求，“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”系指不适用本项目的要求。</w:t>
      </w:r>
    </w:p>
    <w:p>
      <w:pPr>
        <w:spacing w:line="360" w:lineRule="auto"/>
        <w:rPr>
          <w:rFonts w:ascii="宋体" w:hAnsi="宋体" w:cs="宋体"/>
          <w:b/>
          <w:sz w:val="24"/>
        </w:rPr>
      </w:pPr>
      <w:r>
        <w:rPr>
          <w:rFonts w:hint="eastAsia" w:ascii="宋体" w:hAnsi="宋体" w:cs="宋体"/>
          <w:b/>
          <w:sz w:val="24"/>
        </w:rPr>
        <w:t>3.采购项目需要落实的政府采购政策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支持中小企业发展</w:t>
      </w:r>
    </w:p>
    <w:p>
      <w:pPr>
        <w:spacing w:line="360" w:lineRule="auto"/>
        <w:ind w:firstLine="480" w:firstLineChars="200"/>
        <w:rPr>
          <w:rFonts w:ascii="宋体" w:hAnsi="宋体" w:cs="宋体"/>
          <w:sz w:val="24"/>
        </w:rPr>
      </w:pPr>
      <w:r>
        <w:rPr>
          <w:rFonts w:hint="eastAsia" w:ascii="宋体" w:hAnsi="宋体" w:cs="宋体"/>
          <w:sz w:val="24"/>
        </w:rPr>
        <w:t>3.1.1中小企业，是指在中华人民共和国境内依法设立，依据国务院批准的中小企业划分标准确定的中型企业、小型企业和微型企业，但与大企业的负责人为同一人，或者与大企业存在直接控股、管理关系的除外。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3.1.2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3.1.2.1在货物采购项目中，货物由中小企业制造，即货物由中小企业生产且使用该中小企业商号或者注册商标；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3.1.2.2在工程采购项目中，工程由中小企业承建，即工程施工单位为中小企业；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3.1.2.3在服务采购项目中，服务由中小企业承接，即提供服务的人员为中小企业依照《中华人民共和国劳动合同法》订立劳动合同的从业人员。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3.1.3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3.1.4符合《关于促进残疾人就业政府采购政策的通知》（财库〔2017〕141号）规定的条件并提供《残疾人福利性单位声明函》（附件1）的残疾人福利性单位视同小型、微型企业；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3.1.5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3.1.6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3.1.7中小企业享受扶持政策获得政府采购合同的，小微企业不得将合同分包给大中型企业，中型企业不得将合同分包给大型企业。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b/>
          <w:sz w:val="24"/>
        </w:rPr>
      </w:pPr>
      <w:r>
        <w:rPr>
          <w:rFonts w:hint="eastAsia" w:ascii="宋体" w:hAnsi="宋体" w:cs="宋体"/>
          <w:sz w:val="24"/>
        </w:rPr>
        <w:t>3.2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lang w:val="zh-CN"/>
        </w:rPr>
        <w:t>4.2</w:t>
      </w:r>
      <w:r>
        <w:rPr>
          <w:rFonts w:hint="eastAsia"/>
        </w:rPr>
        <w:t>.4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pPr>
      <w:r>
        <w:rPr>
          <w:rFonts w:hint="eastAsia"/>
          <w:lang w:val="zh-CN"/>
        </w:rPr>
        <w:t>4.2</w:t>
      </w:r>
      <w:r>
        <w:rPr>
          <w:rFonts w:hint="eastAsia"/>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pPr>
        <w:pStyle w:val="887"/>
        <w:shd w:val="clear" w:color="auto" w:fill="FFFFFF"/>
        <w:snapToGrid w:val="0"/>
        <w:spacing w:after="240" w:afterAutospacing="0" w:line="360" w:lineRule="auto"/>
        <w:ind w:firstLine="400"/>
        <w:contextualSpacing/>
      </w:pPr>
      <w:r>
        <w:rPr>
          <w:rFonts w:hint="eastAsia"/>
        </w:rPr>
        <w:t>4.3.1质疑供应商对采购人、采购代理机构的答复不满意或者采购人、采购代理机构未在规定的时间内作出答复的，可以在答复期满后十五个工作日内向同级政府采购监督管理部门提出投诉。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4.3.3供应商投诉应当有明确的请求和必要的证明材料。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4.3.4以联合体形式参加政府采购活动的，其投诉应当由组成联合体的所有供应商共同提出。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pPr>
      <w:r>
        <w:rPr>
          <w:rFonts w:hint="eastAsia"/>
        </w:rPr>
        <w:t>投诉书范本及制作说明详见附件3。</w:t>
      </w: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bookmarkStart w:id="17" w:name="_Toc15027"/>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bookmarkEnd w:id="17"/>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5.1招标文件包括下列文件及附件：</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29"/>
        <w:snapToGrid w:val="0"/>
        <w:spacing w:before="0"/>
        <w:ind w:firstLine="480"/>
        <w:rPr>
          <w:rFonts w:ascii="宋体" w:hAnsi="宋体" w:cs="宋体"/>
          <w:sz w:val="18"/>
          <w:szCs w:val="18"/>
        </w:rPr>
      </w:pPr>
      <w:r>
        <w:rPr>
          <w:rFonts w:hint="eastAsia" w:ascii="宋体" w:hAnsi="宋体" w:cs="宋体"/>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宋体" w:hAnsi="宋体" w:cs="宋体"/>
          <w:b/>
          <w:sz w:val="30"/>
          <w:szCs w:val="20"/>
        </w:rPr>
      </w:pPr>
    </w:p>
    <w:p>
      <w:pPr>
        <w:adjustRightInd/>
        <w:spacing w:line="360" w:lineRule="auto"/>
        <w:jc w:val="center"/>
        <w:outlineLvl w:val="0"/>
        <w:rPr>
          <w:rFonts w:ascii="宋体" w:hAnsi="宋体" w:cs="宋体"/>
          <w:b/>
          <w:sz w:val="30"/>
          <w:szCs w:val="20"/>
        </w:rPr>
      </w:pPr>
      <w:bookmarkStart w:id="18" w:name="_Toc5009"/>
    </w:p>
    <w:p>
      <w:pPr>
        <w:adjustRightInd/>
        <w:spacing w:line="360" w:lineRule="auto"/>
        <w:jc w:val="center"/>
        <w:outlineLvl w:val="0"/>
        <w:rPr>
          <w:rFonts w:ascii="宋体" w:hAnsi="宋体" w:cs="宋体"/>
          <w:b/>
          <w:sz w:val="30"/>
          <w:szCs w:val="20"/>
        </w:rPr>
      </w:pPr>
    </w:p>
    <w:p>
      <w:pPr>
        <w:adjustRightInd/>
        <w:spacing w:line="360" w:lineRule="auto"/>
        <w:jc w:val="center"/>
        <w:outlineLvl w:val="0"/>
        <w:rPr>
          <w:rFonts w:ascii="宋体" w:hAnsi="宋体" w:cs="宋体"/>
          <w:b/>
          <w:sz w:val="30"/>
          <w:szCs w:val="20"/>
        </w:rPr>
      </w:pPr>
    </w:p>
    <w:p>
      <w:pPr>
        <w:adjustRightInd/>
        <w:spacing w:line="360" w:lineRule="auto"/>
        <w:jc w:val="center"/>
        <w:outlineLvl w:val="0"/>
        <w:rPr>
          <w:rFonts w:ascii="宋体" w:hAnsi="宋体" w:cs="宋体"/>
          <w:b/>
          <w:sz w:val="30"/>
          <w:szCs w:val="20"/>
        </w:rPr>
      </w:pPr>
    </w:p>
    <w:p>
      <w:pPr>
        <w:adjustRightInd/>
        <w:spacing w:line="360" w:lineRule="auto"/>
        <w:jc w:val="center"/>
        <w:outlineLvl w:val="0"/>
        <w:rPr>
          <w:rFonts w:ascii="宋体" w:hAnsi="宋体" w:cs="宋体"/>
          <w:b/>
          <w:sz w:val="30"/>
          <w:szCs w:val="20"/>
        </w:rPr>
      </w:pPr>
    </w:p>
    <w:p>
      <w:pPr>
        <w:adjustRightInd/>
        <w:spacing w:line="360" w:lineRule="auto"/>
        <w:jc w:val="center"/>
        <w:outlineLvl w:val="0"/>
        <w:rPr>
          <w:rFonts w:ascii="宋体" w:hAnsi="宋体" w:cs="宋体"/>
          <w:b/>
          <w:sz w:val="30"/>
          <w:szCs w:val="20"/>
        </w:rPr>
      </w:pPr>
    </w:p>
    <w:p>
      <w:pPr>
        <w:adjustRightInd/>
        <w:spacing w:line="360" w:lineRule="auto"/>
        <w:jc w:val="center"/>
        <w:outlineLvl w:val="0"/>
        <w:rPr>
          <w:rFonts w:ascii="宋体" w:hAnsi="宋体" w:cs="宋体"/>
          <w:b/>
          <w:sz w:val="30"/>
          <w:szCs w:val="20"/>
        </w:rPr>
      </w:pPr>
    </w:p>
    <w:p>
      <w:pPr>
        <w:adjustRightInd/>
        <w:spacing w:line="360" w:lineRule="auto"/>
        <w:jc w:val="center"/>
        <w:outlineLvl w:val="0"/>
        <w:rPr>
          <w:rFonts w:ascii="宋体" w:hAnsi="宋体" w:cs="宋体"/>
          <w:b/>
          <w:sz w:val="30"/>
          <w:szCs w:val="20"/>
        </w:rPr>
      </w:pPr>
    </w:p>
    <w:p>
      <w:pPr>
        <w:adjustRightInd/>
        <w:spacing w:line="360" w:lineRule="auto"/>
        <w:jc w:val="center"/>
        <w:outlineLvl w:val="0"/>
        <w:rPr>
          <w:rFonts w:ascii="宋体" w:hAnsi="宋体" w:cs="宋体"/>
          <w:b/>
          <w:sz w:val="30"/>
          <w:szCs w:val="20"/>
        </w:rPr>
      </w:pPr>
    </w:p>
    <w:p>
      <w:pPr>
        <w:adjustRightInd/>
        <w:spacing w:line="360" w:lineRule="auto"/>
        <w:jc w:val="center"/>
        <w:outlineLvl w:val="0"/>
        <w:rPr>
          <w:rFonts w:ascii="宋体" w:hAnsi="宋体" w:cs="宋体"/>
          <w:b/>
          <w:sz w:val="30"/>
          <w:szCs w:val="20"/>
        </w:rPr>
      </w:pPr>
    </w:p>
    <w:p>
      <w:pPr>
        <w:adjustRightInd/>
        <w:spacing w:line="360" w:lineRule="auto"/>
        <w:jc w:val="center"/>
        <w:outlineLvl w:val="0"/>
        <w:rPr>
          <w:rFonts w:ascii="宋体" w:hAnsi="宋体" w:cs="宋体"/>
          <w:b/>
          <w:sz w:val="32"/>
          <w:szCs w:val="21"/>
        </w:rPr>
      </w:pPr>
      <w:r>
        <w:rPr>
          <w:rFonts w:hint="eastAsia" w:ascii="宋体" w:hAnsi="宋体" w:cs="宋体"/>
          <w:b/>
          <w:sz w:val="32"/>
          <w:szCs w:val="21"/>
        </w:rPr>
        <w:t>三、投标</w:t>
      </w:r>
      <w:bookmarkEnd w:id="18"/>
    </w:p>
    <w:p>
      <w:pPr>
        <w:pStyle w:val="35"/>
        <w:spacing w:line="360" w:lineRule="auto"/>
        <w:rPr>
          <w:rFonts w:hAnsi="宋体" w:cs="宋体"/>
          <w:b/>
          <w:sz w:val="24"/>
          <w:szCs w:val="24"/>
        </w:rPr>
      </w:pPr>
      <w:r>
        <w:rPr>
          <w:rFonts w:hint="eastAsia" w:hAnsi="宋体" w:cs="宋体"/>
          <w:b/>
          <w:sz w:val="24"/>
          <w:szCs w:val="24"/>
        </w:rPr>
        <w:t>7.招标文件的获取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spacing w:line="360" w:lineRule="auto"/>
        <w:rPr>
          <w:rFonts w:hAnsi="宋体" w:cs="宋体"/>
          <w:b/>
          <w:sz w:val="24"/>
          <w:szCs w:val="24"/>
        </w:rPr>
      </w:pPr>
      <w:r>
        <w:rPr>
          <w:rFonts w:hint="eastAsia" w:hAnsi="宋体" w:cs="宋体"/>
          <w:b/>
          <w:sz w:val="24"/>
          <w:szCs w:val="24"/>
        </w:rPr>
        <w:t>8.开标前答疑会或现场考察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rPr>
      </w:pPr>
      <w:r>
        <w:rPr>
          <w:rFonts w:hint="eastAsia" w:hAnsi="宋体" w:cs="宋体"/>
          <w:b/>
          <w:kern w:val="28"/>
          <w:sz w:val="24"/>
          <w:szCs w:val="24"/>
        </w:rPr>
        <w:t>9.投标保证金</w:t>
      </w:r>
    </w:p>
    <w:p>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w:t>
      </w:r>
    </w:p>
    <w:p>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w:t>
      </w:r>
    </w:p>
    <w:p>
      <w:pPr>
        <w:snapToGrid w:val="0"/>
        <w:spacing w:line="360" w:lineRule="auto"/>
        <w:ind w:firstLine="480" w:firstLineChars="200"/>
        <w:rPr>
          <w:rFonts w:ascii="宋体" w:hAnsi="宋体" w:cs="宋体"/>
          <w:b/>
          <w:bCs/>
          <w:sz w:val="24"/>
          <w:lang w:val="zh-CN"/>
        </w:rPr>
      </w:pPr>
      <w:r>
        <w:rPr>
          <w:rFonts w:hint="eastAsia" w:ascii="宋体" w:hAnsi="宋体" w:cs="宋体"/>
          <w:sz w:val="24"/>
          <w:lang w:val="zh-CN"/>
        </w:rPr>
        <w:t>11</w:t>
      </w:r>
      <w:r>
        <w:rPr>
          <w:rFonts w:hint="eastAsia" w:ascii="宋体" w:hAnsi="宋体" w:cs="宋体"/>
          <w:b/>
          <w:bCs/>
          <w:sz w:val="24"/>
          <w:lang w:val="zh-CN"/>
        </w:rPr>
        <w:t>.</w:t>
      </w:r>
      <w:r>
        <w:rPr>
          <w:rFonts w:hint="eastAsia" w:ascii="宋体" w:hAnsi="宋体" w:cs="宋体"/>
          <w:b/>
          <w:bCs/>
          <w:sz w:val="24"/>
        </w:rPr>
        <w:t>2商务技术</w:t>
      </w:r>
      <w:r>
        <w:rPr>
          <w:rFonts w:hint="eastAsia" w:ascii="宋体" w:hAnsi="宋体" w:cs="宋体"/>
          <w:b/>
          <w:bCs/>
          <w:sz w:val="24"/>
          <w:lang w:val="zh-CN"/>
        </w:rPr>
        <w:t>文件：</w:t>
      </w:r>
    </w:p>
    <w:p>
      <w:pPr>
        <w:snapToGrid w:val="0"/>
        <w:spacing w:line="360" w:lineRule="auto"/>
        <w:ind w:firstLine="480" w:firstLineChars="200"/>
        <w:rPr>
          <w:rFonts w:ascii="宋体" w:hAnsi="宋体" w:cs="宋体"/>
          <w:sz w:val="24"/>
        </w:rPr>
      </w:pPr>
      <w:r>
        <w:rPr>
          <w:rFonts w:hint="eastAsia" w:ascii="宋体" w:hAnsi="宋体" w:cs="宋体"/>
          <w:sz w:val="24"/>
        </w:rPr>
        <w:t>11.2.1投标函；</w:t>
      </w:r>
    </w:p>
    <w:p>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480" w:firstLineChars="200"/>
        <w:rPr>
          <w:rFonts w:ascii="宋体" w:hAnsi="宋体" w:cs="宋体"/>
          <w:sz w:val="24"/>
        </w:rPr>
      </w:pPr>
      <w:r>
        <w:rPr>
          <w:rFonts w:hint="eastAsia" w:ascii="宋体" w:hAnsi="宋体" w:cs="宋体"/>
          <w:sz w:val="24"/>
        </w:rPr>
        <w:t>11.2.3联合协议；</w:t>
      </w:r>
    </w:p>
    <w:p>
      <w:pPr>
        <w:snapToGrid w:val="0"/>
        <w:spacing w:line="360" w:lineRule="auto"/>
        <w:ind w:firstLine="480" w:firstLineChars="200"/>
        <w:rPr>
          <w:rFonts w:ascii="宋体" w:hAnsi="宋体" w:cs="宋体"/>
          <w:sz w:val="24"/>
        </w:rPr>
      </w:pPr>
      <w:r>
        <w:rPr>
          <w:rFonts w:hint="eastAsia" w:ascii="宋体" w:hAnsi="宋体" w:cs="宋体"/>
          <w:sz w:val="24"/>
        </w:rPr>
        <w:t>11.2.4分包意向协议；</w:t>
      </w:r>
    </w:p>
    <w:p>
      <w:pPr>
        <w:snapToGrid w:val="0"/>
        <w:spacing w:line="360" w:lineRule="auto"/>
        <w:ind w:firstLine="480" w:firstLineChars="200"/>
        <w:rPr>
          <w:rFonts w:ascii="宋体" w:hAnsi="宋体" w:cs="宋体"/>
          <w:sz w:val="24"/>
        </w:rPr>
      </w:pPr>
      <w:r>
        <w:rPr>
          <w:rFonts w:hint="eastAsia" w:ascii="宋体" w:hAnsi="宋体" w:cs="宋体"/>
          <w:sz w:val="24"/>
        </w:rPr>
        <w:t>11.2.5符合性审查资料；</w:t>
      </w:r>
    </w:p>
    <w:p>
      <w:pPr>
        <w:snapToGrid w:val="0"/>
        <w:spacing w:line="360" w:lineRule="auto"/>
        <w:ind w:firstLine="480" w:firstLineChars="200"/>
        <w:rPr>
          <w:rFonts w:ascii="宋体" w:hAnsi="宋体" w:cs="宋体"/>
          <w:sz w:val="24"/>
        </w:rPr>
      </w:pPr>
      <w:r>
        <w:rPr>
          <w:rFonts w:hint="eastAsia" w:ascii="宋体" w:hAnsi="宋体" w:cs="宋体"/>
          <w:sz w:val="24"/>
        </w:rPr>
        <w:t>11.2.6评标标准相应的商务技术资料；</w:t>
      </w:r>
    </w:p>
    <w:p>
      <w:pPr>
        <w:snapToGrid w:val="0"/>
        <w:spacing w:line="360" w:lineRule="auto"/>
        <w:ind w:firstLine="480" w:firstLineChars="200"/>
        <w:rPr>
          <w:rFonts w:ascii="宋体" w:hAnsi="宋体" w:cs="宋体"/>
          <w:sz w:val="24"/>
        </w:rPr>
      </w:pPr>
      <w:r>
        <w:rPr>
          <w:rFonts w:hint="eastAsia" w:ascii="宋体" w:hAnsi="宋体" w:cs="宋体"/>
          <w:sz w:val="24"/>
        </w:rPr>
        <w:t>11.2.7商务技术偏离表；</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b/>
          <w:sz w:val="24"/>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9"/>
        <w:snapToGrid w:val="0"/>
        <w:spacing w:before="0"/>
        <w:ind w:firstLine="0" w:firstLineChars="0"/>
        <w:outlineLvl w:val="0"/>
        <w:rPr>
          <w:rFonts w:ascii="宋体" w:hAnsi="宋体" w:cs="宋体"/>
          <w:b/>
          <w:szCs w:val="24"/>
        </w:rPr>
      </w:pPr>
      <w:bookmarkStart w:id="19" w:name="_Toc10587"/>
      <w:r>
        <w:rPr>
          <w:rFonts w:hint="eastAsia" w:ascii="宋体" w:hAnsi="宋体" w:cs="宋体"/>
          <w:b/>
          <w:szCs w:val="24"/>
        </w:rPr>
        <w:t>12</w:t>
      </w:r>
      <w:r>
        <w:rPr>
          <w:rFonts w:hint="eastAsia" w:ascii="宋体" w:hAnsi="宋体" w:cs="宋体"/>
          <w:b/>
          <w:kern w:val="0"/>
          <w:szCs w:val="24"/>
          <w:lang w:val="zh-CN"/>
        </w:rPr>
        <w:t>.</w:t>
      </w:r>
      <w:r>
        <w:rPr>
          <w:rFonts w:hint="eastAsia" w:ascii="宋体" w:hAnsi="宋体" w:cs="宋体"/>
          <w:b/>
          <w:szCs w:val="24"/>
        </w:rPr>
        <w:t>投标文件的编制</w:t>
      </w:r>
      <w:bookmarkEnd w:id="19"/>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Ansi="宋体" w:cs="宋体"/>
          <w:b/>
          <w:sz w:val="24"/>
          <w:szCs w:val="24"/>
        </w:rPr>
      </w:pPr>
      <w:r>
        <w:rPr>
          <w:rFonts w:hint="eastAsia" w:hAnsi="宋体" w:cs="宋体"/>
          <w:b/>
          <w:sz w:val="24"/>
          <w:szCs w:val="24"/>
        </w:rPr>
        <w:t>15.备份投标文件</w:t>
      </w:r>
    </w:p>
    <w:p>
      <w:pPr>
        <w:pStyle w:val="35"/>
        <w:spacing w:line="360" w:lineRule="auto"/>
        <w:ind w:firstLine="480" w:firstLineChars="200"/>
        <w:rPr>
          <w:rFonts w:hAnsi="宋体" w:cs="宋体"/>
          <w:b/>
          <w:sz w:val="24"/>
          <w:szCs w:val="24"/>
        </w:rPr>
      </w:pPr>
      <w:r>
        <w:rPr>
          <w:rFonts w:hint="eastAsia" w:hAnsi="宋体" w:cs="宋体"/>
          <w:sz w:val="24"/>
          <w:szCs w:val="24"/>
        </w:rPr>
        <w:t>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15.5投标人仅提交备份投标文件，没有在电子交易平台传输递交投标文件的，投标无效。</w:t>
      </w:r>
    </w:p>
    <w:p>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pPr>
        <w:pStyle w:val="27"/>
        <w:spacing w:line="360" w:lineRule="auto"/>
        <w:ind w:firstLine="360" w:firstLineChars="150"/>
        <w:rPr>
          <w:rFonts w:cs="宋体"/>
          <w:szCs w:val="21"/>
        </w:rPr>
      </w:pPr>
      <w:r>
        <w:rPr>
          <w:rFonts w:hint="eastAsia" w:cs="宋体"/>
          <w:szCs w:val="21"/>
        </w:rPr>
        <w:t>有招标文件第四部分</w:t>
      </w:r>
      <w:r>
        <w:rPr>
          <w:rFonts w:hint="eastAsia" w:cs="宋体"/>
        </w:rPr>
        <w:t>4.2规定</w:t>
      </w:r>
      <w:r>
        <w:rPr>
          <w:rFonts w:hint="eastAsia" w:cs="宋体"/>
          <w:szCs w:val="21"/>
        </w:rPr>
        <w:t>的情形之一的，投标无效：</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sz w:val="32"/>
        </w:rPr>
      </w:pPr>
    </w:p>
    <w:p>
      <w:pPr>
        <w:pStyle w:val="129"/>
        <w:spacing w:before="0"/>
        <w:ind w:firstLine="643"/>
        <w:rPr>
          <w:rFonts w:ascii="宋体" w:hAnsi="宋体" w:cs="宋体"/>
          <w:b/>
          <w:sz w:val="32"/>
        </w:rPr>
      </w:pPr>
    </w:p>
    <w:p>
      <w:pPr>
        <w:pStyle w:val="129"/>
        <w:spacing w:before="0"/>
        <w:ind w:firstLine="1928" w:firstLineChars="600"/>
        <w:rPr>
          <w:rFonts w:ascii="宋体" w:hAnsi="宋体" w:cs="宋体"/>
          <w:b/>
          <w:sz w:val="32"/>
        </w:rPr>
      </w:pPr>
    </w:p>
    <w:p>
      <w:pPr>
        <w:pStyle w:val="129"/>
        <w:spacing w:before="0"/>
        <w:ind w:firstLine="1928" w:firstLineChars="600"/>
        <w:rPr>
          <w:rFonts w:ascii="宋体" w:hAnsi="宋体" w:cs="宋体"/>
          <w:b/>
          <w:sz w:val="32"/>
        </w:rPr>
      </w:pPr>
    </w:p>
    <w:p>
      <w:pPr>
        <w:pStyle w:val="129"/>
        <w:spacing w:before="0"/>
        <w:ind w:firstLine="1928" w:firstLineChars="600"/>
        <w:rPr>
          <w:rFonts w:ascii="宋体" w:hAnsi="宋体" w:cs="宋体"/>
          <w:b/>
          <w:sz w:val="32"/>
        </w:rPr>
      </w:pPr>
    </w:p>
    <w:p>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480" w:firstLineChars="200"/>
        <w:contextualSpacing/>
        <w:rPr>
          <w:rFonts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19、资格审查</w:t>
      </w:r>
    </w:p>
    <w:p>
      <w:pPr>
        <w:pStyle w:val="129"/>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29"/>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4对未通过资格审查的投标人，采购人或采购代理机构告知其未通过的原因。</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2"/>
          <w:szCs w:val="32"/>
        </w:rPr>
      </w:pPr>
      <w:bookmarkStart w:id="20" w:name="_Toc12543"/>
      <w:r>
        <w:rPr>
          <w:rFonts w:hint="eastAsia" w:ascii="宋体" w:hAnsi="宋体" w:cs="宋体"/>
          <w:b/>
          <w:sz w:val="32"/>
          <w:szCs w:val="32"/>
        </w:rPr>
        <w:t>五、评标</w:t>
      </w:r>
      <w:bookmarkEnd w:id="20"/>
    </w:p>
    <w:p>
      <w:pPr>
        <w:spacing w:line="360" w:lineRule="auto"/>
        <w:rPr>
          <w:rFonts w:ascii="宋体" w:hAnsi="宋体" w:cs="宋体"/>
          <w:b/>
          <w:sz w:val="24"/>
        </w:rPr>
      </w:pPr>
      <w:bookmarkStart w:id="21"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bookmarkStart w:id="22" w:name="_Toc125"/>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2"/>
          <w:szCs w:val="32"/>
        </w:rPr>
      </w:pPr>
      <w:r>
        <w:rPr>
          <w:rFonts w:hint="eastAsia" w:ascii="宋体" w:hAnsi="宋体" w:cs="宋体"/>
          <w:b/>
          <w:sz w:val="32"/>
          <w:szCs w:val="32"/>
        </w:rPr>
        <w:t>六、定标</w:t>
      </w:r>
      <w:bookmarkEnd w:id="22"/>
    </w:p>
    <w:p>
      <w:pPr>
        <w:pStyle w:val="27"/>
        <w:spacing w:line="360" w:lineRule="auto"/>
        <w:ind w:left="479" w:hanging="479" w:hangingChars="199"/>
        <w:rPr>
          <w:rFonts w:cs="宋体"/>
          <w:b/>
        </w:rPr>
      </w:pPr>
      <w:r>
        <w:rPr>
          <w:rFonts w:hint="eastAsia" w:cs="宋体"/>
          <w:b/>
        </w:rPr>
        <w:t>22.确定中标供应商</w:t>
      </w:r>
    </w:p>
    <w:p>
      <w:pPr>
        <w:pStyle w:val="129"/>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pPr>
        <w:pStyle w:val="129"/>
        <w:snapToGrid w:val="0"/>
        <w:spacing w:before="0"/>
        <w:ind w:firstLine="0" w:firstLineChars="0"/>
        <w:rPr>
          <w:rFonts w:ascii="宋体" w:hAnsi="宋体" w:cs="宋体"/>
          <w:b/>
          <w:szCs w:val="24"/>
        </w:rPr>
      </w:pPr>
      <w:r>
        <w:rPr>
          <w:rFonts w:hint="eastAsia" w:ascii="宋体" w:hAnsi="宋体" w:cs="宋体"/>
          <w:b/>
          <w:szCs w:val="24"/>
        </w:rPr>
        <w:t>23.中标通知与中标结果公告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pStyle w:val="25"/>
        <w:rPr>
          <w:rFonts w:hAnsi="宋体" w:cs="宋体"/>
          <w:b/>
          <w:sz w:val="32"/>
        </w:rPr>
      </w:pPr>
    </w:p>
    <w:p>
      <w:pPr>
        <w:pStyle w:val="26"/>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jc w:val="center"/>
        <w:rPr>
          <w:rFonts w:ascii="宋体" w:hAnsi="宋体" w:cs="宋体"/>
          <w:b/>
          <w:sz w:val="32"/>
        </w:rPr>
      </w:pPr>
    </w:p>
    <w:p>
      <w:pPr>
        <w:snapToGrid w:val="0"/>
        <w:spacing w:line="360" w:lineRule="auto"/>
        <w:jc w:val="center"/>
        <w:rPr>
          <w:rFonts w:ascii="宋体" w:hAnsi="宋体" w:cs="宋体"/>
          <w:b/>
          <w:sz w:val="32"/>
        </w:rPr>
      </w:pPr>
    </w:p>
    <w:p>
      <w:pPr>
        <w:snapToGrid w:val="0"/>
        <w:spacing w:line="360" w:lineRule="auto"/>
        <w:jc w:val="center"/>
        <w:rPr>
          <w:rFonts w:ascii="宋体" w:hAnsi="宋体" w:cs="宋体"/>
          <w:b/>
          <w:sz w:val="32"/>
        </w:rPr>
      </w:pPr>
    </w:p>
    <w:p>
      <w:pPr>
        <w:snapToGrid w:val="0"/>
        <w:spacing w:line="360" w:lineRule="auto"/>
        <w:jc w:val="center"/>
        <w:rPr>
          <w:rFonts w:ascii="宋体" w:hAnsi="宋体" w:cs="宋体"/>
          <w:b/>
          <w:sz w:val="32"/>
        </w:rPr>
      </w:pPr>
    </w:p>
    <w:p>
      <w:pPr>
        <w:snapToGrid w:val="0"/>
        <w:spacing w:line="360" w:lineRule="auto"/>
        <w:jc w:val="center"/>
        <w:rPr>
          <w:rFonts w:ascii="宋体" w:hAnsi="宋体" w:cs="宋体"/>
          <w:b/>
          <w:sz w:val="32"/>
        </w:rPr>
      </w:pPr>
      <w:r>
        <w:rPr>
          <w:rFonts w:hint="eastAsia" w:ascii="宋体" w:hAnsi="宋体" w:cs="宋体"/>
          <w:b/>
          <w:sz w:val="32"/>
        </w:rPr>
        <w:t>七、合同授予</w:t>
      </w:r>
    </w:p>
    <w:p>
      <w:pPr>
        <w:pStyle w:val="27"/>
        <w:spacing w:line="360" w:lineRule="auto"/>
        <w:ind w:left="479" w:hanging="479" w:hangingChars="199"/>
        <w:rPr>
          <w:rFonts w:cs="宋体"/>
          <w:b/>
        </w:rPr>
      </w:pPr>
      <w:r>
        <w:rPr>
          <w:rFonts w:hint="eastAsia" w:cs="宋体"/>
          <w:b/>
        </w:rPr>
        <w:t>24.</w:t>
      </w:r>
      <w:r>
        <w:rPr>
          <w:rFonts w:hint="eastAsia" w:cs="宋体"/>
        </w:rPr>
        <w:t>合同主要条款详见第五部分拟签订的合同文本。</w:t>
      </w:r>
    </w:p>
    <w:p>
      <w:pPr>
        <w:pStyle w:val="27"/>
        <w:spacing w:line="360" w:lineRule="auto"/>
        <w:ind w:left="479" w:hanging="479" w:hangingChars="199"/>
        <w:rPr>
          <w:rFonts w:cs="宋体"/>
          <w:b/>
        </w:rPr>
      </w:pPr>
      <w:r>
        <w:rPr>
          <w:rFonts w:hint="eastAsia" w:cs="宋体"/>
          <w:b/>
        </w:rPr>
        <w:t>25.合同的签订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采购人与中标人应当通过电子交易平台在中标通知书发出之日起三十日内，按照招标文件确定的事项签订政府采购合同，并在合同签订之日起2个工作日内依法发布合同公告。</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7"/>
        <w:spacing w:line="360" w:lineRule="auto"/>
        <w:ind w:left="479" w:hanging="479" w:hangingChars="199"/>
        <w:rPr>
          <w:rFonts w:cs="宋体"/>
          <w:b/>
        </w:rPr>
      </w:pPr>
      <w:r>
        <w:rPr>
          <w:rFonts w:hint="eastAsia" w:cs="宋体"/>
          <w:b/>
        </w:rPr>
        <w:t>26.履约保证金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pPr>
        <w:pStyle w:val="4"/>
        <w:ind w:left="0" w:firstLine="480" w:firstLineChars="200"/>
        <w:rPr>
          <w:rFonts w:ascii="宋体" w:hAnsi="宋体" w:eastAsia="宋体" w:cs="宋体"/>
          <w:lang w:val="en-US"/>
        </w:rPr>
      </w:pPr>
      <w:bookmarkStart w:id="23" w:name="_Toc23154"/>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23"/>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32"/>
        </w:rPr>
      </w:pPr>
    </w:p>
    <w:p>
      <w:pPr>
        <w:snapToGrid w:val="0"/>
        <w:spacing w:line="360" w:lineRule="auto"/>
        <w:rPr>
          <w:rFonts w:ascii="宋体" w:hAnsi="宋体" w:cs="宋体"/>
          <w:b/>
          <w:sz w:val="32"/>
        </w:rPr>
      </w:pP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29"/>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7</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9"/>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9"/>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7"/>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4" w:name="_Hlt68072990"/>
      <w:bookmarkEnd w:id="24"/>
      <w:bookmarkStart w:id="25" w:name="_Hlt68403820"/>
      <w:bookmarkEnd w:id="25"/>
      <w:bookmarkStart w:id="26" w:name="_Hlt68073093"/>
      <w:bookmarkEnd w:id="26"/>
      <w:bookmarkStart w:id="27" w:name="_Hlt68057669"/>
      <w:bookmarkEnd w:id="27"/>
      <w:bookmarkStart w:id="28" w:name="_Hlt74714665"/>
      <w:bookmarkEnd w:id="28"/>
      <w:bookmarkStart w:id="29" w:name="_Hlt68072998"/>
      <w:bookmarkEnd w:id="29"/>
      <w:bookmarkStart w:id="30" w:name="_Hlt74707468"/>
      <w:bookmarkEnd w:id="30"/>
      <w:bookmarkStart w:id="31" w:name="_Hlt75236011"/>
      <w:bookmarkEnd w:id="31"/>
      <w:bookmarkStart w:id="32" w:name="_Hlt75236101"/>
      <w:bookmarkEnd w:id="32"/>
      <w:bookmarkStart w:id="33" w:name="_Hlt74729768"/>
      <w:bookmarkEnd w:id="33"/>
      <w:bookmarkStart w:id="34" w:name="_Hlt74730295"/>
      <w:bookmarkEnd w:id="34"/>
      <w:bookmarkStart w:id="35" w:name="_Hlt75236290"/>
      <w:bookmarkEnd w:id="35"/>
    </w:p>
    <w:bookmarkEnd w:id="13"/>
    <w:bookmarkEnd w:id="14"/>
    <w:p>
      <w:pPr>
        <w:spacing w:line="360" w:lineRule="auto"/>
        <w:jc w:val="center"/>
        <w:outlineLvl w:val="0"/>
        <w:rPr>
          <w:rFonts w:ascii="宋体" w:hAnsi="宋体" w:cs="宋体"/>
          <w:b/>
          <w:sz w:val="36"/>
          <w:szCs w:val="36"/>
        </w:rPr>
      </w:pPr>
      <w:bookmarkStart w:id="36" w:name="_Toc16440"/>
      <w:bookmarkStart w:id="37" w:name="第四部分"/>
      <w:r>
        <w:rPr>
          <w:rFonts w:hint="eastAsia" w:ascii="宋体" w:hAnsi="宋体" w:cs="宋体"/>
          <w:b/>
          <w:sz w:val="36"/>
          <w:szCs w:val="36"/>
        </w:rPr>
        <w:t>第三部分 采购需求</w:t>
      </w:r>
      <w:bookmarkEnd w:id="36"/>
    </w:p>
    <w:p>
      <w:pPr>
        <w:pStyle w:val="26"/>
        <w:ind w:left="0" w:leftChars="0" w:firstLine="420" w:firstLineChars="200"/>
      </w:pPr>
      <w:bookmarkStart w:id="38" w:name="_Toc19986"/>
    </w:p>
    <w:p>
      <w:pPr>
        <w:pStyle w:val="2"/>
        <w:spacing w:line="360" w:lineRule="auto"/>
        <w:ind w:firstLine="480" w:firstLineChars="200"/>
        <w:rPr>
          <w:rFonts w:hAnsi="宋体"/>
          <w:snapToGrid w:val="0"/>
        </w:rPr>
      </w:pPr>
      <w:bookmarkStart w:id="39" w:name="_Toc6347"/>
      <w:r>
        <w:rPr>
          <w:rFonts w:hint="eastAsia" w:hAnsi="宋体"/>
          <w:snapToGrid w:val="0"/>
        </w:rPr>
        <w:t>本次采购项目按照生态环境部、国家核应急办的统一部署，以及省委、省政府、省核应急委、省生态环境厅统一部署，组织完成核与辐射普遍性监测、重点地区电磁辐射环境监测、辐射环境应急事故处置，开展核与辐射宣传教育。内容主要包括为核技术利用单位、放射性物品运输、豁免射线装置、新办辐射安全许可证等辐射安全监管工作提供监测等技术支持；开展辐射事故应急处置相关工作；开展浙江省内Ⅰ、Ⅱ类放射源用源单位和典型电磁辐射设施监督性监测；开展废旧金属回收熔炼企业辐射安全知识宣传等工作，详见下表及后面具体要求。预算为50万元。</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2125"/>
        <w:gridCol w:w="4932"/>
        <w:gridCol w:w="9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709" w:type="dxa"/>
            <w:tcBorders>
              <w:tl2br w:val="nil"/>
              <w:tr2bl w:val="nil"/>
            </w:tcBorders>
            <w:vAlign w:val="center"/>
          </w:tcPr>
          <w:p>
            <w:pPr>
              <w:pStyle w:val="2"/>
              <w:rPr>
                <w:rFonts w:hAnsi="宋体"/>
                <w:snapToGrid w:val="0"/>
              </w:rPr>
            </w:pPr>
            <w:r>
              <w:rPr>
                <w:rFonts w:hint="eastAsia" w:hAnsi="宋体"/>
                <w:snapToGrid w:val="0"/>
              </w:rPr>
              <w:t>序号</w:t>
            </w:r>
          </w:p>
        </w:tc>
        <w:tc>
          <w:tcPr>
            <w:tcW w:w="2125" w:type="dxa"/>
            <w:tcBorders>
              <w:tl2br w:val="nil"/>
              <w:tr2bl w:val="nil"/>
            </w:tcBorders>
            <w:vAlign w:val="center"/>
          </w:tcPr>
          <w:p>
            <w:pPr>
              <w:pStyle w:val="2"/>
              <w:rPr>
                <w:rFonts w:hAnsi="宋体"/>
                <w:snapToGrid w:val="0"/>
              </w:rPr>
            </w:pPr>
            <w:r>
              <w:rPr>
                <w:rFonts w:hint="eastAsia" w:hAnsi="宋体"/>
                <w:snapToGrid w:val="0"/>
              </w:rPr>
              <w:t>项目</w:t>
            </w:r>
          </w:p>
        </w:tc>
        <w:tc>
          <w:tcPr>
            <w:tcW w:w="4932" w:type="dxa"/>
            <w:tcBorders>
              <w:tl2br w:val="nil"/>
              <w:tr2bl w:val="nil"/>
            </w:tcBorders>
            <w:vAlign w:val="center"/>
          </w:tcPr>
          <w:p>
            <w:pPr>
              <w:pStyle w:val="2"/>
              <w:rPr>
                <w:rFonts w:hAnsi="宋体"/>
                <w:snapToGrid w:val="0"/>
              </w:rPr>
            </w:pPr>
            <w:r>
              <w:rPr>
                <w:rFonts w:hint="eastAsia" w:hAnsi="宋体"/>
                <w:snapToGrid w:val="0"/>
              </w:rPr>
              <w:t>主要内容</w:t>
            </w:r>
          </w:p>
        </w:tc>
        <w:tc>
          <w:tcPr>
            <w:tcW w:w="993" w:type="dxa"/>
            <w:tcBorders>
              <w:tl2br w:val="nil"/>
              <w:tr2bl w:val="nil"/>
            </w:tcBorders>
            <w:vAlign w:val="center"/>
          </w:tcPr>
          <w:p>
            <w:pPr>
              <w:pStyle w:val="2"/>
              <w:rPr>
                <w:rFonts w:hAnsi="宋体"/>
                <w:snapToGrid w:val="0"/>
              </w:rPr>
            </w:pPr>
            <w:r>
              <w:rPr>
                <w:rFonts w:hint="eastAsia" w:hAnsi="宋体"/>
                <w:snapToGrid w:val="0"/>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14" w:hRule="atLeast"/>
          <w:jc w:val="center"/>
        </w:trPr>
        <w:tc>
          <w:tcPr>
            <w:tcW w:w="709" w:type="dxa"/>
            <w:tcBorders>
              <w:tl2br w:val="nil"/>
              <w:tr2bl w:val="nil"/>
            </w:tcBorders>
            <w:vAlign w:val="center"/>
          </w:tcPr>
          <w:p>
            <w:pPr>
              <w:pStyle w:val="2"/>
              <w:rPr>
                <w:rFonts w:hAnsi="宋体"/>
                <w:snapToGrid w:val="0"/>
              </w:rPr>
            </w:pPr>
            <w:r>
              <w:rPr>
                <w:rFonts w:hint="eastAsia" w:hAnsi="宋体"/>
                <w:snapToGrid w:val="0"/>
              </w:rPr>
              <w:t>1</w:t>
            </w:r>
          </w:p>
        </w:tc>
        <w:tc>
          <w:tcPr>
            <w:tcW w:w="2125" w:type="dxa"/>
            <w:tcBorders>
              <w:tl2br w:val="nil"/>
              <w:tr2bl w:val="nil"/>
            </w:tcBorders>
            <w:vAlign w:val="center"/>
          </w:tcPr>
          <w:p>
            <w:pPr>
              <w:pStyle w:val="2"/>
              <w:rPr>
                <w:rFonts w:hAnsi="宋体"/>
                <w:snapToGrid w:val="0"/>
              </w:rPr>
            </w:pPr>
            <w:r>
              <w:rPr>
                <w:rFonts w:hint="eastAsia" w:hAnsi="宋体"/>
                <w:snapToGrid w:val="0"/>
              </w:rPr>
              <w:t>监督性监测</w:t>
            </w:r>
          </w:p>
        </w:tc>
        <w:tc>
          <w:tcPr>
            <w:tcW w:w="4932" w:type="dxa"/>
            <w:tcBorders>
              <w:tl2br w:val="nil"/>
              <w:tr2bl w:val="nil"/>
            </w:tcBorders>
            <w:vAlign w:val="center"/>
          </w:tcPr>
          <w:p>
            <w:pPr>
              <w:pStyle w:val="2"/>
              <w:rPr>
                <w:rFonts w:hAnsi="宋体"/>
                <w:snapToGrid w:val="0"/>
              </w:rPr>
            </w:pPr>
            <w:r>
              <w:rPr>
                <w:rFonts w:hint="eastAsia" w:hAnsi="宋体"/>
                <w:snapToGrid w:val="0"/>
              </w:rPr>
              <w:t>开展核技术利用单位、放射性物品运输、豁免射线装置、核发许可证等监管工作提供技术支持。</w:t>
            </w:r>
          </w:p>
          <w:p>
            <w:pPr>
              <w:pStyle w:val="2"/>
              <w:rPr>
                <w:rFonts w:hAnsi="宋体"/>
                <w:snapToGrid w:val="0"/>
              </w:rPr>
            </w:pPr>
            <w:r>
              <w:rPr>
                <w:rFonts w:hint="eastAsia" w:hAnsi="宋体"/>
                <w:snapToGrid w:val="0"/>
              </w:rPr>
              <w:t>开展辐射事故应急处置相关工作。</w:t>
            </w:r>
          </w:p>
          <w:p>
            <w:pPr>
              <w:pStyle w:val="2"/>
              <w:rPr>
                <w:rFonts w:hAnsi="宋体"/>
                <w:snapToGrid w:val="0"/>
              </w:rPr>
            </w:pPr>
            <w:r>
              <w:rPr>
                <w:rFonts w:hint="eastAsia" w:hAnsi="宋体"/>
                <w:snapToGrid w:val="0"/>
              </w:rPr>
              <w:t>开展浙江省内Ⅰ、Ⅱ类放射源用源单位和典型电磁辐射设施监督性监测。</w:t>
            </w:r>
          </w:p>
        </w:tc>
        <w:tc>
          <w:tcPr>
            <w:tcW w:w="993" w:type="dxa"/>
            <w:tcBorders>
              <w:tl2br w:val="nil"/>
              <w:tr2bl w:val="nil"/>
            </w:tcBorders>
            <w:vAlign w:val="center"/>
          </w:tcPr>
          <w:p>
            <w:pPr>
              <w:pStyle w:val="2"/>
              <w:rPr>
                <w:rFonts w:hAnsi="宋体"/>
                <w:snapToGrid w:val="0"/>
              </w:rPr>
            </w:pPr>
            <w:r>
              <w:rPr>
                <w:rFonts w:hint="eastAsia" w:hAnsi="宋体"/>
                <w:snapToGrid w:val="0"/>
              </w:rPr>
              <w:t>1项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709" w:type="dxa"/>
            <w:tcBorders>
              <w:tl2br w:val="nil"/>
              <w:tr2bl w:val="nil"/>
            </w:tcBorders>
            <w:vAlign w:val="center"/>
          </w:tcPr>
          <w:p>
            <w:pPr>
              <w:pStyle w:val="2"/>
              <w:rPr>
                <w:rFonts w:hAnsi="宋体"/>
                <w:snapToGrid w:val="0"/>
              </w:rPr>
            </w:pPr>
            <w:r>
              <w:rPr>
                <w:rFonts w:hint="eastAsia" w:hAnsi="宋体"/>
                <w:snapToGrid w:val="0"/>
              </w:rPr>
              <w:t>2</w:t>
            </w:r>
          </w:p>
        </w:tc>
        <w:tc>
          <w:tcPr>
            <w:tcW w:w="2125" w:type="dxa"/>
            <w:tcBorders>
              <w:tl2br w:val="nil"/>
              <w:tr2bl w:val="nil"/>
            </w:tcBorders>
            <w:vAlign w:val="center"/>
          </w:tcPr>
          <w:p>
            <w:pPr>
              <w:pStyle w:val="2"/>
              <w:rPr>
                <w:rFonts w:hAnsi="宋体"/>
                <w:snapToGrid w:val="0"/>
              </w:rPr>
            </w:pPr>
            <w:r>
              <w:rPr>
                <w:rFonts w:hint="eastAsia" w:hAnsi="宋体"/>
                <w:snapToGrid w:val="0"/>
              </w:rPr>
              <w:t>辐射安全知识宣传</w:t>
            </w:r>
          </w:p>
        </w:tc>
        <w:tc>
          <w:tcPr>
            <w:tcW w:w="4932" w:type="dxa"/>
            <w:tcBorders>
              <w:tl2br w:val="nil"/>
              <w:tr2bl w:val="nil"/>
            </w:tcBorders>
            <w:vAlign w:val="center"/>
          </w:tcPr>
          <w:p>
            <w:pPr>
              <w:pStyle w:val="2"/>
              <w:rPr>
                <w:rFonts w:hAnsi="宋体"/>
                <w:snapToGrid w:val="0"/>
              </w:rPr>
            </w:pPr>
            <w:r>
              <w:rPr>
                <w:rFonts w:hint="eastAsia" w:hAnsi="宋体"/>
                <w:snapToGrid w:val="0"/>
              </w:rPr>
              <w:t>开展废旧金属回收熔炼企业辐射安全知识宣传等工作</w:t>
            </w:r>
          </w:p>
        </w:tc>
        <w:tc>
          <w:tcPr>
            <w:tcW w:w="993" w:type="dxa"/>
            <w:tcBorders>
              <w:tl2br w:val="nil"/>
              <w:tr2bl w:val="nil"/>
            </w:tcBorders>
            <w:vAlign w:val="center"/>
          </w:tcPr>
          <w:p>
            <w:pPr>
              <w:pStyle w:val="2"/>
              <w:rPr>
                <w:rFonts w:hAnsi="宋体"/>
                <w:snapToGrid w:val="0"/>
              </w:rPr>
            </w:pPr>
            <w:r>
              <w:rPr>
                <w:rFonts w:hint="eastAsia" w:hAnsi="宋体"/>
                <w:snapToGrid w:val="0"/>
              </w:rPr>
              <w:t>1项</w:t>
            </w:r>
          </w:p>
        </w:tc>
      </w:tr>
    </w:tbl>
    <w:p>
      <w:pPr>
        <w:pStyle w:val="2"/>
        <w:spacing w:line="360" w:lineRule="auto"/>
        <w:rPr>
          <w:rFonts w:hAnsi="宋体"/>
          <w:snapToGrid w:val="0"/>
        </w:rPr>
      </w:pPr>
    </w:p>
    <w:p>
      <w:pPr>
        <w:pStyle w:val="2"/>
        <w:numPr>
          <w:ilvl w:val="0"/>
          <w:numId w:val="2"/>
        </w:numPr>
        <w:spacing w:line="360" w:lineRule="auto"/>
        <w:rPr>
          <w:rFonts w:hAnsi="宋体"/>
          <w:b/>
          <w:bCs/>
          <w:snapToGrid w:val="0"/>
        </w:rPr>
      </w:pPr>
      <w:r>
        <w:rPr>
          <w:rFonts w:hint="eastAsia" w:hAnsi="宋体"/>
          <w:b/>
          <w:bCs/>
          <w:snapToGrid w:val="0"/>
        </w:rPr>
        <w:t>总体要求</w:t>
      </w:r>
    </w:p>
    <w:p>
      <w:pPr>
        <w:pStyle w:val="2"/>
        <w:numPr>
          <w:ilvl w:val="0"/>
          <w:numId w:val="3"/>
        </w:numPr>
        <w:spacing w:line="360" w:lineRule="auto"/>
        <w:rPr>
          <w:rFonts w:hAnsi="宋体"/>
          <w:snapToGrid w:val="0"/>
        </w:rPr>
      </w:pPr>
      <w:r>
        <w:rPr>
          <w:rFonts w:hint="eastAsia" w:hAnsi="宋体"/>
          <w:snapToGrid w:val="0"/>
        </w:rPr>
        <w:t>监督性监测</w:t>
      </w:r>
    </w:p>
    <w:p>
      <w:pPr>
        <w:pStyle w:val="2"/>
        <w:spacing w:line="360" w:lineRule="auto"/>
        <w:ind w:firstLine="480" w:firstLineChars="200"/>
        <w:rPr>
          <w:rFonts w:hAnsi="宋体"/>
          <w:snapToGrid w:val="0"/>
        </w:rPr>
      </w:pPr>
      <w:r>
        <w:rPr>
          <w:rFonts w:hint="eastAsia" w:hAnsi="宋体"/>
          <w:snapToGrid w:val="0"/>
        </w:rPr>
        <w:t>根据《放射性同位素与射线装置安全和防护条例》（449号令）、《放射性同位素与射线装置安全和防护管理办法》（环境保护部令第18号）、《电离辐射防护与辐射源安全基本标准》（GB18871-2002）等相关法规要求，根据生态环境部和浙江省生态环境厅相关工作要求，为开展核技术利用单位、放射性物品运输、豁免射线装置、核发许可证等辐射安全监管工作提供监测等技术支持；配合监督检查，提供技术人员、仪器设备、车辆等保障服务。</w:t>
      </w:r>
    </w:p>
    <w:p>
      <w:pPr>
        <w:pStyle w:val="2"/>
        <w:spacing w:line="360" w:lineRule="auto"/>
        <w:ind w:firstLine="480" w:firstLineChars="200"/>
        <w:rPr>
          <w:rFonts w:hAnsi="宋体"/>
          <w:snapToGrid w:val="0"/>
        </w:rPr>
      </w:pPr>
      <w:r>
        <w:rPr>
          <w:rFonts w:hint="eastAsia" w:hAnsi="宋体"/>
          <w:snapToGrid w:val="0"/>
        </w:rPr>
        <w:t>开展辐射事故应急处置相关工作，为浙江省辐射安全提供技术保障。</w:t>
      </w:r>
    </w:p>
    <w:p>
      <w:pPr>
        <w:pStyle w:val="2"/>
        <w:spacing w:line="360" w:lineRule="auto"/>
        <w:ind w:firstLine="480" w:firstLineChars="200"/>
        <w:rPr>
          <w:rFonts w:hAnsi="宋体"/>
          <w:snapToGrid w:val="0"/>
        </w:rPr>
      </w:pPr>
      <w:r>
        <w:rPr>
          <w:rFonts w:hint="eastAsia" w:hAnsi="宋体"/>
          <w:snapToGrid w:val="0"/>
        </w:rPr>
        <w:t>开展浙江省内Ⅰ、Ⅱ类放射源用源单位和典型电磁辐射设施监督性监测。完成不少于10家Ⅰ、Ⅱ类放射源用源单位的监督性监测。完成中波发射台、移动通信基站、直流输电工程、交流输电工程各1家电磁辐射设施的监督性监测。</w:t>
      </w:r>
    </w:p>
    <w:p>
      <w:pPr>
        <w:pStyle w:val="2"/>
        <w:numPr>
          <w:ilvl w:val="0"/>
          <w:numId w:val="3"/>
        </w:numPr>
        <w:spacing w:line="360" w:lineRule="auto"/>
        <w:rPr>
          <w:rFonts w:hAnsi="宋体"/>
          <w:snapToGrid w:val="0"/>
        </w:rPr>
      </w:pPr>
      <w:r>
        <w:rPr>
          <w:rFonts w:hint="eastAsia" w:hAnsi="宋体"/>
          <w:snapToGrid w:val="0"/>
        </w:rPr>
        <w:t>辐射安全知识宣传</w:t>
      </w:r>
    </w:p>
    <w:p>
      <w:pPr>
        <w:pStyle w:val="2"/>
        <w:spacing w:line="360" w:lineRule="auto"/>
        <w:ind w:firstLine="480" w:firstLineChars="200"/>
        <w:rPr>
          <w:rFonts w:hAnsi="宋体"/>
          <w:snapToGrid w:val="0"/>
        </w:rPr>
      </w:pPr>
      <w:r>
        <w:rPr>
          <w:rFonts w:hint="eastAsia" w:hAnsi="宋体"/>
          <w:snapToGrid w:val="0"/>
        </w:rPr>
        <w:t>开展废旧金属回收熔炼企业等辐射安全知识宣传，制作宣传视频、纸质宣传材料、组织网络答题等。</w:t>
      </w:r>
    </w:p>
    <w:p>
      <w:pPr>
        <w:pStyle w:val="2"/>
        <w:numPr>
          <w:ilvl w:val="0"/>
          <w:numId w:val="2"/>
        </w:numPr>
        <w:spacing w:line="360" w:lineRule="auto"/>
        <w:rPr>
          <w:rFonts w:hAnsi="宋体"/>
          <w:snapToGrid w:val="0"/>
        </w:rPr>
      </w:pPr>
      <w:r>
        <w:rPr>
          <w:rFonts w:hint="eastAsia" w:hAnsi="宋体"/>
          <w:b/>
          <w:bCs/>
          <w:snapToGrid w:val="0"/>
        </w:rPr>
        <w:t>人员要求</w:t>
      </w:r>
    </w:p>
    <w:p>
      <w:pPr>
        <w:pStyle w:val="2"/>
        <w:spacing w:line="360" w:lineRule="auto"/>
        <w:ind w:firstLine="480" w:firstLineChars="200"/>
        <w:rPr>
          <w:rFonts w:hAnsi="宋体"/>
          <w:snapToGrid w:val="0"/>
        </w:rPr>
      </w:pPr>
      <w:r>
        <w:rPr>
          <w:rFonts w:hint="eastAsia" w:hAnsi="宋体"/>
          <w:snapToGrid w:val="0"/>
        </w:rPr>
        <w:t>项目负责人应具备核与辐射类、环境类等相关专业背景，具有8年（含）以上辐射环境监测工作经验，具备环境监测相关专业副高级（含）以上职称。</w:t>
      </w:r>
    </w:p>
    <w:p>
      <w:pPr>
        <w:pStyle w:val="2"/>
        <w:spacing w:line="360" w:lineRule="auto"/>
        <w:ind w:firstLine="480" w:firstLineChars="200"/>
        <w:rPr>
          <w:rFonts w:hAnsi="宋体"/>
          <w:snapToGrid w:val="0"/>
        </w:rPr>
      </w:pPr>
      <w:r>
        <w:rPr>
          <w:rFonts w:hint="eastAsia" w:hAnsi="宋体"/>
          <w:snapToGrid w:val="0"/>
        </w:rPr>
        <w:t>项目组成员数量不少于5人，同时具备环境监测相关专业副高级（含）以上职称的人数不少于3人。</w:t>
      </w:r>
    </w:p>
    <w:p>
      <w:pPr>
        <w:pStyle w:val="2"/>
        <w:numPr>
          <w:ilvl w:val="0"/>
          <w:numId w:val="2"/>
        </w:numPr>
        <w:spacing w:line="360" w:lineRule="auto"/>
        <w:rPr>
          <w:rFonts w:hAnsi="宋体"/>
          <w:b/>
          <w:bCs/>
          <w:snapToGrid w:val="0"/>
        </w:rPr>
      </w:pPr>
      <w:r>
        <w:rPr>
          <w:rFonts w:hint="eastAsia" w:hAnsi="宋体"/>
          <w:b/>
          <w:bCs/>
          <w:snapToGrid w:val="0"/>
        </w:rPr>
        <w:t>硬件要求</w:t>
      </w:r>
    </w:p>
    <w:p>
      <w:pPr>
        <w:pStyle w:val="2"/>
        <w:spacing w:line="360" w:lineRule="auto"/>
        <w:ind w:firstLine="480"/>
        <w:rPr>
          <w:rFonts w:hAnsi="宋体"/>
          <w:snapToGrid w:val="0"/>
          <w:lang w:val="zh-CN"/>
        </w:rPr>
      </w:pPr>
      <w:r>
        <w:rPr>
          <w:rFonts w:hint="eastAsia" w:hAnsi="宋体"/>
          <w:snapToGrid w:val="0"/>
        </w:rPr>
        <w:t>具备</w:t>
      </w:r>
      <w:r>
        <w:rPr>
          <w:rFonts w:hint="eastAsia" w:hAnsi="宋体"/>
          <w:snapToGrid w:val="0"/>
          <w:lang w:val="zh-CN"/>
        </w:rPr>
        <w:t>①环境γ辐射剂量率仪；②α、β表面污染监测仪，③中子剂量当量率仪，</w:t>
      </w:r>
      <w:r>
        <w:rPr>
          <w:rFonts w:hint="eastAsia" w:hAnsi="宋体"/>
          <w:snapToGrid w:val="0"/>
        </w:rPr>
        <w:t>④</w:t>
      </w:r>
      <w:r>
        <w:rPr>
          <w:rFonts w:hint="eastAsia" w:hAnsi="宋体"/>
          <w:snapToGrid w:val="0"/>
          <w:lang w:val="zh-CN"/>
        </w:rPr>
        <w:t>高纯锗γ能谱分析仪，⑤选频式电磁辐射监测仪（覆盖5G通信基站监测能力），⑥射频综合场强仪，⑦工频电磁场分析仪</w:t>
      </w:r>
      <w:r>
        <w:rPr>
          <w:rFonts w:hint="eastAsia" w:hAnsi="宋体"/>
          <w:snapToGrid w:val="0"/>
        </w:rPr>
        <w:t>等监测</w:t>
      </w:r>
      <w:r>
        <w:rPr>
          <w:rFonts w:hint="eastAsia" w:hAnsi="宋体"/>
          <w:snapToGrid w:val="0"/>
          <w:lang w:val="zh-CN"/>
        </w:rPr>
        <w:t>仪器设备。</w:t>
      </w:r>
    </w:p>
    <w:p>
      <w:pPr>
        <w:pStyle w:val="2"/>
        <w:spacing w:line="360" w:lineRule="auto"/>
        <w:ind w:firstLine="480" w:firstLineChars="200"/>
        <w:rPr>
          <w:rFonts w:hAnsi="宋体"/>
          <w:snapToGrid w:val="0"/>
        </w:rPr>
      </w:pPr>
      <w:r>
        <w:rPr>
          <w:rFonts w:hint="eastAsia" w:hAnsi="宋体"/>
          <w:snapToGrid w:val="0"/>
        </w:rPr>
        <w:t>具有放射源收贮工具和设施，提供相关证明</w:t>
      </w:r>
      <w:r>
        <w:rPr>
          <w:rFonts w:hint="eastAsia" w:hAnsi="宋体"/>
          <w:snapToGrid w:val="0"/>
          <w:lang w:val="zh-CN"/>
        </w:rPr>
        <w:t>。</w:t>
      </w:r>
    </w:p>
    <w:p>
      <w:pPr>
        <w:pStyle w:val="2"/>
        <w:numPr>
          <w:ilvl w:val="0"/>
          <w:numId w:val="2"/>
        </w:numPr>
        <w:spacing w:line="360" w:lineRule="auto"/>
        <w:rPr>
          <w:rFonts w:hAnsi="宋体"/>
          <w:b/>
          <w:bCs/>
          <w:snapToGrid w:val="0"/>
        </w:rPr>
      </w:pPr>
      <w:r>
        <w:rPr>
          <w:rFonts w:hint="eastAsia" w:hAnsi="宋体"/>
          <w:b/>
          <w:bCs/>
          <w:snapToGrid w:val="0"/>
        </w:rPr>
        <w:t>其他要求</w:t>
      </w:r>
    </w:p>
    <w:p>
      <w:pPr>
        <w:pStyle w:val="2"/>
        <w:spacing w:line="360" w:lineRule="auto"/>
        <w:ind w:firstLine="480" w:firstLineChars="200"/>
        <w:rPr>
          <w:rFonts w:hAnsi="宋体"/>
          <w:snapToGrid w:val="0"/>
        </w:rPr>
      </w:pPr>
      <w:r>
        <w:rPr>
          <w:rFonts w:hint="eastAsia" w:hAnsi="宋体"/>
          <w:snapToGrid w:val="0"/>
        </w:rPr>
        <w:t>本服务项目合同到期后，应提交工作总结报告。验收时的专家费等（如有）由中标方承担。</w:t>
      </w:r>
    </w:p>
    <w:p>
      <w:pPr>
        <w:pStyle w:val="2"/>
        <w:spacing w:line="360" w:lineRule="auto"/>
        <w:ind w:firstLine="480" w:firstLineChars="200"/>
        <w:rPr>
          <w:rFonts w:hAnsi="宋体"/>
          <w:snapToGrid w:val="0"/>
          <w:color w:val="FF0000"/>
        </w:rPr>
      </w:pPr>
      <w:r>
        <w:rPr>
          <w:rFonts w:hint="eastAsia" w:hAnsi="宋体"/>
          <w:snapToGrid w:val="0"/>
        </w:rPr>
        <w:t>保密服务承诺：服务方在提供服务的过程中，获悉的一切信息均需严格保密，未经招标人同意不得给他人使用，如有泄漏或擅自使用或允许他人使用用户信息造成损失的必须承担相应的民事赔偿责任。</w:t>
      </w:r>
    </w:p>
    <w:bookmarkEnd w:id="39"/>
    <w:p>
      <w:pPr>
        <w:pStyle w:val="2"/>
        <w:numPr>
          <w:ilvl w:val="0"/>
          <w:numId w:val="2"/>
        </w:numPr>
        <w:spacing w:line="360" w:lineRule="auto"/>
        <w:rPr>
          <w:rFonts w:hAnsi="宋体"/>
          <w:b/>
          <w:bCs/>
          <w:snapToGrid w:val="0"/>
        </w:rPr>
      </w:pPr>
      <w:bookmarkStart w:id="40" w:name="_Toc29134"/>
      <w:bookmarkStart w:id="41" w:name="_Toc969"/>
      <w:bookmarkStart w:id="42" w:name="_Toc19868"/>
      <w:bookmarkStart w:id="43" w:name="_Toc14472"/>
      <w:r>
        <w:rPr>
          <w:rFonts w:hint="eastAsia" w:hAnsi="宋体"/>
          <w:b/>
          <w:bCs/>
          <w:snapToGrid w:val="0"/>
        </w:rPr>
        <w:t>服务期</w:t>
      </w:r>
      <w:bookmarkEnd w:id="40"/>
      <w:bookmarkEnd w:id="41"/>
      <w:bookmarkEnd w:id="42"/>
      <w:bookmarkEnd w:id="43"/>
    </w:p>
    <w:p>
      <w:pPr>
        <w:spacing w:line="360" w:lineRule="auto"/>
        <w:ind w:firstLine="420"/>
        <w:rPr>
          <w:rFonts w:ascii="宋体" w:hAnsi="宋体" w:cs="宋体"/>
          <w:sz w:val="24"/>
        </w:rPr>
      </w:pPr>
      <w:bookmarkStart w:id="44" w:name="_Toc5036"/>
      <w:bookmarkStart w:id="45" w:name="_Toc17137"/>
      <w:r>
        <w:rPr>
          <w:rFonts w:hint="eastAsia" w:ascii="宋体" w:hAnsi="宋体" w:cs="宋体"/>
          <w:sz w:val="24"/>
        </w:rPr>
        <w:t>合同签订后一年。</w:t>
      </w:r>
    </w:p>
    <w:p>
      <w:pPr>
        <w:pStyle w:val="2"/>
        <w:numPr>
          <w:ilvl w:val="0"/>
          <w:numId w:val="2"/>
        </w:numPr>
        <w:spacing w:line="360" w:lineRule="auto"/>
        <w:rPr>
          <w:rFonts w:hAnsi="宋体"/>
          <w:b/>
          <w:bCs/>
          <w:snapToGrid w:val="0"/>
        </w:rPr>
      </w:pPr>
      <w:bookmarkStart w:id="46" w:name="_Toc2818"/>
      <w:r>
        <w:rPr>
          <w:rFonts w:hint="eastAsia" w:hAnsi="宋体"/>
          <w:b/>
          <w:bCs/>
          <w:snapToGrid w:val="0"/>
        </w:rPr>
        <w:t>服务地点</w:t>
      </w:r>
      <w:bookmarkEnd w:id="46"/>
    </w:p>
    <w:p>
      <w:pPr>
        <w:pStyle w:val="25"/>
        <w:ind w:firstLine="480" w:firstLineChars="200"/>
        <w:rPr>
          <w:rFonts w:hAnsi="宋体" w:cs="宋体"/>
          <w:szCs w:val="24"/>
        </w:rPr>
      </w:pPr>
      <w:r>
        <w:rPr>
          <w:rFonts w:hint="eastAsia" w:hAnsi="宋体" w:cs="宋体"/>
          <w:szCs w:val="24"/>
        </w:rPr>
        <w:t>浙江省生态环境厅指定地点。</w:t>
      </w:r>
    </w:p>
    <w:bookmarkEnd w:id="44"/>
    <w:bookmarkEnd w:id="45"/>
    <w:p>
      <w:pPr>
        <w:pStyle w:val="2"/>
        <w:numPr>
          <w:ilvl w:val="0"/>
          <w:numId w:val="2"/>
        </w:numPr>
        <w:spacing w:line="360" w:lineRule="auto"/>
        <w:rPr>
          <w:rFonts w:hAnsi="宋体"/>
          <w:b/>
          <w:bCs/>
          <w:snapToGrid w:val="0"/>
        </w:rPr>
      </w:pPr>
      <w:bookmarkStart w:id="47" w:name="_Toc24908"/>
      <w:bookmarkStart w:id="48" w:name="_Toc15030"/>
      <w:bookmarkStart w:id="49" w:name="_Toc16727"/>
      <w:bookmarkStart w:id="50" w:name="_Toc31687"/>
      <w:r>
        <w:rPr>
          <w:rFonts w:hint="eastAsia" w:hAnsi="宋体"/>
          <w:b/>
          <w:bCs/>
          <w:snapToGrid w:val="0"/>
        </w:rPr>
        <w:t>付款方式</w:t>
      </w:r>
      <w:bookmarkEnd w:id="47"/>
      <w:bookmarkEnd w:id="48"/>
      <w:bookmarkEnd w:id="49"/>
      <w:bookmarkEnd w:id="50"/>
    </w:p>
    <w:p>
      <w:pPr>
        <w:spacing w:line="360" w:lineRule="auto"/>
        <w:ind w:firstLine="420"/>
        <w:rPr>
          <w:rFonts w:ascii="宋体" w:hAnsi="宋体" w:cs="宋体"/>
          <w:sz w:val="24"/>
        </w:rPr>
      </w:pPr>
      <w:r>
        <w:rPr>
          <w:rFonts w:hint="eastAsia" w:ascii="宋体" w:hAnsi="宋体" w:cs="宋体"/>
          <w:sz w:val="24"/>
        </w:rPr>
        <w:t>在合同签订20个工作日内，支付合同总金额的95%；在中标单位按约定履行合同、提交符合要求的成果后，30个工作日内，向中标方支付剩下的5%合同额。</w:t>
      </w:r>
    </w:p>
    <w:p>
      <w:pPr>
        <w:pStyle w:val="2"/>
        <w:rPr>
          <w:rFonts w:hAnsi="宋体"/>
          <w:snapToGrid w:val="0"/>
          <w:color w:val="000000"/>
          <w:sz w:val="21"/>
          <w:szCs w:val="21"/>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第四部分</w:t>
      </w:r>
      <w:bookmarkStart w:id="51" w:name="_Toc184313245"/>
      <w:bookmarkEnd w:id="51"/>
      <w:bookmarkStart w:id="52" w:name="_Toc184313276"/>
      <w:bookmarkEnd w:id="52"/>
      <w:bookmarkStart w:id="53" w:name="_Toc184308047"/>
      <w:bookmarkEnd w:id="53"/>
      <w:bookmarkStart w:id="54" w:name="_Toc184312101"/>
      <w:bookmarkEnd w:id="54"/>
      <w:bookmarkStart w:id="55" w:name="_Toc184310313"/>
      <w:bookmarkEnd w:id="55"/>
      <w:bookmarkStart w:id="56" w:name="_Toc184314420"/>
      <w:bookmarkEnd w:id="56"/>
      <w:bookmarkStart w:id="57" w:name="_Toc184313294"/>
      <w:bookmarkEnd w:id="57"/>
      <w:bookmarkStart w:id="58" w:name="_Toc184308071"/>
      <w:bookmarkEnd w:id="58"/>
      <w:bookmarkStart w:id="59" w:name="_Toc184313251"/>
      <w:bookmarkEnd w:id="59"/>
      <w:bookmarkStart w:id="60" w:name="_Toc184313259"/>
      <w:bookmarkEnd w:id="60"/>
      <w:bookmarkStart w:id="61" w:name="_Toc184314458"/>
      <w:bookmarkEnd w:id="61"/>
      <w:bookmarkStart w:id="62" w:name="_Toc184308103"/>
      <w:bookmarkEnd w:id="62"/>
      <w:bookmarkStart w:id="63" w:name="_Toc184313265"/>
      <w:bookmarkEnd w:id="63"/>
      <w:bookmarkStart w:id="64" w:name="_Toc184310304"/>
      <w:bookmarkEnd w:id="64"/>
      <w:bookmarkStart w:id="65" w:name="_Toc184313299"/>
      <w:bookmarkEnd w:id="65"/>
      <w:bookmarkStart w:id="66" w:name="_Toc184308051"/>
      <w:bookmarkEnd w:id="66"/>
      <w:bookmarkStart w:id="67" w:name="_Toc184312099"/>
      <w:bookmarkEnd w:id="67"/>
      <w:bookmarkStart w:id="68" w:name="_Toc184310279"/>
      <w:bookmarkEnd w:id="68"/>
      <w:bookmarkStart w:id="69" w:name="_Toc184313258"/>
      <w:bookmarkEnd w:id="69"/>
      <w:bookmarkStart w:id="70" w:name="_Toc184313285"/>
      <w:bookmarkEnd w:id="70"/>
      <w:bookmarkStart w:id="71" w:name="_Toc184312121"/>
      <w:bookmarkEnd w:id="71"/>
      <w:bookmarkStart w:id="72" w:name="_Toc184308073"/>
      <w:bookmarkEnd w:id="72"/>
      <w:bookmarkStart w:id="73" w:name="_Toc184310333"/>
      <w:bookmarkEnd w:id="73"/>
      <w:bookmarkStart w:id="74" w:name="_Toc184308069"/>
      <w:bookmarkEnd w:id="74"/>
      <w:bookmarkStart w:id="75" w:name="_Toc184314447"/>
      <w:bookmarkEnd w:id="75"/>
      <w:bookmarkStart w:id="76" w:name="_Toc184314468"/>
      <w:bookmarkEnd w:id="76"/>
      <w:bookmarkStart w:id="77" w:name="_Toc184308065"/>
      <w:bookmarkEnd w:id="77"/>
      <w:bookmarkStart w:id="78" w:name="_Toc184313267"/>
      <w:bookmarkEnd w:id="78"/>
      <w:bookmarkStart w:id="79" w:name="_Toc184308058"/>
      <w:bookmarkEnd w:id="79"/>
      <w:bookmarkStart w:id="80" w:name="_Toc184314470"/>
      <w:bookmarkEnd w:id="80"/>
      <w:bookmarkStart w:id="81" w:name="_Toc184314448"/>
      <w:bookmarkEnd w:id="81"/>
      <w:bookmarkStart w:id="82" w:name="_Toc184310338"/>
      <w:bookmarkEnd w:id="82"/>
      <w:bookmarkStart w:id="83" w:name="_Toc184308036"/>
      <w:bookmarkEnd w:id="83"/>
      <w:bookmarkStart w:id="84" w:name="_Toc184313308"/>
      <w:bookmarkEnd w:id="84"/>
      <w:bookmarkStart w:id="85" w:name="_Toc184310334"/>
      <w:bookmarkEnd w:id="85"/>
      <w:bookmarkStart w:id="86" w:name="_Toc184312111"/>
      <w:bookmarkEnd w:id="86"/>
      <w:bookmarkStart w:id="87" w:name="_Toc184310329"/>
      <w:bookmarkEnd w:id="87"/>
      <w:bookmarkStart w:id="88" w:name="_Toc184314438"/>
      <w:bookmarkEnd w:id="88"/>
      <w:bookmarkStart w:id="89" w:name="_Toc184314474"/>
      <w:bookmarkEnd w:id="89"/>
      <w:bookmarkStart w:id="90" w:name="_Toc184314416"/>
      <w:bookmarkEnd w:id="90"/>
      <w:bookmarkStart w:id="91" w:name="_Toc184313239"/>
      <w:bookmarkEnd w:id="91"/>
      <w:bookmarkStart w:id="92" w:name="_Toc184310298"/>
      <w:bookmarkEnd w:id="92"/>
      <w:bookmarkStart w:id="93" w:name="_Toc184308038"/>
      <w:bookmarkEnd w:id="93"/>
      <w:bookmarkStart w:id="94" w:name="_Toc184310316"/>
      <w:bookmarkEnd w:id="94"/>
      <w:bookmarkStart w:id="95" w:name="_Toc184312126"/>
      <w:bookmarkEnd w:id="95"/>
      <w:bookmarkStart w:id="96" w:name="_Toc184314446"/>
      <w:bookmarkEnd w:id="96"/>
      <w:bookmarkStart w:id="97" w:name="_Toc184312109"/>
      <w:bookmarkEnd w:id="97"/>
      <w:bookmarkStart w:id="98" w:name="_Toc184312107"/>
      <w:bookmarkEnd w:id="98"/>
      <w:bookmarkStart w:id="99" w:name="_Toc184310319"/>
      <w:bookmarkEnd w:id="99"/>
      <w:bookmarkStart w:id="100" w:name="_Toc184310325"/>
      <w:bookmarkEnd w:id="100"/>
      <w:bookmarkStart w:id="101" w:name="_Toc184314421"/>
      <w:bookmarkEnd w:id="101"/>
      <w:bookmarkStart w:id="102" w:name="_Toc184313300"/>
      <w:bookmarkEnd w:id="102"/>
      <w:bookmarkStart w:id="103" w:name="_Toc184310324"/>
      <w:bookmarkEnd w:id="103"/>
      <w:bookmarkStart w:id="104" w:name="_Toc184312132"/>
      <w:bookmarkEnd w:id="104"/>
      <w:bookmarkStart w:id="105" w:name="_Toc184313246"/>
      <w:bookmarkEnd w:id="105"/>
      <w:bookmarkStart w:id="106" w:name="_Toc184313247"/>
      <w:bookmarkEnd w:id="106"/>
      <w:bookmarkStart w:id="107" w:name="_Toc184310302"/>
      <w:bookmarkEnd w:id="107"/>
      <w:bookmarkStart w:id="108" w:name="_Toc184313298"/>
      <w:bookmarkEnd w:id="108"/>
      <w:bookmarkStart w:id="109" w:name="_Toc184312118"/>
      <w:bookmarkEnd w:id="109"/>
      <w:bookmarkStart w:id="110" w:name="_Toc184308099"/>
      <w:bookmarkEnd w:id="110"/>
      <w:bookmarkStart w:id="111" w:name="_Toc184312104"/>
      <w:bookmarkEnd w:id="111"/>
      <w:bookmarkStart w:id="112" w:name="_Toc184312092"/>
      <w:bookmarkEnd w:id="112"/>
      <w:bookmarkStart w:id="113" w:name="_Toc184308101"/>
      <w:bookmarkEnd w:id="113"/>
      <w:bookmarkStart w:id="114" w:name="_Toc184313275"/>
      <w:bookmarkEnd w:id="114"/>
      <w:bookmarkStart w:id="115" w:name="_Toc184312069"/>
      <w:bookmarkEnd w:id="115"/>
      <w:bookmarkStart w:id="116" w:name="_Toc184310300"/>
      <w:bookmarkEnd w:id="116"/>
      <w:bookmarkStart w:id="117" w:name="_Toc184314436"/>
      <w:bookmarkEnd w:id="117"/>
      <w:bookmarkStart w:id="118" w:name="_Toc184308053"/>
      <w:bookmarkEnd w:id="118"/>
      <w:bookmarkStart w:id="119" w:name="_Toc184308102"/>
      <w:bookmarkEnd w:id="119"/>
      <w:bookmarkStart w:id="120" w:name="_Toc184310286"/>
      <w:bookmarkEnd w:id="120"/>
      <w:bookmarkStart w:id="121" w:name="_Toc184308063"/>
      <w:bookmarkEnd w:id="121"/>
      <w:bookmarkStart w:id="122" w:name="_Toc184310330"/>
      <w:bookmarkEnd w:id="122"/>
      <w:bookmarkStart w:id="123" w:name="_Toc184308066"/>
      <w:bookmarkEnd w:id="123"/>
      <w:bookmarkStart w:id="124" w:name="_Toc184310339"/>
      <w:bookmarkEnd w:id="124"/>
      <w:bookmarkStart w:id="125" w:name="_Toc184313256"/>
      <w:bookmarkEnd w:id="125"/>
      <w:bookmarkStart w:id="126" w:name="_Toc184308079"/>
      <w:bookmarkEnd w:id="126"/>
      <w:bookmarkStart w:id="127" w:name="_Toc184314478"/>
      <w:bookmarkEnd w:id="127"/>
      <w:bookmarkStart w:id="128" w:name="_Toc184312115"/>
      <w:bookmarkEnd w:id="128"/>
      <w:bookmarkStart w:id="129" w:name="_Toc184308070"/>
      <w:bookmarkEnd w:id="129"/>
      <w:bookmarkStart w:id="130" w:name="_Toc184308084"/>
      <w:bookmarkEnd w:id="130"/>
      <w:bookmarkStart w:id="131" w:name="_Toc184313302"/>
      <w:bookmarkEnd w:id="131"/>
      <w:bookmarkStart w:id="132" w:name="_Toc184313238"/>
      <w:bookmarkEnd w:id="132"/>
      <w:bookmarkStart w:id="133" w:name="_Toc184308104"/>
      <w:bookmarkEnd w:id="133"/>
      <w:bookmarkStart w:id="134" w:name="_Toc184313293"/>
      <w:bookmarkEnd w:id="134"/>
      <w:bookmarkStart w:id="135" w:name="_Toc184308091"/>
      <w:bookmarkEnd w:id="135"/>
      <w:bookmarkStart w:id="136" w:name="_Toc184314427"/>
      <w:bookmarkEnd w:id="136"/>
      <w:bookmarkStart w:id="137" w:name="_Toc184314417"/>
      <w:bookmarkEnd w:id="137"/>
      <w:bookmarkStart w:id="138" w:name="_Toc184310277"/>
      <w:bookmarkEnd w:id="138"/>
      <w:bookmarkStart w:id="139" w:name="_Toc184308106"/>
      <w:bookmarkEnd w:id="139"/>
      <w:bookmarkStart w:id="140" w:name="_Toc184312113"/>
      <w:bookmarkEnd w:id="140"/>
      <w:bookmarkStart w:id="141" w:name="_Toc184312071"/>
      <w:bookmarkEnd w:id="141"/>
      <w:bookmarkStart w:id="142" w:name="_Toc184314479"/>
      <w:bookmarkEnd w:id="142"/>
      <w:bookmarkStart w:id="143" w:name="_Toc184310296"/>
      <w:bookmarkEnd w:id="143"/>
      <w:bookmarkStart w:id="144" w:name="_Toc184308041"/>
      <w:bookmarkEnd w:id="144"/>
      <w:bookmarkStart w:id="145" w:name="_Toc184314466"/>
      <w:bookmarkEnd w:id="145"/>
      <w:bookmarkStart w:id="146" w:name="_Toc184314428"/>
      <w:bookmarkEnd w:id="146"/>
      <w:bookmarkStart w:id="147" w:name="_Toc184314435"/>
      <w:bookmarkEnd w:id="147"/>
      <w:bookmarkStart w:id="148" w:name="_Toc184310318"/>
      <w:bookmarkEnd w:id="148"/>
      <w:bookmarkStart w:id="149" w:name="_Toc184308040"/>
      <w:bookmarkEnd w:id="149"/>
      <w:bookmarkStart w:id="150" w:name="_Toc184312086"/>
      <w:bookmarkEnd w:id="150"/>
      <w:bookmarkStart w:id="151" w:name="_Toc184310273"/>
      <w:bookmarkEnd w:id="151"/>
      <w:bookmarkStart w:id="152" w:name="_Toc184310310"/>
      <w:bookmarkEnd w:id="152"/>
      <w:bookmarkStart w:id="153" w:name="_Toc184312070"/>
      <w:bookmarkEnd w:id="153"/>
      <w:bookmarkStart w:id="154" w:name="_Toc184313290"/>
      <w:bookmarkEnd w:id="154"/>
      <w:bookmarkStart w:id="155" w:name="_Toc184313309"/>
      <w:bookmarkEnd w:id="155"/>
      <w:bookmarkStart w:id="156" w:name="_Toc184312085"/>
      <w:bookmarkEnd w:id="156"/>
      <w:bookmarkStart w:id="157" w:name="_Toc184314476"/>
      <w:bookmarkEnd w:id="157"/>
      <w:bookmarkStart w:id="158" w:name="_Toc184308061"/>
      <w:bookmarkEnd w:id="158"/>
      <w:bookmarkStart w:id="159" w:name="_Toc184312128"/>
      <w:bookmarkEnd w:id="159"/>
      <w:bookmarkStart w:id="160" w:name="_Toc184314415"/>
      <w:bookmarkEnd w:id="160"/>
      <w:bookmarkStart w:id="161" w:name="_Toc184314433"/>
      <w:bookmarkEnd w:id="161"/>
      <w:bookmarkStart w:id="162" w:name="_Toc184308064"/>
      <w:bookmarkEnd w:id="162"/>
      <w:bookmarkStart w:id="163" w:name="_Toc184314451"/>
      <w:bookmarkEnd w:id="163"/>
      <w:bookmarkStart w:id="164" w:name="_Toc184314413"/>
      <w:bookmarkEnd w:id="164"/>
      <w:bookmarkStart w:id="165" w:name="_Toc184313288"/>
      <w:bookmarkEnd w:id="165"/>
      <w:bookmarkStart w:id="166" w:name="_Toc184312129"/>
      <w:bookmarkEnd w:id="166"/>
      <w:bookmarkStart w:id="167" w:name="_Toc184310337"/>
      <w:bookmarkEnd w:id="167"/>
      <w:bookmarkStart w:id="168" w:name="_Toc184313242"/>
      <w:bookmarkEnd w:id="168"/>
      <w:bookmarkStart w:id="169" w:name="_Toc184308085"/>
      <w:bookmarkEnd w:id="169"/>
      <w:bookmarkStart w:id="170" w:name="_Toc184310309"/>
      <w:bookmarkEnd w:id="170"/>
      <w:bookmarkStart w:id="171" w:name="_Toc184312124"/>
      <w:bookmarkEnd w:id="171"/>
      <w:bookmarkStart w:id="172" w:name="_Toc184313287"/>
      <w:bookmarkEnd w:id="172"/>
      <w:bookmarkStart w:id="173" w:name="_Toc184308050"/>
      <w:bookmarkEnd w:id="173"/>
      <w:bookmarkStart w:id="174" w:name="_Toc184310299"/>
      <w:bookmarkEnd w:id="174"/>
      <w:bookmarkStart w:id="175" w:name="_Toc184308097"/>
      <w:bookmarkEnd w:id="175"/>
      <w:bookmarkStart w:id="176" w:name="_Toc184314443"/>
      <w:bookmarkEnd w:id="176"/>
      <w:bookmarkStart w:id="177" w:name="_Toc184314481"/>
      <w:bookmarkEnd w:id="177"/>
      <w:bookmarkStart w:id="178" w:name="_Toc184310278"/>
      <w:bookmarkEnd w:id="178"/>
      <w:bookmarkStart w:id="179" w:name="_Toc184312127"/>
      <w:bookmarkEnd w:id="179"/>
      <w:bookmarkStart w:id="180" w:name="_Toc184312096"/>
      <w:bookmarkEnd w:id="180"/>
      <w:bookmarkStart w:id="181" w:name="_Toc184308072"/>
      <w:bookmarkEnd w:id="181"/>
      <w:bookmarkStart w:id="182" w:name="_Toc184313282"/>
      <w:bookmarkEnd w:id="182"/>
      <w:bookmarkStart w:id="183" w:name="_Toc184313260"/>
      <w:bookmarkEnd w:id="183"/>
      <w:bookmarkStart w:id="184" w:name="_Toc184310335"/>
      <w:bookmarkEnd w:id="184"/>
      <w:bookmarkStart w:id="185" w:name="_Toc184312098"/>
      <w:bookmarkEnd w:id="185"/>
      <w:bookmarkStart w:id="186" w:name="_Toc184310344"/>
      <w:bookmarkEnd w:id="186"/>
      <w:bookmarkStart w:id="187" w:name="_Toc184308094"/>
      <w:bookmarkEnd w:id="187"/>
      <w:bookmarkStart w:id="188" w:name="_Toc184308080"/>
      <w:bookmarkEnd w:id="188"/>
      <w:bookmarkStart w:id="189" w:name="_Toc184313291"/>
      <w:bookmarkEnd w:id="189"/>
      <w:bookmarkStart w:id="190" w:name="_Toc184313283"/>
      <w:bookmarkEnd w:id="190"/>
      <w:bookmarkStart w:id="191" w:name="_Toc184310288"/>
      <w:bookmarkEnd w:id="191"/>
      <w:bookmarkStart w:id="192" w:name="_Toc184314465"/>
      <w:bookmarkEnd w:id="192"/>
      <w:bookmarkStart w:id="193" w:name="_Toc184310294"/>
      <w:bookmarkEnd w:id="193"/>
      <w:bookmarkStart w:id="194" w:name="_Toc184313273"/>
      <w:bookmarkEnd w:id="194"/>
      <w:bookmarkStart w:id="195" w:name="_Toc184314431"/>
      <w:bookmarkEnd w:id="195"/>
      <w:bookmarkStart w:id="196" w:name="_Toc184314462"/>
      <w:bookmarkEnd w:id="196"/>
      <w:bookmarkStart w:id="197" w:name="_Toc184313281"/>
      <w:bookmarkEnd w:id="197"/>
      <w:bookmarkStart w:id="198" w:name="_Toc184314419"/>
      <w:bookmarkEnd w:id="198"/>
      <w:bookmarkStart w:id="199" w:name="_Toc184310280"/>
      <w:bookmarkEnd w:id="199"/>
      <w:bookmarkStart w:id="200" w:name="_Toc184312110"/>
      <w:bookmarkEnd w:id="200"/>
      <w:bookmarkStart w:id="201" w:name="_Toc184314452"/>
      <w:bookmarkEnd w:id="201"/>
      <w:bookmarkStart w:id="202" w:name="_Toc184314471"/>
      <w:bookmarkEnd w:id="202"/>
      <w:bookmarkStart w:id="203" w:name="_Toc184312136"/>
      <w:bookmarkEnd w:id="203"/>
      <w:bookmarkStart w:id="204" w:name="_Toc184310315"/>
      <w:bookmarkEnd w:id="204"/>
      <w:bookmarkStart w:id="205" w:name="_Toc184310272"/>
      <w:bookmarkEnd w:id="205"/>
      <w:bookmarkStart w:id="206" w:name="_Toc184310282"/>
      <w:bookmarkEnd w:id="206"/>
      <w:bookmarkStart w:id="207" w:name="_Toc184308039"/>
      <w:bookmarkEnd w:id="207"/>
      <w:bookmarkStart w:id="208" w:name="_Toc184312082"/>
      <w:bookmarkEnd w:id="208"/>
      <w:bookmarkStart w:id="209" w:name="_Toc184310295"/>
      <w:bookmarkEnd w:id="209"/>
      <w:bookmarkStart w:id="210" w:name="_Toc184313278"/>
      <w:bookmarkEnd w:id="210"/>
      <w:bookmarkStart w:id="211" w:name="_Toc184312097"/>
      <w:bookmarkEnd w:id="211"/>
      <w:bookmarkStart w:id="212" w:name="_Toc184308096"/>
      <w:bookmarkEnd w:id="212"/>
      <w:bookmarkStart w:id="213" w:name="_Toc184313304"/>
      <w:bookmarkEnd w:id="213"/>
      <w:bookmarkStart w:id="214" w:name="_Toc184312088"/>
      <w:bookmarkEnd w:id="214"/>
      <w:bookmarkStart w:id="215" w:name="_Toc184313310"/>
      <w:bookmarkEnd w:id="215"/>
      <w:bookmarkStart w:id="216" w:name="_Toc184314453"/>
      <w:bookmarkEnd w:id="216"/>
      <w:bookmarkStart w:id="217" w:name="_Toc184312089"/>
      <w:bookmarkEnd w:id="217"/>
      <w:bookmarkStart w:id="218" w:name="_Toc184310281"/>
      <w:bookmarkEnd w:id="218"/>
      <w:bookmarkStart w:id="219" w:name="_Toc184310336"/>
      <w:bookmarkEnd w:id="219"/>
      <w:bookmarkStart w:id="220" w:name="_Toc184308043"/>
      <w:bookmarkEnd w:id="220"/>
      <w:bookmarkStart w:id="221" w:name="_Toc184308108"/>
      <w:bookmarkEnd w:id="221"/>
      <w:bookmarkStart w:id="222" w:name="_Toc184312084"/>
      <w:bookmarkEnd w:id="222"/>
      <w:bookmarkStart w:id="223" w:name="_Toc184313255"/>
      <w:bookmarkEnd w:id="223"/>
      <w:bookmarkStart w:id="224" w:name="_Toc184310327"/>
      <w:bookmarkEnd w:id="224"/>
      <w:bookmarkStart w:id="225" w:name="_Toc184310307"/>
      <w:bookmarkEnd w:id="225"/>
      <w:bookmarkStart w:id="226" w:name="_Toc184308098"/>
      <w:bookmarkEnd w:id="226"/>
      <w:bookmarkStart w:id="227" w:name="_Toc184312119"/>
      <w:bookmarkEnd w:id="227"/>
      <w:bookmarkStart w:id="228" w:name="_Toc184314412"/>
      <w:bookmarkEnd w:id="228"/>
      <w:bookmarkStart w:id="229" w:name="_Toc184308088"/>
      <w:bookmarkEnd w:id="229"/>
      <w:bookmarkStart w:id="230" w:name="_Toc184310301"/>
      <w:bookmarkEnd w:id="230"/>
      <w:bookmarkStart w:id="231" w:name="_Toc184314414"/>
      <w:bookmarkEnd w:id="231"/>
      <w:bookmarkStart w:id="232" w:name="_Toc184312120"/>
      <w:bookmarkEnd w:id="232"/>
      <w:bookmarkStart w:id="233" w:name="_Toc184314467"/>
      <w:bookmarkEnd w:id="233"/>
      <w:bookmarkStart w:id="234" w:name="_Toc184308086"/>
      <w:bookmarkEnd w:id="234"/>
      <w:bookmarkStart w:id="235" w:name="_Toc184308037"/>
      <w:bookmarkEnd w:id="235"/>
      <w:bookmarkStart w:id="236" w:name="_Toc184308054"/>
      <w:bookmarkEnd w:id="236"/>
      <w:bookmarkStart w:id="237" w:name="_Toc184308048"/>
      <w:bookmarkEnd w:id="237"/>
      <w:bookmarkStart w:id="238" w:name="_Toc184313284"/>
      <w:bookmarkEnd w:id="238"/>
      <w:bookmarkStart w:id="239" w:name="_Toc184313303"/>
      <w:bookmarkEnd w:id="239"/>
      <w:bookmarkStart w:id="240" w:name="_Toc184310308"/>
      <w:bookmarkEnd w:id="240"/>
      <w:bookmarkStart w:id="241" w:name="_Toc184313305"/>
      <w:bookmarkEnd w:id="241"/>
      <w:bookmarkStart w:id="242" w:name="_Toc184313295"/>
      <w:bookmarkEnd w:id="242"/>
      <w:bookmarkStart w:id="243" w:name="_Toc184310283"/>
      <w:bookmarkEnd w:id="243"/>
      <w:bookmarkStart w:id="244" w:name="_Toc184314454"/>
      <w:bookmarkEnd w:id="244"/>
      <w:bookmarkStart w:id="245" w:name="_Toc184308068"/>
      <w:bookmarkEnd w:id="245"/>
      <w:bookmarkStart w:id="246" w:name="_Toc184313270"/>
      <w:bookmarkEnd w:id="246"/>
      <w:bookmarkStart w:id="247" w:name="_Toc184313263"/>
      <w:bookmarkEnd w:id="247"/>
      <w:bookmarkStart w:id="248" w:name="_Toc184313266"/>
      <w:bookmarkEnd w:id="248"/>
      <w:bookmarkStart w:id="249" w:name="_Toc184314442"/>
      <w:bookmarkEnd w:id="249"/>
      <w:bookmarkStart w:id="250" w:name="_Toc184312095"/>
      <w:bookmarkEnd w:id="250"/>
      <w:bookmarkStart w:id="251" w:name="_Toc184308100"/>
      <w:bookmarkEnd w:id="251"/>
      <w:bookmarkStart w:id="252" w:name="_Toc184314432"/>
      <w:bookmarkEnd w:id="252"/>
      <w:bookmarkStart w:id="253" w:name="_Toc184308046"/>
      <w:bookmarkEnd w:id="253"/>
      <w:bookmarkStart w:id="254" w:name="_Toc184312116"/>
      <w:bookmarkEnd w:id="254"/>
      <w:bookmarkStart w:id="255" w:name="_Toc184308081"/>
      <w:bookmarkEnd w:id="255"/>
      <w:bookmarkStart w:id="256" w:name="_Toc184312114"/>
      <w:bookmarkEnd w:id="256"/>
      <w:bookmarkStart w:id="257" w:name="_Toc184314444"/>
      <w:bookmarkEnd w:id="257"/>
      <w:bookmarkStart w:id="258" w:name="_Toc184314449"/>
      <w:bookmarkEnd w:id="258"/>
      <w:bookmarkStart w:id="259" w:name="_Toc184310312"/>
      <w:bookmarkEnd w:id="259"/>
      <w:bookmarkStart w:id="260" w:name="_Toc184310291"/>
      <w:bookmarkEnd w:id="260"/>
      <w:bookmarkStart w:id="261" w:name="_Toc184312131"/>
      <w:bookmarkEnd w:id="261"/>
      <w:bookmarkStart w:id="262" w:name="_Toc184312073"/>
      <w:bookmarkEnd w:id="262"/>
      <w:bookmarkStart w:id="263" w:name="_Toc184314460"/>
      <w:bookmarkEnd w:id="263"/>
      <w:bookmarkStart w:id="264" w:name="_Toc184314430"/>
      <w:bookmarkEnd w:id="264"/>
      <w:bookmarkStart w:id="265" w:name="_Toc184310305"/>
      <w:bookmarkEnd w:id="265"/>
      <w:bookmarkStart w:id="266" w:name="_Toc184314440"/>
      <w:bookmarkEnd w:id="266"/>
      <w:bookmarkStart w:id="267" w:name="_Toc184308059"/>
      <w:bookmarkEnd w:id="267"/>
      <w:bookmarkStart w:id="268" w:name="_Toc184310297"/>
      <w:bookmarkEnd w:id="268"/>
      <w:bookmarkStart w:id="269" w:name="_Toc184314425"/>
      <w:bookmarkEnd w:id="269"/>
      <w:bookmarkStart w:id="270" w:name="_Toc184313301"/>
      <w:bookmarkEnd w:id="270"/>
      <w:bookmarkStart w:id="271" w:name="_Toc184310343"/>
      <w:bookmarkEnd w:id="271"/>
      <w:bookmarkStart w:id="272" w:name="_Toc184314469"/>
      <w:bookmarkEnd w:id="272"/>
      <w:bookmarkStart w:id="273" w:name="_Toc184313277"/>
      <w:bookmarkEnd w:id="273"/>
      <w:bookmarkStart w:id="274" w:name="_Toc184310341"/>
      <w:bookmarkEnd w:id="274"/>
      <w:bookmarkStart w:id="275" w:name="_Toc184310285"/>
      <w:bookmarkEnd w:id="275"/>
      <w:bookmarkStart w:id="276" w:name="_Toc184312079"/>
      <w:bookmarkEnd w:id="276"/>
      <w:bookmarkStart w:id="277" w:name="_Toc184308060"/>
      <w:bookmarkEnd w:id="277"/>
      <w:bookmarkStart w:id="278" w:name="_Toc184314434"/>
      <w:bookmarkEnd w:id="278"/>
      <w:bookmarkStart w:id="279" w:name="_Toc184308067"/>
      <w:bookmarkEnd w:id="279"/>
      <w:bookmarkStart w:id="280" w:name="_Toc184313240"/>
      <w:bookmarkEnd w:id="280"/>
      <w:bookmarkStart w:id="281" w:name="_Toc184312108"/>
      <w:bookmarkEnd w:id="281"/>
      <w:bookmarkStart w:id="282" w:name="_Toc184312137"/>
      <w:bookmarkEnd w:id="282"/>
      <w:bookmarkStart w:id="283" w:name="_Toc184312076"/>
      <w:bookmarkEnd w:id="283"/>
      <w:bookmarkStart w:id="284" w:name="_Toc184314422"/>
      <w:bookmarkEnd w:id="284"/>
      <w:bookmarkStart w:id="285" w:name="_Toc184314472"/>
      <w:bookmarkEnd w:id="285"/>
      <w:bookmarkStart w:id="286" w:name="_Toc184312138"/>
      <w:bookmarkEnd w:id="286"/>
      <w:bookmarkStart w:id="287" w:name="_Toc184308062"/>
      <w:bookmarkEnd w:id="287"/>
      <w:bookmarkStart w:id="288" w:name="_Toc184310275"/>
      <w:bookmarkEnd w:id="288"/>
      <w:bookmarkStart w:id="289" w:name="_Toc184313252"/>
      <w:bookmarkEnd w:id="289"/>
      <w:bookmarkStart w:id="290" w:name="_Toc184314459"/>
      <w:bookmarkEnd w:id="290"/>
      <w:bookmarkStart w:id="291" w:name="_Toc184313264"/>
      <w:bookmarkEnd w:id="291"/>
      <w:bookmarkStart w:id="292" w:name="_Toc184314464"/>
      <w:bookmarkEnd w:id="292"/>
      <w:bookmarkStart w:id="293" w:name="_Toc184312134"/>
      <w:bookmarkEnd w:id="293"/>
      <w:bookmarkStart w:id="294" w:name="_Toc184314461"/>
      <w:bookmarkEnd w:id="294"/>
      <w:bookmarkStart w:id="295" w:name="_Toc184312130"/>
      <w:bookmarkEnd w:id="295"/>
      <w:bookmarkStart w:id="296" w:name="_Toc184314473"/>
      <w:bookmarkEnd w:id="296"/>
      <w:bookmarkStart w:id="297" w:name="_Toc184312072"/>
      <w:bookmarkEnd w:id="297"/>
      <w:bookmarkStart w:id="298" w:name="_Toc184310311"/>
      <w:bookmarkEnd w:id="298"/>
      <w:bookmarkStart w:id="299" w:name="_Toc184310322"/>
      <w:bookmarkEnd w:id="299"/>
      <w:bookmarkStart w:id="300" w:name="_Toc184313269"/>
      <w:bookmarkEnd w:id="300"/>
      <w:bookmarkStart w:id="301" w:name="_Toc184308042"/>
      <w:bookmarkEnd w:id="301"/>
      <w:bookmarkStart w:id="302" w:name="_Toc184308078"/>
      <w:bookmarkEnd w:id="302"/>
      <w:bookmarkStart w:id="303" w:name="_Toc184310342"/>
      <w:bookmarkEnd w:id="303"/>
      <w:bookmarkStart w:id="304" w:name="_Toc184308089"/>
      <w:bookmarkEnd w:id="304"/>
      <w:bookmarkStart w:id="305" w:name="_Toc184312102"/>
      <w:bookmarkEnd w:id="305"/>
      <w:bookmarkStart w:id="306" w:name="_Toc184310306"/>
      <w:bookmarkEnd w:id="306"/>
      <w:bookmarkStart w:id="307" w:name="_Toc184310332"/>
      <w:bookmarkEnd w:id="307"/>
      <w:bookmarkStart w:id="308" w:name="_Toc184313250"/>
      <w:bookmarkEnd w:id="308"/>
      <w:bookmarkStart w:id="309" w:name="_Toc184310317"/>
      <w:bookmarkEnd w:id="309"/>
      <w:bookmarkStart w:id="310" w:name="_Toc184313289"/>
      <w:bookmarkEnd w:id="310"/>
      <w:bookmarkStart w:id="311" w:name="_Toc184312078"/>
      <w:bookmarkEnd w:id="311"/>
      <w:bookmarkStart w:id="312" w:name="_Toc184313253"/>
      <w:bookmarkEnd w:id="312"/>
      <w:bookmarkStart w:id="313" w:name="_Toc184313257"/>
      <w:bookmarkEnd w:id="313"/>
      <w:bookmarkStart w:id="314" w:name="_Toc184312122"/>
      <w:bookmarkEnd w:id="314"/>
      <w:bookmarkStart w:id="315" w:name="_Toc184312103"/>
      <w:bookmarkEnd w:id="315"/>
      <w:bookmarkStart w:id="316" w:name="_Toc184310274"/>
      <w:bookmarkEnd w:id="316"/>
      <w:bookmarkStart w:id="317" w:name="_Toc184312081"/>
      <w:bookmarkEnd w:id="317"/>
      <w:bookmarkStart w:id="318" w:name="_Toc184308077"/>
      <w:bookmarkEnd w:id="318"/>
      <w:bookmarkStart w:id="319" w:name="_Toc184313272"/>
      <w:bookmarkEnd w:id="319"/>
      <w:bookmarkStart w:id="320" w:name="_Toc184312117"/>
      <w:bookmarkEnd w:id="320"/>
      <w:bookmarkStart w:id="321" w:name="_Toc184312091"/>
      <w:bookmarkEnd w:id="321"/>
      <w:bookmarkStart w:id="322" w:name="_Toc184312067"/>
      <w:bookmarkEnd w:id="322"/>
      <w:bookmarkStart w:id="323" w:name="_Toc184312090"/>
      <w:bookmarkEnd w:id="323"/>
      <w:bookmarkStart w:id="324" w:name="_Toc184314450"/>
      <w:bookmarkEnd w:id="324"/>
      <w:bookmarkStart w:id="325" w:name="_Toc184313297"/>
      <w:bookmarkEnd w:id="325"/>
      <w:bookmarkStart w:id="326" w:name="_Toc184310328"/>
      <w:bookmarkEnd w:id="326"/>
      <w:bookmarkStart w:id="327" w:name="_Toc184314411"/>
      <w:bookmarkEnd w:id="327"/>
      <w:bookmarkStart w:id="328" w:name="_Toc184312123"/>
      <w:bookmarkEnd w:id="328"/>
      <w:bookmarkStart w:id="329" w:name="_Toc184312075"/>
      <w:bookmarkEnd w:id="329"/>
      <w:bookmarkStart w:id="330" w:name="_Toc184310323"/>
      <w:bookmarkEnd w:id="330"/>
      <w:bookmarkStart w:id="331" w:name="_Toc184308083"/>
      <w:bookmarkEnd w:id="331"/>
      <w:bookmarkStart w:id="332" w:name="_Toc184312139"/>
      <w:bookmarkEnd w:id="332"/>
      <w:bookmarkStart w:id="333" w:name="_Toc184308045"/>
      <w:bookmarkEnd w:id="333"/>
      <w:bookmarkStart w:id="334" w:name="_Toc184312083"/>
      <w:bookmarkEnd w:id="334"/>
      <w:bookmarkStart w:id="335" w:name="_Toc184310331"/>
      <w:bookmarkEnd w:id="335"/>
      <w:bookmarkStart w:id="336" w:name="_Toc184313241"/>
      <w:bookmarkEnd w:id="336"/>
      <w:bookmarkStart w:id="337" w:name="_Toc184313262"/>
      <w:bookmarkEnd w:id="337"/>
      <w:bookmarkStart w:id="338" w:name="_Toc184314480"/>
      <w:bookmarkEnd w:id="338"/>
      <w:bookmarkStart w:id="339" w:name="_Toc184310293"/>
      <w:bookmarkEnd w:id="339"/>
      <w:bookmarkStart w:id="340" w:name="_Toc184310289"/>
      <w:bookmarkEnd w:id="340"/>
      <w:bookmarkStart w:id="341" w:name="_Toc184310290"/>
      <w:bookmarkEnd w:id="341"/>
      <w:bookmarkStart w:id="342" w:name="_Toc184308074"/>
      <w:bookmarkEnd w:id="342"/>
      <w:bookmarkStart w:id="343" w:name="_Toc184314482"/>
      <w:bookmarkEnd w:id="343"/>
      <w:bookmarkStart w:id="344" w:name="_Toc184308082"/>
      <w:bookmarkEnd w:id="344"/>
      <w:bookmarkStart w:id="345" w:name="_Toc184310320"/>
      <w:bookmarkEnd w:id="345"/>
      <w:bookmarkStart w:id="346" w:name="_Toc184308057"/>
      <w:bookmarkEnd w:id="346"/>
      <w:bookmarkStart w:id="347" w:name="_Toc184313286"/>
      <w:bookmarkEnd w:id="347"/>
      <w:bookmarkStart w:id="348" w:name="_Toc184312068"/>
      <w:bookmarkEnd w:id="348"/>
      <w:bookmarkStart w:id="349" w:name="_Toc184308092"/>
      <w:bookmarkEnd w:id="349"/>
      <w:bookmarkStart w:id="350" w:name="_Toc184308075"/>
      <w:bookmarkEnd w:id="350"/>
      <w:bookmarkStart w:id="351" w:name="_Toc184310292"/>
      <w:bookmarkEnd w:id="351"/>
      <w:bookmarkStart w:id="352" w:name="_Toc184310321"/>
      <w:bookmarkEnd w:id="352"/>
      <w:bookmarkStart w:id="353" w:name="_Toc184310326"/>
      <w:bookmarkEnd w:id="353"/>
      <w:bookmarkStart w:id="354" w:name="_Toc184308056"/>
      <w:bookmarkEnd w:id="354"/>
      <w:bookmarkStart w:id="355" w:name="_Toc184314445"/>
      <w:bookmarkEnd w:id="355"/>
      <w:bookmarkStart w:id="356" w:name="_Toc184308044"/>
      <w:bookmarkEnd w:id="356"/>
      <w:bookmarkStart w:id="357" w:name="_Toc184314455"/>
      <w:bookmarkEnd w:id="357"/>
      <w:bookmarkStart w:id="358" w:name="_Toc184310276"/>
      <w:bookmarkEnd w:id="358"/>
      <w:bookmarkStart w:id="359" w:name="_Toc184313296"/>
      <w:bookmarkEnd w:id="359"/>
      <w:bookmarkStart w:id="360" w:name="_Toc184314437"/>
      <w:bookmarkEnd w:id="360"/>
      <w:bookmarkStart w:id="361" w:name="_Toc184314429"/>
      <w:bookmarkEnd w:id="361"/>
      <w:bookmarkStart w:id="362" w:name="_Toc184313274"/>
      <w:bookmarkEnd w:id="362"/>
      <w:bookmarkStart w:id="363" w:name="_Toc184312133"/>
      <w:bookmarkEnd w:id="363"/>
      <w:bookmarkStart w:id="364" w:name="_Toc184313261"/>
      <w:bookmarkEnd w:id="364"/>
      <w:bookmarkStart w:id="365" w:name="_Toc184313268"/>
      <w:bookmarkEnd w:id="365"/>
      <w:bookmarkStart w:id="366" w:name="_Toc184314410"/>
      <w:bookmarkEnd w:id="366"/>
      <w:bookmarkStart w:id="367" w:name="_Toc184308049"/>
      <w:bookmarkEnd w:id="367"/>
      <w:bookmarkStart w:id="368" w:name="_Toc184312106"/>
      <w:bookmarkEnd w:id="368"/>
      <w:bookmarkStart w:id="369" w:name="_Toc184308095"/>
      <w:bookmarkEnd w:id="369"/>
      <w:bookmarkStart w:id="370" w:name="_Toc184313249"/>
      <w:bookmarkEnd w:id="370"/>
      <w:bookmarkStart w:id="371" w:name="_Toc184314456"/>
      <w:bookmarkEnd w:id="371"/>
      <w:bookmarkStart w:id="372" w:name="_Toc184313243"/>
      <w:bookmarkEnd w:id="372"/>
      <w:bookmarkStart w:id="373" w:name="_Toc184313280"/>
      <w:bookmarkEnd w:id="373"/>
      <w:bookmarkStart w:id="374" w:name="_Toc184308052"/>
      <w:bookmarkEnd w:id="374"/>
      <w:bookmarkStart w:id="375" w:name="_Toc184312087"/>
      <w:bookmarkEnd w:id="375"/>
      <w:bookmarkStart w:id="376" w:name="_Toc184312105"/>
      <w:bookmarkEnd w:id="376"/>
      <w:bookmarkStart w:id="377" w:name="_Toc184308093"/>
      <w:bookmarkEnd w:id="377"/>
      <w:bookmarkStart w:id="378" w:name="_Toc184314441"/>
      <w:bookmarkEnd w:id="378"/>
      <w:bookmarkStart w:id="379" w:name="_Toc184308055"/>
      <w:bookmarkEnd w:id="379"/>
      <w:bookmarkStart w:id="380" w:name="_Toc184310303"/>
      <w:bookmarkEnd w:id="380"/>
      <w:bookmarkStart w:id="381" w:name="_Toc184314475"/>
      <w:bookmarkEnd w:id="381"/>
      <w:bookmarkStart w:id="382" w:name="_Toc184314418"/>
      <w:bookmarkEnd w:id="382"/>
      <w:bookmarkStart w:id="383" w:name="_Toc184314477"/>
      <w:bookmarkEnd w:id="383"/>
      <w:bookmarkStart w:id="384" w:name="_Toc184312125"/>
      <w:bookmarkEnd w:id="384"/>
      <w:bookmarkStart w:id="385" w:name="_Toc184312093"/>
      <w:bookmarkEnd w:id="385"/>
      <w:bookmarkStart w:id="386" w:name="_Toc184310340"/>
      <w:bookmarkEnd w:id="386"/>
      <w:bookmarkStart w:id="387" w:name="_Toc184313292"/>
      <w:bookmarkEnd w:id="387"/>
      <w:bookmarkStart w:id="388" w:name="_Toc184310314"/>
      <w:bookmarkEnd w:id="388"/>
      <w:bookmarkStart w:id="389" w:name="_Toc184310284"/>
      <w:bookmarkEnd w:id="389"/>
      <w:bookmarkStart w:id="390" w:name="_Toc184314457"/>
      <w:bookmarkEnd w:id="390"/>
      <w:bookmarkStart w:id="391" w:name="_Toc184312074"/>
      <w:bookmarkEnd w:id="391"/>
      <w:bookmarkStart w:id="392" w:name="_Toc184308105"/>
      <w:bookmarkEnd w:id="392"/>
      <w:bookmarkStart w:id="393" w:name="_Toc184310287"/>
      <w:bookmarkEnd w:id="393"/>
      <w:bookmarkStart w:id="394" w:name="_Toc184314439"/>
      <w:bookmarkEnd w:id="394"/>
      <w:bookmarkStart w:id="395" w:name="_Toc184314426"/>
      <w:bookmarkEnd w:id="395"/>
      <w:bookmarkStart w:id="396" w:name="_Toc184314423"/>
      <w:bookmarkEnd w:id="396"/>
      <w:bookmarkStart w:id="397" w:name="_Toc184308076"/>
      <w:bookmarkEnd w:id="397"/>
      <w:bookmarkStart w:id="398" w:name="_Toc184312080"/>
      <w:bookmarkEnd w:id="398"/>
      <w:bookmarkStart w:id="399" w:name="_Toc184314463"/>
      <w:bookmarkEnd w:id="399"/>
      <w:bookmarkStart w:id="400" w:name="_Toc184313254"/>
      <w:bookmarkEnd w:id="400"/>
      <w:bookmarkStart w:id="401" w:name="_Toc184313271"/>
      <w:bookmarkEnd w:id="401"/>
      <w:bookmarkStart w:id="402" w:name="_Toc184312112"/>
      <w:bookmarkEnd w:id="402"/>
      <w:bookmarkStart w:id="403" w:name="_Toc184312094"/>
      <w:bookmarkEnd w:id="403"/>
      <w:bookmarkStart w:id="404" w:name="_Toc184308107"/>
      <w:bookmarkEnd w:id="404"/>
      <w:bookmarkStart w:id="405" w:name="_Toc184314424"/>
      <w:bookmarkEnd w:id="405"/>
      <w:bookmarkStart w:id="406" w:name="_Toc184313307"/>
      <w:bookmarkEnd w:id="406"/>
      <w:bookmarkStart w:id="407" w:name="_Toc184308087"/>
      <w:bookmarkEnd w:id="407"/>
      <w:bookmarkStart w:id="408" w:name="_Toc184313279"/>
      <w:bookmarkEnd w:id="408"/>
      <w:bookmarkStart w:id="409" w:name="_Toc184308090"/>
      <w:bookmarkEnd w:id="409"/>
      <w:bookmarkStart w:id="410" w:name="_Toc184312135"/>
      <w:bookmarkEnd w:id="410"/>
      <w:bookmarkStart w:id="411" w:name="_Toc184313248"/>
      <w:bookmarkEnd w:id="411"/>
      <w:bookmarkStart w:id="412" w:name="_Toc184312100"/>
      <w:bookmarkEnd w:id="412"/>
      <w:bookmarkStart w:id="413" w:name="_Toc184313306"/>
      <w:bookmarkEnd w:id="413"/>
      <w:bookmarkStart w:id="414" w:name="_Toc184312077"/>
      <w:bookmarkEnd w:id="414"/>
      <w:bookmarkStart w:id="415" w:name="_Toc184313244"/>
      <w:bookmarkEnd w:id="415"/>
      <w:r>
        <w:rPr>
          <w:rFonts w:hint="eastAsia" w:ascii="宋体" w:hAnsi="宋体" w:cs="宋体"/>
          <w:b/>
          <w:sz w:val="36"/>
          <w:szCs w:val="36"/>
        </w:rPr>
        <w:t xml:space="preserve"> 评标办法</w:t>
      </w:r>
      <w:bookmarkEnd w:id="38"/>
    </w:p>
    <w:p>
      <w:pPr>
        <w:snapToGrid w:val="0"/>
        <w:spacing w:line="360" w:lineRule="auto"/>
        <w:rPr>
          <w:rFonts w:ascii="宋体" w:hAnsi="宋体" w:cs="宋体"/>
          <w:b/>
          <w:sz w:val="24"/>
        </w:rPr>
      </w:pPr>
    </w:p>
    <w:p>
      <w:pPr>
        <w:snapToGrid w:val="0"/>
        <w:spacing w:line="360" w:lineRule="auto"/>
        <w:rPr>
          <w:rFonts w:ascii="宋体" w:hAnsi="宋体" w:cs="宋体"/>
          <w:b/>
          <w:sz w:val="24"/>
        </w:rPr>
      </w:pPr>
      <w:r>
        <w:rPr>
          <w:rFonts w:hint="eastAsia" w:ascii="宋体" w:hAnsi="宋体" w:cs="宋体"/>
          <w:b/>
          <w:sz w:val="24"/>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24"/>
        </w:rPr>
        <w:t>二、评标标准</w:t>
      </w:r>
    </w:p>
    <w:p>
      <w:pPr>
        <w:spacing w:line="360" w:lineRule="auto"/>
        <w:ind w:firstLine="420"/>
        <w:rPr>
          <w:rFonts w:ascii="宋体" w:hAnsi="宋体" w:cs="宋体"/>
          <w:sz w:val="24"/>
        </w:rPr>
      </w:pPr>
      <w:r>
        <w:rPr>
          <w:rFonts w:hint="eastAsia" w:ascii="宋体" w:hAnsi="宋体" w:cs="宋体"/>
          <w:sz w:val="24"/>
        </w:rPr>
        <w:t>本次评标采用综合评分法，评标委员会根据评审情况，对投标人的报价，投标人综合实力、技术、信誉、业绩和售后服务等方面进行审核。评标委员会根据评审情况，对各投标人的报价进行统一打分，对各投标人的资信、商务及技术由评标委员会成员在分值范围内进行独立打分。所有分值均在小数点后保留2位小数。若评标委员会的评分表中计分不在分值范围内的，则该评分表无效。</w:t>
      </w:r>
    </w:p>
    <w:p>
      <w:pPr>
        <w:spacing w:line="360" w:lineRule="auto"/>
        <w:ind w:firstLine="420"/>
        <w:rPr>
          <w:rFonts w:ascii="宋体" w:hAnsi="宋体" w:cs="宋体"/>
          <w:sz w:val="24"/>
        </w:rPr>
      </w:pPr>
      <w:r>
        <w:rPr>
          <w:rFonts w:hint="eastAsia" w:ascii="宋体" w:hAnsi="宋体" w:cs="宋体"/>
          <w:sz w:val="24"/>
        </w:rPr>
        <w:t>每个投标人最终得分=商务报价分+资信分+技术分</w:t>
      </w:r>
    </w:p>
    <w:p>
      <w:pPr>
        <w:keepNext/>
        <w:keepLines/>
        <w:spacing w:line="360" w:lineRule="auto"/>
        <w:ind w:firstLine="422"/>
        <w:outlineLvl w:val="2"/>
        <w:rPr>
          <w:rFonts w:ascii="宋体" w:hAnsi="宋体" w:cs="宋体"/>
          <w:sz w:val="24"/>
        </w:rPr>
      </w:pPr>
      <w:r>
        <w:rPr>
          <w:rFonts w:hint="eastAsia" w:ascii="宋体" w:hAnsi="宋体" w:cs="宋体"/>
          <w:sz w:val="24"/>
        </w:rPr>
        <w:t>评标委员会推荐得分最高的投标人为第一中标候选人、得分次高的投标人为第二中标候选人，并编写评标报告。得分相同的，按投标报价由低到高顺序排列。得分且投标报价相同的并列。投标文件满足招标文件全部实质性要求，且按照评审因素的量化指标评审得分最高的投标人为排名第一的中标候选人。评审因素的量化指标评审得分也相同的则抽签决定。</w:t>
      </w:r>
    </w:p>
    <w:p>
      <w:pPr>
        <w:keepNext/>
        <w:keepLines/>
        <w:spacing w:line="360" w:lineRule="auto"/>
        <w:ind w:firstLine="422"/>
        <w:outlineLvl w:val="2"/>
        <w:rPr>
          <w:rFonts w:ascii="宋体" w:hAnsi="宋体" w:cs="宋体"/>
          <w:b/>
          <w:bCs/>
          <w:kern w:val="0"/>
          <w:sz w:val="24"/>
        </w:rPr>
      </w:pPr>
      <w:r>
        <w:rPr>
          <w:rFonts w:hint="eastAsia" w:ascii="宋体" w:hAnsi="宋体" w:cs="宋体"/>
          <w:b/>
          <w:bCs/>
          <w:kern w:val="0"/>
          <w:sz w:val="24"/>
        </w:rPr>
        <w:t>2.1 商务报价分15分</w:t>
      </w:r>
    </w:p>
    <w:p>
      <w:pPr>
        <w:spacing w:line="360" w:lineRule="auto"/>
        <w:ind w:firstLine="420"/>
        <w:rPr>
          <w:rFonts w:ascii="宋体" w:hAnsi="宋体" w:cs="宋体"/>
          <w:sz w:val="24"/>
        </w:rPr>
      </w:pPr>
      <w:r>
        <w:rPr>
          <w:rFonts w:hint="eastAsia" w:ascii="宋体" w:hAnsi="宋体" w:cs="宋体"/>
          <w:sz w:val="24"/>
        </w:rPr>
        <w:t>商务报价评分将在有效投标人范围内进行，最高得15分，小数点后保留2位小数。满足招标文件要求且投标价格最低的投标报价为评标基准价，其商务报价分为满分。其他投标人的价格分按照下列公式计算：</w:t>
      </w:r>
    </w:p>
    <w:p>
      <w:pPr>
        <w:spacing w:line="360" w:lineRule="auto"/>
        <w:ind w:firstLine="420"/>
        <w:rPr>
          <w:rFonts w:ascii="宋体" w:hAnsi="宋体" w:cs="宋体"/>
          <w:sz w:val="24"/>
        </w:rPr>
      </w:pPr>
      <w:r>
        <w:rPr>
          <w:rFonts w:hint="eastAsia" w:ascii="宋体" w:hAnsi="宋体" w:cs="宋体"/>
          <w:sz w:val="24"/>
        </w:rPr>
        <w:t>商务报价分=(评标基准价／投标报价)×15。</w:t>
      </w:r>
    </w:p>
    <w:p>
      <w:pPr>
        <w:spacing w:line="360" w:lineRule="auto"/>
        <w:ind w:firstLine="420"/>
        <w:rPr>
          <w:rFonts w:ascii="宋体" w:hAnsi="宋体" w:cs="宋体"/>
          <w:sz w:val="24"/>
        </w:rPr>
      </w:pPr>
      <w:r>
        <w:rPr>
          <w:rFonts w:hint="eastAsia" w:ascii="宋体" w:hAnsi="宋体" w:cs="宋体"/>
          <w:sz w:val="24"/>
        </w:rPr>
        <w:t>在报价评审时对小型和微型企业（监狱企业、残疾人福利性单位视同小微企业,须按要求提供相关材料，未提供或提供不全均不给予价格扣除）的投标报价给予相关价格扣除政策优惠，以扣除后的价格作为评标价。</w:t>
      </w:r>
    </w:p>
    <w:p>
      <w:pPr>
        <w:pStyle w:val="25"/>
        <w:rPr>
          <w:rFonts w:hAnsi="宋体" w:cs="宋体"/>
        </w:rPr>
      </w:pPr>
      <w:r>
        <w:rPr>
          <w:rFonts w:hint="eastAsia" w:hAnsi="宋体" w:cs="宋体"/>
        </w:rPr>
        <w:t>此项由评标委员会集体核实后统一打分。</w:t>
      </w:r>
    </w:p>
    <w:p>
      <w:pPr>
        <w:keepNext/>
        <w:keepLines/>
        <w:spacing w:line="360" w:lineRule="auto"/>
        <w:ind w:firstLine="422"/>
        <w:outlineLvl w:val="2"/>
        <w:rPr>
          <w:rFonts w:ascii="宋体" w:hAnsi="宋体" w:cs="宋体"/>
          <w:b/>
          <w:bCs/>
          <w:kern w:val="0"/>
          <w:sz w:val="24"/>
        </w:rPr>
      </w:pPr>
      <w:r>
        <w:rPr>
          <w:rFonts w:hint="eastAsia" w:ascii="宋体" w:hAnsi="宋体" w:cs="宋体"/>
          <w:b/>
          <w:bCs/>
          <w:kern w:val="0"/>
          <w:sz w:val="24"/>
        </w:rPr>
        <w:t>2.2 资信评分3分</w:t>
      </w:r>
    </w:p>
    <w:p>
      <w:pPr>
        <w:spacing w:line="360" w:lineRule="auto"/>
        <w:ind w:firstLine="420"/>
        <w:rPr>
          <w:rFonts w:ascii="宋体" w:hAnsi="宋体" w:cs="宋体"/>
          <w:sz w:val="24"/>
        </w:rPr>
      </w:pPr>
      <w:r>
        <w:rPr>
          <w:rFonts w:hint="eastAsia" w:ascii="宋体" w:hAnsi="宋体" w:cs="宋体"/>
          <w:sz w:val="24"/>
        </w:rPr>
        <w:t>对投标人自2019年08月份以来具有同类业绩情况进行评价打分，每个得0.5分，最高1分；（业绩证明材料必须为合同复印件，时间以合同签订时间为准。）（0-1分）。</w:t>
      </w:r>
    </w:p>
    <w:p>
      <w:pPr>
        <w:pStyle w:val="2"/>
        <w:spacing w:line="360" w:lineRule="auto"/>
        <w:ind w:firstLine="480" w:firstLineChars="200"/>
        <w:rPr>
          <w:rFonts w:hAnsi="宋体"/>
          <w:kern w:val="2"/>
        </w:rPr>
      </w:pPr>
      <w:r>
        <w:rPr>
          <w:rFonts w:hint="eastAsia" w:hAnsi="宋体"/>
          <w:kern w:val="2"/>
        </w:rPr>
        <w:t>投标人具有有效的质量标准管理体系（ISO9001）认证、环境标准管理体系（ISO14001）认证，每提供一个得1分，最高2分，不提供不得分。</w:t>
      </w:r>
    </w:p>
    <w:p>
      <w:pPr>
        <w:keepNext/>
        <w:keepLines/>
        <w:spacing w:line="360" w:lineRule="auto"/>
        <w:ind w:firstLine="422"/>
        <w:outlineLvl w:val="2"/>
        <w:rPr>
          <w:rFonts w:ascii="宋体" w:hAnsi="宋体" w:cs="宋体"/>
          <w:b/>
          <w:bCs/>
          <w:kern w:val="0"/>
          <w:sz w:val="24"/>
        </w:rPr>
      </w:pPr>
      <w:r>
        <w:rPr>
          <w:rFonts w:hint="eastAsia" w:ascii="宋体" w:hAnsi="宋体" w:cs="宋体"/>
          <w:b/>
          <w:bCs/>
          <w:kern w:val="0"/>
          <w:sz w:val="24"/>
        </w:rPr>
        <w:t>2.3 商务技术评分82分</w:t>
      </w:r>
    </w:p>
    <w:p>
      <w:pPr>
        <w:spacing w:line="360" w:lineRule="auto"/>
        <w:ind w:firstLine="420"/>
        <w:rPr>
          <w:rFonts w:ascii="宋体" w:hAnsi="宋体" w:cs="宋体"/>
          <w:sz w:val="24"/>
        </w:rPr>
      </w:pPr>
      <w:r>
        <w:rPr>
          <w:rFonts w:hint="eastAsia" w:ascii="宋体" w:hAnsi="宋体" w:cs="宋体"/>
          <w:sz w:val="24"/>
        </w:rPr>
        <w:t>该评分分值由评标委员会根据评审情况在分值范围内独立打分（具体分值设定详见表格），小数点后保留2位小数。每个投标人的最终技术得分为评标委员会打分的算术平均值。</w:t>
      </w:r>
    </w:p>
    <w:p>
      <w:pPr>
        <w:pStyle w:val="26"/>
        <w:rPr>
          <w:rFonts w:ascii="宋体" w:hAnsi="宋体" w:cs="宋体"/>
          <w:sz w:val="24"/>
        </w:rPr>
      </w:pPr>
    </w:p>
    <w:tbl>
      <w:tblPr>
        <w:tblStyle w:val="63"/>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353"/>
        <w:gridCol w:w="897"/>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17" w:type="dxa"/>
            <w:vAlign w:val="center"/>
          </w:tcPr>
          <w:p>
            <w:pPr>
              <w:snapToGrid w:val="0"/>
              <w:jc w:val="center"/>
              <w:rPr>
                <w:sz w:val="24"/>
              </w:rPr>
            </w:pPr>
            <w:r>
              <w:rPr>
                <w:sz w:val="24"/>
              </w:rPr>
              <w:t>序号</w:t>
            </w:r>
          </w:p>
        </w:tc>
        <w:tc>
          <w:tcPr>
            <w:tcW w:w="6353" w:type="dxa"/>
            <w:vAlign w:val="center"/>
          </w:tcPr>
          <w:p>
            <w:pPr>
              <w:snapToGrid w:val="0"/>
              <w:jc w:val="center"/>
              <w:rPr>
                <w:sz w:val="24"/>
              </w:rPr>
            </w:pPr>
            <w:r>
              <w:rPr>
                <w:sz w:val="24"/>
              </w:rPr>
              <w:t>评分项目</w:t>
            </w:r>
          </w:p>
        </w:tc>
        <w:tc>
          <w:tcPr>
            <w:tcW w:w="897" w:type="dxa"/>
            <w:vAlign w:val="center"/>
          </w:tcPr>
          <w:p>
            <w:pPr>
              <w:snapToGrid w:val="0"/>
              <w:jc w:val="center"/>
              <w:rPr>
                <w:sz w:val="24"/>
              </w:rPr>
            </w:pPr>
            <w:r>
              <w:rPr>
                <w:sz w:val="24"/>
              </w:rPr>
              <w:t>分值范围</w:t>
            </w:r>
          </w:p>
        </w:tc>
        <w:tc>
          <w:tcPr>
            <w:tcW w:w="1212" w:type="dxa"/>
            <w:vAlign w:val="center"/>
          </w:tcPr>
          <w:p>
            <w:pPr>
              <w:snapToGrid w:val="0"/>
              <w:jc w:val="center"/>
              <w:rPr>
                <w:sz w:val="24"/>
              </w:rPr>
            </w:pPr>
            <w:r>
              <w:rPr>
                <w:sz w:val="24"/>
              </w:rPr>
              <w:t>评分类型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17" w:type="dxa"/>
            <w:vAlign w:val="center"/>
          </w:tcPr>
          <w:p>
            <w:pPr>
              <w:snapToGrid w:val="0"/>
              <w:spacing w:line="360" w:lineRule="auto"/>
              <w:jc w:val="center"/>
              <w:rPr>
                <w:sz w:val="24"/>
              </w:rPr>
            </w:pPr>
            <w:r>
              <w:rPr>
                <w:sz w:val="24"/>
              </w:rPr>
              <w:t>1</w:t>
            </w:r>
          </w:p>
        </w:tc>
        <w:tc>
          <w:tcPr>
            <w:tcW w:w="6353" w:type="dxa"/>
            <w:vAlign w:val="center"/>
          </w:tcPr>
          <w:p>
            <w:pPr>
              <w:snapToGrid w:val="0"/>
              <w:spacing w:line="360" w:lineRule="auto"/>
              <w:rPr>
                <w:sz w:val="24"/>
              </w:rPr>
            </w:pPr>
            <w:r>
              <w:rPr>
                <w:sz w:val="24"/>
              </w:rPr>
              <w:t>对于采购人项目需求的分析把握及了解程度，项目重难点分析及解决方案：分析全面、准确5分；分析基本合理3分；分析欠全面合理1分；没有不得分</w:t>
            </w:r>
          </w:p>
        </w:tc>
        <w:tc>
          <w:tcPr>
            <w:tcW w:w="897" w:type="dxa"/>
            <w:vAlign w:val="center"/>
          </w:tcPr>
          <w:p>
            <w:pPr>
              <w:snapToGrid w:val="0"/>
              <w:spacing w:line="360" w:lineRule="auto"/>
              <w:jc w:val="left"/>
              <w:rPr>
                <w:sz w:val="24"/>
              </w:rPr>
            </w:pPr>
            <w:r>
              <w:rPr>
                <w:sz w:val="24"/>
              </w:rPr>
              <w:t>0-5分</w:t>
            </w:r>
          </w:p>
        </w:tc>
        <w:tc>
          <w:tcPr>
            <w:tcW w:w="1212" w:type="dxa"/>
            <w:vAlign w:val="center"/>
          </w:tcPr>
          <w:p>
            <w:pPr>
              <w:snapToGrid w:val="0"/>
              <w:spacing w:line="360" w:lineRule="auto"/>
              <w:jc w:val="left"/>
              <w:rPr>
                <w:sz w:val="24"/>
              </w:rPr>
            </w:pPr>
            <w:r>
              <w:rPr>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7" w:type="dxa"/>
            <w:vAlign w:val="center"/>
          </w:tcPr>
          <w:p>
            <w:pPr>
              <w:snapToGrid w:val="0"/>
              <w:spacing w:line="360" w:lineRule="auto"/>
              <w:jc w:val="center"/>
              <w:rPr>
                <w:sz w:val="24"/>
              </w:rPr>
            </w:pPr>
            <w:r>
              <w:rPr>
                <w:sz w:val="24"/>
              </w:rPr>
              <w:t>2</w:t>
            </w:r>
          </w:p>
        </w:tc>
        <w:tc>
          <w:tcPr>
            <w:tcW w:w="6353" w:type="dxa"/>
            <w:vAlign w:val="center"/>
          </w:tcPr>
          <w:p>
            <w:pPr>
              <w:numPr>
                <w:ilvl w:val="0"/>
                <w:numId w:val="4"/>
              </w:numPr>
              <w:snapToGrid w:val="0"/>
              <w:spacing w:line="360" w:lineRule="auto"/>
              <w:rPr>
                <w:rFonts w:eastAsiaTheme="minorEastAsia"/>
                <w:b/>
                <w:bCs/>
                <w:sz w:val="24"/>
              </w:rPr>
            </w:pPr>
            <w:r>
              <w:rPr>
                <w:rFonts w:eastAsiaTheme="minorEastAsia"/>
                <w:b/>
                <w:bCs/>
                <w:sz w:val="24"/>
              </w:rPr>
              <w:t>整体方案情况（0-5分）</w:t>
            </w:r>
          </w:p>
          <w:p>
            <w:pPr>
              <w:numPr>
                <w:ilvl w:val="255"/>
                <w:numId w:val="0"/>
              </w:numPr>
              <w:snapToGrid w:val="0"/>
              <w:spacing w:line="360" w:lineRule="auto"/>
              <w:rPr>
                <w:rFonts w:eastAsiaTheme="minorEastAsia"/>
                <w:sz w:val="24"/>
              </w:rPr>
            </w:pPr>
            <w:r>
              <w:rPr>
                <w:rFonts w:eastAsiaTheme="minorEastAsia"/>
                <w:sz w:val="24"/>
              </w:rPr>
              <w:t>方案内容详实，逻辑缜密，具有针对性，可实施性强的得5分；方案内容较详实，基本能符合采购需要，针对性，可实施性一般的得3分；方案或明显存在缺陷的，得1分；未提供相关描述不得分。</w:t>
            </w:r>
          </w:p>
          <w:p>
            <w:pPr>
              <w:numPr>
                <w:ilvl w:val="0"/>
                <w:numId w:val="4"/>
              </w:numPr>
              <w:snapToGrid w:val="0"/>
              <w:spacing w:line="360" w:lineRule="auto"/>
              <w:rPr>
                <w:rFonts w:eastAsiaTheme="minorEastAsia"/>
                <w:b/>
                <w:bCs/>
                <w:sz w:val="24"/>
              </w:rPr>
            </w:pPr>
            <w:r>
              <w:rPr>
                <w:rFonts w:eastAsiaTheme="minorEastAsia"/>
                <w:b/>
                <w:bCs/>
                <w:sz w:val="24"/>
              </w:rPr>
              <w:t>辐射安全监管技术支持工作</w:t>
            </w:r>
            <w:r>
              <w:rPr>
                <w:rFonts w:eastAsiaTheme="minorEastAsia"/>
                <w:b/>
                <w:bCs/>
                <w:snapToGrid w:val="0"/>
                <w:color w:val="000000"/>
                <w:sz w:val="24"/>
              </w:rPr>
              <w:t>方案</w:t>
            </w:r>
            <w:r>
              <w:rPr>
                <w:rFonts w:eastAsiaTheme="minorEastAsia"/>
                <w:b/>
                <w:bCs/>
                <w:sz w:val="24"/>
              </w:rPr>
              <w:t>（0-18分）</w:t>
            </w:r>
          </w:p>
          <w:p>
            <w:pPr>
              <w:pStyle w:val="256"/>
              <w:numPr>
                <w:ilvl w:val="1"/>
                <w:numId w:val="5"/>
              </w:numPr>
              <w:snapToGrid w:val="0"/>
              <w:ind w:firstLineChars="0"/>
              <w:rPr>
                <w:rFonts w:cs="Times New Roman" w:eastAsiaTheme="minorEastAsia"/>
              </w:rPr>
            </w:pPr>
            <w:r>
              <w:rPr>
                <w:rFonts w:cs="Times New Roman" w:eastAsiaTheme="minorEastAsia"/>
              </w:rPr>
              <w:t xml:space="preserve"> 核技术利用单位监管技术支持方案（0-5分）</w:t>
            </w:r>
          </w:p>
          <w:p>
            <w:pPr>
              <w:numPr>
                <w:ilvl w:val="255"/>
                <w:numId w:val="0"/>
              </w:numPr>
              <w:snapToGrid w:val="0"/>
              <w:spacing w:line="360" w:lineRule="auto"/>
              <w:rPr>
                <w:rFonts w:eastAsiaTheme="minorEastAsia"/>
                <w:sz w:val="24"/>
              </w:rPr>
            </w:pPr>
            <w:r>
              <w:rPr>
                <w:rFonts w:eastAsiaTheme="minorEastAsia"/>
                <w:sz w:val="24"/>
              </w:rPr>
              <w:t>方案内容详实，逻辑缜密，具有针对性，可实施性强的得5分；方案内容较详实，基本能符合采购需要，针对性，可实施性一般的得3分；方案或明显存在缺陷的，得1分；未提供相关描述不得分。</w:t>
            </w:r>
          </w:p>
          <w:p>
            <w:pPr>
              <w:pStyle w:val="256"/>
              <w:numPr>
                <w:ilvl w:val="1"/>
                <w:numId w:val="5"/>
              </w:numPr>
              <w:snapToGrid w:val="0"/>
              <w:ind w:firstLineChars="0"/>
              <w:rPr>
                <w:rFonts w:cs="Times New Roman" w:eastAsiaTheme="minorEastAsia"/>
              </w:rPr>
            </w:pPr>
            <w:r>
              <w:rPr>
                <w:rFonts w:cs="Times New Roman" w:eastAsiaTheme="minorEastAsia"/>
              </w:rPr>
              <w:t xml:space="preserve"> 放射性物品运输监管技术支持方案（0-5分）</w:t>
            </w:r>
          </w:p>
          <w:p>
            <w:pPr>
              <w:numPr>
                <w:ilvl w:val="255"/>
                <w:numId w:val="0"/>
              </w:numPr>
              <w:snapToGrid w:val="0"/>
              <w:spacing w:line="360" w:lineRule="auto"/>
              <w:rPr>
                <w:rFonts w:eastAsiaTheme="minorEastAsia"/>
                <w:sz w:val="24"/>
              </w:rPr>
            </w:pPr>
            <w:r>
              <w:rPr>
                <w:rFonts w:eastAsiaTheme="minorEastAsia"/>
                <w:sz w:val="24"/>
              </w:rPr>
              <w:t>方案内容详实，逻辑缜密，具有针对性，可实施性强的得5分；方案内容较详实，基本能符合采购需要，针对性，可实施性一般的得3分；方案或明显存在缺陷的，得1分；未提供相关描述不得分。</w:t>
            </w:r>
          </w:p>
          <w:p>
            <w:pPr>
              <w:pStyle w:val="256"/>
              <w:numPr>
                <w:ilvl w:val="1"/>
                <w:numId w:val="5"/>
              </w:numPr>
              <w:snapToGrid w:val="0"/>
              <w:ind w:firstLineChars="0"/>
              <w:rPr>
                <w:rFonts w:cs="Times New Roman" w:eastAsiaTheme="minorEastAsia"/>
              </w:rPr>
            </w:pPr>
            <w:r>
              <w:rPr>
                <w:rFonts w:cs="Times New Roman" w:eastAsiaTheme="minorEastAsia"/>
              </w:rPr>
              <w:t xml:space="preserve"> 豁免射线装置、核发许可证等监管技术支持方案（0-5分）</w:t>
            </w:r>
          </w:p>
          <w:p>
            <w:pPr>
              <w:numPr>
                <w:ilvl w:val="255"/>
                <w:numId w:val="0"/>
              </w:numPr>
              <w:snapToGrid w:val="0"/>
              <w:spacing w:line="360" w:lineRule="auto"/>
              <w:rPr>
                <w:rFonts w:eastAsiaTheme="minorEastAsia"/>
                <w:sz w:val="24"/>
              </w:rPr>
            </w:pPr>
            <w:r>
              <w:rPr>
                <w:rFonts w:eastAsiaTheme="minorEastAsia"/>
                <w:sz w:val="24"/>
              </w:rPr>
              <w:t>方案内容详实，逻辑缜密，具有针对性，可实施性强的得5分；方案内容较详实，基本能符合采购需要，针对性，可实施性一般的得3分；方案或明显存在缺陷的，得1分；未提供相关描述不得分。</w:t>
            </w:r>
          </w:p>
          <w:p>
            <w:pPr>
              <w:pStyle w:val="256"/>
              <w:numPr>
                <w:ilvl w:val="1"/>
                <w:numId w:val="5"/>
              </w:numPr>
              <w:snapToGrid w:val="0"/>
              <w:ind w:firstLineChars="0"/>
              <w:rPr>
                <w:rFonts w:cs="Times New Roman" w:eastAsiaTheme="minorEastAsia"/>
              </w:rPr>
            </w:pPr>
            <w:r>
              <w:rPr>
                <w:rFonts w:cs="Times New Roman" w:eastAsiaTheme="minorEastAsia"/>
              </w:rPr>
              <w:t xml:space="preserve"> 人员、设备、车辆等服务方案（0-3分）</w:t>
            </w:r>
          </w:p>
          <w:p>
            <w:pPr>
              <w:numPr>
                <w:ilvl w:val="255"/>
                <w:numId w:val="0"/>
              </w:numPr>
              <w:snapToGrid w:val="0"/>
              <w:spacing w:line="360" w:lineRule="auto"/>
              <w:rPr>
                <w:rFonts w:eastAsiaTheme="minorEastAsia"/>
                <w:sz w:val="24"/>
              </w:rPr>
            </w:pPr>
            <w:r>
              <w:rPr>
                <w:rFonts w:eastAsiaTheme="minorEastAsia"/>
                <w:sz w:val="24"/>
              </w:rPr>
              <w:t>方案内容详实，逻辑缜密，具有针对性，可实施性强的得3分；方案内容较详实，基本能符合采购需要，针对性，可实施性一般的得2分；方案或明显存在缺陷的，得1分；未提供相关描述不得分。</w:t>
            </w:r>
          </w:p>
          <w:p>
            <w:pPr>
              <w:numPr>
                <w:ilvl w:val="0"/>
                <w:numId w:val="4"/>
              </w:numPr>
              <w:snapToGrid w:val="0"/>
              <w:spacing w:line="360" w:lineRule="auto"/>
              <w:rPr>
                <w:rFonts w:eastAsiaTheme="minorEastAsia"/>
                <w:b/>
                <w:bCs/>
                <w:sz w:val="24"/>
              </w:rPr>
            </w:pPr>
            <w:r>
              <w:rPr>
                <w:rFonts w:eastAsiaTheme="minorEastAsia"/>
                <w:b/>
                <w:bCs/>
                <w:sz w:val="24"/>
              </w:rPr>
              <w:t>辐射事故应急处置工作方案（0-10分）</w:t>
            </w:r>
          </w:p>
          <w:p>
            <w:pPr>
              <w:pStyle w:val="256"/>
              <w:numPr>
                <w:ilvl w:val="1"/>
                <w:numId w:val="6"/>
              </w:numPr>
              <w:snapToGrid w:val="0"/>
              <w:ind w:firstLineChars="0"/>
              <w:rPr>
                <w:rFonts w:cs="Times New Roman" w:eastAsiaTheme="minorEastAsia"/>
              </w:rPr>
            </w:pPr>
            <w:r>
              <w:rPr>
                <w:rFonts w:cs="Times New Roman" w:eastAsiaTheme="minorEastAsia"/>
              </w:rPr>
              <w:t xml:space="preserve"> 辐射事故应急</w:t>
            </w:r>
            <w:r>
              <w:rPr>
                <w:rFonts w:hint="eastAsia" w:cs="Times New Roman" w:eastAsiaTheme="minorEastAsia"/>
              </w:rPr>
              <w:t>工作</w:t>
            </w:r>
            <w:r>
              <w:rPr>
                <w:rFonts w:cs="Times New Roman" w:eastAsiaTheme="minorEastAsia"/>
              </w:rPr>
              <w:t>方案（0-5分）</w:t>
            </w:r>
          </w:p>
          <w:p>
            <w:pPr>
              <w:numPr>
                <w:ilvl w:val="255"/>
                <w:numId w:val="0"/>
              </w:numPr>
              <w:snapToGrid w:val="0"/>
              <w:spacing w:line="360" w:lineRule="auto"/>
              <w:rPr>
                <w:rFonts w:eastAsiaTheme="minorEastAsia"/>
                <w:sz w:val="24"/>
              </w:rPr>
            </w:pPr>
            <w:r>
              <w:rPr>
                <w:rFonts w:eastAsiaTheme="minorEastAsia"/>
                <w:sz w:val="24"/>
              </w:rPr>
              <w:t>方案内容详实，逻辑缜密，具有针对性，可实施性强的得5分；方案内容较详实，基本能符合采购需要，针对性，可实施性一般的得3分；方案或明显存在缺陷的，得1分；未提供相关描述不得分。</w:t>
            </w:r>
          </w:p>
          <w:p>
            <w:pPr>
              <w:pStyle w:val="256"/>
              <w:numPr>
                <w:ilvl w:val="1"/>
                <w:numId w:val="6"/>
              </w:numPr>
              <w:snapToGrid w:val="0"/>
              <w:ind w:firstLineChars="0"/>
              <w:rPr>
                <w:rFonts w:cs="Times New Roman" w:eastAsiaTheme="minorEastAsia"/>
              </w:rPr>
            </w:pPr>
            <w:r>
              <w:rPr>
                <w:rFonts w:cs="Times New Roman"/>
              </w:rPr>
              <w:t xml:space="preserve"> </w:t>
            </w:r>
            <w:r>
              <w:rPr>
                <w:rFonts w:cs="Times New Roman" w:eastAsiaTheme="minorEastAsia"/>
              </w:rPr>
              <w:t>辐射事故应急演习方案（0-5分）</w:t>
            </w:r>
          </w:p>
          <w:p>
            <w:pPr>
              <w:numPr>
                <w:ilvl w:val="255"/>
                <w:numId w:val="0"/>
              </w:numPr>
              <w:snapToGrid w:val="0"/>
              <w:spacing w:line="360" w:lineRule="auto"/>
              <w:rPr>
                <w:rFonts w:eastAsiaTheme="minorEastAsia"/>
                <w:sz w:val="24"/>
              </w:rPr>
            </w:pPr>
            <w:r>
              <w:rPr>
                <w:rFonts w:eastAsiaTheme="minorEastAsia"/>
                <w:sz w:val="24"/>
              </w:rPr>
              <w:t>方案内容详实，逻辑缜密，具有针对性，可实施性强的得5分；方案内容较详实，基本能符合采购需要，针对性，可实施性一般的得3分；方案或明显存在缺陷的，得1分；未提供相关描述不得分。</w:t>
            </w:r>
          </w:p>
          <w:p>
            <w:pPr>
              <w:numPr>
                <w:ilvl w:val="0"/>
                <w:numId w:val="4"/>
              </w:numPr>
              <w:snapToGrid w:val="0"/>
              <w:spacing w:line="360" w:lineRule="auto"/>
              <w:rPr>
                <w:rFonts w:eastAsiaTheme="minorEastAsia"/>
                <w:b/>
                <w:bCs/>
                <w:sz w:val="24"/>
              </w:rPr>
            </w:pPr>
            <w:r>
              <w:rPr>
                <w:rFonts w:eastAsiaTheme="minorEastAsia"/>
                <w:b/>
                <w:bCs/>
                <w:sz w:val="24"/>
              </w:rPr>
              <w:t>浙江省内Ⅰ、Ⅱ类放射源用源单位和典型电磁辐射设施监督性监测方案（0-10分）</w:t>
            </w:r>
          </w:p>
          <w:p>
            <w:pPr>
              <w:pStyle w:val="256"/>
              <w:numPr>
                <w:ilvl w:val="1"/>
                <w:numId w:val="7"/>
              </w:numPr>
              <w:snapToGrid w:val="0"/>
              <w:ind w:firstLineChars="0"/>
              <w:rPr>
                <w:rFonts w:cs="Times New Roman"/>
              </w:rPr>
            </w:pPr>
            <w:r>
              <w:rPr>
                <w:rFonts w:cs="Times New Roman" w:eastAsiaTheme="minorEastAsia"/>
              </w:rPr>
              <w:t xml:space="preserve"> Ⅰ、Ⅱ类放射源用源单位监督性监测方案（0-5分）</w:t>
            </w:r>
          </w:p>
          <w:p>
            <w:pPr>
              <w:numPr>
                <w:ilvl w:val="255"/>
                <w:numId w:val="0"/>
              </w:numPr>
              <w:snapToGrid w:val="0"/>
              <w:spacing w:line="360" w:lineRule="auto"/>
              <w:rPr>
                <w:rFonts w:eastAsiaTheme="minorEastAsia"/>
                <w:sz w:val="24"/>
              </w:rPr>
            </w:pPr>
            <w:r>
              <w:rPr>
                <w:rFonts w:eastAsiaTheme="minorEastAsia"/>
                <w:sz w:val="24"/>
              </w:rPr>
              <w:t>方案内容详实，逻辑缜密，具有针对性，可实施性强的得5分；方案内容较详实，基本能符合采购需要，针对性，可实施性一般的得3分；方案或明显存在缺陷的，得1分；未提供相关描述不得分。</w:t>
            </w:r>
          </w:p>
          <w:p>
            <w:pPr>
              <w:pStyle w:val="256"/>
              <w:numPr>
                <w:ilvl w:val="1"/>
                <w:numId w:val="7"/>
              </w:numPr>
              <w:snapToGrid w:val="0"/>
              <w:ind w:firstLineChars="0"/>
              <w:rPr>
                <w:rFonts w:cs="Times New Roman" w:eastAsiaTheme="minorEastAsia"/>
              </w:rPr>
            </w:pPr>
            <w:r>
              <w:rPr>
                <w:rFonts w:cs="Times New Roman" w:eastAsiaTheme="minorEastAsia"/>
                <w:b/>
                <w:bCs/>
              </w:rPr>
              <w:t xml:space="preserve"> </w:t>
            </w:r>
            <w:r>
              <w:rPr>
                <w:rFonts w:cs="Times New Roman" w:eastAsiaTheme="minorEastAsia"/>
              </w:rPr>
              <w:t>典型电磁辐射设施监督性监测方案（0-5分）</w:t>
            </w:r>
          </w:p>
          <w:p>
            <w:pPr>
              <w:numPr>
                <w:ilvl w:val="255"/>
                <w:numId w:val="0"/>
              </w:numPr>
              <w:snapToGrid w:val="0"/>
              <w:spacing w:line="360" w:lineRule="auto"/>
              <w:rPr>
                <w:rFonts w:eastAsiaTheme="minorEastAsia"/>
                <w:sz w:val="24"/>
              </w:rPr>
            </w:pPr>
            <w:r>
              <w:rPr>
                <w:rFonts w:eastAsiaTheme="minorEastAsia"/>
                <w:sz w:val="24"/>
              </w:rPr>
              <w:t>方案内容详实，逻辑缜密，具有针对性，可实施性强的得5分；方案内容较详实，基本能符合采购需要，针对性，可实施性一般的得3分；方案或明显存在缺陷的，得1分；未提供相关描述不得分。</w:t>
            </w:r>
          </w:p>
          <w:p>
            <w:pPr>
              <w:numPr>
                <w:ilvl w:val="0"/>
                <w:numId w:val="4"/>
              </w:numPr>
              <w:snapToGrid w:val="0"/>
              <w:spacing w:line="360" w:lineRule="auto"/>
              <w:rPr>
                <w:rFonts w:eastAsiaTheme="minorEastAsia"/>
                <w:b/>
                <w:bCs/>
                <w:sz w:val="24"/>
              </w:rPr>
            </w:pPr>
            <w:r>
              <w:rPr>
                <w:rFonts w:eastAsiaTheme="minorEastAsia"/>
                <w:b/>
                <w:bCs/>
                <w:snapToGrid w:val="0"/>
                <w:color w:val="000000"/>
                <w:sz w:val="24"/>
              </w:rPr>
              <w:t>辐射安全知识宣传方案（</w:t>
            </w:r>
            <w:r>
              <w:rPr>
                <w:rFonts w:eastAsiaTheme="minorEastAsia"/>
                <w:b/>
                <w:bCs/>
                <w:sz w:val="24"/>
              </w:rPr>
              <w:t>0-</w:t>
            </w:r>
            <w:r>
              <w:rPr>
                <w:rFonts w:hint="eastAsia" w:eastAsiaTheme="minorEastAsia"/>
                <w:b/>
                <w:bCs/>
                <w:sz w:val="24"/>
                <w:lang w:val="en-US" w:eastAsia="zh-CN"/>
              </w:rPr>
              <w:t>9</w:t>
            </w:r>
            <w:r>
              <w:rPr>
                <w:rFonts w:eastAsiaTheme="minorEastAsia"/>
                <w:b/>
                <w:bCs/>
                <w:sz w:val="24"/>
              </w:rPr>
              <w:t>分</w:t>
            </w:r>
            <w:r>
              <w:rPr>
                <w:rFonts w:eastAsiaTheme="minorEastAsia"/>
                <w:b/>
                <w:bCs/>
                <w:snapToGrid w:val="0"/>
                <w:color w:val="000000"/>
                <w:sz w:val="24"/>
              </w:rPr>
              <w:t>）</w:t>
            </w:r>
          </w:p>
          <w:p>
            <w:pPr>
              <w:pStyle w:val="256"/>
              <w:numPr>
                <w:ilvl w:val="1"/>
                <w:numId w:val="8"/>
              </w:numPr>
              <w:snapToGrid w:val="0"/>
              <w:ind w:firstLineChars="0"/>
              <w:rPr>
                <w:rFonts w:cs="Times New Roman" w:eastAsiaTheme="minorEastAsia"/>
              </w:rPr>
            </w:pPr>
            <w:r>
              <w:rPr>
                <w:rFonts w:cs="Times New Roman" w:eastAsiaTheme="minorEastAsia"/>
              </w:rPr>
              <w:t xml:space="preserve"> 整体宣传方案（0-3分）</w:t>
            </w:r>
          </w:p>
          <w:p>
            <w:pPr>
              <w:numPr>
                <w:ilvl w:val="255"/>
                <w:numId w:val="0"/>
              </w:numPr>
              <w:snapToGrid w:val="0"/>
              <w:spacing w:line="360" w:lineRule="auto"/>
              <w:rPr>
                <w:rFonts w:eastAsiaTheme="minorEastAsia"/>
                <w:sz w:val="24"/>
              </w:rPr>
            </w:pPr>
            <w:r>
              <w:rPr>
                <w:rFonts w:eastAsiaTheme="minorEastAsia"/>
                <w:sz w:val="24"/>
              </w:rPr>
              <w:t>方案内容详实，逻辑缜密，具有针对性，可实施性强的得3分；方案内容较详实，基本能符合采购需要，针对性，可实施性一般的得2分；方案或明显存在缺陷的，得1分；未提供相关描述不得分。</w:t>
            </w:r>
          </w:p>
          <w:p>
            <w:pPr>
              <w:pStyle w:val="256"/>
              <w:numPr>
                <w:ilvl w:val="1"/>
                <w:numId w:val="8"/>
              </w:numPr>
              <w:snapToGrid w:val="0"/>
              <w:ind w:firstLineChars="0"/>
              <w:rPr>
                <w:rFonts w:cs="Times New Roman" w:eastAsiaTheme="minorEastAsia"/>
              </w:rPr>
            </w:pPr>
            <w:r>
              <w:rPr>
                <w:rFonts w:cs="Times New Roman" w:eastAsiaTheme="minorEastAsia"/>
              </w:rPr>
              <w:t xml:space="preserve"> 宣传视频及纸质宣传材料制作方案（0-</w:t>
            </w:r>
            <w:r>
              <w:rPr>
                <w:rFonts w:hint="eastAsia" w:cs="Times New Roman" w:eastAsiaTheme="minorEastAsia"/>
                <w:lang w:val="en-US" w:eastAsia="zh-CN"/>
              </w:rPr>
              <w:t>3</w:t>
            </w:r>
            <w:r>
              <w:rPr>
                <w:rFonts w:cs="Times New Roman" w:eastAsiaTheme="minorEastAsia"/>
              </w:rPr>
              <w:t>分）</w:t>
            </w:r>
          </w:p>
          <w:p>
            <w:pPr>
              <w:numPr>
                <w:ilvl w:val="255"/>
                <w:numId w:val="0"/>
              </w:numPr>
              <w:snapToGrid w:val="0"/>
              <w:spacing w:line="360" w:lineRule="auto"/>
              <w:rPr>
                <w:rFonts w:eastAsiaTheme="minorEastAsia"/>
                <w:sz w:val="24"/>
              </w:rPr>
            </w:pPr>
            <w:r>
              <w:rPr>
                <w:rFonts w:eastAsiaTheme="minorEastAsia"/>
                <w:sz w:val="24"/>
              </w:rPr>
              <w:t>方案内容详实，逻辑缜密，具有针对性，可实施性强的得</w:t>
            </w:r>
            <w:r>
              <w:rPr>
                <w:rFonts w:hint="eastAsia" w:eastAsiaTheme="minorEastAsia"/>
                <w:sz w:val="24"/>
                <w:lang w:val="en-US" w:eastAsia="zh-CN"/>
              </w:rPr>
              <w:t>3</w:t>
            </w:r>
            <w:r>
              <w:rPr>
                <w:rFonts w:eastAsiaTheme="minorEastAsia"/>
                <w:sz w:val="24"/>
              </w:rPr>
              <w:t>分；方案内容较详实，基本能符合采购需要，针对性，可实施性一般的得2分；方案或明显存在缺陷的，得1分；未提供相关描述不得分。</w:t>
            </w:r>
          </w:p>
          <w:p>
            <w:pPr>
              <w:pStyle w:val="256"/>
              <w:numPr>
                <w:ilvl w:val="1"/>
                <w:numId w:val="8"/>
              </w:numPr>
              <w:snapToGrid w:val="0"/>
              <w:ind w:firstLineChars="0"/>
              <w:rPr>
                <w:rFonts w:cs="Times New Roman" w:eastAsiaTheme="minorEastAsia"/>
              </w:rPr>
            </w:pPr>
            <w:r>
              <w:rPr>
                <w:rFonts w:cs="Times New Roman" w:eastAsiaTheme="minorEastAsia"/>
              </w:rPr>
              <w:t xml:space="preserve"> 组织网络答题宣传方案（0-3分）</w:t>
            </w:r>
          </w:p>
          <w:p>
            <w:pPr>
              <w:numPr>
                <w:ilvl w:val="255"/>
                <w:numId w:val="0"/>
              </w:numPr>
              <w:snapToGrid w:val="0"/>
              <w:spacing w:line="360" w:lineRule="auto"/>
              <w:rPr>
                <w:rFonts w:eastAsiaTheme="minorEastAsia"/>
                <w:sz w:val="24"/>
              </w:rPr>
            </w:pPr>
            <w:r>
              <w:rPr>
                <w:rFonts w:eastAsiaTheme="minorEastAsia"/>
                <w:sz w:val="24"/>
              </w:rPr>
              <w:t>方案内容详实，逻辑缜密，具有针对性，可实施性强的得3分；方案内容较详实，基本能符合采购需要，针对性，可实施性一般的得2分；方案或明显存在缺陷的，得1分；未提供相关描述不得分。</w:t>
            </w:r>
          </w:p>
          <w:p>
            <w:pPr>
              <w:numPr>
                <w:ilvl w:val="0"/>
                <w:numId w:val="4"/>
              </w:numPr>
              <w:snapToGrid w:val="0"/>
              <w:spacing w:line="360" w:lineRule="auto"/>
              <w:rPr>
                <w:rFonts w:eastAsiaTheme="minorEastAsia"/>
                <w:b/>
                <w:bCs/>
                <w:sz w:val="24"/>
              </w:rPr>
            </w:pPr>
            <w:r>
              <w:rPr>
                <w:rFonts w:eastAsiaTheme="minorEastAsia"/>
                <w:b/>
                <w:bCs/>
                <w:sz w:val="24"/>
              </w:rPr>
              <w:t>投入设备设施方案（0-7分）</w:t>
            </w:r>
          </w:p>
          <w:p>
            <w:pPr>
              <w:pStyle w:val="256"/>
              <w:numPr>
                <w:ilvl w:val="1"/>
                <w:numId w:val="9"/>
              </w:numPr>
              <w:snapToGrid w:val="0"/>
              <w:ind w:firstLineChars="0"/>
              <w:rPr>
                <w:rFonts w:cs="Times New Roman" w:eastAsiaTheme="minorEastAsia"/>
              </w:rPr>
            </w:pPr>
            <w:r>
              <w:rPr>
                <w:rFonts w:cs="Times New Roman" w:eastAsiaTheme="minorEastAsia"/>
              </w:rPr>
              <w:t>具备</w:t>
            </w:r>
            <w:r>
              <w:rPr>
                <w:rFonts w:hint="eastAsia" w:ascii="宋体" w:hAnsi="宋体" w:eastAsia="宋体" w:cs="宋体"/>
              </w:rPr>
              <w:t>①</w:t>
            </w:r>
            <w:r>
              <w:rPr>
                <w:rFonts w:cs="Times New Roman" w:eastAsiaTheme="minorEastAsia"/>
              </w:rPr>
              <w:t>环境γ辐射剂量率仪；</w:t>
            </w:r>
            <w:r>
              <w:rPr>
                <w:rFonts w:hint="eastAsia" w:ascii="宋体" w:hAnsi="宋体" w:eastAsia="宋体" w:cs="宋体"/>
              </w:rPr>
              <w:t>②</w:t>
            </w:r>
            <w:r>
              <w:rPr>
                <w:rFonts w:cs="Times New Roman" w:eastAsiaTheme="minorEastAsia"/>
              </w:rPr>
              <w:t>α、β表面污染监测仪，</w:t>
            </w:r>
            <w:r>
              <w:rPr>
                <w:rFonts w:hint="eastAsia" w:ascii="宋体" w:hAnsi="宋体" w:eastAsia="宋体" w:cs="宋体"/>
              </w:rPr>
              <w:t>③</w:t>
            </w:r>
            <w:r>
              <w:rPr>
                <w:rFonts w:cs="Times New Roman" w:eastAsiaTheme="minorEastAsia"/>
              </w:rPr>
              <w:t>中子剂量当量率仪，</w:t>
            </w:r>
            <w:r>
              <w:rPr>
                <w:rFonts w:hint="eastAsia" w:ascii="宋体" w:hAnsi="宋体" w:eastAsia="宋体" w:cs="宋体"/>
              </w:rPr>
              <w:t>④</w:t>
            </w:r>
            <w:r>
              <w:rPr>
                <w:rFonts w:cs="Times New Roman" w:eastAsiaTheme="minorEastAsia"/>
              </w:rPr>
              <w:t>高纯锗γ能谱分析仪，</w:t>
            </w:r>
            <w:r>
              <w:rPr>
                <w:rFonts w:hint="eastAsia" w:ascii="宋体" w:hAnsi="宋体" w:eastAsia="宋体" w:cs="宋体"/>
              </w:rPr>
              <w:t>⑤</w:t>
            </w:r>
            <w:r>
              <w:rPr>
                <w:rFonts w:cs="Times New Roman" w:eastAsiaTheme="minorEastAsia"/>
              </w:rPr>
              <w:t>选频式电磁辐射监测仪（覆盖5G通信基站监测能力），</w:t>
            </w:r>
            <w:r>
              <w:rPr>
                <w:rFonts w:hint="eastAsia" w:ascii="宋体" w:hAnsi="宋体" w:eastAsia="宋体" w:cs="宋体"/>
              </w:rPr>
              <w:t>⑥</w:t>
            </w:r>
            <w:r>
              <w:rPr>
                <w:rFonts w:cs="Times New Roman" w:eastAsiaTheme="minorEastAsia"/>
              </w:rPr>
              <w:t>射频综合场强仪，</w:t>
            </w:r>
            <w:r>
              <w:rPr>
                <w:rFonts w:hint="eastAsia" w:ascii="宋体" w:hAnsi="宋体" w:eastAsia="宋体" w:cs="宋体"/>
              </w:rPr>
              <w:t>⑦</w:t>
            </w:r>
            <w:r>
              <w:rPr>
                <w:rFonts w:cs="Times New Roman" w:eastAsiaTheme="minorEastAsia"/>
              </w:rPr>
              <w:t>工频电磁场分析仪等监测仪器设备，以上设备每少提供一种扣1分，本项5分（注：提供设备在有效期内的校准或检定合格证书复印件，校准或检定</w:t>
            </w:r>
            <w:r>
              <w:rPr>
                <w:rFonts w:hint="eastAsia" w:cs="Times New Roman" w:eastAsiaTheme="minorEastAsia"/>
              </w:rPr>
              <w:t>证书送检单位须为供应商自身，</w:t>
            </w:r>
            <w:r>
              <w:rPr>
                <w:rFonts w:cs="Times New Roman" w:eastAsiaTheme="minorEastAsia"/>
              </w:rPr>
              <w:t>复印件均需加盖供应商公章</w:t>
            </w:r>
            <w:r>
              <w:rPr>
                <w:rFonts w:hint="eastAsia" w:cs="Times New Roman" w:eastAsiaTheme="minorEastAsia"/>
              </w:rPr>
              <w:t>。</w:t>
            </w:r>
            <w:r>
              <w:rPr>
                <w:rFonts w:cs="Times New Roman" w:eastAsiaTheme="minorEastAsia"/>
              </w:rPr>
              <w:t>）</w:t>
            </w:r>
          </w:p>
          <w:p>
            <w:pPr>
              <w:pStyle w:val="256"/>
              <w:numPr>
                <w:ilvl w:val="1"/>
                <w:numId w:val="9"/>
              </w:numPr>
              <w:snapToGrid w:val="0"/>
              <w:ind w:firstLineChars="0"/>
              <w:rPr>
                <w:rFonts w:cs="Times New Roman" w:eastAsiaTheme="minorEastAsia"/>
              </w:rPr>
            </w:pPr>
            <w:r>
              <w:rPr>
                <w:rFonts w:cs="Times New Roman" w:eastAsiaTheme="minorEastAsia"/>
              </w:rPr>
              <w:t>具有放射源收贮工具和设施，提供相关证明。提供得2分，不提供不得分。</w:t>
            </w:r>
          </w:p>
          <w:p>
            <w:pPr>
              <w:numPr>
                <w:ilvl w:val="0"/>
                <w:numId w:val="4"/>
              </w:numPr>
              <w:snapToGrid w:val="0"/>
              <w:spacing w:line="360" w:lineRule="auto"/>
              <w:rPr>
                <w:rFonts w:eastAsiaTheme="minorEastAsia"/>
                <w:b/>
                <w:bCs/>
                <w:sz w:val="24"/>
              </w:rPr>
            </w:pPr>
            <w:r>
              <w:rPr>
                <w:rFonts w:eastAsiaTheme="minorEastAsia"/>
                <w:b/>
                <w:bCs/>
                <w:sz w:val="24"/>
              </w:rPr>
              <w:t>质量保证和保密方案（0-2分）</w:t>
            </w:r>
          </w:p>
          <w:p>
            <w:pPr>
              <w:numPr>
                <w:ilvl w:val="255"/>
                <w:numId w:val="0"/>
              </w:numPr>
              <w:snapToGrid w:val="0"/>
              <w:spacing w:line="360" w:lineRule="auto"/>
              <w:rPr>
                <w:rFonts w:eastAsiaTheme="minorEastAsia"/>
                <w:sz w:val="24"/>
              </w:rPr>
            </w:pPr>
            <w:r>
              <w:rPr>
                <w:rFonts w:eastAsiaTheme="minorEastAsia"/>
                <w:sz w:val="24"/>
              </w:rPr>
              <w:t xml:space="preserve">方案内容详实，符合项目要求，具有针对性，可实施性强的得2分；方案内容较详实，基本能符合项目需要，针对性，可实施性一般的得1分；方案或明显存在缺陷，或未未提供相关描述不得分。 </w:t>
            </w:r>
          </w:p>
          <w:p>
            <w:pPr>
              <w:numPr>
                <w:ilvl w:val="0"/>
                <w:numId w:val="4"/>
              </w:numPr>
              <w:snapToGrid w:val="0"/>
              <w:spacing w:line="360" w:lineRule="auto"/>
              <w:rPr>
                <w:rFonts w:eastAsiaTheme="minorEastAsia"/>
                <w:b/>
                <w:bCs/>
                <w:sz w:val="24"/>
              </w:rPr>
            </w:pPr>
            <w:r>
              <w:rPr>
                <w:rFonts w:eastAsiaTheme="minorEastAsia"/>
                <w:b/>
                <w:bCs/>
                <w:sz w:val="24"/>
              </w:rPr>
              <w:t>工作进度、计划安排及成果提交（0-</w:t>
            </w:r>
            <w:bookmarkStart w:id="445" w:name="_GoBack"/>
            <w:bookmarkEnd w:id="445"/>
            <w:r>
              <w:rPr>
                <w:rFonts w:eastAsiaTheme="minorEastAsia"/>
                <w:b/>
                <w:bCs/>
                <w:sz w:val="24"/>
              </w:rPr>
              <w:t>3分）</w:t>
            </w:r>
          </w:p>
          <w:p>
            <w:pPr>
              <w:numPr>
                <w:ilvl w:val="255"/>
                <w:numId w:val="0"/>
              </w:numPr>
              <w:snapToGrid w:val="0"/>
              <w:spacing w:line="360" w:lineRule="auto"/>
              <w:rPr>
                <w:rFonts w:eastAsiaTheme="minorEastAsia"/>
              </w:rPr>
            </w:pPr>
            <w:r>
              <w:rPr>
                <w:rFonts w:eastAsiaTheme="minorEastAsia"/>
                <w:sz w:val="24"/>
              </w:rPr>
              <w:t>内容全面，计划安排可实施性强，能按时完成项目要求得3分；内容较详实，基本能符合项目需要，可实施性一般的得2分；内容明显存在缺陷的，得1分；未提供相关描述不得分。</w:t>
            </w:r>
          </w:p>
        </w:tc>
        <w:tc>
          <w:tcPr>
            <w:tcW w:w="897" w:type="dxa"/>
            <w:vAlign w:val="center"/>
          </w:tcPr>
          <w:p>
            <w:pPr>
              <w:snapToGrid w:val="0"/>
              <w:spacing w:line="360" w:lineRule="auto"/>
              <w:jc w:val="left"/>
              <w:rPr>
                <w:sz w:val="24"/>
              </w:rPr>
            </w:pPr>
            <w:r>
              <w:rPr>
                <w:sz w:val="24"/>
              </w:rPr>
              <w:t>0-64分</w:t>
            </w:r>
          </w:p>
        </w:tc>
        <w:tc>
          <w:tcPr>
            <w:tcW w:w="1212" w:type="dxa"/>
            <w:vAlign w:val="center"/>
          </w:tcPr>
          <w:p>
            <w:pPr>
              <w:snapToGrid w:val="0"/>
              <w:spacing w:line="360" w:lineRule="auto"/>
              <w:jc w:val="left"/>
              <w:rPr>
                <w:sz w:val="24"/>
              </w:rPr>
            </w:pPr>
            <w:r>
              <w:rPr>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17" w:type="dxa"/>
            <w:vAlign w:val="center"/>
          </w:tcPr>
          <w:p>
            <w:pPr>
              <w:snapToGrid w:val="0"/>
              <w:spacing w:line="360" w:lineRule="auto"/>
              <w:jc w:val="center"/>
              <w:rPr>
                <w:sz w:val="24"/>
              </w:rPr>
            </w:pPr>
            <w:r>
              <w:rPr>
                <w:sz w:val="24"/>
              </w:rPr>
              <w:t>3</w:t>
            </w:r>
          </w:p>
        </w:tc>
        <w:tc>
          <w:tcPr>
            <w:tcW w:w="6353" w:type="dxa"/>
            <w:vAlign w:val="center"/>
          </w:tcPr>
          <w:p>
            <w:pPr>
              <w:numPr>
                <w:ilvl w:val="0"/>
                <w:numId w:val="10"/>
              </w:numPr>
              <w:snapToGrid w:val="0"/>
              <w:spacing w:line="360" w:lineRule="auto"/>
              <w:ind w:left="0" w:firstLine="0"/>
              <w:jc w:val="left"/>
              <w:rPr>
                <w:sz w:val="24"/>
              </w:rPr>
            </w:pPr>
            <w:r>
              <w:rPr>
                <w:sz w:val="24"/>
              </w:rPr>
              <w:t>拟投入本次项目的项目负责人情况（提供职称证明材料及最近不少于3个月的社保证明，否则此项不得分）：</w:t>
            </w:r>
          </w:p>
          <w:p>
            <w:pPr>
              <w:numPr>
                <w:ilvl w:val="0"/>
                <w:numId w:val="11"/>
              </w:numPr>
              <w:tabs>
                <w:tab w:val="left" w:pos="840"/>
              </w:tabs>
              <w:snapToGrid w:val="0"/>
              <w:spacing w:line="360" w:lineRule="auto"/>
              <w:ind w:left="0" w:firstLine="480" w:firstLineChars="200"/>
              <w:jc w:val="left"/>
              <w:rPr>
                <w:sz w:val="24"/>
              </w:rPr>
            </w:pPr>
            <w:r>
              <w:rPr>
                <w:sz w:val="24"/>
              </w:rPr>
              <w:t>具有环境监测相关专业副高级（含）以上职称，提供证明材料的得2分不提供不得分；</w:t>
            </w:r>
          </w:p>
          <w:p>
            <w:pPr>
              <w:numPr>
                <w:ilvl w:val="0"/>
                <w:numId w:val="11"/>
              </w:numPr>
              <w:tabs>
                <w:tab w:val="left" w:pos="840"/>
              </w:tabs>
              <w:snapToGrid w:val="0"/>
              <w:spacing w:line="360" w:lineRule="auto"/>
              <w:ind w:left="0" w:firstLine="480" w:firstLineChars="200"/>
              <w:jc w:val="left"/>
              <w:rPr>
                <w:sz w:val="24"/>
              </w:rPr>
            </w:pPr>
            <w:r>
              <w:rPr>
                <w:sz w:val="24"/>
              </w:rPr>
              <w:t>项目负责人综合能力情况（工作履历、类似项目经验等）：综合能力情况强的得3分，综合能力情况较强的得3分，综合能力情况一般的得1分，未提供不得分。</w:t>
            </w:r>
          </w:p>
          <w:p>
            <w:pPr>
              <w:numPr>
                <w:ilvl w:val="0"/>
                <w:numId w:val="10"/>
              </w:numPr>
              <w:snapToGrid w:val="0"/>
              <w:spacing w:line="360" w:lineRule="auto"/>
              <w:ind w:left="0" w:firstLine="0"/>
              <w:jc w:val="left"/>
              <w:rPr>
                <w:sz w:val="24"/>
              </w:rPr>
            </w:pPr>
            <w:r>
              <w:rPr>
                <w:sz w:val="24"/>
              </w:rPr>
              <w:t>拟投入本项目的团队人员（除项目负责人）整体能力情况（各人员工作履历、岗位分工设置、类似项目经验等情况介绍），为保证项目团队的实力，团队人员综合能力情况强的得5分，综合能力情况较强的得3分，综合能力情况一般的得1分，未提供不得分。（提供证明材料及最近不少于3个月的社保证明，否则此项不得分）</w:t>
            </w:r>
          </w:p>
          <w:p>
            <w:pPr>
              <w:numPr>
                <w:ilvl w:val="0"/>
                <w:numId w:val="10"/>
              </w:numPr>
              <w:snapToGrid w:val="0"/>
              <w:spacing w:line="360" w:lineRule="auto"/>
              <w:ind w:left="0" w:firstLine="0"/>
              <w:jc w:val="left"/>
              <w:rPr>
                <w:sz w:val="24"/>
              </w:rPr>
            </w:pPr>
            <w:r>
              <w:rPr>
                <w:sz w:val="24"/>
              </w:rPr>
              <w:t>团队人员具有环境监测相关专业副高级（含）以上职称，的，每提供一人得1分，最高得3分不提供不得分（提供证明材料及最近不少于3个月的社保证明，否则此项不得分）</w:t>
            </w:r>
          </w:p>
        </w:tc>
        <w:tc>
          <w:tcPr>
            <w:tcW w:w="897" w:type="dxa"/>
            <w:vAlign w:val="center"/>
          </w:tcPr>
          <w:p>
            <w:pPr>
              <w:snapToGrid w:val="0"/>
              <w:spacing w:line="360" w:lineRule="auto"/>
              <w:jc w:val="left"/>
              <w:rPr>
                <w:sz w:val="24"/>
              </w:rPr>
            </w:pPr>
            <w:r>
              <w:rPr>
                <w:sz w:val="24"/>
              </w:rPr>
              <w:t>0-13分</w:t>
            </w:r>
          </w:p>
        </w:tc>
        <w:tc>
          <w:tcPr>
            <w:tcW w:w="1212" w:type="dxa"/>
            <w:vAlign w:val="center"/>
          </w:tcPr>
          <w:p>
            <w:pPr>
              <w:snapToGrid w:val="0"/>
              <w:spacing w:line="360" w:lineRule="auto"/>
              <w:jc w:val="left"/>
              <w:rPr>
                <w:sz w:val="24"/>
              </w:rPr>
            </w:pPr>
            <w:r>
              <w:rPr>
                <w:sz w:val="24"/>
              </w:rPr>
              <w:t>主观分</w:t>
            </w:r>
          </w:p>
        </w:tc>
      </w:tr>
    </w:tbl>
    <w:p>
      <w:pPr>
        <w:spacing w:line="360" w:lineRule="auto"/>
      </w:pPr>
    </w:p>
    <w:p>
      <w:pPr>
        <w:keepNext/>
        <w:keepLines/>
        <w:spacing w:line="360" w:lineRule="auto"/>
        <w:ind w:firstLine="420"/>
        <w:outlineLvl w:val="2"/>
        <w:rPr>
          <w:rFonts w:ascii="宋体" w:hAnsi="宋体" w:cs="宋体"/>
        </w:rPr>
      </w:pPr>
    </w:p>
    <w:p>
      <w:pPr>
        <w:spacing w:line="360" w:lineRule="auto"/>
        <w:outlineLvl w:val="1"/>
        <w:rPr>
          <w:rFonts w:ascii="宋体" w:hAnsi="宋体" w:cs="宋体"/>
          <w:b/>
          <w:sz w:val="24"/>
        </w:rPr>
      </w:pPr>
      <w:bookmarkStart w:id="416" w:name="_Toc7888"/>
      <w:r>
        <w:rPr>
          <w:rFonts w:hint="eastAsia" w:ascii="宋体" w:hAnsi="宋体" w:cs="宋体"/>
          <w:b/>
          <w:sz w:val="24"/>
        </w:rPr>
        <w:t>三、评标程序</w:t>
      </w:r>
      <w:bookmarkEnd w:id="416"/>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委员会推荐得分最高的投标人为第一中标候选人、得分次高的投标人为第二中标候选人，并编写评标报告。得分相同的，按投标报价由低到高顺序排列。得分且投标报价相同的并列。投标文件满足招标文件全部实质性要求，且按照评审因素的量化指标评审得分最高的投标人为排名第一的中标候选人。评审因素的量化指标评审得分也相同的则抽签决定。</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24"/>
          <w:szCs w:val="21"/>
        </w:rPr>
      </w:pPr>
      <w:r>
        <w:rPr>
          <w:rFonts w:hint="eastAsia" w:ascii="宋体" w:hAnsi="宋体" w:cs="宋体"/>
          <w:b/>
          <w:sz w:val="24"/>
          <w:szCs w:val="21"/>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pacing w:line="360" w:lineRule="auto"/>
        <w:ind w:firstLine="480" w:firstLineChars="200"/>
        <w:rPr>
          <w:rFonts w:ascii="宋体" w:hAnsi="宋体" w:cs="宋体"/>
          <w:kern w:val="0"/>
          <w:sz w:val="24"/>
        </w:rPr>
      </w:pPr>
      <w:r>
        <w:rPr>
          <w:rFonts w:hint="eastAsia" w:ascii="宋体" w:hAnsi="宋体" w:cs="宋体"/>
          <w:kern w:val="0"/>
          <w:sz w:val="24"/>
        </w:rPr>
        <w:t>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480" w:firstLineChars="200"/>
        <w:rPr>
          <w:rFonts w:ascii="宋体" w:hAnsi="宋体" w:cs="宋体"/>
          <w:kern w:val="0"/>
          <w:sz w:val="24"/>
        </w:rPr>
      </w:pPr>
      <w:r>
        <w:rPr>
          <w:rFonts w:hint="eastAsia" w:ascii="宋体" w:hAnsi="宋体" w:cs="宋体"/>
          <w:kern w:val="0"/>
          <w:sz w:val="24"/>
        </w:rPr>
        <w:t>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4"/>
        <w:ind w:left="862" w:leftChars="205"/>
        <w:rPr>
          <w:rFonts w:ascii="宋体" w:hAnsi="宋体" w:eastAsia="宋体" w:cs="宋体"/>
          <w:b w:val="0"/>
          <w:bCs w:val="0"/>
          <w:kern w:val="0"/>
          <w:sz w:val="24"/>
          <w:szCs w:val="24"/>
          <w:lang w:val="en-US"/>
        </w:rPr>
      </w:pPr>
      <w:bookmarkStart w:id="417" w:name="_Toc4159"/>
      <w:r>
        <w:rPr>
          <w:rFonts w:hint="eastAsia" w:ascii="宋体" w:hAnsi="宋体" w:eastAsia="宋体" w:cs="宋体"/>
          <w:b w:val="0"/>
          <w:bCs w:val="0"/>
          <w:kern w:val="0"/>
          <w:sz w:val="24"/>
          <w:szCs w:val="24"/>
          <w:lang w:val="en-US"/>
        </w:rPr>
        <w:t>4.2.13投标文件不满足招标文件的其它实质性要求的；</w:t>
      </w:r>
      <w:bookmarkEnd w:id="417"/>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4.2.14法律、法规、规章及省级以上规范性文件规定的其他无效情形。</w:t>
      </w:r>
    </w:p>
    <w:p>
      <w:pPr>
        <w:pStyle w:val="27"/>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7"/>
        <w:snapToGrid w:val="0"/>
        <w:spacing w:line="360" w:lineRule="auto"/>
        <w:rPr>
          <w:rFonts w:cs="宋体"/>
        </w:rPr>
      </w:pPr>
      <w:r>
        <w:rPr>
          <w:rFonts w:hint="eastAsia" w:cs="宋体"/>
        </w:rPr>
        <w:t>5.1符合专业条件的供应商或者对招标文件作实质响应的供应商不足3家的；</w:t>
      </w:r>
    </w:p>
    <w:p>
      <w:pPr>
        <w:pStyle w:val="27"/>
        <w:snapToGrid w:val="0"/>
        <w:spacing w:line="360" w:lineRule="auto"/>
        <w:rPr>
          <w:rFonts w:cs="宋体"/>
        </w:rPr>
      </w:pPr>
      <w:r>
        <w:rPr>
          <w:rFonts w:hint="eastAsia" w:cs="宋体"/>
        </w:rPr>
        <w:t>5.2出现影响采购公正的违法、违规行为的；</w:t>
      </w:r>
    </w:p>
    <w:p>
      <w:pPr>
        <w:pStyle w:val="27"/>
        <w:snapToGrid w:val="0"/>
        <w:spacing w:line="360" w:lineRule="auto"/>
        <w:rPr>
          <w:rFonts w:cs="宋体"/>
        </w:rPr>
      </w:pPr>
      <w:r>
        <w:rPr>
          <w:rFonts w:hint="eastAsia" w:cs="宋体"/>
        </w:rPr>
        <w:t>5.3投标人的报价均超过了采购预算，采购人不能支付的；</w:t>
      </w:r>
    </w:p>
    <w:p>
      <w:pPr>
        <w:pStyle w:val="27"/>
        <w:snapToGrid w:val="0"/>
        <w:spacing w:line="360" w:lineRule="auto"/>
        <w:rPr>
          <w:rFonts w:cs="宋体"/>
        </w:rPr>
      </w:pPr>
      <w:r>
        <w:rPr>
          <w:rFonts w:hint="eastAsia" w:cs="宋体"/>
        </w:rPr>
        <w:t>5.4因重大变故，采购任务取消的。</w:t>
      </w:r>
    </w:p>
    <w:p>
      <w:pPr>
        <w:pStyle w:val="27"/>
        <w:snapToGrid w:val="0"/>
        <w:spacing w:line="360" w:lineRule="auto"/>
        <w:rPr>
          <w:rFonts w:cs="宋体"/>
        </w:rPr>
      </w:pPr>
      <w:r>
        <w:rPr>
          <w:rFonts w:hint="eastAsia" w:cs="宋体"/>
        </w:rPr>
        <w:t>废标后，采购代理机构应当将废标理由通知所有投标人。</w:t>
      </w:r>
    </w:p>
    <w:p>
      <w:pPr>
        <w:pStyle w:val="27"/>
        <w:snapToGrid w:val="0"/>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7"/>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pPr>
        <w:pStyle w:val="27"/>
        <w:snapToGrid w:val="0"/>
        <w:spacing w:line="360" w:lineRule="auto"/>
        <w:rPr>
          <w:rFonts w:cs="宋体"/>
        </w:rPr>
      </w:pPr>
      <w:r>
        <w:rPr>
          <w:rFonts w:hint="eastAsia" w:cs="宋体"/>
        </w:rPr>
        <w:t>7.1未确定中标或者中标人的，终止本次政府采购活动，重新开展政府采购活动。</w:t>
      </w:r>
    </w:p>
    <w:p>
      <w:pPr>
        <w:pStyle w:val="27"/>
        <w:snapToGrid w:val="0"/>
        <w:spacing w:line="360" w:lineRule="auto"/>
        <w:rPr>
          <w:rFonts w:cs="宋体"/>
        </w:rPr>
      </w:pPr>
      <w:r>
        <w:rPr>
          <w:rFonts w:hint="eastAsia"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7"/>
        <w:snapToGrid w:val="0"/>
        <w:spacing w:line="360" w:lineRule="auto"/>
        <w:rPr>
          <w:rFonts w:cs="宋体"/>
        </w:rPr>
      </w:pPr>
      <w:r>
        <w:rPr>
          <w:rFonts w:hint="eastAsia" w:cs="宋体"/>
        </w:rPr>
        <w:t>7.3政府采购合同已签订但尚未履行的，撤销合同，从合格的中标或者成交候选人中另行确定中标或者中标人；没有合格的中标或者成交候选人的，重新开展政府采购活动。</w:t>
      </w:r>
    </w:p>
    <w:p>
      <w:pPr>
        <w:pStyle w:val="27"/>
        <w:snapToGrid w:val="0"/>
        <w:spacing w:line="360" w:lineRule="auto"/>
        <w:rPr>
          <w:rFonts w:cs="宋体"/>
        </w:rPr>
      </w:pPr>
      <w:r>
        <w:rPr>
          <w:rFonts w:hint="eastAsia" w:cs="宋体"/>
        </w:rPr>
        <w:t>7.4政府采购合同已经履行，给采购人、供应商造成损失的，由责任人承担赔偿责任。</w:t>
      </w:r>
    </w:p>
    <w:p>
      <w:pPr>
        <w:pStyle w:val="27"/>
        <w:snapToGrid w:val="0"/>
        <w:spacing w:line="360" w:lineRule="auto"/>
        <w:rPr>
          <w:rFonts w:cs="宋体"/>
        </w:rPr>
      </w:pPr>
      <w:r>
        <w:rPr>
          <w:rFonts w:hint="eastAsia" w:cs="宋体"/>
        </w:rPr>
        <w:t>7.5政府采购当事人有其他违反政府采购法</w:t>
      </w:r>
      <w:r>
        <w:rPr>
          <w:rFonts w:hint="eastAsia" w:cs="宋体"/>
          <w:kern w:val="0"/>
        </w:rPr>
        <w:t>或者政府采购法实施条例等法律法规规定</w:t>
      </w:r>
      <w:r>
        <w:rPr>
          <w:rFonts w:hint="eastAsia" w:cs="宋体"/>
        </w:rPr>
        <w:t>的行为，经改正后仍然影响或者可能影响中标、成交结果或者依法被认定为中标、成交无效的，依照7.1-7.4规定处理。</w:t>
      </w:r>
    </w:p>
    <w:bookmarkEnd w:id="37"/>
    <w:p>
      <w:pPr>
        <w:rPr>
          <w:rFonts w:ascii="宋体" w:hAnsi="宋体" w:cs="宋体"/>
          <w:b/>
          <w:sz w:val="36"/>
          <w:szCs w:val="36"/>
        </w:rPr>
      </w:pPr>
      <w:bookmarkStart w:id="418" w:name="_Toc86217003"/>
      <w:bookmarkStart w:id="419" w:name="第五部分"/>
      <w:r>
        <w:rPr>
          <w:rFonts w:hint="eastAsia" w:ascii="宋体" w:hAnsi="宋体" w:cs="宋体"/>
          <w:b/>
          <w:sz w:val="36"/>
          <w:szCs w:val="36"/>
        </w:rPr>
        <w:br w:type="page"/>
      </w:r>
    </w:p>
    <w:p>
      <w:pPr>
        <w:spacing w:line="360" w:lineRule="auto"/>
        <w:jc w:val="center"/>
        <w:outlineLvl w:val="0"/>
        <w:rPr>
          <w:rFonts w:ascii="宋体" w:hAnsi="宋体" w:cs="宋体"/>
          <w:b/>
          <w:sz w:val="36"/>
          <w:szCs w:val="36"/>
        </w:rPr>
      </w:pPr>
      <w:bookmarkStart w:id="420" w:name="_Toc22571"/>
      <w:r>
        <w:rPr>
          <w:rFonts w:hint="eastAsia" w:ascii="宋体" w:hAnsi="宋体" w:cs="宋体"/>
          <w:b/>
          <w:sz w:val="36"/>
          <w:szCs w:val="36"/>
        </w:rPr>
        <w:t>第五部分 拟签订的合同文本</w:t>
      </w:r>
      <w:bookmarkEnd w:id="420"/>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360" w:lineRule="auto"/>
        <w:ind w:firstLine="420"/>
        <w:rPr>
          <w:rFonts w:ascii="宋体" w:hAnsi="宋体" w:cs="宋体"/>
          <w:sz w:val="24"/>
        </w:rPr>
      </w:pPr>
      <w:r>
        <w:rPr>
          <w:rFonts w:hint="eastAsia" w:ascii="宋体" w:hAnsi="宋体" w:cs="宋体"/>
          <w:sz w:val="24"/>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pStyle w:val="4"/>
        <w:rPr>
          <w:rFonts w:ascii="宋体" w:hAnsi="宋体" w:eastAsia="宋体" w:cs="宋体"/>
          <w:sz w:val="24"/>
          <w:szCs w:val="24"/>
        </w:rPr>
      </w:pPr>
      <w:bookmarkStart w:id="421" w:name="_Toc26339"/>
      <w:bookmarkStart w:id="422" w:name="_Toc5679"/>
      <w:bookmarkStart w:id="423" w:name="_Toc32330"/>
      <w:r>
        <w:rPr>
          <w:rFonts w:hint="eastAsia" w:ascii="宋体" w:hAnsi="宋体" w:eastAsia="宋体" w:cs="宋体"/>
          <w:sz w:val="24"/>
          <w:szCs w:val="24"/>
        </w:rPr>
        <w:t>浙江省政府采购合同指引</w:t>
      </w:r>
      <w:bookmarkEnd w:id="421"/>
      <w:bookmarkEnd w:id="422"/>
      <w:bookmarkEnd w:id="423"/>
    </w:p>
    <w:p>
      <w:pPr>
        <w:spacing w:line="360" w:lineRule="auto"/>
        <w:ind w:firstLine="420"/>
        <w:rPr>
          <w:rFonts w:ascii="宋体" w:hAnsi="宋体" w:cs="宋体"/>
          <w:sz w:val="24"/>
        </w:rPr>
      </w:pPr>
      <w:r>
        <w:rPr>
          <w:rFonts w:hint="eastAsia" w:ascii="宋体" w:hAnsi="宋体" w:cs="宋体"/>
          <w:sz w:val="24"/>
        </w:rPr>
        <w:t>项目名称：                                     项目编号：</w:t>
      </w:r>
    </w:p>
    <w:p>
      <w:pPr>
        <w:spacing w:line="360" w:lineRule="auto"/>
        <w:ind w:firstLine="420"/>
        <w:rPr>
          <w:rFonts w:ascii="宋体" w:hAnsi="宋体" w:cs="宋体"/>
          <w:sz w:val="24"/>
        </w:rPr>
      </w:pPr>
      <w:r>
        <w:rPr>
          <w:rFonts w:hint="eastAsia" w:ascii="宋体" w:hAnsi="宋体" w:cs="宋体"/>
          <w:sz w:val="24"/>
        </w:rPr>
        <w:t>甲方：（买方）</w:t>
      </w:r>
    </w:p>
    <w:p>
      <w:pPr>
        <w:spacing w:line="360" w:lineRule="auto"/>
        <w:ind w:firstLine="420"/>
        <w:rPr>
          <w:rFonts w:ascii="宋体" w:hAnsi="宋体" w:cs="宋体"/>
          <w:sz w:val="24"/>
        </w:rPr>
      </w:pPr>
      <w:r>
        <w:rPr>
          <w:rFonts w:hint="eastAsia" w:ascii="宋体" w:hAnsi="宋体" w:cs="宋体"/>
          <w:sz w:val="24"/>
        </w:rPr>
        <w:t>乙方：（卖方）</w:t>
      </w:r>
    </w:p>
    <w:p>
      <w:pPr>
        <w:spacing w:line="360" w:lineRule="auto"/>
        <w:ind w:firstLine="420"/>
        <w:rPr>
          <w:rFonts w:ascii="宋体" w:hAnsi="宋体" w:cs="宋体"/>
          <w:b/>
          <w:sz w:val="24"/>
        </w:rPr>
      </w:pPr>
      <w:r>
        <w:rPr>
          <w:rFonts w:hint="eastAsia" w:ascii="宋体" w:hAnsi="宋体" w:cs="宋体"/>
          <w:sz w:val="24"/>
        </w:rPr>
        <w:t>甲、乙双方根据 的结果，签署本合同。</w:t>
      </w:r>
    </w:p>
    <w:p>
      <w:pPr>
        <w:pStyle w:val="5"/>
        <w:spacing w:line="360" w:lineRule="auto"/>
        <w:rPr>
          <w:rFonts w:ascii="宋体" w:hAnsi="宋体" w:cs="宋体"/>
          <w:sz w:val="24"/>
          <w:szCs w:val="24"/>
        </w:rPr>
      </w:pPr>
      <w:r>
        <w:rPr>
          <w:rFonts w:hint="eastAsia" w:ascii="宋体" w:hAnsi="宋体" w:cs="宋体"/>
          <w:sz w:val="24"/>
          <w:szCs w:val="24"/>
        </w:rPr>
        <w:t>一、服务内容</w:t>
      </w:r>
    </w:p>
    <w:p>
      <w:pPr>
        <w:pStyle w:val="5"/>
        <w:spacing w:line="360" w:lineRule="auto"/>
        <w:rPr>
          <w:rFonts w:ascii="宋体" w:hAnsi="宋体" w:cs="宋体"/>
          <w:sz w:val="24"/>
          <w:szCs w:val="24"/>
        </w:rPr>
      </w:pPr>
      <w:r>
        <w:rPr>
          <w:rFonts w:hint="eastAsia" w:ascii="宋体" w:hAnsi="宋体" w:cs="宋体"/>
          <w:sz w:val="24"/>
          <w:szCs w:val="24"/>
        </w:rPr>
        <w:t>二、合同金额</w:t>
      </w:r>
    </w:p>
    <w:p>
      <w:pPr>
        <w:spacing w:line="360" w:lineRule="auto"/>
        <w:ind w:firstLine="420"/>
        <w:rPr>
          <w:rFonts w:ascii="宋体" w:hAnsi="宋体" w:cs="宋体"/>
          <w:sz w:val="24"/>
        </w:rPr>
      </w:pPr>
      <w:r>
        <w:rPr>
          <w:rFonts w:hint="eastAsia" w:ascii="宋体" w:hAnsi="宋体" w:cs="宋体"/>
          <w:sz w:val="24"/>
        </w:rPr>
        <w:t>2.1 本合同金额为（大写）：____________________________________元（￥_______________元）人民币。</w:t>
      </w:r>
    </w:p>
    <w:p>
      <w:pPr>
        <w:pStyle w:val="5"/>
        <w:spacing w:line="360" w:lineRule="auto"/>
        <w:rPr>
          <w:rFonts w:ascii="宋体" w:hAnsi="宋体" w:cs="宋体"/>
          <w:sz w:val="24"/>
          <w:szCs w:val="24"/>
        </w:rPr>
      </w:pPr>
      <w:r>
        <w:rPr>
          <w:rFonts w:hint="eastAsia" w:ascii="宋体" w:hAnsi="宋体" w:cs="宋体"/>
          <w:sz w:val="24"/>
          <w:szCs w:val="24"/>
        </w:rPr>
        <w:t>三、技术资料</w:t>
      </w:r>
    </w:p>
    <w:p>
      <w:pPr>
        <w:spacing w:line="360" w:lineRule="auto"/>
        <w:ind w:firstLine="420"/>
        <w:rPr>
          <w:rFonts w:ascii="宋体" w:hAnsi="宋体" w:cs="宋体"/>
          <w:sz w:val="24"/>
        </w:rPr>
      </w:pPr>
      <w:r>
        <w:rPr>
          <w:rFonts w:hint="eastAsia" w:ascii="宋体" w:hAnsi="宋体" w:cs="宋体"/>
          <w:sz w:val="24"/>
        </w:rPr>
        <w:t>3.1乙方应按采购文件规定的时间向甲方提供有关技术资料。</w:t>
      </w:r>
    </w:p>
    <w:p>
      <w:pPr>
        <w:spacing w:line="360" w:lineRule="auto"/>
        <w:ind w:firstLine="420"/>
        <w:rPr>
          <w:rFonts w:ascii="宋体" w:hAnsi="宋体" w:cs="宋体"/>
          <w:sz w:val="24"/>
        </w:rPr>
      </w:pPr>
      <w:r>
        <w:rPr>
          <w:rFonts w:hint="eastAsia" w:ascii="宋体" w:hAnsi="宋体" w:cs="宋体"/>
          <w:sz w:val="24"/>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5"/>
        <w:spacing w:line="360" w:lineRule="auto"/>
        <w:rPr>
          <w:rFonts w:ascii="宋体" w:hAnsi="宋体" w:cs="宋体"/>
          <w:sz w:val="24"/>
          <w:szCs w:val="24"/>
        </w:rPr>
      </w:pPr>
      <w:r>
        <w:rPr>
          <w:rFonts w:hint="eastAsia" w:ascii="宋体" w:hAnsi="宋体" w:cs="宋体"/>
          <w:sz w:val="24"/>
          <w:szCs w:val="24"/>
        </w:rPr>
        <w:t>四、知识产权</w:t>
      </w:r>
    </w:p>
    <w:p>
      <w:pPr>
        <w:spacing w:line="360" w:lineRule="auto"/>
        <w:ind w:firstLine="420"/>
        <w:rPr>
          <w:rFonts w:ascii="宋体" w:hAnsi="宋体" w:cs="宋体"/>
          <w:b/>
          <w:bCs/>
          <w:sz w:val="24"/>
        </w:rPr>
      </w:pPr>
      <w:r>
        <w:rPr>
          <w:rFonts w:hint="eastAsia" w:ascii="宋体" w:hAnsi="宋体" w:cs="宋体"/>
          <w:sz w:val="24"/>
        </w:rPr>
        <w:t>4.1乙方应保证提供服务过程中不会侵犯任何第三方的知识产权</w:t>
      </w:r>
      <w:r>
        <w:rPr>
          <w:rFonts w:hint="eastAsia" w:ascii="宋体" w:hAnsi="宋体" w:cs="宋体"/>
          <w:bCs/>
          <w:sz w:val="24"/>
        </w:rPr>
        <w:t>。</w:t>
      </w:r>
    </w:p>
    <w:p>
      <w:pPr>
        <w:pStyle w:val="5"/>
        <w:spacing w:line="360" w:lineRule="auto"/>
        <w:rPr>
          <w:rFonts w:ascii="宋体" w:hAnsi="宋体" w:cs="宋体"/>
          <w:sz w:val="24"/>
          <w:szCs w:val="24"/>
        </w:rPr>
      </w:pPr>
      <w:r>
        <w:rPr>
          <w:rFonts w:hint="eastAsia" w:ascii="宋体" w:hAnsi="宋体" w:cs="宋体"/>
          <w:sz w:val="24"/>
          <w:szCs w:val="24"/>
        </w:rPr>
        <w:t>五、履约保证金</w:t>
      </w:r>
    </w:p>
    <w:p>
      <w:pPr>
        <w:spacing w:line="360" w:lineRule="auto"/>
        <w:ind w:firstLine="422"/>
        <w:rPr>
          <w:rFonts w:ascii="宋体" w:hAnsi="宋体" w:cs="宋体"/>
          <w:sz w:val="24"/>
        </w:rPr>
      </w:pPr>
      <w:r>
        <w:rPr>
          <w:rFonts w:hint="eastAsia" w:ascii="宋体" w:hAnsi="宋体" w:cs="宋体"/>
          <w:sz w:val="24"/>
        </w:rPr>
        <w:t>5.1乙方在合同签订之日起5天内向甲方指定的账户缴纳合同总价0%的履约保证金。履约保证金的交付方式：网银、支票、汇票、本票或者金融机构、担保机构出具的保函等非现金方式。</w:t>
      </w:r>
    </w:p>
    <w:p>
      <w:pPr>
        <w:spacing w:line="360" w:lineRule="auto"/>
        <w:ind w:firstLine="422"/>
        <w:rPr>
          <w:rFonts w:ascii="宋体" w:hAnsi="宋体" w:cs="宋体"/>
          <w:sz w:val="24"/>
        </w:rPr>
      </w:pPr>
      <w:r>
        <w:rPr>
          <w:rFonts w:hint="eastAsia" w:ascii="宋体" w:hAnsi="宋体" w:cs="宋体"/>
          <w:sz w:val="24"/>
        </w:rPr>
        <w:t>5.2履约保证金在服务期满，确认乙方无违约行为后一周内无息返还。</w:t>
      </w:r>
    </w:p>
    <w:p>
      <w:pPr>
        <w:pStyle w:val="5"/>
        <w:spacing w:line="360" w:lineRule="auto"/>
        <w:rPr>
          <w:rFonts w:ascii="宋体" w:hAnsi="宋体" w:cs="宋体"/>
          <w:sz w:val="24"/>
          <w:szCs w:val="24"/>
        </w:rPr>
      </w:pPr>
      <w:r>
        <w:rPr>
          <w:rFonts w:hint="eastAsia" w:ascii="宋体" w:hAnsi="宋体" w:cs="宋体"/>
          <w:sz w:val="24"/>
          <w:szCs w:val="24"/>
        </w:rPr>
        <w:t>六、转包或分包</w:t>
      </w:r>
    </w:p>
    <w:p>
      <w:pPr>
        <w:spacing w:line="360" w:lineRule="auto"/>
        <w:ind w:firstLine="420"/>
        <w:rPr>
          <w:rFonts w:ascii="宋体" w:hAnsi="宋体" w:cs="宋体"/>
          <w:sz w:val="24"/>
        </w:rPr>
      </w:pPr>
      <w:r>
        <w:rPr>
          <w:rFonts w:hint="eastAsia" w:ascii="宋体" w:hAnsi="宋体" w:cs="宋体"/>
          <w:sz w:val="24"/>
        </w:rPr>
        <w:t>6.1本合同范围的服务，应由乙方直接供应，不得转让他人供应；</w:t>
      </w:r>
    </w:p>
    <w:p>
      <w:pPr>
        <w:spacing w:line="360" w:lineRule="auto"/>
        <w:ind w:firstLine="420"/>
        <w:rPr>
          <w:rFonts w:ascii="宋体" w:hAnsi="宋体" w:cs="宋体"/>
          <w:sz w:val="24"/>
        </w:rPr>
      </w:pPr>
      <w:r>
        <w:rPr>
          <w:rFonts w:hint="eastAsia" w:ascii="宋体" w:hAnsi="宋体" w:cs="宋体"/>
          <w:sz w:val="24"/>
        </w:rPr>
        <w:t>6.2除非得到甲方的书面同意，乙方不得将本合同范围的服务全部或部分分包给他人供应；</w:t>
      </w:r>
    </w:p>
    <w:p>
      <w:pPr>
        <w:spacing w:line="360" w:lineRule="auto"/>
        <w:ind w:firstLine="420"/>
        <w:rPr>
          <w:rFonts w:ascii="宋体" w:hAnsi="宋体" w:cs="宋体"/>
          <w:sz w:val="24"/>
        </w:rPr>
      </w:pPr>
      <w:r>
        <w:rPr>
          <w:rFonts w:hint="eastAsia" w:ascii="宋体" w:hAnsi="宋体" w:cs="宋体"/>
          <w:sz w:val="24"/>
        </w:rPr>
        <w:t>6.3如有转让和未经甲方同意的分包行为，甲方有权解除合同，没收履约保证金并追究乙方的违约责任。</w:t>
      </w:r>
    </w:p>
    <w:p>
      <w:pPr>
        <w:pStyle w:val="5"/>
        <w:spacing w:line="360" w:lineRule="auto"/>
        <w:rPr>
          <w:rFonts w:ascii="宋体" w:hAnsi="宋体" w:cs="宋体"/>
          <w:sz w:val="24"/>
          <w:szCs w:val="24"/>
        </w:rPr>
      </w:pPr>
      <w:r>
        <w:rPr>
          <w:rFonts w:hint="eastAsia" w:ascii="宋体" w:hAnsi="宋体" w:cs="宋体"/>
          <w:sz w:val="24"/>
          <w:szCs w:val="24"/>
        </w:rPr>
        <w:t>七、服务质量保证期(选用)</w:t>
      </w:r>
    </w:p>
    <w:p>
      <w:pPr>
        <w:spacing w:line="360" w:lineRule="auto"/>
        <w:ind w:firstLine="420"/>
        <w:rPr>
          <w:rFonts w:ascii="宋体" w:hAnsi="宋体" w:cs="宋体"/>
          <w:sz w:val="24"/>
        </w:rPr>
      </w:pPr>
      <w:r>
        <w:rPr>
          <w:rFonts w:hint="eastAsia" w:ascii="宋体" w:hAnsi="宋体" w:cs="宋体"/>
          <w:sz w:val="24"/>
        </w:rPr>
        <w:t>7.1服务质量保证期  年。（自验收合格之日起计）</w:t>
      </w:r>
    </w:p>
    <w:p>
      <w:pPr>
        <w:pStyle w:val="5"/>
        <w:spacing w:line="360" w:lineRule="auto"/>
        <w:rPr>
          <w:rFonts w:ascii="宋体" w:hAnsi="宋体" w:cs="宋体"/>
          <w:sz w:val="24"/>
          <w:szCs w:val="24"/>
        </w:rPr>
      </w:pPr>
      <w:r>
        <w:rPr>
          <w:rFonts w:hint="eastAsia" w:ascii="宋体" w:hAnsi="宋体" w:cs="宋体"/>
          <w:sz w:val="24"/>
          <w:szCs w:val="24"/>
        </w:rPr>
        <w:t>八、合同履行时间、履行方式及履行地点</w:t>
      </w:r>
    </w:p>
    <w:p>
      <w:pPr>
        <w:spacing w:line="360" w:lineRule="auto"/>
        <w:ind w:firstLine="420"/>
        <w:rPr>
          <w:rFonts w:ascii="宋体" w:hAnsi="宋体" w:cs="宋体"/>
          <w:bCs/>
          <w:sz w:val="24"/>
        </w:rPr>
      </w:pPr>
      <w:r>
        <w:rPr>
          <w:rFonts w:hint="eastAsia" w:ascii="宋体" w:hAnsi="宋体" w:cs="宋体"/>
          <w:bCs/>
          <w:sz w:val="24"/>
        </w:rPr>
        <w:t>8.1</w:t>
      </w:r>
      <w:r>
        <w:rPr>
          <w:rFonts w:hint="eastAsia" w:ascii="宋体" w:hAnsi="宋体" w:cs="宋体"/>
          <w:sz w:val="24"/>
        </w:rPr>
        <w:t>履行时间</w:t>
      </w:r>
      <w:r>
        <w:rPr>
          <w:rFonts w:hint="eastAsia" w:ascii="宋体" w:hAnsi="宋体" w:cs="宋体"/>
          <w:bCs/>
          <w:sz w:val="24"/>
        </w:rPr>
        <w:t>：</w:t>
      </w:r>
    </w:p>
    <w:p>
      <w:pPr>
        <w:spacing w:line="360" w:lineRule="auto"/>
        <w:ind w:firstLine="420"/>
        <w:rPr>
          <w:rFonts w:ascii="宋体" w:hAnsi="宋体" w:cs="宋体"/>
          <w:bCs/>
          <w:sz w:val="24"/>
        </w:rPr>
      </w:pPr>
      <w:r>
        <w:rPr>
          <w:rFonts w:hint="eastAsia" w:ascii="宋体" w:hAnsi="宋体" w:cs="宋体"/>
          <w:bCs/>
          <w:sz w:val="24"/>
        </w:rPr>
        <w:t>8.2</w:t>
      </w:r>
      <w:r>
        <w:rPr>
          <w:rFonts w:hint="eastAsia" w:ascii="宋体" w:hAnsi="宋体" w:cs="宋体"/>
          <w:sz w:val="24"/>
        </w:rPr>
        <w:t>履行方式</w:t>
      </w:r>
      <w:r>
        <w:rPr>
          <w:rFonts w:hint="eastAsia" w:ascii="宋体" w:hAnsi="宋体" w:cs="宋体"/>
          <w:bCs/>
          <w:sz w:val="24"/>
        </w:rPr>
        <w:t>：</w:t>
      </w:r>
    </w:p>
    <w:p>
      <w:pPr>
        <w:spacing w:line="360" w:lineRule="auto"/>
        <w:ind w:firstLine="420"/>
        <w:rPr>
          <w:rFonts w:ascii="宋体" w:hAnsi="宋体" w:cs="宋体"/>
          <w:sz w:val="24"/>
        </w:rPr>
      </w:pPr>
      <w:r>
        <w:rPr>
          <w:rFonts w:hint="eastAsia" w:ascii="宋体" w:hAnsi="宋体" w:cs="宋体"/>
          <w:bCs/>
          <w:sz w:val="24"/>
        </w:rPr>
        <w:t>8.3</w:t>
      </w:r>
      <w:r>
        <w:rPr>
          <w:rFonts w:hint="eastAsia" w:ascii="宋体" w:hAnsi="宋体" w:cs="宋体"/>
          <w:sz w:val="24"/>
        </w:rPr>
        <w:t>履行地点</w:t>
      </w:r>
      <w:r>
        <w:rPr>
          <w:rFonts w:hint="eastAsia" w:ascii="宋体" w:hAnsi="宋体" w:cs="宋体"/>
          <w:bCs/>
          <w:sz w:val="24"/>
        </w:rPr>
        <w:t>：</w:t>
      </w:r>
    </w:p>
    <w:p>
      <w:pPr>
        <w:pStyle w:val="5"/>
        <w:spacing w:line="360" w:lineRule="auto"/>
        <w:rPr>
          <w:rFonts w:ascii="宋体" w:hAnsi="宋体" w:cs="宋体"/>
          <w:sz w:val="24"/>
          <w:szCs w:val="24"/>
        </w:rPr>
      </w:pPr>
      <w:r>
        <w:rPr>
          <w:rFonts w:hint="eastAsia" w:ascii="宋体" w:hAnsi="宋体" w:cs="宋体"/>
          <w:sz w:val="24"/>
          <w:szCs w:val="24"/>
        </w:rPr>
        <w:t>九、款项支付</w:t>
      </w:r>
    </w:p>
    <w:p>
      <w:pPr>
        <w:spacing w:line="360" w:lineRule="auto"/>
        <w:ind w:firstLine="420"/>
        <w:rPr>
          <w:rFonts w:ascii="宋体" w:hAnsi="宋体" w:cs="宋体"/>
          <w:bCs/>
          <w:sz w:val="24"/>
        </w:rPr>
      </w:pPr>
      <w:r>
        <w:rPr>
          <w:rFonts w:hint="eastAsia" w:ascii="宋体" w:hAnsi="宋体" w:cs="宋体"/>
          <w:bCs/>
          <w:sz w:val="24"/>
        </w:rPr>
        <w:t>9.1付款方式：</w:t>
      </w:r>
    </w:p>
    <w:p>
      <w:pPr>
        <w:pStyle w:val="5"/>
        <w:spacing w:line="360" w:lineRule="auto"/>
        <w:rPr>
          <w:rFonts w:ascii="宋体" w:hAnsi="宋体" w:cs="宋体"/>
          <w:sz w:val="24"/>
          <w:szCs w:val="24"/>
        </w:rPr>
      </w:pPr>
      <w:r>
        <w:rPr>
          <w:rFonts w:hint="eastAsia" w:ascii="宋体" w:hAnsi="宋体" w:cs="宋体"/>
          <w:sz w:val="24"/>
          <w:szCs w:val="24"/>
        </w:rPr>
        <w:t>十、税费</w:t>
      </w:r>
    </w:p>
    <w:p>
      <w:pPr>
        <w:spacing w:line="360" w:lineRule="auto"/>
        <w:ind w:firstLine="420"/>
        <w:rPr>
          <w:rFonts w:ascii="宋体" w:hAnsi="宋体" w:cs="宋体"/>
          <w:sz w:val="24"/>
        </w:rPr>
      </w:pPr>
      <w:r>
        <w:rPr>
          <w:rFonts w:hint="eastAsia" w:ascii="宋体" w:hAnsi="宋体" w:cs="宋体"/>
          <w:sz w:val="24"/>
        </w:rPr>
        <w:t>10.1本合同执行中相关的一切税费均由乙方负担。</w:t>
      </w:r>
    </w:p>
    <w:p>
      <w:pPr>
        <w:pStyle w:val="5"/>
        <w:spacing w:line="360" w:lineRule="auto"/>
        <w:rPr>
          <w:rFonts w:ascii="宋体" w:hAnsi="宋体" w:cs="宋体"/>
          <w:sz w:val="24"/>
          <w:szCs w:val="24"/>
        </w:rPr>
      </w:pPr>
      <w:r>
        <w:rPr>
          <w:rFonts w:hint="eastAsia" w:ascii="宋体" w:hAnsi="宋体" w:cs="宋体"/>
          <w:sz w:val="24"/>
          <w:szCs w:val="24"/>
        </w:rPr>
        <w:t>十一、质量保证及后续服务</w:t>
      </w:r>
    </w:p>
    <w:p>
      <w:pPr>
        <w:spacing w:line="360" w:lineRule="auto"/>
        <w:ind w:firstLine="420"/>
        <w:rPr>
          <w:rFonts w:ascii="宋体" w:hAnsi="宋体" w:cs="宋体"/>
          <w:sz w:val="24"/>
        </w:rPr>
      </w:pPr>
      <w:r>
        <w:rPr>
          <w:rFonts w:hint="eastAsia" w:ascii="宋体" w:hAnsi="宋体" w:cs="宋体"/>
          <w:sz w:val="24"/>
        </w:rPr>
        <w:t>11.1乙方应按采购文件规定向甲方提供服务。</w:t>
      </w:r>
    </w:p>
    <w:p>
      <w:pPr>
        <w:spacing w:line="360" w:lineRule="auto"/>
        <w:ind w:firstLine="420"/>
        <w:rPr>
          <w:rFonts w:ascii="宋体" w:hAnsi="宋体" w:cs="宋体"/>
          <w:sz w:val="24"/>
        </w:rPr>
      </w:pPr>
      <w:r>
        <w:rPr>
          <w:rFonts w:hint="eastAsia" w:ascii="宋体" w:hAnsi="宋体" w:cs="宋体"/>
          <w:sz w:val="24"/>
        </w:rPr>
        <w:t>11.2乙方提供的服务成果在服务质量保证期内发生故障，乙方应负责免费提供后续服务。对达不到要求者，根据实际情况，经双方协商，可按以下办法处理：</w:t>
      </w:r>
    </w:p>
    <w:p>
      <w:pPr>
        <w:spacing w:line="360" w:lineRule="auto"/>
        <w:ind w:firstLine="420"/>
        <w:rPr>
          <w:rFonts w:ascii="宋体" w:hAnsi="宋体" w:cs="宋体"/>
          <w:sz w:val="24"/>
        </w:rPr>
      </w:pPr>
      <w:r>
        <w:rPr>
          <w:rFonts w:hint="eastAsia" w:ascii="宋体" w:hAnsi="宋体" w:cs="宋体"/>
          <w:sz w:val="24"/>
        </w:rPr>
        <w:t>⑴重做：由乙方承担所发生的全部费用。</w:t>
      </w:r>
    </w:p>
    <w:p>
      <w:pPr>
        <w:spacing w:line="360" w:lineRule="auto"/>
        <w:ind w:firstLine="420"/>
        <w:rPr>
          <w:rFonts w:ascii="宋体" w:hAnsi="宋体" w:cs="宋体"/>
          <w:sz w:val="24"/>
        </w:rPr>
      </w:pPr>
      <w:r>
        <w:rPr>
          <w:rFonts w:hint="eastAsia" w:ascii="宋体" w:hAnsi="宋体" w:cs="宋体"/>
          <w:sz w:val="24"/>
        </w:rPr>
        <w:t>⑵贬值处理：由甲乙双方合议定价。</w:t>
      </w:r>
    </w:p>
    <w:p>
      <w:pPr>
        <w:spacing w:line="360" w:lineRule="auto"/>
        <w:ind w:firstLine="420"/>
        <w:rPr>
          <w:rFonts w:ascii="宋体" w:hAnsi="宋体" w:cs="宋体"/>
          <w:sz w:val="24"/>
        </w:rPr>
      </w:pPr>
      <w:r>
        <w:rPr>
          <w:rFonts w:hint="eastAsia" w:ascii="宋体" w:hAnsi="宋体" w:cs="宋体"/>
          <w:sz w:val="24"/>
        </w:rPr>
        <w:t>⑶解除合同。</w:t>
      </w:r>
    </w:p>
    <w:p>
      <w:pPr>
        <w:spacing w:line="360" w:lineRule="auto"/>
        <w:ind w:firstLine="420"/>
        <w:rPr>
          <w:rFonts w:ascii="宋体" w:hAnsi="宋体" w:cs="宋体"/>
          <w:sz w:val="24"/>
        </w:rPr>
      </w:pPr>
      <w:r>
        <w:rPr>
          <w:rFonts w:hint="eastAsia" w:ascii="宋体" w:hAnsi="宋体" w:cs="宋体"/>
          <w:sz w:val="24"/>
        </w:rPr>
        <w:t>11.3如在使用过程中发生问题，乙方在接到甲方通知后在△小时内到达甲方现场。</w:t>
      </w:r>
    </w:p>
    <w:p>
      <w:pPr>
        <w:spacing w:line="360" w:lineRule="auto"/>
        <w:ind w:firstLine="420"/>
        <w:rPr>
          <w:rFonts w:ascii="宋体" w:hAnsi="宋体" w:cs="宋体"/>
          <w:sz w:val="24"/>
        </w:rPr>
      </w:pPr>
      <w:r>
        <w:rPr>
          <w:rFonts w:hint="eastAsia" w:ascii="宋体" w:hAnsi="宋体" w:cs="宋体"/>
          <w:sz w:val="24"/>
        </w:rPr>
        <w:t>11.4在服务质量保证期内，乙方应对出现的质量及安全问题负责处理解决并承担</w:t>
      </w:r>
    </w:p>
    <w:p>
      <w:pPr>
        <w:spacing w:line="360" w:lineRule="auto"/>
        <w:ind w:firstLine="420"/>
        <w:rPr>
          <w:rFonts w:ascii="宋体" w:hAnsi="宋体" w:cs="宋体"/>
          <w:sz w:val="24"/>
        </w:rPr>
      </w:pPr>
      <w:r>
        <w:rPr>
          <w:rFonts w:hint="eastAsia" w:ascii="宋体" w:hAnsi="宋体" w:cs="宋体"/>
          <w:sz w:val="24"/>
        </w:rPr>
        <w:t>一切费用。</w:t>
      </w:r>
    </w:p>
    <w:p>
      <w:pPr>
        <w:pStyle w:val="5"/>
        <w:spacing w:line="360" w:lineRule="auto"/>
        <w:rPr>
          <w:rFonts w:ascii="宋体" w:hAnsi="宋体" w:cs="宋体"/>
          <w:sz w:val="24"/>
          <w:szCs w:val="24"/>
        </w:rPr>
      </w:pPr>
      <w:r>
        <w:rPr>
          <w:rFonts w:hint="eastAsia" w:ascii="宋体" w:hAnsi="宋体" w:cs="宋体"/>
          <w:sz w:val="24"/>
          <w:szCs w:val="24"/>
        </w:rPr>
        <w:t>十二、违约责任</w:t>
      </w:r>
    </w:p>
    <w:p>
      <w:pPr>
        <w:spacing w:line="360" w:lineRule="auto"/>
        <w:ind w:firstLine="420"/>
        <w:rPr>
          <w:rFonts w:ascii="宋体" w:hAnsi="宋体" w:cs="宋体"/>
          <w:sz w:val="24"/>
        </w:rPr>
      </w:pPr>
      <w:r>
        <w:rPr>
          <w:rFonts w:hint="eastAsia" w:ascii="宋体" w:hAnsi="宋体" w:cs="宋体"/>
          <w:sz w:val="24"/>
        </w:rPr>
        <w:t>12.1甲方无正当理由拒收接受服务的，甲方向乙方偿付合同款项百分之五作为违约金。</w:t>
      </w:r>
    </w:p>
    <w:p>
      <w:pPr>
        <w:spacing w:line="360" w:lineRule="auto"/>
        <w:ind w:firstLine="420"/>
        <w:rPr>
          <w:rFonts w:ascii="宋体" w:hAnsi="宋体" w:cs="宋体"/>
          <w:sz w:val="24"/>
        </w:rPr>
      </w:pPr>
      <w:r>
        <w:rPr>
          <w:rFonts w:hint="eastAsia" w:ascii="宋体" w:hAnsi="宋体" w:cs="宋体"/>
          <w:sz w:val="24"/>
        </w:rPr>
        <w:t>12.2甲方无故逾期验收和办理款项支付手续的,甲方应按逾期付款总额每日万分之五向乙方支付违约金。</w:t>
      </w:r>
    </w:p>
    <w:p>
      <w:pPr>
        <w:spacing w:line="360" w:lineRule="auto"/>
        <w:ind w:firstLine="420"/>
        <w:rPr>
          <w:rFonts w:ascii="宋体" w:hAnsi="宋体" w:cs="宋体"/>
          <w:sz w:val="24"/>
        </w:rPr>
      </w:pPr>
      <w:r>
        <w:rPr>
          <w:rFonts w:hint="eastAsia" w:ascii="宋体" w:hAnsi="宋体" w:cs="宋体"/>
          <w:sz w:val="24"/>
        </w:rPr>
        <w:t xml:space="preserve">12.3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5"/>
        <w:spacing w:line="360" w:lineRule="auto"/>
        <w:rPr>
          <w:rFonts w:ascii="宋体" w:hAnsi="宋体" w:cs="宋体"/>
          <w:sz w:val="24"/>
          <w:szCs w:val="24"/>
        </w:rPr>
      </w:pPr>
      <w:r>
        <w:rPr>
          <w:rFonts w:hint="eastAsia" w:ascii="宋体" w:hAnsi="宋体" w:cs="宋体"/>
          <w:sz w:val="24"/>
          <w:szCs w:val="24"/>
        </w:rPr>
        <w:t>十三、不可抗力事件处理</w:t>
      </w:r>
    </w:p>
    <w:p>
      <w:pPr>
        <w:spacing w:line="360" w:lineRule="auto"/>
        <w:ind w:firstLine="420"/>
        <w:rPr>
          <w:rFonts w:ascii="宋体" w:hAnsi="宋体" w:cs="宋体"/>
          <w:sz w:val="24"/>
        </w:rPr>
      </w:pPr>
      <w:r>
        <w:rPr>
          <w:rFonts w:hint="eastAsia" w:ascii="宋体" w:hAnsi="宋体" w:cs="宋体"/>
          <w:sz w:val="24"/>
        </w:rPr>
        <w:t>13.1在合同有效期内，任何一方因不可抗力事件导致不能履行合同，则合同履行期可延长，其延长期与不可抗力影响期相同。</w:t>
      </w:r>
    </w:p>
    <w:p>
      <w:pPr>
        <w:spacing w:line="360" w:lineRule="auto"/>
        <w:ind w:firstLine="420"/>
        <w:rPr>
          <w:rFonts w:ascii="宋体" w:hAnsi="宋体" w:cs="宋体"/>
          <w:sz w:val="24"/>
        </w:rPr>
      </w:pPr>
      <w:r>
        <w:rPr>
          <w:rFonts w:hint="eastAsia" w:ascii="宋体" w:hAnsi="宋体" w:cs="宋体"/>
          <w:sz w:val="24"/>
        </w:rPr>
        <w:t>13.2不可抗力事件发生后，应立即通知对方，并寄送有关权威机构出具的证明。</w:t>
      </w:r>
    </w:p>
    <w:p>
      <w:pPr>
        <w:spacing w:line="360" w:lineRule="auto"/>
        <w:ind w:firstLine="420"/>
        <w:rPr>
          <w:rFonts w:ascii="宋体" w:hAnsi="宋体" w:cs="宋体"/>
          <w:sz w:val="24"/>
        </w:rPr>
      </w:pPr>
      <w:r>
        <w:rPr>
          <w:rFonts w:hint="eastAsia" w:ascii="宋体" w:hAnsi="宋体" w:cs="宋体"/>
          <w:sz w:val="24"/>
        </w:rPr>
        <w:t>13.3不可抗力事件延续120天以上，双方应通过友好协商，确定是否继续履行合同。</w:t>
      </w:r>
    </w:p>
    <w:p>
      <w:pPr>
        <w:pStyle w:val="5"/>
        <w:spacing w:line="360" w:lineRule="auto"/>
        <w:rPr>
          <w:rFonts w:ascii="宋体" w:hAnsi="宋体" w:cs="宋体"/>
          <w:sz w:val="24"/>
          <w:szCs w:val="24"/>
        </w:rPr>
      </w:pPr>
      <w:r>
        <w:rPr>
          <w:rFonts w:hint="eastAsia" w:ascii="宋体" w:hAnsi="宋体" w:cs="宋体"/>
          <w:sz w:val="24"/>
          <w:szCs w:val="24"/>
        </w:rPr>
        <w:t>十四、诉讼</w:t>
      </w:r>
    </w:p>
    <w:p>
      <w:pPr>
        <w:spacing w:line="360" w:lineRule="auto"/>
        <w:ind w:firstLine="420"/>
        <w:rPr>
          <w:rFonts w:ascii="宋体" w:hAnsi="宋体" w:cs="宋体"/>
          <w:sz w:val="24"/>
        </w:rPr>
      </w:pPr>
      <w:r>
        <w:rPr>
          <w:rFonts w:hint="eastAsia" w:ascii="宋体" w:hAnsi="宋体" w:cs="宋体"/>
          <w:sz w:val="24"/>
        </w:rPr>
        <w:t>14.1双方在执行合同中所发生的一切争议，应通过协商解决。如协商不成，可向甲方所在地法院起诉。</w:t>
      </w:r>
    </w:p>
    <w:p>
      <w:pPr>
        <w:pStyle w:val="5"/>
        <w:spacing w:line="360" w:lineRule="auto"/>
        <w:rPr>
          <w:rFonts w:ascii="宋体" w:hAnsi="宋体" w:cs="宋体"/>
          <w:sz w:val="24"/>
          <w:szCs w:val="24"/>
        </w:rPr>
      </w:pPr>
      <w:r>
        <w:rPr>
          <w:rFonts w:hint="eastAsia" w:ascii="宋体" w:hAnsi="宋体" w:cs="宋体"/>
          <w:sz w:val="24"/>
          <w:szCs w:val="24"/>
        </w:rPr>
        <w:t>十五、合同生效及其它</w:t>
      </w:r>
    </w:p>
    <w:p>
      <w:pPr>
        <w:spacing w:line="360" w:lineRule="auto"/>
        <w:ind w:firstLine="420"/>
        <w:rPr>
          <w:rFonts w:ascii="宋体" w:hAnsi="宋体" w:cs="宋体"/>
          <w:sz w:val="24"/>
        </w:rPr>
      </w:pPr>
      <w:r>
        <w:rPr>
          <w:rFonts w:hint="eastAsia" w:ascii="宋体" w:hAnsi="宋体" w:cs="宋体"/>
          <w:sz w:val="24"/>
        </w:rPr>
        <w:t>15.1合同经双方法定代表人或授权代表签字并加盖单位公章后生效。</w:t>
      </w:r>
    </w:p>
    <w:p>
      <w:pPr>
        <w:spacing w:line="360" w:lineRule="auto"/>
        <w:ind w:firstLine="420"/>
        <w:rPr>
          <w:rFonts w:ascii="宋体" w:hAnsi="宋体" w:cs="宋体"/>
          <w:sz w:val="24"/>
        </w:rPr>
      </w:pPr>
      <w:r>
        <w:rPr>
          <w:rFonts w:hint="eastAsia" w:ascii="宋体" w:hAnsi="宋体" w:cs="宋体"/>
          <w:sz w:val="24"/>
        </w:rPr>
        <w:t>15.2合同执行中涉及采购资金和采购内容修改或补充的，须经财政部门审批，并签书面补充协议报政府采购监督管理部门备案，方可作为主合同不可分割的一部分。</w:t>
      </w:r>
    </w:p>
    <w:p>
      <w:pPr>
        <w:spacing w:line="360" w:lineRule="auto"/>
        <w:ind w:firstLine="420"/>
        <w:rPr>
          <w:rFonts w:ascii="宋体" w:hAnsi="宋体" w:cs="宋体"/>
          <w:sz w:val="24"/>
        </w:rPr>
      </w:pPr>
      <w:r>
        <w:rPr>
          <w:rFonts w:hint="eastAsia" w:ascii="宋体" w:hAnsi="宋体" w:cs="宋体"/>
          <w:sz w:val="24"/>
        </w:rPr>
        <w:t>3．本合同未尽事宜，遵照《民法典》有关条文执行。</w:t>
      </w:r>
    </w:p>
    <w:p>
      <w:pPr>
        <w:spacing w:line="360" w:lineRule="auto"/>
        <w:ind w:firstLine="420"/>
        <w:rPr>
          <w:rFonts w:ascii="宋体" w:hAnsi="宋体" w:cs="宋体"/>
          <w:sz w:val="24"/>
        </w:rPr>
      </w:pPr>
      <w:r>
        <w:rPr>
          <w:rFonts w:hint="eastAsia" w:ascii="宋体" w:hAnsi="宋体" w:cs="宋体"/>
          <w:sz w:val="24"/>
        </w:rPr>
        <w:t>4．本合同正本一式份，具有同等法律效力，甲乙双方各执份；副本份，(用途)。</w:t>
      </w:r>
    </w:p>
    <w:p>
      <w:pPr>
        <w:spacing w:line="360" w:lineRule="auto"/>
        <w:ind w:firstLine="420"/>
        <w:rPr>
          <w:rFonts w:ascii="宋体" w:hAnsi="宋体" w:cs="宋体"/>
          <w:sz w:val="24"/>
        </w:rPr>
      </w:pPr>
    </w:p>
    <w:p>
      <w:pPr>
        <w:spacing w:line="360" w:lineRule="auto"/>
        <w:ind w:firstLine="420"/>
        <w:rPr>
          <w:rFonts w:ascii="宋体" w:hAnsi="宋体" w:cs="宋体"/>
          <w:sz w:val="24"/>
        </w:rPr>
      </w:pPr>
      <w:r>
        <w:rPr>
          <w:rFonts w:hint="eastAsia" w:ascii="宋体" w:hAnsi="宋体" w:cs="宋体"/>
          <w:sz w:val="24"/>
        </w:rPr>
        <w:t>甲方（盖章）：                   乙方（盖章）：</w:t>
      </w:r>
    </w:p>
    <w:p>
      <w:pPr>
        <w:spacing w:line="360" w:lineRule="auto"/>
        <w:ind w:firstLine="420"/>
        <w:rPr>
          <w:rFonts w:ascii="宋体" w:hAnsi="宋体" w:cs="宋体"/>
          <w:sz w:val="24"/>
        </w:rPr>
      </w:pPr>
      <w:r>
        <w:rPr>
          <w:rFonts w:hint="eastAsia" w:ascii="宋体" w:hAnsi="宋体" w:cs="宋体"/>
          <w:sz w:val="24"/>
        </w:rPr>
        <w:t>法定代表人（或授权代表）：        法定代表人（或授权代表）：</w:t>
      </w:r>
    </w:p>
    <w:p>
      <w:pPr>
        <w:spacing w:line="360" w:lineRule="auto"/>
        <w:ind w:firstLine="420"/>
        <w:rPr>
          <w:rFonts w:ascii="宋体" w:hAnsi="宋体" w:cs="宋体"/>
          <w:sz w:val="24"/>
        </w:rPr>
      </w:pPr>
      <w:r>
        <w:rPr>
          <w:rFonts w:hint="eastAsia" w:ascii="宋体" w:hAnsi="宋体" w:cs="宋体"/>
          <w:sz w:val="24"/>
        </w:rPr>
        <w:t>地址：                           地址：</w:t>
      </w:r>
    </w:p>
    <w:p>
      <w:pPr>
        <w:spacing w:line="360" w:lineRule="auto"/>
        <w:ind w:firstLine="420"/>
        <w:rPr>
          <w:rFonts w:ascii="宋体" w:hAnsi="宋体" w:cs="宋体"/>
          <w:sz w:val="24"/>
        </w:rPr>
      </w:pPr>
      <w:r>
        <w:rPr>
          <w:rFonts w:hint="eastAsia" w:ascii="宋体" w:hAnsi="宋体" w:cs="宋体"/>
          <w:sz w:val="24"/>
        </w:rPr>
        <w:t>联系人：                           联系人：</w:t>
      </w:r>
    </w:p>
    <w:p>
      <w:pPr>
        <w:spacing w:line="360" w:lineRule="auto"/>
        <w:ind w:firstLine="420"/>
        <w:rPr>
          <w:rFonts w:ascii="宋体" w:hAnsi="宋体" w:cs="宋体"/>
          <w:sz w:val="24"/>
        </w:rPr>
      </w:pPr>
      <w:r>
        <w:rPr>
          <w:rFonts w:hint="eastAsia" w:ascii="宋体" w:hAnsi="宋体" w:cs="宋体"/>
          <w:sz w:val="24"/>
        </w:rPr>
        <w:t>联系电话：                         联系电话：</w:t>
      </w:r>
    </w:p>
    <w:p>
      <w:pPr>
        <w:spacing w:line="360" w:lineRule="auto"/>
        <w:ind w:firstLine="420"/>
        <w:rPr>
          <w:rFonts w:ascii="宋体" w:hAnsi="宋体" w:cs="宋体"/>
          <w:sz w:val="24"/>
        </w:rPr>
      </w:pPr>
      <w:r>
        <w:rPr>
          <w:rFonts w:hint="eastAsia" w:ascii="宋体" w:hAnsi="宋体" w:cs="宋体"/>
          <w:sz w:val="24"/>
        </w:rPr>
        <w:t>传真：                             传真：</w:t>
      </w:r>
    </w:p>
    <w:p>
      <w:pPr>
        <w:spacing w:line="360" w:lineRule="auto"/>
        <w:ind w:firstLine="420"/>
        <w:rPr>
          <w:rFonts w:ascii="宋体" w:hAnsi="宋体" w:cs="宋体"/>
          <w:sz w:val="24"/>
        </w:rPr>
      </w:pPr>
      <w:r>
        <w:rPr>
          <w:rFonts w:hint="eastAsia" w:ascii="宋体" w:hAnsi="宋体" w:cs="宋体"/>
          <w:sz w:val="24"/>
        </w:rPr>
        <w:t>开户银行：                         开户银行：</w:t>
      </w:r>
    </w:p>
    <w:p>
      <w:pPr>
        <w:spacing w:line="360" w:lineRule="auto"/>
        <w:ind w:firstLine="420"/>
        <w:rPr>
          <w:rFonts w:ascii="宋体" w:hAnsi="宋体" w:cs="宋体"/>
          <w:sz w:val="24"/>
        </w:rPr>
      </w:pPr>
      <w:r>
        <w:rPr>
          <w:rFonts w:hint="eastAsia" w:ascii="宋体" w:hAnsi="宋体" w:cs="宋体"/>
          <w:sz w:val="24"/>
        </w:rPr>
        <w:t>银行账号：                         银行账号：</w:t>
      </w:r>
    </w:p>
    <w:p>
      <w:pPr>
        <w:spacing w:line="360" w:lineRule="auto"/>
        <w:ind w:firstLine="420"/>
        <w:rPr>
          <w:rFonts w:ascii="宋体" w:hAnsi="宋体" w:cs="宋体"/>
          <w:sz w:val="24"/>
        </w:rPr>
      </w:pPr>
      <w:r>
        <w:rPr>
          <w:rFonts w:hint="eastAsia" w:ascii="宋体" w:hAnsi="宋体" w:cs="宋体"/>
          <w:sz w:val="24"/>
        </w:rPr>
        <w:t>签订地点：                       签订日期：</w:t>
      </w:r>
    </w:p>
    <w:p>
      <w:pPr>
        <w:spacing w:line="360" w:lineRule="auto"/>
        <w:ind w:firstLine="420"/>
        <w:rPr>
          <w:rFonts w:ascii="宋体" w:hAnsi="宋体" w:cs="宋体"/>
          <w:sz w:val="24"/>
        </w:rPr>
      </w:pPr>
    </w:p>
    <w:p>
      <w:pPr>
        <w:spacing w:line="360" w:lineRule="auto"/>
        <w:ind w:firstLine="420"/>
        <w:rPr>
          <w:rFonts w:ascii="宋体" w:hAnsi="宋体" w:cs="宋体"/>
          <w:sz w:val="24"/>
        </w:rPr>
      </w:pPr>
      <w:r>
        <w:rPr>
          <w:rFonts w:hint="eastAsia" w:ascii="宋体" w:hAnsi="宋体" w:cs="宋体"/>
          <w:sz w:val="24"/>
        </w:rPr>
        <w:t>鉴证方（盖章）</w:t>
      </w:r>
    </w:p>
    <w:p>
      <w:pPr>
        <w:spacing w:line="360" w:lineRule="auto"/>
        <w:ind w:firstLine="420"/>
        <w:rPr>
          <w:rFonts w:ascii="宋体" w:hAnsi="宋体" w:cs="宋体"/>
          <w:sz w:val="24"/>
        </w:rPr>
      </w:pPr>
      <w:r>
        <w:rPr>
          <w:rFonts w:hint="eastAsia" w:ascii="宋体" w:hAnsi="宋体" w:cs="宋体"/>
          <w:sz w:val="24"/>
        </w:rPr>
        <w:t>法定代表人（或授权代表）：</w:t>
      </w:r>
    </w:p>
    <w:p>
      <w:pPr>
        <w:spacing w:line="360" w:lineRule="auto"/>
        <w:ind w:firstLine="420"/>
        <w:rPr>
          <w:rFonts w:ascii="宋体" w:hAnsi="宋体" w:cs="宋体"/>
          <w:sz w:val="24"/>
        </w:rPr>
      </w:pPr>
      <w:r>
        <w:rPr>
          <w:rFonts w:hint="eastAsia" w:ascii="宋体" w:hAnsi="宋体" w:cs="宋体"/>
          <w:sz w:val="24"/>
        </w:rPr>
        <w:t xml:space="preserve">地址：                      </w:t>
      </w:r>
    </w:p>
    <w:p>
      <w:pPr>
        <w:spacing w:line="360" w:lineRule="auto"/>
        <w:ind w:firstLine="420"/>
        <w:rPr>
          <w:rFonts w:ascii="宋体" w:hAnsi="宋体" w:cs="宋体"/>
          <w:sz w:val="24"/>
        </w:rPr>
      </w:pPr>
      <w:r>
        <w:rPr>
          <w:rFonts w:hint="eastAsia" w:ascii="宋体" w:hAnsi="宋体" w:cs="宋体"/>
          <w:sz w:val="24"/>
        </w:rPr>
        <w:t>联系人：</w:t>
      </w:r>
    </w:p>
    <w:p>
      <w:pPr>
        <w:spacing w:line="360" w:lineRule="auto"/>
        <w:ind w:firstLine="420"/>
        <w:rPr>
          <w:rFonts w:ascii="宋体" w:hAnsi="宋体" w:cs="宋体"/>
          <w:sz w:val="24"/>
        </w:rPr>
      </w:pPr>
      <w:r>
        <w:rPr>
          <w:rFonts w:hint="eastAsia" w:ascii="宋体" w:hAnsi="宋体" w:cs="宋体"/>
          <w:sz w:val="24"/>
        </w:rPr>
        <w:t>联系电话：</w:t>
      </w:r>
    </w:p>
    <w:p>
      <w:pPr>
        <w:spacing w:line="360" w:lineRule="auto"/>
        <w:ind w:firstLine="420"/>
        <w:rPr>
          <w:rFonts w:ascii="宋体" w:hAnsi="宋体" w:cs="宋体"/>
          <w:sz w:val="24"/>
        </w:rPr>
      </w:pPr>
      <w:r>
        <w:rPr>
          <w:rFonts w:hint="eastAsia" w:ascii="宋体" w:hAnsi="宋体" w:cs="宋体"/>
          <w:sz w:val="24"/>
        </w:rPr>
        <w:t>传真：</w:t>
      </w:r>
    </w:p>
    <w:p>
      <w:pPr>
        <w:spacing w:line="360" w:lineRule="auto"/>
        <w:ind w:firstLine="420"/>
        <w:rPr>
          <w:rFonts w:ascii="宋体" w:hAnsi="宋体" w:cs="宋体"/>
          <w:sz w:val="24"/>
        </w:rPr>
      </w:pPr>
      <w:r>
        <w:rPr>
          <w:rFonts w:hint="eastAsia" w:ascii="宋体" w:hAnsi="宋体" w:cs="宋体"/>
          <w:sz w:val="24"/>
        </w:rPr>
        <w:t>鉴证日期：</w:t>
      </w:r>
    </w:p>
    <w:p>
      <w:pPr>
        <w:rPr>
          <w:rFonts w:ascii="宋体" w:hAnsi="宋体" w:cs="宋体"/>
          <w:b/>
          <w:sz w:val="36"/>
          <w:szCs w:val="20"/>
        </w:rPr>
      </w:pPr>
      <w:r>
        <w:rPr>
          <w:rFonts w:hint="eastAsia" w:ascii="宋体" w:hAnsi="宋体" w:cs="宋体"/>
          <w:b/>
          <w:sz w:val="36"/>
          <w:szCs w:val="20"/>
        </w:rPr>
        <w:br w:type="page"/>
      </w:r>
    </w:p>
    <w:p>
      <w:pPr>
        <w:spacing w:line="360" w:lineRule="auto"/>
        <w:jc w:val="center"/>
        <w:outlineLvl w:val="0"/>
        <w:rPr>
          <w:rFonts w:ascii="宋体" w:hAnsi="宋体" w:cs="宋体"/>
          <w:b/>
          <w:sz w:val="36"/>
          <w:szCs w:val="20"/>
        </w:rPr>
      </w:pPr>
      <w:bookmarkStart w:id="424" w:name="_Toc7034"/>
      <w:r>
        <w:rPr>
          <w:rFonts w:hint="eastAsia" w:ascii="宋体" w:hAnsi="宋体" w:cs="宋体"/>
          <w:b/>
          <w:sz w:val="36"/>
          <w:szCs w:val="20"/>
        </w:rPr>
        <w:t>第六部分</w:t>
      </w:r>
      <w:bookmarkEnd w:id="418"/>
      <w:bookmarkEnd w:id="419"/>
      <w:r>
        <w:rPr>
          <w:rFonts w:hint="eastAsia" w:ascii="宋体" w:hAnsi="宋体" w:cs="宋体"/>
          <w:b/>
          <w:sz w:val="36"/>
          <w:szCs w:val="20"/>
        </w:rPr>
        <w:t xml:space="preserve"> 应提交的有关格式范例</w:t>
      </w:r>
      <w:bookmarkEnd w:id="424"/>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bookmarkStart w:id="425" w:name="_Toc2950"/>
      <w:r>
        <w:rPr>
          <w:rFonts w:hint="eastAsia" w:ascii="宋体" w:hAnsi="宋体" w:cs="宋体"/>
          <w:b/>
          <w:kern w:val="0"/>
          <w:sz w:val="36"/>
          <w:szCs w:val="36"/>
        </w:rPr>
        <w:t>资格文件部分</w:t>
      </w:r>
      <w:bookmarkEnd w:id="425"/>
    </w:p>
    <w:p>
      <w:pPr>
        <w:spacing w:line="360" w:lineRule="auto"/>
        <w:jc w:val="center"/>
        <w:outlineLvl w:val="0"/>
        <w:rPr>
          <w:rFonts w:ascii="宋体" w:hAnsi="宋体" w:cs="宋体"/>
          <w:b/>
          <w:kern w:val="0"/>
          <w:sz w:val="36"/>
          <w:szCs w:val="36"/>
        </w:rPr>
      </w:pPr>
      <w:bookmarkStart w:id="426" w:name="_Toc16846"/>
      <w:r>
        <w:rPr>
          <w:rFonts w:hint="eastAsia" w:ascii="宋体" w:hAnsi="宋体" w:cs="宋体"/>
          <w:b/>
          <w:kern w:val="0"/>
          <w:sz w:val="36"/>
          <w:szCs w:val="36"/>
        </w:rPr>
        <w:t>目录</w:t>
      </w:r>
      <w:bookmarkEnd w:id="426"/>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（2）落实政府采购政策需满足的资格要求………………………………（页码）</w:t>
      </w:r>
    </w:p>
    <w:p>
      <w:pPr>
        <w:snapToGrid w:val="0"/>
        <w:spacing w:line="360" w:lineRule="auto"/>
        <w:rPr>
          <w:rFonts w:ascii="宋体" w:hAnsi="宋体" w:cs="宋体"/>
          <w:sz w:val="24"/>
        </w:rPr>
      </w:pPr>
      <w:r>
        <w:rPr>
          <w:rFonts w:hint="eastAsia" w:ascii="宋体" w:hAnsi="宋体" w:cs="宋体"/>
          <w:sz w:val="24"/>
        </w:rPr>
        <w:t>（3）本项目的特定资格要求………………………………………………（页码）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浙江省生态环境厅、浙江信镧建设工程咨询有限公司：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我方参与浙江省核与辐射监督性监测及宣传教育专项【招标编号：ZJXL-STHJT-202234】政府采购活动，郑重承诺：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b/>
          <w:kern w:val="0"/>
          <w:sz w:val="32"/>
          <w:szCs w:val="32"/>
          <w:lang w:val="zh-CN"/>
        </w:rPr>
      </w:pPr>
      <w:r>
        <w:rPr>
          <w:rFonts w:hint="eastAsia" w:ascii="宋体" w:hAnsi="宋体" w:cs="宋体"/>
          <w:b/>
          <w:kern w:val="0"/>
          <w:sz w:val="32"/>
          <w:szCs w:val="32"/>
          <w:lang w:val="zh-CN"/>
        </w:rPr>
        <w:t>联合协议</w:t>
      </w:r>
    </w:p>
    <w:p>
      <w:pPr>
        <w:snapToGrid w:val="0"/>
        <w:spacing w:line="360" w:lineRule="auto"/>
        <w:ind w:firstLine="576"/>
        <w:rPr>
          <w:rFonts w:ascii="宋体" w:hAnsi="宋体" w:cs="宋体"/>
          <w:color w:val="FF0000"/>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浙江省核与辐射监督性监测及宣传教育专项【招标编号：ZJXL-STHJT-202234】</w:t>
      </w:r>
      <w:r>
        <w:rPr>
          <w:rFonts w:hint="eastAsia" w:ascii="宋体" w:hAnsi="宋体" w:cs="宋体"/>
          <w:kern w:val="0"/>
          <w:sz w:val="24"/>
          <w:lang w:val="zh-CN"/>
        </w:rPr>
        <w:t>投标。</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w:t>
      </w:r>
      <w:r>
        <w:rPr>
          <w:rFonts w:hint="eastAsia" w:ascii="宋体" w:hAnsi="宋体" w:cs="宋体"/>
          <w:sz w:val="24"/>
        </w:rPr>
        <w:t>中小企业合同金额达到%，小微企业合同金额达到%</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浙江省核与辐射监督性监测及宣传教育专项【招标编号：ZJXL-STHJT-202234】</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rPr>
      </w:pPr>
      <w:bookmarkStart w:id="427" w:name="_Toc14623"/>
      <w:r>
        <w:rPr>
          <w:rFonts w:hint="eastAsia" w:ascii="宋体" w:hAnsi="宋体" w:eastAsia="宋体" w:cs="宋体"/>
          <w:kern w:val="0"/>
          <w:sz w:val="24"/>
          <w:szCs w:val="24"/>
        </w:rPr>
        <w:t>……</w:t>
      </w:r>
      <w:bookmarkEnd w:id="427"/>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中小企业合同金额达到%，小微企业合同金额达到%</w:t>
      </w:r>
      <w:r>
        <w:rPr>
          <w:rFonts w:hint="eastAsia" w:ascii="宋体" w:hAnsi="宋体" w:cs="宋体"/>
          <w:kern w:val="0"/>
          <w:sz w:val="24"/>
          <w:lang w:val="zh-CN"/>
        </w:rPr>
        <w:t xml:space="preserve">  。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widowControl/>
        <w:spacing w:line="360" w:lineRule="auto"/>
        <w:ind w:left="150"/>
        <w:jc w:val="center"/>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rPr>
          <w:rFonts w:ascii="宋体" w:hAnsi="宋体" w:cs="宋体"/>
          <w:b/>
          <w:kern w:val="0"/>
          <w:sz w:val="36"/>
          <w:szCs w:val="36"/>
        </w:rPr>
      </w:pPr>
      <w:r>
        <w:rPr>
          <w:rFonts w:hint="eastAsia"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bookmarkStart w:id="428" w:name="_Toc15453"/>
      <w:r>
        <w:rPr>
          <w:rFonts w:hint="eastAsia" w:ascii="宋体" w:hAnsi="宋体" w:cs="宋体"/>
          <w:b/>
          <w:kern w:val="0"/>
          <w:sz w:val="28"/>
          <w:szCs w:val="28"/>
        </w:rPr>
        <w:t>目录</w:t>
      </w:r>
      <w:bookmarkEnd w:id="428"/>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（3）联合协议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（4）分包意向协议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（5）符合性审查资料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（6）评标标准相应的商务技术资料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（7）商务技术偏离表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jc w:val="cente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sz w:val="32"/>
          <w:szCs w:val="32"/>
        </w:rPr>
      </w:pPr>
      <w:bookmarkStart w:id="429" w:name="_Toc4096"/>
      <w:r>
        <w:rPr>
          <w:rFonts w:hint="eastAsia" w:ascii="宋体" w:hAnsi="宋体" w:cs="宋体"/>
          <w:b/>
          <w:kern w:val="0"/>
          <w:sz w:val="32"/>
          <w:szCs w:val="32"/>
        </w:rPr>
        <w:t>一、投标</w:t>
      </w:r>
      <w:r>
        <w:rPr>
          <w:rFonts w:hint="eastAsia" w:ascii="宋体" w:hAnsi="宋体" w:cs="宋体"/>
          <w:b/>
          <w:sz w:val="32"/>
          <w:szCs w:val="32"/>
        </w:rPr>
        <w:t>函</w:t>
      </w:r>
      <w:bookmarkEnd w:id="429"/>
    </w:p>
    <w:p>
      <w:pPr>
        <w:snapToGrid w:val="0"/>
        <w:spacing w:line="360" w:lineRule="auto"/>
        <w:rPr>
          <w:rFonts w:ascii="宋体" w:hAnsi="宋体" w:cs="宋体"/>
          <w:sz w:val="24"/>
        </w:rPr>
      </w:pPr>
      <w:r>
        <w:rPr>
          <w:rFonts w:hint="eastAsia" w:ascii="宋体" w:hAnsi="宋体" w:cs="宋体"/>
          <w:sz w:val="24"/>
        </w:rPr>
        <w:t>浙江省生态环境厅、浙江信镧建设工程咨询有限公司：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我方参加你方组织的浙江省核与辐射监督性监测及宣传教育专项【招标编号：ZJXL-STHJT-202234】招标的有关活动，并对此项目进行投标。为此：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pPr>
        <w:spacing w:line="360" w:lineRule="auto"/>
        <w:ind w:firstLine="3600" w:firstLineChars="1500"/>
        <w:rPr>
          <w:rFonts w:ascii="宋体" w:hAnsi="宋体" w:cs="宋体"/>
          <w:sz w:val="24"/>
        </w:rPr>
      </w:pPr>
      <w:r>
        <w:rPr>
          <w:rFonts w:hint="eastAsia" w:ascii="宋体" w:hAnsi="宋体" w:cs="宋体"/>
          <w:sz w:val="24"/>
        </w:rPr>
        <w:t>投标人名称（电子签名）：</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snapToGrid w:val="0"/>
        <w:spacing w:line="360" w:lineRule="auto"/>
        <w:jc w:val="center"/>
        <w:rPr>
          <w:rFonts w:ascii="宋体" w:hAnsi="宋体" w:cs="宋体"/>
          <w:b/>
          <w:kern w:val="0"/>
          <w:sz w:val="32"/>
          <w:szCs w:val="32"/>
          <w:lang w:val="zh-CN"/>
        </w:rPr>
      </w:pPr>
    </w:p>
    <w:p>
      <w:pPr>
        <w:snapToGrid w:val="0"/>
        <w:spacing w:line="360" w:lineRule="auto"/>
        <w:rPr>
          <w:rFonts w:ascii="宋体" w:hAnsi="宋体" w:cs="宋体"/>
          <w:sz w:val="24"/>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rPr>
          <w:rFonts w:ascii="宋体" w:hAnsi="宋体" w:cs="宋体"/>
          <w:b/>
          <w:kern w:val="0"/>
          <w:sz w:val="32"/>
          <w:szCs w:val="32"/>
          <w:lang w:val="zh-CN"/>
        </w:rPr>
      </w:pPr>
      <w:r>
        <w:rPr>
          <w:rFonts w:hint="eastAsia" w:ascii="宋体" w:hAnsi="宋体" w:cs="宋体"/>
          <w:b/>
          <w:kern w:val="0"/>
          <w:sz w:val="32"/>
          <w:szCs w:val="32"/>
          <w:lang w:val="zh-CN"/>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sz w:val="24"/>
        </w:rPr>
      </w:pPr>
      <w:r>
        <w:rPr>
          <w:rFonts w:hint="eastAsia" w:ascii="宋体" w:hAnsi="宋体" w:cs="宋体"/>
          <w:sz w:val="24"/>
        </w:rPr>
        <w:t>浙江省生态环境厅、浙江信镧建设工程咨询有限公司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浙江省核与辐射监督性监测及宣传教育专项【招标编号：ZJXL-STHJT-202234】</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浙江省生态环境厅、浙江信镧建设工程咨询有限公司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浙江省核与辐射监督性监测及宣传教育专项【招标编号：ZJXL-STHJT-202234】</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rPr>
        <w:t>三、</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浙江省核与辐射监督性监测及宣传教育专项【招标编号：ZJXL-STHJT-202234】</w:t>
      </w:r>
      <w:r>
        <w:rPr>
          <w:rFonts w:hint="eastAsia" w:ascii="宋体" w:hAnsi="宋体" w:cs="宋体"/>
          <w:kern w:val="0"/>
          <w:sz w:val="24"/>
          <w:lang w:val="zh-CN"/>
        </w:rPr>
        <w:t>投标。</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四、</w:t>
      </w:r>
      <w:r>
        <w:rPr>
          <w:rFonts w:hint="eastAsia" w:ascii="宋体" w:hAnsi="宋体" w:cs="宋体"/>
          <w:kern w:val="0"/>
          <w:sz w:val="24"/>
          <w:u w:val="single"/>
        </w:rPr>
        <w:t>（联合体其中一方成员名称）</w:t>
      </w:r>
      <w:r>
        <w:rPr>
          <w:rFonts w:hint="eastAsia" w:ascii="宋体" w:hAnsi="宋体" w:cs="宋体"/>
          <w:kern w:val="0"/>
          <w:sz w:val="24"/>
        </w:rPr>
        <w:t>提供的全部服务由小微企业提供，其合同份额占到合同总金额%以上；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（未预留份额专门面向中小企业采购的采购项目，以及预留份额中的非预留部分采购包，接受联合体投标的，联合体其中一方</w:t>
      </w:r>
      <w:r>
        <w:rPr>
          <w:rFonts w:hint="eastAsia" w:ascii="宋体" w:hAnsi="宋体" w:cs="宋体"/>
          <w:b/>
          <w:kern w:val="0"/>
          <w:sz w:val="24"/>
        </w:rPr>
        <w:t>是</w:t>
      </w:r>
      <w:r>
        <w:rPr>
          <w:rFonts w:hint="eastAsia" w:ascii="宋体" w:hAnsi="宋体" w:cs="宋体"/>
          <w:b/>
          <w:kern w:val="0"/>
          <w:sz w:val="24"/>
          <w:lang w:val="zh-CN"/>
        </w:rPr>
        <w:t>小微企业</w:t>
      </w:r>
      <w:r>
        <w:rPr>
          <w:rFonts w:hint="eastAsia" w:ascii="宋体" w:hAnsi="宋体" w:cs="宋体"/>
          <w:b/>
          <w:kern w:val="0"/>
          <w:sz w:val="24"/>
        </w:rPr>
        <w:t>的</w:t>
      </w:r>
      <w:r>
        <w:rPr>
          <w:rFonts w:hint="eastAsia" w:ascii="宋体" w:hAnsi="宋体" w:cs="宋体"/>
          <w:b/>
          <w:kern w:val="0"/>
          <w:sz w:val="24"/>
          <w:lang w:val="zh-CN"/>
        </w:rPr>
        <w:t>，且其合同份额占到合同总金额 30%以上，对联合体报价给予</w:t>
      </w:r>
      <w:r>
        <w:rPr>
          <w:rFonts w:hint="eastAsia" w:ascii="宋体" w:hAnsi="宋体" w:cs="宋体"/>
          <w:b/>
          <w:kern w:val="0"/>
          <w:sz w:val="24"/>
        </w:rPr>
        <w:t>6</w:t>
      </w:r>
      <w:r>
        <w:rPr>
          <w:rFonts w:hint="eastAsia" w:ascii="宋体" w:hAnsi="宋体" w:cs="宋体"/>
          <w:b/>
          <w:kern w:val="0"/>
          <w:sz w:val="24"/>
          <w:lang w:val="zh-CN"/>
        </w:rPr>
        <w:t>%的扣除）</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right="480"/>
        <w:rPr>
          <w:rFonts w:ascii="宋体" w:hAnsi="宋体" w:cs="宋体"/>
          <w:b/>
          <w:kern w:val="0"/>
          <w:sz w:val="32"/>
          <w:szCs w:val="32"/>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四、分包意向协议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浙江省核与辐射监督性监测及宣传教育专项【招标编号：ZJXL-STHJT-202234】</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rPr>
      </w:pPr>
      <w:bookmarkStart w:id="430" w:name="_Toc29237"/>
      <w:r>
        <w:rPr>
          <w:rFonts w:hint="eastAsia" w:ascii="宋体" w:hAnsi="宋体" w:eastAsia="宋体" w:cs="宋体"/>
          <w:kern w:val="0"/>
          <w:sz w:val="24"/>
          <w:szCs w:val="24"/>
        </w:rPr>
        <w:t>……</w:t>
      </w:r>
      <w:bookmarkEnd w:id="430"/>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firstLine="576"/>
        <w:rPr>
          <w:rFonts w:ascii="宋体" w:hAnsi="宋体" w:cs="宋体"/>
          <w:b/>
          <w:kern w:val="0"/>
          <w:sz w:val="24"/>
          <w:lang w:val="zh-CN"/>
        </w:rPr>
      </w:pPr>
      <w:r>
        <w:rPr>
          <w:rFonts w:hint="eastAsia" w:ascii="宋体" w:hAnsi="宋体" w:cs="宋体"/>
          <w:kern w:val="0"/>
          <w:sz w:val="24"/>
          <w:u w:val="single"/>
        </w:rPr>
        <w:t>（分包供应商名称）提供的服务全部由小微企业提供，</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（未预留份额专门面向中小企业采购的采购项目，以及预留份额中的非预留部分采购包，允许分包的，分包供应商</w:t>
      </w:r>
      <w:r>
        <w:rPr>
          <w:rFonts w:hint="eastAsia" w:ascii="宋体" w:hAnsi="宋体" w:cs="宋体"/>
          <w:b/>
          <w:kern w:val="0"/>
          <w:sz w:val="24"/>
        </w:rPr>
        <w:t>是</w:t>
      </w:r>
      <w:r>
        <w:rPr>
          <w:rFonts w:hint="eastAsia" w:ascii="宋体" w:hAnsi="宋体" w:cs="宋体"/>
          <w:b/>
          <w:kern w:val="0"/>
          <w:sz w:val="24"/>
          <w:lang w:val="zh-CN"/>
        </w:rPr>
        <w:t>小微企业</w:t>
      </w:r>
      <w:r>
        <w:rPr>
          <w:rFonts w:hint="eastAsia" w:ascii="宋体" w:hAnsi="宋体" w:cs="宋体"/>
          <w:b/>
          <w:kern w:val="0"/>
          <w:sz w:val="24"/>
        </w:rPr>
        <w:t>的</w:t>
      </w:r>
      <w:r>
        <w:rPr>
          <w:rFonts w:hint="eastAsia" w:ascii="宋体" w:hAnsi="宋体" w:cs="宋体"/>
          <w:b/>
          <w:kern w:val="0"/>
          <w:sz w:val="24"/>
          <w:lang w:val="zh-CN"/>
        </w:rPr>
        <w:t>，且其合同份额占到合同总金额 30%以上的，对大中型企业的报价给予</w:t>
      </w:r>
      <w:r>
        <w:rPr>
          <w:rFonts w:hint="eastAsia" w:ascii="宋体" w:hAnsi="宋体" w:cs="宋体"/>
          <w:b/>
          <w:kern w:val="0"/>
          <w:sz w:val="24"/>
        </w:rPr>
        <w:t>6</w:t>
      </w:r>
      <w:r>
        <w:rPr>
          <w:rFonts w:hint="eastAsia" w:ascii="宋体" w:hAnsi="宋体" w:cs="宋体"/>
          <w:b/>
          <w:kern w:val="0"/>
          <w:sz w:val="24"/>
          <w:lang w:val="zh-CN"/>
        </w:rPr>
        <w:t>%的扣除）</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jc w:val="center"/>
        <w:rPr>
          <w:rFonts w:ascii="宋体" w:hAnsi="宋体" w:cs="宋体"/>
          <w:b/>
          <w:kern w:val="0"/>
          <w:sz w:val="32"/>
          <w:szCs w:val="32"/>
        </w:rPr>
      </w:pPr>
      <w:r>
        <w:rPr>
          <w:rFonts w:hint="eastAsia" w:ascii="宋体" w:hAnsi="宋体" w:cs="宋体"/>
          <w:b/>
          <w:kern w:val="0"/>
          <w:sz w:val="32"/>
          <w:szCs w:val="32"/>
        </w:rPr>
        <w:t>五、符合性审查资料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sz w:val="24"/>
              </w:rPr>
            </w:pPr>
            <w:r>
              <w:rPr>
                <w:rFonts w:hint="eastAsia" w:ascii="宋体" w:hAnsi="宋体"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sz w:val="24"/>
              </w:rPr>
            </w:pPr>
            <w:r>
              <w:rPr>
                <w:rFonts w:hint="eastAsia" w:ascii="宋体" w:hAnsi="宋体"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sz w:val="24"/>
              </w:rPr>
            </w:pPr>
            <w:r>
              <w:rPr>
                <w:rFonts w:hint="eastAsia" w:ascii="宋体" w:hAnsi="宋体" w:cs="宋体"/>
                <w:sz w:val="24"/>
              </w:rPr>
              <w:t>见投标文件第页</w:t>
            </w:r>
          </w:p>
        </w:tc>
      </w:tr>
    </w:tbl>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六、评标标准相应的商务技术资料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（按招标文件第四部分评标办法中“投标文件中评标标准相应的商务技术资料要求”提供资料）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autoSpaceDE w:val="0"/>
        <w:autoSpaceDN w:val="0"/>
        <w:spacing w:line="360" w:lineRule="auto"/>
        <w:ind w:right="1120" w:firstLine="3360" w:firstLineChars="14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p>
    <w:p>
      <w:pPr>
        <w:jc w:val="center"/>
        <w:rPr>
          <w:rFonts w:ascii="宋体" w:hAnsi="宋体" w:cs="宋体"/>
          <w:b/>
          <w:kern w:val="0"/>
          <w:sz w:val="32"/>
          <w:szCs w:val="32"/>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八、</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浙江省生态环境厅、浙江信镧建设工程咨询有限公司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等法律法规，诚实守信，合法经营，坚决抵制各种违法违纪行为。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宋体"/>
          <w:kern w:val="0"/>
          <w:sz w:val="24"/>
        </w:rPr>
        <w:t>省财政厅</w:t>
      </w:r>
      <w:r>
        <w:rPr>
          <w:rFonts w:hint="eastAsia" w:ascii="宋体" w:hAnsi="宋体" w:cs="宋体"/>
          <w:kern w:val="0"/>
          <w:sz w:val="24"/>
          <w:lang w:val="zh-CN"/>
        </w:rPr>
        <w:t>。由此引起的相应损失均由我单位承担。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bookmarkStart w:id="431" w:name="_Toc5292"/>
      <w:r>
        <w:rPr>
          <w:rFonts w:hint="eastAsia" w:ascii="宋体" w:hAnsi="宋体" w:cs="宋体"/>
          <w:b/>
          <w:kern w:val="0"/>
          <w:sz w:val="36"/>
          <w:szCs w:val="36"/>
        </w:rPr>
        <w:t>报价文件部分</w:t>
      </w:r>
      <w:bookmarkEnd w:id="431"/>
    </w:p>
    <w:p>
      <w:pPr>
        <w:spacing w:line="360" w:lineRule="auto"/>
        <w:jc w:val="center"/>
        <w:outlineLvl w:val="0"/>
        <w:rPr>
          <w:rFonts w:ascii="宋体" w:hAnsi="宋体" w:cs="宋体"/>
          <w:b/>
          <w:kern w:val="0"/>
          <w:sz w:val="36"/>
          <w:szCs w:val="36"/>
        </w:rPr>
      </w:pPr>
      <w:bookmarkStart w:id="432" w:name="_Toc28848"/>
      <w:r>
        <w:rPr>
          <w:rFonts w:hint="eastAsia" w:ascii="宋体" w:hAnsi="宋体" w:cs="宋体"/>
          <w:b/>
          <w:kern w:val="0"/>
          <w:sz w:val="36"/>
          <w:szCs w:val="36"/>
        </w:rPr>
        <w:t>目录</w:t>
      </w:r>
      <w:bookmarkEnd w:id="432"/>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bookmarkStart w:id="433" w:name="_Toc30300"/>
      <w:r>
        <w:rPr>
          <w:rFonts w:hint="eastAsia" w:ascii="宋体" w:hAnsi="宋体" w:eastAsia="宋体" w:cs="宋体"/>
          <w:kern w:val="2"/>
          <w:sz w:val="32"/>
          <w:szCs w:val="32"/>
        </w:rPr>
        <w:t>一、开标一览表（报价表）</w:t>
      </w:r>
      <w:bookmarkEnd w:id="433"/>
    </w:p>
    <w:p>
      <w:pPr>
        <w:snapToGrid w:val="0"/>
        <w:spacing w:line="360" w:lineRule="auto"/>
        <w:rPr>
          <w:rFonts w:ascii="宋体" w:hAnsi="宋体" w:cs="宋体"/>
          <w:kern w:val="0"/>
          <w:sz w:val="24"/>
        </w:rPr>
      </w:pPr>
      <w:r>
        <w:rPr>
          <w:rFonts w:hint="eastAsia" w:ascii="宋体" w:hAnsi="宋体" w:cs="宋体"/>
          <w:sz w:val="24"/>
        </w:rPr>
        <w:t>浙江省生态环境厅、浙江信镧建设工程咨询有限公司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浙江省核与辐射监督性监测及宣传教育专项</w:t>
      </w:r>
      <w:r>
        <w:rPr>
          <w:rFonts w:hint="eastAsia" w:ascii="宋体" w:hAnsi="宋体" w:cs="宋体"/>
          <w:kern w:val="0"/>
          <w:sz w:val="24"/>
          <w:lang w:val="zh-CN"/>
        </w:rPr>
        <w:t>【招标编号：</w:t>
      </w:r>
      <w:r>
        <w:rPr>
          <w:rFonts w:hint="eastAsia" w:ascii="宋体" w:hAnsi="宋体" w:cs="宋体"/>
          <w:sz w:val="24"/>
        </w:rPr>
        <w:t>ZJXL-STHJT-202234】的实施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1、投标人需按本表格式填写，不得自行更改。</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w:t>
      </w:r>
      <w:r>
        <w:rPr>
          <w:rFonts w:hint="eastAsia" w:ascii="宋体" w:hAnsi="宋体" w:cs="宋体"/>
          <w:bCs/>
          <w:sz w:val="24"/>
        </w:rPr>
        <w:t>具体服务</w:t>
      </w:r>
      <w:r>
        <w:rPr>
          <w:rFonts w:hint="eastAsia" w:ascii="宋体" w:hAnsi="宋体" w:cs="宋体"/>
          <w:kern w:val="0"/>
          <w:sz w:val="24"/>
          <w:lang w:val="zh-CN"/>
        </w:rPr>
        <w:t>、数量、单价、服务要求等予以公示。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sz w:val="32"/>
          <w:szCs w:val="32"/>
        </w:rPr>
      </w:pPr>
      <w:bookmarkStart w:id="434" w:name="_Toc11360"/>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End w:id="434"/>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rPr>
      </w:pPr>
      <w:r>
        <w:rPr>
          <w:rFonts w:hint="eastAsia" w:ascii="宋体" w:hAnsi="宋体" w:cs="宋体"/>
          <w:b/>
          <w:sz w:val="24"/>
        </w:rPr>
        <w:t>一、适用对象</w:t>
      </w:r>
    </w:p>
    <w:p>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rPr>
      </w:pPr>
      <w:r>
        <w:rPr>
          <w:rFonts w:hint="eastAsia" w:ascii="宋体" w:hAnsi="宋体" w:cs="宋体"/>
          <w:b/>
          <w:sz w:val="24"/>
        </w:rPr>
        <w:t>二、相关信息获取方式</w:t>
      </w:r>
    </w:p>
    <w:p>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pPr>
        <w:spacing w:line="360" w:lineRule="auto"/>
        <w:ind w:firstLine="480" w:firstLineChars="200"/>
        <w:rPr>
          <w:rFonts w:ascii="宋体" w:hAnsi="宋体" w:cs="宋体"/>
          <w:sz w:val="24"/>
        </w:rPr>
      </w:pPr>
      <w:r>
        <w:rPr>
          <w:rFonts w:hint="eastAsia" w:ascii="宋体" w:hAnsi="宋体" w:cs="宋体"/>
          <w:sz w:val="24"/>
        </w:rPr>
        <w:t>（一）线上融资模式：</w:t>
      </w:r>
    </w:p>
    <w:p>
      <w:pPr>
        <w:spacing w:line="360" w:lineRule="auto"/>
        <w:ind w:firstLine="480" w:firstLineChars="200"/>
        <w:rPr>
          <w:rFonts w:ascii="宋体" w:hAnsi="宋体" w:cs="宋体"/>
          <w:sz w:val="24"/>
        </w:rPr>
      </w:pPr>
      <w:r>
        <w:rPr>
          <w:rFonts w:hint="eastAsia" w:ascii="宋体" w:hAnsi="宋体" w:cs="宋体"/>
          <w:sz w:val="24"/>
        </w:rPr>
        <w:t>1.供应商根据合作银行提供的方案，自行选择金融产品，并办理开户等手续；</w:t>
      </w:r>
    </w:p>
    <w:p>
      <w:pPr>
        <w:spacing w:line="360" w:lineRule="auto"/>
        <w:ind w:firstLine="480" w:firstLineChars="200"/>
        <w:rPr>
          <w:rFonts w:ascii="宋体" w:hAnsi="宋体" w:cs="宋体"/>
          <w:sz w:val="24"/>
        </w:rPr>
      </w:pPr>
      <w:r>
        <w:rPr>
          <w:rFonts w:hint="eastAsia" w:ascii="宋体" w:hAnsi="宋体" w:cs="宋体"/>
          <w:sz w:val="24"/>
        </w:rPr>
        <w:t>2.供应商中标后，可通过杭州市政府采购网或“浙里办”测算授信额度；</w:t>
      </w:r>
    </w:p>
    <w:p>
      <w:pPr>
        <w:spacing w:line="360" w:lineRule="auto"/>
        <w:ind w:firstLine="480" w:firstLineChars="200"/>
        <w:rPr>
          <w:rFonts w:ascii="宋体" w:hAnsi="宋体" w:cs="宋体"/>
          <w:sz w:val="24"/>
        </w:rPr>
      </w:pPr>
      <w:r>
        <w:rPr>
          <w:rFonts w:hint="eastAsia" w:ascii="宋体" w:hAnsi="宋体" w:cs="宋体"/>
          <w:sz w:val="24"/>
        </w:rPr>
        <w:t>3.采购合同签订后，供应商在杭州市政府采购网或“浙里办”向合作银行发出融资申请；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4.审批通过后，在线办理放贷手续。</w:t>
      </w:r>
    </w:p>
    <w:p>
      <w:pPr>
        <w:spacing w:line="360" w:lineRule="auto"/>
        <w:ind w:firstLine="480" w:firstLineChars="200"/>
        <w:rPr>
          <w:rFonts w:ascii="宋体" w:hAnsi="宋体" w:cs="宋体"/>
          <w:sz w:val="24"/>
        </w:rPr>
      </w:pPr>
      <w:r>
        <w:rPr>
          <w:rFonts w:hint="eastAsia" w:ascii="宋体" w:hAnsi="宋体" w:cs="宋体"/>
          <w:sz w:val="24"/>
        </w:rPr>
        <w:t>（二）线下融资模式：</w:t>
      </w:r>
    </w:p>
    <w:p>
      <w:pPr>
        <w:spacing w:line="360" w:lineRule="auto"/>
        <w:ind w:firstLine="480" w:firstLineChars="200"/>
        <w:rPr>
          <w:rFonts w:ascii="宋体" w:hAnsi="宋体" w:cs="宋体"/>
          <w:sz w:val="24"/>
        </w:rPr>
      </w:pPr>
      <w:r>
        <w:rPr>
          <w:rFonts w:hint="eastAsia" w:ascii="宋体" w:hAnsi="宋体" w:cs="宋体"/>
          <w:sz w:val="24"/>
        </w:rPr>
        <w:t>1.供应商根据合作银行提供的方案，自行选择金融产品，向合作银行提出信用资格预审，并办理开户等手续；</w:t>
      </w:r>
    </w:p>
    <w:p>
      <w:pPr>
        <w:spacing w:line="360" w:lineRule="auto"/>
        <w:ind w:firstLine="480" w:firstLineChars="200"/>
        <w:rPr>
          <w:rFonts w:ascii="宋体" w:hAnsi="宋体" w:cs="宋体"/>
          <w:sz w:val="24"/>
        </w:rPr>
      </w:pPr>
      <w:r>
        <w:rPr>
          <w:rFonts w:hint="eastAsia" w:ascii="宋体" w:hAnsi="宋体" w:cs="宋体"/>
          <w:sz w:val="24"/>
        </w:rPr>
        <w:t>2.采购合同签订后，供应商在杭州市政府采购网或“浙里办”向合作银行发出融资申请；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rPr>
      </w:pPr>
      <w:r>
        <w:rPr>
          <w:rFonts w:hint="eastAsia" w:ascii="宋体" w:hAnsi="宋体" w:cs="宋体"/>
          <w:sz w:val="24"/>
        </w:rPr>
        <w:t>4.审批通过后，合作银行应按照合作备忘录中约定的审批放款期限和优惠利率及时予以放款。</w:t>
      </w:r>
    </w:p>
    <w:p>
      <w:pPr>
        <w:pStyle w:val="4"/>
        <w:numPr>
          <w:ilvl w:val="255"/>
          <w:numId w:val="0"/>
        </w:numPr>
        <w:ind w:firstLine="480" w:firstLineChars="200"/>
        <w:rPr>
          <w:rFonts w:ascii="宋体" w:hAnsi="宋体" w:eastAsia="宋体" w:cs="宋体"/>
          <w:b w:val="0"/>
          <w:bCs w:val="0"/>
          <w:sz w:val="24"/>
          <w:szCs w:val="24"/>
          <w:lang w:val="en-US"/>
        </w:rPr>
      </w:pPr>
      <w:bookmarkStart w:id="435" w:name="_Toc14502"/>
      <w:r>
        <w:rPr>
          <w:rFonts w:hint="eastAsia" w:ascii="宋体" w:hAnsi="宋体" w:eastAsia="宋体" w:cs="宋体"/>
          <w:b w:val="0"/>
          <w:bCs w:val="0"/>
          <w:sz w:val="24"/>
          <w:szCs w:val="24"/>
          <w:lang w:val="en-US"/>
        </w:rPr>
        <w:t>（三）杭州e融平台申请融资</w:t>
      </w:r>
      <w:bookmarkEnd w:id="435"/>
    </w:p>
    <w:p>
      <w:pPr>
        <w:pStyle w:val="4"/>
        <w:numPr>
          <w:ilvl w:val="255"/>
          <w:numId w:val="0"/>
        </w:numPr>
        <w:ind w:firstLine="480" w:firstLineChars="200"/>
        <w:rPr>
          <w:rFonts w:ascii="宋体" w:hAnsi="宋体" w:eastAsia="宋体" w:cs="宋体"/>
          <w:b w:val="0"/>
          <w:bCs w:val="0"/>
          <w:sz w:val="24"/>
          <w:szCs w:val="24"/>
          <w:lang w:val="en-US"/>
        </w:rPr>
      </w:pPr>
      <w:bookmarkStart w:id="436" w:name="_Toc16017"/>
      <w:r>
        <w:rPr>
          <w:rFonts w:hint="eastAsia" w:ascii="宋体" w:hAnsi="宋体" w:eastAsia="宋体" w:cs="宋体"/>
          <w:b w:val="0"/>
          <w:bCs w:val="0"/>
          <w:sz w:val="24"/>
          <w:szCs w:val="24"/>
          <w:lang w:val="en-US"/>
        </w:rPr>
        <w:t>供应商通过杭州e融平台政采贷专区，自行选择金融产品，按规定手续办理贷款流程。</w:t>
      </w:r>
      <w:bookmarkEnd w:id="436"/>
    </w:p>
    <w:p>
      <w:pPr>
        <w:spacing w:line="360" w:lineRule="auto"/>
        <w:ind w:firstLine="482" w:firstLineChars="200"/>
        <w:rPr>
          <w:rFonts w:ascii="宋体" w:hAnsi="宋体" w:cs="宋体"/>
          <w:b/>
          <w:sz w:val="24"/>
        </w:rPr>
      </w:pPr>
      <w:r>
        <w:rPr>
          <w:rFonts w:hint="eastAsia" w:ascii="宋体" w:hAnsi="宋体" w:cs="宋体"/>
          <w:b/>
          <w:sz w:val="24"/>
        </w:rPr>
        <w:t>四、注意事项</w:t>
      </w:r>
    </w:p>
    <w:p>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37" w:name="_Toc465665161"/>
      <w:bookmarkStart w:id="438" w:name="_Toc19341"/>
      <w:r>
        <w:rPr>
          <w:rFonts w:hint="eastAsia" w:ascii="宋体" w:hAnsi="宋体" w:cs="宋体"/>
        </w:rPr>
        <w:t>附件</w:t>
      </w:r>
      <w:bookmarkEnd w:id="437"/>
      <w:bookmarkEnd w:id="438"/>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39" w:name="OLE_LINK13"/>
      <w:bookmarkStart w:id="440" w:name="OLE_LINK14"/>
      <w:r>
        <w:rPr>
          <w:rFonts w:hint="eastAsia" w:ascii="宋体" w:hAnsi="宋体" w:cs="宋体"/>
          <w:b/>
          <w:spacing w:val="6"/>
          <w:sz w:val="32"/>
          <w:szCs w:val="32"/>
        </w:rPr>
        <w:t>残疾人福利性单位声明函</w:t>
      </w:r>
    </w:p>
    <w:bookmarkEnd w:id="439"/>
    <w:bookmarkEnd w:id="440"/>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日期：</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w:t>
      </w:r>
    </w:p>
    <w:p>
      <w:pPr>
        <w:spacing w:line="360" w:lineRule="auto"/>
        <w:rPr>
          <w:rFonts w:ascii="宋体" w:hAnsi="宋体" w:cs="宋体"/>
          <w:sz w:val="24"/>
          <w:u w:val="dotted"/>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日期：</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rPr>
          <w:rFonts w:ascii="宋体" w:hAnsi="宋体" w:cs="宋体"/>
          <w:b/>
          <w:spacing w:val="6"/>
          <w:sz w:val="32"/>
          <w:szCs w:val="32"/>
        </w:rPr>
      </w:pPr>
      <w:r>
        <w:rPr>
          <w:rFonts w:hint="eastAsia" w:ascii="宋体" w:hAnsi="宋体" w:cs="宋体"/>
          <w:b/>
          <w:spacing w:val="6"/>
          <w:sz w:val="32"/>
          <w:szCs w:val="32"/>
        </w:rPr>
        <w:br w:type="page"/>
      </w: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rPr>
      </w:pPr>
      <w:r>
        <w:rPr>
          <w:rFonts w:hint="eastAsia" w:ascii="宋体" w:hAnsi="宋体" w:cs="宋体"/>
          <w:sz w:val="24"/>
          <w:u w:val="single"/>
        </w:rPr>
        <w:t>浙江省生态环境厅、浙江信镧建设工程咨询有限公司</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你方组织的浙江省核与辐射监督性监测及宣传教育专项项目【招标编号：ZJXL-STHJT-202234】</w:t>
      </w:r>
      <w:r>
        <w:rPr>
          <w:rFonts w:hint="eastAsia" w:ascii="宋体" w:hAnsi="宋体" w:cs="宋体"/>
          <w:bCs/>
          <w:sz w:val="24"/>
        </w:rPr>
        <w:t>投标活动中作如下说明：</w:t>
      </w:r>
      <w:r>
        <w:rPr>
          <w:rFonts w:hint="eastAsia" w:ascii="宋体" w:hAnsi="宋体" w:cs="宋体"/>
          <w:sz w:val="24"/>
        </w:rPr>
        <w:t>我方所使用的“XX专用章”与法定名称章具有同等的法律效力，对使用“XX专用章”的行为予以完全承认，并愿意承担相应责任。</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中小企业声明函（工程、服务）</w:t>
      </w:r>
    </w:p>
    <w:p>
      <w:pPr>
        <w:spacing w:line="360" w:lineRule="auto"/>
        <w:rPr>
          <w:rFonts w:ascii="宋体" w:hAnsi="宋体" w:cs="宋体"/>
        </w:rPr>
      </w:pPr>
    </w:p>
    <w:p>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单位名称）的浙江省核与辐射监督性监测及宣传教育专项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rPr>
          <w:rFonts w:ascii="宋体" w:hAnsi="宋体" w:cs="宋体"/>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41" w:name="_Toc91899912"/>
    <w:bookmarkStart w:id="442" w:name="_Toc36110187"/>
    <w:bookmarkStart w:id="443" w:name="_Toc131845147"/>
    <w:bookmarkStart w:id="444" w:name="_Toc164085800"/>
    <w:r>
      <w:rPr>
        <w:rFonts w:hint="eastAsia" w:ascii="仿宋_GB2312" w:eastAsia="仿宋_GB2312"/>
        <w:kern w:val="0"/>
        <w:szCs w:val="21"/>
      </w:rPr>
      <w:t xml:space="preserve"> 页</w:t>
    </w:r>
    <w:bookmarkEnd w:id="441"/>
    <w:bookmarkEnd w:id="442"/>
    <w:bookmarkEnd w:id="443"/>
    <w:bookmarkEnd w:id="44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B9099"/>
    <w:multiLevelType w:val="singleLevel"/>
    <w:tmpl w:val="B5DB9099"/>
    <w:lvl w:ilvl="0" w:tentative="0">
      <w:start w:val="1"/>
      <w:numFmt w:val="decimal"/>
      <w:lvlText w:val="%1."/>
      <w:lvlJc w:val="left"/>
      <w:pPr>
        <w:ind w:left="425" w:hanging="425"/>
      </w:pPr>
      <w:rPr>
        <w:rFonts w:hint="default"/>
        <w:b/>
        <w:bCs/>
      </w:rPr>
    </w:lvl>
  </w:abstractNum>
  <w:abstractNum w:abstractNumId="1">
    <w:nsid w:val="C1255B49"/>
    <w:multiLevelType w:val="singleLevel"/>
    <w:tmpl w:val="C1255B49"/>
    <w:lvl w:ilvl="0" w:tentative="0">
      <w:start w:val="1"/>
      <w:numFmt w:val="decimal"/>
      <w:lvlText w:val="%1."/>
      <w:lvlJc w:val="left"/>
      <w:pPr>
        <w:ind w:left="425" w:hanging="425"/>
      </w:pPr>
      <w:rPr>
        <w:rFonts w:hint="default"/>
      </w:rPr>
    </w:lvl>
  </w:abstractNum>
  <w:abstractNum w:abstractNumId="2">
    <w:nsid w:val="C802D1DC"/>
    <w:multiLevelType w:val="singleLevel"/>
    <w:tmpl w:val="C802D1DC"/>
    <w:lvl w:ilvl="0" w:tentative="0">
      <w:start w:val="3"/>
      <w:numFmt w:val="decimal"/>
      <w:lvlText w:val="%1."/>
      <w:lvlJc w:val="left"/>
      <w:pPr>
        <w:tabs>
          <w:tab w:val="left" w:pos="312"/>
        </w:tabs>
      </w:pPr>
    </w:lvl>
  </w:abstractNum>
  <w:abstractNum w:abstractNumId="3">
    <w:nsid w:val="CD2303F6"/>
    <w:multiLevelType w:val="singleLevel"/>
    <w:tmpl w:val="CD2303F6"/>
    <w:lvl w:ilvl="0" w:tentative="0">
      <w:start w:val="1"/>
      <w:numFmt w:val="decimal"/>
      <w:lvlText w:val="(%1)"/>
      <w:lvlJc w:val="left"/>
      <w:pPr>
        <w:ind w:left="425" w:hanging="425"/>
      </w:pPr>
      <w:rPr>
        <w:rFonts w:hint="default"/>
      </w:rPr>
    </w:lvl>
  </w:abstractNum>
  <w:abstractNum w:abstractNumId="4">
    <w:nsid w:val="D4583D68"/>
    <w:multiLevelType w:val="singleLevel"/>
    <w:tmpl w:val="D4583D68"/>
    <w:lvl w:ilvl="0" w:tentative="0">
      <w:start w:val="1"/>
      <w:numFmt w:val="decimal"/>
      <w:lvlText w:val="(%1)"/>
      <w:lvlJc w:val="left"/>
      <w:pPr>
        <w:ind w:left="425" w:hanging="425"/>
      </w:pPr>
      <w:rPr>
        <w:rFonts w:hint="default"/>
      </w:rPr>
    </w:lvl>
  </w:abstractNum>
  <w:abstractNum w:abstractNumId="5">
    <w:nsid w:val="00ED2A41"/>
    <w:multiLevelType w:val="multilevel"/>
    <w:tmpl w:val="00ED2A41"/>
    <w:lvl w:ilvl="0" w:tentative="0">
      <w:start w:val="6"/>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6">
    <w:nsid w:val="0CAD6C26"/>
    <w:multiLevelType w:val="multilevel"/>
    <w:tmpl w:val="0CAD6C26"/>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7">
    <w:nsid w:val="0FE576B4"/>
    <w:multiLevelType w:val="multilevel"/>
    <w:tmpl w:val="0FE576B4"/>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ascii="Times New Roman" w:hAnsi="Times New Roman" w:cs="Times New Roman" w:eastAsiaTheme="minorEastAsia"/>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8">
    <w:nsid w:val="140066EE"/>
    <w:multiLevelType w:val="multilevel"/>
    <w:tmpl w:val="140066EE"/>
    <w:lvl w:ilvl="0" w:tentative="0">
      <w:start w:val="4"/>
      <w:numFmt w:val="decimal"/>
      <w:lvlText w:val="%1"/>
      <w:lvlJc w:val="left"/>
      <w:pPr>
        <w:ind w:left="360" w:hanging="360"/>
      </w:pPr>
      <w:rPr>
        <w:rFonts w:hint="default" w:cs="宋体" w:asciiTheme="minorEastAsia" w:hAnsiTheme="minorEastAsia" w:eastAsiaTheme="minorEastAsia"/>
      </w:rPr>
    </w:lvl>
    <w:lvl w:ilvl="1" w:tentative="0">
      <w:start w:val="1"/>
      <w:numFmt w:val="decimal"/>
      <w:lvlText w:val="%1.%2"/>
      <w:lvlJc w:val="left"/>
      <w:pPr>
        <w:ind w:left="360" w:hanging="360"/>
      </w:pPr>
      <w:rPr>
        <w:rFonts w:hint="default" w:ascii="Times New Roman" w:hAnsi="Times New Roman" w:cs="Times New Roman" w:eastAsiaTheme="minorEastAsia"/>
      </w:rPr>
    </w:lvl>
    <w:lvl w:ilvl="2" w:tentative="0">
      <w:start w:val="1"/>
      <w:numFmt w:val="decimal"/>
      <w:lvlText w:val="%1.%2.%3"/>
      <w:lvlJc w:val="left"/>
      <w:pPr>
        <w:ind w:left="720" w:hanging="720"/>
      </w:pPr>
      <w:rPr>
        <w:rFonts w:hint="default" w:cs="宋体" w:asciiTheme="minorEastAsia" w:hAnsiTheme="minorEastAsia" w:eastAsiaTheme="minorEastAsia"/>
      </w:rPr>
    </w:lvl>
    <w:lvl w:ilvl="3" w:tentative="0">
      <w:start w:val="1"/>
      <w:numFmt w:val="decimal"/>
      <w:lvlText w:val="%1.%2.%3.%4"/>
      <w:lvlJc w:val="left"/>
      <w:pPr>
        <w:ind w:left="720" w:hanging="720"/>
      </w:pPr>
      <w:rPr>
        <w:rFonts w:hint="default" w:cs="宋体" w:asciiTheme="minorEastAsia" w:hAnsiTheme="minorEastAsia" w:eastAsiaTheme="minorEastAsia"/>
      </w:rPr>
    </w:lvl>
    <w:lvl w:ilvl="4" w:tentative="0">
      <w:start w:val="1"/>
      <w:numFmt w:val="decimal"/>
      <w:lvlText w:val="%1.%2.%3.%4.%5"/>
      <w:lvlJc w:val="left"/>
      <w:pPr>
        <w:ind w:left="1080" w:hanging="1080"/>
      </w:pPr>
      <w:rPr>
        <w:rFonts w:hint="default" w:cs="宋体" w:asciiTheme="minorEastAsia" w:hAnsiTheme="minorEastAsia" w:eastAsiaTheme="minorEastAsia"/>
      </w:rPr>
    </w:lvl>
    <w:lvl w:ilvl="5" w:tentative="0">
      <w:start w:val="1"/>
      <w:numFmt w:val="decimal"/>
      <w:lvlText w:val="%1.%2.%3.%4.%5.%6"/>
      <w:lvlJc w:val="left"/>
      <w:pPr>
        <w:ind w:left="1080" w:hanging="1080"/>
      </w:pPr>
      <w:rPr>
        <w:rFonts w:hint="default" w:cs="宋体" w:asciiTheme="minorEastAsia" w:hAnsiTheme="minorEastAsia" w:eastAsiaTheme="minorEastAsia"/>
      </w:rPr>
    </w:lvl>
    <w:lvl w:ilvl="6" w:tentative="0">
      <w:start w:val="1"/>
      <w:numFmt w:val="decimal"/>
      <w:lvlText w:val="%1.%2.%3.%4.%5.%6.%7"/>
      <w:lvlJc w:val="left"/>
      <w:pPr>
        <w:ind w:left="1080" w:hanging="1080"/>
      </w:pPr>
      <w:rPr>
        <w:rFonts w:hint="default" w:cs="宋体" w:asciiTheme="minorEastAsia" w:hAnsiTheme="minorEastAsia" w:eastAsiaTheme="minorEastAsia"/>
      </w:rPr>
    </w:lvl>
    <w:lvl w:ilvl="7" w:tentative="0">
      <w:start w:val="1"/>
      <w:numFmt w:val="decimal"/>
      <w:lvlText w:val="%1.%2.%3.%4.%5.%6.%7.%8"/>
      <w:lvlJc w:val="left"/>
      <w:pPr>
        <w:ind w:left="1440" w:hanging="1440"/>
      </w:pPr>
      <w:rPr>
        <w:rFonts w:hint="default" w:cs="宋体" w:asciiTheme="minorEastAsia" w:hAnsiTheme="minorEastAsia" w:eastAsiaTheme="minorEastAsia"/>
      </w:rPr>
    </w:lvl>
    <w:lvl w:ilvl="8" w:tentative="0">
      <w:start w:val="1"/>
      <w:numFmt w:val="decimal"/>
      <w:lvlText w:val="%1.%2.%3.%4.%5.%6.%7.%8.%9"/>
      <w:lvlJc w:val="left"/>
      <w:pPr>
        <w:ind w:left="1440" w:hanging="1440"/>
      </w:pPr>
      <w:rPr>
        <w:rFonts w:hint="default" w:cs="宋体" w:asciiTheme="minorEastAsia" w:hAnsiTheme="minorEastAsia" w:eastAsiaTheme="minorEastAsia"/>
      </w:rPr>
    </w:lvl>
  </w:abstractNum>
  <w:abstractNum w:abstractNumId="9">
    <w:nsid w:val="28C0764B"/>
    <w:multiLevelType w:val="multilevel"/>
    <w:tmpl w:val="28C0764B"/>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0">
    <w:nsid w:val="72C726AB"/>
    <w:multiLevelType w:val="singleLevel"/>
    <w:tmpl w:val="72C726AB"/>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4"/>
  </w:num>
  <w:num w:numId="4">
    <w:abstractNumId w:val="10"/>
  </w:num>
  <w:num w:numId="5">
    <w:abstractNumId w:val="6"/>
  </w:num>
  <w:num w:numId="6">
    <w:abstractNumId w:val="7"/>
  </w:num>
  <w:num w:numId="7">
    <w:abstractNumId w:val="8"/>
  </w:num>
  <w:num w:numId="8">
    <w:abstractNumId w:val="9"/>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Y2E0MzM3YTg4ODc3MWFkNmFlNjIyNzE2ZWZiM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3C5B"/>
    <w:rsid w:val="00044635"/>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26A"/>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A31"/>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3BEA"/>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2EF"/>
    <w:rsid w:val="002C3890"/>
    <w:rsid w:val="002C3AD9"/>
    <w:rsid w:val="002C4286"/>
    <w:rsid w:val="002C43FC"/>
    <w:rsid w:val="002C45C3"/>
    <w:rsid w:val="002C483B"/>
    <w:rsid w:val="002C4DFE"/>
    <w:rsid w:val="002C519E"/>
    <w:rsid w:val="002C5D5E"/>
    <w:rsid w:val="002C6116"/>
    <w:rsid w:val="002C643D"/>
    <w:rsid w:val="002C66B8"/>
    <w:rsid w:val="002C70E7"/>
    <w:rsid w:val="002D09D4"/>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1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411F"/>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B85"/>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96C"/>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4A9"/>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485"/>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4F4"/>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797"/>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651"/>
    <w:rsid w:val="0056278F"/>
    <w:rsid w:val="00562FB1"/>
    <w:rsid w:val="00563068"/>
    <w:rsid w:val="0056376A"/>
    <w:rsid w:val="00563B3C"/>
    <w:rsid w:val="00563C6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596"/>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460C"/>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A35"/>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755"/>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D71"/>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374"/>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496"/>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5D7"/>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5A71"/>
    <w:rsid w:val="00806A4C"/>
    <w:rsid w:val="0080705B"/>
    <w:rsid w:val="0080723C"/>
    <w:rsid w:val="00807F71"/>
    <w:rsid w:val="0081000F"/>
    <w:rsid w:val="00812657"/>
    <w:rsid w:val="00812A1A"/>
    <w:rsid w:val="00812DFF"/>
    <w:rsid w:val="008132CE"/>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2B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4CD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AF6"/>
    <w:rsid w:val="008B3D7F"/>
    <w:rsid w:val="008B3E1B"/>
    <w:rsid w:val="008B3F4B"/>
    <w:rsid w:val="008B48EC"/>
    <w:rsid w:val="008B4AF0"/>
    <w:rsid w:val="008B518E"/>
    <w:rsid w:val="008B527B"/>
    <w:rsid w:val="008B5293"/>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FE0"/>
    <w:rsid w:val="009251A3"/>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2C2"/>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DD5"/>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E82"/>
    <w:rsid w:val="00A21838"/>
    <w:rsid w:val="00A22C3E"/>
    <w:rsid w:val="00A22C4D"/>
    <w:rsid w:val="00A2334E"/>
    <w:rsid w:val="00A23442"/>
    <w:rsid w:val="00A249D2"/>
    <w:rsid w:val="00A254AB"/>
    <w:rsid w:val="00A259F2"/>
    <w:rsid w:val="00A266CC"/>
    <w:rsid w:val="00A26B62"/>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74"/>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75C"/>
    <w:rsid w:val="00AB110C"/>
    <w:rsid w:val="00AB12D1"/>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8AD"/>
    <w:rsid w:val="00AE6575"/>
    <w:rsid w:val="00AE71EE"/>
    <w:rsid w:val="00AF03CF"/>
    <w:rsid w:val="00AF0A0A"/>
    <w:rsid w:val="00AF14FC"/>
    <w:rsid w:val="00AF1ED2"/>
    <w:rsid w:val="00AF1F4E"/>
    <w:rsid w:val="00AF2302"/>
    <w:rsid w:val="00AF262A"/>
    <w:rsid w:val="00AF2774"/>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D7B"/>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A64"/>
    <w:rsid w:val="00B45F9F"/>
    <w:rsid w:val="00B4627C"/>
    <w:rsid w:val="00B4641F"/>
    <w:rsid w:val="00B46793"/>
    <w:rsid w:val="00B46953"/>
    <w:rsid w:val="00B47455"/>
    <w:rsid w:val="00B475F3"/>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B67"/>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8C9"/>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8B4"/>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EEC"/>
    <w:rsid w:val="00CF029C"/>
    <w:rsid w:val="00CF0AF0"/>
    <w:rsid w:val="00CF157E"/>
    <w:rsid w:val="00CF1631"/>
    <w:rsid w:val="00CF1834"/>
    <w:rsid w:val="00CF1AAA"/>
    <w:rsid w:val="00CF1EC2"/>
    <w:rsid w:val="00CF2ACF"/>
    <w:rsid w:val="00CF345B"/>
    <w:rsid w:val="00CF3A25"/>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364A"/>
    <w:rsid w:val="00D3497A"/>
    <w:rsid w:val="00D35F2F"/>
    <w:rsid w:val="00D35FC6"/>
    <w:rsid w:val="00D36BB8"/>
    <w:rsid w:val="00D36E5A"/>
    <w:rsid w:val="00D377D4"/>
    <w:rsid w:val="00D401A1"/>
    <w:rsid w:val="00D40217"/>
    <w:rsid w:val="00D40385"/>
    <w:rsid w:val="00D404CE"/>
    <w:rsid w:val="00D40E8F"/>
    <w:rsid w:val="00D412BF"/>
    <w:rsid w:val="00D417C6"/>
    <w:rsid w:val="00D417D0"/>
    <w:rsid w:val="00D42B0C"/>
    <w:rsid w:val="00D42D6E"/>
    <w:rsid w:val="00D43DEF"/>
    <w:rsid w:val="00D44259"/>
    <w:rsid w:val="00D44662"/>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1AB"/>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0FF1"/>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A9E"/>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A99"/>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BA"/>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3B80"/>
    <w:rsid w:val="00EA57AB"/>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181"/>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63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606"/>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000"/>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53A"/>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16B64"/>
    <w:rsid w:val="011E4B27"/>
    <w:rsid w:val="011F6449"/>
    <w:rsid w:val="01236AFB"/>
    <w:rsid w:val="017A7984"/>
    <w:rsid w:val="01995C91"/>
    <w:rsid w:val="019F7441"/>
    <w:rsid w:val="01B37585"/>
    <w:rsid w:val="01D55165"/>
    <w:rsid w:val="01DF6BF8"/>
    <w:rsid w:val="01EC2C57"/>
    <w:rsid w:val="02054855"/>
    <w:rsid w:val="026B2E25"/>
    <w:rsid w:val="02824D4D"/>
    <w:rsid w:val="02DC4B10"/>
    <w:rsid w:val="02DD76CE"/>
    <w:rsid w:val="02F36323"/>
    <w:rsid w:val="02F5619C"/>
    <w:rsid w:val="02FC7879"/>
    <w:rsid w:val="0326446A"/>
    <w:rsid w:val="032D5555"/>
    <w:rsid w:val="036634D2"/>
    <w:rsid w:val="037527A1"/>
    <w:rsid w:val="03DD35E4"/>
    <w:rsid w:val="03E2554B"/>
    <w:rsid w:val="04076900"/>
    <w:rsid w:val="041A5A3B"/>
    <w:rsid w:val="042311BA"/>
    <w:rsid w:val="042B157A"/>
    <w:rsid w:val="048F763B"/>
    <w:rsid w:val="049727D9"/>
    <w:rsid w:val="049F330E"/>
    <w:rsid w:val="04AA775C"/>
    <w:rsid w:val="04AF1889"/>
    <w:rsid w:val="04F66F48"/>
    <w:rsid w:val="05251E14"/>
    <w:rsid w:val="052C6612"/>
    <w:rsid w:val="054964CE"/>
    <w:rsid w:val="054A3526"/>
    <w:rsid w:val="056F1060"/>
    <w:rsid w:val="0577613E"/>
    <w:rsid w:val="05A16594"/>
    <w:rsid w:val="05A7762D"/>
    <w:rsid w:val="05E175BB"/>
    <w:rsid w:val="060E5941"/>
    <w:rsid w:val="06110FAF"/>
    <w:rsid w:val="06493CA7"/>
    <w:rsid w:val="065A6178"/>
    <w:rsid w:val="066F1CF3"/>
    <w:rsid w:val="06930BB8"/>
    <w:rsid w:val="06954C11"/>
    <w:rsid w:val="06986394"/>
    <w:rsid w:val="069A210C"/>
    <w:rsid w:val="07245D42"/>
    <w:rsid w:val="07264C62"/>
    <w:rsid w:val="075F0C22"/>
    <w:rsid w:val="0779354C"/>
    <w:rsid w:val="079A4D38"/>
    <w:rsid w:val="079F6084"/>
    <w:rsid w:val="07D72EEC"/>
    <w:rsid w:val="08061376"/>
    <w:rsid w:val="083E2F6B"/>
    <w:rsid w:val="08452D77"/>
    <w:rsid w:val="086112B2"/>
    <w:rsid w:val="086401F8"/>
    <w:rsid w:val="08751CAA"/>
    <w:rsid w:val="087E4C40"/>
    <w:rsid w:val="08D66AD6"/>
    <w:rsid w:val="08DA33A3"/>
    <w:rsid w:val="08E80F13"/>
    <w:rsid w:val="08E873D7"/>
    <w:rsid w:val="09335624"/>
    <w:rsid w:val="0944690F"/>
    <w:rsid w:val="09535675"/>
    <w:rsid w:val="095F057D"/>
    <w:rsid w:val="09642282"/>
    <w:rsid w:val="09733572"/>
    <w:rsid w:val="09772C16"/>
    <w:rsid w:val="098353B5"/>
    <w:rsid w:val="09A92330"/>
    <w:rsid w:val="09B06B87"/>
    <w:rsid w:val="09C13146"/>
    <w:rsid w:val="09E04166"/>
    <w:rsid w:val="09E51FB1"/>
    <w:rsid w:val="09E9744D"/>
    <w:rsid w:val="0A002560"/>
    <w:rsid w:val="0A1C0718"/>
    <w:rsid w:val="0A3E7710"/>
    <w:rsid w:val="0A5B7E63"/>
    <w:rsid w:val="0AA374A5"/>
    <w:rsid w:val="0AAB7649"/>
    <w:rsid w:val="0ABC5606"/>
    <w:rsid w:val="0B161A1B"/>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B11F5E"/>
    <w:rsid w:val="0CB3197D"/>
    <w:rsid w:val="0CC007F7"/>
    <w:rsid w:val="0CFE707A"/>
    <w:rsid w:val="0D063BDA"/>
    <w:rsid w:val="0D08375F"/>
    <w:rsid w:val="0D184CFB"/>
    <w:rsid w:val="0D497E42"/>
    <w:rsid w:val="0D4A7419"/>
    <w:rsid w:val="0D7E5111"/>
    <w:rsid w:val="0D827401"/>
    <w:rsid w:val="0D84094E"/>
    <w:rsid w:val="0D8A00E9"/>
    <w:rsid w:val="0D8D589E"/>
    <w:rsid w:val="0DA01C73"/>
    <w:rsid w:val="0DD2242D"/>
    <w:rsid w:val="0DD63300"/>
    <w:rsid w:val="0DF50604"/>
    <w:rsid w:val="0DF702FE"/>
    <w:rsid w:val="0E060E51"/>
    <w:rsid w:val="0E5604B2"/>
    <w:rsid w:val="0E573B5F"/>
    <w:rsid w:val="0E6D5D79"/>
    <w:rsid w:val="0E9D0089"/>
    <w:rsid w:val="0E9D5273"/>
    <w:rsid w:val="0EB803EE"/>
    <w:rsid w:val="0EF94D4B"/>
    <w:rsid w:val="0F0547E3"/>
    <w:rsid w:val="0F4958DC"/>
    <w:rsid w:val="0F515DF7"/>
    <w:rsid w:val="0F596BA8"/>
    <w:rsid w:val="0F6248D2"/>
    <w:rsid w:val="0F693536"/>
    <w:rsid w:val="0F7B0511"/>
    <w:rsid w:val="0F7B76D9"/>
    <w:rsid w:val="0F816ACD"/>
    <w:rsid w:val="0F8D168B"/>
    <w:rsid w:val="0F9832DB"/>
    <w:rsid w:val="0FBF3FD2"/>
    <w:rsid w:val="0FBF7FF3"/>
    <w:rsid w:val="104913C2"/>
    <w:rsid w:val="105B2DD7"/>
    <w:rsid w:val="10646583"/>
    <w:rsid w:val="10702192"/>
    <w:rsid w:val="107D4B15"/>
    <w:rsid w:val="108A3C80"/>
    <w:rsid w:val="10AD0F8B"/>
    <w:rsid w:val="10C26171"/>
    <w:rsid w:val="10F33360"/>
    <w:rsid w:val="10F90377"/>
    <w:rsid w:val="10FC16EA"/>
    <w:rsid w:val="110F1D40"/>
    <w:rsid w:val="11266F33"/>
    <w:rsid w:val="114809B7"/>
    <w:rsid w:val="118963A1"/>
    <w:rsid w:val="11BD13A5"/>
    <w:rsid w:val="11C6522A"/>
    <w:rsid w:val="11D527E8"/>
    <w:rsid w:val="11E104CC"/>
    <w:rsid w:val="11E20309"/>
    <w:rsid w:val="12183532"/>
    <w:rsid w:val="12255233"/>
    <w:rsid w:val="1226519C"/>
    <w:rsid w:val="12530213"/>
    <w:rsid w:val="127723A9"/>
    <w:rsid w:val="12862074"/>
    <w:rsid w:val="12883966"/>
    <w:rsid w:val="1291530D"/>
    <w:rsid w:val="129E45B4"/>
    <w:rsid w:val="12D81596"/>
    <w:rsid w:val="13072A44"/>
    <w:rsid w:val="135F4BE2"/>
    <w:rsid w:val="139B1A0A"/>
    <w:rsid w:val="139D25C7"/>
    <w:rsid w:val="139D7038"/>
    <w:rsid w:val="13BF3CE4"/>
    <w:rsid w:val="141008D8"/>
    <w:rsid w:val="14125FE6"/>
    <w:rsid w:val="146D271E"/>
    <w:rsid w:val="14982588"/>
    <w:rsid w:val="149A5AD9"/>
    <w:rsid w:val="14A7619D"/>
    <w:rsid w:val="14C16100"/>
    <w:rsid w:val="14C33176"/>
    <w:rsid w:val="14F44AB2"/>
    <w:rsid w:val="14FD48F7"/>
    <w:rsid w:val="150536C3"/>
    <w:rsid w:val="150C1963"/>
    <w:rsid w:val="151447A0"/>
    <w:rsid w:val="154A6454"/>
    <w:rsid w:val="15762120"/>
    <w:rsid w:val="1593637A"/>
    <w:rsid w:val="15B34F99"/>
    <w:rsid w:val="15C14EEE"/>
    <w:rsid w:val="162B0FD3"/>
    <w:rsid w:val="16706D6C"/>
    <w:rsid w:val="16A8729C"/>
    <w:rsid w:val="16B30AC3"/>
    <w:rsid w:val="16B33777"/>
    <w:rsid w:val="16BC70A7"/>
    <w:rsid w:val="16C6339E"/>
    <w:rsid w:val="172F2D79"/>
    <w:rsid w:val="17443099"/>
    <w:rsid w:val="17557BEF"/>
    <w:rsid w:val="17966920"/>
    <w:rsid w:val="17BA2FD7"/>
    <w:rsid w:val="17C62B5C"/>
    <w:rsid w:val="17D349C1"/>
    <w:rsid w:val="1830729E"/>
    <w:rsid w:val="18343A79"/>
    <w:rsid w:val="1870062C"/>
    <w:rsid w:val="18817102"/>
    <w:rsid w:val="18830A15"/>
    <w:rsid w:val="18852B28"/>
    <w:rsid w:val="188B5321"/>
    <w:rsid w:val="18EB5133"/>
    <w:rsid w:val="19157D18"/>
    <w:rsid w:val="196A3D4B"/>
    <w:rsid w:val="19932372"/>
    <w:rsid w:val="19A20DD5"/>
    <w:rsid w:val="19A65FF3"/>
    <w:rsid w:val="19AE03F1"/>
    <w:rsid w:val="19C71013"/>
    <w:rsid w:val="1A071A03"/>
    <w:rsid w:val="1A131575"/>
    <w:rsid w:val="1A1F16AE"/>
    <w:rsid w:val="1A3B5C77"/>
    <w:rsid w:val="1A984BAD"/>
    <w:rsid w:val="1AB8220E"/>
    <w:rsid w:val="1AE4166C"/>
    <w:rsid w:val="1AF06CFB"/>
    <w:rsid w:val="1AF11B8D"/>
    <w:rsid w:val="1B11359C"/>
    <w:rsid w:val="1B2A271F"/>
    <w:rsid w:val="1B530544"/>
    <w:rsid w:val="1B6D259D"/>
    <w:rsid w:val="1B6E5FB3"/>
    <w:rsid w:val="1B713184"/>
    <w:rsid w:val="1BA209CF"/>
    <w:rsid w:val="1BB4777D"/>
    <w:rsid w:val="1BD75AB8"/>
    <w:rsid w:val="1C0459C2"/>
    <w:rsid w:val="1C146065"/>
    <w:rsid w:val="1C1B3B4A"/>
    <w:rsid w:val="1C5E2D90"/>
    <w:rsid w:val="1C88086E"/>
    <w:rsid w:val="1D0460DA"/>
    <w:rsid w:val="1D266CE1"/>
    <w:rsid w:val="1D3963AF"/>
    <w:rsid w:val="1D5B4ED9"/>
    <w:rsid w:val="1D6A673C"/>
    <w:rsid w:val="1D7B502E"/>
    <w:rsid w:val="1D9247AE"/>
    <w:rsid w:val="1DB567EC"/>
    <w:rsid w:val="1DBA6E5D"/>
    <w:rsid w:val="1DF51A98"/>
    <w:rsid w:val="1DF61EC7"/>
    <w:rsid w:val="1E3D060F"/>
    <w:rsid w:val="1E3F7D2E"/>
    <w:rsid w:val="1E4134E4"/>
    <w:rsid w:val="1E5062B3"/>
    <w:rsid w:val="1E523514"/>
    <w:rsid w:val="1E5A4675"/>
    <w:rsid w:val="1E714A66"/>
    <w:rsid w:val="1E802593"/>
    <w:rsid w:val="1EA703CC"/>
    <w:rsid w:val="1EB7330C"/>
    <w:rsid w:val="1F0A0FF3"/>
    <w:rsid w:val="1F5771FF"/>
    <w:rsid w:val="1F6A4875"/>
    <w:rsid w:val="1FC35DD8"/>
    <w:rsid w:val="1FE868A9"/>
    <w:rsid w:val="20034907"/>
    <w:rsid w:val="20173E4B"/>
    <w:rsid w:val="203314DE"/>
    <w:rsid w:val="20362A4E"/>
    <w:rsid w:val="203C0AC1"/>
    <w:rsid w:val="204E48BC"/>
    <w:rsid w:val="20856F1F"/>
    <w:rsid w:val="208921B3"/>
    <w:rsid w:val="20973DEB"/>
    <w:rsid w:val="20B26522"/>
    <w:rsid w:val="20B44310"/>
    <w:rsid w:val="211116EB"/>
    <w:rsid w:val="216133FC"/>
    <w:rsid w:val="21D56769"/>
    <w:rsid w:val="21E52EF3"/>
    <w:rsid w:val="21FB5D7B"/>
    <w:rsid w:val="220B1C3D"/>
    <w:rsid w:val="221D1D20"/>
    <w:rsid w:val="222F4594"/>
    <w:rsid w:val="22334A87"/>
    <w:rsid w:val="226F3FF6"/>
    <w:rsid w:val="227E7C81"/>
    <w:rsid w:val="22BE6801"/>
    <w:rsid w:val="22EB3FC4"/>
    <w:rsid w:val="230C34FA"/>
    <w:rsid w:val="233500BF"/>
    <w:rsid w:val="23377FF7"/>
    <w:rsid w:val="233A662C"/>
    <w:rsid w:val="23483118"/>
    <w:rsid w:val="23641172"/>
    <w:rsid w:val="236B425F"/>
    <w:rsid w:val="23736492"/>
    <w:rsid w:val="23836192"/>
    <w:rsid w:val="238503D1"/>
    <w:rsid w:val="238B4E5F"/>
    <w:rsid w:val="23901F29"/>
    <w:rsid w:val="239C0061"/>
    <w:rsid w:val="23B908A4"/>
    <w:rsid w:val="23DB07D9"/>
    <w:rsid w:val="23DC1B5F"/>
    <w:rsid w:val="23E95BEF"/>
    <w:rsid w:val="23ED78C8"/>
    <w:rsid w:val="23FD0064"/>
    <w:rsid w:val="2439792B"/>
    <w:rsid w:val="245375B0"/>
    <w:rsid w:val="245A2AD1"/>
    <w:rsid w:val="24642C0A"/>
    <w:rsid w:val="246A0F18"/>
    <w:rsid w:val="248E5B52"/>
    <w:rsid w:val="24A7216D"/>
    <w:rsid w:val="24B22173"/>
    <w:rsid w:val="24B93C4E"/>
    <w:rsid w:val="24B95AD9"/>
    <w:rsid w:val="24BE24DA"/>
    <w:rsid w:val="24CF5825"/>
    <w:rsid w:val="24D663E6"/>
    <w:rsid w:val="24D77F2B"/>
    <w:rsid w:val="24E8008F"/>
    <w:rsid w:val="24E82E11"/>
    <w:rsid w:val="24F41CE7"/>
    <w:rsid w:val="254C6BC5"/>
    <w:rsid w:val="258B00E2"/>
    <w:rsid w:val="25A917A6"/>
    <w:rsid w:val="25BE27CC"/>
    <w:rsid w:val="25E721A2"/>
    <w:rsid w:val="25F74A5C"/>
    <w:rsid w:val="2628662C"/>
    <w:rsid w:val="262D45DE"/>
    <w:rsid w:val="26A056BE"/>
    <w:rsid w:val="26A53EF9"/>
    <w:rsid w:val="26A94201"/>
    <w:rsid w:val="26AC274F"/>
    <w:rsid w:val="26EC2BE5"/>
    <w:rsid w:val="27044A29"/>
    <w:rsid w:val="271D34C8"/>
    <w:rsid w:val="276142BF"/>
    <w:rsid w:val="27783712"/>
    <w:rsid w:val="27907362"/>
    <w:rsid w:val="279A191D"/>
    <w:rsid w:val="27F356C9"/>
    <w:rsid w:val="280706A2"/>
    <w:rsid w:val="281E6C58"/>
    <w:rsid w:val="28333E1D"/>
    <w:rsid w:val="28454BD6"/>
    <w:rsid w:val="28455253"/>
    <w:rsid w:val="28551971"/>
    <w:rsid w:val="285B1C53"/>
    <w:rsid w:val="289F7086"/>
    <w:rsid w:val="28B704A4"/>
    <w:rsid w:val="28C32028"/>
    <w:rsid w:val="28CC490F"/>
    <w:rsid w:val="28CF091C"/>
    <w:rsid w:val="28D43788"/>
    <w:rsid w:val="28DE40AA"/>
    <w:rsid w:val="2914146A"/>
    <w:rsid w:val="29345E77"/>
    <w:rsid w:val="294C65AD"/>
    <w:rsid w:val="29806583"/>
    <w:rsid w:val="298B3C4C"/>
    <w:rsid w:val="299E6A8F"/>
    <w:rsid w:val="29BF5862"/>
    <w:rsid w:val="29F105F0"/>
    <w:rsid w:val="29F26D24"/>
    <w:rsid w:val="2A15033F"/>
    <w:rsid w:val="2A1662C1"/>
    <w:rsid w:val="2A1C7367"/>
    <w:rsid w:val="2A2815FA"/>
    <w:rsid w:val="2A5222B6"/>
    <w:rsid w:val="2A6D6092"/>
    <w:rsid w:val="2A7D76B4"/>
    <w:rsid w:val="2B437463"/>
    <w:rsid w:val="2B4D3E13"/>
    <w:rsid w:val="2B7807EE"/>
    <w:rsid w:val="2BBF00EC"/>
    <w:rsid w:val="2BC37CFD"/>
    <w:rsid w:val="2BD5237F"/>
    <w:rsid w:val="2BE536CE"/>
    <w:rsid w:val="2BE758D9"/>
    <w:rsid w:val="2C09049E"/>
    <w:rsid w:val="2C0A653C"/>
    <w:rsid w:val="2C191F85"/>
    <w:rsid w:val="2C5614F4"/>
    <w:rsid w:val="2C5B0206"/>
    <w:rsid w:val="2C896AC5"/>
    <w:rsid w:val="2CA73DBA"/>
    <w:rsid w:val="2CE82D6F"/>
    <w:rsid w:val="2D343236"/>
    <w:rsid w:val="2D355570"/>
    <w:rsid w:val="2D377E06"/>
    <w:rsid w:val="2D46629B"/>
    <w:rsid w:val="2DD10278"/>
    <w:rsid w:val="2DD15014"/>
    <w:rsid w:val="2DDD7649"/>
    <w:rsid w:val="2DF72DE4"/>
    <w:rsid w:val="2E0220AF"/>
    <w:rsid w:val="2E4B082A"/>
    <w:rsid w:val="2E5D4E86"/>
    <w:rsid w:val="2E5D790B"/>
    <w:rsid w:val="2E9A3C18"/>
    <w:rsid w:val="2EBB0FEE"/>
    <w:rsid w:val="2EBB1FAE"/>
    <w:rsid w:val="2EC13E2B"/>
    <w:rsid w:val="2EC63002"/>
    <w:rsid w:val="2F0A6B38"/>
    <w:rsid w:val="2F1523C9"/>
    <w:rsid w:val="2F946CCB"/>
    <w:rsid w:val="2FB66570"/>
    <w:rsid w:val="2FD25781"/>
    <w:rsid w:val="2FE106D0"/>
    <w:rsid w:val="2FFD7934"/>
    <w:rsid w:val="305D6C11"/>
    <w:rsid w:val="30733ACD"/>
    <w:rsid w:val="308C3862"/>
    <w:rsid w:val="309379D8"/>
    <w:rsid w:val="30A270F7"/>
    <w:rsid w:val="30CA36BF"/>
    <w:rsid w:val="30DF1478"/>
    <w:rsid w:val="30EC586F"/>
    <w:rsid w:val="30F249BC"/>
    <w:rsid w:val="3154527D"/>
    <w:rsid w:val="31806313"/>
    <w:rsid w:val="319C6071"/>
    <w:rsid w:val="31AC537E"/>
    <w:rsid w:val="31CB4573"/>
    <w:rsid w:val="31E3679B"/>
    <w:rsid w:val="31E732FD"/>
    <w:rsid w:val="31F255AF"/>
    <w:rsid w:val="32517576"/>
    <w:rsid w:val="325F576F"/>
    <w:rsid w:val="3268696E"/>
    <w:rsid w:val="32AE2918"/>
    <w:rsid w:val="32BE5C2C"/>
    <w:rsid w:val="32C0264B"/>
    <w:rsid w:val="32D27865"/>
    <w:rsid w:val="32F347CF"/>
    <w:rsid w:val="32FB6478"/>
    <w:rsid w:val="33263B3F"/>
    <w:rsid w:val="336963EB"/>
    <w:rsid w:val="33816EEB"/>
    <w:rsid w:val="33B25991"/>
    <w:rsid w:val="33EB55CD"/>
    <w:rsid w:val="33EC4C02"/>
    <w:rsid w:val="340B176C"/>
    <w:rsid w:val="340D2360"/>
    <w:rsid w:val="3410665D"/>
    <w:rsid w:val="34211214"/>
    <w:rsid w:val="342E63AB"/>
    <w:rsid w:val="34950E68"/>
    <w:rsid w:val="34963664"/>
    <w:rsid w:val="34986E94"/>
    <w:rsid w:val="34AF62C9"/>
    <w:rsid w:val="34CB4388"/>
    <w:rsid w:val="34CF7F33"/>
    <w:rsid w:val="34FA6E12"/>
    <w:rsid w:val="34FD7B87"/>
    <w:rsid w:val="35005DCC"/>
    <w:rsid w:val="35093679"/>
    <w:rsid w:val="358D5588"/>
    <w:rsid w:val="35C475F8"/>
    <w:rsid w:val="35ED2F28"/>
    <w:rsid w:val="363A3B40"/>
    <w:rsid w:val="365302AE"/>
    <w:rsid w:val="36607A0A"/>
    <w:rsid w:val="366E227C"/>
    <w:rsid w:val="366F2E0D"/>
    <w:rsid w:val="367B6A5C"/>
    <w:rsid w:val="36A74ADA"/>
    <w:rsid w:val="36AD60D5"/>
    <w:rsid w:val="36B224F9"/>
    <w:rsid w:val="36E56B24"/>
    <w:rsid w:val="36EC0CC9"/>
    <w:rsid w:val="36F17328"/>
    <w:rsid w:val="372F01F4"/>
    <w:rsid w:val="373F410B"/>
    <w:rsid w:val="37640B94"/>
    <w:rsid w:val="37DC3354"/>
    <w:rsid w:val="37DC59A5"/>
    <w:rsid w:val="37EE7094"/>
    <w:rsid w:val="38296C89"/>
    <w:rsid w:val="382F0057"/>
    <w:rsid w:val="383002EB"/>
    <w:rsid w:val="38586797"/>
    <w:rsid w:val="38860CBE"/>
    <w:rsid w:val="38AC16BA"/>
    <w:rsid w:val="38BC0149"/>
    <w:rsid w:val="38D87D1C"/>
    <w:rsid w:val="39007C46"/>
    <w:rsid w:val="391B682D"/>
    <w:rsid w:val="395D1ADD"/>
    <w:rsid w:val="39636459"/>
    <w:rsid w:val="396B7F6C"/>
    <w:rsid w:val="39B417A9"/>
    <w:rsid w:val="39BA7DF4"/>
    <w:rsid w:val="39FC5695"/>
    <w:rsid w:val="3A006D8E"/>
    <w:rsid w:val="3A0B68A2"/>
    <w:rsid w:val="3A3651E5"/>
    <w:rsid w:val="3A744481"/>
    <w:rsid w:val="3A8C7BEF"/>
    <w:rsid w:val="3A906246"/>
    <w:rsid w:val="3AEC62ED"/>
    <w:rsid w:val="3B0D4127"/>
    <w:rsid w:val="3B2349B7"/>
    <w:rsid w:val="3B5A363D"/>
    <w:rsid w:val="3B616CFF"/>
    <w:rsid w:val="3B6259F6"/>
    <w:rsid w:val="3B976654"/>
    <w:rsid w:val="3BC01EFC"/>
    <w:rsid w:val="3BCA786A"/>
    <w:rsid w:val="3BD31E2F"/>
    <w:rsid w:val="3BEF5115"/>
    <w:rsid w:val="3BF15831"/>
    <w:rsid w:val="3BFA6BCE"/>
    <w:rsid w:val="3C105946"/>
    <w:rsid w:val="3C471448"/>
    <w:rsid w:val="3C5F759A"/>
    <w:rsid w:val="3C6C525A"/>
    <w:rsid w:val="3C7249B6"/>
    <w:rsid w:val="3CCE23CB"/>
    <w:rsid w:val="3CD17D17"/>
    <w:rsid w:val="3D141F11"/>
    <w:rsid w:val="3D3C7F39"/>
    <w:rsid w:val="3D440F09"/>
    <w:rsid w:val="3D4504A0"/>
    <w:rsid w:val="3D551A71"/>
    <w:rsid w:val="3D626ECE"/>
    <w:rsid w:val="3D8734BB"/>
    <w:rsid w:val="3D9A11D4"/>
    <w:rsid w:val="3DA16D89"/>
    <w:rsid w:val="3DA364BE"/>
    <w:rsid w:val="3DB8289D"/>
    <w:rsid w:val="3DC226DF"/>
    <w:rsid w:val="3DE041CB"/>
    <w:rsid w:val="3E0D48F6"/>
    <w:rsid w:val="3E0F3162"/>
    <w:rsid w:val="3E1868B4"/>
    <w:rsid w:val="3E377251"/>
    <w:rsid w:val="3E42664B"/>
    <w:rsid w:val="3E5A7334"/>
    <w:rsid w:val="3E7B5D6B"/>
    <w:rsid w:val="3E843E66"/>
    <w:rsid w:val="3E8F51FE"/>
    <w:rsid w:val="3E926F87"/>
    <w:rsid w:val="3E9A59DE"/>
    <w:rsid w:val="3E9B011E"/>
    <w:rsid w:val="3EAF4836"/>
    <w:rsid w:val="3EC33DFA"/>
    <w:rsid w:val="3EC534C3"/>
    <w:rsid w:val="3ED2798E"/>
    <w:rsid w:val="3EF21DDE"/>
    <w:rsid w:val="3F060E16"/>
    <w:rsid w:val="3F1D1096"/>
    <w:rsid w:val="3F2007FE"/>
    <w:rsid w:val="3F2F0234"/>
    <w:rsid w:val="3F5605BF"/>
    <w:rsid w:val="3F6363FE"/>
    <w:rsid w:val="3F756B8F"/>
    <w:rsid w:val="3F7B0026"/>
    <w:rsid w:val="3F95482B"/>
    <w:rsid w:val="3FDF9773"/>
    <w:rsid w:val="4019356B"/>
    <w:rsid w:val="40592157"/>
    <w:rsid w:val="406E1CAE"/>
    <w:rsid w:val="40890521"/>
    <w:rsid w:val="40996077"/>
    <w:rsid w:val="40A0133A"/>
    <w:rsid w:val="40C31A53"/>
    <w:rsid w:val="40FF545D"/>
    <w:rsid w:val="410067C8"/>
    <w:rsid w:val="412D2A54"/>
    <w:rsid w:val="41891797"/>
    <w:rsid w:val="418F0D2A"/>
    <w:rsid w:val="41AE46E3"/>
    <w:rsid w:val="41D01505"/>
    <w:rsid w:val="41E50A6E"/>
    <w:rsid w:val="42474939"/>
    <w:rsid w:val="424C3C57"/>
    <w:rsid w:val="42613FF3"/>
    <w:rsid w:val="42660D96"/>
    <w:rsid w:val="428667D2"/>
    <w:rsid w:val="42CD1CE0"/>
    <w:rsid w:val="42E1381E"/>
    <w:rsid w:val="42EB4B28"/>
    <w:rsid w:val="42ED6459"/>
    <w:rsid w:val="42FE58DD"/>
    <w:rsid w:val="43174B3D"/>
    <w:rsid w:val="434B790E"/>
    <w:rsid w:val="4360274F"/>
    <w:rsid w:val="43977AB6"/>
    <w:rsid w:val="43A3342B"/>
    <w:rsid w:val="43C77C27"/>
    <w:rsid w:val="43DE09EE"/>
    <w:rsid w:val="44002FAD"/>
    <w:rsid w:val="44316F05"/>
    <w:rsid w:val="4479708B"/>
    <w:rsid w:val="447D0308"/>
    <w:rsid w:val="449101DD"/>
    <w:rsid w:val="44DE1391"/>
    <w:rsid w:val="451B225C"/>
    <w:rsid w:val="452410C9"/>
    <w:rsid w:val="45317DFB"/>
    <w:rsid w:val="456D3CE4"/>
    <w:rsid w:val="4579042C"/>
    <w:rsid w:val="457F0571"/>
    <w:rsid w:val="45851176"/>
    <w:rsid w:val="458D460F"/>
    <w:rsid w:val="459A2FF4"/>
    <w:rsid w:val="45C63B94"/>
    <w:rsid w:val="45F0214F"/>
    <w:rsid w:val="460E7DA5"/>
    <w:rsid w:val="46190008"/>
    <w:rsid w:val="46223D03"/>
    <w:rsid w:val="46422483"/>
    <w:rsid w:val="4659254A"/>
    <w:rsid w:val="465B0637"/>
    <w:rsid w:val="465E3F0D"/>
    <w:rsid w:val="466A16E6"/>
    <w:rsid w:val="46893F2B"/>
    <w:rsid w:val="469A6B7A"/>
    <w:rsid w:val="46C4686E"/>
    <w:rsid w:val="46DD1C51"/>
    <w:rsid w:val="46FA3F26"/>
    <w:rsid w:val="4704316B"/>
    <w:rsid w:val="47114CDF"/>
    <w:rsid w:val="477B778F"/>
    <w:rsid w:val="478203EC"/>
    <w:rsid w:val="47B025FA"/>
    <w:rsid w:val="47D06A35"/>
    <w:rsid w:val="4809698F"/>
    <w:rsid w:val="4811697D"/>
    <w:rsid w:val="486C2C02"/>
    <w:rsid w:val="487A3E25"/>
    <w:rsid w:val="488B5503"/>
    <w:rsid w:val="48937E21"/>
    <w:rsid w:val="489A0361"/>
    <w:rsid w:val="48B94FF3"/>
    <w:rsid w:val="48CB7FB5"/>
    <w:rsid w:val="48E37AAB"/>
    <w:rsid w:val="48F350D1"/>
    <w:rsid w:val="48FD4B4C"/>
    <w:rsid w:val="490A68E0"/>
    <w:rsid w:val="490D2A48"/>
    <w:rsid w:val="491055FE"/>
    <w:rsid w:val="49296D45"/>
    <w:rsid w:val="495F5B3E"/>
    <w:rsid w:val="496F77D7"/>
    <w:rsid w:val="497654FD"/>
    <w:rsid w:val="49B64211"/>
    <w:rsid w:val="49EA16E0"/>
    <w:rsid w:val="49F6167F"/>
    <w:rsid w:val="4A064FA0"/>
    <w:rsid w:val="4A16615C"/>
    <w:rsid w:val="4A4424D7"/>
    <w:rsid w:val="4A9240B8"/>
    <w:rsid w:val="4AB82D0F"/>
    <w:rsid w:val="4AEB7664"/>
    <w:rsid w:val="4AF23CE8"/>
    <w:rsid w:val="4AFD7C19"/>
    <w:rsid w:val="4B0567D1"/>
    <w:rsid w:val="4B236AAE"/>
    <w:rsid w:val="4B5F26B5"/>
    <w:rsid w:val="4B707271"/>
    <w:rsid w:val="4B9739F7"/>
    <w:rsid w:val="4BBF270A"/>
    <w:rsid w:val="4BCC36DF"/>
    <w:rsid w:val="4BEE2503"/>
    <w:rsid w:val="4BF21B51"/>
    <w:rsid w:val="4C245A30"/>
    <w:rsid w:val="4C5329BE"/>
    <w:rsid w:val="4C7E2F03"/>
    <w:rsid w:val="4CB6685F"/>
    <w:rsid w:val="4CC367FE"/>
    <w:rsid w:val="4CEC171B"/>
    <w:rsid w:val="4D077F3C"/>
    <w:rsid w:val="4D0E4287"/>
    <w:rsid w:val="4D123355"/>
    <w:rsid w:val="4D2A3B31"/>
    <w:rsid w:val="4D312C52"/>
    <w:rsid w:val="4D4A6C80"/>
    <w:rsid w:val="4D5D7395"/>
    <w:rsid w:val="4D8C52E0"/>
    <w:rsid w:val="4D905305"/>
    <w:rsid w:val="4D964A72"/>
    <w:rsid w:val="4D986247"/>
    <w:rsid w:val="4D9C1254"/>
    <w:rsid w:val="4E471FF9"/>
    <w:rsid w:val="4E793892"/>
    <w:rsid w:val="4E800872"/>
    <w:rsid w:val="4EAD3592"/>
    <w:rsid w:val="4EB710E1"/>
    <w:rsid w:val="4EC569ED"/>
    <w:rsid w:val="4ECB3CD2"/>
    <w:rsid w:val="4ED50EA1"/>
    <w:rsid w:val="4EEC050C"/>
    <w:rsid w:val="4EEF2AAB"/>
    <w:rsid w:val="4F104EC3"/>
    <w:rsid w:val="4F3F3619"/>
    <w:rsid w:val="4F47354A"/>
    <w:rsid w:val="4F7B197C"/>
    <w:rsid w:val="4F911C54"/>
    <w:rsid w:val="4FE625E0"/>
    <w:rsid w:val="5021480F"/>
    <w:rsid w:val="508B7511"/>
    <w:rsid w:val="50962ECB"/>
    <w:rsid w:val="50A42E38"/>
    <w:rsid w:val="50A4577F"/>
    <w:rsid w:val="50A53821"/>
    <w:rsid w:val="50B73D1F"/>
    <w:rsid w:val="50BD5BC9"/>
    <w:rsid w:val="50C11EEE"/>
    <w:rsid w:val="50E97CFC"/>
    <w:rsid w:val="50FA4028"/>
    <w:rsid w:val="510D65B7"/>
    <w:rsid w:val="511157AB"/>
    <w:rsid w:val="511E6BD5"/>
    <w:rsid w:val="514013BA"/>
    <w:rsid w:val="5142540C"/>
    <w:rsid w:val="51862A27"/>
    <w:rsid w:val="518832C8"/>
    <w:rsid w:val="51A0432A"/>
    <w:rsid w:val="51A86090"/>
    <w:rsid w:val="51B7396D"/>
    <w:rsid w:val="51EE33AC"/>
    <w:rsid w:val="51FB017D"/>
    <w:rsid w:val="522E2CD6"/>
    <w:rsid w:val="522E4CC3"/>
    <w:rsid w:val="5244713B"/>
    <w:rsid w:val="524520A3"/>
    <w:rsid w:val="52615633"/>
    <w:rsid w:val="5264616A"/>
    <w:rsid w:val="52977FD4"/>
    <w:rsid w:val="52A25790"/>
    <w:rsid w:val="52A96B6F"/>
    <w:rsid w:val="52B45975"/>
    <w:rsid w:val="52C04ED3"/>
    <w:rsid w:val="52D94AA4"/>
    <w:rsid w:val="52EA3A62"/>
    <w:rsid w:val="52F50BB8"/>
    <w:rsid w:val="53097272"/>
    <w:rsid w:val="53544462"/>
    <w:rsid w:val="53680C7C"/>
    <w:rsid w:val="539263D0"/>
    <w:rsid w:val="5397158E"/>
    <w:rsid w:val="54013861"/>
    <w:rsid w:val="54487265"/>
    <w:rsid w:val="544D6070"/>
    <w:rsid w:val="545D5AF4"/>
    <w:rsid w:val="54605E1E"/>
    <w:rsid w:val="546E385E"/>
    <w:rsid w:val="54962D2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3683A"/>
    <w:rsid w:val="563A7E9B"/>
    <w:rsid w:val="566B6D1E"/>
    <w:rsid w:val="56B539C6"/>
    <w:rsid w:val="57032A2C"/>
    <w:rsid w:val="570F5219"/>
    <w:rsid w:val="575D12B5"/>
    <w:rsid w:val="57610A87"/>
    <w:rsid w:val="577B1140"/>
    <w:rsid w:val="577B7F21"/>
    <w:rsid w:val="577F181B"/>
    <w:rsid w:val="578D2F1C"/>
    <w:rsid w:val="57921984"/>
    <w:rsid w:val="579737F0"/>
    <w:rsid w:val="57AB7B30"/>
    <w:rsid w:val="57AF5251"/>
    <w:rsid w:val="57B26373"/>
    <w:rsid w:val="57B63F04"/>
    <w:rsid w:val="57CD20C2"/>
    <w:rsid w:val="57CD4D3F"/>
    <w:rsid w:val="57CD7772"/>
    <w:rsid w:val="57D675AB"/>
    <w:rsid w:val="57D95FDD"/>
    <w:rsid w:val="583E13D5"/>
    <w:rsid w:val="58444517"/>
    <w:rsid w:val="58906498"/>
    <w:rsid w:val="58917D2F"/>
    <w:rsid w:val="5894085C"/>
    <w:rsid w:val="58AE4F0C"/>
    <w:rsid w:val="58B85899"/>
    <w:rsid w:val="58DC4F76"/>
    <w:rsid w:val="58DE7204"/>
    <w:rsid w:val="58E363A9"/>
    <w:rsid w:val="595018F4"/>
    <w:rsid w:val="595E1678"/>
    <w:rsid w:val="596D5BD4"/>
    <w:rsid w:val="597E3DD8"/>
    <w:rsid w:val="59F80043"/>
    <w:rsid w:val="5A09252F"/>
    <w:rsid w:val="5A0B2778"/>
    <w:rsid w:val="5A2A7C7B"/>
    <w:rsid w:val="5A3E2560"/>
    <w:rsid w:val="5A5D3B6E"/>
    <w:rsid w:val="5A637A76"/>
    <w:rsid w:val="5A6D33BA"/>
    <w:rsid w:val="5A792B1F"/>
    <w:rsid w:val="5A7A2F5C"/>
    <w:rsid w:val="5A874767"/>
    <w:rsid w:val="5AAD6F28"/>
    <w:rsid w:val="5AD63A24"/>
    <w:rsid w:val="5AE76118"/>
    <w:rsid w:val="5B2342BA"/>
    <w:rsid w:val="5B2E1A1D"/>
    <w:rsid w:val="5B843A1C"/>
    <w:rsid w:val="5B873E3F"/>
    <w:rsid w:val="5B8F2A37"/>
    <w:rsid w:val="5C02690E"/>
    <w:rsid w:val="5C196DA7"/>
    <w:rsid w:val="5C2A048C"/>
    <w:rsid w:val="5C2B604B"/>
    <w:rsid w:val="5C790AF3"/>
    <w:rsid w:val="5C80234E"/>
    <w:rsid w:val="5C8A680C"/>
    <w:rsid w:val="5C8E54F6"/>
    <w:rsid w:val="5C951547"/>
    <w:rsid w:val="5CAB1AF3"/>
    <w:rsid w:val="5D0C4701"/>
    <w:rsid w:val="5D0F0395"/>
    <w:rsid w:val="5D221076"/>
    <w:rsid w:val="5D243653"/>
    <w:rsid w:val="5D397964"/>
    <w:rsid w:val="5D4F626D"/>
    <w:rsid w:val="5D567FD3"/>
    <w:rsid w:val="5D5A391C"/>
    <w:rsid w:val="5D5F10C0"/>
    <w:rsid w:val="5D755C5D"/>
    <w:rsid w:val="5D8845B2"/>
    <w:rsid w:val="5D891B7B"/>
    <w:rsid w:val="5DAD38EE"/>
    <w:rsid w:val="5E006862"/>
    <w:rsid w:val="5E0207B9"/>
    <w:rsid w:val="5E1834A1"/>
    <w:rsid w:val="5E261785"/>
    <w:rsid w:val="5E4A7017"/>
    <w:rsid w:val="5E552BBA"/>
    <w:rsid w:val="5E611C10"/>
    <w:rsid w:val="5E770F4D"/>
    <w:rsid w:val="5EC251B6"/>
    <w:rsid w:val="5EE45212"/>
    <w:rsid w:val="5EFB03E4"/>
    <w:rsid w:val="5EFC7377"/>
    <w:rsid w:val="5F06174D"/>
    <w:rsid w:val="5F1A6ABC"/>
    <w:rsid w:val="5F2173D6"/>
    <w:rsid w:val="5F3A3602"/>
    <w:rsid w:val="5F6277C6"/>
    <w:rsid w:val="5F6D0B1D"/>
    <w:rsid w:val="5F8D0B82"/>
    <w:rsid w:val="5FBB783A"/>
    <w:rsid w:val="5FCC5339"/>
    <w:rsid w:val="5FE34A5B"/>
    <w:rsid w:val="5FFE1E36"/>
    <w:rsid w:val="60232584"/>
    <w:rsid w:val="60327E35"/>
    <w:rsid w:val="6037369D"/>
    <w:rsid w:val="60567F87"/>
    <w:rsid w:val="607330CE"/>
    <w:rsid w:val="60825176"/>
    <w:rsid w:val="608A5EC3"/>
    <w:rsid w:val="609E371C"/>
    <w:rsid w:val="609F2AC4"/>
    <w:rsid w:val="60BA121F"/>
    <w:rsid w:val="60C2496E"/>
    <w:rsid w:val="60EB5F0B"/>
    <w:rsid w:val="60EC72F5"/>
    <w:rsid w:val="60FA2EE8"/>
    <w:rsid w:val="61054A27"/>
    <w:rsid w:val="610A52BC"/>
    <w:rsid w:val="611D2366"/>
    <w:rsid w:val="612105D5"/>
    <w:rsid w:val="61421856"/>
    <w:rsid w:val="615227C4"/>
    <w:rsid w:val="61654E3F"/>
    <w:rsid w:val="6182292A"/>
    <w:rsid w:val="619F7F92"/>
    <w:rsid w:val="61A05F72"/>
    <w:rsid w:val="61BF1856"/>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436AB5"/>
    <w:rsid w:val="64720330"/>
    <w:rsid w:val="648B6EEF"/>
    <w:rsid w:val="64C158BF"/>
    <w:rsid w:val="64CE2EAA"/>
    <w:rsid w:val="64E91168"/>
    <w:rsid w:val="64EA6F30"/>
    <w:rsid w:val="64F46001"/>
    <w:rsid w:val="651E6781"/>
    <w:rsid w:val="653C3090"/>
    <w:rsid w:val="65854376"/>
    <w:rsid w:val="658767BE"/>
    <w:rsid w:val="65892531"/>
    <w:rsid w:val="66195831"/>
    <w:rsid w:val="662E75B1"/>
    <w:rsid w:val="66342C2E"/>
    <w:rsid w:val="663E784C"/>
    <w:rsid w:val="66415276"/>
    <w:rsid w:val="668B6A45"/>
    <w:rsid w:val="669E7FD2"/>
    <w:rsid w:val="672F3F24"/>
    <w:rsid w:val="6737224A"/>
    <w:rsid w:val="673E055F"/>
    <w:rsid w:val="67551CE3"/>
    <w:rsid w:val="6760172C"/>
    <w:rsid w:val="67A22552"/>
    <w:rsid w:val="67B22DCC"/>
    <w:rsid w:val="67BE71AA"/>
    <w:rsid w:val="67D90273"/>
    <w:rsid w:val="67DE5875"/>
    <w:rsid w:val="67E063CB"/>
    <w:rsid w:val="67E55852"/>
    <w:rsid w:val="67EB1AB4"/>
    <w:rsid w:val="67FA1285"/>
    <w:rsid w:val="680D6507"/>
    <w:rsid w:val="683F57E5"/>
    <w:rsid w:val="68551F4F"/>
    <w:rsid w:val="687C10C9"/>
    <w:rsid w:val="68840C16"/>
    <w:rsid w:val="68876EFB"/>
    <w:rsid w:val="68884654"/>
    <w:rsid w:val="689F444F"/>
    <w:rsid w:val="68AE04BF"/>
    <w:rsid w:val="68B96DBB"/>
    <w:rsid w:val="68CA2805"/>
    <w:rsid w:val="68E937A3"/>
    <w:rsid w:val="693E15D3"/>
    <w:rsid w:val="69627681"/>
    <w:rsid w:val="69721360"/>
    <w:rsid w:val="6977531D"/>
    <w:rsid w:val="69CC2BFF"/>
    <w:rsid w:val="69FD55B8"/>
    <w:rsid w:val="6A046D2D"/>
    <w:rsid w:val="6A0B1C62"/>
    <w:rsid w:val="6A2406C8"/>
    <w:rsid w:val="6ADE0BD1"/>
    <w:rsid w:val="6AE96859"/>
    <w:rsid w:val="6B147746"/>
    <w:rsid w:val="6B24787C"/>
    <w:rsid w:val="6B2A62D8"/>
    <w:rsid w:val="6B573233"/>
    <w:rsid w:val="6B5B6274"/>
    <w:rsid w:val="6B912C47"/>
    <w:rsid w:val="6B935D53"/>
    <w:rsid w:val="6BFB7A4E"/>
    <w:rsid w:val="6C0F0C37"/>
    <w:rsid w:val="6C196F71"/>
    <w:rsid w:val="6C1E3C67"/>
    <w:rsid w:val="6C226FCB"/>
    <w:rsid w:val="6C31226F"/>
    <w:rsid w:val="6C552F0B"/>
    <w:rsid w:val="6C8C67B7"/>
    <w:rsid w:val="6C9003BD"/>
    <w:rsid w:val="6C982283"/>
    <w:rsid w:val="6C9D744C"/>
    <w:rsid w:val="6CB93DB8"/>
    <w:rsid w:val="6CD84D8D"/>
    <w:rsid w:val="6CF02F37"/>
    <w:rsid w:val="6D167928"/>
    <w:rsid w:val="6D1C7840"/>
    <w:rsid w:val="6D26299B"/>
    <w:rsid w:val="6D4772EC"/>
    <w:rsid w:val="6D9078AF"/>
    <w:rsid w:val="6DAA3FEF"/>
    <w:rsid w:val="6DC0172B"/>
    <w:rsid w:val="6DCB690C"/>
    <w:rsid w:val="6DD41A5B"/>
    <w:rsid w:val="6DF43C2E"/>
    <w:rsid w:val="6DF51CA3"/>
    <w:rsid w:val="6E8335BD"/>
    <w:rsid w:val="6E895A0C"/>
    <w:rsid w:val="6E8E12EF"/>
    <w:rsid w:val="6E972936"/>
    <w:rsid w:val="6ED446C5"/>
    <w:rsid w:val="6F0A1397"/>
    <w:rsid w:val="6F2A7D94"/>
    <w:rsid w:val="6F8331F1"/>
    <w:rsid w:val="6F9A34EE"/>
    <w:rsid w:val="6FAE1A09"/>
    <w:rsid w:val="6FB63007"/>
    <w:rsid w:val="6FD75BF8"/>
    <w:rsid w:val="6FE25A5E"/>
    <w:rsid w:val="70545BA6"/>
    <w:rsid w:val="707723D0"/>
    <w:rsid w:val="70C54119"/>
    <w:rsid w:val="70CB0A31"/>
    <w:rsid w:val="70CC6752"/>
    <w:rsid w:val="70EA57D2"/>
    <w:rsid w:val="70F5661B"/>
    <w:rsid w:val="71360107"/>
    <w:rsid w:val="713B688E"/>
    <w:rsid w:val="717F2A54"/>
    <w:rsid w:val="71D43752"/>
    <w:rsid w:val="71F1796A"/>
    <w:rsid w:val="721421ED"/>
    <w:rsid w:val="72154626"/>
    <w:rsid w:val="72262B5D"/>
    <w:rsid w:val="72283FF7"/>
    <w:rsid w:val="722E7212"/>
    <w:rsid w:val="723A0474"/>
    <w:rsid w:val="72457067"/>
    <w:rsid w:val="725923E4"/>
    <w:rsid w:val="72864BF7"/>
    <w:rsid w:val="729023FC"/>
    <w:rsid w:val="73007A0C"/>
    <w:rsid w:val="730123AF"/>
    <w:rsid w:val="73017835"/>
    <w:rsid w:val="739F0CFB"/>
    <w:rsid w:val="73B444DE"/>
    <w:rsid w:val="73C0646E"/>
    <w:rsid w:val="73CA0659"/>
    <w:rsid w:val="742065D6"/>
    <w:rsid w:val="742222F5"/>
    <w:rsid w:val="74476126"/>
    <w:rsid w:val="74706664"/>
    <w:rsid w:val="747F3682"/>
    <w:rsid w:val="749C4185"/>
    <w:rsid w:val="74BC1BFB"/>
    <w:rsid w:val="75067759"/>
    <w:rsid w:val="752E6DCD"/>
    <w:rsid w:val="7551380D"/>
    <w:rsid w:val="755503F6"/>
    <w:rsid w:val="75600BE5"/>
    <w:rsid w:val="7564475C"/>
    <w:rsid w:val="7583797F"/>
    <w:rsid w:val="75A60C51"/>
    <w:rsid w:val="75D20F1D"/>
    <w:rsid w:val="75DA2C18"/>
    <w:rsid w:val="75F54412"/>
    <w:rsid w:val="761D08E0"/>
    <w:rsid w:val="76394C4B"/>
    <w:rsid w:val="765D347C"/>
    <w:rsid w:val="76826699"/>
    <w:rsid w:val="76C87133"/>
    <w:rsid w:val="76CD08D5"/>
    <w:rsid w:val="76DB4B92"/>
    <w:rsid w:val="76FF2A4D"/>
    <w:rsid w:val="77052AA4"/>
    <w:rsid w:val="77136511"/>
    <w:rsid w:val="77340A39"/>
    <w:rsid w:val="77351FD0"/>
    <w:rsid w:val="77472422"/>
    <w:rsid w:val="777A3A38"/>
    <w:rsid w:val="777F31F2"/>
    <w:rsid w:val="77B84C6C"/>
    <w:rsid w:val="77D1700D"/>
    <w:rsid w:val="77EC04CC"/>
    <w:rsid w:val="783F0D9E"/>
    <w:rsid w:val="7855070D"/>
    <w:rsid w:val="785A4320"/>
    <w:rsid w:val="78775729"/>
    <w:rsid w:val="789254BD"/>
    <w:rsid w:val="78A42DB0"/>
    <w:rsid w:val="78A656AB"/>
    <w:rsid w:val="78B2245C"/>
    <w:rsid w:val="78CE0730"/>
    <w:rsid w:val="78E172CC"/>
    <w:rsid w:val="78EA1D1F"/>
    <w:rsid w:val="78F32400"/>
    <w:rsid w:val="7904172F"/>
    <w:rsid w:val="790F7E27"/>
    <w:rsid w:val="792A231A"/>
    <w:rsid w:val="79316829"/>
    <w:rsid w:val="79556C16"/>
    <w:rsid w:val="79715086"/>
    <w:rsid w:val="797E66A9"/>
    <w:rsid w:val="79A97383"/>
    <w:rsid w:val="79B25A5D"/>
    <w:rsid w:val="79E27E8B"/>
    <w:rsid w:val="79F850CE"/>
    <w:rsid w:val="79FD443C"/>
    <w:rsid w:val="7A08139B"/>
    <w:rsid w:val="7A1D1975"/>
    <w:rsid w:val="7A2B38E0"/>
    <w:rsid w:val="7A3E5150"/>
    <w:rsid w:val="7A4670D6"/>
    <w:rsid w:val="7A534B63"/>
    <w:rsid w:val="7A615382"/>
    <w:rsid w:val="7A67303B"/>
    <w:rsid w:val="7A7B4D00"/>
    <w:rsid w:val="7AA4209F"/>
    <w:rsid w:val="7AAB1D04"/>
    <w:rsid w:val="7ABA4368"/>
    <w:rsid w:val="7AD05746"/>
    <w:rsid w:val="7B257FFD"/>
    <w:rsid w:val="7B343476"/>
    <w:rsid w:val="7B5A2978"/>
    <w:rsid w:val="7B5A7E4C"/>
    <w:rsid w:val="7B667AF9"/>
    <w:rsid w:val="7B7468F8"/>
    <w:rsid w:val="7BCD518A"/>
    <w:rsid w:val="7BEE0103"/>
    <w:rsid w:val="7BFB07E7"/>
    <w:rsid w:val="7C0A0FE4"/>
    <w:rsid w:val="7C254906"/>
    <w:rsid w:val="7C590818"/>
    <w:rsid w:val="7C606846"/>
    <w:rsid w:val="7C7C10F6"/>
    <w:rsid w:val="7C853BEA"/>
    <w:rsid w:val="7C881368"/>
    <w:rsid w:val="7CB249DF"/>
    <w:rsid w:val="7CE27788"/>
    <w:rsid w:val="7D0C32F1"/>
    <w:rsid w:val="7D0F408D"/>
    <w:rsid w:val="7D210FAE"/>
    <w:rsid w:val="7D321A55"/>
    <w:rsid w:val="7D491C6C"/>
    <w:rsid w:val="7D5429C0"/>
    <w:rsid w:val="7D6E6D43"/>
    <w:rsid w:val="7DB57A34"/>
    <w:rsid w:val="7DE60973"/>
    <w:rsid w:val="7DEF0916"/>
    <w:rsid w:val="7E1E5218"/>
    <w:rsid w:val="7E9A4E1F"/>
    <w:rsid w:val="7EA30424"/>
    <w:rsid w:val="7EA7723A"/>
    <w:rsid w:val="7EF56FBB"/>
    <w:rsid w:val="7F0768EB"/>
    <w:rsid w:val="7F143BEC"/>
    <w:rsid w:val="7F2B5F70"/>
    <w:rsid w:val="7F715AF2"/>
    <w:rsid w:val="7F886E69"/>
    <w:rsid w:val="7F954211"/>
    <w:rsid w:val="9FFEFBF3"/>
    <w:rsid w:val="BB7FA927"/>
    <w:rsid w:val="F5FFD31F"/>
    <w:rsid w:val="FE37C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19"/>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link w:val="263"/>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9"/>
    <w:qFormat/>
    <w:uiPriority w:val="0"/>
    <w:pPr>
      <w:ind w:left="100" w:leftChars="2500"/>
    </w:pPr>
    <w:rPr>
      <w:rFonts w:ascii="宋体"/>
      <w:sz w:val="24"/>
      <w:szCs w:val="21"/>
      <w:lang w:val="zh-CN"/>
    </w:r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6"/>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08"/>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4"/>
    <w:qFormat/>
    <w:uiPriority w:val="0"/>
    <w:rPr>
      <w:b/>
      <w:bCs/>
    </w:rPr>
  </w:style>
  <w:style w:type="paragraph" w:styleId="62">
    <w:name w:val="Body Text First Indent 2"/>
    <w:basedOn w:val="27"/>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9"/>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8"/>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41"/>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2"/>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7"/>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8"/>
    <w:qFormat/>
    <w:uiPriority w:val="0"/>
    <w:rPr>
      <w:rFonts w:ascii="黑体" w:hAnsi="Courier New" w:eastAsia="黑体"/>
    </w:rPr>
  </w:style>
  <w:style w:type="character" w:customStyle="1" w:styleId="300">
    <w:name w:val="正文文本 2 字符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25"/>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0"/>
    <w:qFormat/>
    <w:uiPriority w:val="0"/>
    <w:rPr>
      <w:kern w:val="2"/>
      <w:sz w:val="21"/>
      <w:szCs w:val="24"/>
    </w:rPr>
  </w:style>
  <w:style w:type="character" w:customStyle="1" w:styleId="343">
    <w:name w:val="签名 字符"/>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40"/>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bookmark-item"/>
    <w:basedOn w:val="70"/>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29924</Words>
  <Characters>31692</Characters>
  <Lines>246</Lines>
  <Paragraphs>69</Paragraphs>
  <TotalTime>17</TotalTime>
  <ScaleCrop>false</ScaleCrop>
  <LinksUpToDate>false</LinksUpToDate>
  <CharactersWithSpaces>32848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xinlan</cp:lastModifiedBy>
  <cp:lastPrinted>2022-08-30T02:53:00Z</cp:lastPrinted>
  <dcterms:modified xsi:type="dcterms:W3CDTF">2022-09-30T01:55:07Z</dcterms:modified>
  <dc:title>杭州市市民卡扩大发卡工程</dc:title>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69707D33D4534C6FB3F9E4F4F457F7A0</vt:lpwstr>
  </property>
</Properties>
</file>