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sz w:val="24"/>
        </w:rPr>
      </w:pPr>
      <w:bookmarkStart w:id="449" w:name="_GoBack"/>
      <w:bookmarkEnd w:id="449"/>
    </w:p>
    <w:p>
      <w:pPr>
        <w:spacing w:line="360" w:lineRule="auto"/>
        <w:jc w:val="center"/>
        <w:rPr>
          <w:rFonts w:ascii="宋体" w:hAnsi="宋体" w:cs="宋体"/>
          <w:b/>
          <w:sz w:val="24"/>
        </w:rPr>
      </w:pPr>
    </w:p>
    <w:p>
      <w:pPr>
        <w:adjustRightInd/>
        <w:spacing w:line="360" w:lineRule="auto"/>
        <w:jc w:val="center"/>
        <w:rPr>
          <w:rFonts w:ascii="宋体" w:hAnsi="宋体" w:cs="宋体"/>
          <w:b/>
          <w:sz w:val="44"/>
          <w:szCs w:val="44"/>
        </w:rPr>
      </w:pPr>
    </w:p>
    <w:p>
      <w:pPr>
        <w:spacing w:line="360" w:lineRule="auto"/>
        <w:jc w:val="center"/>
        <w:rPr>
          <w:rFonts w:ascii="宋体" w:hAnsi="宋体" w:cs="宋体"/>
          <w:b/>
          <w:sz w:val="44"/>
          <w:szCs w:val="44"/>
        </w:rPr>
      </w:pPr>
    </w:p>
    <w:p>
      <w:pPr>
        <w:adjustRightInd/>
        <w:spacing w:line="360" w:lineRule="auto"/>
        <w:jc w:val="center"/>
        <w:rPr>
          <w:rFonts w:ascii="宋体" w:hAnsi="宋体" w:cs="宋体"/>
          <w:b/>
          <w:sz w:val="48"/>
          <w:szCs w:val="48"/>
        </w:rPr>
      </w:pPr>
    </w:p>
    <w:p>
      <w:pPr>
        <w:adjustRightInd/>
        <w:spacing w:line="360" w:lineRule="auto"/>
        <w:jc w:val="center"/>
        <w:rPr>
          <w:rFonts w:hint="eastAsia" w:ascii="宋体" w:hAnsi="宋体" w:eastAsia="宋体" w:cs="宋体"/>
          <w:spacing w:val="-12"/>
          <w:sz w:val="48"/>
          <w:szCs w:val="48"/>
          <w:lang w:eastAsia="zh-CN"/>
        </w:rPr>
      </w:pPr>
      <w:r>
        <w:rPr>
          <w:rFonts w:hint="eastAsia" w:ascii="宋体" w:hAnsi="宋体" w:cs="宋体"/>
          <w:spacing w:val="-12"/>
          <w:sz w:val="48"/>
          <w:szCs w:val="48"/>
          <w:lang w:eastAsia="zh-CN"/>
        </w:rPr>
        <w:t>2022年国家环境监测网区域环境空气监测站运行维护项目</w:t>
      </w:r>
    </w:p>
    <w:p>
      <w:pPr>
        <w:adjustRightInd/>
        <w:spacing w:line="360" w:lineRule="auto"/>
        <w:jc w:val="center"/>
        <w:rPr>
          <w:rFonts w:ascii="宋体" w:hAnsi="宋体" w:cs="宋体"/>
          <w:sz w:val="48"/>
          <w:szCs w:val="48"/>
        </w:rPr>
      </w:pPr>
      <w:r>
        <w:rPr>
          <w:rFonts w:hint="eastAsia" w:ascii="宋体" w:hAnsi="宋体" w:cs="宋体"/>
          <w:sz w:val="48"/>
          <w:szCs w:val="48"/>
        </w:rPr>
        <w:t>招标文件</w:t>
      </w:r>
    </w:p>
    <w:p>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pPr>
        <w:snapToGrid w:val="0"/>
        <w:spacing w:line="360" w:lineRule="auto"/>
        <w:jc w:val="center"/>
        <w:rPr>
          <w:rFonts w:hint="eastAsia" w:ascii="宋体" w:hAnsi="宋体" w:eastAsia="宋体" w:cs="宋体"/>
          <w:sz w:val="30"/>
          <w:szCs w:val="30"/>
          <w:highlight w:val="yellow"/>
          <w:lang w:eastAsia="zh-CN"/>
        </w:rPr>
      </w:pPr>
      <w:r>
        <w:rPr>
          <w:rFonts w:hint="eastAsia" w:ascii="宋体" w:hAnsi="宋体" w:cs="宋体"/>
          <w:sz w:val="30"/>
          <w:szCs w:val="30"/>
        </w:rPr>
        <w:t>编号:</w:t>
      </w:r>
      <w:r>
        <w:rPr>
          <w:rFonts w:hint="eastAsia" w:ascii="宋体" w:hAnsi="宋体" w:cs="宋体"/>
          <w:sz w:val="30"/>
          <w:szCs w:val="30"/>
          <w:lang w:eastAsia="zh-CN"/>
        </w:rPr>
        <w:t>ZJXL-STJCZX-202219</w:t>
      </w:r>
    </w:p>
    <w:p>
      <w:pPr>
        <w:adjustRightInd/>
        <w:spacing w:line="360" w:lineRule="auto"/>
        <w:rPr>
          <w:rFonts w:ascii="宋体" w:hAnsi="宋体" w:cs="宋体"/>
          <w:sz w:val="28"/>
          <w:szCs w:val="20"/>
        </w:rPr>
      </w:pPr>
    </w:p>
    <w:p>
      <w:pPr>
        <w:spacing w:line="360" w:lineRule="auto"/>
        <w:jc w:val="center"/>
        <w:rPr>
          <w:rFonts w:ascii="宋体" w:hAnsi="宋体" w:cs="宋体"/>
          <w:b/>
          <w:sz w:val="44"/>
          <w:szCs w:val="44"/>
        </w:rPr>
      </w:pP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pStyle w:val="26"/>
        <w:rPr>
          <w:rFonts w:hAnsi="宋体" w:cs="宋体"/>
        </w:rPr>
      </w:pPr>
    </w:p>
    <w:p>
      <w:pPr>
        <w:pStyle w:val="27"/>
      </w:pPr>
    </w:p>
    <w:p>
      <w:pPr>
        <w:spacing w:line="360" w:lineRule="auto"/>
        <w:rPr>
          <w:rFonts w:ascii="宋体" w:hAnsi="宋体" w:cs="宋体"/>
          <w:sz w:val="32"/>
          <w:szCs w:val="32"/>
        </w:rPr>
      </w:pPr>
    </w:p>
    <w:p>
      <w:pPr>
        <w:snapToGrid w:val="0"/>
        <w:spacing w:line="360" w:lineRule="auto"/>
        <w:jc w:val="center"/>
        <w:rPr>
          <w:rFonts w:ascii="宋体" w:hAnsi="宋体" w:cs="宋体"/>
          <w:sz w:val="32"/>
          <w:szCs w:val="32"/>
        </w:rPr>
      </w:pPr>
      <w:r>
        <w:rPr>
          <w:rFonts w:hint="eastAsia" w:ascii="宋体" w:hAnsi="宋体" w:cs="宋体"/>
          <w:sz w:val="32"/>
          <w:szCs w:val="32"/>
        </w:rPr>
        <w:t>浙江省生态环境监测中心</w:t>
      </w:r>
    </w:p>
    <w:p>
      <w:pPr>
        <w:spacing w:line="360" w:lineRule="auto"/>
        <w:jc w:val="center"/>
        <w:rPr>
          <w:rFonts w:ascii="宋体" w:hAnsi="宋体" w:cs="宋体"/>
          <w:bCs/>
          <w:sz w:val="32"/>
          <w:szCs w:val="32"/>
        </w:rPr>
      </w:pPr>
      <w:r>
        <w:rPr>
          <w:rFonts w:hint="eastAsia" w:ascii="宋体" w:hAnsi="宋体" w:cs="宋体"/>
          <w:bCs/>
          <w:sz w:val="32"/>
          <w:szCs w:val="32"/>
        </w:rPr>
        <w:t>浙江信镧建设工程咨询有限公司</w:t>
      </w:r>
    </w:p>
    <w:p>
      <w:pPr>
        <w:snapToGrid w:val="0"/>
        <w:spacing w:line="360" w:lineRule="auto"/>
        <w:jc w:val="center"/>
        <w:rPr>
          <w:rFonts w:ascii="宋体" w:hAnsi="宋体" w:cs="宋体"/>
          <w:bCs/>
          <w:sz w:val="32"/>
          <w:szCs w:val="32"/>
        </w:rPr>
      </w:pPr>
      <w:r>
        <w:rPr>
          <w:rFonts w:hint="eastAsia" w:ascii="宋体" w:hAnsi="宋体" w:cs="宋体"/>
          <w:bCs/>
          <w:sz w:val="32"/>
          <w:szCs w:val="32"/>
        </w:rPr>
        <w:t>二〇二二年八月</w:t>
      </w:r>
    </w:p>
    <w:p>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pPr>
        <w:spacing w:line="360" w:lineRule="auto"/>
        <w:jc w:val="center"/>
        <w:rPr>
          <w:rFonts w:ascii="宋体" w:hAnsi="宋体" w:cs="宋体"/>
          <w:sz w:val="24"/>
        </w:rPr>
      </w:pPr>
    </w:p>
    <w:p>
      <w:pPr>
        <w:spacing w:line="360" w:lineRule="auto"/>
        <w:jc w:val="center"/>
        <w:rPr>
          <w:rFonts w:ascii="宋体" w:hAnsi="宋体" w:cs="宋体"/>
          <w:b/>
          <w:sz w:val="48"/>
          <w:szCs w:val="48"/>
        </w:rPr>
      </w:pPr>
      <w:r>
        <w:rPr>
          <w:rFonts w:hint="eastAsia" w:ascii="宋体" w:hAnsi="宋体" w:cs="宋体"/>
          <w:b/>
          <w:sz w:val="48"/>
          <w:szCs w:val="48"/>
        </w:rPr>
        <w:t>目录</w:t>
      </w:r>
    </w:p>
    <w:p>
      <w:pPr>
        <w:spacing w:line="360" w:lineRule="auto"/>
        <w:rPr>
          <w:rFonts w:ascii="宋体" w:hAnsi="宋体" w:cs="宋体"/>
          <w:sz w:val="32"/>
          <w:szCs w:val="32"/>
        </w:rPr>
      </w:pPr>
    </w:p>
    <w:p>
      <w:pPr>
        <w:pStyle w:val="45"/>
        <w:tabs>
          <w:tab w:val="right" w:leader="dot" w:pos="9070"/>
        </w:tabs>
        <w:spacing w:line="360" w:lineRule="auto"/>
        <w:rPr>
          <w:sz w:val="24"/>
        </w:rPr>
      </w:pPr>
      <w:bookmarkStart w:id="1" w:name="_Hlt91233176"/>
      <w:bookmarkEnd w:id="1"/>
      <w:bookmarkStart w:id="2" w:name="_Toc91899869"/>
      <w:r>
        <w:rPr>
          <w:sz w:val="24"/>
        </w:rPr>
        <w:fldChar w:fldCharType="begin"/>
      </w:r>
      <w:r>
        <w:rPr>
          <w:sz w:val="24"/>
        </w:rPr>
        <w:instrText xml:space="preserve"> TOC \o "1-2" \h \z \u </w:instrText>
      </w:r>
      <w:r>
        <w:rPr>
          <w:sz w:val="24"/>
        </w:rPr>
        <w:fldChar w:fldCharType="separate"/>
      </w:r>
      <w:r>
        <w:fldChar w:fldCharType="begin"/>
      </w:r>
      <w:r>
        <w:instrText xml:space="preserve"> HYPERLINK \l "_Toc14161" </w:instrText>
      </w:r>
      <w:r>
        <w:fldChar w:fldCharType="separate"/>
      </w:r>
      <w:r>
        <w:rPr>
          <w:rFonts w:hint="eastAsia" w:ascii="宋体" w:hAnsi="宋体" w:cs="宋体"/>
          <w:sz w:val="24"/>
        </w:rPr>
        <w:t>第一部分 招标公告</w:t>
      </w:r>
      <w:r>
        <w:rPr>
          <w:sz w:val="24"/>
        </w:rPr>
        <w:tab/>
      </w:r>
      <w:r>
        <w:rPr>
          <w:sz w:val="24"/>
        </w:rPr>
        <w:fldChar w:fldCharType="begin"/>
      </w:r>
      <w:r>
        <w:rPr>
          <w:sz w:val="24"/>
        </w:rPr>
        <w:instrText xml:space="preserve"> PAGEREF _Toc14161 \h </w:instrText>
      </w:r>
      <w:r>
        <w:rPr>
          <w:sz w:val="24"/>
        </w:rPr>
        <w:fldChar w:fldCharType="separate"/>
      </w:r>
      <w:r>
        <w:rPr>
          <w:sz w:val="24"/>
        </w:rPr>
        <w:t>3</w:t>
      </w:r>
      <w:r>
        <w:rPr>
          <w:sz w:val="24"/>
        </w:rPr>
        <w:fldChar w:fldCharType="end"/>
      </w:r>
      <w:r>
        <w:rPr>
          <w:sz w:val="24"/>
        </w:rPr>
        <w:fldChar w:fldCharType="end"/>
      </w:r>
    </w:p>
    <w:p>
      <w:pPr>
        <w:pStyle w:val="45"/>
        <w:tabs>
          <w:tab w:val="right" w:leader="dot" w:pos="9070"/>
        </w:tabs>
        <w:spacing w:line="360" w:lineRule="auto"/>
        <w:rPr>
          <w:sz w:val="24"/>
        </w:rPr>
      </w:pPr>
      <w:r>
        <w:fldChar w:fldCharType="begin"/>
      </w:r>
      <w:r>
        <w:instrText xml:space="preserve"> HYPERLINK \l "_Toc6635" </w:instrText>
      </w:r>
      <w:r>
        <w:fldChar w:fldCharType="separate"/>
      </w:r>
      <w:r>
        <w:rPr>
          <w:rFonts w:hint="eastAsia" w:ascii="宋体" w:hAnsi="宋体" w:cs="宋体"/>
          <w:sz w:val="24"/>
        </w:rPr>
        <w:t>第二部分 投标人须知</w:t>
      </w:r>
      <w:r>
        <w:rPr>
          <w:sz w:val="24"/>
        </w:rPr>
        <w:tab/>
      </w:r>
      <w:r>
        <w:rPr>
          <w:sz w:val="24"/>
        </w:rPr>
        <w:fldChar w:fldCharType="begin"/>
      </w:r>
      <w:r>
        <w:rPr>
          <w:sz w:val="24"/>
        </w:rPr>
        <w:instrText xml:space="preserve"> PAGEREF _Toc6635 \h </w:instrText>
      </w:r>
      <w:r>
        <w:rPr>
          <w:sz w:val="24"/>
        </w:rPr>
        <w:fldChar w:fldCharType="separate"/>
      </w:r>
      <w:r>
        <w:rPr>
          <w:sz w:val="24"/>
        </w:rPr>
        <w:t>8</w:t>
      </w:r>
      <w:r>
        <w:rPr>
          <w:sz w:val="24"/>
        </w:rPr>
        <w:fldChar w:fldCharType="end"/>
      </w:r>
      <w:r>
        <w:rPr>
          <w:sz w:val="24"/>
        </w:rPr>
        <w:fldChar w:fldCharType="end"/>
      </w:r>
    </w:p>
    <w:p>
      <w:pPr>
        <w:pStyle w:val="45"/>
        <w:tabs>
          <w:tab w:val="right" w:leader="dot" w:pos="9070"/>
        </w:tabs>
        <w:spacing w:line="360" w:lineRule="auto"/>
        <w:rPr>
          <w:sz w:val="24"/>
        </w:rPr>
      </w:pPr>
      <w:r>
        <w:fldChar w:fldCharType="begin"/>
      </w:r>
      <w:r>
        <w:instrText xml:space="preserve"> HYPERLINK \l "_Toc16440" </w:instrText>
      </w:r>
      <w:r>
        <w:fldChar w:fldCharType="separate"/>
      </w:r>
      <w:r>
        <w:rPr>
          <w:rFonts w:hint="eastAsia" w:ascii="宋体" w:hAnsi="宋体" w:cs="宋体"/>
          <w:sz w:val="24"/>
        </w:rPr>
        <w:t>第三部分 采购需求</w:t>
      </w:r>
      <w:r>
        <w:rPr>
          <w:sz w:val="24"/>
        </w:rPr>
        <w:tab/>
      </w:r>
      <w:r>
        <w:rPr>
          <w:sz w:val="24"/>
        </w:rPr>
        <w:fldChar w:fldCharType="begin"/>
      </w:r>
      <w:r>
        <w:rPr>
          <w:sz w:val="24"/>
        </w:rPr>
        <w:instrText xml:space="preserve"> PAGEREF _Toc16440 \h </w:instrText>
      </w:r>
      <w:r>
        <w:rPr>
          <w:sz w:val="24"/>
        </w:rPr>
        <w:fldChar w:fldCharType="separate"/>
      </w:r>
      <w:r>
        <w:rPr>
          <w:sz w:val="24"/>
        </w:rPr>
        <w:t>27</w:t>
      </w:r>
      <w:r>
        <w:rPr>
          <w:sz w:val="24"/>
        </w:rPr>
        <w:fldChar w:fldCharType="end"/>
      </w:r>
      <w:r>
        <w:rPr>
          <w:sz w:val="24"/>
        </w:rPr>
        <w:fldChar w:fldCharType="end"/>
      </w:r>
    </w:p>
    <w:p>
      <w:pPr>
        <w:pStyle w:val="45"/>
        <w:tabs>
          <w:tab w:val="right" w:leader="dot" w:pos="9070"/>
        </w:tabs>
        <w:spacing w:line="360" w:lineRule="auto"/>
        <w:rPr>
          <w:sz w:val="24"/>
        </w:rPr>
      </w:pPr>
      <w:r>
        <w:fldChar w:fldCharType="begin"/>
      </w:r>
      <w:r>
        <w:instrText xml:space="preserve"> HYPERLINK \l "_Toc19986" </w:instrText>
      </w:r>
      <w:r>
        <w:fldChar w:fldCharType="separate"/>
      </w:r>
      <w:r>
        <w:rPr>
          <w:rFonts w:hint="eastAsia" w:ascii="宋体" w:hAnsi="宋体" w:cs="宋体"/>
          <w:sz w:val="24"/>
        </w:rPr>
        <w:t>第四部分 评标办法</w:t>
      </w:r>
      <w:r>
        <w:rPr>
          <w:sz w:val="24"/>
        </w:rPr>
        <w:tab/>
      </w:r>
      <w:r>
        <w:rPr>
          <w:sz w:val="24"/>
        </w:rPr>
        <w:fldChar w:fldCharType="begin"/>
      </w:r>
      <w:r>
        <w:rPr>
          <w:sz w:val="24"/>
        </w:rPr>
        <w:instrText xml:space="preserve"> PAGEREF _Toc19986 \h </w:instrText>
      </w:r>
      <w:r>
        <w:rPr>
          <w:sz w:val="24"/>
        </w:rPr>
        <w:fldChar w:fldCharType="separate"/>
      </w:r>
      <w:r>
        <w:rPr>
          <w:sz w:val="24"/>
        </w:rPr>
        <w:t>28</w:t>
      </w:r>
      <w:r>
        <w:rPr>
          <w:sz w:val="24"/>
        </w:rPr>
        <w:fldChar w:fldCharType="end"/>
      </w:r>
      <w:r>
        <w:rPr>
          <w:sz w:val="24"/>
        </w:rPr>
        <w:fldChar w:fldCharType="end"/>
      </w:r>
    </w:p>
    <w:p>
      <w:pPr>
        <w:pStyle w:val="45"/>
        <w:tabs>
          <w:tab w:val="right" w:leader="dot" w:pos="9070"/>
        </w:tabs>
        <w:spacing w:line="360" w:lineRule="auto"/>
        <w:rPr>
          <w:sz w:val="24"/>
        </w:rPr>
      </w:pPr>
      <w:r>
        <w:fldChar w:fldCharType="begin"/>
      </w:r>
      <w:r>
        <w:instrText xml:space="preserve"> HYPERLINK \l "_Toc22571" </w:instrText>
      </w:r>
      <w:r>
        <w:fldChar w:fldCharType="separate"/>
      </w:r>
      <w:r>
        <w:rPr>
          <w:rFonts w:hint="eastAsia" w:ascii="宋体" w:hAnsi="宋体" w:cs="宋体"/>
          <w:sz w:val="24"/>
        </w:rPr>
        <w:t>第五部分 拟签订的合同文本</w:t>
      </w:r>
      <w:r>
        <w:rPr>
          <w:sz w:val="24"/>
        </w:rPr>
        <w:tab/>
      </w:r>
      <w:r>
        <w:rPr>
          <w:sz w:val="24"/>
        </w:rPr>
        <w:fldChar w:fldCharType="begin"/>
      </w:r>
      <w:r>
        <w:rPr>
          <w:sz w:val="24"/>
        </w:rPr>
        <w:instrText xml:space="preserve"> PAGEREF _Toc22571 \h </w:instrText>
      </w:r>
      <w:r>
        <w:rPr>
          <w:sz w:val="24"/>
        </w:rPr>
        <w:fldChar w:fldCharType="separate"/>
      </w:r>
      <w:r>
        <w:rPr>
          <w:sz w:val="24"/>
        </w:rPr>
        <w:t>40</w:t>
      </w:r>
      <w:r>
        <w:rPr>
          <w:sz w:val="24"/>
        </w:rPr>
        <w:fldChar w:fldCharType="end"/>
      </w:r>
      <w:r>
        <w:rPr>
          <w:sz w:val="24"/>
        </w:rPr>
        <w:fldChar w:fldCharType="end"/>
      </w:r>
    </w:p>
    <w:p>
      <w:pPr>
        <w:pStyle w:val="45"/>
        <w:tabs>
          <w:tab w:val="right" w:leader="dot" w:pos="9070"/>
        </w:tabs>
        <w:spacing w:line="360" w:lineRule="auto"/>
        <w:rPr>
          <w:sz w:val="24"/>
        </w:rPr>
      </w:pPr>
      <w:r>
        <w:fldChar w:fldCharType="begin"/>
      </w:r>
      <w:r>
        <w:instrText xml:space="preserve"> HYPERLINK \l "_Toc7034" </w:instrText>
      </w:r>
      <w:r>
        <w:fldChar w:fldCharType="separate"/>
      </w:r>
      <w:r>
        <w:rPr>
          <w:rFonts w:hint="eastAsia" w:ascii="宋体" w:hAnsi="宋体" w:cs="宋体"/>
          <w:sz w:val="24"/>
        </w:rPr>
        <w:t>第六部分 应提交的有关格式范例</w:t>
      </w:r>
      <w:r>
        <w:rPr>
          <w:sz w:val="24"/>
        </w:rPr>
        <w:tab/>
      </w:r>
      <w:r>
        <w:rPr>
          <w:sz w:val="24"/>
        </w:rPr>
        <w:fldChar w:fldCharType="begin"/>
      </w:r>
      <w:r>
        <w:rPr>
          <w:sz w:val="24"/>
        </w:rPr>
        <w:instrText xml:space="preserve"> PAGEREF _Toc7034 \h </w:instrText>
      </w:r>
      <w:r>
        <w:rPr>
          <w:sz w:val="24"/>
        </w:rPr>
        <w:fldChar w:fldCharType="separate"/>
      </w:r>
      <w:r>
        <w:rPr>
          <w:sz w:val="24"/>
        </w:rPr>
        <w:t>44</w:t>
      </w:r>
      <w:r>
        <w:rPr>
          <w:sz w:val="24"/>
        </w:rPr>
        <w:fldChar w:fldCharType="end"/>
      </w:r>
      <w:r>
        <w:rPr>
          <w:sz w:val="24"/>
        </w:rPr>
        <w:fldChar w:fldCharType="end"/>
      </w:r>
    </w:p>
    <w:p>
      <w:pPr>
        <w:spacing w:line="360" w:lineRule="auto"/>
        <w:ind w:firstLine="549" w:firstLineChars="229"/>
        <w:rPr>
          <w:rFonts w:ascii="宋体" w:hAnsi="宋体" w:cs="宋体"/>
          <w:sz w:val="24"/>
        </w:rPr>
      </w:pPr>
      <w:r>
        <w:rPr>
          <w:sz w:val="24"/>
        </w:rPr>
        <w:fldChar w:fldCharType="end"/>
      </w: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_Toc14161"/>
      <w:bookmarkStart w:id="9" w:name="第二部分"/>
      <w:bookmarkStart w:id="10" w:name="_Toc91899870"/>
      <w:bookmarkStart w:id="11" w:name="_Toc91899871"/>
      <w:r>
        <w:rPr>
          <w:rFonts w:hint="eastAsia" w:ascii="宋体" w:hAnsi="宋体" w:cs="宋体"/>
          <w:b/>
          <w:sz w:val="36"/>
          <w:szCs w:val="20"/>
        </w:rPr>
        <w:t>第一部分 招标公告</w:t>
      </w:r>
      <w:bookmarkEnd w:id="8"/>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lang w:eastAsia="zh-CN"/>
        </w:rPr>
        <w:t>2022年国家环境监测网区域环境空气监测站运行维护项目</w:t>
      </w:r>
      <w:r>
        <w:rPr>
          <w:rFonts w:hint="eastAsia" w:ascii="宋体" w:hAnsi="宋体" w:cs="宋体"/>
          <w:sz w:val="24"/>
        </w:rPr>
        <w:t>招标项目的潜在投标人应在政采云平台（</w:t>
      </w:r>
      <w:r>
        <w:fldChar w:fldCharType="begin"/>
      </w:r>
      <w:r>
        <w:instrText xml:space="preserve"> HYPERLINK "https://www.zcygov.cn/）获取（下载）招标文件，并于2021年" </w:instrText>
      </w:r>
      <w:r>
        <w:fldChar w:fldCharType="separate"/>
      </w:r>
      <w:r>
        <w:rPr>
          <w:rStyle w:val="76"/>
          <w:rFonts w:hint="eastAsia" w:ascii="宋体" w:hAnsi="宋体" w:eastAsia="宋体" w:cs="宋体"/>
          <w:snapToGrid/>
          <w:color w:val="auto"/>
          <w:kern w:val="2"/>
          <w:sz w:val="24"/>
          <w:szCs w:val="24"/>
        </w:rPr>
        <w:t>https://www.zcygov.cn/）获取（下载）招标文件，并于</w:t>
      </w:r>
      <w:r>
        <w:rPr>
          <w:rFonts w:hint="eastAsia" w:ascii="宋体" w:hAnsi="宋体" w:cs="宋体"/>
          <w:sz w:val="24"/>
          <w:u w:val="single"/>
        </w:rPr>
        <w:t>2022年</w:t>
      </w:r>
      <w:r>
        <w:rPr>
          <w:rFonts w:hint="eastAsia" w:ascii="宋体" w:hAnsi="宋体" w:cs="宋体"/>
          <w:sz w:val="24"/>
          <w:u w:val="single"/>
          <w:lang w:val="en-US" w:eastAsia="zh-CN"/>
        </w:rPr>
        <w:t>09</w:t>
      </w:r>
      <w:r>
        <w:rPr>
          <w:rFonts w:hint="eastAsia" w:ascii="宋体" w:hAnsi="宋体" w:cs="宋体"/>
          <w:sz w:val="24"/>
          <w:u w:val="single"/>
        </w:rPr>
        <w:t>月</w:t>
      </w:r>
      <w:r>
        <w:rPr>
          <w:rFonts w:hint="eastAsia" w:ascii="宋体" w:hAnsi="宋体" w:cs="宋体"/>
          <w:sz w:val="24"/>
          <w:u w:val="single"/>
          <w:lang w:val="en-US" w:eastAsia="zh-CN"/>
        </w:rPr>
        <w:t>14</w:t>
      </w:r>
      <w:r>
        <w:rPr>
          <w:rFonts w:hint="eastAsia" w:ascii="宋体" w:hAnsi="宋体" w:cs="宋体"/>
          <w:sz w:val="24"/>
          <w:u w:val="single"/>
        </w:rPr>
        <w:t>日09点 00分</w:t>
      </w:r>
      <w:r>
        <w:rPr>
          <w:rFonts w:hint="eastAsia" w:ascii="宋体" w:hAnsi="宋体" w:cs="宋体"/>
          <w:bCs/>
          <w:sz w:val="24"/>
          <w:u w:val="single"/>
        </w:rPr>
        <w:t>00秒</w:t>
      </w:r>
      <w:r>
        <w:rPr>
          <w:rFonts w:hint="eastAsia" w:ascii="宋体" w:hAnsi="宋体" w:cs="宋体"/>
          <w:bCs/>
          <w:sz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p>
      <w:pPr>
        <w:spacing w:line="360" w:lineRule="auto"/>
        <w:rPr>
          <w:rFonts w:ascii="宋体" w:hAnsi="宋体" w:cs="宋体"/>
          <w:b/>
          <w:sz w:val="24"/>
        </w:rPr>
      </w:pPr>
      <w:r>
        <w:rPr>
          <w:rFonts w:hint="eastAsia" w:ascii="宋体" w:hAnsi="宋体" w:cs="宋体"/>
          <w:b/>
          <w:sz w:val="24"/>
        </w:rPr>
        <w:t>一、项目基本情况</w:t>
      </w:r>
    </w:p>
    <w:p>
      <w:pPr>
        <w:spacing w:line="360" w:lineRule="auto"/>
        <w:rPr>
          <w:rFonts w:hint="eastAsia" w:ascii="宋体" w:hAnsi="宋体" w:eastAsia="宋体" w:cs="宋体"/>
          <w:sz w:val="24"/>
          <w:lang w:eastAsia="zh-CN"/>
        </w:rPr>
      </w:pPr>
      <w:r>
        <w:rPr>
          <w:rFonts w:hint="eastAsia" w:ascii="宋体" w:hAnsi="宋体" w:cs="宋体"/>
          <w:b/>
          <w:sz w:val="24"/>
        </w:rPr>
        <w:t>项目编号：</w:t>
      </w:r>
      <w:r>
        <w:rPr>
          <w:rFonts w:hint="eastAsia" w:ascii="宋体" w:hAnsi="宋体" w:cs="宋体"/>
          <w:sz w:val="24"/>
          <w:lang w:eastAsia="zh-CN"/>
        </w:rPr>
        <w:t>ZJXL-STJCZX-202219</w:t>
      </w:r>
    </w:p>
    <w:p>
      <w:pPr>
        <w:spacing w:line="360" w:lineRule="auto"/>
        <w:rPr>
          <w:rFonts w:hint="eastAsia" w:ascii="宋体" w:hAnsi="宋体" w:eastAsia="宋体" w:cs="宋体"/>
          <w:sz w:val="24"/>
          <w:lang w:eastAsia="zh-CN"/>
        </w:rPr>
      </w:pPr>
      <w:r>
        <w:rPr>
          <w:rFonts w:hint="eastAsia" w:ascii="宋体" w:hAnsi="宋体" w:cs="宋体"/>
          <w:b/>
          <w:sz w:val="24"/>
        </w:rPr>
        <w:t>项目名称：</w:t>
      </w:r>
      <w:r>
        <w:rPr>
          <w:rFonts w:hint="eastAsia" w:ascii="宋体" w:hAnsi="宋体" w:cs="宋体"/>
          <w:sz w:val="24"/>
          <w:lang w:eastAsia="zh-CN"/>
        </w:rPr>
        <w:t>2022年国家环境监测网区域环境空气监测站运行维护项目</w:t>
      </w:r>
    </w:p>
    <w:p>
      <w:pPr>
        <w:spacing w:line="360" w:lineRule="auto"/>
        <w:rPr>
          <w:rFonts w:hint="eastAsia" w:ascii="宋体" w:hAnsi="宋体" w:eastAsia="宋体" w:cs="宋体"/>
          <w:sz w:val="24"/>
          <w:lang w:eastAsia="zh-CN"/>
        </w:rPr>
      </w:pPr>
      <w:r>
        <w:rPr>
          <w:rFonts w:hint="eastAsia" w:ascii="宋体" w:hAnsi="宋体" w:cs="宋体"/>
          <w:b/>
          <w:sz w:val="24"/>
        </w:rPr>
        <w:t>预算金额（元）：</w:t>
      </w:r>
      <w:r>
        <w:rPr>
          <w:rFonts w:hint="eastAsia" w:ascii="宋体" w:hAnsi="宋体" w:cs="宋体"/>
          <w:b/>
          <w:sz w:val="24"/>
          <w:lang w:eastAsia="zh-CN"/>
        </w:rPr>
        <w:t>449900</w:t>
      </w:r>
    </w:p>
    <w:p>
      <w:pPr>
        <w:spacing w:line="360" w:lineRule="auto"/>
        <w:rPr>
          <w:rFonts w:hint="eastAsia" w:ascii="宋体" w:hAnsi="宋体" w:eastAsia="宋体" w:cs="宋体"/>
          <w:sz w:val="24"/>
          <w:lang w:eastAsia="zh-CN"/>
        </w:rPr>
      </w:pPr>
      <w:r>
        <w:rPr>
          <w:rFonts w:hint="eastAsia" w:ascii="宋体" w:hAnsi="宋体" w:cs="宋体"/>
          <w:b/>
          <w:sz w:val="24"/>
        </w:rPr>
        <w:t>最高限价（元）：</w:t>
      </w:r>
      <w:r>
        <w:rPr>
          <w:rFonts w:hint="eastAsia" w:ascii="宋体" w:hAnsi="宋体" w:cs="宋体"/>
          <w:b/>
          <w:sz w:val="24"/>
          <w:lang w:eastAsia="zh-CN"/>
        </w:rPr>
        <w:t>449900</w:t>
      </w:r>
    </w:p>
    <w:p>
      <w:pPr>
        <w:pStyle w:val="17"/>
        <w:spacing w:line="360" w:lineRule="auto"/>
        <w:ind w:firstLine="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Cs/>
          <w:snapToGrid/>
          <w:color w:val="auto"/>
          <w:kern w:val="2"/>
          <w:sz w:val="24"/>
          <w:szCs w:val="24"/>
        </w:rPr>
        <w:t>：</w:t>
      </w:r>
    </w:p>
    <w:tbl>
      <w:tblPr>
        <w:tblStyle w:val="63"/>
        <w:tblW w:w="973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8"/>
        <w:gridCol w:w="1697"/>
        <w:gridCol w:w="754"/>
        <w:gridCol w:w="1366"/>
        <w:gridCol w:w="900"/>
        <w:gridCol w:w="3395"/>
        <w:gridCol w:w="75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868" w:type="dxa"/>
            <w:vAlign w:val="center"/>
          </w:tcPr>
          <w:p>
            <w:pPr>
              <w:pStyle w:val="26"/>
              <w:keepNext w:val="0"/>
              <w:keepLines w:val="0"/>
              <w:pageBreakBefore w:val="0"/>
              <w:widowControl w:val="0"/>
              <w:kinsoku/>
              <w:wordWrap/>
              <w:overflowPunct/>
              <w:topLinePunct w:val="0"/>
              <w:bidi w:val="0"/>
              <w:adjustRightInd w:val="0"/>
              <w:snapToGrid/>
              <w:spacing w:line="240" w:lineRule="auto"/>
              <w:ind w:firstLine="0"/>
              <w:jc w:val="center"/>
              <w:textAlignment w:val="auto"/>
              <w:rPr>
                <w:rFonts w:hAnsi="宋体" w:cs="宋体"/>
                <w:szCs w:val="24"/>
              </w:rPr>
            </w:pPr>
            <w:r>
              <w:rPr>
                <w:rFonts w:hint="eastAsia" w:hAnsi="宋体" w:cs="宋体"/>
                <w:szCs w:val="24"/>
              </w:rPr>
              <w:t>标项序号</w:t>
            </w:r>
          </w:p>
        </w:tc>
        <w:tc>
          <w:tcPr>
            <w:tcW w:w="1697" w:type="dxa"/>
            <w:vAlign w:val="center"/>
          </w:tcPr>
          <w:p>
            <w:pPr>
              <w:pStyle w:val="26"/>
              <w:keepNext w:val="0"/>
              <w:keepLines w:val="0"/>
              <w:pageBreakBefore w:val="0"/>
              <w:widowControl w:val="0"/>
              <w:kinsoku/>
              <w:wordWrap/>
              <w:overflowPunct/>
              <w:topLinePunct w:val="0"/>
              <w:bidi w:val="0"/>
              <w:adjustRightInd w:val="0"/>
              <w:snapToGrid/>
              <w:spacing w:line="240" w:lineRule="auto"/>
              <w:ind w:firstLine="0"/>
              <w:jc w:val="center"/>
              <w:textAlignment w:val="auto"/>
              <w:rPr>
                <w:rFonts w:hAnsi="宋体" w:cs="宋体"/>
                <w:szCs w:val="24"/>
              </w:rPr>
            </w:pPr>
            <w:r>
              <w:rPr>
                <w:rFonts w:hint="eastAsia" w:hAnsi="宋体" w:cs="宋体"/>
                <w:szCs w:val="24"/>
              </w:rPr>
              <w:t>标项名称</w:t>
            </w:r>
          </w:p>
        </w:tc>
        <w:tc>
          <w:tcPr>
            <w:tcW w:w="754" w:type="dxa"/>
            <w:vAlign w:val="center"/>
          </w:tcPr>
          <w:p>
            <w:pPr>
              <w:pStyle w:val="26"/>
              <w:keepNext w:val="0"/>
              <w:keepLines w:val="0"/>
              <w:pageBreakBefore w:val="0"/>
              <w:widowControl w:val="0"/>
              <w:kinsoku/>
              <w:wordWrap/>
              <w:overflowPunct/>
              <w:topLinePunct w:val="0"/>
              <w:bidi w:val="0"/>
              <w:adjustRightInd w:val="0"/>
              <w:snapToGrid/>
              <w:spacing w:line="240" w:lineRule="auto"/>
              <w:ind w:firstLine="0"/>
              <w:jc w:val="center"/>
              <w:textAlignment w:val="auto"/>
              <w:rPr>
                <w:rFonts w:hAnsi="宋体" w:cs="宋体"/>
                <w:szCs w:val="24"/>
              </w:rPr>
            </w:pPr>
            <w:r>
              <w:rPr>
                <w:rFonts w:hint="eastAsia" w:hAnsi="宋体" w:cs="宋体"/>
                <w:szCs w:val="24"/>
              </w:rPr>
              <w:t>数量</w:t>
            </w:r>
          </w:p>
        </w:tc>
        <w:tc>
          <w:tcPr>
            <w:tcW w:w="1366" w:type="dxa"/>
            <w:vAlign w:val="center"/>
          </w:tcPr>
          <w:p>
            <w:pPr>
              <w:pStyle w:val="26"/>
              <w:keepNext w:val="0"/>
              <w:keepLines w:val="0"/>
              <w:pageBreakBefore w:val="0"/>
              <w:widowControl w:val="0"/>
              <w:kinsoku/>
              <w:wordWrap/>
              <w:overflowPunct/>
              <w:topLinePunct w:val="0"/>
              <w:bidi w:val="0"/>
              <w:adjustRightInd w:val="0"/>
              <w:snapToGrid/>
              <w:spacing w:line="240" w:lineRule="auto"/>
              <w:ind w:firstLine="0"/>
              <w:jc w:val="center"/>
              <w:textAlignment w:val="auto"/>
              <w:rPr>
                <w:rFonts w:hAnsi="宋体" w:cs="宋体"/>
                <w:szCs w:val="24"/>
              </w:rPr>
            </w:pPr>
            <w:r>
              <w:rPr>
                <w:rFonts w:hint="eastAsia" w:hAnsi="宋体" w:cs="宋体"/>
                <w:szCs w:val="24"/>
              </w:rPr>
              <w:t>预算金额(元)</w:t>
            </w:r>
          </w:p>
        </w:tc>
        <w:tc>
          <w:tcPr>
            <w:tcW w:w="900" w:type="dxa"/>
            <w:vAlign w:val="center"/>
          </w:tcPr>
          <w:p>
            <w:pPr>
              <w:pStyle w:val="26"/>
              <w:keepNext w:val="0"/>
              <w:keepLines w:val="0"/>
              <w:pageBreakBefore w:val="0"/>
              <w:widowControl w:val="0"/>
              <w:kinsoku/>
              <w:wordWrap/>
              <w:overflowPunct/>
              <w:topLinePunct w:val="0"/>
              <w:bidi w:val="0"/>
              <w:adjustRightInd w:val="0"/>
              <w:snapToGrid/>
              <w:spacing w:line="240" w:lineRule="auto"/>
              <w:ind w:firstLine="0"/>
              <w:jc w:val="center"/>
              <w:textAlignment w:val="auto"/>
              <w:rPr>
                <w:rFonts w:hAnsi="宋体" w:cs="宋体"/>
                <w:szCs w:val="24"/>
              </w:rPr>
            </w:pPr>
            <w:r>
              <w:rPr>
                <w:rFonts w:hint="eastAsia" w:hAnsi="宋体" w:cs="宋体"/>
                <w:szCs w:val="24"/>
              </w:rPr>
              <w:t>单位</w:t>
            </w:r>
          </w:p>
        </w:tc>
        <w:tc>
          <w:tcPr>
            <w:tcW w:w="3395" w:type="dxa"/>
            <w:vAlign w:val="center"/>
          </w:tcPr>
          <w:p>
            <w:pPr>
              <w:pStyle w:val="26"/>
              <w:keepNext w:val="0"/>
              <w:keepLines w:val="0"/>
              <w:pageBreakBefore w:val="0"/>
              <w:widowControl w:val="0"/>
              <w:kinsoku/>
              <w:wordWrap/>
              <w:overflowPunct/>
              <w:topLinePunct w:val="0"/>
              <w:bidi w:val="0"/>
              <w:adjustRightInd w:val="0"/>
              <w:snapToGrid/>
              <w:spacing w:line="240" w:lineRule="auto"/>
              <w:ind w:firstLine="0"/>
              <w:jc w:val="center"/>
              <w:textAlignment w:val="auto"/>
              <w:rPr>
                <w:rFonts w:hAnsi="宋体" w:cs="宋体"/>
                <w:szCs w:val="24"/>
              </w:rPr>
            </w:pPr>
            <w:r>
              <w:rPr>
                <w:rFonts w:hint="eastAsia" w:hAnsi="宋体" w:cs="宋体"/>
                <w:szCs w:val="24"/>
              </w:rPr>
              <w:t>简要规格描述</w:t>
            </w:r>
          </w:p>
        </w:tc>
        <w:tc>
          <w:tcPr>
            <w:tcW w:w="754" w:type="dxa"/>
            <w:vAlign w:val="center"/>
          </w:tcPr>
          <w:p>
            <w:pPr>
              <w:pStyle w:val="26"/>
              <w:keepNext w:val="0"/>
              <w:keepLines w:val="0"/>
              <w:pageBreakBefore w:val="0"/>
              <w:widowControl w:val="0"/>
              <w:kinsoku/>
              <w:wordWrap/>
              <w:overflowPunct/>
              <w:topLinePunct w:val="0"/>
              <w:bidi w:val="0"/>
              <w:adjustRightInd w:val="0"/>
              <w:snapToGrid/>
              <w:spacing w:line="240" w:lineRule="auto"/>
              <w:ind w:firstLine="0"/>
              <w:jc w:val="center"/>
              <w:textAlignment w:val="auto"/>
              <w:rPr>
                <w:rFonts w:hAnsi="宋体" w:cs="宋体"/>
                <w:szCs w:val="24"/>
              </w:rPr>
            </w:pPr>
            <w:r>
              <w:rPr>
                <w:rFonts w:hint="eastAsia" w:hAnsi="宋体" w:cs="宋体"/>
                <w:szCs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015" w:hRule="atLeast"/>
          <w:jc w:val="center"/>
        </w:trPr>
        <w:tc>
          <w:tcPr>
            <w:tcW w:w="868" w:type="dxa"/>
            <w:vAlign w:val="center"/>
          </w:tcPr>
          <w:p>
            <w:pPr>
              <w:pStyle w:val="480"/>
              <w:keepNext w:val="0"/>
              <w:keepLines w:val="0"/>
              <w:pageBreakBefore w:val="0"/>
              <w:widowControl w:val="0"/>
              <w:kinsoku/>
              <w:wordWrap/>
              <w:overflowPunct/>
              <w:topLinePunct w:val="0"/>
              <w:bidi w:val="0"/>
              <w:adjustRightInd w:val="0"/>
              <w:snapToGrid/>
              <w:spacing w:line="240" w:lineRule="auto"/>
              <w:jc w:val="center"/>
              <w:textAlignment w:val="auto"/>
              <w:rPr>
                <w:rFonts w:ascii="宋体" w:hAnsi="宋体" w:cs="宋体"/>
                <w:sz w:val="24"/>
                <w:szCs w:val="24"/>
              </w:rPr>
            </w:pPr>
            <w:r>
              <w:rPr>
                <w:rFonts w:hint="eastAsia" w:ascii="宋体" w:hAnsi="宋体" w:cs="宋体"/>
                <w:sz w:val="24"/>
                <w:szCs w:val="24"/>
              </w:rPr>
              <w:t>1</w:t>
            </w:r>
          </w:p>
        </w:tc>
        <w:tc>
          <w:tcPr>
            <w:tcW w:w="1697" w:type="dxa"/>
            <w:vAlign w:val="center"/>
          </w:tcPr>
          <w:p>
            <w:pPr>
              <w:pStyle w:val="480"/>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宋体" w:hAnsi="宋体" w:eastAsia="宋体" w:cs="宋体"/>
                <w:sz w:val="24"/>
                <w:szCs w:val="24"/>
                <w:lang w:eastAsia="zh-CN"/>
              </w:rPr>
            </w:pPr>
            <w:r>
              <w:rPr>
                <w:rFonts w:hint="eastAsia" w:ascii="宋体" w:hAnsi="宋体" w:cs="宋体"/>
                <w:sz w:val="24"/>
                <w:szCs w:val="24"/>
                <w:shd w:val="clear" w:color="auto" w:fill="FFFFFF"/>
                <w:lang w:eastAsia="zh-CN"/>
              </w:rPr>
              <w:t>2022年国家环境监测网区域环境空气监测站运行维护项目</w:t>
            </w:r>
          </w:p>
        </w:tc>
        <w:tc>
          <w:tcPr>
            <w:tcW w:w="754" w:type="dxa"/>
            <w:vAlign w:val="center"/>
          </w:tcPr>
          <w:p>
            <w:pPr>
              <w:pStyle w:val="480"/>
              <w:keepNext w:val="0"/>
              <w:keepLines w:val="0"/>
              <w:pageBreakBefore w:val="0"/>
              <w:widowControl w:val="0"/>
              <w:kinsoku/>
              <w:wordWrap/>
              <w:overflowPunct/>
              <w:topLinePunct w:val="0"/>
              <w:bidi w:val="0"/>
              <w:adjustRightInd w:val="0"/>
              <w:snapToGrid/>
              <w:spacing w:line="240" w:lineRule="auto"/>
              <w:jc w:val="center"/>
              <w:textAlignment w:val="auto"/>
              <w:rPr>
                <w:rFonts w:ascii="宋体" w:hAnsi="宋体" w:cs="宋体"/>
                <w:sz w:val="24"/>
                <w:szCs w:val="24"/>
              </w:rPr>
            </w:pPr>
            <w:r>
              <w:rPr>
                <w:rFonts w:hint="eastAsia" w:ascii="宋体" w:hAnsi="宋体" w:cs="宋体"/>
                <w:sz w:val="24"/>
                <w:szCs w:val="24"/>
              </w:rPr>
              <w:t>1</w:t>
            </w:r>
          </w:p>
        </w:tc>
        <w:tc>
          <w:tcPr>
            <w:tcW w:w="1366" w:type="dxa"/>
            <w:vAlign w:val="center"/>
          </w:tcPr>
          <w:p>
            <w:pPr>
              <w:pStyle w:val="480"/>
              <w:keepNext w:val="0"/>
              <w:keepLines w:val="0"/>
              <w:pageBreakBefore w:val="0"/>
              <w:widowControl w:val="0"/>
              <w:kinsoku/>
              <w:wordWrap/>
              <w:overflowPunct/>
              <w:topLinePunct w:val="0"/>
              <w:bidi w:val="0"/>
              <w:adjustRightInd w:val="0"/>
              <w:snapToGrid/>
              <w:spacing w:line="240" w:lineRule="auto"/>
              <w:jc w:val="center"/>
              <w:textAlignment w:val="auto"/>
              <w:rPr>
                <w:rFonts w:hint="eastAsia" w:ascii="宋体" w:hAnsi="宋体" w:eastAsia="宋体" w:cs="宋体"/>
                <w:sz w:val="24"/>
                <w:szCs w:val="24"/>
                <w:lang w:eastAsia="zh-CN"/>
              </w:rPr>
            </w:pPr>
            <w:r>
              <w:rPr>
                <w:rFonts w:hint="eastAsia" w:ascii="宋体" w:hAnsi="宋体" w:cs="宋体"/>
                <w:sz w:val="24"/>
                <w:szCs w:val="24"/>
                <w:lang w:eastAsia="zh-CN"/>
              </w:rPr>
              <w:t>449900</w:t>
            </w:r>
          </w:p>
        </w:tc>
        <w:tc>
          <w:tcPr>
            <w:tcW w:w="900" w:type="dxa"/>
            <w:vAlign w:val="center"/>
          </w:tcPr>
          <w:p>
            <w:pPr>
              <w:pStyle w:val="480"/>
              <w:keepNext w:val="0"/>
              <w:keepLines w:val="0"/>
              <w:pageBreakBefore w:val="0"/>
              <w:widowControl w:val="0"/>
              <w:kinsoku/>
              <w:wordWrap/>
              <w:overflowPunct/>
              <w:topLinePunct w:val="0"/>
              <w:bidi w:val="0"/>
              <w:adjustRightInd w:val="0"/>
              <w:snapToGrid/>
              <w:spacing w:line="240" w:lineRule="auto"/>
              <w:jc w:val="center"/>
              <w:textAlignment w:val="auto"/>
              <w:rPr>
                <w:rFonts w:ascii="宋体" w:hAnsi="宋体" w:cs="宋体"/>
                <w:sz w:val="24"/>
                <w:szCs w:val="24"/>
              </w:rPr>
            </w:pPr>
            <w:r>
              <w:rPr>
                <w:rFonts w:hint="eastAsia" w:ascii="宋体" w:hAnsi="宋体" w:cs="宋体"/>
                <w:sz w:val="24"/>
                <w:szCs w:val="24"/>
              </w:rPr>
              <w:t>项</w:t>
            </w:r>
          </w:p>
        </w:tc>
        <w:tc>
          <w:tcPr>
            <w:tcW w:w="3395" w:type="dxa"/>
            <w:vAlign w:val="center"/>
          </w:tcPr>
          <w:p>
            <w:pPr>
              <w:keepNext w:val="0"/>
              <w:keepLines w:val="0"/>
              <w:pageBreakBefore w:val="0"/>
              <w:widowControl w:val="0"/>
              <w:kinsoku/>
              <w:wordWrap/>
              <w:overflowPunct/>
              <w:topLinePunct w:val="0"/>
              <w:bidi w:val="0"/>
              <w:adjustRightInd w:val="0"/>
              <w:snapToGrid/>
              <w:spacing w:line="240" w:lineRule="auto"/>
              <w:ind w:firstLine="420"/>
              <w:textAlignment w:val="auto"/>
              <w:rPr>
                <w:rFonts w:hint="default" w:ascii="宋体" w:hAnsi="宋体" w:cs="宋体"/>
                <w:sz w:val="24"/>
                <w:lang w:val="en-US"/>
              </w:rPr>
            </w:pPr>
            <w:r>
              <w:rPr>
                <w:rFonts w:hint="eastAsia" w:ascii="宋体" w:hAnsi="宋体" w:eastAsia="宋体" w:cs="宋体"/>
                <w:sz w:val="24"/>
                <w:szCs w:val="24"/>
              </w:rPr>
              <w:t>负责三个国家区域站所有监测仪器、气象仪器、质控设备、数据采集与传输设备、辅助设备、防雷等基础设施的日常维护、质量控制、故障维修、年度检修、检定、储备适量的常用备品备件等工作</w:t>
            </w:r>
            <w:r>
              <w:rPr>
                <w:rFonts w:hint="eastAsia" w:ascii="宋体" w:hAnsi="宋体" w:eastAsia="宋体" w:cs="宋体"/>
                <w:sz w:val="24"/>
                <w:szCs w:val="24"/>
                <w:lang w:eastAsia="zh-CN"/>
              </w:rPr>
              <w:t>。</w:t>
            </w:r>
            <w:r>
              <w:rPr>
                <w:rFonts w:hint="eastAsia" w:ascii="宋体" w:hAnsi="宋体" w:eastAsia="宋体" w:cs="宋体"/>
                <w:sz w:val="24"/>
                <w:szCs w:val="24"/>
              </w:rPr>
              <w:t>以及站房、道路的及时维护维修、电力供应、网络通讯保障、运维专用车辆年检等，并负担相应费用。接受业主质控检查和考核，确保各项检测仪器正常稳定运行并与国家平台联网正常</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做好站点每半年的臭氧标准传递工作，负责每月区域站运维记录的上报工作。</w:t>
            </w:r>
            <w:r>
              <w:rPr>
                <w:rFonts w:hint="eastAsia" w:ascii="宋体" w:hAnsi="宋体" w:cs="宋体"/>
                <w:sz w:val="24"/>
                <w:szCs w:val="24"/>
                <w:lang w:val="en-US" w:eastAsia="zh-CN"/>
              </w:rPr>
              <w:t>详见第三部分采购需求</w:t>
            </w:r>
          </w:p>
        </w:tc>
        <w:tc>
          <w:tcPr>
            <w:tcW w:w="754" w:type="dxa"/>
            <w:vAlign w:val="center"/>
          </w:tcPr>
          <w:p>
            <w:pPr>
              <w:pStyle w:val="27"/>
              <w:keepNext w:val="0"/>
              <w:keepLines w:val="0"/>
              <w:pageBreakBefore w:val="0"/>
              <w:widowControl w:val="0"/>
              <w:kinsoku/>
              <w:wordWrap/>
              <w:overflowPunct/>
              <w:topLinePunct w:val="0"/>
              <w:bidi w:val="0"/>
              <w:adjustRightInd w:val="0"/>
              <w:snapToGrid/>
              <w:spacing w:line="240" w:lineRule="auto"/>
              <w:ind w:left="0" w:leftChars="0"/>
              <w:textAlignment w:val="auto"/>
            </w:pPr>
          </w:p>
        </w:tc>
      </w:tr>
    </w:tbl>
    <w:p>
      <w:pPr>
        <w:pStyle w:val="129"/>
        <w:keepNext w:val="0"/>
        <w:keepLines w:val="0"/>
        <w:pageBreakBefore w:val="0"/>
        <w:widowControl w:val="0"/>
        <w:kinsoku/>
        <w:wordWrap/>
        <w:overflowPunct/>
        <w:topLinePunct w:val="0"/>
        <w:bidi w:val="0"/>
        <w:adjustRightInd w:val="0"/>
        <w:snapToGrid/>
        <w:spacing w:line="240" w:lineRule="auto"/>
        <w:ind w:firstLine="482"/>
        <w:textAlignment w:val="auto"/>
        <w:outlineLvl w:val="2"/>
        <w:rPr>
          <w:rFonts w:ascii="宋体" w:hAnsi="宋体" w:cs="宋体"/>
          <w:szCs w:val="24"/>
        </w:rPr>
      </w:pPr>
      <w:r>
        <w:rPr>
          <w:rFonts w:hint="eastAsia" w:ascii="宋体" w:hAnsi="宋体" w:cs="宋体"/>
          <w:b/>
        </w:rPr>
        <w:t>合同履约期限：</w:t>
      </w:r>
      <w:r>
        <w:rPr>
          <w:rFonts w:hint="eastAsia" w:ascii="宋体" w:hAnsi="宋体" w:cs="宋体"/>
          <w:szCs w:val="24"/>
        </w:rPr>
        <w:t>详见</w:t>
      </w:r>
      <w:r>
        <w:rPr>
          <w:rFonts w:hint="eastAsia" w:ascii="宋体" w:hAnsi="宋体" w:cs="宋体"/>
          <w:bCs/>
          <w:szCs w:val="24"/>
        </w:rPr>
        <w:t>招标文件第三部分采购需求。</w:t>
      </w:r>
    </w:p>
    <w:p>
      <w:pPr>
        <w:pStyle w:val="17"/>
        <w:spacing w:line="360" w:lineRule="auto"/>
        <w:ind w:firstLine="480"/>
        <w:rPr>
          <w:rFonts w:hAnsi="宋体" w:cs="宋体"/>
          <w:b/>
          <w:color w:val="auto"/>
          <w:sz w:val="24"/>
        </w:rPr>
      </w:pPr>
      <w:r>
        <w:rPr>
          <w:rFonts w:hint="eastAsia" w:hAnsi="宋体" w:cs="宋体"/>
          <w:b/>
          <w:color w:val="auto"/>
          <w:sz w:val="24"/>
        </w:rPr>
        <w:t>本项目接受联合体投标：</w:t>
      </w:r>
      <w:r>
        <w:rPr>
          <w:rFonts w:hAnsi="宋体" w:cs="宋体"/>
          <w:color w:val="auto"/>
          <w:kern w:val="0"/>
          <w:sz w:val="24"/>
        </w:rPr>
        <w:sym w:font="Wingdings" w:char="00FE"/>
      </w:r>
      <w:r>
        <w:rPr>
          <w:rFonts w:hAnsi="宋体" w:cs="宋体"/>
          <w:b/>
          <w:bCs/>
          <w:color w:val="auto"/>
          <w:sz w:val="24"/>
        </w:rPr>
        <w:t xml:space="preserve"> </w:t>
      </w:r>
      <w:r>
        <w:rPr>
          <w:rFonts w:hint="eastAsia" w:hAnsi="宋体" w:cs="宋体"/>
          <w:b/>
          <w:color w:val="auto"/>
          <w:sz w:val="24"/>
        </w:rPr>
        <w:t xml:space="preserve">是，    </w:t>
      </w:r>
      <w:r>
        <w:rPr>
          <w:rFonts w:hAnsi="宋体" w:cs="宋体"/>
          <w:color w:val="auto"/>
          <w:kern w:val="0"/>
          <w:sz w:val="24"/>
        </w:rPr>
        <w:sym w:font="Wingdings" w:char="00A8"/>
      </w:r>
      <w:r>
        <w:rPr>
          <w:rFonts w:hAnsi="宋体" w:cs="宋体"/>
          <w:color w:val="auto"/>
          <w:kern w:val="0"/>
          <w:sz w:val="24"/>
        </w:rPr>
        <w:t xml:space="preserve">  </w:t>
      </w:r>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sz w:val="24"/>
        </w:rPr>
      </w:pPr>
      <w:r>
        <w:rPr>
          <w:rFonts w:hint="eastAsia" w:ascii="宋体" w:hAnsi="宋体" w:cs="宋体"/>
          <w:b/>
          <w:sz w:val="24"/>
        </w:rPr>
        <w:t>二、申请人的资格要求：</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ascii="宋体" w:hAnsi="宋体" w:cs="宋体"/>
          <w:snapToGrid w:val="0"/>
          <w:kern w:val="28"/>
          <w:sz w:val="24"/>
          <w:szCs w:val="20"/>
        </w:rPr>
      </w:pPr>
      <w:r>
        <w:rPr>
          <w:rFonts w:hint="eastAsia" w:ascii="宋体" w:hAnsi="宋体" w:cs="宋体"/>
          <w:snapToGrid w:val="0"/>
          <w:kern w:val="28"/>
          <w:sz w:val="24"/>
          <w:szCs w:val="20"/>
        </w:rPr>
        <w:t>2.落实政府采购政策需满足的资格要求：</w:t>
      </w:r>
    </w:p>
    <w:p>
      <w:pPr>
        <w:spacing w:line="360" w:lineRule="auto"/>
        <w:ind w:firstLine="480" w:firstLineChars="200"/>
        <w:rPr>
          <w:rFonts w:ascii="宋体" w:hAnsi="宋体" w:cs="宋体"/>
          <w:sz w:val="24"/>
        </w:rPr>
      </w:pPr>
      <w:r>
        <w:rPr>
          <w:rFonts w:hint="eastAsia" w:ascii="宋体" w:hAnsi="宋体" w:cs="宋体"/>
          <w:kern w:val="0"/>
          <w:sz w:val="24"/>
        </w:rPr>
        <w:sym w:font="Wingdings" w:char="00FE"/>
      </w:r>
      <w:r>
        <w:rPr>
          <w:rFonts w:hint="eastAsia" w:ascii="宋体" w:hAnsi="宋体" w:cs="宋体"/>
          <w:kern w:val="0"/>
          <w:sz w:val="24"/>
        </w:rPr>
        <w:t xml:space="preserve"> </w:t>
      </w:r>
      <w:r>
        <w:rPr>
          <w:rFonts w:hint="eastAsia" w:ascii="宋体" w:hAnsi="宋体" w:cs="宋体"/>
          <w:sz w:val="24"/>
        </w:rPr>
        <w:t>无；</w:t>
      </w:r>
    </w:p>
    <w:p>
      <w:pPr>
        <w:spacing w:line="360" w:lineRule="auto"/>
        <w:ind w:firstLine="480" w:firstLineChars="200"/>
        <w:rPr>
          <w:rFonts w:ascii="宋体" w:hAnsi="宋体" w:cs="宋体"/>
          <w:sz w:val="24"/>
        </w:rPr>
      </w:pPr>
      <w:r>
        <w:rPr>
          <w:rFonts w:hint="eastAsia" w:ascii="宋体" w:hAnsi="宋体" w:cs="宋体"/>
          <w:kern w:val="0"/>
          <w:sz w:val="24"/>
        </w:rPr>
        <w:sym w:font="Wingdings" w:char="00A8"/>
      </w:r>
      <w:r>
        <w:rPr>
          <w:rFonts w:hint="eastAsia" w:ascii="宋体" w:hAnsi="宋体" w:cs="宋体"/>
          <w:kern w:val="0"/>
          <w:sz w:val="24"/>
        </w:rPr>
        <w:t xml:space="preserve"> 专</w:t>
      </w:r>
      <w:r>
        <w:rPr>
          <w:rFonts w:hint="eastAsia" w:ascii="宋体" w:hAnsi="宋体" w:cs="宋体"/>
          <w:sz w:val="24"/>
        </w:rPr>
        <w:t>门面向中小企业</w:t>
      </w:r>
    </w:p>
    <w:p>
      <w:pPr>
        <w:spacing w:line="360" w:lineRule="auto"/>
        <w:ind w:firstLine="897" w:firstLineChars="374"/>
        <w:rPr>
          <w:rFonts w:ascii="宋体" w:hAnsi="宋体" w:cs="宋体"/>
          <w:sz w:val="24"/>
        </w:rPr>
      </w:pPr>
      <w:r>
        <w:rPr>
          <w:rFonts w:hint="eastAsia" w:ascii="宋体" w:hAnsi="宋体" w:cs="宋体"/>
          <w:kern w:val="0"/>
          <w:sz w:val="24"/>
        </w:rPr>
        <w:sym w:font="Wingdings" w:char="00A8"/>
      </w:r>
      <w:r>
        <w:rPr>
          <w:rFonts w:hint="eastAsia" w:ascii="宋体" w:hAnsi="宋体" w:cs="宋体"/>
          <w:kern w:val="0"/>
          <w:sz w:val="24"/>
        </w:rPr>
        <w:t xml:space="preserve"> </w:t>
      </w:r>
      <w:r>
        <w:rPr>
          <w:rFonts w:hint="eastAsia" w:ascii="宋体" w:hAnsi="宋体" w:cs="宋体"/>
          <w:sz w:val="24"/>
        </w:rPr>
        <w:t>服务全部由符合政策要求的中小企业承接，提供中小企业声明函；</w:t>
      </w:r>
    </w:p>
    <w:p>
      <w:pPr>
        <w:spacing w:line="360" w:lineRule="auto"/>
        <w:ind w:firstLine="897" w:firstLineChars="374"/>
        <w:rPr>
          <w:rFonts w:ascii="宋体" w:hAnsi="宋体" w:cs="宋体"/>
        </w:rPr>
      </w:pPr>
      <w:r>
        <w:rPr>
          <w:rFonts w:hint="eastAsia" w:ascii="宋体" w:hAnsi="宋体" w:cs="宋体"/>
          <w:kern w:val="0"/>
          <w:sz w:val="24"/>
        </w:rPr>
        <w:sym w:font="Wingdings" w:char="00A8"/>
      </w:r>
      <w:r>
        <w:rPr>
          <w:rFonts w:hint="eastAsia" w:ascii="宋体" w:hAnsi="宋体" w:cs="宋体"/>
          <w:kern w:val="0"/>
          <w:sz w:val="24"/>
        </w:rPr>
        <w:t xml:space="preserve"> </w:t>
      </w:r>
      <w:r>
        <w:rPr>
          <w:rFonts w:hint="eastAsia" w:ascii="宋体" w:hAnsi="宋体" w:cs="宋体"/>
          <w:sz w:val="24"/>
        </w:rPr>
        <w:t>服务全部由符合政策要求的小微企业承接，提供中小企业声明函；</w:t>
      </w:r>
    </w:p>
    <w:p>
      <w:pPr>
        <w:spacing w:line="360" w:lineRule="auto"/>
        <w:ind w:firstLine="480" w:firstLineChars="200"/>
        <w:rPr>
          <w:rFonts w:ascii="宋体" w:hAnsi="宋体" w:cs="宋体"/>
          <w:sz w:val="24"/>
        </w:rPr>
      </w:pPr>
      <w:r>
        <w:rPr>
          <w:rFonts w:hint="eastAsia" w:ascii="宋体" w:hAnsi="宋体" w:cs="宋体"/>
          <w:kern w:val="0"/>
          <w:sz w:val="24"/>
        </w:rPr>
        <w:sym w:font="Wingdings" w:char="00A8"/>
      </w:r>
      <w:r>
        <w:rPr>
          <w:rFonts w:hint="eastAsia" w:ascii="宋体" w:hAnsi="宋体" w:cs="宋体"/>
          <w:kern w:val="0"/>
          <w:sz w:val="24"/>
        </w:rPr>
        <w:t xml:space="preserve"> </w:t>
      </w:r>
      <w:r>
        <w:rPr>
          <w:rFonts w:hint="eastAsia" w:ascii="宋体" w:hAnsi="宋体" w:cs="宋体"/>
          <w:sz w:val="24"/>
        </w:rPr>
        <w:t>要求以联合体形式参加，提供联合协议和中小企业声明函，联合协议中中小企业合同金额应当达到%，小微企业合同金额应当达到%;</w:t>
      </w:r>
      <w:r>
        <w:rPr>
          <w:rFonts w:hint="eastAsia" w:ascii="宋体" w:hAnsi="宋体"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kern w:val="0"/>
          <w:sz w:val="24"/>
        </w:rPr>
        <w:sym w:font="Wingdings" w:char="00A8"/>
      </w:r>
      <w:r>
        <w:rPr>
          <w:rFonts w:hint="eastAsia" w:ascii="宋体" w:hAnsi="宋体" w:cs="宋体"/>
          <w:kern w:val="0"/>
          <w:sz w:val="24"/>
        </w:rPr>
        <w:t xml:space="preserve"> </w:t>
      </w:r>
      <w:r>
        <w:rPr>
          <w:rFonts w:hint="eastAsia" w:ascii="宋体" w:hAnsi="宋体" w:cs="宋体"/>
          <w:sz w:val="24"/>
        </w:rPr>
        <w:t>要求合同分包，提供分包意向协议和中小企业声明函，分包意向协议中中小企业合同金额应当达到% ，小微企业合同金额应当达到% ;</w:t>
      </w:r>
      <w:r>
        <w:rPr>
          <w:rFonts w:hint="eastAsia" w:ascii="宋体" w:hAnsi="宋体" w:cs="宋体"/>
          <w:spacing w:val="8"/>
          <w:kern w:val="0"/>
          <w:sz w:val="24"/>
        </w:rPr>
        <w:t>如果供应商本身提供所有标的均由中小企业制造、承建或承接，视同符合了资格条件，无需再向中小企业分包，无需提供分包意向协议</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3.本项目的特定资格要求：无；</w:t>
      </w:r>
    </w:p>
    <w:p>
      <w:pPr>
        <w:snapToGrid w:val="0"/>
        <w:spacing w:line="360" w:lineRule="auto"/>
        <w:ind w:firstLine="480" w:firstLineChars="200"/>
        <w:rPr>
          <w:rFonts w:ascii="宋体" w:hAnsi="宋体" w:cs="宋体"/>
          <w:sz w:val="24"/>
        </w:rPr>
      </w:pPr>
      <w:r>
        <w:rPr>
          <w:rFonts w:hint="eastAsia" w:ascii="宋体" w:hAnsi="宋体" w:cs="宋体"/>
          <w:sz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sz w:val="24"/>
        </w:rPr>
      </w:pPr>
      <w:r>
        <w:rPr>
          <w:rFonts w:hint="eastAsia" w:ascii="宋体" w:hAnsi="宋体" w:cs="宋体"/>
          <w:b/>
          <w:sz w:val="24"/>
        </w:rPr>
        <w:t>三、获取招标文件</w:t>
      </w:r>
    </w:p>
    <w:p>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u w:val="single"/>
        </w:rPr>
        <w:t>公告发布之日起至投标截止时间</w:t>
      </w:r>
      <w:r>
        <w:rPr>
          <w:rFonts w:hint="eastAsia" w:ascii="宋体" w:hAnsi="宋体" w:cs="宋体"/>
          <w:sz w:val="24"/>
        </w:rPr>
        <w:t>（北京时间，线上获取法定节假日均可，线下获取文件法定节假日除外）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四、提交投标文件截止时间、开标时间和地点</w:t>
      </w:r>
    </w:p>
    <w:p>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2022年</w:t>
      </w:r>
      <w:r>
        <w:rPr>
          <w:rFonts w:hint="eastAsia" w:ascii="宋体" w:hAnsi="宋体" w:cs="宋体"/>
          <w:sz w:val="24"/>
          <w:u w:val="single"/>
          <w:lang w:val="en-US" w:eastAsia="zh-CN"/>
        </w:rPr>
        <w:t>09</w:t>
      </w:r>
      <w:r>
        <w:rPr>
          <w:rFonts w:hint="eastAsia" w:ascii="宋体" w:hAnsi="宋体" w:cs="宋体"/>
          <w:sz w:val="24"/>
          <w:u w:val="single"/>
        </w:rPr>
        <w:t>月</w:t>
      </w:r>
      <w:r>
        <w:rPr>
          <w:rFonts w:hint="eastAsia" w:ascii="宋体" w:hAnsi="宋体" w:cs="宋体"/>
          <w:sz w:val="24"/>
          <w:u w:val="single"/>
          <w:lang w:val="en-US" w:eastAsia="zh-CN"/>
        </w:rPr>
        <w:t>14</w:t>
      </w:r>
      <w:r>
        <w:rPr>
          <w:rFonts w:hint="eastAsia" w:ascii="宋体" w:hAnsi="宋体" w:cs="宋体"/>
          <w:sz w:val="24"/>
          <w:u w:val="single"/>
        </w:rPr>
        <w:t>日09点 00分</w:t>
      </w:r>
      <w:r>
        <w:rPr>
          <w:rFonts w:hint="eastAsia" w:ascii="宋体" w:hAnsi="宋体" w:cs="宋体"/>
          <w:bCs/>
          <w:sz w:val="24"/>
          <w:u w:val="single"/>
        </w:rPr>
        <w:t>00秒</w:t>
      </w:r>
      <w:r>
        <w:rPr>
          <w:rFonts w:hint="eastAsia" w:ascii="宋体" w:hAnsi="宋体" w:cs="宋体"/>
          <w:sz w:val="24"/>
        </w:rPr>
        <w:t>（北京时间）</w:t>
      </w:r>
    </w:p>
    <w:p>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2022年</w:t>
      </w:r>
      <w:r>
        <w:rPr>
          <w:rFonts w:hint="eastAsia" w:ascii="宋体" w:hAnsi="宋体" w:cs="宋体"/>
          <w:sz w:val="24"/>
          <w:u w:val="single"/>
          <w:lang w:val="en-US" w:eastAsia="zh-CN"/>
        </w:rPr>
        <w:t>09</w:t>
      </w:r>
      <w:r>
        <w:rPr>
          <w:rFonts w:hint="eastAsia" w:ascii="宋体" w:hAnsi="宋体" w:cs="宋体"/>
          <w:sz w:val="24"/>
          <w:u w:val="single"/>
        </w:rPr>
        <w:t>月</w:t>
      </w:r>
      <w:r>
        <w:rPr>
          <w:rFonts w:hint="eastAsia" w:ascii="宋体" w:hAnsi="宋体" w:cs="宋体"/>
          <w:sz w:val="24"/>
          <w:u w:val="single"/>
          <w:lang w:val="en-US" w:eastAsia="zh-CN"/>
        </w:rPr>
        <w:t>14</w:t>
      </w:r>
      <w:r>
        <w:rPr>
          <w:rFonts w:hint="eastAsia" w:ascii="宋体" w:hAnsi="宋体" w:cs="宋体"/>
          <w:sz w:val="24"/>
          <w:u w:val="single"/>
        </w:rPr>
        <w:t>日09点 00分</w:t>
      </w:r>
      <w:r>
        <w:rPr>
          <w:rFonts w:hint="eastAsia" w:ascii="宋体" w:hAnsi="宋体" w:cs="宋体"/>
          <w:bCs/>
          <w:sz w:val="24"/>
          <w:u w:val="single"/>
        </w:rPr>
        <w:t>00秒</w:t>
      </w:r>
    </w:p>
    <w:p>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pPr>
        <w:spacing w:line="360" w:lineRule="auto"/>
        <w:rPr>
          <w:rFonts w:ascii="宋体" w:hAnsi="宋体" w:cs="宋体"/>
          <w:sz w:val="24"/>
        </w:rPr>
      </w:pPr>
      <w:r>
        <w:rPr>
          <w:rFonts w:hint="eastAsia" w:ascii="宋体" w:hAnsi="宋体" w:cs="宋体"/>
          <w:b/>
          <w:sz w:val="24"/>
        </w:rPr>
        <w:t>五、公告期限</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rPr>
          <w:rFonts w:ascii="宋体" w:hAnsi="宋体" w:cs="宋体"/>
          <w:b/>
          <w:sz w:val="24"/>
        </w:rPr>
      </w:pPr>
      <w:r>
        <w:rPr>
          <w:rFonts w:hint="eastAsia" w:ascii="宋体" w:hAnsi="宋体" w:cs="宋体"/>
          <w:b/>
          <w:sz w:val="24"/>
        </w:rPr>
        <w:t>六、其他补充事宜</w:t>
      </w:r>
    </w:p>
    <w:p>
      <w:pPr>
        <w:spacing w:line="360" w:lineRule="auto"/>
        <w:ind w:firstLine="480" w:firstLineChars="200"/>
        <w:rPr>
          <w:rFonts w:ascii="宋体" w:hAnsi="宋体" w:cs="宋体"/>
          <w:sz w:val="24"/>
        </w:rPr>
      </w:pPr>
      <w:r>
        <w:rPr>
          <w:rFonts w:hint="eastAsia" w:ascii="宋体" w:hAnsi="宋体" w:cs="宋体"/>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ascii="宋体" w:hAnsi="宋体" w:cs="宋体"/>
          <w:sz w:val="24"/>
        </w:rPr>
      </w:pPr>
      <w:r>
        <w:rPr>
          <w:rFonts w:hint="eastAsia" w:ascii="宋体" w:hAnsi="宋体" w:cs="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spacing w:line="360" w:lineRule="auto"/>
        <w:rPr>
          <w:rFonts w:ascii="宋体" w:hAnsi="宋体" w:cs="宋体"/>
          <w:b/>
          <w:sz w:val="24"/>
        </w:rPr>
      </w:pPr>
      <w:r>
        <w:rPr>
          <w:rFonts w:hint="eastAsia" w:ascii="宋体" w:hAnsi="宋体" w:cs="宋体"/>
          <w:b/>
          <w:sz w:val="24"/>
        </w:rPr>
        <w:t>七、对本次采购提出询问、质疑、投诉，请按以下方式联系</w:t>
      </w:r>
    </w:p>
    <w:p>
      <w:pPr>
        <w:spacing w:line="360" w:lineRule="auto"/>
        <w:ind w:firstLine="480" w:firstLineChars="200"/>
        <w:rPr>
          <w:rFonts w:ascii="宋体" w:hAnsi="宋体" w:cs="宋体"/>
          <w:sz w:val="24"/>
        </w:rPr>
      </w:pPr>
      <w:r>
        <w:rPr>
          <w:rFonts w:hint="eastAsia" w:ascii="宋体" w:hAnsi="宋体" w:cs="宋体"/>
          <w:sz w:val="24"/>
        </w:rPr>
        <w:t>1.采购人信息</w:t>
      </w:r>
    </w:p>
    <w:p>
      <w:pPr>
        <w:spacing w:line="360" w:lineRule="auto"/>
        <w:ind w:firstLine="480" w:firstLineChars="200"/>
        <w:rPr>
          <w:rFonts w:ascii="宋体" w:hAnsi="宋体" w:cs="宋体"/>
          <w:sz w:val="24"/>
        </w:rPr>
      </w:pPr>
      <w:r>
        <w:rPr>
          <w:rFonts w:hint="eastAsia" w:ascii="宋体" w:hAnsi="宋体" w:cs="宋体"/>
          <w:sz w:val="24"/>
        </w:rPr>
        <w:t>名    称：浙江省生态环境监测中心</w:t>
      </w:r>
    </w:p>
    <w:p>
      <w:pPr>
        <w:spacing w:line="360" w:lineRule="auto"/>
        <w:ind w:firstLine="480" w:firstLineChars="200"/>
        <w:rPr>
          <w:rFonts w:ascii="宋体" w:hAnsi="宋体" w:cs="宋体"/>
          <w:sz w:val="24"/>
        </w:rPr>
      </w:pPr>
      <w:r>
        <w:rPr>
          <w:rFonts w:hint="eastAsia" w:ascii="宋体" w:hAnsi="宋体" w:cs="宋体"/>
          <w:sz w:val="24"/>
        </w:rPr>
        <w:t>地    址：杭州市西湖区学院路117号</w:t>
      </w:r>
    </w:p>
    <w:p>
      <w:pPr>
        <w:pStyle w:val="59"/>
        <w:spacing w:before="75" w:beforeAutospacing="0" w:after="75" w:afterAutospacing="0" w:line="360" w:lineRule="auto"/>
        <w:ind w:firstLine="480" w:firstLineChars="200"/>
        <w:rPr>
          <w:rStyle w:val="961"/>
          <w:rFonts w:cs="宋体"/>
        </w:rPr>
      </w:pPr>
      <w:r>
        <w:rPr>
          <w:rFonts w:hint="eastAsia" w:cs="宋体"/>
        </w:rPr>
        <w:t>项目联系人（询问）：陈老师</w:t>
      </w:r>
    </w:p>
    <w:p>
      <w:pPr>
        <w:pStyle w:val="59"/>
        <w:spacing w:before="75" w:beforeAutospacing="0" w:after="75" w:afterAutospacing="0" w:line="360" w:lineRule="auto"/>
        <w:ind w:firstLine="480" w:firstLineChars="200"/>
        <w:rPr>
          <w:rStyle w:val="961"/>
          <w:rFonts w:cs="宋体"/>
        </w:rPr>
      </w:pPr>
      <w:r>
        <w:rPr>
          <w:rFonts w:hint="eastAsia" w:cs="宋体"/>
        </w:rPr>
        <w:t>项目联系方式（询问）：</w:t>
      </w:r>
      <w:r>
        <w:rPr>
          <w:rStyle w:val="961"/>
          <w:rFonts w:hint="eastAsia" w:cs="宋体"/>
        </w:rPr>
        <w:t>0571-89921950</w:t>
      </w:r>
    </w:p>
    <w:p>
      <w:pPr>
        <w:pStyle w:val="59"/>
        <w:spacing w:before="75" w:beforeAutospacing="0" w:after="75" w:afterAutospacing="0" w:line="360" w:lineRule="auto"/>
        <w:ind w:firstLine="480" w:firstLineChars="200"/>
        <w:rPr>
          <w:rStyle w:val="961"/>
          <w:rFonts w:cs="宋体"/>
        </w:rPr>
      </w:pPr>
      <w:r>
        <w:rPr>
          <w:rFonts w:hint="eastAsia" w:cs="宋体"/>
        </w:rPr>
        <w:t>质疑联系人：郭老师</w:t>
      </w:r>
    </w:p>
    <w:p>
      <w:pPr>
        <w:pStyle w:val="59"/>
        <w:spacing w:before="75" w:beforeAutospacing="0" w:after="75" w:afterAutospacing="0" w:line="360" w:lineRule="auto"/>
        <w:ind w:firstLine="480" w:firstLineChars="200"/>
        <w:rPr>
          <w:rFonts w:cs="宋体"/>
        </w:rPr>
      </w:pPr>
      <w:r>
        <w:rPr>
          <w:rFonts w:hint="eastAsia" w:cs="宋体"/>
        </w:rPr>
        <w:t>质疑联系方式：0571-89975340</w:t>
      </w:r>
    </w:p>
    <w:p>
      <w:pPr>
        <w:spacing w:line="360" w:lineRule="auto"/>
        <w:ind w:firstLine="480" w:firstLineChars="200"/>
        <w:rPr>
          <w:rFonts w:ascii="宋体" w:hAnsi="宋体" w:cs="宋体"/>
          <w:sz w:val="24"/>
        </w:rPr>
      </w:pPr>
      <w:r>
        <w:rPr>
          <w:rFonts w:hint="eastAsia" w:ascii="宋体" w:hAnsi="宋体" w:cs="宋体"/>
          <w:sz w:val="24"/>
        </w:rPr>
        <w:t>2.采购代理机构信息</w:t>
      </w:r>
    </w:p>
    <w:p>
      <w:pPr>
        <w:spacing w:line="360" w:lineRule="auto"/>
        <w:ind w:firstLine="480"/>
        <w:rPr>
          <w:rFonts w:ascii="宋体" w:hAnsi="宋体" w:cs="宋体"/>
          <w:sz w:val="24"/>
        </w:rPr>
      </w:pPr>
      <w:r>
        <w:rPr>
          <w:rFonts w:hint="eastAsia" w:ascii="宋体" w:hAnsi="宋体" w:cs="宋体"/>
          <w:sz w:val="24"/>
        </w:rPr>
        <w:t>名称：浙江信镧建设工程咨询有限公司</w:t>
      </w:r>
    </w:p>
    <w:p>
      <w:pPr>
        <w:pStyle w:val="59"/>
        <w:spacing w:before="75" w:beforeAutospacing="0" w:after="75" w:afterAutospacing="0" w:line="360" w:lineRule="auto"/>
        <w:ind w:firstLine="480" w:firstLineChars="200"/>
        <w:rPr>
          <w:rFonts w:cs="宋体"/>
        </w:rPr>
      </w:pPr>
      <w:r>
        <w:rPr>
          <w:rFonts w:hint="eastAsia" w:cs="宋体"/>
        </w:rPr>
        <w:t>地    址：</w:t>
      </w:r>
      <w:r>
        <w:rPr>
          <w:rStyle w:val="961"/>
          <w:rFonts w:hint="eastAsia" w:cs="宋体"/>
        </w:rPr>
        <w:t>浙江省杭州市西湖区文二路391号西湖国际科技大厦B2楼507室</w:t>
      </w:r>
    </w:p>
    <w:p>
      <w:pPr>
        <w:pStyle w:val="59"/>
        <w:spacing w:before="75" w:beforeAutospacing="0" w:after="75" w:afterAutospacing="0" w:line="360" w:lineRule="auto"/>
        <w:ind w:firstLine="480" w:firstLineChars="200"/>
        <w:rPr>
          <w:rFonts w:cs="宋体"/>
        </w:rPr>
      </w:pPr>
      <w:r>
        <w:rPr>
          <w:rFonts w:hint="eastAsia" w:cs="宋体"/>
        </w:rPr>
        <w:t>传真：</w:t>
      </w:r>
      <w:r>
        <w:rPr>
          <w:rStyle w:val="961"/>
          <w:rFonts w:hint="eastAsia" w:cs="宋体"/>
        </w:rPr>
        <w:t>0571-85024997</w:t>
      </w:r>
    </w:p>
    <w:p>
      <w:pPr>
        <w:pStyle w:val="59"/>
        <w:spacing w:before="75" w:beforeAutospacing="0" w:after="75" w:afterAutospacing="0" w:line="360" w:lineRule="auto"/>
        <w:ind w:firstLine="480" w:firstLineChars="200"/>
        <w:rPr>
          <w:rFonts w:cs="宋体"/>
        </w:rPr>
      </w:pPr>
      <w:r>
        <w:rPr>
          <w:rFonts w:hint="eastAsia" w:cs="宋体"/>
        </w:rPr>
        <w:t>项目联系人（询问）：曹威</w:t>
      </w:r>
    </w:p>
    <w:p>
      <w:pPr>
        <w:pStyle w:val="59"/>
        <w:spacing w:before="75" w:beforeAutospacing="0" w:after="75" w:afterAutospacing="0" w:line="360" w:lineRule="auto"/>
        <w:ind w:firstLine="480" w:firstLineChars="200"/>
        <w:rPr>
          <w:rFonts w:cs="宋体"/>
        </w:rPr>
      </w:pPr>
      <w:r>
        <w:rPr>
          <w:rFonts w:hint="eastAsia" w:cs="宋体"/>
        </w:rPr>
        <w:t>项目联系方式（询问）：</w:t>
      </w:r>
      <w:r>
        <w:rPr>
          <w:rStyle w:val="961"/>
          <w:rFonts w:hint="eastAsia" w:cs="宋体"/>
        </w:rPr>
        <w:t>0571-87967630</w:t>
      </w:r>
    </w:p>
    <w:p>
      <w:pPr>
        <w:pStyle w:val="59"/>
        <w:spacing w:before="75" w:beforeAutospacing="0" w:after="75" w:afterAutospacing="0" w:line="360" w:lineRule="auto"/>
        <w:ind w:firstLine="480" w:firstLineChars="200"/>
        <w:rPr>
          <w:rFonts w:cs="宋体"/>
        </w:rPr>
      </w:pPr>
      <w:r>
        <w:rPr>
          <w:rFonts w:hint="eastAsia" w:cs="宋体"/>
        </w:rPr>
        <w:t>质疑联系人：</w:t>
      </w:r>
      <w:r>
        <w:rPr>
          <w:rStyle w:val="961"/>
          <w:rFonts w:hint="eastAsia" w:cs="宋体"/>
        </w:rPr>
        <w:t>葛梅兰</w:t>
      </w:r>
    </w:p>
    <w:p>
      <w:pPr>
        <w:pStyle w:val="59"/>
        <w:spacing w:before="75" w:beforeAutospacing="0" w:after="75" w:afterAutospacing="0" w:line="360" w:lineRule="auto"/>
        <w:ind w:firstLine="480" w:firstLineChars="200"/>
        <w:rPr>
          <w:rStyle w:val="961"/>
          <w:rFonts w:cs="宋体"/>
        </w:rPr>
      </w:pPr>
      <w:r>
        <w:rPr>
          <w:rFonts w:hint="eastAsia" w:cs="宋体"/>
        </w:rPr>
        <w:t>质疑联系方式：</w:t>
      </w:r>
      <w:r>
        <w:rPr>
          <w:rStyle w:val="961"/>
          <w:rFonts w:hint="eastAsia" w:cs="宋体"/>
        </w:rPr>
        <w:t>0571-87967630</w:t>
      </w:r>
    </w:p>
    <w:p>
      <w:pPr>
        <w:pStyle w:val="26"/>
        <w:ind w:firstLine="482" w:firstLineChars="200"/>
        <w:rPr>
          <w:rFonts w:hAnsi="宋体" w:cs="宋体"/>
          <w:szCs w:val="24"/>
        </w:rPr>
      </w:pPr>
      <w:r>
        <w:rPr>
          <w:rFonts w:hint="eastAsia" w:hAnsi="宋体" w:cs="宋体"/>
          <w:b/>
          <w:bCs/>
          <w:szCs w:val="24"/>
        </w:rPr>
        <w:t>投标、中标通知书、合同签订联系人：</w:t>
      </w:r>
      <w:r>
        <w:rPr>
          <w:rFonts w:hint="eastAsia" w:hAnsi="宋体" w:cs="宋体"/>
          <w:szCs w:val="24"/>
        </w:rPr>
        <w:t>胡校芳</w:t>
      </w:r>
    </w:p>
    <w:p>
      <w:pPr>
        <w:pStyle w:val="59"/>
        <w:spacing w:before="75" w:beforeAutospacing="0" w:after="75" w:afterAutospacing="0" w:line="360" w:lineRule="auto"/>
        <w:ind w:firstLine="480" w:firstLineChars="200"/>
        <w:rPr>
          <w:rFonts w:cs="宋体"/>
        </w:rPr>
      </w:pPr>
      <w:r>
        <w:rPr>
          <w:rFonts w:hint="eastAsia" w:cs="宋体"/>
        </w:rPr>
        <w:t>联系电话：0571-87967630</w:t>
      </w:r>
    </w:p>
    <w:p>
      <w:pPr>
        <w:pStyle w:val="59"/>
        <w:spacing w:before="75" w:beforeAutospacing="0" w:after="75" w:afterAutospacing="0" w:line="360" w:lineRule="auto"/>
        <w:ind w:firstLine="482" w:firstLineChars="200"/>
        <w:rPr>
          <w:rFonts w:cs="宋体"/>
          <w:bCs/>
        </w:rPr>
      </w:pPr>
      <w:r>
        <w:rPr>
          <w:rFonts w:hint="eastAsia" w:cs="宋体"/>
          <w:b/>
          <w:bCs/>
        </w:rPr>
        <w:t>财务咨询（采购文件费、发票）联系人：</w:t>
      </w:r>
      <w:r>
        <w:rPr>
          <w:rFonts w:hint="eastAsia" w:cs="宋体"/>
        </w:rPr>
        <w:t>田</w:t>
      </w:r>
      <w:r>
        <w:rPr>
          <w:rFonts w:hint="eastAsia" w:cs="宋体"/>
          <w:bCs/>
        </w:rPr>
        <w:t>会计</w:t>
      </w:r>
    </w:p>
    <w:p>
      <w:pPr>
        <w:pStyle w:val="59"/>
        <w:spacing w:before="75" w:beforeAutospacing="0" w:after="75" w:afterAutospacing="0" w:line="360" w:lineRule="auto"/>
        <w:ind w:firstLine="480" w:firstLineChars="200"/>
        <w:rPr>
          <w:rFonts w:cs="宋体"/>
        </w:rPr>
      </w:pPr>
      <w:r>
        <w:rPr>
          <w:rFonts w:hint="eastAsia" w:cs="宋体"/>
        </w:rPr>
        <w:t>联系电话：18905813512</w:t>
      </w:r>
    </w:p>
    <w:p>
      <w:pPr>
        <w:pStyle w:val="59"/>
        <w:spacing w:before="75" w:beforeAutospacing="0" w:after="75" w:afterAutospacing="0" w:line="360" w:lineRule="auto"/>
        <w:ind w:firstLine="480" w:firstLineChars="200"/>
        <w:rPr>
          <w:rFonts w:cs="宋体"/>
        </w:rPr>
      </w:pPr>
      <w:r>
        <w:rPr>
          <w:rFonts w:hint="eastAsia" w:cs="宋体"/>
        </w:rPr>
        <w:t>3.同级政府采购监督管理部门</w:t>
      </w:r>
    </w:p>
    <w:p>
      <w:pPr>
        <w:pStyle w:val="59"/>
        <w:spacing w:before="75" w:beforeAutospacing="0" w:after="75" w:afterAutospacing="0" w:line="360" w:lineRule="auto"/>
        <w:ind w:firstLine="480" w:firstLineChars="200"/>
        <w:rPr>
          <w:rFonts w:cs="宋体"/>
        </w:rPr>
      </w:pPr>
      <w:r>
        <w:rPr>
          <w:rFonts w:hint="eastAsia" w:cs="宋体"/>
        </w:rPr>
        <w:t>名    称：</w:t>
      </w:r>
      <w:r>
        <w:rPr>
          <w:rStyle w:val="961"/>
          <w:rFonts w:hint="eastAsia" w:cs="宋体"/>
        </w:rPr>
        <w:t>浙江省财政厅政府采购监管处</w:t>
      </w:r>
    </w:p>
    <w:p>
      <w:pPr>
        <w:pStyle w:val="59"/>
        <w:spacing w:before="75" w:beforeAutospacing="0" w:after="75" w:afterAutospacing="0" w:line="360" w:lineRule="auto"/>
        <w:ind w:firstLine="480" w:firstLineChars="200"/>
        <w:rPr>
          <w:rFonts w:cs="宋体"/>
        </w:rPr>
      </w:pPr>
      <w:r>
        <w:rPr>
          <w:rFonts w:hint="eastAsia" w:cs="宋体"/>
        </w:rPr>
        <w:t>地    址：</w:t>
      </w:r>
      <w:r>
        <w:rPr>
          <w:rStyle w:val="961"/>
          <w:rFonts w:hint="eastAsia" w:cs="宋体"/>
        </w:rPr>
        <w:t>杭州市环城西路37号</w:t>
      </w:r>
    </w:p>
    <w:p>
      <w:pPr>
        <w:pStyle w:val="59"/>
        <w:spacing w:before="75" w:beforeAutospacing="0" w:after="75" w:afterAutospacing="0" w:line="360" w:lineRule="auto"/>
        <w:ind w:firstLine="480" w:firstLineChars="200"/>
        <w:rPr>
          <w:rFonts w:cs="宋体"/>
        </w:rPr>
      </w:pPr>
      <w:r>
        <w:rPr>
          <w:rFonts w:hint="eastAsia" w:cs="宋体"/>
        </w:rPr>
        <w:t>联系人：</w:t>
      </w:r>
      <w:r>
        <w:rPr>
          <w:rStyle w:val="961"/>
          <w:rFonts w:hint="eastAsia" w:cs="宋体"/>
        </w:rPr>
        <w:t>倪文良</w:t>
      </w:r>
    </w:p>
    <w:p>
      <w:pPr>
        <w:spacing w:line="360" w:lineRule="auto"/>
        <w:ind w:firstLine="480" w:firstLineChars="200"/>
        <w:rPr>
          <w:rFonts w:ascii="宋体" w:hAnsi="宋体" w:cs="宋体"/>
          <w:sz w:val="24"/>
        </w:rPr>
      </w:pPr>
      <w:r>
        <w:rPr>
          <w:rFonts w:hint="eastAsia" w:ascii="宋体" w:hAnsi="宋体" w:cs="宋体"/>
          <w:sz w:val="24"/>
        </w:rPr>
        <w:t>监督投诉电话：</w:t>
      </w:r>
      <w:r>
        <w:rPr>
          <w:rStyle w:val="961"/>
          <w:rFonts w:hint="eastAsia" w:ascii="宋体" w:hAnsi="宋体" w:cs="宋体"/>
          <w:sz w:val="24"/>
        </w:rPr>
        <w:t>0571-87057615</w:t>
      </w:r>
    </w:p>
    <w:p>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br w:type="page"/>
      </w:r>
      <w:bookmarkStart w:id="12" w:name="_Toc6635"/>
      <w:r>
        <w:rPr>
          <w:rFonts w:hint="eastAsia" w:ascii="宋体" w:hAnsi="宋体" w:cs="宋体"/>
          <w:b/>
          <w:sz w:val="36"/>
          <w:szCs w:val="20"/>
        </w:rPr>
        <w:t>第二部分</w:t>
      </w:r>
      <w:bookmarkEnd w:id="9"/>
      <w:r>
        <w:rPr>
          <w:rFonts w:hint="eastAsia" w:ascii="宋体" w:hAnsi="宋体" w:cs="宋体"/>
          <w:b/>
          <w:sz w:val="36"/>
          <w:szCs w:val="20"/>
        </w:rPr>
        <w:t xml:space="preserve"> 投标人须知</w:t>
      </w:r>
      <w:bookmarkEnd w:id="10"/>
      <w:bookmarkEnd w:id="12"/>
    </w:p>
    <w:p>
      <w:pPr>
        <w:snapToGrid w:val="0"/>
        <w:spacing w:line="360" w:lineRule="auto"/>
        <w:jc w:val="center"/>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144"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sz w:val="24"/>
              </w:rPr>
              <w:t>开标一览表（报价表）是报价的唯一载体</w:t>
            </w:r>
            <w:r>
              <w:rPr>
                <w:rFonts w:hint="eastAsia" w:ascii="宋体" w:hAnsi="宋体" w:cs="宋体"/>
                <w:kern w:val="0"/>
                <w:sz w:val="24"/>
                <w:lang w:val="zh-CN"/>
              </w:rPr>
              <w:t>。投标文件中价格全部采用人民币报价。招标文件未列明，而投标人认为必需的费用也需列入报价。</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ascii="宋体" w:hAnsi="宋体" w:cs="宋体"/>
                <w:kern w:val="0"/>
                <w:sz w:val="24"/>
              </w:rPr>
              <w:sym w:font="Wingdings" w:char="00FE"/>
            </w:r>
            <w:r>
              <w:rPr>
                <w:rFonts w:ascii="宋体" w:hAnsi="宋体" w:cs="宋体"/>
                <w:kern w:val="0"/>
                <w:sz w:val="24"/>
              </w:rPr>
              <w:t xml:space="preserve"> </w:t>
            </w:r>
            <w:r>
              <w:rPr>
                <w:rFonts w:hint="eastAsia" w:ascii="宋体" w:hAnsi="宋体" w:cs="宋体"/>
                <w:kern w:val="0"/>
                <w:sz w:val="24"/>
              </w:rPr>
              <w:t>A</w:t>
            </w:r>
            <w:r>
              <w:rPr>
                <w:rFonts w:hint="eastAsia" w:ascii="宋体" w:hAnsi="宋体" w:cs="宋体"/>
                <w:sz w:val="24"/>
              </w:rPr>
              <w:t>同意将非主体、非关键性的工作分包。</w:t>
            </w:r>
            <w:r>
              <w:rPr>
                <w:rFonts w:ascii="宋体" w:hAnsi="宋体" w:cs="宋体"/>
                <w:kern w:val="0"/>
                <w:sz w:val="24"/>
              </w:rPr>
              <w:sym w:font="Wingdings" w:char="00A8"/>
            </w:r>
            <w:r>
              <w:rPr>
                <w:rFonts w:ascii="宋体" w:hAnsi="宋体" w:cs="宋体"/>
                <w:kern w:val="0"/>
                <w:sz w:val="24"/>
              </w:rPr>
              <w:t xml:space="preserve"> </w:t>
            </w:r>
            <w:r>
              <w:rPr>
                <w:rFonts w:hint="eastAsia" w:ascii="宋体" w:hAnsi="宋体" w:cs="宋体"/>
                <w:kern w:val="0"/>
                <w:sz w:val="24"/>
              </w:rPr>
              <w:t>B</w:t>
            </w:r>
            <w:r>
              <w:rPr>
                <w:rFonts w:hint="eastAsia" w:ascii="宋体" w:hAnsi="宋体" w:cs="宋体"/>
                <w:sz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3</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（1）资格证明文件：见招标文件第二部分11.1。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kern w:val="0"/>
                <w:sz w:val="24"/>
              </w:rPr>
              <w:t>C</w:t>
            </w:r>
            <w:r>
              <w:rPr>
                <w:rFonts w:hint="eastAsia" w:ascii="宋体" w:hAnsi="宋体" w:cs="宋体"/>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Cs/>
                <w:sz w:val="24"/>
              </w:rPr>
            </w:pPr>
            <w:r>
              <w:rPr>
                <w:rFonts w:hint="eastAsia" w:ascii="仿宋_GB2312" w:hAnsi="仿宋" w:eastAsia="仿宋_GB2312" w:cs="仿宋_GB2312"/>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26"/>
              <w:rPr>
                <w:rFonts w:hAnsi="宋体" w:cs="宋体"/>
                <w:szCs w:val="24"/>
              </w:rPr>
            </w:pPr>
            <w:r>
              <w:rPr>
                <w:rFonts w:hint="eastAsia" w:hAnsi="宋体" w:cs="宋体"/>
              </w:rPr>
              <w:t></w:t>
            </w:r>
            <w:r>
              <w:rPr>
                <w:rFonts w:hint="eastAsia" w:hAnsi="宋体" w:cs="宋体"/>
                <w:kern w:val="0"/>
                <w:szCs w:val="24"/>
              </w:rPr>
              <w:sym w:font="Wingdings" w:char="00FE"/>
            </w:r>
            <w:r>
              <w:rPr>
                <w:rFonts w:hint="eastAsia" w:hAnsi="宋体" w:cs="宋体"/>
                <w:kern w:val="0"/>
                <w:szCs w:val="24"/>
              </w:rPr>
              <w:t>A</w:t>
            </w:r>
            <w:r>
              <w:rPr>
                <w:rFonts w:hint="eastAsia" w:hAnsi="宋体" w:cs="宋体"/>
                <w:szCs w:val="24"/>
              </w:rPr>
              <w:t>不组织。</w:t>
            </w:r>
          </w:p>
          <w:p>
            <w:pPr>
              <w:pStyle w:val="26"/>
              <w:ind w:firstLine="720" w:firstLineChars="300"/>
              <w:rPr>
                <w:rFonts w:hAnsi="宋体" w:cs="宋体"/>
                <w:kern w:val="0"/>
                <w:szCs w:val="24"/>
                <w:lang w:val="en-US"/>
              </w:rPr>
            </w:pPr>
            <w:r>
              <w:rPr>
                <w:rFonts w:hint="eastAsia" w:hAnsi="宋体" w:cs="宋体"/>
                <w:kern w:val="0"/>
                <w:szCs w:val="24"/>
              </w:rPr>
              <w:t>☐B组织，</w:t>
            </w:r>
            <w:r>
              <w:rPr>
                <w:rFonts w:hint="eastAsia" w:hAnsi="宋体" w:cs="宋体"/>
                <w:kern w:val="0"/>
                <w:szCs w:val="24"/>
                <w:lang w:val="en-US"/>
              </w:rPr>
              <w:t xml:space="preserve">本项目要求提供演示，演示由供应商事先提供10分钟视频演示，以介质存储（U盘）并且密封包装（外包装上要求标注项目名称、项目编号、演示视频字样、供应商名称并加盖公章）后在响应文件提交截止时间前递交一份（可邮寄，发生泄露、遗失、损坏或延期送达等情况的，由供应商自行负责），邮寄地址：浙江省文二路391号西湖国际科技大厦B2楼507室 林佩姬收 0571-87967630）。逾期送达或未密封将被拒收。 </w:t>
            </w:r>
          </w:p>
          <w:p>
            <w:pPr>
              <w:snapToGrid w:val="0"/>
              <w:spacing w:line="360" w:lineRule="auto"/>
              <w:rPr>
                <w:rFonts w:ascii="宋体" w:hAnsi="宋体" w:cs="宋体"/>
              </w:rPr>
            </w:pPr>
            <w:r>
              <w:rPr>
                <w:rFonts w:hint="eastAsia" w:ascii="宋体" w:hAnsi="宋体" w:cs="宋体"/>
                <w:kern w:val="0"/>
                <w:sz w:val="24"/>
              </w:rPr>
              <w:t>演示内容详见技术评分要求。</w:t>
            </w:r>
          </w:p>
          <w:p>
            <w:pPr>
              <w:pStyle w:val="26"/>
              <w:ind w:firstLine="720" w:firstLineChars="300"/>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ind w:firstLine="240" w:firstLineChars="100"/>
              <w:rPr>
                <w:rFonts w:ascii="宋体" w:hAnsi="宋体" w:cs="宋体"/>
                <w:sz w:val="24"/>
              </w:rPr>
            </w:pPr>
            <w:r>
              <w:rPr>
                <w:rFonts w:hint="eastAsia" w:ascii="宋体" w:hAnsi="宋体" w:cs="宋体"/>
                <w:sz w:val="24"/>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rPr>
            </w:pPr>
            <w:r>
              <w:rPr>
                <w:rFonts w:hint="eastAsia" w:ascii="宋体" w:hAnsi="宋体" w:cs="宋体"/>
                <w:kern w:val="0"/>
                <w:sz w:val="24"/>
              </w:rPr>
              <w:t>标的：</w:t>
            </w:r>
            <w:r>
              <w:rPr>
                <w:rFonts w:hint="eastAsia" w:ascii="宋体" w:hAnsi="宋体" w:cs="宋体"/>
                <w:kern w:val="0"/>
                <w:sz w:val="24"/>
                <w:u w:val="single"/>
                <w:lang w:eastAsia="zh-CN"/>
              </w:rPr>
              <w:t>2022年国家环境监测网区域环境空气监测站运行维护项目</w:t>
            </w:r>
            <w:r>
              <w:rPr>
                <w:rFonts w:hint="eastAsia" w:ascii="宋体" w:hAnsi="宋体" w:cs="宋体"/>
                <w:kern w:val="0"/>
                <w:sz w:val="24"/>
              </w:rPr>
              <w:t>，属于</w:t>
            </w:r>
            <w:r>
              <w:rPr>
                <w:rFonts w:hint="eastAsia" w:ascii="宋体" w:hAnsi="宋体" w:cs="宋体"/>
                <w:sz w:val="24"/>
                <w:u w:val="single"/>
              </w:rPr>
              <w:t>其他未列明</w:t>
            </w:r>
            <w:r>
              <w:rPr>
                <w:rFonts w:hint="eastAsia" w:ascii="宋体" w:hAnsi="宋体" w:cs="宋体"/>
                <w:kern w:val="0"/>
                <w:sz w:val="24"/>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26"/>
              <w:ind w:firstLine="480" w:firstLineChars="200"/>
              <w:rPr>
                <w:rFonts w:hAnsi="宋体" w:cs="宋体"/>
                <w:kern w:val="28"/>
              </w:rPr>
            </w:pPr>
            <w:r>
              <w:rPr>
                <w:rFonts w:hint="eastAsia" w:hAnsi="宋体" w:cs="宋体"/>
                <w:kern w:val="28"/>
                <w:szCs w:val="24"/>
              </w:rPr>
              <w:t>备份投标文件送达地点：</w:t>
            </w:r>
            <w:r>
              <w:rPr>
                <w:rStyle w:val="961"/>
                <w:rFonts w:hint="eastAsia" w:hAnsi="宋体" w:cs="宋体"/>
                <w:szCs w:val="24"/>
                <w:u w:val="single"/>
              </w:rPr>
              <w:t>浙江省杭州市西湖区文二路391号西湖国际科技大厦B2楼507室</w:t>
            </w:r>
            <w:r>
              <w:rPr>
                <w:rFonts w:hint="eastAsia" w:hAnsi="宋体" w:cs="宋体"/>
                <w:kern w:val="28"/>
                <w:szCs w:val="24"/>
              </w:rPr>
              <w:t>；备份投标文件签收人员</w:t>
            </w:r>
            <w:r>
              <w:rPr>
                <w:rFonts w:hint="eastAsia" w:hAnsi="宋体" w:cs="宋体"/>
                <w:szCs w:val="24"/>
                <w:u w:val="single"/>
              </w:rPr>
              <w:t>胡校芳</w:t>
            </w:r>
            <w:r>
              <w:rPr>
                <w:rFonts w:hint="eastAsia" w:hAnsi="宋体" w:cs="宋体"/>
                <w:szCs w:val="24"/>
              </w:rPr>
              <w:t>；联系电话：</w:t>
            </w:r>
            <w:r>
              <w:rPr>
                <w:rFonts w:hint="eastAsia" w:hAnsi="宋体" w:cs="宋体"/>
                <w:szCs w:val="24"/>
                <w:u w:val="single"/>
              </w:rPr>
              <w:t>0571-87967630</w:t>
            </w:r>
            <w:r>
              <w:rPr>
                <w:rFonts w:hint="eastAsia" w:hAnsi="宋体" w:cs="宋体"/>
                <w:szCs w:val="24"/>
              </w:rPr>
              <w:t>。</w:t>
            </w:r>
            <w:r>
              <w:rPr>
                <w:rFonts w:hint="eastAsia" w:hAnsi="宋体" w:cs="宋体"/>
                <w:b/>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rPr>
            </w:pPr>
          </w:p>
          <w:p>
            <w:pPr>
              <w:pStyle w:val="26"/>
              <w:rPr>
                <w:rFonts w:hAnsi="宋体" w:cs="宋体"/>
                <w:lang w:val="en-US"/>
              </w:rPr>
            </w:pPr>
          </w:p>
          <w:p>
            <w:pPr>
              <w:pStyle w:val="27"/>
              <w:rPr>
                <w:rFonts w:ascii="宋体" w:hAnsi="宋体" w:cs="宋体"/>
              </w:rPr>
            </w:pPr>
          </w:p>
          <w:p>
            <w:pPr>
              <w:rPr>
                <w:rFonts w:ascii="宋体" w:hAnsi="宋体" w:cs="宋体"/>
              </w:rPr>
            </w:pPr>
          </w:p>
          <w:p>
            <w:pPr>
              <w:pStyle w:val="26"/>
              <w:rPr>
                <w:rFonts w:hAnsi="宋体" w:cs="宋体"/>
                <w:lang w:val="en-US"/>
              </w:rPr>
            </w:pPr>
          </w:p>
          <w:p>
            <w:pPr>
              <w:pStyle w:val="27"/>
              <w:ind w:left="0" w:leftChars="0" w:firstLine="240" w:firstLineChars="100"/>
              <w:rPr>
                <w:rFonts w:ascii="宋体" w:hAnsi="宋体" w:cs="宋体"/>
              </w:rPr>
            </w:pPr>
            <w:r>
              <w:rPr>
                <w:rFonts w:hint="eastAsia" w:ascii="宋体" w:hAnsi="宋体" w:cs="宋体"/>
                <w:sz w:val="24"/>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pacing w:before="24" w:beforeLines="10" w:line="340" w:lineRule="atLeast"/>
              <w:jc w:val="left"/>
              <w:rPr>
                <w:rFonts w:ascii="宋体" w:hAnsi="宋体" w:cs="宋体"/>
                <w:kern w:val="0"/>
                <w:sz w:val="24"/>
              </w:rPr>
            </w:pPr>
            <w:r>
              <w:rPr>
                <w:rFonts w:hint="eastAsia" w:ascii="宋体" w:hAnsi="宋体" w:cs="宋体"/>
                <w:b/>
                <w:bCs/>
                <w:kern w:val="0"/>
                <w:sz w:val="24"/>
              </w:rPr>
              <w:t>招标代理服务费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20"/>
              <w:rPr>
                <w:rFonts w:ascii="宋体" w:hAnsi="宋体" w:cs="宋体"/>
                <w:kern w:val="0"/>
                <w:sz w:val="24"/>
              </w:rPr>
            </w:pPr>
            <w:r>
              <w:rPr>
                <w:rFonts w:hint="eastAsia" w:ascii="宋体" w:hAnsi="宋体" w:cs="宋体"/>
                <w:kern w:val="0"/>
                <w:sz w:val="24"/>
              </w:rPr>
              <w:t>本项目的采购代理服务费为：</w:t>
            </w:r>
          </w:p>
          <w:p>
            <w:pPr>
              <w:spacing w:line="360" w:lineRule="auto"/>
              <w:ind w:firstLine="420"/>
              <w:rPr>
                <w:rFonts w:ascii="宋体" w:hAnsi="宋体" w:cs="宋体"/>
                <w:kern w:val="0"/>
                <w:sz w:val="24"/>
              </w:rPr>
            </w:pPr>
            <w:r>
              <w:rPr>
                <w:rFonts w:hint="eastAsia" w:ascii="宋体" w:hAnsi="宋体" w:cs="宋体"/>
                <w:kern w:val="0"/>
                <w:sz w:val="24"/>
              </w:rPr>
              <w:t>（1）采购代理服务收费采用差额定率累进计费方式，以成交金额为计算基数。</w:t>
            </w:r>
          </w:p>
          <w:p>
            <w:pPr>
              <w:spacing w:line="360" w:lineRule="auto"/>
              <w:ind w:firstLine="420"/>
              <w:rPr>
                <w:rFonts w:ascii="宋体" w:hAnsi="宋体" w:cs="宋体"/>
                <w:kern w:val="0"/>
                <w:sz w:val="24"/>
              </w:rPr>
            </w:pPr>
            <w:r>
              <w:rPr>
                <w:rFonts w:hint="eastAsia" w:ascii="宋体" w:hAnsi="宋体" w:cs="宋体"/>
                <w:kern w:val="0"/>
                <w:sz w:val="24"/>
              </w:rPr>
              <w:t>（2）各区段具体收费标准如下：</w:t>
            </w:r>
          </w:p>
          <w:p>
            <w:pPr>
              <w:spacing w:line="360" w:lineRule="auto"/>
              <w:ind w:firstLine="420"/>
              <w:rPr>
                <w:rFonts w:ascii="宋体" w:hAnsi="宋体" w:cs="宋体"/>
                <w:kern w:val="0"/>
                <w:sz w:val="24"/>
              </w:rPr>
            </w:pPr>
            <w:r>
              <w:rPr>
                <w:rFonts w:hint="eastAsia" w:ascii="宋体" w:hAnsi="宋体" w:cs="宋体"/>
                <w:kern w:val="0"/>
                <w:sz w:val="24"/>
              </w:rPr>
              <w:t>成交金额              费率</w:t>
            </w:r>
          </w:p>
          <w:p>
            <w:pPr>
              <w:spacing w:line="360" w:lineRule="auto"/>
              <w:ind w:firstLine="420"/>
              <w:rPr>
                <w:rFonts w:ascii="宋体" w:hAnsi="宋体" w:cs="宋体"/>
                <w:kern w:val="0"/>
                <w:sz w:val="24"/>
              </w:rPr>
            </w:pPr>
            <w:r>
              <w:rPr>
                <w:rFonts w:hint="eastAsia" w:ascii="宋体" w:hAnsi="宋体" w:cs="宋体"/>
                <w:kern w:val="0"/>
                <w:sz w:val="24"/>
              </w:rPr>
              <w:t>100万元以下          1.2%</w:t>
            </w:r>
          </w:p>
          <w:p>
            <w:pPr>
              <w:spacing w:line="360" w:lineRule="auto"/>
              <w:ind w:firstLine="420"/>
              <w:rPr>
                <w:rFonts w:ascii="宋体" w:hAnsi="宋体" w:cs="宋体"/>
                <w:kern w:val="0"/>
                <w:sz w:val="24"/>
              </w:rPr>
            </w:pPr>
            <w:r>
              <w:rPr>
                <w:rFonts w:hint="eastAsia" w:ascii="宋体" w:hAnsi="宋体" w:cs="宋体"/>
                <w:kern w:val="0"/>
                <w:sz w:val="24"/>
              </w:rPr>
              <w:t>100-500万元          0.64%</w:t>
            </w:r>
          </w:p>
          <w:p>
            <w:pPr>
              <w:spacing w:line="360" w:lineRule="auto"/>
              <w:ind w:firstLine="420"/>
              <w:rPr>
                <w:rFonts w:ascii="宋体" w:hAnsi="宋体" w:cs="宋体"/>
                <w:kern w:val="0"/>
                <w:sz w:val="24"/>
              </w:rPr>
            </w:pPr>
            <w:r>
              <w:rPr>
                <w:rFonts w:hint="eastAsia" w:ascii="宋体" w:hAnsi="宋体" w:cs="宋体"/>
                <w:kern w:val="0"/>
                <w:sz w:val="24"/>
              </w:rPr>
              <w:t>备注：本项费用在报价表中不单列报价子项，由供应商自行在企业运营成本等或各单价中列支。由成交人在领取成交通知书时一次性向采购代理机构付清。</w:t>
            </w:r>
          </w:p>
          <w:p>
            <w:pPr>
              <w:spacing w:line="360" w:lineRule="auto"/>
              <w:ind w:firstLine="420"/>
              <w:rPr>
                <w:rFonts w:ascii="宋体" w:hAnsi="宋体" w:cs="宋体"/>
                <w:sz w:val="24"/>
              </w:rPr>
            </w:pPr>
            <w:r>
              <w:rPr>
                <w:rFonts w:hint="eastAsia" w:ascii="宋体" w:hAnsi="宋体" w:cs="宋体"/>
                <w:kern w:val="0"/>
                <w:sz w:val="24"/>
              </w:rPr>
              <w:t>收款</w:t>
            </w:r>
            <w:r>
              <w:rPr>
                <w:rFonts w:hint="eastAsia" w:ascii="宋体" w:hAnsi="宋体" w:cs="宋体"/>
                <w:sz w:val="24"/>
              </w:rPr>
              <w:t>账号：</w:t>
            </w:r>
          </w:p>
          <w:p>
            <w:pPr>
              <w:spacing w:line="360" w:lineRule="auto"/>
              <w:ind w:firstLine="420"/>
              <w:rPr>
                <w:rFonts w:ascii="宋体" w:hAnsi="宋体" w:cs="宋体"/>
                <w:kern w:val="0"/>
                <w:sz w:val="24"/>
              </w:rPr>
            </w:pPr>
            <w:r>
              <w:rPr>
                <w:rFonts w:hint="eastAsia" w:ascii="宋体" w:hAnsi="宋体" w:cs="宋体"/>
                <w:kern w:val="0"/>
                <w:sz w:val="24"/>
              </w:rPr>
              <w:t>收款单位（户名）：浙江信镧建设工程咨询有限公司</w:t>
            </w:r>
          </w:p>
          <w:p>
            <w:pPr>
              <w:spacing w:line="360" w:lineRule="auto"/>
              <w:ind w:firstLine="420"/>
              <w:rPr>
                <w:rFonts w:ascii="宋体" w:hAnsi="宋体" w:cs="宋体"/>
                <w:kern w:val="0"/>
                <w:sz w:val="24"/>
              </w:rPr>
            </w:pPr>
            <w:r>
              <w:rPr>
                <w:rFonts w:hint="eastAsia" w:ascii="宋体" w:hAnsi="宋体" w:cs="宋体"/>
                <w:kern w:val="0"/>
                <w:sz w:val="24"/>
              </w:rPr>
              <w:t>开户银行：交通银行杭州华浙广场支行</w:t>
            </w:r>
          </w:p>
          <w:p>
            <w:pPr>
              <w:ind w:firstLine="420"/>
              <w:rPr>
                <w:rFonts w:ascii="宋体" w:hAnsi="宋体" w:cs="宋体"/>
                <w:sz w:val="24"/>
              </w:rPr>
            </w:pPr>
            <w:r>
              <w:rPr>
                <w:rFonts w:hint="eastAsia" w:ascii="宋体" w:hAnsi="宋体" w:cs="宋体"/>
                <w:kern w:val="0"/>
                <w:sz w:val="24"/>
              </w:rPr>
              <w:t>银行账号：331066090018170036304</w:t>
            </w:r>
            <w:r>
              <w:rPr>
                <w:rFonts w:hint="eastAsia" w:ascii="宋体" w:hAnsi="宋体" w:cs="宋体"/>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宋体" w:hAnsi="宋体" w:cs="宋体"/>
                <w:snapToGrid w:val="0"/>
                <w:kern w:val="28"/>
                <w:sz w:val="24"/>
              </w:rPr>
            </w:pPr>
            <w:r>
              <w:rPr>
                <w:rFonts w:hint="eastAsia" w:ascii="宋体" w:hAnsi="宋体" w:cs="宋体"/>
                <w:sz w:val="24"/>
              </w:rPr>
              <w:t>中标供应商在合同签订时须提供投标文件的纸质版正副本各一份</w:t>
            </w:r>
            <w:r>
              <w:rPr>
                <w:rFonts w:hint="eastAsia" w:ascii="宋体" w:hAnsi="宋体" w:cs="宋体"/>
                <w:b/>
                <w:kern w:val="0"/>
                <w:sz w:val="24"/>
              </w:rPr>
              <w:t>。</w:t>
            </w:r>
          </w:p>
        </w:tc>
      </w:tr>
    </w:tbl>
    <w:p>
      <w:pPr>
        <w:snapToGrid w:val="0"/>
        <w:spacing w:line="360" w:lineRule="auto"/>
        <w:jc w:val="center"/>
        <w:rPr>
          <w:rFonts w:ascii="宋体" w:hAnsi="宋体" w:cs="宋体"/>
          <w:b/>
          <w:sz w:val="32"/>
          <w:szCs w:val="20"/>
        </w:rPr>
      </w:pPr>
    </w:p>
    <w:bookmarkEnd w:id="11"/>
    <w:p>
      <w:pPr>
        <w:rPr>
          <w:rFonts w:ascii="宋体" w:hAnsi="宋体" w:cs="宋体"/>
          <w:b/>
          <w:sz w:val="32"/>
          <w:szCs w:val="20"/>
        </w:rPr>
      </w:pPr>
      <w:bookmarkStart w:id="13" w:name="第三部分"/>
      <w:bookmarkStart w:id="14" w:name="_Toc164416483"/>
      <w:r>
        <w:rPr>
          <w:rFonts w:hint="eastAsia" w:ascii="宋体" w:hAnsi="宋体" w:cs="宋体"/>
          <w:b/>
          <w:sz w:val="32"/>
          <w:szCs w:val="20"/>
        </w:rPr>
        <w:br w:type="page"/>
      </w:r>
    </w:p>
    <w:p>
      <w:pPr>
        <w:adjustRightInd/>
        <w:spacing w:line="360" w:lineRule="auto"/>
        <w:ind w:firstLine="3845" w:firstLineChars="1197"/>
        <w:outlineLvl w:val="0"/>
        <w:rPr>
          <w:rFonts w:ascii="宋体" w:hAnsi="宋体" w:cs="宋体"/>
          <w:b/>
          <w:sz w:val="32"/>
          <w:szCs w:val="20"/>
        </w:rPr>
      </w:pPr>
      <w:bookmarkStart w:id="15" w:name="_Toc364"/>
      <w:r>
        <w:rPr>
          <w:rFonts w:hint="eastAsia" w:ascii="宋体" w:hAnsi="宋体" w:cs="宋体"/>
          <w:b/>
          <w:sz w:val="32"/>
          <w:szCs w:val="20"/>
        </w:rPr>
        <w:t>一、总则</w:t>
      </w:r>
      <w:bookmarkEnd w:id="15"/>
    </w:p>
    <w:p>
      <w:pPr>
        <w:snapToGrid w:val="0"/>
        <w:spacing w:line="360" w:lineRule="auto"/>
        <w:jc w:val="left"/>
        <w:outlineLvl w:val="1"/>
        <w:rPr>
          <w:rFonts w:ascii="宋体" w:hAnsi="宋体" w:cs="宋体"/>
          <w:b/>
          <w:sz w:val="24"/>
        </w:rPr>
      </w:pPr>
      <w:bookmarkStart w:id="16" w:name="_Toc18470"/>
      <w:r>
        <w:rPr>
          <w:rFonts w:hint="eastAsia" w:ascii="宋体" w:hAnsi="宋体" w:cs="宋体"/>
          <w:b/>
          <w:sz w:val="24"/>
        </w:rPr>
        <w:t>1. 适用范围</w:t>
      </w:r>
      <w:bookmarkEnd w:id="16"/>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snapToGrid w:val="0"/>
        <w:spacing w:line="360" w:lineRule="auto"/>
        <w:jc w:val="left"/>
        <w:rPr>
          <w:rFonts w:ascii="宋体" w:hAnsi="宋体" w:cs="宋体"/>
          <w:b/>
          <w:sz w:val="24"/>
        </w:rPr>
      </w:pPr>
      <w:r>
        <w:rPr>
          <w:rFonts w:hint="eastAsia" w:ascii="宋体" w:hAnsi="宋体" w:cs="宋体"/>
          <w:b/>
          <w:sz w:val="24"/>
        </w:rPr>
        <w:t>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“▲”系指实质性要求条款，“★” 指重要指标，“</w:t>
      </w:r>
      <w:r>
        <w:rPr>
          <w:rFonts w:hint="eastAsia" w:ascii="宋体" w:hAnsi="宋体" w:cs="宋体"/>
          <w:kern w:val="0"/>
          <w:sz w:val="24"/>
        </w:rPr>
        <w:sym w:font="Wingdings" w:char="F0FE"/>
      </w:r>
      <w:r>
        <w:rPr>
          <w:rFonts w:hint="eastAsia" w:ascii="宋体" w:hAnsi="宋体" w:cs="宋体"/>
          <w:sz w:val="24"/>
        </w:rPr>
        <w:t>”系指适用本项目的要求，“</w:t>
      </w:r>
      <w:r>
        <w:rPr>
          <w:rFonts w:hint="eastAsia" w:ascii="宋体" w:hAnsi="宋体" w:cs="宋体"/>
          <w:kern w:val="0"/>
          <w:sz w:val="24"/>
        </w:rPr>
        <w:t>☐</w:t>
      </w:r>
      <w:r>
        <w:rPr>
          <w:rFonts w:hint="eastAsia" w:ascii="宋体" w:hAnsi="宋体" w:cs="宋体"/>
          <w:sz w:val="24"/>
        </w:rPr>
        <w:t>”系指不适用本项目的要求。</w:t>
      </w:r>
    </w:p>
    <w:p>
      <w:pPr>
        <w:spacing w:line="360" w:lineRule="auto"/>
        <w:rPr>
          <w:rFonts w:ascii="宋体" w:hAnsi="宋体" w:cs="宋体"/>
          <w:b/>
          <w:sz w:val="24"/>
        </w:rPr>
      </w:pPr>
      <w:r>
        <w:rPr>
          <w:rFonts w:hint="eastAsia" w:ascii="宋体" w:hAnsi="宋体" w:cs="宋体"/>
          <w:b/>
          <w:sz w:val="24"/>
        </w:rPr>
        <w:t>3.采购项目需要落实的政府采购政策</w:t>
      </w:r>
    </w:p>
    <w:p>
      <w:pPr>
        <w:spacing w:line="360" w:lineRule="auto"/>
        <w:ind w:firstLine="480" w:firstLineChars="200"/>
        <w:rPr>
          <w:rFonts w:ascii="宋体" w:hAnsi="宋体" w:cs="宋体"/>
          <w:sz w:val="24"/>
        </w:rPr>
      </w:pPr>
      <w:r>
        <w:rPr>
          <w:rFonts w:hint="eastAsia" w:ascii="宋体" w:hAnsi="宋体" w:cs="宋体"/>
          <w:sz w:val="24"/>
        </w:rPr>
        <w:t>3.1 支持中小企业发展</w:t>
      </w:r>
    </w:p>
    <w:p>
      <w:pPr>
        <w:spacing w:line="360" w:lineRule="auto"/>
        <w:ind w:firstLine="480" w:firstLineChars="200"/>
        <w:rPr>
          <w:rFonts w:ascii="宋体" w:hAnsi="宋体" w:cs="宋体"/>
          <w:sz w:val="24"/>
        </w:rPr>
      </w:pPr>
      <w:r>
        <w:rPr>
          <w:rFonts w:hint="eastAsia" w:ascii="宋体" w:hAnsi="宋体" w:cs="宋体"/>
          <w:sz w:val="24"/>
        </w:rPr>
        <w:t>3.1.1中小企业，是指在中华人民共和国境内依法设立，依据国务院批准的中小企业划分标准确定的中型企业、小型企业和微型企业，但与大企业的负责人为同一人，或者与大企业存在直接控股、管理关系的除外。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hint="eastAsia" w:ascii="宋体" w:hAnsi="宋体" w:cs="宋体"/>
          <w:bCs/>
          <w:sz w:val="24"/>
        </w:rPr>
        <w:t>3.1.2</w:t>
      </w:r>
      <w:r>
        <w:rPr>
          <w:rFonts w:hint="eastAsia" w:ascii="宋体" w:hAnsi="宋体" w:cs="宋体"/>
          <w:kern w:val="0"/>
          <w:sz w:val="24"/>
        </w:rPr>
        <w:t>在政府采购活动中，投标人提供的货物、工程或者服务符合下列情形的，享受中小企业扶持政策：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3.1.2.1在货物采购项目中，货物由中小企业制造，即货物由中小企业生产且使用该中小企业商号或者注册商标；</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3.1.2.2在工程采购项目中，工程由中小企业承建，即工程施工单位为中小企业；</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3.1.2.3在服务采购项目中，服务由中小企业承接，即提供服务的人员为中小企业依照《中华人民共和国劳动合同法》订立劳动合同的从业人员。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3.1.3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3.1.4符合《关于促进残疾人就业政府采购政策的通知》（财库〔2017〕141号）规定的条件并提供《残疾人福利性单位声明函》（附件1）的残疾人福利性单位视同小型、微型企业；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3.1.5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3.1.6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b/>
          <w:sz w:val="24"/>
        </w:rPr>
      </w:pPr>
      <w:r>
        <w:rPr>
          <w:rFonts w:hint="eastAsia" w:ascii="宋体" w:hAnsi="宋体" w:cs="宋体"/>
          <w:sz w:val="24"/>
        </w:rPr>
        <w:t>3.1.7中小企业享受扶持政策获得政府采购合同的，小微企业不得将合同分包给大中型企业，中型企业不得将合同分包给大型企业。</w:t>
      </w:r>
      <w:r>
        <w:rPr>
          <w:rFonts w:hint="eastAsia" w:ascii="宋体" w:hAnsi="宋体" w:cs="宋体"/>
          <w:sz w:val="24"/>
        </w:rPr>
        <w:cr/>
      </w:r>
      <w:r>
        <w:rPr>
          <w:rFonts w:hint="eastAsia" w:ascii="宋体" w:hAnsi="宋体" w:cs="宋体"/>
          <w:b/>
          <w:sz w:val="24"/>
        </w:rPr>
        <w:t>4. 询问、质疑、投诉</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4.2供应商质疑</w:t>
      </w:r>
    </w:p>
    <w:p>
      <w:pPr>
        <w:pStyle w:val="35"/>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.1提出质疑的供应商应当是参与所质疑项目采购活动的供应商。潜在供应商已依法获取其可质疑的招标文件的，可以对该文件提出质疑。</w:t>
      </w:r>
    </w:p>
    <w:p>
      <w:pPr>
        <w:pStyle w:val="35"/>
        <w:spacing w:line="360" w:lineRule="auto"/>
        <w:ind w:firstLine="480" w:firstLineChars="200"/>
        <w:rPr>
          <w:rFonts w:hAnsi="宋体" w:cs="宋体"/>
          <w:sz w:val="24"/>
        </w:rPr>
      </w:pPr>
      <w:r>
        <w:rPr>
          <w:rFonts w:hint="eastAsia" w:hAnsi="宋体" w:cs="宋体"/>
          <w:kern w:val="0"/>
          <w:sz w:val="24"/>
          <w:lang w:val="zh-CN"/>
        </w:rPr>
        <w:t>4.2</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7"/>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4.2.2.1对招标文件提出质疑的，质疑期限为供应商获得招标文件之日或者招标文件公告期限届满之日起计算。</w:t>
      </w:r>
    </w:p>
    <w:p>
      <w:pPr>
        <w:pStyle w:val="35"/>
        <w:spacing w:line="360" w:lineRule="auto"/>
        <w:ind w:firstLine="480" w:firstLineChars="200"/>
        <w:rPr>
          <w:rFonts w:hAnsi="宋体" w:cs="宋体"/>
          <w:sz w:val="24"/>
        </w:rPr>
      </w:pPr>
      <w:r>
        <w:rPr>
          <w:rFonts w:hint="eastAsia" w:hAnsi="宋体" w:cs="宋体"/>
          <w:sz w:val="24"/>
        </w:rPr>
        <w:t>4.2.2.2对采购过程提出质疑的，质疑期限为各采购程序环节结束之日起计算。对同一采购程序环节的质疑，供应商须一次性提出。</w:t>
      </w:r>
    </w:p>
    <w:p>
      <w:pPr>
        <w:pStyle w:val="35"/>
        <w:spacing w:line="360" w:lineRule="auto"/>
        <w:ind w:firstLine="480" w:firstLineChars="200"/>
        <w:rPr>
          <w:rFonts w:hAnsi="宋体" w:cs="宋体"/>
          <w:sz w:val="24"/>
        </w:rPr>
      </w:pPr>
      <w:r>
        <w:rPr>
          <w:rFonts w:hint="eastAsia" w:hAnsi="宋体" w:cs="宋体"/>
          <w:sz w:val="24"/>
        </w:rPr>
        <w:t>4.2.2.3对采购结果提出质疑的，质疑期限自采购结果公告期限届满之日起计算。</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4.2.3</w:t>
      </w:r>
      <w:r>
        <w:rPr>
          <w:rFonts w:hint="eastAsia" w:hAnsi="宋体" w:cs="宋体"/>
          <w:sz w:val="24"/>
        </w:rPr>
        <w:t>供应商提出质疑应当提交质疑函和必要的证明材料。质疑函应当包括下列内容：</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4.2.3.1供应商的姓名或者名称、地址、邮编、联系人及联系电话；</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4.2.3.2质疑项目的名称、编号；</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4.2.3.3具体、明确的质疑事项和与质疑事项相关的请求；</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4.2.3.4事实依据；</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4.2.3.5必要的法律依据；</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4.2.3.6提出质疑的日期。</w:t>
      </w:r>
    </w:p>
    <w:p>
      <w:pPr>
        <w:pStyle w:val="886"/>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pPr>
      <w:r>
        <w:rPr>
          <w:rFonts w:hint="eastAsia"/>
        </w:rPr>
        <w:t>质疑函范本及制作说明详见附件2。</w:t>
      </w:r>
    </w:p>
    <w:p>
      <w:pPr>
        <w:pStyle w:val="886"/>
        <w:shd w:val="clear" w:color="auto" w:fill="FFFFFF"/>
        <w:snapToGrid w:val="0"/>
        <w:spacing w:after="240" w:afterAutospacing="0" w:line="360" w:lineRule="auto"/>
        <w:ind w:firstLine="400"/>
        <w:contextualSpacing/>
      </w:pPr>
      <w:r>
        <w:rPr>
          <w:rFonts w:hint="eastAsia"/>
          <w:lang w:val="zh-CN"/>
        </w:rPr>
        <w:t>4.2</w:t>
      </w:r>
      <w:r>
        <w:rPr>
          <w:rFonts w:hint="eastAsia"/>
        </w:rPr>
        <w:t>.4采购人或者采购机构应当在收到供应商的书面质疑后七个工作日内作出答复，并以书面形式通知质疑供应商和其他与质疑处理结果有利害关系的政府采购当事人，但答复的内容不得涉及商业秘密。根据《浙江省财政厅关于进一步促进政府采购公平竞争打造最优营商环境的通知》（浙财采监〔2021〕22号）,采购人或者采购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pPr>
      <w:r>
        <w:rPr>
          <w:rFonts w:hint="eastAsia"/>
          <w:lang w:val="zh-CN"/>
        </w:rPr>
        <w:t>4.2</w:t>
      </w:r>
      <w:r>
        <w:rPr>
          <w:rFonts w:hint="eastAsia"/>
        </w:rPr>
        <w:t>.5询问或者质疑事项可能影响采购结果的，采购人应当暂停签订合同，已经签订合同的，应当中止履行合同。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lang w:val="zh-CN"/>
        </w:rPr>
      </w:pPr>
      <w:r>
        <w:rPr>
          <w:rFonts w:hint="eastAsia"/>
          <w:lang w:val="zh-CN"/>
        </w:rPr>
        <w:t>4.3供应商投诉</w:t>
      </w:r>
    </w:p>
    <w:p>
      <w:pPr>
        <w:pStyle w:val="886"/>
        <w:shd w:val="clear" w:color="auto" w:fill="FFFFFF"/>
        <w:snapToGrid w:val="0"/>
        <w:spacing w:after="240" w:afterAutospacing="0" w:line="360" w:lineRule="auto"/>
        <w:ind w:firstLine="400"/>
        <w:contextualSpacing/>
      </w:pPr>
      <w:r>
        <w:rPr>
          <w:rFonts w:hint="eastAsia"/>
        </w:rPr>
        <w:t>4.3.1质疑供应商对采购人、采购机构的答复不满意或者采购人、采购机构未在规定的时间内作出答复的，可以在答复期满后十五个工作日内向同级政府采购监督管理部门提出投诉。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pPr>
      <w:r>
        <w:rPr>
          <w:rFonts w:hint="eastAsia"/>
        </w:rPr>
        <w:t>4.3.</w:t>
      </w:r>
      <w:r>
        <w:rPr>
          <w:rFonts w:hint="eastAsia"/>
          <w:lang w:val="zh-CN"/>
        </w:rPr>
        <w:t>2</w:t>
      </w:r>
      <w:r>
        <w:rPr>
          <w:rFonts w:hint="eastAsia"/>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pPr>
      <w:r>
        <w:rPr>
          <w:rFonts w:hint="eastAsia"/>
        </w:rPr>
        <w:t>4.3.3供应商投诉应当有明确的请求和必要的证明材料。</w:t>
      </w:r>
    </w:p>
    <w:p>
      <w:pPr>
        <w:pStyle w:val="886"/>
        <w:shd w:val="clear" w:color="auto" w:fill="FFFFFF"/>
        <w:snapToGrid w:val="0"/>
        <w:spacing w:after="240" w:afterAutospacing="0" w:line="360" w:lineRule="auto"/>
        <w:ind w:firstLine="400"/>
        <w:contextualSpacing/>
      </w:pPr>
      <w:r>
        <w:rPr>
          <w:rFonts w:hint="eastAsia"/>
        </w:rPr>
        <w:t>4.3.4以联合体形式参加政府采购活动的，其投诉应当由组成联合体的所有供应商共同提出。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pPr>
      <w:r>
        <w:rPr>
          <w:rFonts w:hint="eastAsia"/>
        </w:rPr>
        <w:t>投诉书范本及制作说明详见附件3。</w:t>
      </w:r>
    </w:p>
    <w:p>
      <w:pPr>
        <w:pStyle w:val="129"/>
        <w:snapToGrid w:val="0"/>
        <w:spacing w:before="0"/>
        <w:ind w:firstLine="360"/>
        <w:rPr>
          <w:rFonts w:ascii="宋体" w:hAnsi="宋体" w:cs="宋体"/>
          <w:sz w:val="18"/>
          <w:szCs w:val="18"/>
        </w:rPr>
      </w:pPr>
    </w:p>
    <w:p>
      <w:pPr>
        <w:adjustRightInd/>
        <w:spacing w:line="360" w:lineRule="auto"/>
        <w:jc w:val="center"/>
        <w:outlineLvl w:val="0"/>
        <w:rPr>
          <w:rFonts w:ascii="宋体" w:hAnsi="宋体" w:cs="宋体"/>
          <w:b/>
          <w:sz w:val="32"/>
          <w:szCs w:val="20"/>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7" w:name="_Toc15027"/>
    </w:p>
    <w:p>
      <w:pPr>
        <w:adjustRightInd/>
        <w:spacing w:line="360" w:lineRule="auto"/>
        <w:jc w:val="center"/>
        <w:outlineLvl w:val="0"/>
        <w:rPr>
          <w:rFonts w:ascii="宋体" w:hAnsi="宋体" w:cs="宋体"/>
          <w:b/>
          <w:sz w:val="32"/>
          <w:szCs w:val="20"/>
        </w:rPr>
      </w:pPr>
      <w:r>
        <w:rPr>
          <w:rFonts w:hint="eastAsia" w:ascii="宋体" w:hAnsi="宋体" w:cs="宋体"/>
          <w:b/>
          <w:sz w:val="32"/>
          <w:szCs w:val="20"/>
        </w:rPr>
        <w:t>二、招标文件的构成、澄清、修改</w:t>
      </w:r>
      <w:bookmarkEnd w:id="17"/>
    </w:p>
    <w:p>
      <w:pPr>
        <w:pStyle w:val="35"/>
        <w:spacing w:line="360" w:lineRule="auto"/>
        <w:rPr>
          <w:rFonts w:hAnsi="宋体" w:cs="宋体"/>
          <w:b/>
          <w:sz w:val="24"/>
          <w:szCs w:val="24"/>
        </w:rPr>
      </w:pPr>
      <w:r>
        <w:rPr>
          <w:rFonts w:hint="eastAsia" w:hAnsi="宋体" w:cs="宋体"/>
          <w:b/>
          <w:sz w:val="24"/>
          <w:szCs w:val="24"/>
        </w:rPr>
        <w:t>5．招标文件的构成</w:t>
      </w:r>
    </w:p>
    <w:p>
      <w:pPr>
        <w:pStyle w:val="35"/>
        <w:spacing w:line="360" w:lineRule="auto"/>
        <w:ind w:firstLine="480" w:firstLineChars="200"/>
        <w:rPr>
          <w:rFonts w:hAnsi="宋体" w:cs="宋体"/>
          <w:sz w:val="24"/>
          <w:szCs w:val="24"/>
        </w:rPr>
      </w:pPr>
      <w:r>
        <w:rPr>
          <w:rFonts w:hint="eastAsia" w:hAnsi="宋体" w:cs="宋体"/>
          <w:sz w:val="24"/>
          <w:szCs w:val="24"/>
        </w:rPr>
        <w:t>5.1招标文件包括下列文件及附件：</w:t>
      </w:r>
    </w:p>
    <w:p>
      <w:pPr>
        <w:pStyle w:val="35"/>
        <w:tabs>
          <w:tab w:val="left" w:pos="840"/>
        </w:tabs>
        <w:spacing w:line="360" w:lineRule="auto"/>
        <w:ind w:firstLine="480" w:firstLineChars="200"/>
        <w:rPr>
          <w:rFonts w:hAnsi="宋体" w:cs="宋体"/>
          <w:sz w:val="24"/>
          <w:szCs w:val="24"/>
        </w:rPr>
      </w:pPr>
      <w:r>
        <w:rPr>
          <w:rFonts w:hint="eastAsia" w:hAnsi="宋体" w:cs="宋体"/>
          <w:sz w:val="24"/>
          <w:szCs w:val="24"/>
        </w:rPr>
        <w:t>5.1.1招标公告；</w:t>
      </w:r>
    </w:p>
    <w:p>
      <w:pPr>
        <w:pStyle w:val="35"/>
        <w:tabs>
          <w:tab w:val="left" w:pos="840"/>
        </w:tabs>
        <w:spacing w:line="360" w:lineRule="auto"/>
        <w:ind w:firstLine="480" w:firstLineChars="200"/>
        <w:rPr>
          <w:rFonts w:hAnsi="宋体" w:cs="宋体"/>
          <w:sz w:val="24"/>
          <w:szCs w:val="24"/>
        </w:rPr>
      </w:pPr>
      <w:r>
        <w:rPr>
          <w:rFonts w:hint="eastAsia" w:hAnsi="宋体" w:cs="宋体"/>
          <w:sz w:val="24"/>
          <w:szCs w:val="24"/>
        </w:rPr>
        <w:t>5.1.2投标人须知；</w:t>
      </w:r>
    </w:p>
    <w:p>
      <w:pPr>
        <w:pStyle w:val="35"/>
        <w:tabs>
          <w:tab w:val="left" w:pos="840"/>
        </w:tabs>
        <w:spacing w:line="360" w:lineRule="auto"/>
        <w:ind w:firstLine="480" w:firstLineChars="200"/>
        <w:rPr>
          <w:rFonts w:hAnsi="宋体" w:cs="宋体"/>
          <w:sz w:val="24"/>
          <w:szCs w:val="24"/>
        </w:rPr>
      </w:pPr>
      <w:r>
        <w:rPr>
          <w:rFonts w:hint="eastAsia" w:hAnsi="宋体" w:cs="宋体"/>
          <w:sz w:val="24"/>
          <w:szCs w:val="24"/>
        </w:rPr>
        <w:t>5.1.3采购需求；</w:t>
      </w:r>
    </w:p>
    <w:p>
      <w:pPr>
        <w:pStyle w:val="35"/>
        <w:tabs>
          <w:tab w:val="left" w:pos="840"/>
        </w:tabs>
        <w:spacing w:line="360" w:lineRule="auto"/>
        <w:ind w:firstLine="480" w:firstLineChars="200"/>
        <w:rPr>
          <w:rFonts w:hAnsi="宋体" w:cs="宋体"/>
          <w:sz w:val="24"/>
          <w:szCs w:val="24"/>
        </w:rPr>
      </w:pPr>
      <w:r>
        <w:rPr>
          <w:rFonts w:hint="eastAsia" w:hAnsi="宋体" w:cs="宋体"/>
          <w:sz w:val="24"/>
          <w:szCs w:val="24"/>
        </w:rPr>
        <w:t>5.1.4评标办法；</w:t>
      </w:r>
    </w:p>
    <w:p>
      <w:pPr>
        <w:pStyle w:val="35"/>
        <w:tabs>
          <w:tab w:val="left" w:pos="840"/>
        </w:tabs>
        <w:spacing w:line="360" w:lineRule="auto"/>
        <w:ind w:firstLine="480" w:firstLineChars="200"/>
        <w:rPr>
          <w:rFonts w:hAnsi="宋体" w:cs="宋体"/>
          <w:sz w:val="24"/>
          <w:szCs w:val="24"/>
        </w:rPr>
      </w:pPr>
      <w:r>
        <w:rPr>
          <w:rFonts w:hint="eastAsia" w:hAnsi="宋体" w:cs="宋体"/>
          <w:sz w:val="24"/>
          <w:szCs w:val="24"/>
        </w:rPr>
        <w:t>5.1.5拟签订的合同文本；</w:t>
      </w:r>
    </w:p>
    <w:p>
      <w:pPr>
        <w:pStyle w:val="35"/>
        <w:tabs>
          <w:tab w:val="left" w:pos="840"/>
        </w:tabs>
        <w:spacing w:line="360" w:lineRule="auto"/>
        <w:ind w:firstLine="480" w:firstLineChars="2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pPr>
        <w:pStyle w:val="35"/>
        <w:spacing w:line="360" w:lineRule="auto"/>
        <w:rPr>
          <w:rFonts w:hAnsi="宋体" w:cs="宋体"/>
          <w:b/>
          <w:sz w:val="24"/>
          <w:szCs w:val="24"/>
        </w:rPr>
      </w:pPr>
      <w:r>
        <w:rPr>
          <w:rFonts w:hint="eastAsia" w:hAnsi="宋体" w:cs="宋体"/>
          <w:b/>
          <w:sz w:val="24"/>
          <w:szCs w:val="24"/>
        </w:rPr>
        <w:t>6.招标文件的澄清、修改</w:t>
      </w:r>
    </w:p>
    <w:p>
      <w:pPr>
        <w:pStyle w:val="129"/>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6.1已获取招标文件的潜在投标人，若有问题需要澄清，应于投标截止时间前，以书面形式向采购机构提出。</w:t>
      </w:r>
    </w:p>
    <w:p>
      <w:pPr>
        <w:pStyle w:val="129"/>
        <w:snapToGrid w:val="0"/>
        <w:spacing w:before="0"/>
        <w:ind w:firstLine="480"/>
        <w:rPr>
          <w:rFonts w:ascii="宋体" w:hAnsi="宋体" w:cs="宋体"/>
          <w:sz w:val="18"/>
          <w:szCs w:val="18"/>
        </w:rPr>
      </w:pPr>
      <w:r>
        <w:rPr>
          <w:rFonts w:hint="eastAsia" w:ascii="宋体" w:hAnsi="宋体" w:cs="宋体"/>
        </w:rPr>
        <w:t>6.2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adjustRightInd/>
        <w:spacing w:line="360" w:lineRule="auto"/>
        <w:jc w:val="center"/>
        <w:outlineLvl w:val="0"/>
        <w:rPr>
          <w:rFonts w:ascii="宋体" w:hAnsi="宋体" w:cs="宋体"/>
          <w:b/>
          <w:sz w:val="30"/>
          <w:szCs w:val="20"/>
        </w:rPr>
      </w:pPr>
    </w:p>
    <w:p>
      <w:pPr>
        <w:adjustRightInd/>
        <w:spacing w:line="360" w:lineRule="auto"/>
        <w:jc w:val="center"/>
        <w:outlineLvl w:val="0"/>
        <w:rPr>
          <w:rFonts w:ascii="宋体" w:hAnsi="宋体" w:cs="宋体"/>
          <w:b/>
          <w:sz w:val="30"/>
          <w:szCs w:val="20"/>
        </w:rPr>
        <w:sectPr>
          <w:pgSz w:w="11906" w:h="16838"/>
          <w:pgMar w:top="680" w:right="1418" w:bottom="468" w:left="1418" w:header="851" w:footer="992" w:gutter="0"/>
          <w:cols w:space="720" w:num="1"/>
          <w:titlePg/>
          <w:docGrid w:linePitch="312" w:charSpace="0"/>
        </w:sectPr>
      </w:pPr>
      <w:bookmarkStart w:id="18" w:name="_Toc5009"/>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bookmarkEnd w:id="18"/>
    </w:p>
    <w:p>
      <w:pPr>
        <w:pStyle w:val="35"/>
        <w:spacing w:line="360" w:lineRule="auto"/>
        <w:rPr>
          <w:rFonts w:hAnsi="宋体" w:cs="宋体"/>
          <w:b/>
          <w:sz w:val="24"/>
          <w:szCs w:val="24"/>
        </w:rPr>
      </w:pPr>
      <w:r>
        <w:rPr>
          <w:rFonts w:hint="eastAsia" w:hAnsi="宋体" w:cs="宋体"/>
          <w:b/>
          <w:sz w:val="24"/>
          <w:szCs w:val="24"/>
        </w:rPr>
        <w:t>7.招标文件的获取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5"/>
        <w:spacing w:line="360" w:lineRule="auto"/>
        <w:rPr>
          <w:rFonts w:hAnsi="宋体" w:cs="宋体"/>
          <w:b/>
          <w:sz w:val="24"/>
          <w:szCs w:val="24"/>
        </w:rPr>
      </w:pPr>
      <w:r>
        <w:rPr>
          <w:rFonts w:hint="eastAsia" w:hAnsi="宋体" w:cs="宋体"/>
          <w:b/>
          <w:sz w:val="24"/>
          <w:szCs w:val="24"/>
        </w:rPr>
        <w:t>8.开标前答疑会或现场考察</w:t>
      </w:r>
    </w:p>
    <w:p>
      <w:pPr>
        <w:pStyle w:val="35"/>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5"/>
        <w:spacing w:line="360" w:lineRule="auto"/>
        <w:rPr>
          <w:rFonts w:hAnsi="宋体" w:cs="宋体"/>
          <w:b/>
          <w:szCs w:val="24"/>
        </w:rPr>
      </w:pPr>
      <w:r>
        <w:rPr>
          <w:rFonts w:hint="eastAsia" w:hAnsi="宋体" w:cs="宋体"/>
          <w:b/>
          <w:kern w:val="28"/>
          <w:sz w:val="24"/>
          <w:szCs w:val="24"/>
        </w:rPr>
        <w:t>9.投标保证金</w:t>
      </w:r>
    </w:p>
    <w:p>
      <w:pPr>
        <w:pStyle w:val="17"/>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5"/>
        <w:spacing w:line="360" w:lineRule="auto"/>
        <w:rPr>
          <w:rFonts w:hAnsi="宋体" w:cs="宋体"/>
          <w:b/>
          <w:sz w:val="24"/>
          <w:szCs w:val="24"/>
        </w:rPr>
      </w:pPr>
      <w:r>
        <w:rPr>
          <w:rFonts w:hint="eastAsia" w:hAnsi="宋体" w:cs="宋体"/>
          <w:b/>
          <w:sz w:val="24"/>
          <w:szCs w:val="24"/>
        </w:rPr>
        <w:t>10.投标文件的语言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5"/>
        <w:spacing w:line="360" w:lineRule="auto"/>
        <w:rPr>
          <w:rFonts w:hAnsi="宋体" w:cs="宋体"/>
          <w:b/>
          <w:sz w:val="24"/>
          <w:szCs w:val="24"/>
        </w:rPr>
      </w:pPr>
      <w:r>
        <w:rPr>
          <w:rFonts w:hint="eastAsia" w:hAnsi="宋体" w:cs="宋体"/>
          <w:b/>
          <w:sz w:val="24"/>
          <w:szCs w:val="24"/>
        </w:rPr>
        <w:t>11.投标文件的组成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480" w:firstLineChars="2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480" w:firstLineChars="200"/>
        <w:rPr>
          <w:rFonts w:ascii="宋体" w:hAnsi="宋体" w:cs="宋体"/>
          <w:sz w:val="24"/>
        </w:rPr>
      </w:pPr>
      <w:r>
        <w:rPr>
          <w:rFonts w:hint="eastAsia" w:ascii="宋体" w:hAnsi="宋体" w:cs="宋体"/>
          <w:sz w:val="24"/>
        </w:rPr>
        <w:t>11.1.2落实政府采购政策需满足的资格要求；</w:t>
      </w:r>
    </w:p>
    <w:p>
      <w:pPr>
        <w:snapToGrid w:val="0"/>
        <w:spacing w:line="360" w:lineRule="auto"/>
        <w:ind w:firstLine="480" w:firstLineChars="200"/>
        <w:rPr>
          <w:rFonts w:ascii="宋体" w:hAnsi="宋体" w:cs="宋体"/>
          <w:sz w:val="24"/>
        </w:rPr>
      </w:pPr>
      <w:r>
        <w:rPr>
          <w:rFonts w:hint="eastAsia" w:ascii="宋体" w:hAnsi="宋体" w:cs="宋体"/>
          <w:sz w:val="24"/>
        </w:rPr>
        <w:t>11.1.3本项目的特定资格要求。</w:t>
      </w:r>
    </w:p>
    <w:p>
      <w:pPr>
        <w:snapToGrid w:val="0"/>
        <w:spacing w:line="360" w:lineRule="auto"/>
        <w:ind w:firstLine="480" w:firstLineChars="200"/>
        <w:rPr>
          <w:rFonts w:ascii="宋体" w:hAnsi="宋体" w:cs="宋体"/>
          <w:b/>
          <w:bCs/>
          <w:sz w:val="24"/>
          <w:lang w:val="zh-CN"/>
        </w:rPr>
      </w:pPr>
      <w:r>
        <w:rPr>
          <w:rFonts w:hint="eastAsia" w:ascii="宋体" w:hAnsi="宋体" w:cs="宋体"/>
          <w:sz w:val="24"/>
          <w:lang w:val="zh-CN"/>
        </w:rPr>
        <w:t>11</w:t>
      </w:r>
      <w:r>
        <w:rPr>
          <w:rFonts w:hint="eastAsia" w:ascii="宋体" w:hAnsi="宋体" w:cs="宋体"/>
          <w:b/>
          <w:bCs/>
          <w:sz w:val="24"/>
          <w:lang w:val="zh-CN"/>
        </w:rPr>
        <w:t>.</w:t>
      </w:r>
      <w:r>
        <w:rPr>
          <w:rFonts w:hint="eastAsia" w:ascii="宋体" w:hAnsi="宋体" w:cs="宋体"/>
          <w:b/>
          <w:bCs/>
          <w:sz w:val="24"/>
        </w:rPr>
        <w:t>2商务技术</w:t>
      </w:r>
      <w:r>
        <w:rPr>
          <w:rFonts w:hint="eastAsia" w:ascii="宋体" w:hAnsi="宋体" w:cs="宋体"/>
          <w:b/>
          <w:bCs/>
          <w:sz w:val="24"/>
          <w:lang w:val="zh-CN"/>
        </w:rPr>
        <w:t>文件：</w:t>
      </w:r>
    </w:p>
    <w:p>
      <w:pPr>
        <w:snapToGrid w:val="0"/>
        <w:spacing w:line="360" w:lineRule="auto"/>
        <w:ind w:firstLine="480" w:firstLineChars="200"/>
        <w:rPr>
          <w:rFonts w:ascii="宋体" w:hAnsi="宋体" w:cs="宋体"/>
          <w:sz w:val="24"/>
        </w:rPr>
      </w:pPr>
      <w:r>
        <w:rPr>
          <w:rFonts w:hint="eastAsia" w:ascii="宋体" w:hAnsi="宋体" w:cs="宋体"/>
          <w:sz w:val="24"/>
        </w:rPr>
        <w:t>11.2.1投标函；</w:t>
      </w:r>
    </w:p>
    <w:p>
      <w:pPr>
        <w:snapToGrid w:val="0"/>
        <w:spacing w:line="360" w:lineRule="auto"/>
        <w:ind w:firstLine="480" w:firstLineChars="2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480" w:firstLineChars="200"/>
        <w:rPr>
          <w:rFonts w:ascii="宋体" w:hAnsi="宋体" w:cs="宋体"/>
          <w:sz w:val="24"/>
        </w:rPr>
      </w:pPr>
      <w:r>
        <w:rPr>
          <w:rFonts w:hint="eastAsia" w:ascii="宋体" w:hAnsi="宋体" w:cs="宋体"/>
          <w:sz w:val="24"/>
        </w:rPr>
        <w:t>11.2.3联合协议；</w:t>
      </w:r>
    </w:p>
    <w:p>
      <w:pPr>
        <w:snapToGrid w:val="0"/>
        <w:spacing w:line="360" w:lineRule="auto"/>
        <w:ind w:firstLine="480" w:firstLineChars="200"/>
        <w:rPr>
          <w:rFonts w:ascii="宋体" w:hAnsi="宋体" w:cs="宋体"/>
          <w:sz w:val="24"/>
        </w:rPr>
      </w:pPr>
      <w:r>
        <w:rPr>
          <w:rFonts w:hint="eastAsia" w:ascii="宋体" w:hAnsi="宋体" w:cs="宋体"/>
          <w:sz w:val="24"/>
        </w:rPr>
        <w:t>11.2.4分包意向协议；</w:t>
      </w:r>
    </w:p>
    <w:p>
      <w:pPr>
        <w:snapToGrid w:val="0"/>
        <w:spacing w:line="360" w:lineRule="auto"/>
        <w:ind w:firstLine="480" w:firstLineChars="200"/>
        <w:rPr>
          <w:rFonts w:ascii="宋体" w:hAnsi="宋体" w:cs="宋体"/>
          <w:sz w:val="24"/>
        </w:rPr>
      </w:pPr>
      <w:r>
        <w:rPr>
          <w:rFonts w:hint="eastAsia" w:ascii="宋体" w:hAnsi="宋体" w:cs="宋体"/>
          <w:sz w:val="24"/>
        </w:rPr>
        <w:t>11.2.5符合性审查资料；</w:t>
      </w:r>
    </w:p>
    <w:p>
      <w:pPr>
        <w:snapToGrid w:val="0"/>
        <w:spacing w:line="360" w:lineRule="auto"/>
        <w:ind w:firstLine="480" w:firstLineChars="200"/>
        <w:rPr>
          <w:rFonts w:ascii="宋体" w:hAnsi="宋体" w:cs="宋体"/>
          <w:sz w:val="24"/>
        </w:rPr>
      </w:pPr>
      <w:r>
        <w:rPr>
          <w:rFonts w:hint="eastAsia" w:ascii="宋体" w:hAnsi="宋体" w:cs="宋体"/>
          <w:sz w:val="24"/>
        </w:rPr>
        <w:t>11.2.6评标标准相应的商务技术资料；</w:t>
      </w:r>
    </w:p>
    <w:p>
      <w:pPr>
        <w:snapToGrid w:val="0"/>
        <w:spacing w:line="360" w:lineRule="auto"/>
        <w:ind w:firstLine="480" w:firstLineChars="200"/>
        <w:rPr>
          <w:rFonts w:ascii="宋体" w:hAnsi="宋体" w:cs="宋体"/>
          <w:sz w:val="24"/>
        </w:rPr>
      </w:pPr>
      <w:r>
        <w:rPr>
          <w:rFonts w:hint="eastAsia" w:ascii="宋体" w:hAnsi="宋体" w:cs="宋体"/>
          <w:sz w:val="24"/>
        </w:rPr>
        <w:t>11.2.7商务技术偏离表；</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b/>
          <w:sz w:val="24"/>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p>
    <w:p>
      <w:pPr>
        <w:snapToGrid w:val="0"/>
        <w:spacing w:line="360" w:lineRule="auto"/>
        <w:ind w:firstLine="480" w:firstLineChars="200"/>
        <w:rPr>
          <w:rFonts w:ascii="宋体" w:hAnsi="宋体" w:cs="宋体"/>
          <w:sz w:val="24"/>
        </w:rPr>
      </w:pPr>
      <w:r>
        <w:rPr>
          <w:rFonts w:hint="eastAsia" w:ascii="宋体" w:hAnsi="宋体" w:cs="宋体"/>
          <w:sz w:val="24"/>
        </w:rPr>
        <w:t>11.3.1开标一览表（报价表）；</w:t>
      </w:r>
    </w:p>
    <w:p>
      <w:pPr>
        <w:snapToGrid w:val="0"/>
        <w:spacing w:line="360" w:lineRule="auto"/>
        <w:ind w:firstLine="480" w:firstLineChars="200"/>
        <w:rPr>
          <w:rFonts w:ascii="宋体" w:hAnsi="宋体" w:cs="宋体"/>
          <w:sz w:val="24"/>
        </w:rPr>
      </w:pPr>
      <w:r>
        <w:rPr>
          <w:rFonts w:hint="eastAsia" w:ascii="宋体" w:hAnsi="宋体" w:cs="宋体"/>
          <w:sz w:val="24"/>
        </w:rPr>
        <w:t>11.3.2中小企业声明函。</w:t>
      </w:r>
    </w:p>
    <w:p>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pPr>
        <w:pStyle w:val="129"/>
        <w:snapToGrid w:val="0"/>
        <w:spacing w:before="0"/>
        <w:ind w:firstLine="0" w:firstLineChars="0"/>
        <w:outlineLvl w:val="0"/>
        <w:rPr>
          <w:rFonts w:ascii="宋体" w:hAnsi="宋体" w:cs="宋体"/>
          <w:b/>
          <w:szCs w:val="24"/>
        </w:rPr>
      </w:pPr>
      <w:bookmarkStart w:id="19" w:name="_Toc10587"/>
      <w:r>
        <w:rPr>
          <w:rFonts w:hint="eastAsia" w:ascii="宋体" w:hAnsi="宋体" w:cs="宋体"/>
          <w:b/>
          <w:szCs w:val="24"/>
        </w:rPr>
        <w:t>12</w:t>
      </w:r>
      <w:r>
        <w:rPr>
          <w:rFonts w:hint="eastAsia" w:ascii="宋体" w:hAnsi="宋体" w:cs="宋体"/>
          <w:b/>
          <w:kern w:val="0"/>
          <w:szCs w:val="24"/>
          <w:lang w:val="zh-CN"/>
        </w:rPr>
        <w:t>.</w:t>
      </w:r>
      <w:r>
        <w:rPr>
          <w:rFonts w:hint="eastAsia" w:ascii="宋体" w:hAnsi="宋体" w:cs="宋体"/>
          <w:b/>
          <w:szCs w:val="24"/>
        </w:rPr>
        <w:t>投标文件的编制</w:t>
      </w:r>
      <w:bookmarkEnd w:id="19"/>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29"/>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29"/>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29"/>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29"/>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129"/>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9"/>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29"/>
        <w:spacing w:before="0"/>
        <w:ind w:firstLine="480"/>
        <w:rPr>
          <w:rFonts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pPr>
        <w:pStyle w:val="35"/>
        <w:spacing w:line="360" w:lineRule="auto"/>
        <w:rPr>
          <w:rFonts w:hAnsi="宋体" w:cs="宋体"/>
          <w:b/>
          <w:sz w:val="24"/>
          <w:szCs w:val="24"/>
        </w:rPr>
      </w:pPr>
      <w:r>
        <w:rPr>
          <w:rFonts w:hint="eastAsia" w:hAnsi="宋体" w:cs="宋体"/>
          <w:b/>
          <w:sz w:val="24"/>
          <w:szCs w:val="24"/>
        </w:rPr>
        <w:t>15.备份投标文件</w:t>
      </w:r>
    </w:p>
    <w:p>
      <w:pPr>
        <w:pStyle w:val="35"/>
        <w:spacing w:line="360" w:lineRule="auto"/>
        <w:ind w:firstLine="480" w:firstLineChars="200"/>
        <w:rPr>
          <w:rFonts w:hAnsi="宋体" w:cs="宋体"/>
          <w:b/>
          <w:sz w:val="24"/>
          <w:szCs w:val="24"/>
        </w:rPr>
      </w:pPr>
      <w:r>
        <w:rPr>
          <w:rFonts w:hint="eastAsia" w:hAnsi="宋体" w:cs="宋体"/>
          <w:sz w:val="24"/>
          <w:szCs w:val="24"/>
        </w:rPr>
        <w:t>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pPr>
        <w:pStyle w:val="35"/>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U盘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35"/>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pPr>
        <w:pStyle w:val="35"/>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送达时间以签收人签收时间为准。采购机构将拒绝接受逾期送达的备份投标文件。邮寄过程中，电子备份投标文件发生泄露、遗失、损坏或延期送达等情况的，由投标人自行负责。</w:t>
      </w:r>
    </w:p>
    <w:p>
      <w:pPr>
        <w:pStyle w:val="35"/>
        <w:spacing w:line="360" w:lineRule="auto"/>
        <w:ind w:firstLine="479" w:firstLineChars="199"/>
        <w:rPr>
          <w:rFonts w:hAnsi="宋体" w:cs="宋体"/>
          <w:b/>
          <w:sz w:val="24"/>
          <w:szCs w:val="24"/>
        </w:rPr>
      </w:pPr>
      <w:r>
        <w:rPr>
          <w:rFonts w:hint="eastAsia" w:hAnsi="宋体" w:cs="宋体"/>
          <w:b/>
          <w:sz w:val="24"/>
          <w:szCs w:val="24"/>
        </w:rPr>
        <w:t>15.5投标人仅提交备份投标文件，没有在电子交易平台传输递交投标文件的，投标无效。</w:t>
      </w:r>
    </w:p>
    <w:p>
      <w:pPr>
        <w:pStyle w:val="129"/>
        <w:spacing w:before="0"/>
        <w:ind w:firstLine="0" w:firstLineChars="0"/>
        <w:rPr>
          <w:rFonts w:ascii="宋体" w:hAnsi="宋体" w:cs="宋体"/>
          <w:b/>
          <w:szCs w:val="24"/>
        </w:rPr>
      </w:pPr>
      <w:r>
        <w:rPr>
          <w:rFonts w:hint="eastAsia" w:ascii="宋体" w:hAnsi="宋体" w:cs="宋体"/>
          <w:b/>
          <w:szCs w:val="24"/>
        </w:rPr>
        <w:t>16.投标文件的无效处理</w:t>
      </w:r>
    </w:p>
    <w:p>
      <w:pPr>
        <w:pStyle w:val="3"/>
        <w:spacing w:line="360" w:lineRule="auto"/>
        <w:ind w:firstLine="360" w:firstLineChars="150"/>
        <w:rPr>
          <w:rFonts w:cs="宋体"/>
          <w:szCs w:val="21"/>
        </w:rPr>
      </w:pPr>
      <w:r>
        <w:rPr>
          <w:rFonts w:hint="eastAsia" w:cs="宋体"/>
          <w:szCs w:val="21"/>
        </w:rPr>
        <w:t>有招标文件第四部分</w:t>
      </w:r>
      <w:r>
        <w:rPr>
          <w:rFonts w:hint="eastAsia" w:cs="宋体"/>
        </w:rPr>
        <w:t>4.2规定</w:t>
      </w:r>
      <w:r>
        <w:rPr>
          <w:rFonts w:hint="eastAsia" w:cs="宋体"/>
          <w:szCs w:val="21"/>
        </w:rPr>
        <w:t>的情形之一的，投标无效：</w:t>
      </w:r>
    </w:p>
    <w:p>
      <w:pPr>
        <w:pStyle w:val="129"/>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29"/>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29"/>
        <w:spacing w:before="0"/>
        <w:ind w:firstLine="480"/>
        <w:rPr>
          <w:rFonts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pPr>
        <w:pStyle w:val="129"/>
        <w:spacing w:before="0"/>
        <w:ind w:firstLine="643"/>
        <w:rPr>
          <w:rFonts w:ascii="宋体" w:hAnsi="宋体" w:cs="宋体"/>
          <w:b/>
          <w:sz w:val="32"/>
        </w:rPr>
      </w:pPr>
    </w:p>
    <w:p>
      <w:pPr>
        <w:pStyle w:val="129"/>
        <w:spacing w:before="0"/>
        <w:ind w:firstLine="643"/>
        <w:rPr>
          <w:rFonts w:ascii="宋体" w:hAnsi="宋体" w:cs="宋体"/>
          <w:b/>
          <w:sz w:val="32"/>
        </w:rPr>
      </w:pPr>
    </w:p>
    <w:p>
      <w:pPr>
        <w:pStyle w:val="129"/>
        <w:spacing w:before="0"/>
        <w:ind w:firstLine="1928" w:firstLineChars="600"/>
        <w:rPr>
          <w:rFonts w:ascii="宋体" w:hAnsi="宋体" w:cs="宋体"/>
          <w:b/>
          <w:sz w:val="32"/>
        </w:rPr>
      </w:pPr>
    </w:p>
    <w:p>
      <w:pPr>
        <w:pStyle w:val="129"/>
        <w:spacing w:before="0"/>
        <w:ind w:firstLine="1928" w:firstLineChars="600"/>
        <w:rPr>
          <w:rFonts w:ascii="宋体" w:hAnsi="宋体" w:cs="宋体"/>
          <w:b/>
          <w:sz w:val="32"/>
        </w:rPr>
        <w:sectPr>
          <w:pgSz w:w="11906" w:h="16838"/>
          <w:pgMar w:top="680" w:right="1418" w:bottom="468" w:left="1418" w:header="851" w:footer="992" w:gutter="0"/>
          <w:cols w:space="720" w:num="1"/>
          <w:titlePg/>
          <w:docGrid w:linePitch="312" w:charSpace="0"/>
        </w:sectPr>
      </w:pPr>
    </w:p>
    <w:p>
      <w:pPr>
        <w:pStyle w:val="129"/>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554"/>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p>
    <w:p>
      <w:pPr>
        <w:pStyle w:val="554"/>
        <w:spacing w:before="0" w:line="360" w:lineRule="auto"/>
        <w:ind w:left="0" w:firstLine="480" w:firstLineChars="200"/>
        <w:contextualSpacing/>
        <w:rPr>
          <w:rFonts w:ascii="宋体" w:hAnsi="宋体" w:cs="宋体"/>
          <w:sz w:val="24"/>
        </w:rPr>
      </w:pPr>
      <w:r>
        <w:rPr>
          <w:rFonts w:hint="eastAsia" w:ascii="宋体" w:hAnsi="宋体" w:cs="宋体"/>
          <w:sz w:val="24"/>
        </w:rPr>
        <w:t>18.1采购机构按照招标文件规定的时间通过电子交易平台组织开标，所有投标人均应当准时在线参加。投标人不足3家的，不得开标。</w:t>
      </w:r>
    </w:p>
    <w:p>
      <w:pPr>
        <w:pStyle w:val="554"/>
        <w:spacing w:before="0" w:line="360" w:lineRule="auto"/>
        <w:ind w:left="0" w:firstLine="480" w:firstLineChars="200"/>
        <w:contextualSpacing/>
        <w:rPr>
          <w:rFonts w:ascii="宋体" w:hAnsi="宋体" w:cs="宋体"/>
          <w:sz w:val="24"/>
        </w:rPr>
      </w:pPr>
      <w:r>
        <w:rPr>
          <w:rFonts w:hint="eastAsia" w:ascii="宋体" w:hAnsi="宋体" w:cs="宋体"/>
          <w:sz w:val="24"/>
        </w:rPr>
        <w:t>18.2开标时，电子交易平台按开标时间自动提取所有投标文件。采购机构依托电子交易平台发起开始解密指令，投标人按照平台提示和招标文件的规定在半小时内完成在线解密。</w:t>
      </w:r>
    </w:p>
    <w:p>
      <w:pPr>
        <w:pStyle w:val="554"/>
        <w:spacing w:before="0" w:line="360" w:lineRule="auto"/>
        <w:ind w:left="0" w:firstLine="480" w:firstLineChars="200"/>
        <w:contextualSpacing/>
        <w:rPr>
          <w:rFonts w:ascii="宋体" w:hAnsi="宋体" w:cs="宋体"/>
          <w:b/>
          <w:sz w:val="24"/>
        </w:rPr>
      </w:pPr>
      <w:r>
        <w:rPr>
          <w:rFonts w:hint="eastAsia" w:ascii="宋体" w:hAnsi="宋体" w:cs="宋体"/>
          <w:sz w:val="24"/>
        </w:rPr>
        <w:t>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19、资格审查</w:t>
      </w:r>
    </w:p>
    <w:p>
      <w:pPr>
        <w:pStyle w:val="129"/>
        <w:spacing w:before="0"/>
        <w:ind w:firstLine="480"/>
        <w:rPr>
          <w:rFonts w:ascii="宋体" w:hAnsi="宋体" w:cs="宋体"/>
          <w:kern w:val="0"/>
          <w:szCs w:val="24"/>
        </w:rPr>
      </w:pPr>
      <w:r>
        <w:rPr>
          <w:rFonts w:hint="eastAsia" w:ascii="宋体" w:hAnsi="宋体" w:cs="宋体"/>
          <w:kern w:val="0"/>
          <w:szCs w:val="24"/>
        </w:rPr>
        <w:t>19.1开标后，采购人或采购机构将依法对投标人的资格进行审查。</w:t>
      </w:r>
    </w:p>
    <w:p>
      <w:pPr>
        <w:snapToGrid w:val="0"/>
        <w:spacing w:line="360" w:lineRule="auto"/>
        <w:ind w:firstLine="480" w:firstLineChars="200"/>
        <w:rPr>
          <w:rFonts w:ascii="宋体" w:hAnsi="宋体" w:cs="宋体"/>
          <w:sz w:val="24"/>
        </w:rPr>
      </w:pPr>
      <w:r>
        <w:rPr>
          <w:rFonts w:hint="eastAsia" w:ascii="宋体" w:hAnsi="宋体" w:cs="宋体"/>
          <w:kern w:val="0"/>
          <w:sz w:val="24"/>
        </w:rPr>
        <w:t>19.2</w:t>
      </w:r>
      <w:r>
        <w:rPr>
          <w:rFonts w:hint="eastAsia" w:ascii="宋体" w:hAnsi="宋体" w:cs="宋体"/>
          <w:sz w:val="24"/>
        </w:rPr>
        <w:t>采购人或采购机构依据法律法规和招标文件的规定，对投标人的基本资格条件、特定资格条件进行审查。</w:t>
      </w:r>
    </w:p>
    <w:p>
      <w:pPr>
        <w:pStyle w:val="129"/>
        <w:spacing w:before="0"/>
        <w:ind w:firstLine="480"/>
        <w:rPr>
          <w:rFonts w:ascii="宋体" w:hAnsi="宋体" w:cs="宋体"/>
        </w:rPr>
      </w:pPr>
      <w:r>
        <w:rPr>
          <w:rFonts w:hint="eastAsia" w:ascii="宋体" w:hAnsi="宋体" w:cs="宋体"/>
          <w:kern w:val="0"/>
          <w:szCs w:val="24"/>
        </w:rPr>
        <w:t>19.3投标人未按照招标文件要求提供与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129"/>
        <w:spacing w:before="0"/>
        <w:ind w:firstLine="480"/>
        <w:rPr>
          <w:rFonts w:ascii="宋体" w:hAnsi="宋体" w:cs="宋体"/>
        </w:rPr>
      </w:pPr>
      <w:r>
        <w:rPr>
          <w:rFonts w:hint="eastAsia" w:ascii="宋体" w:hAnsi="宋体" w:cs="宋体"/>
          <w:kern w:val="0"/>
          <w:szCs w:val="24"/>
        </w:rPr>
        <w:t>19.</w:t>
      </w:r>
      <w:r>
        <w:rPr>
          <w:rFonts w:hint="eastAsia" w:ascii="宋体" w:hAnsi="宋体" w:cs="宋体"/>
        </w:rPr>
        <w:t>4对未通过资格审查的投标人，采购人或采购机构告知其未通过的原因。</w:t>
      </w:r>
    </w:p>
    <w:p>
      <w:pPr>
        <w:pStyle w:val="129"/>
        <w:spacing w:before="0"/>
        <w:ind w:firstLine="480"/>
        <w:rPr>
          <w:rFonts w:ascii="宋体" w:hAnsi="宋体" w:cs="宋体"/>
        </w:rPr>
      </w:pPr>
      <w:r>
        <w:rPr>
          <w:rFonts w:hint="eastAsia" w:ascii="宋体" w:hAnsi="宋体" w:cs="宋体"/>
          <w:kern w:val="0"/>
          <w:szCs w:val="24"/>
        </w:rPr>
        <w:t>19.</w:t>
      </w:r>
      <w:r>
        <w:rPr>
          <w:rFonts w:hint="eastAsia" w:ascii="宋体" w:hAnsi="宋体" w:cs="宋体"/>
        </w:rPr>
        <w:t>5合格投标人不足3家的，不再评标。</w:t>
      </w:r>
    </w:p>
    <w:p>
      <w:pPr>
        <w:pStyle w:val="129"/>
        <w:spacing w:before="0"/>
        <w:ind w:firstLine="0" w:firstLineChars="0"/>
        <w:rPr>
          <w:rFonts w:ascii="宋体" w:hAnsi="宋体" w:cs="宋体"/>
          <w:b/>
          <w:szCs w:val="24"/>
        </w:rPr>
      </w:pPr>
      <w:r>
        <w:rPr>
          <w:rFonts w:hint="eastAsia" w:ascii="宋体" w:hAnsi="宋体" w:cs="宋体"/>
          <w:b/>
          <w:szCs w:val="24"/>
        </w:rPr>
        <w:t>20、信用信息查询</w:t>
      </w:r>
    </w:p>
    <w:p>
      <w:pPr>
        <w:pStyle w:val="129"/>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20.1信用信息查询渠道及截止时间：采购机构将通过“信用中国”网站(www.creditchina.gov.cn)、中国政府采购网(www.ccgp.gov.cn)渠道查询投标人投标截止时间当天的信用记录。</w:t>
      </w:r>
    </w:p>
    <w:p>
      <w:pPr>
        <w:pStyle w:val="129"/>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29"/>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29"/>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pStyle w:val="129"/>
        <w:spacing w:before="0"/>
        <w:ind w:firstLine="0" w:firstLineChars="0"/>
        <w:rPr>
          <w:rFonts w:ascii="宋体" w:hAnsi="宋体" w:cs="宋体"/>
          <w:kern w:val="0"/>
          <w:szCs w:val="24"/>
        </w:rPr>
      </w:pPr>
    </w:p>
    <w:p>
      <w:pPr>
        <w:snapToGrid w:val="0"/>
        <w:spacing w:line="360" w:lineRule="auto"/>
        <w:jc w:val="center"/>
        <w:outlineLvl w:val="0"/>
        <w:rPr>
          <w:rFonts w:ascii="宋体" w:hAnsi="宋体" w:cs="宋体"/>
          <w:b/>
          <w:sz w:val="32"/>
          <w:szCs w:val="32"/>
        </w:rPr>
      </w:pPr>
      <w:bookmarkStart w:id="20" w:name="_Toc12543"/>
      <w:r>
        <w:rPr>
          <w:rFonts w:hint="eastAsia" w:ascii="宋体" w:hAnsi="宋体" w:cs="宋体"/>
          <w:b/>
          <w:sz w:val="32"/>
          <w:szCs w:val="32"/>
        </w:rPr>
        <w:t>五、评标</w:t>
      </w:r>
      <w:bookmarkEnd w:id="20"/>
    </w:p>
    <w:p>
      <w:pPr>
        <w:spacing w:line="360" w:lineRule="auto"/>
        <w:rPr>
          <w:rFonts w:ascii="宋体" w:hAnsi="宋体" w:cs="宋体"/>
          <w:b/>
          <w:sz w:val="24"/>
        </w:rPr>
      </w:pPr>
      <w:bookmarkStart w:id="21" w:name="_Toc91899903"/>
      <w:r>
        <w:rPr>
          <w:rFonts w:hint="eastAsia" w:ascii="宋体" w:hAnsi="宋体" w:cs="宋体"/>
          <w:b/>
          <w:sz w:val="24"/>
        </w:rPr>
        <w:t>21.</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pacing w:line="360" w:lineRule="auto"/>
        <w:rPr>
          <w:rFonts w:ascii="宋体" w:hAnsi="宋体" w:cs="宋体"/>
          <w:b/>
          <w:sz w:val="24"/>
        </w:rPr>
      </w:pPr>
    </w:p>
    <w:p>
      <w:pPr>
        <w:snapToGrid w:val="0"/>
        <w:spacing w:line="360" w:lineRule="auto"/>
        <w:jc w:val="center"/>
        <w:outlineLvl w:val="0"/>
        <w:rPr>
          <w:rFonts w:ascii="宋体" w:hAnsi="宋体" w:cs="宋体"/>
          <w:b/>
          <w:sz w:val="36"/>
          <w:szCs w:val="36"/>
        </w:rPr>
        <w:sectPr>
          <w:pgSz w:w="11906" w:h="16838"/>
          <w:pgMar w:top="680" w:right="1418" w:bottom="468" w:left="1418" w:header="851" w:footer="992" w:gutter="0"/>
          <w:cols w:space="720" w:num="1"/>
          <w:titlePg/>
          <w:docGrid w:linePitch="312" w:charSpace="0"/>
        </w:sectPr>
      </w:pPr>
      <w:bookmarkStart w:id="22" w:name="_Toc125"/>
    </w:p>
    <w:p>
      <w:pPr>
        <w:snapToGrid w:val="0"/>
        <w:spacing w:line="360" w:lineRule="auto"/>
        <w:jc w:val="center"/>
        <w:outlineLvl w:val="0"/>
        <w:rPr>
          <w:rFonts w:ascii="宋体" w:hAnsi="宋体" w:cs="宋体"/>
          <w:b/>
          <w:sz w:val="32"/>
          <w:szCs w:val="32"/>
        </w:rPr>
      </w:pPr>
      <w:r>
        <w:rPr>
          <w:rFonts w:hint="eastAsia" w:ascii="宋体" w:hAnsi="宋体" w:cs="宋体"/>
          <w:b/>
          <w:sz w:val="32"/>
          <w:szCs w:val="32"/>
        </w:rPr>
        <w:t>六、定标</w:t>
      </w:r>
      <w:bookmarkEnd w:id="22"/>
    </w:p>
    <w:p>
      <w:pPr>
        <w:pStyle w:val="3"/>
        <w:spacing w:line="360" w:lineRule="auto"/>
        <w:ind w:left="479" w:hanging="479" w:hangingChars="199"/>
        <w:rPr>
          <w:rFonts w:cs="宋体"/>
          <w:b/>
        </w:rPr>
      </w:pPr>
      <w:r>
        <w:rPr>
          <w:rFonts w:hint="eastAsia" w:cs="宋体"/>
          <w:b/>
        </w:rPr>
        <w:t>22.确定中标供应商</w:t>
      </w:r>
    </w:p>
    <w:p>
      <w:pPr>
        <w:pStyle w:val="129"/>
        <w:snapToGrid w:val="0"/>
        <w:spacing w:before="0"/>
        <w:ind w:firstLine="480"/>
        <w:rPr>
          <w:rFonts w:ascii="宋体" w:hAnsi="宋体" w:cs="宋体"/>
          <w:b/>
          <w:szCs w:val="24"/>
        </w:rPr>
      </w:pPr>
      <w:r>
        <w:rPr>
          <w:rFonts w:hint="eastAsia" w:ascii="宋体" w:hAnsi="宋体" w:cs="宋体"/>
          <w:szCs w:val="24"/>
        </w:rPr>
        <w:t>采购人将自收到评审报告之日起5个工作日内通过电子交易平台在评审报告推荐的中标候选人中按顺序确定中标供应商。</w:t>
      </w:r>
    </w:p>
    <w:p>
      <w:pPr>
        <w:pStyle w:val="129"/>
        <w:snapToGrid w:val="0"/>
        <w:spacing w:before="0"/>
        <w:ind w:firstLine="0" w:firstLineChars="0"/>
        <w:rPr>
          <w:rFonts w:ascii="宋体" w:hAnsi="宋体" w:cs="宋体"/>
          <w:b/>
          <w:szCs w:val="24"/>
        </w:rPr>
      </w:pPr>
      <w:r>
        <w:rPr>
          <w:rFonts w:hint="eastAsia" w:ascii="宋体" w:hAnsi="宋体" w:cs="宋体"/>
          <w:b/>
          <w:szCs w:val="24"/>
        </w:rPr>
        <w:t>23.中标通知与中标结果公告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p>
    <w:p>
      <w:pPr>
        <w:pStyle w:val="26"/>
        <w:rPr>
          <w:rFonts w:hAnsi="宋体" w:cs="宋体"/>
          <w:b/>
          <w:sz w:val="32"/>
        </w:rPr>
      </w:pPr>
    </w:p>
    <w:p>
      <w:pPr>
        <w:pStyle w:val="27"/>
      </w:pP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p>
    <w:p>
      <w:pPr>
        <w:snapToGrid w:val="0"/>
        <w:spacing w:line="360" w:lineRule="auto"/>
        <w:jc w:val="center"/>
        <w:rPr>
          <w:rFonts w:ascii="宋体" w:hAnsi="宋体" w:cs="宋体"/>
          <w:b/>
          <w:sz w:val="32"/>
        </w:rPr>
      </w:pPr>
    </w:p>
    <w:p>
      <w:pPr>
        <w:snapToGrid w:val="0"/>
        <w:spacing w:line="360" w:lineRule="auto"/>
        <w:jc w:val="center"/>
        <w:rPr>
          <w:rFonts w:ascii="宋体" w:hAnsi="宋体" w:cs="宋体"/>
          <w:b/>
          <w:sz w:val="32"/>
        </w:rPr>
        <w:sectPr>
          <w:pgSz w:w="11906" w:h="16838"/>
          <w:pgMar w:top="680" w:right="1418" w:bottom="468" w:left="1418" w:header="851" w:footer="992" w:gutter="0"/>
          <w:cols w:space="720" w:num="1"/>
          <w:titlePg/>
          <w:docGrid w:linePitch="312" w:charSpace="0"/>
        </w:sectPr>
      </w:pPr>
    </w:p>
    <w:p>
      <w:pPr>
        <w:snapToGrid w:val="0"/>
        <w:spacing w:line="360" w:lineRule="auto"/>
        <w:jc w:val="center"/>
        <w:rPr>
          <w:rFonts w:ascii="宋体" w:hAnsi="宋体" w:cs="宋体"/>
          <w:b/>
          <w:sz w:val="32"/>
        </w:rPr>
      </w:pPr>
      <w:r>
        <w:rPr>
          <w:rFonts w:hint="eastAsia" w:ascii="宋体" w:hAnsi="宋体" w:cs="宋体"/>
          <w:b/>
          <w:sz w:val="32"/>
        </w:rPr>
        <w:t>七、合同授予</w:t>
      </w:r>
    </w:p>
    <w:p>
      <w:pPr>
        <w:pStyle w:val="3"/>
        <w:spacing w:line="360" w:lineRule="auto"/>
        <w:ind w:left="479" w:hanging="479" w:hangingChars="199"/>
        <w:rPr>
          <w:rFonts w:cs="宋体"/>
          <w:b/>
        </w:rPr>
      </w:pPr>
      <w:r>
        <w:rPr>
          <w:rFonts w:hint="eastAsia" w:cs="宋体"/>
          <w:b/>
        </w:rPr>
        <w:t>24.</w:t>
      </w:r>
      <w:r>
        <w:rPr>
          <w:rFonts w:hint="eastAsia" w:cs="宋体"/>
        </w:rPr>
        <w:t>合同主要条款详见第五部分拟签订的合同文本。</w:t>
      </w:r>
    </w:p>
    <w:p>
      <w:pPr>
        <w:pStyle w:val="3"/>
        <w:spacing w:line="360" w:lineRule="auto"/>
        <w:ind w:left="479" w:hanging="479" w:hangingChars="199"/>
        <w:rPr>
          <w:rFonts w:cs="宋体"/>
          <w:b/>
        </w:rPr>
      </w:pPr>
      <w:r>
        <w:rPr>
          <w:rFonts w:hint="eastAsia" w:cs="宋体"/>
          <w:b/>
        </w:rPr>
        <w:t>25.合同的签订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采购人与中标人应当通过电子交易平台在中标通知书发出之日起三十日内，按照招标文件确定的事项签订政府采购合同，并在合同签订之日起2个工作日内依法发布合同公告。</w:t>
      </w:r>
    </w:p>
    <w:p>
      <w:pPr>
        <w:pStyle w:val="129"/>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29"/>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129"/>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pPr>
        <w:pStyle w:val="129"/>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3"/>
        <w:spacing w:line="360" w:lineRule="auto"/>
        <w:ind w:left="479" w:hanging="479" w:hangingChars="199"/>
        <w:rPr>
          <w:rFonts w:cs="宋体"/>
          <w:b/>
        </w:rPr>
      </w:pPr>
      <w:r>
        <w:rPr>
          <w:rFonts w:hint="eastAsia" w:cs="宋体"/>
          <w:b/>
        </w:rPr>
        <w:t>26.履约保证金</w:t>
      </w:r>
    </w:p>
    <w:p>
      <w:pPr>
        <w:tabs>
          <w:tab w:val="left" w:pos="0"/>
        </w:tabs>
        <w:spacing w:line="360" w:lineRule="auto"/>
        <w:ind w:firstLine="482"/>
        <w:rPr>
          <w:rFonts w:ascii="宋体" w:hAnsi="宋体" w:cs="宋体"/>
          <w:b/>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。履约保证金的数额不得超过政府采购合同金额的1%（具体以采购需求为准）。鼓励和支持供应商以银行、保险公司出具的保函形式提供履约保证金。</w:t>
      </w:r>
      <w:r>
        <w:rPr>
          <w:rFonts w:hint="eastAsia" w:ascii="宋体" w:hAnsi="宋体" w:cs="宋体"/>
          <w:b/>
          <w:sz w:val="24"/>
        </w:rPr>
        <w:t>采购人不得拒收履约保函。</w:t>
      </w:r>
    </w:p>
    <w:p>
      <w:pPr>
        <w:pStyle w:val="5"/>
        <w:ind w:left="0" w:firstLine="480" w:firstLineChars="200"/>
        <w:rPr>
          <w:rFonts w:ascii="宋体" w:hAnsi="宋体" w:eastAsia="宋体" w:cs="宋体"/>
          <w:lang w:val="en-US"/>
        </w:rPr>
      </w:pPr>
      <w:bookmarkStart w:id="23" w:name="_Toc23154"/>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bookmarkEnd w:id="23"/>
    </w:p>
    <w:p>
      <w:pPr>
        <w:snapToGrid w:val="0"/>
        <w:spacing w:line="360" w:lineRule="auto"/>
        <w:ind w:firstLine="3357" w:firstLineChars="1045"/>
        <w:rPr>
          <w:rFonts w:ascii="宋体" w:hAnsi="宋体" w:cs="宋体"/>
          <w:b/>
          <w:sz w:val="32"/>
        </w:rPr>
      </w:pPr>
    </w:p>
    <w:p>
      <w:pPr>
        <w:snapToGrid w:val="0"/>
        <w:spacing w:line="360" w:lineRule="auto"/>
        <w:ind w:firstLine="3357" w:firstLineChars="1045"/>
        <w:rPr>
          <w:rFonts w:ascii="宋体" w:hAnsi="宋体" w:cs="宋体"/>
          <w:b/>
          <w:sz w:val="32"/>
        </w:rPr>
      </w:pPr>
    </w:p>
    <w:p>
      <w:pPr>
        <w:snapToGrid w:val="0"/>
        <w:spacing w:line="360" w:lineRule="auto"/>
        <w:rPr>
          <w:rFonts w:ascii="宋体" w:hAnsi="宋体" w:cs="宋体"/>
          <w:b/>
          <w:sz w:val="32"/>
        </w:rPr>
      </w:pPr>
    </w:p>
    <w:p>
      <w:pPr>
        <w:snapToGrid w:val="0"/>
        <w:spacing w:line="360" w:lineRule="auto"/>
        <w:ind w:firstLine="3357" w:firstLineChars="1045"/>
        <w:rPr>
          <w:rFonts w:ascii="宋体" w:hAnsi="宋体" w:cs="宋体"/>
          <w:b/>
          <w:sz w:val="32"/>
        </w:rPr>
        <w:sectPr>
          <w:pgSz w:w="11906" w:h="16838"/>
          <w:pgMar w:top="680" w:right="1418" w:bottom="468" w:left="1418" w:header="851" w:footer="992" w:gutter="0"/>
          <w:cols w:space="720" w:num="1"/>
          <w:titlePg/>
          <w:docGrid w:linePitch="312" w:charSpace="0"/>
        </w:sectPr>
      </w:pPr>
    </w:p>
    <w:p>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pPr>
        <w:pStyle w:val="129"/>
        <w:snapToGrid w:val="0"/>
        <w:spacing w:before="0"/>
        <w:ind w:firstLine="0" w:firstLineChars="0"/>
        <w:rPr>
          <w:rFonts w:ascii="宋体" w:hAnsi="宋体" w:cs="宋体"/>
        </w:rPr>
      </w:pPr>
      <w:r>
        <w:rPr>
          <w:rFonts w:hint="eastAsia" w:ascii="宋体" w:hAnsi="宋体" w:cs="宋体"/>
          <w:b/>
          <w:bCs/>
        </w:rPr>
        <w:t>2</w:t>
      </w:r>
      <w:r>
        <w:rPr>
          <w:rFonts w:hint="eastAsia" w:ascii="宋体" w:hAnsi="宋体" w:cs="宋体"/>
          <w:b/>
          <w:bCs/>
          <w:szCs w:val="24"/>
        </w:rPr>
        <w:t>7</w:t>
      </w:r>
      <w:r>
        <w:rPr>
          <w:rFonts w:hint="eastAsia" w:ascii="宋体" w:hAnsi="宋体" w:cs="宋体"/>
          <w:b/>
          <w:szCs w:val="24"/>
        </w:rPr>
        <w:t>.电子交易活动的中止。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pPr>
        <w:pStyle w:val="129"/>
        <w:snapToGrid w:val="0"/>
        <w:spacing w:before="0"/>
        <w:ind w:firstLine="480"/>
        <w:rPr>
          <w:rFonts w:ascii="宋体" w:hAnsi="宋体" w:cs="宋体"/>
        </w:rPr>
      </w:pPr>
      <w:r>
        <w:rPr>
          <w:rFonts w:hint="eastAsia" w:ascii="宋体" w:hAnsi="宋体" w:cs="宋体"/>
        </w:rPr>
        <w:t xml:space="preserve">27.1电子交易平台发生故障而无法登录访问的； </w:t>
      </w:r>
    </w:p>
    <w:p>
      <w:pPr>
        <w:pStyle w:val="129"/>
        <w:snapToGrid w:val="0"/>
        <w:spacing w:before="0"/>
        <w:ind w:firstLine="480"/>
        <w:rPr>
          <w:rFonts w:ascii="宋体" w:hAnsi="宋体" w:cs="宋体"/>
        </w:rPr>
      </w:pPr>
      <w:r>
        <w:rPr>
          <w:rFonts w:hint="eastAsia" w:ascii="宋体" w:hAnsi="宋体" w:cs="宋体"/>
        </w:rPr>
        <w:t>27.2电子交易平台应用或数据库出现错误，不能进行正常操作的；</w:t>
      </w:r>
    </w:p>
    <w:p>
      <w:pPr>
        <w:pStyle w:val="129"/>
        <w:snapToGrid w:val="0"/>
        <w:spacing w:before="0"/>
        <w:ind w:firstLine="480"/>
        <w:rPr>
          <w:rFonts w:ascii="宋体" w:hAnsi="宋体" w:cs="宋体"/>
        </w:rPr>
      </w:pPr>
      <w:r>
        <w:rPr>
          <w:rFonts w:hint="eastAsia" w:ascii="宋体" w:hAnsi="宋体" w:cs="宋体"/>
        </w:rPr>
        <w:t>27.3电子交易平台发现严重安全漏洞，有潜在泄密危险的；</w:t>
      </w:r>
    </w:p>
    <w:p>
      <w:pPr>
        <w:pStyle w:val="129"/>
        <w:snapToGrid w:val="0"/>
        <w:spacing w:before="0"/>
        <w:ind w:firstLine="480"/>
        <w:rPr>
          <w:rFonts w:ascii="宋体" w:hAnsi="宋体" w:cs="宋体"/>
        </w:rPr>
      </w:pPr>
      <w:r>
        <w:rPr>
          <w:rFonts w:hint="eastAsia" w:ascii="宋体" w:hAnsi="宋体" w:cs="宋体"/>
        </w:rPr>
        <w:t xml:space="preserve">27.4病毒发作导致不能进行正常操作的； </w:t>
      </w:r>
    </w:p>
    <w:p>
      <w:pPr>
        <w:pStyle w:val="129"/>
        <w:snapToGrid w:val="0"/>
        <w:spacing w:before="0"/>
        <w:ind w:firstLine="480"/>
        <w:rPr>
          <w:rFonts w:ascii="宋体" w:hAnsi="宋体" w:cs="宋体"/>
        </w:rPr>
      </w:pPr>
      <w:r>
        <w:rPr>
          <w:rFonts w:hint="eastAsia" w:ascii="宋体" w:hAnsi="宋体" w:cs="宋体"/>
        </w:rPr>
        <w:t>27.5其他无法保证电子交易的公平、公正和安全的情况。</w:t>
      </w:r>
    </w:p>
    <w:p>
      <w:pPr>
        <w:pStyle w:val="129"/>
        <w:snapToGrid w:val="0"/>
        <w:spacing w:before="0"/>
        <w:ind w:firstLine="0" w:firstLineChars="0"/>
        <w:rPr>
          <w:rFonts w:ascii="宋体" w:hAnsi="宋体" w:cs="宋体"/>
        </w:rPr>
      </w:pPr>
      <w:r>
        <w:rPr>
          <w:rFonts w:hint="eastAsia" w:ascii="宋体" w:hAnsi="宋体" w:cs="宋体"/>
        </w:rPr>
        <w:t>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ind w:left="120" w:leftChars="57" w:firstLine="482" w:firstLineChars="150"/>
        <w:jc w:val="center"/>
        <w:rPr>
          <w:rFonts w:ascii="宋体" w:hAnsi="宋体" w:cs="宋体"/>
          <w:b/>
          <w:sz w:val="32"/>
        </w:rPr>
        <w:sectPr>
          <w:pgSz w:w="11906" w:h="16838"/>
          <w:pgMar w:top="680" w:right="1418" w:bottom="468" w:left="1418" w:header="851" w:footer="992" w:gutter="0"/>
          <w:cols w:space="720" w:num="1"/>
          <w:titlePg/>
          <w:docGrid w:linePitch="312" w:charSpace="0"/>
        </w:sect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3"/>
        <w:spacing w:line="360" w:lineRule="auto"/>
        <w:ind w:firstLine="0" w:firstLineChars="0"/>
        <w:rPr>
          <w:rFonts w:cs="宋体"/>
          <w:b/>
        </w:rPr>
      </w:pPr>
      <w:r>
        <w:rPr>
          <w:rFonts w:hint="eastAsia" w:cs="宋体"/>
          <w:b/>
        </w:rPr>
        <w:t>29.验收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21"/>
    <w:p>
      <w:pPr>
        <w:tabs>
          <w:tab w:val="left" w:pos="0"/>
        </w:tabs>
        <w:spacing w:line="360" w:lineRule="auto"/>
        <w:ind w:firstLine="480"/>
        <w:rPr>
          <w:rFonts w:ascii="宋体" w:hAnsi="宋体" w:cs="宋体"/>
          <w:kern w:val="0"/>
          <w:sz w:val="24"/>
        </w:rPr>
        <w:sectPr>
          <w:pgSz w:w="11906" w:h="16838"/>
          <w:pgMar w:top="680" w:right="1418" w:bottom="468" w:left="1418" w:header="851" w:footer="992" w:gutter="0"/>
          <w:cols w:space="720" w:num="1"/>
          <w:titlePg/>
          <w:docGrid w:linePitch="312" w:charSpace="0"/>
        </w:sectPr>
      </w:pPr>
      <w:bookmarkStart w:id="24" w:name="_Hlt74714665"/>
      <w:bookmarkEnd w:id="24"/>
      <w:bookmarkStart w:id="25" w:name="_Hlt68057669"/>
      <w:bookmarkEnd w:id="25"/>
      <w:bookmarkStart w:id="26" w:name="_Hlt75236101"/>
      <w:bookmarkEnd w:id="26"/>
      <w:bookmarkStart w:id="27" w:name="_Hlt68072990"/>
      <w:bookmarkEnd w:id="27"/>
      <w:bookmarkStart w:id="28" w:name="_Hlt68403820"/>
      <w:bookmarkEnd w:id="28"/>
      <w:bookmarkStart w:id="29" w:name="_Hlt68072998"/>
      <w:bookmarkEnd w:id="29"/>
      <w:bookmarkStart w:id="30" w:name="_Hlt75236011"/>
      <w:bookmarkEnd w:id="30"/>
      <w:bookmarkStart w:id="31" w:name="_Hlt75236290"/>
      <w:bookmarkEnd w:id="31"/>
      <w:bookmarkStart w:id="32" w:name="_Hlt74729768"/>
      <w:bookmarkEnd w:id="32"/>
      <w:bookmarkStart w:id="33" w:name="_Hlt74707468"/>
      <w:bookmarkEnd w:id="33"/>
      <w:bookmarkStart w:id="34" w:name="_Hlt74730295"/>
      <w:bookmarkEnd w:id="34"/>
      <w:bookmarkStart w:id="35" w:name="_Hlt68073093"/>
      <w:bookmarkEnd w:id="35"/>
    </w:p>
    <w:bookmarkEnd w:id="13"/>
    <w:bookmarkEnd w:id="14"/>
    <w:p>
      <w:pPr>
        <w:spacing w:line="360" w:lineRule="auto"/>
        <w:jc w:val="center"/>
        <w:outlineLvl w:val="0"/>
        <w:rPr>
          <w:rFonts w:ascii="宋体" w:hAnsi="宋体" w:cs="宋体"/>
          <w:b/>
          <w:sz w:val="36"/>
          <w:szCs w:val="36"/>
        </w:rPr>
      </w:pPr>
      <w:bookmarkStart w:id="36" w:name="_Toc16440"/>
      <w:bookmarkStart w:id="37" w:name="第四部分"/>
      <w:r>
        <w:rPr>
          <w:rFonts w:hint="eastAsia" w:ascii="宋体" w:hAnsi="宋体" w:cs="宋体"/>
          <w:b/>
          <w:sz w:val="36"/>
          <w:szCs w:val="36"/>
        </w:rPr>
        <w:t>第三部分 采购需求</w:t>
      </w:r>
      <w:bookmarkEnd w:id="36"/>
    </w:p>
    <w:p>
      <w:pPr>
        <w:pStyle w:val="5"/>
        <w:bidi w:val="0"/>
        <w:rPr>
          <w:rFonts w:hint="eastAsia" w:ascii="宋体" w:hAnsi="宋体" w:eastAsia="宋体" w:cs="宋体"/>
          <w:sz w:val="24"/>
          <w:szCs w:val="24"/>
        </w:rPr>
      </w:pPr>
      <w:bookmarkStart w:id="38" w:name="_Toc14888"/>
      <w:r>
        <w:rPr>
          <w:rFonts w:hint="eastAsia" w:ascii="宋体" w:hAnsi="宋体" w:eastAsia="宋体" w:cs="宋体"/>
          <w:sz w:val="24"/>
          <w:szCs w:val="24"/>
          <w:lang w:eastAsia="zh-CN"/>
        </w:rPr>
        <w:t>一、</w:t>
      </w:r>
      <w:r>
        <w:rPr>
          <w:rFonts w:hint="eastAsia" w:ascii="宋体" w:hAnsi="宋体" w:eastAsia="宋体" w:cs="宋体"/>
          <w:sz w:val="24"/>
          <w:szCs w:val="24"/>
        </w:rPr>
        <w:t>项目概况</w:t>
      </w:r>
      <w:bookmarkEnd w:id="38"/>
    </w:p>
    <w:p>
      <w:pPr>
        <w:widowControl/>
        <w:spacing w:line="360" w:lineRule="auto"/>
        <w:ind w:firstLine="480"/>
        <w:jc w:val="left"/>
        <w:rPr>
          <w:rFonts w:hint="eastAsia" w:ascii="宋体" w:hAnsi="宋体" w:eastAsia="宋体" w:cs="宋体"/>
          <w:sz w:val="24"/>
          <w:szCs w:val="24"/>
        </w:rPr>
      </w:pPr>
      <w:r>
        <w:rPr>
          <w:rFonts w:hint="eastAsia" w:ascii="宋体" w:hAnsi="宋体" w:eastAsia="宋体" w:cs="宋体"/>
          <w:sz w:val="24"/>
          <w:szCs w:val="24"/>
        </w:rPr>
        <w:t>为保证国家区域空气自动监测网络（国家区域站）的稳定、高效运行，现招标引入第三方专业技术公司负责202</w:t>
      </w:r>
      <w:r>
        <w:rPr>
          <w:rFonts w:hint="eastAsia" w:ascii="宋体" w:hAnsi="宋体" w:eastAsia="宋体" w:cs="宋体"/>
          <w:sz w:val="24"/>
          <w:szCs w:val="24"/>
          <w:lang w:val="en-US" w:eastAsia="zh-CN"/>
        </w:rPr>
        <w:t>2</w:t>
      </w:r>
      <w:r>
        <w:rPr>
          <w:rFonts w:hint="eastAsia" w:ascii="宋体" w:hAnsi="宋体" w:eastAsia="宋体" w:cs="宋体"/>
          <w:sz w:val="24"/>
          <w:szCs w:val="24"/>
        </w:rPr>
        <w:t>-202</w:t>
      </w:r>
      <w:r>
        <w:rPr>
          <w:rFonts w:hint="eastAsia" w:ascii="宋体" w:hAnsi="宋体" w:eastAsia="宋体" w:cs="宋体"/>
          <w:sz w:val="24"/>
          <w:szCs w:val="24"/>
          <w:lang w:val="en-US" w:eastAsia="zh-CN"/>
        </w:rPr>
        <w:t>3</w:t>
      </w:r>
      <w:r>
        <w:rPr>
          <w:rFonts w:hint="eastAsia" w:ascii="宋体" w:hAnsi="宋体" w:eastAsia="宋体" w:cs="宋体"/>
          <w:sz w:val="24"/>
          <w:szCs w:val="24"/>
        </w:rPr>
        <w:t>年度运维工作。</w:t>
      </w:r>
    </w:p>
    <w:p>
      <w:pPr>
        <w:widowControl/>
        <w:spacing w:line="360" w:lineRule="auto"/>
        <w:ind w:firstLine="480"/>
        <w:jc w:val="left"/>
        <w:rPr>
          <w:rFonts w:hint="eastAsia" w:ascii="宋体" w:hAnsi="宋体" w:eastAsia="宋体" w:cs="宋体"/>
          <w:sz w:val="24"/>
          <w:szCs w:val="24"/>
        </w:rPr>
      </w:pPr>
      <w:r>
        <w:rPr>
          <w:rFonts w:hint="eastAsia" w:ascii="宋体" w:hAnsi="宋体" w:eastAsia="宋体" w:cs="宋体"/>
          <w:sz w:val="24"/>
          <w:szCs w:val="24"/>
        </w:rPr>
        <w:t>运维时间：202</w:t>
      </w:r>
      <w:r>
        <w:rPr>
          <w:rFonts w:hint="eastAsia" w:ascii="宋体" w:hAnsi="宋体" w:eastAsia="宋体" w:cs="宋体"/>
          <w:sz w:val="24"/>
          <w:szCs w:val="24"/>
          <w:lang w:val="en-US" w:eastAsia="zh-CN"/>
        </w:rPr>
        <w:t>2</w:t>
      </w:r>
      <w:r>
        <w:rPr>
          <w:rFonts w:hint="eastAsia" w:ascii="宋体" w:hAnsi="宋体" w:eastAsia="宋体" w:cs="宋体"/>
          <w:sz w:val="24"/>
          <w:szCs w:val="24"/>
        </w:rPr>
        <w:t>年10月-202</w:t>
      </w:r>
      <w:r>
        <w:rPr>
          <w:rFonts w:hint="eastAsia" w:ascii="宋体" w:hAnsi="宋体" w:eastAsia="宋体" w:cs="宋体"/>
          <w:sz w:val="24"/>
          <w:szCs w:val="24"/>
          <w:lang w:val="en-US" w:eastAsia="zh-CN"/>
        </w:rPr>
        <w:t>3</w:t>
      </w:r>
      <w:r>
        <w:rPr>
          <w:rFonts w:hint="eastAsia" w:ascii="宋体" w:hAnsi="宋体" w:eastAsia="宋体" w:cs="宋体"/>
          <w:sz w:val="24"/>
          <w:szCs w:val="24"/>
        </w:rPr>
        <w:t>年10月。</w:t>
      </w:r>
    </w:p>
    <w:p>
      <w:pPr>
        <w:widowControl/>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运维站点：湖州新塘港、绍兴陈蔡水库、龙泉凤阳山。</w:t>
      </w:r>
    </w:p>
    <w:p>
      <w:pPr>
        <w:widowControl/>
        <w:spacing w:line="360" w:lineRule="auto"/>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rPr>
        <w:t>运维内容包括：负责三个国家区域站所有监测仪器、气象仪器、质控设备、数据采集与传输设备、辅助设备、防雷等基础设施的日常维护、质量控制、故障维修、年度检修、检定、储备适量的常用备品备件等工作</w:t>
      </w:r>
      <w:r>
        <w:rPr>
          <w:rFonts w:hint="eastAsia" w:ascii="宋体" w:hAnsi="宋体" w:eastAsia="宋体" w:cs="宋体"/>
          <w:sz w:val="24"/>
          <w:szCs w:val="24"/>
          <w:lang w:eastAsia="zh-CN"/>
        </w:rPr>
        <w:t>。</w:t>
      </w:r>
      <w:r>
        <w:rPr>
          <w:rFonts w:hint="eastAsia" w:ascii="宋体" w:hAnsi="宋体" w:eastAsia="宋体" w:cs="宋体"/>
          <w:sz w:val="24"/>
          <w:szCs w:val="24"/>
        </w:rPr>
        <w:t>以及站房、道路的及时维护维修、电力供应、网络通讯保障、运维专用车辆年检等，并负担相应费用。接受业主质控检查和考核，确保各项检测仪器正常稳定运行并与国家平台联网正常</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做好站点每半年的臭氧标准传递工作，负责每月区域站运维记录的上报工作。</w:t>
      </w:r>
    </w:p>
    <w:p>
      <w:pPr>
        <w:pStyle w:val="5"/>
        <w:bidi w:val="0"/>
        <w:rPr>
          <w:rFonts w:hint="eastAsia" w:ascii="宋体" w:hAnsi="宋体" w:eastAsia="宋体" w:cs="宋体"/>
          <w:sz w:val="24"/>
          <w:szCs w:val="24"/>
        </w:rPr>
      </w:pPr>
      <w:bookmarkStart w:id="39" w:name="_Toc19049"/>
      <w:r>
        <w:rPr>
          <w:rFonts w:hint="eastAsia" w:ascii="宋体" w:hAnsi="宋体" w:eastAsia="宋体" w:cs="宋体"/>
          <w:sz w:val="24"/>
          <w:szCs w:val="24"/>
          <w:lang w:eastAsia="zh-CN"/>
        </w:rPr>
        <w:t>二、</w:t>
      </w:r>
      <w:r>
        <w:rPr>
          <w:rFonts w:hint="eastAsia" w:ascii="宋体" w:hAnsi="宋体" w:eastAsia="宋体" w:cs="宋体"/>
          <w:sz w:val="24"/>
          <w:szCs w:val="24"/>
        </w:rPr>
        <w:t>运维原则</w:t>
      </w:r>
      <w:bookmarkEnd w:id="39"/>
    </w:p>
    <w:p>
      <w:pPr>
        <w:widowControl/>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保密性原则：对运维服务过程中获知的任何用户方系统信息均属秘密信息，不得泄露给第三方单位或个人，不得利用这些信息进行任何侵害用户方系统的行为。</w:t>
      </w:r>
    </w:p>
    <w:p>
      <w:pPr>
        <w:widowControl/>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规范性原则：运维服务的实施必须由专业的技术服务人员依照规范的操作流程进行，对操作过程和结果要有相应的记录，提供完整的服务报告。</w:t>
      </w:r>
    </w:p>
    <w:p>
      <w:pPr>
        <w:widowControl/>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可控性原则：运维服务的工具、方法和过程要在双方认可的范围之内，保证运维服务过程的可控性。</w:t>
      </w:r>
    </w:p>
    <w:p>
      <w:pPr>
        <w:widowControl/>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稳定性原则：运维服务工作不能对现有业务的正常运行产生影响。</w:t>
      </w:r>
    </w:p>
    <w:p>
      <w:pPr>
        <w:pStyle w:val="5"/>
        <w:bidi w:val="0"/>
        <w:rPr>
          <w:rFonts w:hint="eastAsia" w:ascii="宋体" w:hAnsi="宋体" w:eastAsia="宋体" w:cs="宋体"/>
          <w:sz w:val="24"/>
          <w:szCs w:val="24"/>
        </w:rPr>
      </w:pPr>
      <w:bookmarkStart w:id="40" w:name="_Toc16362"/>
      <w:r>
        <w:rPr>
          <w:rFonts w:hint="eastAsia" w:ascii="宋体" w:hAnsi="宋体" w:eastAsia="宋体" w:cs="宋体"/>
          <w:sz w:val="24"/>
          <w:szCs w:val="24"/>
          <w:lang w:eastAsia="zh-CN"/>
        </w:rPr>
        <w:t>三、</w:t>
      </w:r>
      <w:r>
        <w:rPr>
          <w:rFonts w:hint="eastAsia" w:ascii="宋体" w:hAnsi="宋体" w:eastAsia="宋体" w:cs="宋体"/>
          <w:sz w:val="24"/>
          <w:szCs w:val="24"/>
        </w:rPr>
        <w:t>运维对象及内容</w:t>
      </w:r>
      <w:bookmarkEnd w:id="40"/>
    </w:p>
    <w:p>
      <w:pPr>
        <w:keepNext/>
        <w:keepLines/>
        <w:spacing w:before="120" w:beforeLines="50" w:after="120" w:afterLines="50" w:line="480" w:lineRule="exact"/>
        <w:outlineLvl w:val="1"/>
        <w:rPr>
          <w:rFonts w:hint="eastAsia" w:ascii="宋体" w:hAnsi="宋体" w:eastAsia="宋体" w:cs="宋体"/>
          <w:b/>
          <w:sz w:val="24"/>
          <w:szCs w:val="24"/>
        </w:rPr>
      </w:pPr>
      <w:bookmarkStart w:id="41" w:name="_Toc11207"/>
      <w:r>
        <w:rPr>
          <w:rFonts w:hint="eastAsia" w:ascii="宋体" w:hAnsi="宋体" w:eastAsia="宋体" w:cs="宋体"/>
          <w:b/>
          <w:sz w:val="24"/>
          <w:szCs w:val="24"/>
        </w:rPr>
        <w:t>（一）监测项目</w:t>
      </w:r>
      <w:bookmarkEnd w:id="41"/>
    </w:p>
    <w:p>
      <w:pPr>
        <w:spacing w:line="5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各站点均监测SO</w:t>
      </w:r>
      <w:r>
        <w:rPr>
          <w:rFonts w:hint="eastAsia" w:ascii="宋体" w:hAnsi="宋体" w:eastAsia="宋体" w:cs="宋体"/>
          <w:sz w:val="24"/>
          <w:szCs w:val="24"/>
          <w:vertAlign w:val="subscript"/>
        </w:rPr>
        <w:t>2</w:t>
      </w:r>
      <w:r>
        <w:rPr>
          <w:rFonts w:hint="eastAsia" w:ascii="宋体" w:hAnsi="宋体" w:eastAsia="宋体" w:cs="宋体"/>
          <w:sz w:val="24"/>
          <w:szCs w:val="24"/>
        </w:rPr>
        <w:t>、NO</w:t>
      </w:r>
      <w:r>
        <w:rPr>
          <w:rFonts w:hint="eastAsia" w:ascii="宋体" w:hAnsi="宋体" w:eastAsia="宋体" w:cs="宋体"/>
          <w:sz w:val="24"/>
          <w:szCs w:val="24"/>
          <w:vertAlign w:val="subscript"/>
        </w:rPr>
        <w:t>2</w:t>
      </w:r>
      <w:r>
        <w:rPr>
          <w:rFonts w:hint="eastAsia" w:ascii="宋体" w:hAnsi="宋体" w:eastAsia="宋体" w:cs="宋体"/>
          <w:sz w:val="24"/>
          <w:szCs w:val="24"/>
        </w:rPr>
        <w:t>（NOX、NO）、CO、O</w:t>
      </w:r>
      <w:r>
        <w:rPr>
          <w:rFonts w:hint="eastAsia" w:ascii="宋体" w:hAnsi="宋体" w:eastAsia="宋体" w:cs="宋体"/>
          <w:sz w:val="24"/>
          <w:szCs w:val="24"/>
          <w:vertAlign w:val="subscript"/>
        </w:rPr>
        <w:t>3</w:t>
      </w:r>
      <w:r>
        <w:rPr>
          <w:rFonts w:hint="eastAsia" w:ascii="宋体" w:hAnsi="宋体" w:eastAsia="宋体" w:cs="宋体"/>
          <w:sz w:val="24"/>
          <w:szCs w:val="24"/>
        </w:rPr>
        <w:t>、PM</w:t>
      </w:r>
      <w:r>
        <w:rPr>
          <w:rFonts w:hint="eastAsia" w:ascii="宋体" w:hAnsi="宋体" w:eastAsia="宋体" w:cs="宋体"/>
          <w:sz w:val="24"/>
          <w:szCs w:val="24"/>
          <w:vertAlign w:val="subscript"/>
        </w:rPr>
        <w:t>10</w:t>
      </w:r>
      <w:r>
        <w:rPr>
          <w:rFonts w:hint="eastAsia" w:ascii="宋体" w:hAnsi="宋体" w:eastAsia="宋体" w:cs="宋体"/>
          <w:sz w:val="24"/>
          <w:szCs w:val="24"/>
        </w:rPr>
        <w:t>、PM</w:t>
      </w:r>
      <w:r>
        <w:rPr>
          <w:rFonts w:hint="eastAsia" w:ascii="宋体" w:hAnsi="宋体" w:eastAsia="宋体" w:cs="宋体"/>
          <w:sz w:val="24"/>
          <w:szCs w:val="24"/>
          <w:vertAlign w:val="subscript"/>
        </w:rPr>
        <w:t>2.5</w:t>
      </w:r>
      <w:r>
        <w:rPr>
          <w:rFonts w:hint="eastAsia" w:ascii="宋体" w:hAnsi="宋体" w:eastAsia="宋体" w:cs="宋体"/>
          <w:sz w:val="24"/>
          <w:szCs w:val="24"/>
        </w:rPr>
        <w:t>六项指标，以及气象五参数（包括风速、风向、温度、湿度、气压），环境摄影及安保系统、能见度等。</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08" w:type="dxa"/>
          <w:bottom w:w="15" w:type="dxa"/>
          <w:right w:w="108" w:type="dxa"/>
        </w:tblCellMar>
      </w:tblPr>
      <w:tblGrid>
        <w:gridCol w:w="831"/>
        <w:gridCol w:w="1337"/>
        <w:gridCol w:w="1275"/>
        <w:gridCol w:w="1399"/>
        <w:gridCol w:w="1106"/>
        <w:gridCol w:w="31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序号</w:t>
            </w:r>
          </w:p>
        </w:tc>
        <w:tc>
          <w:tcPr>
            <w:tcW w:w="1337"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站点</w:t>
            </w:r>
          </w:p>
        </w:tc>
        <w:tc>
          <w:tcPr>
            <w:tcW w:w="1275"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站点属性</w:t>
            </w: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监测项目</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仪器型号</w:t>
            </w:r>
          </w:p>
        </w:tc>
        <w:tc>
          <w:tcPr>
            <w:tcW w:w="3113" w:type="dxa"/>
            <w:noWrap w:val="0"/>
            <w:vAlign w:val="center"/>
          </w:tcPr>
          <w:p>
            <w:pPr>
              <w:widowControl/>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厂家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restart"/>
            <w:noWrap w:val="0"/>
            <w:vAlign w:val="center"/>
          </w:tcPr>
          <w:p>
            <w:pPr>
              <w:widowControl/>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1</w:t>
            </w:r>
          </w:p>
        </w:tc>
        <w:tc>
          <w:tcPr>
            <w:tcW w:w="1337" w:type="dxa"/>
            <w:vMerge w:val="restart"/>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湖州新塘港</w:t>
            </w:r>
          </w:p>
        </w:tc>
        <w:tc>
          <w:tcPr>
            <w:tcW w:w="1275" w:type="dxa"/>
            <w:vMerge w:val="restart"/>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区域站</w:t>
            </w:r>
          </w:p>
        </w:tc>
        <w:tc>
          <w:tcPr>
            <w:tcW w:w="1399" w:type="dxa"/>
            <w:noWrap w:val="0"/>
            <w:vAlign w:val="center"/>
          </w:tcPr>
          <w:p>
            <w:pPr>
              <w:widowControl/>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SO2</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AQMS-500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NO2</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AQMS-600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O3</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AQMS-300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CO</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AQMS-400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PM10</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BPM-200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PM2.5</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BPM-200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气象五参数</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PC-5</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锦州阳光气象科技有限公司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PM2.5自动采样器</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BTPM-AS1</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丹东百特仪器有限公司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能见度</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VM-100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restart"/>
            <w:noWrap w:val="0"/>
            <w:vAlign w:val="center"/>
          </w:tcPr>
          <w:p>
            <w:pPr>
              <w:widowControl/>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2</w:t>
            </w:r>
          </w:p>
        </w:tc>
        <w:tc>
          <w:tcPr>
            <w:tcW w:w="1337" w:type="dxa"/>
            <w:vMerge w:val="restart"/>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绍兴陈蔡水库</w:t>
            </w:r>
          </w:p>
        </w:tc>
        <w:tc>
          <w:tcPr>
            <w:tcW w:w="1275" w:type="dxa"/>
            <w:vMerge w:val="restart"/>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区域站</w:t>
            </w: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SO2</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AQMS-500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NO2</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AQMS-600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O3</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AQMS-300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CO</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AQMS-400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PM10</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BPM-200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PM2.5</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BPM-200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气象五参数</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PC-5</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锦州阳光气象科技有限公司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能见度</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VM-100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restart"/>
            <w:noWrap w:val="0"/>
            <w:vAlign w:val="center"/>
          </w:tcPr>
          <w:p>
            <w:pPr>
              <w:widowControl/>
              <w:jc w:val="center"/>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3</w:t>
            </w:r>
          </w:p>
        </w:tc>
        <w:tc>
          <w:tcPr>
            <w:tcW w:w="1337" w:type="dxa"/>
            <w:vMerge w:val="restart"/>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龙泉凤阳山</w:t>
            </w:r>
          </w:p>
        </w:tc>
        <w:tc>
          <w:tcPr>
            <w:tcW w:w="1275" w:type="dxa"/>
            <w:vMerge w:val="restart"/>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区域站</w:t>
            </w: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SO2</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AQMS-500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NO2</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AQMS-600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O3</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AQMS-300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CO</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AQMS-400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PM10</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BPM-200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PM2.5</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BPM-200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气象五参数</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PC-5</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锦州阳光气象科技有限公司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08" w:type="dxa"/>
            <w:bottom w:w="15" w:type="dxa"/>
            <w:right w:w="108" w:type="dxa"/>
          </w:tblCellMar>
        </w:tblPrEx>
        <w:trPr>
          <w:trHeight w:val="285" w:hRule="atLeast"/>
        </w:trPr>
        <w:tc>
          <w:tcPr>
            <w:tcW w:w="831" w:type="dxa"/>
            <w:vMerge w:val="continue"/>
            <w:noWrap w:val="0"/>
            <w:vAlign w:val="center"/>
          </w:tcPr>
          <w:p>
            <w:pPr>
              <w:widowControl/>
              <w:jc w:val="left"/>
              <w:rPr>
                <w:rFonts w:hint="eastAsia" w:ascii="宋体" w:hAnsi="宋体" w:eastAsia="宋体" w:cs="宋体"/>
                <w:b/>
                <w:bCs/>
                <w:color w:val="000000"/>
                <w:kern w:val="0"/>
                <w:sz w:val="24"/>
                <w:szCs w:val="24"/>
              </w:rPr>
            </w:pPr>
          </w:p>
        </w:tc>
        <w:tc>
          <w:tcPr>
            <w:tcW w:w="1337" w:type="dxa"/>
            <w:vMerge w:val="continue"/>
            <w:noWrap w:val="0"/>
            <w:vAlign w:val="center"/>
          </w:tcPr>
          <w:p>
            <w:pPr>
              <w:widowControl/>
              <w:jc w:val="left"/>
              <w:rPr>
                <w:rFonts w:hint="eastAsia" w:ascii="宋体" w:hAnsi="宋体" w:eastAsia="宋体" w:cs="宋体"/>
                <w:color w:val="000000"/>
                <w:kern w:val="0"/>
                <w:sz w:val="24"/>
                <w:szCs w:val="24"/>
              </w:rPr>
            </w:pPr>
          </w:p>
        </w:tc>
        <w:tc>
          <w:tcPr>
            <w:tcW w:w="1275" w:type="dxa"/>
            <w:vMerge w:val="continue"/>
            <w:noWrap w:val="0"/>
            <w:vAlign w:val="center"/>
          </w:tcPr>
          <w:p>
            <w:pPr>
              <w:widowControl/>
              <w:jc w:val="left"/>
              <w:rPr>
                <w:rFonts w:hint="eastAsia" w:ascii="宋体" w:hAnsi="宋体" w:eastAsia="宋体" w:cs="宋体"/>
                <w:color w:val="000000"/>
                <w:kern w:val="0"/>
                <w:sz w:val="24"/>
                <w:szCs w:val="24"/>
              </w:rPr>
            </w:pPr>
          </w:p>
        </w:tc>
        <w:tc>
          <w:tcPr>
            <w:tcW w:w="1399"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能见度</w:t>
            </w:r>
          </w:p>
        </w:tc>
        <w:tc>
          <w:tcPr>
            <w:tcW w:w="1106"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VM-100</w:t>
            </w:r>
          </w:p>
        </w:tc>
        <w:tc>
          <w:tcPr>
            <w:tcW w:w="3113" w:type="dxa"/>
            <w:noWrap w:val="0"/>
            <w:vAlign w:val="center"/>
          </w:tcPr>
          <w:p>
            <w:pPr>
              <w:widowControl/>
              <w:ind w:left="0" w:leftChars="0" w:firstLine="0" w:firstLineChars="0"/>
              <w:jc w:val="both"/>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聚光科技（杭州）股份有限公司</w:t>
            </w:r>
          </w:p>
        </w:tc>
      </w:tr>
    </w:tbl>
    <w:p>
      <w:pPr>
        <w:keepNext/>
        <w:keepLines/>
        <w:spacing w:before="120" w:beforeLines="50" w:after="120" w:afterLines="50" w:line="480" w:lineRule="exact"/>
        <w:outlineLvl w:val="1"/>
        <w:rPr>
          <w:rFonts w:hint="eastAsia" w:ascii="宋体" w:hAnsi="宋体" w:eastAsia="宋体" w:cs="宋体"/>
          <w:b/>
          <w:sz w:val="24"/>
          <w:szCs w:val="24"/>
        </w:rPr>
      </w:pPr>
      <w:bookmarkStart w:id="42" w:name="_Toc1415"/>
      <w:r>
        <w:rPr>
          <w:rFonts w:hint="eastAsia" w:ascii="宋体" w:hAnsi="宋体" w:eastAsia="宋体" w:cs="宋体"/>
          <w:b/>
          <w:sz w:val="24"/>
          <w:szCs w:val="24"/>
        </w:rPr>
        <w:t>（二）监测频次及数据传输</w:t>
      </w:r>
      <w:bookmarkEnd w:id="42"/>
    </w:p>
    <w:p>
      <w:pPr>
        <w:spacing w:line="520" w:lineRule="exact"/>
        <w:ind w:firstLine="480"/>
        <w:rPr>
          <w:rFonts w:hint="eastAsia" w:ascii="宋体" w:hAnsi="宋体" w:eastAsia="宋体" w:cs="宋体"/>
          <w:sz w:val="24"/>
          <w:szCs w:val="24"/>
        </w:rPr>
      </w:pPr>
      <w:r>
        <w:rPr>
          <w:rFonts w:hint="eastAsia" w:ascii="宋体" w:hAnsi="宋体" w:eastAsia="宋体" w:cs="宋体"/>
          <w:sz w:val="24"/>
          <w:szCs w:val="24"/>
        </w:rPr>
        <w:t xml:space="preserve">监测工作方式为24小时不间断连续自动监测，采用以中国环境监测总站（以下简称总站）为中心的星型拓扑方式，即区域站监测数据通过有线方式直接发送总站。上传数据包括国家区域站各监测设备的实时监测分钟值、小时值、每日零点校准报告、每周跨度校准报告、所有仪器设备及工控机的状态工作参数等。 </w:t>
      </w:r>
    </w:p>
    <w:p>
      <w:pPr>
        <w:spacing w:line="520" w:lineRule="exact"/>
        <w:ind w:firstLine="480"/>
        <w:rPr>
          <w:rFonts w:hint="eastAsia" w:ascii="宋体" w:hAnsi="宋体" w:eastAsia="宋体" w:cs="宋体"/>
          <w:sz w:val="24"/>
          <w:szCs w:val="24"/>
        </w:rPr>
      </w:pPr>
      <w:r>
        <w:rPr>
          <w:rFonts w:hint="eastAsia" w:ascii="宋体" w:hAnsi="宋体" w:eastAsia="宋体" w:cs="宋体"/>
          <w:sz w:val="24"/>
          <w:szCs w:val="24"/>
        </w:rPr>
        <w:t>数采软件及技术支持由中国环境监测总站提供。</w:t>
      </w:r>
    </w:p>
    <w:p>
      <w:pPr>
        <w:keepNext/>
        <w:keepLines/>
        <w:spacing w:before="120" w:beforeLines="50" w:after="120" w:afterLines="50" w:line="480" w:lineRule="exact"/>
        <w:outlineLvl w:val="1"/>
        <w:rPr>
          <w:rFonts w:hint="eastAsia" w:ascii="宋体" w:hAnsi="宋体" w:eastAsia="宋体" w:cs="宋体"/>
          <w:b/>
          <w:sz w:val="24"/>
          <w:szCs w:val="24"/>
        </w:rPr>
      </w:pPr>
      <w:bookmarkStart w:id="43" w:name="_Toc22770"/>
      <w:r>
        <w:rPr>
          <w:rFonts w:hint="eastAsia" w:ascii="宋体" w:hAnsi="宋体" w:eastAsia="宋体" w:cs="宋体"/>
          <w:b/>
          <w:sz w:val="24"/>
          <w:szCs w:val="24"/>
        </w:rPr>
        <w:t>（三）运维工作内容</w:t>
      </w:r>
      <w:bookmarkEnd w:id="43"/>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运维过程中主要完成以下工作：</w:t>
      </w:r>
    </w:p>
    <w:p>
      <w:pPr>
        <w:numPr>
          <w:ilvl w:val="2"/>
          <w:numId w:val="1"/>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国家区域站的日常运行维护；</w:t>
      </w:r>
    </w:p>
    <w:p>
      <w:pPr>
        <w:numPr>
          <w:ilvl w:val="2"/>
          <w:numId w:val="1"/>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国家区域站的日常质量管理；</w:t>
      </w:r>
    </w:p>
    <w:p>
      <w:pPr>
        <w:numPr>
          <w:ilvl w:val="2"/>
          <w:numId w:val="1"/>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国家区域站的日常安全管理；</w:t>
      </w:r>
    </w:p>
    <w:p>
      <w:pPr>
        <w:numPr>
          <w:ilvl w:val="2"/>
          <w:numId w:val="1"/>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国家区域站监测数据的日常审核、上报；</w:t>
      </w:r>
    </w:p>
    <w:p>
      <w:pPr>
        <w:numPr>
          <w:ilvl w:val="2"/>
          <w:numId w:val="1"/>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国家区域站的设备维护保养及维修；</w:t>
      </w:r>
    </w:p>
    <w:p>
      <w:pPr>
        <w:numPr>
          <w:ilvl w:val="2"/>
          <w:numId w:val="1"/>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其他国家区域站相关辅助设施的维护、保养、维修。</w:t>
      </w:r>
    </w:p>
    <w:p>
      <w:pPr>
        <w:numPr>
          <w:ilvl w:val="2"/>
          <w:numId w:val="1"/>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国家区域站数据采集及传输系统的维护及维修，保障国家区域站与总站通讯正常。涉及总站开发的数采软件技术问题可报告总站协调解决。</w:t>
      </w:r>
    </w:p>
    <w:p>
      <w:pPr>
        <w:numPr>
          <w:ilvl w:val="2"/>
          <w:numId w:val="1"/>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当仪器出现故障不能及时修复，或当仪器损坏不能修复时，应在48小时之内书面报告业主，确认仪器损坏情况及原因后，双方协商提出解决方案。</w:t>
      </w:r>
    </w:p>
    <w:p>
      <w:pPr>
        <w:numPr>
          <w:ilvl w:val="2"/>
          <w:numId w:val="1"/>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国家区域站站房的场地租赁费、站房租赁费、电费和通讯费，以及站房基础设施、电力设施、通讯设施的日常维护费全部由中标商承担。</w:t>
      </w:r>
    </w:p>
    <w:p>
      <w:pPr>
        <w:numPr>
          <w:ilvl w:val="2"/>
          <w:numId w:val="1"/>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当点位需要新增、撤销、变更时，由业主按照点位管理程序向总站报批，涉及站点迁移的，中标商负责监测仪器、辅助设备的搬迁、安装、调试具体工作。</w:t>
      </w:r>
    </w:p>
    <w:p>
      <w:pPr>
        <w:numPr>
          <w:ilvl w:val="2"/>
          <w:numId w:val="1"/>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配合环保部或总站组织的手工监测比对及运维检查，包括例行检查和计划外检查等。</w:t>
      </w:r>
    </w:p>
    <w:p>
      <w:pPr>
        <w:keepNext/>
        <w:keepLines/>
        <w:spacing w:before="120" w:beforeLines="50" w:after="120" w:afterLines="50" w:line="480" w:lineRule="exact"/>
        <w:outlineLvl w:val="1"/>
        <w:rPr>
          <w:rFonts w:hint="eastAsia" w:ascii="宋体" w:hAnsi="宋体" w:eastAsia="宋体" w:cs="宋体"/>
          <w:b/>
          <w:sz w:val="24"/>
          <w:szCs w:val="24"/>
        </w:rPr>
      </w:pPr>
      <w:bookmarkStart w:id="44" w:name="_Toc21146"/>
      <w:bookmarkStart w:id="45" w:name="OLE_LINK12"/>
      <w:r>
        <w:rPr>
          <w:rFonts w:hint="eastAsia" w:ascii="宋体" w:hAnsi="宋体" w:eastAsia="宋体" w:cs="宋体"/>
          <w:b/>
          <w:sz w:val="24"/>
          <w:szCs w:val="24"/>
        </w:rPr>
        <w:t>（四）运行维护工作目标</w:t>
      </w:r>
      <w:bookmarkEnd w:id="44"/>
    </w:p>
    <w:bookmarkEnd w:id="45"/>
    <w:p>
      <w:pPr>
        <w:tabs>
          <w:tab w:val="left" w:pos="1418"/>
        </w:tabs>
        <w:spacing w:line="480" w:lineRule="exact"/>
        <w:ind w:firstLine="480"/>
        <w:rPr>
          <w:rFonts w:hint="eastAsia" w:ascii="宋体" w:hAnsi="宋体" w:eastAsia="宋体" w:cs="宋体"/>
          <w:sz w:val="24"/>
          <w:szCs w:val="24"/>
        </w:rPr>
      </w:pPr>
      <w:r>
        <w:rPr>
          <w:rFonts w:hint="eastAsia" w:ascii="宋体" w:hAnsi="宋体" w:eastAsia="宋体" w:cs="宋体"/>
          <w:sz w:val="24"/>
          <w:szCs w:val="24"/>
        </w:rPr>
        <w:t>中标商必须建立完善的的运行维护工作规范与质量管理体系，确保提供及时、准确、有效的监测数据，国家区域站的运行质量应达到以下指标：</w:t>
      </w:r>
    </w:p>
    <w:p>
      <w:pPr>
        <w:numPr>
          <w:ilvl w:val="0"/>
          <w:numId w:val="2"/>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所获取的各项指标的有效监测数据必须满足</w:t>
      </w:r>
      <w:bookmarkStart w:id="46" w:name="OLE_LINK23"/>
      <w:bookmarkStart w:id="47" w:name="OLE_LINK24"/>
      <w:r>
        <w:rPr>
          <w:rFonts w:hint="eastAsia" w:ascii="宋体" w:hAnsi="宋体" w:eastAsia="宋体" w:cs="宋体"/>
          <w:sz w:val="24"/>
          <w:szCs w:val="24"/>
        </w:rPr>
        <w:t>《环境空气质量标准》（GB 3095-2012）中规定的污染物浓度数据有效性要求</w:t>
      </w:r>
      <w:bookmarkEnd w:id="46"/>
      <w:bookmarkEnd w:id="47"/>
      <w:r>
        <w:rPr>
          <w:rFonts w:hint="eastAsia" w:ascii="宋体" w:hAnsi="宋体" w:eastAsia="宋体" w:cs="宋体"/>
          <w:sz w:val="24"/>
          <w:szCs w:val="24"/>
        </w:rPr>
        <w:t>。</w:t>
      </w:r>
    </w:p>
    <w:p>
      <w:pPr>
        <w:numPr>
          <w:ilvl w:val="0"/>
          <w:numId w:val="2"/>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数据捕获率达到90%（以小时值计）以上；</w:t>
      </w:r>
    </w:p>
    <w:p>
      <w:pPr>
        <w:numPr>
          <w:ilvl w:val="0"/>
          <w:numId w:val="2"/>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数据质控合格率达到80%（以小时值计）以上；</w:t>
      </w:r>
    </w:p>
    <w:p>
      <w:pPr>
        <w:numPr>
          <w:ilvl w:val="0"/>
          <w:numId w:val="2"/>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运维任务完成率100%；</w:t>
      </w:r>
    </w:p>
    <w:p>
      <w:pPr>
        <w:numPr>
          <w:ilvl w:val="0"/>
          <w:numId w:val="2"/>
        </w:numPr>
        <w:tabs>
          <w:tab w:val="left" w:pos="0"/>
        </w:tabs>
        <w:spacing w:line="480" w:lineRule="exact"/>
        <w:ind w:left="0" w:firstLine="709"/>
        <w:rPr>
          <w:rFonts w:hint="eastAsia" w:ascii="宋体" w:hAnsi="宋体" w:eastAsia="宋体" w:cs="宋体"/>
          <w:sz w:val="24"/>
          <w:szCs w:val="24"/>
        </w:rPr>
      </w:pPr>
      <w:r>
        <w:rPr>
          <w:rFonts w:hint="eastAsia" w:ascii="宋体" w:hAnsi="宋体" w:eastAsia="宋体" w:cs="宋体"/>
          <w:sz w:val="24"/>
          <w:szCs w:val="24"/>
        </w:rPr>
        <w:t>异常情况处理率100%。</w:t>
      </w:r>
    </w:p>
    <w:p>
      <w:pPr>
        <w:keepNext/>
        <w:keepLines/>
        <w:spacing w:before="120" w:beforeLines="50" w:after="120" w:afterLines="50" w:line="480" w:lineRule="exact"/>
        <w:outlineLvl w:val="1"/>
        <w:rPr>
          <w:rFonts w:hint="eastAsia" w:ascii="宋体" w:hAnsi="宋体" w:eastAsia="宋体" w:cs="宋体"/>
          <w:b/>
          <w:sz w:val="24"/>
          <w:szCs w:val="24"/>
        </w:rPr>
      </w:pPr>
      <w:bookmarkStart w:id="48" w:name="_Toc2070"/>
      <w:r>
        <w:rPr>
          <w:rFonts w:hint="eastAsia" w:ascii="宋体" w:hAnsi="宋体" w:eastAsia="宋体" w:cs="宋体"/>
          <w:b/>
          <w:sz w:val="24"/>
          <w:szCs w:val="24"/>
        </w:rPr>
        <w:t>（五）运维工作要求</w:t>
      </w:r>
      <w:bookmarkEnd w:id="48"/>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中标商应遵守环保部、中国环境监测总站关于国家区域站运行管理的各项规定，如运维期间环保部、中国环境监测总站出台新的国家区域站运行管理规定，则运维工作要求随之执行最新规定。</w:t>
      </w:r>
    </w:p>
    <w:p>
      <w:pPr>
        <w:keepNext/>
        <w:keepLines/>
        <w:adjustRightInd w:val="0"/>
        <w:spacing w:line="480" w:lineRule="exact"/>
        <w:ind w:firstLine="480"/>
        <w:textAlignment w:val="baseline"/>
        <w:outlineLvl w:val="5"/>
        <w:rPr>
          <w:rFonts w:hint="eastAsia" w:ascii="宋体" w:hAnsi="宋体" w:eastAsia="宋体" w:cs="宋体"/>
          <w:b/>
          <w:kern w:val="0"/>
          <w:sz w:val="24"/>
          <w:szCs w:val="24"/>
        </w:rPr>
      </w:pPr>
      <w:r>
        <w:rPr>
          <w:rFonts w:hint="eastAsia" w:ascii="宋体" w:hAnsi="宋体" w:eastAsia="宋体" w:cs="宋体"/>
          <w:b/>
          <w:kern w:val="0"/>
          <w:sz w:val="24"/>
          <w:szCs w:val="24"/>
        </w:rPr>
        <w:t>1、运维工作一般要求如下：</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（1）保持站房内部环境清洁，布置整齐，各仪器设备干净清洁，设备标识清楚；</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（2）检查供电、电话及网络通讯的情况，保证系统的正常运行；</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 xml:space="preserve">（3）保证空调正常工作，仪器运行温度保持在25℃左右，站房内温度日波动范围小于3℃，相对湿度保持在80%RH以下； </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（4）指派专人维护，设备固定牢固，门窗关闭良好，人走关门，非工作人员未经许可不得入内；</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（5）定期检查消防和安全设施；</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（6）每次维护后做好系统运行维护记录；</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（7）进行维护时，应规范操作，注意安全，防止意外发生。</w:t>
      </w:r>
    </w:p>
    <w:p>
      <w:pPr>
        <w:keepNext/>
        <w:keepLines/>
        <w:adjustRightInd w:val="0"/>
        <w:spacing w:line="480" w:lineRule="exact"/>
        <w:ind w:firstLine="480"/>
        <w:textAlignment w:val="baseline"/>
        <w:outlineLvl w:val="5"/>
        <w:rPr>
          <w:rFonts w:hint="eastAsia" w:ascii="宋体" w:hAnsi="宋体" w:eastAsia="宋体" w:cs="宋体"/>
          <w:b/>
          <w:kern w:val="0"/>
          <w:sz w:val="24"/>
          <w:szCs w:val="24"/>
        </w:rPr>
      </w:pPr>
      <w:r>
        <w:rPr>
          <w:rFonts w:hint="eastAsia" w:ascii="宋体" w:hAnsi="宋体" w:eastAsia="宋体" w:cs="宋体"/>
          <w:b/>
          <w:kern w:val="0"/>
          <w:sz w:val="24"/>
          <w:szCs w:val="24"/>
        </w:rPr>
        <w:t>2、每日工作内容如下：</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每天远程查看国家区域站数据并形成记录，分析监测数据，对站点运行情况进行远程诊断和运行管理，内容包括：</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（1）判断系统数据采集与传输情况；</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（2）根据电源电压、站房温度、湿度数据判断站房内部情况；</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3）发现运行数据有持续异常值时，应及时赴现场排查异常并将处理结果书面传真告知业主。在每日6时～23时出现的故障，应在24小时内解决（通信线路、电力线路故障除外，但应及时与相关部门联系积极解决）；</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（4）根据仪器监测数据以及状态参数判断仪器运行情况；</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（5）根据故障报警信号判断现场状况；</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（6）每日检查数据是否及时上传至总站平台，发现数据掉线及时恢复。</w:t>
      </w:r>
    </w:p>
    <w:p>
      <w:pPr>
        <w:keepNext/>
        <w:keepLines/>
        <w:adjustRightInd w:val="0"/>
        <w:spacing w:line="480" w:lineRule="exact"/>
        <w:ind w:firstLine="480"/>
        <w:textAlignment w:val="baseline"/>
        <w:outlineLvl w:val="5"/>
        <w:rPr>
          <w:rFonts w:hint="eastAsia" w:ascii="宋体" w:hAnsi="宋体" w:eastAsia="宋体" w:cs="宋体"/>
          <w:b/>
          <w:kern w:val="0"/>
          <w:sz w:val="24"/>
          <w:szCs w:val="24"/>
        </w:rPr>
      </w:pPr>
      <w:r>
        <w:rPr>
          <w:rFonts w:hint="eastAsia" w:ascii="宋体" w:hAnsi="宋体" w:eastAsia="宋体" w:cs="宋体"/>
          <w:b/>
          <w:kern w:val="0"/>
          <w:sz w:val="24"/>
          <w:szCs w:val="24"/>
        </w:rPr>
        <w:t>3、每周工作内容如下：</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每周至少巡视国家区域站1次，并做好巡查记录，巡检时需要完成的工作包括：</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（1）查看国家区域站设备是否齐备，无丢失和损坏；检查接地线路是否可靠，排风排气装置工作是否正常，标准气钢瓶阀门是否漏气，标准气的消耗情况；</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（2）检查采样和排气管路是否有漏气或堵塞现象，各分析仪器采样流量是否正常。</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（3）检查各分析仪器的运行状况和工作参数，判断是否正常，如有异常情况及时处理，保证仪器运行正常。</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（4）对二氧化硫、一氧化碳、臭氧、氮氧化物分析仪进行零点、跨度检查，如果漂移超过国家相关规范要求，需要进行校准。</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（5）检查外部环境是否正常，有没有对测定结果或运行环境存在明显影响的污染源；</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（6）检查电路系统和通讯系统，保证系统供电正常，电压稳定；</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（7）检查国家区域站的通讯系统，保证国家区域站与远程监控中心的连接正常，数据传输正常；</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（8） 检查监测仪器的采样入口与采样支路管线结合部之间安装的过滤膜的污染情况，每周或视具体情况更换滤膜，每周检查监测仪器散热风扇污染情况，及时清洗。</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（9） 在冬、夏季节应注意国家区域站房室内外温差，若温差较大，应及时改变站房温度或对采样总管采取适当的控制措施，防止冷凝现象。</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（10） 应及时清除国家区域站房周围的杂草和积水，当周围树木生长超过规范规定的控制限时，应及时剪除对采样有影响的树枝。</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（11）应经常检查避雷设施是否可靠，国家区域站房屋是否有漏雨现象，气象杆和天线是否完好，站房外围的其它设施是否有损坏或被水淹，如遇到以上问题应及时处理，保证系统能安全运行。</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（12）检查站房的安全设施，做好防火防盗工作。</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（13）每周对气象仪器及能见度仪的运行情况进行检查。</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（14）每周对颗粒物的采样纸带进行检查，如纸带即将用尽，及时进行更换。</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（15）每周对站房内外环境卫生进行检查，及时保洁。</w:t>
      </w:r>
    </w:p>
    <w:p>
      <w:pPr>
        <w:pStyle w:val="17"/>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（16）</w:t>
      </w:r>
      <w:r>
        <w:rPr>
          <w:rFonts w:hint="eastAsia" w:ascii="宋体" w:hAnsi="宋体" w:eastAsia="宋体" w:cs="宋体"/>
          <w:sz w:val="24"/>
          <w:szCs w:val="24"/>
        </w:rPr>
        <w:t>检查/更换各仪器颗粒物过滤膜</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一般每两周更换一次，若空气质量较差，应提前更换，过滤膜材质应符合设备及规范要求。</w:t>
      </w:r>
    </w:p>
    <w:p>
      <w:pPr>
        <w:keepNext/>
        <w:keepLines/>
        <w:adjustRightInd w:val="0"/>
        <w:spacing w:line="480" w:lineRule="exact"/>
        <w:ind w:firstLine="480"/>
        <w:textAlignment w:val="baseline"/>
        <w:outlineLvl w:val="5"/>
        <w:rPr>
          <w:rFonts w:hint="eastAsia" w:ascii="宋体" w:hAnsi="宋体" w:eastAsia="宋体" w:cs="宋体"/>
          <w:b/>
          <w:kern w:val="0"/>
          <w:sz w:val="24"/>
          <w:szCs w:val="24"/>
        </w:rPr>
      </w:pPr>
      <w:r>
        <w:rPr>
          <w:rFonts w:hint="eastAsia" w:ascii="宋体" w:hAnsi="宋体" w:eastAsia="宋体" w:cs="宋体"/>
          <w:b/>
          <w:kern w:val="0"/>
          <w:sz w:val="24"/>
          <w:szCs w:val="24"/>
        </w:rPr>
        <w:t>4、每月工作内容如下：</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（1）清洗PM</w:t>
      </w:r>
      <w:r>
        <w:rPr>
          <w:rFonts w:hint="eastAsia" w:ascii="宋体" w:hAnsi="宋体" w:eastAsia="宋体" w:cs="宋体"/>
          <w:sz w:val="24"/>
          <w:szCs w:val="24"/>
          <w:vertAlign w:val="subscript"/>
        </w:rPr>
        <w:t>10</w:t>
      </w:r>
      <w:r>
        <w:rPr>
          <w:rFonts w:hint="eastAsia" w:ascii="宋体" w:hAnsi="宋体" w:eastAsia="宋体" w:cs="宋体"/>
          <w:sz w:val="24"/>
          <w:szCs w:val="24"/>
        </w:rPr>
        <w:t>及PM</w:t>
      </w:r>
      <w:r>
        <w:rPr>
          <w:rFonts w:hint="eastAsia" w:ascii="宋体" w:hAnsi="宋体" w:eastAsia="宋体" w:cs="宋体"/>
          <w:sz w:val="24"/>
          <w:szCs w:val="24"/>
          <w:vertAlign w:val="subscript"/>
        </w:rPr>
        <w:t>2.5</w:t>
      </w:r>
      <w:r>
        <w:rPr>
          <w:rFonts w:hint="eastAsia" w:ascii="宋体" w:hAnsi="宋体" w:eastAsia="宋体" w:cs="宋体"/>
          <w:sz w:val="24"/>
          <w:szCs w:val="24"/>
        </w:rPr>
        <w:t>切割器，检查β射线法颗粒物分析仪仪器喷嘴、压环等部件。</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（2）检查PM</w:t>
      </w:r>
      <w:r>
        <w:rPr>
          <w:rFonts w:hint="eastAsia" w:ascii="宋体" w:hAnsi="宋体" w:eastAsia="宋体" w:cs="宋体"/>
          <w:sz w:val="24"/>
          <w:szCs w:val="24"/>
          <w:vertAlign w:val="subscript"/>
        </w:rPr>
        <w:t>10</w:t>
      </w:r>
      <w:r>
        <w:rPr>
          <w:rFonts w:hint="eastAsia" w:ascii="宋体" w:hAnsi="宋体" w:eastAsia="宋体" w:cs="宋体"/>
          <w:sz w:val="24"/>
          <w:szCs w:val="24"/>
        </w:rPr>
        <w:t>及PM</w:t>
      </w:r>
      <w:r>
        <w:rPr>
          <w:rFonts w:hint="eastAsia" w:ascii="宋体" w:hAnsi="宋体" w:eastAsia="宋体" w:cs="宋体"/>
          <w:sz w:val="24"/>
          <w:szCs w:val="24"/>
          <w:vertAlign w:val="subscript"/>
        </w:rPr>
        <w:t>2.5</w:t>
      </w:r>
      <w:r>
        <w:rPr>
          <w:rFonts w:hint="eastAsia" w:ascii="宋体" w:hAnsi="宋体" w:eastAsia="宋体" w:cs="宋体"/>
          <w:sz w:val="24"/>
          <w:szCs w:val="24"/>
        </w:rPr>
        <w:t>监测仪、气态分析仪、动态校准仪流量，超过国家相关规范要求，及时进行校准。</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（3）检查颗粒物和气态分析仪管路是否漏气。</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4</w:t>
      </w:r>
      <w:r>
        <w:rPr>
          <w:rFonts w:hint="eastAsia" w:ascii="宋体" w:hAnsi="宋体" w:eastAsia="宋体" w:cs="宋体"/>
          <w:sz w:val="24"/>
          <w:szCs w:val="24"/>
        </w:rPr>
        <w:t>）检查/清洁能见度仪镜头（用湿棉布清洁后用干棉布擦干）。</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5</w:t>
      </w:r>
      <w:r>
        <w:rPr>
          <w:rFonts w:hint="eastAsia" w:ascii="宋体" w:hAnsi="宋体" w:eastAsia="宋体" w:cs="宋体"/>
          <w:sz w:val="24"/>
          <w:szCs w:val="24"/>
        </w:rPr>
        <w:t>）清洁仪器风扇防尘网。</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6</w:t>
      </w:r>
      <w:r>
        <w:rPr>
          <w:rFonts w:hint="eastAsia" w:ascii="宋体" w:hAnsi="宋体" w:eastAsia="宋体" w:cs="宋体"/>
          <w:sz w:val="24"/>
          <w:szCs w:val="24"/>
        </w:rPr>
        <w:t>）检查标气是否在有效期内。</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7</w:t>
      </w:r>
      <w:r>
        <w:rPr>
          <w:rFonts w:hint="eastAsia" w:ascii="宋体" w:hAnsi="宋体" w:eastAsia="宋体" w:cs="宋体"/>
          <w:sz w:val="24"/>
          <w:szCs w:val="24"/>
        </w:rPr>
        <w:t>）对仪器显示数据和数据采集仪之间的一致性进行检查。</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sz w:val="24"/>
          <w:szCs w:val="24"/>
          <w:lang w:val="en-US" w:eastAsia="zh-CN"/>
        </w:rPr>
        <w:t>8</w:t>
      </w:r>
      <w:r>
        <w:rPr>
          <w:rFonts w:hint="eastAsia" w:ascii="宋体" w:hAnsi="宋体" w:eastAsia="宋体" w:cs="宋体"/>
          <w:sz w:val="24"/>
          <w:szCs w:val="24"/>
        </w:rPr>
        <w:t>）每月对数据进行备份。</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9</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每月</w:t>
      </w:r>
      <w:r>
        <w:rPr>
          <w:rFonts w:hint="eastAsia" w:ascii="宋体" w:hAnsi="宋体" w:eastAsia="宋体" w:cs="宋体"/>
          <w:sz w:val="24"/>
          <w:szCs w:val="24"/>
        </w:rPr>
        <w:t>对气态污染物监测仪进行</w:t>
      </w:r>
      <w:r>
        <w:rPr>
          <w:rFonts w:hint="eastAsia" w:ascii="宋体" w:hAnsi="宋体" w:eastAsia="宋体" w:cs="宋体"/>
          <w:sz w:val="24"/>
          <w:szCs w:val="24"/>
          <w:lang w:val="en-US" w:eastAsia="zh-CN"/>
        </w:rPr>
        <w:t>两次</w:t>
      </w:r>
      <w:r>
        <w:rPr>
          <w:rFonts w:hint="eastAsia" w:ascii="宋体" w:hAnsi="宋体" w:eastAsia="宋体" w:cs="宋体"/>
          <w:sz w:val="24"/>
          <w:szCs w:val="24"/>
        </w:rPr>
        <w:t>精密度检查。</w:t>
      </w:r>
    </w:p>
    <w:p>
      <w:pPr>
        <w:keepNext/>
        <w:keepLines/>
        <w:adjustRightInd w:val="0"/>
        <w:spacing w:line="480" w:lineRule="exact"/>
        <w:ind w:firstLine="480"/>
        <w:textAlignment w:val="baseline"/>
        <w:outlineLvl w:val="5"/>
        <w:rPr>
          <w:rFonts w:hint="eastAsia" w:ascii="宋体" w:hAnsi="宋体" w:eastAsia="宋体" w:cs="宋体"/>
          <w:b/>
          <w:kern w:val="0"/>
          <w:sz w:val="24"/>
          <w:szCs w:val="24"/>
        </w:rPr>
      </w:pPr>
      <w:r>
        <w:rPr>
          <w:rFonts w:hint="eastAsia" w:ascii="宋体" w:hAnsi="宋体" w:eastAsia="宋体" w:cs="宋体"/>
          <w:b/>
          <w:kern w:val="0"/>
          <w:sz w:val="24"/>
          <w:szCs w:val="24"/>
        </w:rPr>
        <w:t>5、每两个月工作如下：</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（1）更换PM</w:t>
      </w:r>
      <w:r>
        <w:rPr>
          <w:rFonts w:hint="eastAsia" w:ascii="宋体" w:hAnsi="宋体" w:eastAsia="宋体" w:cs="宋体"/>
          <w:sz w:val="24"/>
          <w:szCs w:val="24"/>
          <w:vertAlign w:val="subscript"/>
        </w:rPr>
        <w:t>10</w:t>
      </w:r>
      <w:r>
        <w:rPr>
          <w:rFonts w:hint="eastAsia" w:ascii="宋体" w:hAnsi="宋体" w:eastAsia="宋体" w:cs="宋体"/>
          <w:sz w:val="24"/>
          <w:szCs w:val="24"/>
        </w:rPr>
        <w:t>、PM</w:t>
      </w:r>
      <w:r>
        <w:rPr>
          <w:rFonts w:hint="eastAsia" w:ascii="宋体" w:hAnsi="宋体" w:eastAsia="宋体" w:cs="宋体"/>
          <w:sz w:val="24"/>
          <w:szCs w:val="24"/>
          <w:vertAlign w:val="subscript"/>
        </w:rPr>
        <w:t>2.5</w:t>
      </w:r>
      <w:r>
        <w:rPr>
          <w:rFonts w:hint="eastAsia" w:ascii="宋体" w:hAnsi="宋体" w:eastAsia="宋体" w:cs="宋体"/>
          <w:sz w:val="24"/>
          <w:szCs w:val="24"/>
        </w:rPr>
        <w:t>分析仪纸带（必要时），进行系统自检。</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（2）校准和检查PM</w:t>
      </w:r>
      <w:r>
        <w:rPr>
          <w:rFonts w:hint="eastAsia" w:ascii="宋体" w:hAnsi="宋体" w:eastAsia="宋体" w:cs="宋体"/>
          <w:sz w:val="24"/>
          <w:szCs w:val="24"/>
          <w:vertAlign w:val="subscript"/>
        </w:rPr>
        <w:t>10</w:t>
      </w:r>
      <w:r>
        <w:rPr>
          <w:rFonts w:hint="eastAsia" w:ascii="宋体" w:hAnsi="宋体" w:eastAsia="宋体" w:cs="宋体"/>
          <w:sz w:val="24"/>
          <w:szCs w:val="24"/>
        </w:rPr>
        <w:t>及PM</w:t>
      </w:r>
      <w:r>
        <w:rPr>
          <w:rFonts w:hint="eastAsia" w:ascii="宋体" w:hAnsi="宋体" w:eastAsia="宋体" w:cs="宋体"/>
          <w:sz w:val="24"/>
          <w:szCs w:val="24"/>
          <w:vertAlign w:val="subscript"/>
        </w:rPr>
        <w:t>2.5</w:t>
      </w:r>
      <w:r>
        <w:rPr>
          <w:rFonts w:hint="eastAsia" w:ascii="宋体" w:hAnsi="宋体" w:eastAsia="宋体" w:cs="宋体"/>
          <w:sz w:val="24"/>
          <w:szCs w:val="24"/>
        </w:rPr>
        <w:t>分析仪的温度、气压和时钟。</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（3）用标准气压计、温度计、湿度计、手持式风速风向仪，校准相关的自动仪器。</w:t>
      </w:r>
    </w:p>
    <w:p>
      <w:pPr>
        <w:keepNext/>
        <w:keepLines/>
        <w:adjustRightInd w:val="0"/>
        <w:spacing w:line="480" w:lineRule="exact"/>
        <w:ind w:firstLine="480"/>
        <w:textAlignment w:val="baseline"/>
        <w:outlineLvl w:val="5"/>
        <w:rPr>
          <w:rFonts w:hint="eastAsia" w:ascii="宋体" w:hAnsi="宋体" w:eastAsia="宋体" w:cs="宋体"/>
          <w:b/>
          <w:kern w:val="0"/>
          <w:sz w:val="24"/>
          <w:szCs w:val="24"/>
        </w:rPr>
      </w:pPr>
      <w:r>
        <w:rPr>
          <w:rFonts w:hint="eastAsia" w:ascii="宋体" w:hAnsi="宋体" w:eastAsia="宋体" w:cs="宋体"/>
          <w:b/>
          <w:kern w:val="0"/>
          <w:sz w:val="24"/>
          <w:szCs w:val="24"/>
        </w:rPr>
        <w:t>6、每季度工作内容如下：</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（1）采样总管及采样风机每季度至少清洗一次。</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（2）对PM</w:t>
      </w:r>
      <w:r>
        <w:rPr>
          <w:rFonts w:hint="eastAsia" w:ascii="宋体" w:hAnsi="宋体" w:eastAsia="宋体" w:cs="宋体"/>
          <w:sz w:val="24"/>
          <w:szCs w:val="24"/>
          <w:vertAlign w:val="subscript"/>
        </w:rPr>
        <w:t>10</w:t>
      </w:r>
      <w:r>
        <w:rPr>
          <w:rFonts w:hint="eastAsia" w:ascii="宋体" w:hAnsi="宋体" w:eastAsia="宋体" w:cs="宋体"/>
          <w:sz w:val="24"/>
          <w:szCs w:val="24"/>
        </w:rPr>
        <w:t>和PM</w:t>
      </w:r>
      <w:r>
        <w:rPr>
          <w:rFonts w:hint="eastAsia" w:ascii="宋体" w:hAnsi="宋体" w:eastAsia="宋体" w:cs="宋体"/>
          <w:sz w:val="24"/>
          <w:szCs w:val="24"/>
          <w:vertAlign w:val="subscript"/>
        </w:rPr>
        <w:t>2.5</w:t>
      </w:r>
      <w:r>
        <w:rPr>
          <w:rFonts w:hint="eastAsia" w:ascii="宋体" w:hAnsi="宋体" w:eastAsia="宋体" w:cs="宋体"/>
          <w:sz w:val="24"/>
          <w:szCs w:val="24"/>
        </w:rPr>
        <w:t>监测仪器进行标准膜校准或K</w:t>
      </w:r>
      <w:r>
        <w:rPr>
          <w:rFonts w:hint="eastAsia" w:ascii="宋体" w:hAnsi="宋体" w:eastAsia="宋体" w:cs="宋体"/>
          <w:sz w:val="24"/>
          <w:szCs w:val="24"/>
          <w:vertAlign w:val="subscript"/>
        </w:rPr>
        <w:t>0</w:t>
      </w:r>
      <w:r>
        <w:rPr>
          <w:rFonts w:hint="eastAsia" w:ascii="宋体" w:hAnsi="宋体" w:eastAsia="宋体" w:cs="宋体"/>
          <w:sz w:val="24"/>
          <w:szCs w:val="24"/>
        </w:rPr>
        <w:t>值检查，超过国家相关规范要求时，及时进行校准。</w:t>
      </w:r>
    </w:p>
    <w:p>
      <w:pPr>
        <w:keepNext/>
        <w:keepLines/>
        <w:adjustRightInd w:val="0"/>
        <w:spacing w:line="480" w:lineRule="exact"/>
        <w:ind w:firstLine="480"/>
        <w:textAlignment w:val="baseline"/>
        <w:outlineLvl w:val="5"/>
        <w:rPr>
          <w:rFonts w:hint="eastAsia" w:ascii="宋体" w:hAnsi="宋体" w:eastAsia="宋体" w:cs="宋体"/>
          <w:b/>
          <w:kern w:val="0"/>
          <w:sz w:val="24"/>
          <w:szCs w:val="24"/>
        </w:rPr>
      </w:pPr>
      <w:bookmarkStart w:id="49" w:name="OLE_LINK9"/>
      <w:bookmarkStart w:id="50" w:name="OLE_LINK8"/>
      <w:r>
        <w:rPr>
          <w:rFonts w:hint="eastAsia" w:ascii="宋体" w:hAnsi="宋体" w:eastAsia="宋体" w:cs="宋体"/>
          <w:b/>
          <w:kern w:val="0"/>
          <w:sz w:val="24"/>
          <w:szCs w:val="24"/>
        </w:rPr>
        <w:t>7、每半年工作内容如下：</w:t>
      </w:r>
    </w:p>
    <w:bookmarkEnd w:id="49"/>
    <w:bookmarkEnd w:id="50"/>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（1）检查PM</w:t>
      </w:r>
      <w:r>
        <w:rPr>
          <w:rFonts w:hint="eastAsia" w:ascii="宋体" w:hAnsi="宋体" w:eastAsia="宋体" w:cs="宋体"/>
          <w:sz w:val="24"/>
          <w:szCs w:val="24"/>
          <w:vertAlign w:val="subscript"/>
        </w:rPr>
        <w:t>2.5</w:t>
      </w:r>
      <w:r>
        <w:rPr>
          <w:rFonts w:hint="eastAsia" w:ascii="宋体" w:hAnsi="宋体" w:eastAsia="宋体" w:cs="宋体"/>
          <w:sz w:val="24"/>
          <w:szCs w:val="24"/>
        </w:rPr>
        <w:t>、PM</w:t>
      </w:r>
      <w:r>
        <w:rPr>
          <w:rFonts w:hint="eastAsia" w:ascii="宋体" w:hAnsi="宋体" w:eastAsia="宋体" w:cs="宋体"/>
          <w:sz w:val="24"/>
          <w:szCs w:val="24"/>
          <w:vertAlign w:val="subscript"/>
        </w:rPr>
        <w:t>10</w:t>
      </w:r>
      <w:r>
        <w:rPr>
          <w:rFonts w:hint="eastAsia" w:ascii="宋体" w:hAnsi="宋体" w:eastAsia="宋体" w:cs="宋体"/>
          <w:sz w:val="24"/>
          <w:szCs w:val="24"/>
        </w:rPr>
        <w:t>分析仪相对湿度、温度传感器和动态加热装置是否正常工作。</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（2）对气态污染物监测仪进行多点校准，绘制校准曲线，检验相关系数、斜率和截距。</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（3）对动态校准仪流量进行多点校准。</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（4）采用臭氧传递标准（溯源至臭氧一级标准）对国家区域站臭氧工作标准进行标准传递。</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（5）更换零气源净化剂和氧化剂，对零气性能进行检查。</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（6）对氮氧化物分析仪钼炉转化率进行检查。</w:t>
      </w:r>
    </w:p>
    <w:p>
      <w:pPr>
        <w:spacing w:line="480" w:lineRule="exact"/>
        <w:ind w:left="420" w:leftChars="200"/>
        <w:rPr>
          <w:rFonts w:hint="eastAsia" w:ascii="宋体" w:hAnsi="宋体" w:eastAsia="宋体" w:cs="宋体"/>
          <w:sz w:val="24"/>
          <w:szCs w:val="24"/>
        </w:rPr>
      </w:pPr>
      <w:r>
        <w:rPr>
          <w:rFonts w:hint="eastAsia" w:ascii="宋体" w:hAnsi="宋体" w:eastAsia="宋体" w:cs="宋体"/>
          <w:sz w:val="24"/>
          <w:szCs w:val="24"/>
        </w:rPr>
        <w:t>（7）对能见度仪器进行校准。</w:t>
      </w:r>
    </w:p>
    <w:p>
      <w:pPr>
        <w:keepNext/>
        <w:keepLines/>
        <w:adjustRightInd w:val="0"/>
        <w:spacing w:line="480" w:lineRule="exact"/>
        <w:ind w:firstLine="480"/>
        <w:textAlignment w:val="baseline"/>
        <w:outlineLvl w:val="5"/>
        <w:rPr>
          <w:rFonts w:hint="eastAsia" w:ascii="宋体" w:hAnsi="宋体" w:eastAsia="宋体" w:cs="宋体"/>
          <w:b/>
          <w:kern w:val="0"/>
          <w:sz w:val="24"/>
          <w:szCs w:val="24"/>
        </w:rPr>
      </w:pPr>
      <w:r>
        <w:rPr>
          <w:rFonts w:hint="eastAsia" w:ascii="宋体" w:hAnsi="宋体" w:eastAsia="宋体" w:cs="宋体"/>
          <w:b/>
          <w:kern w:val="0"/>
          <w:sz w:val="24"/>
          <w:szCs w:val="24"/>
        </w:rPr>
        <w:t>8、每年工作内容如下：</w:t>
      </w:r>
    </w:p>
    <w:p>
      <w:pPr>
        <w:spacing w:line="480" w:lineRule="exact"/>
        <w:ind w:firstLine="429" w:firstLineChars="179"/>
        <w:rPr>
          <w:rFonts w:hint="eastAsia" w:ascii="宋体" w:hAnsi="宋体" w:eastAsia="宋体" w:cs="宋体"/>
          <w:sz w:val="24"/>
          <w:szCs w:val="24"/>
        </w:rPr>
      </w:pPr>
      <w:r>
        <w:rPr>
          <w:rFonts w:hint="eastAsia" w:ascii="宋体" w:hAnsi="宋体" w:eastAsia="宋体" w:cs="宋体"/>
          <w:sz w:val="24"/>
          <w:szCs w:val="24"/>
        </w:rPr>
        <w:t>对所有的仪器进行预防性维护，按说明书的要求更换备件，更换泵组件。</w:t>
      </w:r>
    </w:p>
    <w:p>
      <w:pPr>
        <w:spacing w:line="480" w:lineRule="exact"/>
        <w:ind w:firstLine="480"/>
        <w:rPr>
          <w:rFonts w:hint="eastAsia" w:ascii="宋体" w:hAnsi="宋体" w:eastAsia="宋体" w:cs="宋体"/>
          <w:b/>
          <w:kern w:val="0"/>
          <w:sz w:val="24"/>
          <w:szCs w:val="24"/>
        </w:rPr>
      </w:pPr>
      <w:r>
        <w:rPr>
          <w:rFonts w:hint="eastAsia" w:ascii="宋体" w:hAnsi="宋体" w:eastAsia="宋体" w:cs="宋体"/>
          <w:b/>
          <w:kern w:val="0"/>
          <w:sz w:val="24"/>
          <w:szCs w:val="24"/>
        </w:rPr>
        <w:t>9、中标商应建立国家区域站维护档案</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将国家区域站的运行过程和运行事件进行详细记录，并进行归档管理。日常运维中使用的相关记录表格，应当使用中国环境监测总站制定的统一样式表格。日常运维中使用运行管理相关记录至少应包括：</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（1）国家区域站运行维护记录表。</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（2）颗粒监测仪校准检查记录。</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（3）气态污染物监测仪校准检查记录。</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（4）仪器设备维修记录表。</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（5）备品备件管理记录表。</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（6）主要消耗材料使用登记表。</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（7）多点线性校准表格。</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（8）室内外环境记录。</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（9）标准物质使用记录。</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（10）仪器资料保管清单。</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1</w:t>
      </w:r>
      <w:r>
        <w:rPr>
          <w:rFonts w:hint="eastAsia" w:ascii="宋体" w:hAnsi="宋体" w:eastAsia="宋体" w:cs="宋体"/>
          <w:sz w:val="24"/>
          <w:szCs w:val="24"/>
        </w:rPr>
        <w:t>）</w:t>
      </w:r>
      <w:r>
        <w:rPr>
          <w:rFonts w:hint="eastAsia" w:ascii="宋体" w:hAnsi="宋体" w:eastAsia="宋体" w:cs="宋体"/>
          <w:sz w:val="24"/>
          <w:szCs w:val="24"/>
          <w:lang w:val="en-US" w:eastAsia="zh-CN"/>
        </w:rPr>
        <w:t>仪器精密度检查表</w:t>
      </w:r>
      <w:r>
        <w:rPr>
          <w:rFonts w:hint="eastAsia" w:ascii="宋体" w:hAnsi="宋体" w:eastAsia="宋体" w:cs="宋体"/>
          <w:sz w:val="24"/>
          <w:szCs w:val="24"/>
        </w:rPr>
        <w:t>。</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2</w:t>
      </w:r>
      <w:r>
        <w:rPr>
          <w:rFonts w:hint="eastAsia" w:ascii="宋体" w:hAnsi="宋体" w:eastAsia="宋体" w:cs="宋体"/>
          <w:sz w:val="24"/>
          <w:szCs w:val="24"/>
        </w:rPr>
        <w:t>）</w:t>
      </w:r>
      <w:r>
        <w:rPr>
          <w:rFonts w:hint="eastAsia" w:ascii="宋体" w:hAnsi="宋体" w:eastAsia="宋体" w:cs="宋体"/>
          <w:sz w:val="24"/>
          <w:szCs w:val="24"/>
          <w:lang w:val="en-US" w:eastAsia="zh-CN"/>
        </w:rPr>
        <w:t>流量检查检查表</w:t>
      </w:r>
      <w:r>
        <w:rPr>
          <w:rFonts w:hint="eastAsia" w:ascii="宋体" w:hAnsi="宋体" w:eastAsia="宋体" w:cs="宋体"/>
          <w:sz w:val="24"/>
          <w:szCs w:val="24"/>
        </w:rPr>
        <w:t>。</w:t>
      </w:r>
    </w:p>
    <w:p>
      <w:pPr>
        <w:keepNext/>
        <w:keepLines/>
        <w:adjustRightInd w:val="0"/>
        <w:spacing w:line="480" w:lineRule="exact"/>
        <w:ind w:firstLine="480"/>
        <w:textAlignment w:val="baseline"/>
        <w:outlineLvl w:val="5"/>
        <w:rPr>
          <w:rFonts w:hint="eastAsia" w:ascii="宋体" w:hAnsi="宋体" w:eastAsia="宋体" w:cs="宋体"/>
          <w:b/>
          <w:kern w:val="0"/>
          <w:sz w:val="24"/>
          <w:szCs w:val="24"/>
        </w:rPr>
      </w:pPr>
      <w:r>
        <w:rPr>
          <w:rFonts w:hint="eastAsia" w:ascii="宋体" w:hAnsi="宋体" w:eastAsia="宋体" w:cs="宋体"/>
          <w:b/>
          <w:kern w:val="0"/>
          <w:sz w:val="24"/>
          <w:szCs w:val="24"/>
        </w:rPr>
        <w:t>10、日常运维其他相关要求如下：</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（1）每周或视情况更换气态污染物监测仪器所用滤膜，必须为聚四氟乙烯材质。</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（2）应及时制定每月工作计划，并严格按计划执行，若有变更应及时通知业主。</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（3）应每月15日前，将上月各类记录表格交给总站，用于数据复核。</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4）中标商保证满足环保部门对国家区域站故障的响应时间要求，当国家区域站每日6时～23时出现故障，应在6小时之内响应，24小时内到达现场解决（通信线路、电力线路故障除外，但应及时与相关部门联系积极解决）。若仪器故障无法排除或当仪器损坏报废不能修复时，中标商必须在48小时内报告业主，业主组织中标商确认仪器损坏情况及原因，双方协商后提出解决方案。</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（5）严禁擅自改变采样管路连接方式和更改仪器参数设置。否则，业主有权终止合同。</w:t>
      </w:r>
    </w:p>
    <w:p>
      <w:pPr>
        <w:keepNext/>
        <w:keepLines/>
        <w:adjustRightInd w:val="0"/>
        <w:spacing w:line="480" w:lineRule="exact"/>
        <w:ind w:firstLine="480"/>
        <w:textAlignment w:val="baseline"/>
        <w:outlineLvl w:val="5"/>
        <w:rPr>
          <w:rFonts w:hint="eastAsia" w:ascii="宋体" w:hAnsi="宋体" w:eastAsia="宋体" w:cs="宋体"/>
          <w:b/>
          <w:kern w:val="0"/>
          <w:sz w:val="24"/>
          <w:szCs w:val="24"/>
        </w:rPr>
      </w:pPr>
      <w:r>
        <w:rPr>
          <w:rFonts w:hint="eastAsia" w:ascii="宋体" w:hAnsi="宋体" w:eastAsia="宋体" w:cs="宋体"/>
          <w:b/>
          <w:kern w:val="0"/>
          <w:sz w:val="24"/>
          <w:szCs w:val="24"/>
        </w:rPr>
        <w:t>11、质量控制要求</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中标商需认真落实质量管理制度，做好相应记录。</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（1）量值溯源要求</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中标商在每个国家区域站需配备标准气体，所使用的标准气体须为国家环保部标样所或国家标物中心生产的有证标准物质，新购标准气体应做验证实验，形成验证报告。另外，在用标准气体当钢瓶压力低于500PSIG时，标准需要进行重新验证；当钢瓶压力低于150PSIG(1.0MPa)时，标准停止使用。标准气体必须在有效期内使用。</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中标商应每年将国家区域站所用的流量传感器、温度传感器、气压传感器等设备溯源到总站提供的标准设备；</w:t>
      </w:r>
      <w:r>
        <w:rPr>
          <w:rFonts w:hint="eastAsia" w:ascii="宋体" w:hAnsi="宋体" w:eastAsia="宋体" w:cs="宋体"/>
          <w:b/>
          <w:sz w:val="24"/>
          <w:szCs w:val="24"/>
        </w:rPr>
        <w:t>用做传递标准的臭氧校准仪至少每年向国家计量部门或环保部门臭氧一级标准（SRP）进行一次量值溯源；中标商的臭氧校准仪或动态校准仪（工作标准）每年使用可溯源至臭氧一级标准的传递标准进行至少2次臭氧量值传递；</w:t>
      </w:r>
      <w:r>
        <w:rPr>
          <w:rFonts w:hint="eastAsia" w:ascii="宋体" w:hAnsi="宋体" w:eastAsia="宋体" w:cs="宋体"/>
          <w:sz w:val="24"/>
          <w:szCs w:val="24"/>
        </w:rPr>
        <w:t>每半年对国家区域站所用的零气发生器进行核查，性能指标应符合要求。中标商所用的流量检查设备应每季度向总站提供或指定的设备溯源。</w:t>
      </w:r>
    </w:p>
    <w:p>
      <w:pPr>
        <w:spacing w:line="480" w:lineRule="exact"/>
        <w:rPr>
          <w:rFonts w:hint="eastAsia" w:ascii="宋体" w:hAnsi="宋体" w:eastAsia="宋体" w:cs="宋体"/>
          <w:sz w:val="24"/>
          <w:szCs w:val="24"/>
        </w:rPr>
      </w:pPr>
      <w:r>
        <w:rPr>
          <w:rFonts w:hint="eastAsia" w:ascii="宋体" w:hAnsi="宋体" w:eastAsia="宋体" w:cs="宋体"/>
          <w:sz w:val="24"/>
          <w:szCs w:val="24"/>
        </w:rPr>
        <w:t>（2）日常质量控制要求</w:t>
      </w:r>
    </w:p>
    <w:p>
      <w:pPr>
        <w:spacing w:line="480" w:lineRule="exact"/>
        <w:rPr>
          <w:rFonts w:hint="eastAsia" w:ascii="宋体" w:hAnsi="宋体" w:eastAsia="宋体" w:cs="宋体"/>
          <w:sz w:val="24"/>
          <w:szCs w:val="24"/>
        </w:rPr>
      </w:pPr>
      <w:r>
        <w:rPr>
          <w:rFonts w:hint="eastAsia" w:ascii="宋体" w:hAnsi="宋体" w:eastAsia="宋体" w:cs="宋体"/>
          <w:sz w:val="24"/>
          <w:szCs w:val="24"/>
        </w:rPr>
        <w:t>分析仪在以下情况下需进行校准和再校准：</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①安装时</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②移动位置时</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③进行可能影响校准结果的维修或维护后</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④分析仪暂停工作一段时间后</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⑤有迹象表明分析仪工作不正常或校准结果出现变化</w:t>
      </w:r>
    </w:p>
    <w:p>
      <w:pPr>
        <w:spacing w:line="480" w:lineRule="exact"/>
        <w:ind w:left="200"/>
        <w:rPr>
          <w:rFonts w:hint="eastAsia" w:ascii="宋体" w:hAnsi="宋体" w:eastAsia="宋体" w:cs="宋体"/>
          <w:sz w:val="24"/>
          <w:szCs w:val="24"/>
        </w:rPr>
      </w:pPr>
      <w:r>
        <w:rPr>
          <w:rFonts w:hint="eastAsia" w:ascii="宋体" w:hAnsi="宋体" w:eastAsia="宋体" w:cs="宋体"/>
          <w:sz w:val="24"/>
          <w:szCs w:val="24"/>
        </w:rPr>
        <w:t>⑥达到国家规范或本招标文件要求的校准周期或校准要求的。</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（3）成效审核要求</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总站或总站委托的单位每年进行2次成效审核。</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（4） 异常数据的审核与检验</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中标商应对监测数据异常值进行分析，查明原因，如属于系统或仪器故障，应在24小时内处理并上报总站。</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（5）质量控制资料整理</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各种技术与质量文件均保持现行有效，可根据管理需要进行调整或修订，巡检记录、维修记录、日常检查与监督抽查等质量保证与质量控制记录均须按要求进行填写，每月进行整理归档。</w:t>
      </w:r>
    </w:p>
    <w:p>
      <w:pPr>
        <w:keepNext/>
        <w:keepLines/>
        <w:adjustRightInd w:val="0"/>
        <w:spacing w:line="480" w:lineRule="exact"/>
        <w:ind w:firstLine="480"/>
        <w:textAlignment w:val="baseline"/>
        <w:outlineLvl w:val="5"/>
        <w:rPr>
          <w:rFonts w:hint="eastAsia" w:ascii="宋体" w:hAnsi="宋体" w:eastAsia="宋体" w:cs="宋体"/>
          <w:b/>
          <w:kern w:val="0"/>
          <w:sz w:val="24"/>
          <w:szCs w:val="24"/>
        </w:rPr>
      </w:pPr>
      <w:r>
        <w:rPr>
          <w:rFonts w:hint="eastAsia" w:ascii="宋体" w:hAnsi="宋体" w:eastAsia="宋体" w:cs="宋体"/>
          <w:b/>
          <w:kern w:val="0"/>
          <w:sz w:val="24"/>
          <w:szCs w:val="24"/>
        </w:rPr>
        <w:t>12、系统设备维修要求</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（1）运行维修工作界定</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中标商负责系统所有设备和仪器的维护、维修和部件更换（包括空调设备等附属设施）工作，本服务内容同样包括由于外部原因意外丢失和损坏设备的维修或更换。</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（2）设备维修质量控制要求</w:t>
      </w:r>
    </w:p>
    <w:p>
      <w:pPr>
        <w:spacing w:line="480" w:lineRule="exact"/>
        <w:ind w:firstLine="480"/>
        <w:rPr>
          <w:rFonts w:hint="eastAsia" w:ascii="宋体" w:hAnsi="宋体" w:eastAsia="宋体" w:cs="宋体"/>
          <w:sz w:val="24"/>
          <w:szCs w:val="24"/>
        </w:rPr>
      </w:pPr>
      <w:r>
        <w:rPr>
          <w:rFonts w:hint="eastAsia" w:ascii="宋体" w:hAnsi="宋体" w:eastAsia="宋体" w:cs="宋体"/>
          <w:sz w:val="24"/>
          <w:szCs w:val="24"/>
        </w:rPr>
        <w:t>监测仪器被修复后，当其检测性能受到影响时，需要进行检验，采用标气测定、颗粒物手工比对等方法进行。</w:t>
      </w:r>
    </w:p>
    <w:p>
      <w:pPr>
        <w:pStyle w:val="965"/>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仪器大修后（更换设备测试关键部件），应按顺序进行漂移实验（零点漂移、量程漂移）、重复性及准确度实验、多点线性实验，并提交相应报告。</w:t>
      </w:r>
    </w:p>
    <w:p>
      <w:pPr>
        <w:pStyle w:val="5"/>
        <w:bidi w:val="0"/>
        <w:rPr>
          <w:rFonts w:hint="eastAsia" w:ascii="宋体" w:hAnsi="宋体" w:eastAsia="宋体" w:cs="宋体"/>
          <w:sz w:val="24"/>
          <w:szCs w:val="24"/>
        </w:rPr>
      </w:pPr>
      <w:bookmarkStart w:id="51" w:name="_Toc17849"/>
      <w:r>
        <w:rPr>
          <w:rFonts w:hint="eastAsia" w:ascii="宋体" w:hAnsi="宋体" w:eastAsia="宋体" w:cs="宋体"/>
          <w:sz w:val="24"/>
          <w:szCs w:val="24"/>
          <w:lang w:eastAsia="zh-CN"/>
        </w:rPr>
        <w:t>四、</w:t>
      </w:r>
      <w:r>
        <w:rPr>
          <w:rFonts w:hint="eastAsia" w:ascii="宋体" w:hAnsi="宋体" w:eastAsia="宋体" w:cs="宋体"/>
          <w:sz w:val="24"/>
          <w:szCs w:val="24"/>
        </w:rPr>
        <w:t>监督考核要求</w:t>
      </w:r>
      <w:bookmarkEnd w:id="51"/>
    </w:p>
    <w:p>
      <w:pPr>
        <w:ind w:firstLine="480"/>
        <w:rPr>
          <w:rFonts w:hint="eastAsia" w:ascii="宋体" w:hAnsi="宋体" w:eastAsia="宋体" w:cs="宋体"/>
          <w:sz w:val="24"/>
          <w:szCs w:val="24"/>
        </w:rPr>
      </w:pPr>
      <w:r>
        <w:rPr>
          <w:rFonts w:hint="eastAsia" w:ascii="宋体" w:hAnsi="宋体" w:eastAsia="宋体" w:cs="宋体"/>
          <w:sz w:val="24"/>
          <w:szCs w:val="24"/>
        </w:rPr>
        <w:t>业主组织开展多种形式的运维管理和质控考核，并对检查与考核结果拥有最终解释权。对达不到运维要求或违规操作的，业主可以扣减相应的运维费，并有权终止运维合同。</w:t>
      </w:r>
    </w:p>
    <w:p>
      <w:pPr>
        <w:keepNext/>
        <w:keepLines/>
        <w:spacing w:before="120" w:beforeLines="50" w:after="120" w:afterLines="50" w:line="480" w:lineRule="exact"/>
        <w:outlineLvl w:val="1"/>
        <w:rPr>
          <w:rFonts w:hint="eastAsia" w:ascii="宋体" w:hAnsi="宋体" w:eastAsia="宋体" w:cs="宋体"/>
          <w:b/>
          <w:sz w:val="24"/>
          <w:szCs w:val="24"/>
        </w:rPr>
      </w:pPr>
      <w:bookmarkStart w:id="52" w:name="_Toc25144"/>
      <w:r>
        <w:rPr>
          <w:rFonts w:hint="eastAsia" w:ascii="宋体" w:hAnsi="宋体" w:eastAsia="宋体" w:cs="宋体"/>
          <w:b/>
          <w:sz w:val="24"/>
          <w:szCs w:val="24"/>
        </w:rPr>
        <w:t>（一）监督管理</w:t>
      </w:r>
      <w:bookmarkEnd w:id="52"/>
    </w:p>
    <w:p>
      <w:pPr>
        <w:ind w:firstLine="480"/>
        <w:rPr>
          <w:rFonts w:hint="eastAsia" w:ascii="宋体" w:hAnsi="宋体" w:eastAsia="宋体" w:cs="宋体"/>
          <w:b/>
          <w:sz w:val="24"/>
          <w:szCs w:val="24"/>
        </w:rPr>
      </w:pPr>
      <w:r>
        <w:rPr>
          <w:rFonts w:hint="eastAsia" w:ascii="宋体" w:hAnsi="宋体" w:eastAsia="宋体" w:cs="宋体"/>
          <w:b/>
          <w:color w:val="000000"/>
          <w:sz w:val="24"/>
          <w:szCs w:val="24"/>
        </w:rPr>
        <w:t>▲</w:t>
      </w:r>
      <w:r>
        <w:rPr>
          <w:rFonts w:hint="eastAsia" w:ascii="宋体" w:hAnsi="宋体" w:eastAsia="宋体" w:cs="宋体"/>
          <w:sz w:val="24"/>
          <w:szCs w:val="24"/>
        </w:rPr>
        <w:t xml:space="preserve"> </w:t>
      </w:r>
      <w:r>
        <w:rPr>
          <w:rFonts w:hint="eastAsia" w:ascii="宋体" w:hAnsi="宋体" w:eastAsia="宋体" w:cs="宋体"/>
          <w:b/>
          <w:sz w:val="24"/>
          <w:szCs w:val="24"/>
        </w:rPr>
        <w:t>1、中标商应承担监测数据的保密责任（签订保密协议），不得利用本项目的数据、档案或有关资料对外开展技术交流、业务联系、数据交换等。否则，业主有权终止合同。</w:t>
      </w:r>
    </w:p>
    <w:p>
      <w:pPr>
        <w:ind w:firstLine="480"/>
        <w:rPr>
          <w:rFonts w:hint="eastAsia" w:ascii="宋体" w:hAnsi="宋体" w:eastAsia="宋体" w:cs="宋体"/>
          <w:b/>
          <w:sz w:val="24"/>
          <w:szCs w:val="24"/>
        </w:rPr>
      </w:pPr>
      <w:r>
        <w:rPr>
          <w:rFonts w:hint="eastAsia" w:ascii="宋体" w:hAnsi="宋体" w:eastAsia="宋体" w:cs="宋体"/>
          <w:b/>
          <w:color w:val="000000"/>
          <w:sz w:val="24"/>
          <w:szCs w:val="24"/>
        </w:rPr>
        <w:t>▲</w:t>
      </w:r>
      <w:r>
        <w:rPr>
          <w:rFonts w:hint="eastAsia" w:ascii="宋体" w:hAnsi="宋体" w:eastAsia="宋体" w:cs="宋体"/>
          <w:sz w:val="24"/>
          <w:szCs w:val="24"/>
        </w:rPr>
        <w:t xml:space="preserve"> </w:t>
      </w:r>
      <w:r>
        <w:rPr>
          <w:rFonts w:hint="eastAsia" w:ascii="宋体" w:hAnsi="宋体" w:eastAsia="宋体" w:cs="宋体"/>
          <w:b/>
          <w:sz w:val="24"/>
          <w:szCs w:val="24"/>
        </w:rPr>
        <w:t>2、运维期间出现调整数据、修改参数、改动设备、弄虚作假等违规行为的，总站有权终止运维合同。</w:t>
      </w:r>
    </w:p>
    <w:p>
      <w:pPr>
        <w:ind w:firstLine="480"/>
        <w:rPr>
          <w:rFonts w:hint="eastAsia" w:ascii="宋体" w:hAnsi="宋体" w:eastAsia="宋体" w:cs="宋体"/>
          <w:sz w:val="24"/>
          <w:szCs w:val="24"/>
        </w:rPr>
      </w:pPr>
      <w:r>
        <w:rPr>
          <w:rFonts w:hint="eastAsia" w:ascii="宋体" w:hAnsi="宋体" w:eastAsia="宋体" w:cs="宋体"/>
          <w:sz w:val="24"/>
          <w:szCs w:val="24"/>
        </w:rPr>
        <w:t>3、运维期间，中标商应按安全生产有关规定，建立安全生产制度，切实消除安全隐患。</w:t>
      </w:r>
    </w:p>
    <w:p>
      <w:pPr>
        <w:keepNext/>
        <w:keepLines/>
        <w:spacing w:before="120" w:beforeLines="50" w:after="120" w:afterLines="50" w:line="480" w:lineRule="exact"/>
        <w:outlineLvl w:val="1"/>
        <w:rPr>
          <w:rFonts w:hint="eastAsia" w:ascii="宋体" w:hAnsi="宋体" w:eastAsia="宋体" w:cs="宋体"/>
          <w:b/>
          <w:sz w:val="24"/>
          <w:szCs w:val="24"/>
        </w:rPr>
      </w:pPr>
      <w:bookmarkStart w:id="53" w:name="_Toc32117"/>
      <w:r>
        <w:rPr>
          <w:rFonts w:hint="eastAsia" w:ascii="宋体" w:hAnsi="宋体" w:eastAsia="宋体" w:cs="宋体"/>
          <w:b/>
          <w:sz w:val="24"/>
          <w:szCs w:val="24"/>
        </w:rPr>
        <w:t>（二）考核办法</w:t>
      </w:r>
      <w:bookmarkEnd w:id="53"/>
    </w:p>
    <w:p>
      <w:pPr>
        <w:ind w:firstLine="480"/>
        <w:rPr>
          <w:rFonts w:hint="eastAsia" w:ascii="宋体" w:hAnsi="宋体" w:eastAsia="宋体" w:cs="宋体"/>
          <w:sz w:val="24"/>
          <w:szCs w:val="24"/>
        </w:rPr>
      </w:pPr>
      <w:r>
        <w:rPr>
          <w:rFonts w:hint="eastAsia" w:ascii="宋体" w:hAnsi="宋体" w:eastAsia="宋体" w:cs="宋体"/>
          <w:sz w:val="24"/>
          <w:szCs w:val="24"/>
        </w:rPr>
        <w:t>业主对中标商运维绩效每月考核一次。考核采取百分制、单站考核的方式，主要包括单个站点数据有效性，监测数据捕获率、数据质控合格率(以下简称“两率”)以及运行维护的内容。</w:t>
      </w:r>
    </w:p>
    <w:p>
      <w:pPr>
        <w:ind w:firstLine="480"/>
        <w:rPr>
          <w:rFonts w:hint="eastAsia" w:ascii="宋体" w:hAnsi="宋体" w:eastAsia="宋体" w:cs="宋体"/>
          <w:sz w:val="24"/>
          <w:szCs w:val="24"/>
        </w:rPr>
      </w:pPr>
      <w:r>
        <w:rPr>
          <w:rFonts w:hint="eastAsia" w:ascii="宋体" w:hAnsi="宋体" w:eastAsia="宋体" w:cs="宋体"/>
          <w:sz w:val="24"/>
          <w:szCs w:val="24"/>
        </w:rPr>
        <w:t>数据捕获率指考核时段内各监测项目实际获取的小时值监测数据量总和除以应获得小时值数据量总和。数据质控合格率指考核时段内各监测项目实际获取的质控合格的小时值监测数据量总和除以应获得小时值数据量总和。计算数据捕获率与质控合格率时，每日各项目应获得小时值数据量均按24个计，考核时段天数按考核时段内日历天数计。计算应获得小时值数据量时，应扣除因不可抗力造成的停止监测的小时数。</w:t>
      </w:r>
    </w:p>
    <w:p>
      <w:pPr>
        <w:autoSpaceDE w:val="0"/>
        <w:autoSpaceDN w:val="0"/>
        <w:adjustRightInd w:val="0"/>
        <w:snapToGrid w:val="0"/>
        <w:spacing w:line="440" w:lineRule="exact"/>
        <w:ind w:firstLine="482" w:firstLineChars="200"/>
        <w:rPr>
          <w:rFonts w:hint="eastAsia" w:ascii="宋体" w:hAnsi="宋体" w:eastAsia="宋体" w:cs="宋体"/>
          <w:b/>
          <w:kern w:val="0"/>
          <w:sz w:val="24"/>
          <w:szCs w:val="24"/>
        </w:rPr>
      </w:pPr>
      <w:r>
        <w:rPr>
          <w:rFonts w:hint="eastAsia" w:ascii="宋体" w:hAnsi="宋体" w:eastAsia="宋体" w:cs="宋体"/>
          <w:b/>
          <w:kern w:val="0"/>
          <w:sz w:val="24"/>
          <w:szCs w:val="24"/>
        </w:rPr>
        <w:t>1、数据有效性</w:t>
      </w:r>
    </w:p>
    <w:p>
      <w:pPr>
        <w:autoSpaceDE w:val="0"/>
        <w:autoSpaceDN w:val="0"/>
        <w:adjustRightInd w:val="0"/>
        <w:snapToGri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（1）考核时段内单个站点任一监测项目有效数据量应满足《环境空气质量标准》（GB 3095-2012）中规定的污染物浓度数据有效性要求。</w:t>
      </w:r>
    </w:p>
    <w:p>
      <w:pPr>
        <w:autoSpaceDE w:val="0"/>
        <w:autoSpaceDN w:val="0"/>
        <w:adjustRightInd w:val="0"/>
        <w:snapToGri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（2）除特殊原因外，单站设备数据捕获率须高于90%(含)，单站设备数据质控合格率须高于80%。</w:t>
      </w:r>
    </w:p>
    <w:p>
      <w:pPr>
        <w:autoSpaceDE w:val="0"/>
        <w:autoSpaceDN w:val="0"/>
        <w:adjustRightInd w:val="0"/>
        <w:snapToGrid w:val="0"/>
        <w:spacing w:line="440" w:lineRule="exact"/>
        <w:ind w:firstLine="482" w:firstLineChars="200"/>
        <w:rPr>
          <w:rFonts w:hint="eastAsia" w:ascii="宋体" w:hAnsi="宋体" w:eastAsia="宋体" w:cs="宋体"/>
          <w:kern w:val="0"/>
          <w:sz w:val="24"/>
          <w:szCs w:val="24"/>
        </w:rPr>
      </w:pPr>
      <w:r>
        <w:rPr>
          <w:rFonts w:hint="eastAsia" w:ascii="宋体" w:hAnsi="宋体" w:eastAsia="宋体" w:cs="宋体"/>
          <w:b/>
          <w:kern w:val="0"/>
          <w:sz w:val="24"/>
          <w:szCs w:val="24"/>
        </w:rPr>
        <w:t>（3）除特殊原因外，连续两个月未达到数据有效性要求的，给予通报批评；连续三个月未达到数据有效性要求的，业主有权力终止本合同并要求中标商返还相应运维费用，并给予通报批评。</w:t>
      </w:r>
    </w:p>
    <w:p>
      <w:pPr>
        <w:autoSpaceDE w:val="0"/>
        <w:autoSpaceDN w:val="0"/>
        <w:adjustRightInd w:val="0"/>
        <w:snapToGrid w:val="0"/>
        <w:spacing w:line="440" w:lineRule="exact"/>
        <w:ind w:firstLine="482" w:firstLineChars="200"/>
        <w:rPr>
          <w:rFonts w:hint="eastAsia" w:ascii="宋体" w:hAnsi="宋体" w:eastAsia="宋体" w:cs="宋体"/>
          <w:b/>
          <w:kern w:val="0"/>
          <w:sz w:val="24"/>
          <w:szCs w:val="24"/>
        </w:rPr>
      </w:pPr>
      <w:r>
        <w:rPr>
          <w:rFonts w:hint="eastAsia" w:ascii="宋体" w:hAnsi="宋体" w:eastAsia="宋体" w:cs="宋体"/>
          <w:b/>
          <w:kern w:val="0"/>
          <w:sz w:val="24"/>
          <w:szCs w:val="24"/>
        </w:rPr>
        <w:t>2、两率及运行维护</w:t>
      </w:r>
    </w:p>
    <w:p>
      <w:pPr>
        <w:autoSpaceDE w:val="0"/>
        <w:autoSpaceDN w:val="0"/>
        <w:adjustRightInd w:val="0"/>
        <w:snapToGri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符合数据有效性要求后，参照本部分执行。</w:t>
      </w:r>
    </w:p>
    <w:p>
      <w:pPr>
        <w:autoSpaceDE w:val="0"/>
        <w:autoSpaceDN w:val="0"/>
        <w:adjustRightInd w:val="0"/>
        <w:snapToGri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（1）两率部分(70分)</w:t>
      </w:r>
    </w:p>
    <w:p>
      <w:pPr>
        <w:autoSpaceDE w:val="0"/>
        <w:autoSpaceDN w:val="0"/>
        <w:adjustRightInd w:val="0"/>
        <w:snapToGri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单站监测数据质控合格率高于90%(含)的，得70分；80%(含)-90%的，得分为70×（数据质控合格率/90%）。</w:t>
      </w:r>
    </w:p>
    <w:p>
      <w:pPr>
        <w:autoSpaceDE w:val="0"/>
        <w:autoSpaceDN w:val="0"/>
        <w:adjustRightInd w:val="0"/>
        <w:snapToGri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（2）运行维护部分(30分)</w:t>
      </w:r>
    </w:p>
    <w:p>
      <w:pPr>
        <w:autoSpaceDE w:val="0"/>
        <w:autoSpaceDN w:val="0"/>
        <w:adjustRightInd w:val="0"/>
        <w:snapToGri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运行维护部分每月由总站组织检查核实，核查内容包括日常运维任务完成情况、异常情况处理情况、站房环境保障效果、采样系统维护效果、仪器日常维护效果、质量控制效果、通讯系统维护效果（数据上传情况）、人员与档案记录管理情况等，共计30分。参考国家城市空气质量监测国家城市站运维绩效考核办法（暂行）。</w:t>
      </w:r>
    </w:p>
    <w:p>
      <w:pPr>
        <w:autoSpaceDE w:val="0"/>
        <w:autoSpaceDN w:val="0"/>
        <w:adjustRightInd w:val="0"/>
        <w:snapToGrid w:val="0"/>
        <w:spacing w:line="440" w:lineRule="exact"/>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（3）考核总分（100分）</w:t>
      </w:r>
    </w:p>
    <w:p>
      <w:pPr>
        <w:pStyle w:val="35"/>
        <w:ind w:firstLine="480" w:firstLineChars="200"/>
        <w:rPr>
          <w:rFonts w:hint="eastAsia" w:ascii="宋体" w:hAnsi="宋体" w:eastAsia="宋体" w:cs="宋体"/>
          <w:kern w:val="0"/>
          <w:sz w:val="24"/>
          <w:szCs w:val="24"/>
        </w:rPr>
      </w:pPr>
      <w:r>
        <w:rPr>
          <w:rFonts w:hint="eastAsia" w:ascii="宋体" w:hAnsi="宋体" w:eastAsia="宋体" w:cs="宋体"/>
          <w:kern w:val="0"/>
          <w:sz w:val="24"/>
          <w:szCs w:val="24"/>
        </w:rPr>
        <w:t>考核总分=两率得分+运维得分</w:t>
      </w:r>
    </w:p>
    <w:p>
      <w:pPr>
        <w:pStyle w:val="35"/>
        <w:rPr>
          <w:rFonts w:hint="eastAsia" w:ascii="宋体" w:hAnsi="宋体" w:eastAsia="宋体" w:cs="宋体"/>
          <w:kern w:val="0"/>
          <w:sz w:val="24"/>
          <w:szCs w:val="24"/>
        </w:rPr>
      </w:pPr>
    </w:p>
    <w:p>
      <w:pPr>
        <w:keepNext/>
        <w:keepLines/>
        <w:spacing w:before="120" w:beforeLines="50" w:after="120" w:afterLines="50" w:line="480" w:lineRule="exact"/>
        <w:outlineLvl w:val="1"/>
        <w:rPr>
          <w:rFonts w:hint="eastAsia" w:ascii="宋体" w:hAnsi="宋体" w:eastAsia="宋体" w:cs="宋体"/>
          <w:b/>
          <w:sz w:val="24"/>
          <w:szCs w:val="24"/>
        </w:rPr>
      </w:pPr>
      <w:bookmarkStart w:id="54" w:name="_Toc18114"/>
      <w:r>
        <w:rPr>
          <w:rFonts w:hint="eastAsia" w:ascii="宋体" w:hAnsi="宋体" w:eastAsia="宋体" w:cs="宋体"/>
          <w:b/>
          <w:sz w:val="24"/>
          <w:szCs w:val="24"/>
        </w:rPr>
        <w:t>附表1：国家区域环境空气质量监测站运维情况考核表</w:t>
      </w:r>
      <w:bookmarkEnd w:id="54"/>
    </w:p>
    <w:p>
      <w:pPr>
        <w:ind w:firstLine="360" w:firstLineChars="150"/>
        <w:jc w:val="left"/>
        <w:rPr>
          <w:rFonts w:hint="eastAsia" w:ascii="宋体" w:hAnsi="宋体" w:eastAsia="宋体" w:cs="宋体"/>
          <w:sz w:val="24"/>
          <w:szCs w:val="24"/>
        </w:rPr>
      </w:pP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8"/>
        <w:gridCol w:w="2953"/>
        <w:gridCol w:w="1510"/>
        <w:gridCol w:w="2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175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考核月份：</w:t>
            </w:r>
          </w:p>
        </w:tc>
        <w:tc>
          <w:tcPr>
            <w:tcW w:w="6694" w:type="dxa"/>
            <w:gridSpan w:val="3"/>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 xml:space="preserve">年        月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75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站点名称：</w:t>
            </w:r>
          </w:p>
        </w:tc>
        <w:tc>
          <w:tcPr>
            <w:tcW w:w="6694" w:type="dxa"/>
            <w:gridSpan w:val="3"/>
            <w:tcBorders>
              <w:top w:val="single" w:color="auto" w:sz="4" w:space="0"/>
              <w:left w:val="single" w:color="auto" w:sz="4" w:space="0"/>
              <w:bottom w:val="single" w:color="auto" w:sz="4" w:space="0"/>
              <w:right w:val="single" w:color="auto" w:sz="4" w:space="0"/>
            </w:tcBorders>
            <w:noWrap w:val="0"/>
            <w:vAlign w:val="center"/>
          </w:tcPr>
          <w:p>
            <w:pPr>
              <w:ind w:firstLine="1440" w:firstLineChars="600"/>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75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运维单位：</w:t>
            </w:r>
          </w:p>
        </w:tc>
        <w:tc>
          <w:tcPr>
            <w:tcW w:w="6694" w:type="dxa"/>
            <w:gridSpan w:val="3"/>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758"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项目</w:t>
            </w:r>
          </w:p>
        </w:tc>
        <w:tc>
          <w:tcPr>
            <w:tcW w:w="2953"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考核内容</w:t>
            </w:r>
          </w:p>
        </w:tc>
        <w:tc>
          <w:tcPr>
            <w:tcW w:w="151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得分</w:t>
            </w:r>
          </w:p>
        </w:tc>
        <w:tc>
          <w:tcPr>
            <w:tcW w:w="223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jc w:val="center"/>
        </w:trPr>
        <w:tc>
          <w:tcPr>
            <w:tcW w:w="1758" w:type="dxa"/>
            <w:vMerge w:val="restart"/>
            <w:tcBorders>
              <w:top w:val="single" w:color="auto" w:sz="4" w:space="0"/>
              <w:left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两率</w:t>
            </w:r>
          </w:p>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部分</w:t>
            </w:r>
          </w:p>
        </w:tc>
        <w:tc>
          <w:tcPr>
            <w:tcW w:w="2953"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kern w:val="0"/>
                <w:sz w:val="24"/>
                <w:szCs w:val="24"/>
                <w:u w:val="single"/>
              </w:rPr>
            </w:pPr>
            <w:r>
              <w:rPr>
                <w:rFonts w:hint="eastAsia" w:ascii="宋体" w:hAnsi="宋体" w:eastAsia="宋体" w:cs="宋体"/>
                <w:kern w:val="0"/>
                <w:sz w:val="24"/>
                <w:szCs w:val="24"/>
              </w:rPr>
              <w:t>数据获取率</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w:t>
            </w:r>
          </w:p>
        </w:tc>
        <w:tc>
          <w:tcPr>
            <w:tcW w:w="1510"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p>
        </w:tc>
        <w:tc>
          <w:tcPr>
            <w:tcW w:w="2231"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jc w:val="center"/>
        </w:trPr>
        <w:tc>
          <w:tcPr>
            <w:tcW w:w="1758" w:type="dxa"/>
            <w:vMerge w:val="continue"/>
            <w:tcBorders>
              <w:left w:val="single" w:color="auto" w:sz="4" w:space="0"/>
              <w:bottom w:val="single" w:color="auto" w:sz="4" w:space="0"/>
              <w:right w:val="single" w:color="auto" w:sz="4" w:space="0"/>
            </w:tcBorders>
            <w:noWrap w:val="0"/>
            <w:vAlign w:val="center"/>
          </w:tcPr>
          <w:p>
            <w:pPr>
              <w:widowControl/>
              <w:spacing w:line="360" w:lineRule="exact"/>
              <w:jc w:val="left"/>
              <w:rPr>
                <w:rFonts w:hint="eastAsia" w:ascii="宋体" w:hAnsi="宋体" w:eastAsia="宋体" w:cs="宋体"/>
                <w:sz w:val="24"/>
                <w:szCs w:val="24"/>
              </w:rPr>
            </w:pPr>
          </w:p>
        </w:tc>
        <w:tc>
          <w:tcPr>
            <w:tcW w:w="2953"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宋体" w:hAnsi="宋体" w:eastAsia="宋体" w:cs="宋体"/>
                <w:kern w:val="0"/>
                <w:sz w:val="24"/>
                <w:szCs w:val="24"/>
                <w:u w:val="single"/>
              </w:rPr>
            </w:pPr>
            <w:r>
              <w:rPr>
                <w:rFonts w:hint="eastAsia" w:ascii="宋体" w:hAnsi="宋体" w:eastAsia="宋体" w:cs="宋体"/>
                <w:kern w:val="0"/>
                <w:sz w:val="24"/>
                <w:szCs w:val="24"/>
              </w:rPr>
              <w:t>数据质控合格率</w:t>
            </w:r>
            <w:r>
              <w:rPr>
                <w:rFonts w:hint="eastAsia" w:ascii="宋体" w:hAnsi="宋体" w:eastAsia="宋体" w:cs="宋体"/>
                <w:kern w:val="0"/>
                <w:sz w:val="24"/>
                <w:szCs w:val="24"/>
                <w:u w:val="single"/>
              </w:rPr>
              <w:t xml:space="preserve">      </w:t>
            </w:r>
            <w:r>
              <w:rPr>
                <w:rFonts w:hint="eastAsia" w:ascii="宋体" w:hAnsi="宋体" w:eastAsia="宋体" w:cs="宋体"/>
                <w:kern w:val="0"/>
                <w:sz w:val="24"/>
                <w:szCs w:val="24"/>
              </w:rPr>
              <w:t>%</w:t>
            </w:r>
          </w:p>
        </w:tc>
        <w:tc>
          <w:tcPr>
            <w:tcW w:w="151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宋体" w:hAnsi="宋体" w:eastAsia="宋体" w:cs="宋体"/>
                <w:sz w:val="24"/>
                <w:szCs w:val="24"/>
              </w:rPr>
            </w:pPr>
          </w:p>
        </w:tc>
        <w:tc>
          <w:tcPr>
            <w:tcW w:w="2231"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9" w:hRule="atLeast"/>
          <w:jc w:val="center"/>
        </w:trPr>
        <w:tc>
          <w:tcPr>
            <w:tcW w:w="1758"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宋体" w:hAnsi="宋体" w:eastAsia="宋体" w:cs="宋体"/>
                <w:kern w:val="0"/>
                <w:sz w:val="24"/>
                <w:szCs w:val="24"/>
              </w:rPr>
            </w:pPr>
            <w:r>
              <w:rPr>
                <w:rFonts w:hint="eastAsia" w:ascii="宋体" w:hAnsi="宋体" w:eastAsia="宋体" w:cs="宋体"/>
                <w:kern w:val="0"/>
                <w:sz w:val="24"/>
                <w:szCs w:val="24"/>
              </w:rPr>
              <w:t>运行维护部分</w:t>
            </w:r>
          </w:p>
        </w:tc>
        <w:tc>
          <w:tcPr>
            <w:tcW w:w="2953"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运行维护工作完成情况及效果</w:t>
            </w:r>
          </w:p>
        </w:tc>
        <w:tc>
          <w:tcPr>
            <w:tcW w:w="1510"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p>
        </w:tc>
        <w:tc>
          <w:tcPr>
            <w:tcW w:w="2231" w:type="dxa"/>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4" w:hRule="atLeast"/>
          <w:jc w:val="center"/>
        </w:trPr>
        <w:tc>
          <w:tcPr>
            <w:tcW w:w="4711"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r>
              <w:rPr>
                <w:rFonts w:hint="eastAsia" w:ascii="宋体" w:hAnsi="宋体" w:eastAsia="宋体" w:cs="宋体"/>
                <w:sz w:val="24"/>
                <w:szCs w:val="24"/>
              </w:rPr>
              <w:t>总分</w:t>
            </w:r>
          </w:p>
        </w:tc>
        <w:tc>
          <w:tcPr>
            <w:tcW w:w="3741"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exact"/>
              <w:jc w:val="center"/>
              <w:rPr>
                <w:rFonts w:hint="eastAsia" w:ascii="宋体" w:hAnsi="宋体" w:eastAsia="宋体" w:cs="宋体"/>
                <w:sz w:val="24"/>
                <w:szCs w:val="24"/>
              </w:rPr>
            </w:pPr>
          </w:p>
        </w:tc>
      </w:tr>
    </w:tbl>
    <w:p>
      <w:pPr>
        <w:rPr>
          <w:rFonts w:hint="eastAsia" w:ascii="宋体" w:hAnsi="宋体" w:eastAsia="宋体" w:cs="宋体"/>
          <w:sz w:val="24"/>
          <w:szCs w:val="24"/>
        </w:rPr>
      </w:pPr>
    </w:p>
    <w:p>
      <w:pPr>
        <w:ind w:firstLine="360" w:firstLineChars="150"/>
        <w:jc w:val="left"/>
        <w:rPr>
          <w:rFonts w:hint="eastAsia" w:ascii="宋体" w:hAnsi="宋体" w:eastAsia="宋体" w:cs="宋体"/>
          <w:sz w:val="24"/>
          <w:szCs w:val="24"/>
        </w:rPr>
        <w:sectPr>
          <w:headerReference r:id="rId8" w:type="default"/>
          <w:footerReference r:id="rId9" w:type="default"/>
          <w:pgSz w:w="11907" w:h="16840"/>
          <w:pgMar w:top="1531" w:right="1474" w:bottom="1418" w:left="1588" w:header="851" w:footer="992" w:gutter="0"/>
          <w:cols w:space="720" w:num="1"/>
          <w:docGrid w:linePitch="596" w:charSpace="-842"/>
        </w:sectPr>
      </w:pPr>
      <w:r>
        <w:rPr>
          <w:rFonts w:hint="eastAsia" w:ascii="宋体" w:hAnsi="宋体" w:eastAsia="宋体" w:cs="宋体"/>
          <w:sz w:val="24"/>
          <w:szCs w:val="24"/>
        </w:rPr>
        <w:t xml:space="preserve">制表人：                               日期：    年     月    </w:t>
      </w:r>
    </w:p>
    <w:p>
      <w:pPr>
        <w:keepNext/>
        <w:keepLines/>
        <w:spacing w:before="120" w:beforeLines="50" w:after="120" w:afterLines="50" w:line="480" w:lineRule="exact"/>
        <w:outlineLvl w:val="1"/>
        <w:rPr>
          <w:rFonts w:hint="eastAsia" w:ascii="宋体" w:hAnsi="宋体" w:eastAsia="宋体" w:cs="宋体"/>
          <w:b/>
          <w:sz w:val="24"/>
          <w:szCs w:val="24"/>
        </w:rPr>
      </w:pPr>
      <w:bookmarkStart w:id="55" w:name="_Toc4673"/>
      <w:r>
        <w:rPr>
          <w:rFonts w:hint="eastAsia" w:ascii="宋体" w:hAnsi="宋体" w:eastAsia="宋体" w:cs="宋体"/>
          <w:b/>
          <w:sz w:val="24"/>
          <w:szCs w:val="24"/>
        </w:rPr>
        <w:t>附表2：国家区域环境空气质量监测站运行维护考核部分检查事项</w:t>
      </w:r>
      <w:bookmarkEnd w:id="55"/>
    </w:p>
    <w:p>
      <w:pPr>
        <w:spacing w:before="312" w:line="240" w:lineRule="exact"/>
        <w:rPr>
          <w:rFonts w:hint="eastAsia" w:ascii="宋体" w:hAnsi="宋体" w:eastAsia="宋体" w:cs="宋体"/>
          <w:sz w:val="24"/>
          <w:szCs w:val="24"/>
          <w:u w:val="single"/>
        </w:rPr>
      </w:pPr>
      <w:r>
        <w:rPr>
          <w:rFonts w:hint="eastAsia" w:ascii="宋体" w:hAnsi="宋体" w:eastAsia="宋体" w:cs="宋体"/>
          <w:sz w:val="24"/>
          <w:szCs w:val="24"/>
        </w:rPr>
        <w:t>站点名称：</w:t>
      </w:r>
      <w:r>
        <w:rPr>
          <w:rFonts w:hint="eastAsia" w:ascii="宋体" w:hAnsi="宋体" w:eastAsia="宋体" w:cs="宋体"/>
          <w:sz w:val="24"/>
          <w:szCs w:val="24"/>
          <w:u w:val="single"/>
        </w:rPr>
        <w:t xml:space="preserve">                               </w:t>
      </w:r>
    </w:p>
    <w:p>
      <w:pPr>
        <w:spacing w:before="312" w:line="240" w:lineRule="exact"/>
        <w:rPr>
          <w:rFonts w:hint="eastAsia" w:ascii="宋体" w:hAnsi="宋体" w:eastAsia="宋体" w:cs="宋体"/>
          <w:sz w:val="24"/>
          <w:szCs w:val="24"/>
          <w:u w:val="single"/>
        </w:rPr>
      </w:pPr>
      <w:r>
        <w:rPr>
          <w:rFonts w:hint="eastAsia" w:ascii="宋体" w:hAnsi="宋体" w:eastAsia="宋体" w:cs="宋体"/>
          <w:sz w:val="24"/>
          <w:szCs w:val="24"/>
        </w:rPr>
        <w:t>运维单位：</w:t>
      </w:r>
      <w:r>
        <w:rPr>
          <w:rFonts w:hint="eastAsia" w:ascii="宋体" w:hAnsi="宋体" w:eastAsia="宋体" w:cs="宋体"/>
          <w:sz w:val="24"/>
          <w:szCs w:val="24"/>
          <w:u w:val="single"/>
        </w:rPr>
        <w:t xml:space="preserve">                               </w:t>
      </w:r>
    </w:p>
    <w:p>
      <w:pPr>
        <w:spacing w:before="312" w:line="240" w:lineRule="exact"/>
        <w:rPr>
          <w:rFonts w:hint="eastAsia" w:ascii="宋体" w:hAnsi="宋体" w:eastAsia="宋体" w:cs="宋体"/>
          <w:sz w:val="24"/>
          <w:szCs w:val="24"/>
        </w:rPr>
      </w:pPr>
      <w:r>
        <w:rPr>
          <w:rFonts w:hint="eastAsia" w:ascii="宋体" w:hAnsi="宋体" w:eastAsia="宋体" w:cs="宋体"/>
          <w:sz w:val="24"/>
          <w:szCs w:val="24"/>
        </w:rPr>
        <w:t xml:space="preserve"> </w:t>
      </w:r>
    </w:p>
    <w:tbl>
      <w:tblPr>
        <w:tblStyle w:val="62"/>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57"/>
        <w:gridCol w:w="8033"/>
        <w:gridCol w:w="748"/>
        <w:gridCol w:w="482"/>
        <w:gridCol w:w="40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blHeader/>
          <w:jc w:val="center"/>
        </w:trPr>
        <w:tc>
          <w:tcPr>
            <w:tcW w:w="583" w:type="pct"/>
            <w:tcBorders>
              <w:top w:val="single" w:color="auto" w:sz="4" w:space="0"/>
            </w:tcBorders>
            <w:noWrap w:val="0"/>
            <w:vAlign w:val="center"/>
          </w:tcPr>
          <w:p>
            <w:pPr>
              <w:adjustRightInd w:val="0"/>
              <w:snapToGrid w:val="0"/>
              <w:spacing w:line="240" w:lineRule="exact"/>
              <w:jc w:val="center"/>
              <w:rPr>
                <w:rFonts w:hint="eastAsia" w:ascii="宋体" w:hAnsi="宋体" w:eastAsia="宋体" w:cs="宋体"/>
                <w:b/>
                <w:sz w:val="24"/>
                <w:szCs w:val="24"/>
              </w:rPr>
            </w:pPr>
            <w:r>
              <w:rPr>
                <w:rFonts w:hint="eastAsia" w:ascii="宋体" w:hAnsi="宋体" w:eastAsia="宋体" w:cs="宋体"/>
                <w:b/>
                <w:sz w:val="24"/>
                <w:szCs w:val="24"/>
              </w:rPr>
              <w:t>检查项目</w:t>
            </w:r>
          </w:p>
        </w:tc>
        <w:tc>
          <w:tcPr>
            <w:tcW w:w="2665" w:type="pct"/>
            <w:tcBorders>
              <w:top w:val="single" w:color="auto" w:sz="4" w:space="0"/>
            </w:tcBorders>
            <w:noWrap w:val="0"/>
            <w:vAlign w:val="center"/>
          </w:tcPr>
          <w:p>
            <w:pPr>
              <w:adjustRightInd w:val="0"/>
              <w:snapToGrid w:val="0"/>
              <w:spacing w:line="240" w:lineRule="exact"/>
              <w:jc w:val="center"/>
              <w:rPr>
                <w:rFonts w:hint="eastAsia" w:ascii="宋体" w:hAnsi="宋体" w:eastAsia="宋体" w:cs="宋体"/>
                <w:b/>
                <w:sz w:val="24"/>
                <w:szCs w:val="24"/>
              </w:rPr>
            </w:pPr>
            <w:r>
              <w:rPr>
                <w:rFonts w:hint="eastAsia" w:ascii="宋体" w:hAnsi="宋体" w:eastAsia="宋体" w:cs="宋体"/>
                <w:b/>
                <w:sz w:val="24"/>
                <w:szCs w:val="24"/>
              </w:rPr>
              <w:t>检查要点</w:t>
            </w:r>
          </w:p>
        </w:tc>
        <w:tc>
          <w:tcPr>
            <w:tcW w:w="248" w:type="pct"/>
            <w:tcBorders>
              <w:top w:val="single" w:color="auto" w:sz="4" w:space="0"/>
            </w:tcBorders>
            <w:noWrap w:val="0"/>
            <w:vAlign w:val="center"/>
          </w:tcPr>
          <w:p>
            <w:pPr>
              <w:adjustRightInd w:val="0"/>
              <w:snapToGrid w:val="0"/>
              <w:spacing w:line="240" w:lineRule="exact"/>
              <w:ind w:left="0" w:leftChars="0" w:firstLine="0" w:firstLineChars="0"/>
              <w:jc w:val="both"/>
              <w:rPr>
                <w:rFonts w:hint="eastAsia" w:ascii="宋体" w:hAnsi="宋体" w:eastAsia="宋体" w:cs="宋体"/>
                <w:b/>
                <w:sz w:val="24"/>
                <w:szCs w:val="24"/>
              </w:rPr>
            </w:pPr>
            <w:r>
              <w:rPr>
                <w:rFonts w:hint="eastAsia" w:ascii="宋体" w:hAnsi="宋体" w:eastAsia="宋体" w:cs="宋体"/>
                <w:b/>
                <w:sz w:val="24"/>
                <w:szCs w:val="24"/>
              </w:rPr>
              <w:t>单项</w:t>
            </w:r>
          </w:p>
          <w:p>
            <w:pPr>
              <w:adjustRightInd w:val="0"/>
              <w:snapToGrid w:val="0"/>
              <w:spacing w:line="240" w:lineRule="exact"/>
              <w:ind w:left="0" w:leftChars="0" w:firstLine="0" w:firstLineChars="0"/>
              <w:jc w:val="both"/>
              <w:rPr>
                <w:rFonts w:hint="eastAsia" w:ascii="宋体" w:hAnsi="宋体" w:eastAsia="宋体" w:cs="宋体"/>
                <w:b/>
                <w:sz w:val="24"/>
                <w:szCs w:val="24"/>
              </w:rPr>
            </w:pPr>
            <w:r>
              <w:rPr>
                <w:rFonts w:hint="eastAsia" w:ascii="宋体" w:hAnsi="宋体" w:eastAsia="宋体" w:cs="宋体"/>
                <w:b/>
                <w:sz w:val="24"/>
                <w:szCs w:val="24"/>
              </w:rPr>
              <w:t>分值</w:t>
            </w:r>
          </w:p>
        </w:tc>
        <w:tc>
          <w:tcPr>
            <w:tcW w:w="160" w:type="pct"/>
            <w:tcBorders>
              <w:top w:val="single" w:color="auto" w:sz="4" w:space="0"/>
            </w:tcBorders>
            <w:noWrap w:val="0"/>
            <w:vAlign w:val="center"/>
          </w:tcPr>
          <w:p>
            <w:pPr>
              <w:adjustRightInd w:val="0"/>
              <w:snapToGrid w:val="0"/>
              <w:spacing w:line="240" w:lineRule="exact"/>
              <w:ind w:left="0" w:leftChars="0" w:firstLine="0" w:firstLineChars="0"/>
              <w:jc w:val="both"/>
              <w:rPr>
                <w:rFonts w:hint="eastAsia" w:ascii="宋体" w:hAnsi="宋体" w:eastAsia="宋体" w:cs="宋体"/>
                <w:b/>
                <w:sz w:val="24"/>
                <w:szCs w:val="24"/>
              </w:rPr>
            </w:pPr>
            <w:r>
              <w:rPr>
                <w:rFonts w:hint="eastAsia" w:ascii="宋体" w:hAnsi="宋体" w:eastAsia="宋体" w:cs="宋体"/>
                <w:b/>
                <w:sz w:val="24"/>
                <w:szCs w:val="24"/>
              </w:rPr>
              <w:t>得分</w:t>
            </w:r>
          </w:p>
        </w:tc>
        <w:tc>
          <w:tcPr>
            <w:tcW w:w="1341" w:type="pct"/>
            <w:tcBorders>
              <w:top w:val="single" w:color="auto" w:sz="4" w:space="0"/>
            </w:tcBorders>
            <w:noWrap w:val="0"/>
            <w:vAlign w:val="center"/>
          </w:tcPr>
          <w:p>
            <w:pPr>
              <w:adjustRightInd w:val="0"/>
              <w:snapToGrid w:val="0"/>
              <w:spacing w:line="240" w:lineRule="exact"/>
              <w:jc w:val="center"/>
              <w:rPr>
                <w:rFonts w:hint="eastAsia" w:ascii="宋体" w:hAnsi="宋体" w:eastAsia="宋体" w:cs="宋体"/>
                <w:b/>
                <w:sz w:val="24"/>
                <w:szCs w:val="24"/>
              </w:rPr>
            </w:pPr>
            <w:r>
              <w:rPr>
                <w:rFonts w:hint="eastAsia" w:ascii="宋体" w:hAnsi="宋体" w:eastAsia="宋体" w:cs="宋体"/>
                <w:b/>
                <w:sz w:val="24"/>
                <w:szCs w:val="24"/>
              </w:rPr>
              <w:t>评分说明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83" w:type="pct"/>
            <w:vMerge w:val="restar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1</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站房环境保障情况(5分)</w:t>
            </w: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站房环境是否清洁，是否符合监测要求</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站房温度是否控制在25±5℃，相对湿度控制在80%以下</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583" w:type="pct"/>
            <w:vMerge w:val="continue"/>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防水、防雷、供电是否满足《规范》要求，是否具备外接电源，其他基础设施是否满足监测要求。</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vMerge w:val="restar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2</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采样系统维护效果（10分）</w:t>
            </w: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采样口距离地面、房顶高度、周围空间是否符合规范要求</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采样总管和采样支管材质是否满足《规范》要求</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采样系统清洁程度：采样头、采样管道是否清洁，有无积灰、积水或障碍物，</w:t>
            </w:r>
            <w:r>
              <w:rPr>
                <w:rFonts w:hint="eastAsia" w:ascii="宋体" w:hAnsi="宋体" w:eastAsia="宋体" w:cs="宋体"/>
                <w:bCs/>
                <w:kern w:val="0"/>
                <w:sz w:val="24"/>
                <w:szCs w:val="24"/>
              </w:rPr>
              <w:t>采样风机是否正常工作</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3</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气态污染物采样支管是否插入采样总管的中心，监测仪器与支管接头连接的管线长度是否小于3m</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采样管路联接是否规范，颗粒物采样管是否垂直，是否避免被空调直吹</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vMerge w:val="continue"/>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采样总管是否有加热装置，加热功能是否正常</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583" w:type="pct"/>
            <w:vMerge w:val="restar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3</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仪器日常维护效果（10分）</w:t>
            </w: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仪器工作状态是否正常，是否存在报警信息</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仪器过滤膜是否及时更换，散热风扇是否及时清洗</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颗粒物采样管加热装置是否工作正常</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零气发生器相关耗材是否及时更换</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采样泵相关耗材是否及时更换</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1</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583" w:type="pct"/>
            <w:vMerge w:val="continue"/>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采样纸带是否及时更换</w:t>
            </w:r>
          </w:p>
        </w:tc>
        <w:tc>
          <w:tcPr>
            <w:tcW w:w="248"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160"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tcBorders>
              <w:bottom w:val="single" w:color="auto" w:sz="4" w:space="0"/>
            </w:tcBorders>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583" w:type="pct"/>
            <w:vMerge w:val="restar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4</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质量控制效果（40分）</w:t>
            </w: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动态校准仪质量流量控制器（MFC）单点流量测试（要求相对误差≤±2%）：</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零气MFC流量：     L/min，标准流量计测值：      L/min，相对误差：    %</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标气MFC流量：     ml/min，标准流量计测值：     ml/min，相对误差：    %</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5</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气态污染物采样流量测试（要求相对误差≤±10%）：</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SO</w:t>
            </w:r>
            <w:r>
              <w:rPr>
                <w:rFonts w:hint="eastAsia" w:ascii="宋体" w:hAnsi="宋体" w:eastAsia="宋体" w:cs="宋体"/>
                <w:kern w:val="0"/>
                <w:sz w:val="24"/>
                <w:szCs w:val="24"/>
                <w:vertAlign w:val="subscript"/>
              </w:rPr>
              <w:t>2</w:t>
            </w:r>
            <w:r>
              <w:rPr>
                <w:rFonts w:hint="eastAsia" w:ascii="宋体" w:hAnsi="宋体" w:eastAsia="宋体" w:cs="宋体"/>
                <w:kern w:val="0"/>
                <w:sz w:val="24"/>
                <w:szCs w:val="24"/>
              </w:rPr>
              <w:t>显示流量：      L/min，标准流量计测值：     L/min，相对误差：    %</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SO</w:t>
            </w:r>
            <w:r>
              <w:rPr>
                <w:rFonts w:hint="eastAsia" w:ascii="宋体" w:hAnsi="宋体" w:eastAsia="宋体" w:cs="宋体"/>
                <w:kern w:val="0"/>
                <w:sz w:val="24"/>
                <w:szCs w:val="24"/>
                <w:vertAlign w:val="subscript"/>
              </w:rPr>
              <w:t>2</w:t>
            </w:r>
            <w:r>
              <w:rPr>
                <w:rFonts w:hint="eastAsia" w:ascii="宋体" w:hAnsi="宋体" w:eastAsia="宋体" w:cs="宋体"/>
                <w:kern w:val="0"/>
                <w:sz w:val="24"/>
                <w:szCs w:val="24"/>
              </w:rPr>
              <w:t>标气稀释输出浓度：     ppb，仪器响应浓度：     ppb，浓度误差（要求误差≤±5%）：     %；t</w:t>
            </w:r>
            <w:r>
              <w:rPr>
                <w:rFonts w:hint="eastAsia" w:ascii="宋体" w:hAnsi="宋体" w:eastAsia="宋体" w:cs="宋体"/>
                <w:kern w:val="0"/>
                <w:sz w:val="24"/>
                <w:szCs w:val="24"/>
                <w:vertAlign w:val="subscript"/>
              </w:rPr>
              <w:t>90</w:t>
            </w:r>
            <w:r>
              <w:rPr>
                <w:rFonts w:hint="eastAsia" w:ascii="宋体" w:hAnsi="宋体" w:eastAsia="宋体" w:cs="宋体"/>
                <w:kern w:val="0"/>
                <w:sz w:val="24"/>
                <w:szCs w:val="24"/>
              </w:rPr>
              <w:t>响应时间（要求≤5min）：    min</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5</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NO</w:t>
            </w:r>
            <w:r>
              <w:rPr>
                <w:rFonts w:hint="eastAsia" w:ascii="宋体" w:hAnsi="宋体" w:eastAsia="宋体" w:cs="宋体"/>
                <w:kern w:val="0"/>
                <w:sz w:val="24"/>
                <w:szCs w:val="24"/>
                <w:vertAlign w:val="subscript"/>
              </w:rPr>
              <w:t>X</w:t>
            </w:r>
            <w:r>
              <w:rPr>
                <w:rFonts w:hint="eastAsia" w:ascii="宋体" w:hAnsi="宋体" w:eastAsia="宋体" w:cs="宋体"/>
                <w:kern w:val="0"/>
                <w:sz w:val="24"/>
                <w:szCs w:val="24"/>
              </w:rPr>
              <w:t>显示流量：     L/min，标准流量计测值：     L/min，相对误差：     %</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NO标气稀释输出浓度：     ppb，仪器响应浓度：     ppb，浓度误差（要求误差≤±5%）：     %；t</w:t>
            </w:r>
            <w:r>
              <w:rPr>
                <w:rFonts w:hint="eastAsia" w:ascii="宋体" w:hAnsi="宋体" w:eastAsia="宋体" w:cs="宋体"/>
                <w:kern w:val="0"/>
                <w:sz w:val="24"/>
                <w:szCs w:val="24"/>
                <w:vertAlign w:val="subscript"/>
              </w:rPr>
              <w:t>90</w:t>
            </w:r>
            <w:r>
              <w:rPr>
                <w:rFonts w:hint="eastAsia" w:ascii="宋体" w:hAnsi="宋体" w:eastAsia="宋体" w:cs="宋体"/>
                <w:kern w:val="0"/>
                <w:sz w:val="24"/>
                <w:szCs w:val="24"/>
              </w:rPr>
              <w:t>响应时间（要求≤5min）：    min</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5</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CO显示流量：      L/min，标准流量计测值：     L/min，相对误差：     %</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CO标气稀释输出浓度：     ppb，仪器响应浓度：     ppb，浓度误差（要求误差≤±5%）：     %；t</w:t>
            </w:r>
            <w:r>
              <w:rPr>
                <w:rFonts w:hint="eastAsia" w:ascii="宋体" w:hAnsi="宋体" w:eastAsia="宋体" w:cs="宋体"/>
                <w:kern w:val="0"/>
                <w:sz w:val="24"/>
                <w:szCs w:val="24"/>
                <w:vertAlign w:val="subscript"/>
              </w:rPr>
              <w:t>90</w:t>
            </w:r>
            <w:r>
              <w:rPr>
                <w:rFonts w:hint="eastAsia" w:ascii="宋体" w:hAnsi="宋体" w:eastAsia="宋体" w:cs="宋体"/>
                <w:kern w:val="0"/>
                <w:sz w:val="24"/>
                <w:szCs w:val="24"/>
              </w:rPr>
              <w:t>响应时间（要求≤5min）：    min</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5</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O</w:t>
            </w:r>
            <w:r>
              <w:rPr>
                <w:rFonts w:hint="eastAsia" w:ascii="宋体" w:hAnsi="宋体" w:eastAsia="宋体" w:cs="宋体"/>
                <w:kern w:val="0"/>
                <w:sz w:val="24"/>
                <w:szCs w:val="24"/>
                <w:vertAlign w:val="subscript"/>
              </w:rPr>
              <w:t>3</w:t>
            </w:r>
            <w:r>
              <w:rPr>
                <w:rFonts w:hint="eastAsia" w:ascii="宋体" w:hAnsi="宋体" w:eastAsia="宋体" w:cs="宋体"/>
                <w:kern w:val="0"/>
                <w:sz w:val="24"/>
                <w:szCs w:val="24"/>
              </w:rPr>
              <w:t xml:space="preserve">显示流量：       L/min，标准流量计测值：     L/min，相对误差：    % </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O3标气稀释输出浓度：     ppb，仪器响应浓度：     ppb，浓度误差（要求误差≤±5%）：     %；t</w:t>
            </w:r>
            <w:r>
              <w:rPr>
                <w:rFonts w:hint="eastAsia" w:ascii="宋体" w:hAnsi="宋体" w:eastAsia="宋体" w:cs="宋体"/>
                <w:kern w:val="0"/>
                <w:sz w:val="24"/>
                <w:szCs w:val="24"/>
                <w:vertAlign w:val="subscript"/>
              </w:rPr>
              <w:t>90</w:t>
            </w:r>
            <w:r>
              <w:rPr>
                <w:rFonts w:hint="eastAsia" w:ascii="宋体" w:hAnsi="宋体" w:eastAsia="宋体" w:cs="宋体"/>
                <w:kern w:val="0"/>
                <w:sz w:val="24"/>
                <w:szCs w:val="24"/>
              </w:rPr>
              <w:t>响应时间（要求≤5min）：    min</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5</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PM</w:t>
            </w:r>
            <w:r>
              <w:rPr>
                <w:rFonts w:hint="eastAsia" w:ascii="宋体" w:hAnsi="宋体" w:eastAsia="宋体" w:cs="宋体"/>
                <w:kern w:val="0"/>
                <w:sz w:val="24"/>
                <w:szCs w:val="24"/>
                <w:vertAlign w:val="subscript"/>
              </w:rPr>
              <w:t>10</w:t>
            </w:r>
            <w:r>
              <w:rPr>
                <w:rFonts w:hint="eastAsia" w:ascii="宋体" w:hAnsi="宋体" w:eastAsia="宋体" w:cs="宋体"/>
                <w:kern w:val="0"/>
                <w:sz w:val="24"/>
                <w:szCs w:val="24"/>
              </w:rPr>
              <w:t>显示流量：      L/min，标准流量计测值：     L/min，相对误差：     %</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PM</w:t>
            </w:r>
            <w:r>
              <w:rPr>
                <w:rFonts w:hint="eastAsia" w:ascii="宋体" w:hAnsi="宋体" w:eastAsia="宋体" w:cs="宋体"/>
                <w:kern w:val="0"/>
                <w:sz w:val="24"/>
                <w:szCs w:val="24"/>
                <w:vertAlign w:val="subscript"/>
              </w:rPr>
              <w:t>10</w:t>
            </w:r>
            <w:r>
              <w:rPr>
                <w:rFonts w:hint="eastAsia" w:ascii="宋体" w:hAnsi="宋体" w:eastAsia="宋体" w:cs="宋体"/>
                <w:kern w:val="0"/>
                <w:sz w:val="24"/>
                <w:szCs w:val="24"/>
              </w:rPr>
              <w:t>K（标准回归斜率）：     或K</w:t>
            </w:r>
            <w:r>
              <w:rPr>
                <w:rFonts w:hint="eastAsia" w:ascii="宋体" w:hAnsi="宋体" w:eastAsia="宋体" w:cs="宋体"/>
                <w:kern w:val="0"/>
                <w:sz w:val="24"/>
                <w:szCs w:val="24"/>
                <w:vertAlign w:val="subscript"/>
              </w:rPr>
              <w:t>0</w:t>
            </w:r>
            <w:r>
              <w:rPr>
                <w:rFonts w:hint="eastAsia" w:ascii="宋体" w:hAnsi="宋体" w:eastAsia="宋体" w:cs="宋体"/>
                <w:kern w:val="0"/>
                <w:sz w:val="24"/>
                <w:szCs w:val="24"/>
              </w:rPr>
              <w:t>值（TEOM法）：       ，是否与仪器说明书一致：</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PM</w:t>
            </w:r>
            <w:r>
              <w:rPr>
                <w:rFonts w:hint="eastAsia" w:ascii="宋体" w:hAnsi="宋体" w:eastAsia="宋体" w:cs="宋体"/>
                <w:kern w:val="0"/>
                <w:sz w:val="24"/>
                <w:szCs w:val="24"/>
                <w:vertAlign w:val="subscript"/>
              </w:rPr>
              <w:t>10</w:t>
            </w:r>
            <w:r>
              <w:rPr>
                <w:rFonts w:hint="eastAsia" w:ascii="宋体" w:hAnsi="宋体" w:eastAsia="宋体" w:cs="宋体"/>
                <w:kern w:val="0"/>
                <w:sz w:val="24"/>
                <w:szCs w:val="24"/>
              </w:rPr>
              <w:t>校准膜检查或K0值检查结果是否合格</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PM</w:t>
            </w:r>
            <w:r>
              <w:rPr>
                <w:rFonts w:hint="eastAsia" w:ascii="宋体" w:hAnsi="宋体" w:eastAsia="宋体" w:cs="宋体"/>
                <w:kern w:val="0"/>
                <w:sz w:val="24"/>
                <w:szCs w:val="24"/>
                <w:vertAlign w:val="subscript"/>
              </w:rPr>
              <w:t>10</w:t>
            </w:r>
            <w:r>
              <w:rPr>
                <w:rFonts w:hint="eastAsia" w:ascii="宋体" w:hAnsi="宋体" w:eastAsia="宋体" w:cs="宋体"/>
                <w:kern w:val="0"/>
                <w:sz w:val="24"/>
                <w:szCs w:val="24"/>
              </w:rPr>
              <w:t>手工比对结果是否合格</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5</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3"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PM</w:t>
            </w:r>
            <w:r>
              <w:rPr>
                <w:rFonts w:hint="eastAsia" w:ascii="宋体" w:hAnsi="宋体" w:eastAsia="宋体" w:cs="宋体"/>
                <w:kern w:val="0"/>
                <w:sz w:val="24"/>
                <w:szCs w:val="24"/>
                <w:vertAlign w:val="subscript"/>
              </w:rPr>
              <w:t>2.5</w:t>
            </w:r>
            <w:r>
              <w:rPr>
                <w:rFonts w:hint="eastAsia" w:ascii="宋体" w:hAnsi="宋体" w:eastAsia="宋体" w:cs="宋体"/>
                <w:kern w:val="0"/>
                <w:sz w:val="24"/>
                <w:szCs w:val="24"/>
              </w:rPr>
              <w:t>显示流量：      L/min，标准流量计测值：     L/min，相对误差：     %</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PM</w:t>
            </w:r>
            <w:r>
              <w:rPr>
                <w:rFonts w:hint="eastAsia" w:ascii="宋体" w:hAnsi="宋体" w:eastAsia="宋体" w:cs="宋体"/>
                <w:kern w:val="0"/>
                <w:sz w:val="24"/>
                <w:szCs w:val="24"/>
                <w:vertAlign w:val="subscript"/>
              </w:rPr>
              <w:t>2.5</w:t>
            </w:r>
            <w:r>
              <w:rPr>
                <w:rFonts w:hint="eastAsia" w:ascii="宋体" w:hAnsi="宋体" w:eastAsia="宋体" w:cs="宋体"/>
                <w:kern w:val="0"/>
                <w:sz w:val="24"/>
                <w:szCs w:val="24"/>
              </w:rPr>
              <w:t>K（标准回归斜率）：     或K</w:t>
            </w:r>
            <w:r>
              <w:rPr>
                <w:rFonts w:hint="eastAsia" w:ascii="宋体" w:hAnsi="宋体" w:eastAsia="宋体" w:cs="宋体"/>
                <w:kern w:val="0"/>
                <w:sz w:val="24"/>
                <w:szCs w:val="24"/>
                <w:vertAlign w:val="subscript"/>
              </w:rPr>
              <w:t>0</w:t>
            </w:r>
            <w:r>
              <w:rPr>
                <w:rFonts w:hint="eastAsia" w:ascii="宋体" w:hAnsi="宋体" w:eastAsia="宋体" w:cs="宋体"/>
                <w:kern w:val="0"/>
                <w:sz w:val="24"/>
                <w:szCs w:val="24"/>
              </w:rPr>
              <w:t>值（TEOM法）：       ，是否与仪器说明书一致：</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PM</w:t>
            </w:r>
            <w:r>
              <w:rPr>
                <w:rFonts w:hint="eastAsia" w:ascii="宋体" w:hAnsi="宋体" w:eastAsia="宋体" w:cs="宋体"/>
                <w:kern w:val="0"/>
                <w:sz w:val="24"/>
                <w:szCs w:val="24"/>
                <w:vertAlign w:val="subscript"/>
              </w:rPr>
              <w:t>2.5</w:t>
            </w:r>
            <w:r>
              <w:rPr>
                <w:rFonts w:hint="eastAsia" w:ascii="宋体" w:hAnsi="宋体" w:eastAsia="宋体" w:cs="宋体"/>
                <w:kern w:val="0"/>
                <w:sz w:val="24"/>
                <w:szCs w:val="24"/>
              </w:rPr>
              <w:t>校准膜检查或K</w:t>
            </w:r>
            <w:r>
              <w:rPr>
                <w:rFonts w:hint="eastAsia" w:ascii="宋体" w:hAnsi="宋体" w:eastAsia="宋体" w:cs="宋体"/>
                <w:kern w:val="0"/>
                <w:sz w:val="24"/>
                <w:szCs w:val="24"/>
                <w:vertAlign w:val="subscript"/>
              </w:rPr>
              <w:t>0</w:t>
            </w:r>
            <w:r>
              <w:rPr>
                <w:rFonts w:hint="eastAsia" w:ascii="宋体" w:hAnsi="宋体" w:eastAsia="宋体" w:cs="宋体"/>
                <w:kern w:val="0"/>
                <w:sz w:val="24"/>
                <w:szCs w:val="24"/>
              </w:rPr>
              <w:t>值检查结果是否合格</w:t>
            </w:r>
          </w:p>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PM</w:t>
            </w:r>
            <w:r>
              <w:rPr>
                <w:rFonts w:hint="eastAsia" w:ascii="宋体" w:hAnsi="宋体" w:eastAsia="宋体" w:cs="宋体"/>
                <w:kern w:val="0"/>
                <w:sz w:val="24"/>
                <w:szCs w:val="24"/>
                <w:vertAlign w:val="subscript"/>
              </w:rPr>
              <w:t>2.5</w:t>
            </w:r>
            <w:r>
              <w:rPr>
                <w:rFonts w:hint="eastAsia" w:ascii="宋体" w:hAnsi="宋体" w:eastAsia="宋体" w:cs="宋体"/>
                <w:kern w:val="0"/>
                <w:sz w:val="24"/>
                <w:szCs w:val="24"/>
              </w:rPr>
              <w:t>手工比对结果是否合格</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5</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583" w:type="pct"/>
            <w:vMerge w:val="continue"/>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用于校准的设备（流量计、温度计、大气压计）是否每年通过国家计量检定，标准气体是否在有效期内使用。</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5</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5</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通讯系统维护效果（3分）</w:t>
            </w: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能否正常采集数据并上报总站</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3</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6</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运维人员要求（2分）</w:t>
            </w: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运维人员是否持证上岗</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2</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7</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档案记录（5分）</w:t>
            </w: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 xml:space="preserve">是否按照规范要求填写运维记录，记录是否规范和齐全 </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5</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583"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8</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运维工作完成情况（20分）</w:t>
            </w: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是否按照运维要求完成当月运维工作</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20</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r>
              <w:rPr>
                <w:rFonts w:hint="eastAsia" w:ascii="宋体" w:hAnsi="宋体" w:eastAsia="宋体" w:cs="宋体"/>
                <w:kern w:val="0"/>
                <w:sz w:val="24"/>
                <w:szCs w:val="24"/>
              </w:rPr>
              <w:t>对照运维工作规范、记录核定每日、每周、每月任务执行情况。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9</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异常情况处理情况（5分）</w:t>
            </w: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是否及时处理异常情况的（如故障应急处理等）</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5</w:t>
            </w: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r>
              <w:rPr>
                <w:rFonts w:hint="eastAsia" w:ascii="宋体" w:hAnsi="宋体" w:eastAsia="宋体" w:cs="宋体"/>
                <w:kern w:val="0"/>
                <w:sz w:val="24"/>
                <w:szCs w:val="24"/>
              </w:rPr>
              <w:t>对照异常数据处理情况，听取地方站意见。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10</w:t>
            </w:r>
            <w:r>
              <w:rPr>
                <w:rFonts w:hint="eastAsia" w:ascii="宋体" w:hAnsi="宋体" w:eastAsia="宋体" w:cs="宋体"/>
                <w:kern w:val="0"/>
                <w:sz w:val="24"/>
                <w:szCs w:val="24"/>
                <w:lang w:eastAsia="zh-CN"/>
              </w:rPr>
              <w:t>、</w:t>
            </w:r>
            <w:r>
              <w:rPr>
                <w:rFonts w:hint="eastAsia" w:ascii="宋体" w:hAnsi="宋体" w:eastAsia="宋体" w:cs="宋体"/>
                <w:kern w:val="0"/>
                <w:sz w:val="24"/>
                <w:szCs w:val="24"/>
              </w:rPr>
              <w:t>飞行检查情况</w:t>
            </w:r>
          </w:p>
        </w:tc>
        <w:tc>
          <w:tcPr>
            <w:tcW w:w="2665"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飞行检查采用现场比对方式，检查各项目监测结果是否满足比对要求</w:t>
            </w:r>
          </w:p>
        </w:tc>
        <w:tc>
          <w:tcPr>
            <w:tcW w:w="248"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60"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p>
        </w:tc>
        <w:tc>
          <w:tcPr>
            <w:tcW w:w="1341" w:type="pct"/>
            <w:noWrap w:val="0"/>
            <w:vAlign w:val="center"/>
          </w:tcPr>
          <w:p>
            <w:pPr>
              <w:autoSpaceDE w:val="0"/>
              <w:autoSpaceDN w:val="0"/>
              <w:adjustRightInd w:val="0"/>
              <w:spacing w:line="240" w:lineRule="exact"/>
              <w:ind w:left="-2"/>
              <w:rPr>
                <w:rFonts w:hint="eastAsia" w:ascii="宋体" w:hAnsi="宋体" w:eastAsia="宋体" w:cs="宋体"/>
                <w:kern w:val="0"/>
                <w:sz w:val="24"/>
                <w:szCs w:val="24"/>
              </w:rPr>
            </w:pPr>
            <w:r>
              <w:rPr>
                <w:rFonts w:hint="eastAsia" w:ascii="宋体" w:hAnsi="宋体" w:eastAsia="宋体" w:cs="宋体"/>
                <w:kern w:val="0"/>
                <w:sz w:val="24"/>
                <w:szCs w:val="24"/>
              </w:rPr>
              <w:t>飞行检查结果不合格，本月数据合格率以零计，运维考核计零分。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583" w:type="pct"/>
            <w:noWrap w:val="0"/>
            <w:vAlign w:val="center"/>
          </w:tcPr>
          <w:p>
            <w:pPr>
              <w:autoSpaceDE w:val="0"/>
              <w:autoSpaceDN w:val="0"/>
              <w:adjustRightInd w:val="0"/>
              <w:spacing w:line="240" w:lineRule="exact"/>
              <w:ind w:leftChars="-1" w:hanging="2" w:hangingChars="1"/>
              <w:rPr>
                <w:rFonts w:hint="eastAsia" w:ascii="宋体" w:hAnsi="宋体" w:eastAsia="宋体" w:cs="宋体"/>
                <w:kern w:val="0"/>
                <w:sz w:val="24"/>
                <w:szCs w:val="24"/>
              </w:rPr>
            </w:pPr>
            <w:r>
              <w:rPr>
                <w:rFonts w:hint="eastAsia" w:ascii="宋体" w:hAnsi="宋体" w:eastAsia="宋体" w:cs="宋体"/>
                <w:kern w:val="0"/>
                <w:sz w:val="24"/>
                <w:szCs w:val="24"/>
              </w:rPr>
              <w:t>总分</w:t>
            </w:r>
          </w:p>
        </w:tc>
        <w:tc>
          <w:tcPr>
            <w:tcW w:w="4416" w:type="pct"/>
            <w:gridSpan w:val="4"/>
            <w:noWrap w:val="0"/>
            <w:vAlign w:val="center"/>
          </w:tcPr>
          <w:p>
            <w:pPr>
              <w:autoSpaceDE w:val="0"/>
              <w:autoSpaceDN w:val="0"/>
              <w:adjustRightInd w:val="0"/>
              <w:spacing w:line="240" w:lineRule="exact"/>
              <w:ind w:left="-2"/>
              <w:rPr>
                <w:rFonts w:hint="eastAsia" w:ascii="宋体" w:hAnsi="宋体" w:eastAsia="宋体" w:cs="宋体"/>
                <w:kern w:val="0"/>
                <w:sz w:val="24"/>
                <w:szCs w:val="24"/>
              </w:rPr>
            </w:pPr>
          </w:p>
        </w:tc>
      </w:tr>
    </w:tbl>
    <w:p>
      <w:pPr>
        <w:rPr>
          <w:rFonts w:hint="eastAsia" w:ascii="宋体" w:hAnsi="宋体" w:eastAsia="宋体" w:cs="宋体"/>
          <w:sz w:val="24"/>
          <w:szCs w:val="24"/>
        </w:rPr>
        <w:sectPr>
          <w:pgSz w:w="16840" w:h="11907" w:orient="landscape"/>
          <w:pgMar w:top="851" w:right="964" w:bottom="1531" w:left="1021" w:header="510" w:footer="510" w:gutter="0"/>
          <w:cols w:space="720" w:num="1"/>
          <w:docGrid w:linePitch="286" w:charSpace="0"/>
        </w:sectPr>
      </w:pPr>
      <w:r>
        <w:rPr>
          <w:rFonts w:hint="eastAsia" w:ascii="宋体" w:hAnsi="宋体" w:eastAsia="宋体" w:cs="宋体"/>
          <w:sz w:val="24"/>
          <w:szCs w:val="24"/>
        </w:rPr>
        <w:t>检查时间：</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检查人员：</w:t>
      </w:r>
      <w:r>
        <w:rPr>
          <w:rFonts w:hint="eastAsia" w:ascii="宋体" w:hAnsi="宋体" w:eastAsia="宋体" w:cs="宋体"/>
          <w:sz w:val="24"/>
          <w:szCs w:val="24"/>
          <w:u w:val="single"/>
        </w:rPr>
        <w:t xml:space="preserve">                                   </w:t>
      </w:r>
    </w:p>
    <w:p>
      <w:pPr>
        <w:keepNext/>
        <w:keepLines/>
        <w:ind w:firstLine="0" w:firstLineChars="0"/>
        <w:outlineLvl w:val="2"/>
        <w:rPr>
          <w:rFonts w:hint="eastAsia" w:ascii="宋体" w:hAnsi="宋体" w:eastAsia="宋体" w:cs="宋体"/>
          <w:sz w:val="24"/>
          <w:szCs w:val="24"/>
          <w:highlight w:val="none"/>
        </w:rPr>
      </w:pPr>
    </w:p>
    <w:p>
      <w:pPr>
        <w:spacing w:line="360" w:lineRule="auto"/>
        <w:ind w:firstLine="480" w:firstLineChars="200"/>
        <w:rPr>
          <w:rFonts w:ascii="宋体" w:hAnsi="宋体" w:cs="宋体"/>
          <w:sz w:val="24"/>
        </w:rPr>
      </w:pPr>
    </w:p>
    <w:p>
      <w:pPr>
        <w:spacing w:line="360" w:lineRule="auto"/>
        <w:rPr>
          <w:rFonts w:ascii="宋体" w:hAnsi="宋体" w:cs="宋体"/>
          <w:b/>
          <w:color w:val="auto"/>
          <w:sz w:val="24"/>
          <w:highlight w:val="none"/>
        </w:rPr>
      </w:pPr>
      <w:r>
        <w:rPr>
          <w:rFonts w:hint="eastAsia" w:ascii="宋体" w:hAnsi="宋体" w:cs="宋体"/>
          <w:b/>
          <w:color w:val="auto"/>
          <w:sz w:val="24"/>
          <w:highlight w:val="none"/>
        </w:rPr>
        <w:t>五、商务要求</w:t>
      </w:r>
    </w:p>
    <w:p>
      <w:pPr>
        <w:spacing w:line="360" w:lineRule="auto"/>
        <w:ind w:firstLine="420"/>
        <w:rPr>
          <w:rFonts w:ascii="宋体" w:hAnsi="宋体" w:cs="宋体"/>
          <w:color w:val="auto"/>
          <w:sz w:val="24"/>
          <w:highlight w:val="none"/>
        </w:rPr>
      </w:pPr>
      <w:r>
        <w:rPr>
          <w:rFonts w:hint="eastAsia" w:ascii="宋体" w:hAnsi="宋体" w:cs="宋体"/>
          <w:color w:val="auto"/>
          <w:sz w:val="24"/>
          <w:highlight w:val="none"/>
        </w:rPr>
        <w:t>1、付款方式：</w:t>
      </w:r>
      <w:bookmarkStart w:id="56" w:name="_Toc19986"/>
      <w:r>
        <w:rPr>
          <w:rFonts w:hint="eastAsia" w:ascii="宋体" w:hAnsi="宋体" w:cs="宋体"/>
          <w:color w:val="auto"/>
          <w:sz w:val="24"/>
          <w:highlight w:val="none"/>
        </w:rPr>
        <w:t>合同签定生效之日起7工作日内支付合同价的50%；项目验收合格后支付剩余款项。</w:t>
      </w:r>
    </w:p>
    <w:p>
      <w:pPr>
        <w:spacing w:line="360" w:lineRule="auto"/>
        <w:ind w:firstLine="420"/>
        <w:rPr>
          <w:rFonts w:ascii="宋体" w:hAnsi="宋体" w:cs="宋体"/>
          <w:sz w:val="24"/>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第四部分</w:t>
      </w:r>
      <w:bookmarkStart w:id="57" w:name="_Toc184312124"/>
      <w:bookmarkEnd w:id="57"/>
      <w:bookmarkStart w:id="58" w:name="_Toc184312099"/>
      <w:bookmarkEnd w:id="58"/>
      <w:bookmarkStart w:id="59" w:name="_Toc184308067"/>
      <w:bookmarkEnd w:id="59"/>
      <w:bookmarkStart w:id="60" w:name="_Toc184312113"/>
      <w:bookmarkEnd w:id="60"/>
      <w:bookmarkStart w:id="61" w:name="_Toc184308070"/>
      <w:bookmarkEnd w:id="61"/>
      <w:bookmarkStart w:id="62" w:name="_Toc184310343"/>
      <w:bookmarkEnd w:id="62"/>
      <w:bookmarkStart w:id="63" w:name="_Toc184310308"/>
      <w:bookmarkEnd w:id="63"/>
      <w:bookmarkStart w:id="64" w:name="_Toc184313278"/>
      <w:bookmarkEnd w:id="64"/>
      <w:bookmarkStart w:id="65" w:name="_Toc184310341"/>
      <w:bookmarkEnd w:id="65"/>
      <w:bookmarkStart w:id="66" w:name="_Toc184313281"/>
      <w:bookmarkEnd w:id="66"/>
      <w:bookmarkStart w:id="67" w:name="_Toc184314416"/>
      <w:bookmarkEnd w:id="67"/>
      <w:bookmarkStart w:id="68" w:name="_Toc184313252"/>
      <w:bookmarkEnd w:id="68"/>
      <w:bookmarkStart w:id="69" w:name="_Toc184314469"/>
      <w:bookmarkEnd w:id="69"/>
      <w:bookmarkStart w:id="70" w:name="_Toc184314442"/>
      <w:bookmarkEnd w:id="70"/>
      <w:bookmarkStart w:id="71" w:name="_Toc184312122"/>
      <w:bookmarkEnd w:id="71"/>
      <w:bookmarkStart w:id="72" w:name="_Toc184310333"/>
      <w:bookmarkEnd w:id="72"/>
      <w:bookmarkStart w:id="73" w:name="_Toc184314482"/>
      <w:bookmarkEnd w:id="73"/>
      <w:bookmarkStart w:id="74" w:name="_Toc184312131"/>
      <w:bookmarkEnd w:id="74"/>
      <w:bookmarkStart w:id="75" w:name="_Toc184313263"/>
      <w:bookmarkEnd w:id="75"/>
      <w:bookmarkStart w:id="76" w:name="_Toc184310277"/>
      <w:bookmarkEnd w:id="76"/>
      <w:bookmarkStart w:id="77" w:name="_Toc184312106"/>
      <w:bookmarkEnd w:id="77"/>
      <w:bookmarkStart w:id="78" w:name="_Toc184314446"/>
      <w:bookmarkEnd w:id="78"/>
      <w:bookmarkStart w:id="79" w:name="_Toc184310282"/>
      <w:bookmarkEnd w:id="79"/>
      <w:bookmarkStart w:id="80" w:name="_Toc184313310"/>
      <w:bookmarkEnd w:id="80"/>
      <w:bookmarkStart w:id="81" w:name="_Toc184313251"/>
      <w:bookmarkEnd w:id="81"/>
      <w:bookmarkStart w:id="82" w:name="_Toc184314436"/>
      <w:bookmarkEnd w:id="82"/>
      <w:bookmarkStart w:id="83" w:name="_Toc184312091"/>
      <w:bookmarkEnd w:id="83"/>
      <w:bookmarkStart w:id="84" w:name="_Toc184314425"/>
      <w:bookmarkEnd w:id="84"/>
      <w:bookmarkStart w:id="85" w:name="_Toc184308058"/>
      <w:bookmarkEnd w:id="85"/>
      <w:bookmarkStart w:id="86" w:name="_Toc184310281"/>
      <w:bookmarkEnd w:id="86"/>
      <w:bookmarkStart w:id="87" w:name="_Toc184310315"/>
      <w:bookmarkEnd w:id="87"/>
      <w:bookmarkStart w:id="88" w:name="_Toc184310335"/>
      <w:bookmarkEnd w:id="88"/>
      <w:bookmarkStart w:id="89" w:name="_Toc184314427"/>
      <w:bookmarkEnd w:id="89"/>
      <w:bookmarkStart w:id="90" w:name="_Toc184312090"/>
      <w:bookmarkEnd w:id="90"/>
      <w:bookmarkStart w:id="91" w:name="_Toc184314451"/>
      <w:bookmarkEnd w:id="91"/>
      <w:bookmarkStart w:id="92" w:name="_Toc184310331"/>
      <w:bookmarkEnd w:id="92"/>
      <w:bookmarkStart w:id="93" w:name="_Toc184312067"/>
      <w:bookmarkEnd w:id="93"/>
      <w:bookmarkStart w:id="94" w:name="_Toc184310288"/>
      <w:bookmarkEnd w:id="94"/>
      <w:bookmarkStart w:id="95" w:name="_Toc184312076"/>
      <w:bookmarkEnd w:id="95"/>
      <w:bookmarkStart w:id="96" w:name="_Toc184310290"/>
      <w:bookmarkEnd w:id="96"/>
      <w:bookmarkStart w:id="97" w:name="_Toc184313244"/>
      <w:bookmarkEnd w:id="97"/>
      <w:bookmarkStart w:id="98" w:name="_Toc184314461"/>
      <w:bookmarkEnd w:id="98"/>
      <w:bookmarkStart w:id="99" w:name="_Toc184312068"/>
      <w:bookmarkEnd w:id="99"/>
      <w:bookmarkStart w:id="100" w:name="_Toc184310274"/>
      <w:bookmarkEnd w:id="100"/>
      <w:bookmarkStart w:id="101" w:name="_Toc184308082"/>
      <w:bookmarkEnd w:id="101"/>
      <w:bookmarkStart w:id="102" w:name="_Toc184314433"/>
      <w:bookmarkEnd w:id="102"/>
      <w:bookmarkStart w:id="103" w:name="_Toc184310276"/>
      <w:bookmarkEnd w:id="103"/>
      <w:bookmarkStart w:id="104" w:name="_Toc184308064"/>
      <w:bookmarkEnd w:id="104"/>
      <w:bookmarkStart w:id="105" w:name="_Toc184308061"/>
      <w:bookmarkEnd w:id="105"/>
      <w:bookmarkStart w:id="106" w:name="_Toc184312088"/>
      <w:bookmarkEnd w:id="106"/>
      <w:bookmarkStart w:id="107" w:name="_Toc184314463"/>
      <w:bookmarkEnd w:id="107"/>
      <w:bookmarkStart w:id="108" w:name="_Toc184312129"/>
      <w:bookmarkEnd w:id="108"/>
      <w:bookmarkStart w:id="109" w:name="_Toc184310283"/>
      <w:bookmarkEnd w:id="109"/>
      <w:bookmarkStart w:id="110" w:name="_Toc184312139"/>
      <w:bookmarkEnd w:id="110"/>
      <w:bookmarkStart w:id="111" w:name="_Toc184314424"/>
      <w:bookmarkEnd w:id="111"/>
      <w:bookmarkStart w:id="112" w:name="_Toc184310307"/>
      <w:bookmarkEnd w:id="112"/>
      <w:bookmarkStart w:id="113" w:name="_Toc184313282"/>
      <w:bookmarkEnd w:id="113"/>
      <w:bookmarkStart w:id="114" w:name="_Toc184313303"/>
      <w:bookmarkEnd w:id="114"/>
      <w:bookmarkStart w:id="115" w:name="_Toc184313242"/>
      <w:bookmarkEnd w:id="115"/>
      <w:bookmarkStart w:id="116" w:name="_Toc184312073"/>
      <w:bookmarkEnd w:id="116"/>
      <w:bookmarkStart w:id="117" w:name="_Toc184308081"/>
      <w:bookmarkEnd w:id="117"/>
      <w:bookmarkStart w:id="118" w:name="_Toc184308041"/>
      <w:bookmarkEnd w:id="118"/>
      <w:bookmarkStart w:id="119" w:name="_Toc184314411"/>
      <w:bookmarkEnd w:id="119"/>
      <w:bookmarkStart w:id="120" w:name="_Toc184312072"/>
      <w:bookmarkEnd w:id="120"/>
      <w:bookmarkStart w:id="121" w:name="_Toc184313254"/>
      <w:bookmarkEnd w:id="121"/>
      <w:bookmarkStart w:id="122" w:name="_Toc184310280"/>
      <w:bookmarkEnd w:id="122"/>
      <w:bookmarkStart w:id="123" w:name="_Toc184308103"/>
      <w:bookmarkEnd w:id="123"/>
      <w:bookmarkStart w:id="124" w:name="_Toc184308104"/>
      <w:bookmarkEnd w:id="124"/>
      <w:bookmarkStart w:id="125" w:name="_Toc184313266"/>
      <w:bookmarkEnd w:id="125"/>
      <w:bookmarkStart w:id="126" w:name="_Toc184313294"/>
      <w:bookmarkEnd w:id="126"/>
      <w:bookmarkStart w:id="127" w:name="_Toc184314448"/>
      <w:bookmarkEnd w:id="127"/>
      <w:bookmarkStart w:id="128" w:name="_Toc184313276"/>
      <w:bookmarkEnd w:id="128"/>
      <w:bookmarkStart w:id="129" w:name="_Toc184314450"/>
      <w:bookmarkEnd w:id="129"/>
      <w:bookmarkStart w:id="130" w:name="_Toc184313289"/>
      <w:bookmarkEnd w:id="130"/>
      <w:bookmarkStart w:id="131" w:name="_Toc184308093"/>
      <w:bookmarkEnd w:id="131"/>
      <w:bookmarkStart w:id="132" w:name="_Toc184314462"/>
      <w:bookmarkEnd w:id="132"/>
      <w:bookmarkStart w:id="133" w:name="_Toc184313249"/>
      <w:bookmarkEnd w:id="133"/>
      <w:bookmarkStart w:id="134" w:name="_Toc184310336"/>
      <w:bookmarkEnd w:id="134"/>
      <w:bookmarkStart w:id="135" w:name="_Toc184308053"/>
      <w:bookmarkEnd w:id="135"/>
      <w:bookmarkStart w:id="136" w:name="_Toc184310339"/>
      <w:bookmarkEnd w:id="136"/>
      <w:bookmarkStart w:id="137" w:name="_Toc184310334"/>
      <w:bookmarkEnd w:id="137"/>
      <w:bookmarkStart w:id="138" w:name="_Toc184308048"/>
      <w:bookmarkEnd w:id="138"/>
      <w:bookmarkStart w:id="139" w:name="_Toc184308100"/>
      <w:bookmarkEnd w:id="139"/>
      <w:bookmarkStart w:id="140" w:name="_Toc184308059"/>
      <w:bookmarkEnd w:id="140"/>
      <w:bookmarkStart w:id="141" w:name="_Toc184313279"/>
      <w:bookmarkEnd w:id="141"/>
      <w:bookmarkStart w:id="142" w:name="_Toc184314457"/>
      <w:bookmarkEnd w:id="142"/>
      <w:bookmarkStart w:id="143" w:name="_Toc184310306"/>
      <w:bookmarkEnd w:id="143"/>
      <w:bookmarkStart w:id="144" w:name="_Toc184308092"/>
      <w:bookmarkEnd w:id="144"/>
      <w:bookmarkStart w:id="145" w:name="_Toc184313302"/>
      <w:bookmarkEnd w:id="145"/>
      <w:bookmarkStart w:id="146" w:name="_Toc184310323"/>
      <w:bookmarkEnd w:id="146"/>
      <w:bookmarkStart w:id="147" w:name="_Toc184314444"/>
      <w:bookmarkEnd w:id="147"/>
      <w:bookmarkStart w:id="148" w:name="_Toc184310322"/>
      <w:bookmarkEnd w:id="148"/>
      <w:bookmarkStart w:id="149" w:name="_Toc184312105"/>
      <w:bookmarkEnd w:id="149"/>
      <w:bookmarkStart w:id="150" w:name="_Toc184313301"/>
      <w:bookmarkEnd w:id="150"/>
      <w:bookmarkStart w:id="151" w:name="_Toc184314447"/>
      <w:bookmarkEnd w:id="151"/>
      <w:bookmarkStart w:id="152" w:name="_Toc184310298"/>
      <w:bookmarkEnd w:id="152"/>
      <w:bookmarkStart w:id="153" w:name="_Toc184310332"/>
      <w:bookmarkEnd w:id="153"/>
      <w:bookmarkStart w:id="154" w:name="_Toc184310319"/>
      <w:bookmarkEnd w:id="154"/>
      <w:bookmarkStart w:id="155" w:name="_Toc184314429"/>
      <w:bookmarkEnd w:id="155"/>
      <w:bookmarkStart w:id="156" w:name="_Toc184314458"/>
      <w:bookmarkEnd w:id="156"/>
      <w:bookmarkStart w:id="157" w:name="_Toc184314475"/>
      <w:bookmarkEnd w:id="157"/>
      <w:bookmarkStart w:id="158" w:name="_Toc184314418"/>
      <w:bookmarkEnd w:id="158"/>
      <w:bookmarkStart w:id="159" w:name="_Toc184312097"/>
      <w:bookmarkEnd w:id="159"/>
      <w:bookmarkStart w:id="160" w:name="_Toc184314417"/>
      <w:bookmarkEnd w:id="160"/>
      <w:bookmarkStart w:id="161" w:name="_Toc184308091"/>
      <w:bookmarkEnd w:id="161"/>
      <w:bookmarkStart w:id="162" w:name="_Toc184310330"/>
      <w:bookmarkEnd w:id="162"/>
      <w:bookmarkStart w:id="163" w:name="_Toc184312135"/>
      <w:bookmarkEnd w:id="163"/>
      <w:bookmarkStart w:id="164" w:name="_Toc184314435"/>
      <w:bookmarkEnd w:id="164"/>
      <w:bookmarkStart w:id="165" w:name="_Toc184313290"/>
      <w:bookmarkEnd w:id="165"/>
      <w:bookmarkStart w:id="166" w:name="_Toc184310320"/>
      <w:bookmarkEnd w:id="166"/>
      <w:bookmarkStart w:id="167" w:name="_Toc184312112"/>
      <w:bookmarkEnd w:id="167"/>
      <w:bookmarkStart w:id="168" w:name="_Toc184312115"/>
      <w:bookmarkEnd w:id="168"/>
      <w:bookmarkStart w:id="169" w:name="_Toc184313253"/>
      <w:bookmarkEnd w:id="169"/>
      <w:bookmarkStart w:id="170" w:name="_Toc184308099"/>
      <w:bookmarkEnd w:id="170"/>
      <w:bookmarkStart w:id="171" w:name="_Toc184308094"/>
      <w:bookmarkEnd w:id="171"/>
      <w:bookmarkStart w:id="172" w:name="_Toc184314422"/>
      <w:bookmarkEnd w:id="172"/>
      <w:bookmarkStart w:id="173" w:name="_Toc184314453"/>
      <w:bookmarkEnd w:id="173"/>
      <w:bookmarkStart w:id="174" w:name="_Toc184313258"/>
      <w:bookmarkEnd w:id="174"/>
      <w:bookmarkStart w:id="175" w:name="_Toc184313240"/>
      <w:bookmarkEnd w:id="175"/>
      <w:bookmarkStart w:id="176" w:name="_Toc184308078"/>
      <w:bookmarkEnd w:id="176"/>
      <w:bookmarkStart w:id="177" w:name="_Toc184313277"/>
      <w:bookmarkEnd w:id="177"/>
      <w:bookmarkStart w:id="178" w:name="_Toc184308089"/>
      <w:bookmarkEnd w:id="178"/>
      <w:bookmarkStart w:id="179" w:name="_Toc184313292"/>
      <w:bookmarkEnd w:id="179"/>
      <w:bookmarkStart w:id="180" w:name="_Toc184314476"/>
      <w:bookmarkEnd w:id="180"/>
      <w:bookmarkStart w:id="181" w:name="_Toc184314438"/>
      <w:bookmarkEnd w:id="181"/>
      <w:bookmarkStart w:id="182" w:name="_Toc184314419"/>
      <w:bookmarkEnd w:id="182"/>
      <w:bookmarkStart w:id="183" w:name="_Toc184312084"/>
      <w:bookmarkEnd w:id="183"/>
      <w:bookmarkStart w:id="184" w:name="_Toc184314466"/>
      <w:bookmarkEnd w:id="184"/>
      <w:bookmarkStart w:id="185" w:name="_Toc184313239"/>
      <w:bookmarkEnd w:id="185"/>
      <w:bookmarkStart w:id="186" w:name="_Toc184312095"/>
      <w:bookmarkEnd w:id="186"/>
      <w:bookmarkStart w:id="187" w:name="_Toc184312079"/>
      <w:bookmarkEnd w:id="187"/>
      <w:bookmarkStart w:id="188" w:name="_Toc184313257"/>
      <w:bookmarkEnd w:id="188"/>
      <w:bookmarkStart w:id="189" w:name="_Toc184312081"/>
      <w:bookmarkEnd w:id="189"/>
      <w:bookmarkStart w:id="190" w:name="_Toc184314455"/>
      <w:bookmarkEnd w:id="190"/>
      <w:bookmarkStart w:id="191" w:name="_Toc184308075"/>
      <w:bookmarkEnd w:id="191"/>
      <w:bookmarkStart w:id="192" w:name="_Toc184310305"/>
      <w:bookmarkEnd w:id="192"/>
      <w:bookmarkStart w:id="193" w:name="_Toc184308065"/>
      <w:bookmarkEnd w:id="193"/>
      <w:bookmarkStart w:id="194" w:name="_Toc184312138"/>
      <w:bookmarkEnd w:id="194"/>
      <w:bookmarkStart w:id="195" w:name="_Toc184312080"/>
      <w:bookmarkEnd w:id="195"/>
      <w:bookmarkStart w:id="196" w:name="_Toc184312110"/>
      <w:bookmarkEnd w:id="196"/>
      <w:bookmarkStart w:id="197" w:name="_Toc184308051"/>
      <w:bookmarkEnd w:id="197"/>
      <w:bookmarkStart w:id="198" w:name="_Toc184312093"/>
      <w:bookmarkEnd w:id="198"/>
      <w:bookmarkStart w:id="199" w:name="_Toc184310300"/>
      <w:bookmarkEnd w:id="199"/>
      <w:bookmarkStart w:id="200" w:name="_Toc184310325"/>
      <w:bookmarkEnd w:id="200"/>
      <w:bookmarkStart w:id="201" w:name="_Toc184314460"/>
      <w:bookmarkEnd w:id="201"/>
      <w:bookmarkStart w:id="202" w:name="_Toc184314474"/>
      <w:bookmarkEnd w:id="202"/>
      <w:bookmarkStart w:id="203" w:name="_Toc184310299"/>
      <w:bookmarkEnd w:id="203"/>
      <w:bookmarkStart w:id="204" w:name="_Toc184308066"/>
      <w:bookmarkEnd w:id="204"/>
      <w:bookmarkStart w:id="205" w:name="_Toc184310338"/>
      <w:bookmarkEnd w:id="205"/>
      <w:bookmarkStart w:id="206" w:name="_Toc184308098"/>
      <w:bookmarkEnd w:id="206"/>
      <w:bookmarkStart w:id="207" w:name="_Toc184308063"/>
      <w:bookmarkEnd w:id="207"/>
      <w:bookmarkStart w:id="208" w:name="_Toc184312128"/>
      <w:bookmarkEnd w:id="208"/>
      <w:bookmarkStart w:id="209" w:name="_Toc184310301"/>
      <w:bookmarkEnd w:id="209"/>
      <w:bookmarkStart w:id="210" w:name="_Toc184308062"/>
      <w:bookmarkEnd w:id="210"/>
      <w:bookmarkStart w:id="211" w:name="_Toc184313309"/>
      <w:bookmarkEnd w:id="211"/>
      <w:bookmarkStart w:id="212" w:name="_Toc184314465"/>
      <w:bookmarkEnd w:id="212"/>
      <w:bookmarkStart w:id="213" w:name="_Toc184313304"/>
      <w:bookmarkEnd w:id="213"/>
      <w:bookmarkStart w:id="214" w:name="_Toc184308057"/>
      <w:bookmarkEnd w:id="214"/>
      <w:bookmarkStart w:id="215" w:name="_Toc184313245"/>
      <w:bookmarkEnd w:id="215"/>
      <w:bookmarkStart w:id="216" w:name="_Toc184314467"/>
      <w:bookmarkEnd w:id="216"/>
      <w:bookmarkStart w:id="217" w:name="_Toc184314439"/>
      <w:bookmarkEnd w:id="217"/>
      <w:bookmarkStart w:id="218" w:name="_Toc184308068"/>
      <w:bookmarkEnd w:id="218"/>
      <w:bookmarkStart w:id="219" w:name="_Toc184314426"/>
      <w:bookmarkEnd w:id="219"/>
      <w:bookmarkStart w:id="220" w:name="_Toc184313238"/>
      <w:bookmarkEnd w:id="220"/>
      <w:bookmarkStart w:id="221" w:name="_Toc184310296"/>
      <w:bookmarkEnd w:id="221"/>
      <w:bookmarkStart w:id="222" w:name="_Toc184312100"/>
      <w:bookmarkEnd w:id="222"/>
      <w:bookmarkStart w:id="223" w:name="_Toc184313283"/>
      <w:bookmarkEnd w:id="223"/>
      <w:bookmarkStart w:id="224" w:name="_Toc184313267"/>
      <w:bookmarkEnd w:id="224"/>
      <w:bookmarkStart w:id="225" w:name="_Toc184314421"/>
      <w:bookmarkEnd w:id="225"/>
      <w:bookmarkStart w:id="226" w:name="_Toc184310291"/>
      <w:bookmarkEnd w:id="226"/>
      <w:bookmarkStart w:id="227" w:name="_Toc184308108"/>
      <w:bookmarkEnd w:id="227"/>
      <w:bookmarkStart w:id="228" w:name="_Toc184310287"/>
      <w:bookmarkEnd w:id="228"/>
      <w:bookmarkStart w:id="229" w:name="_Toc184313306"/>
      <w:bookmarkEnd w:id="229"/>
      <w:bookmarkStart w:id="230" w:name="_Toc184308084"/>
      <w:bookmarkEnd w:id="230"/>
      <w:bookmarkStart w:id="231" w:name="_Toc184313293"/>
      <w:bookmarkEnd w:id="231"/>
      <w:bookmarkStart w:id="232" w:name="_Toc184313286"/>
      <w:bookmarkEnd w:id="232"/>
      <w:bookmarkStart w:id="233" w:name="_Toc184310328"/>
      <w:bookmarkEnd w:id="233"/>
      <w:bookmarkStart w:id="234" w:name="_Toc184313260"/>
      <w:bookmarkEnd w:id="234"/>
      <w:bookmarkStart w:id="235" w:name="_Toc184314428"/>
      <w:bookmarkEnd w:id="235"/>
      <w:bookmarkStart w:id="236" w:name="_Toc184308052"/>
      <w:bookmarkEnd w:id="236"/>
      <w:bookmarkStart w:id="237" w:name="_Toc184313255"/>
      <w:bookmarkEnd w:id="237"/>
      <w:bookmarkStart w:id="238" w:name="_Toc184308107"/>
      <w:bookmarkEnd w:id="238"/>
      <w:bookmarkStart w:id="239" w:name="_Toc184312094"/>
      <w:bookmarkEnd w:id="239"/>
      <w:bookmarkStart w:id="240" w:name="_Toc184310316"/>
      <w:bookmarkEnd w:id="240"/>
      <w:bookmarkStart w:id="241" w:name="_Toc184313287"/>
      <w:bookmarkEnd w:id="241"/>
      <w:bookmarkStart w:id="242" w:name="_Toc184313272"/>
      <w:bookmarkEnd w:id="242"/>
      <w:bookmarkStart w:id="243" w:name="_Toc184308038"/>
      <w:bookmarkEnd w:id="243"/>
      <w:bookmarkStart w:id="244" w:name="_Toc184313285"/>
      <w:bookmarkEnd w:id="244"/>
      <w:bookmarkStart w:id="245" w:name="_Toc184312117"/>
      <w:bookmarkEnd w:id="245"/>
      <w:bookmarkStart w:id="246" w:name="_Toc184312083"/>
      <w:bookmarkEnd w:id="246"/>
      <w:bookmarkStart w:id="247" w:name="_Toc184310326"/>
      <w:bookmarkEnd w:id="247"/>
      <w:bookmarkStart w:id="248" w:name="_Toc184310329"/>
      <w:bookmarkEnd w:id="248"/>
      <w:bookmarkStart w:id="249" w:name="_Toc184312070"/>
      <w:bookmarkEnd w:id="249"/>
      <w:bookmarkStart w:id="250" w:name="_Toc184308095"/>
      <w:bookmarkEnd w:id="250"/>
      <w:bookmarkStart w:id="251" w:name="_Toc184308097"/>
      <w:bookmarkEnd w:id="251"/>
      <w:bookmarkStart w:id="252" w:name="_Toc184313274"/>
      <w:bookmarkEnd w:id="252"/>
      <w:bookmarkStart w:id="253" w:name="_Toc184314452"/>
      <w:bookmarkEnd w:id="253"/>
      <w:bookmarkStart w:id="254" w:name="_Toc184308102"/>
      <w:bookmarkEnd w:id="254"/>
      <w:bookmarkStart w:id="255" w:name="_Toc184314413"/>
      <w:bookmarkEnd w:id="255"/>
      <w:bookmarkStart w:id="256" w:name="_Toc184313248"/>
      <w:bookmarkEnd w:id="256"/>
      <w:bookmarkStart w:id="257" w:name="_Toc184312078"/>
      <w:bookmarkEnd w:id="257"/>
      <w:bookmarkStart w:id="258" w:name="_Toc184313298"/>
      <w:bookmarkEnd w:id="258"/>
      <w:bookmarkStart w:id="259" w:name="_Toc184308039"/>
      <w:bookmarkEnd w:id="259"/>
      <w:bookmarkStart w:id="260" w:name="_Toc184310321"/>
      <w:bookmarkEnd w:id="260"/>
      <w:bookmarkStart w:id="261" w:name="_Toc184313269"/>
      <w:bookmarkEnd w:id="261"/>
      <w:bookmarkStart w:id="262" w:name="_Toc184312136"/>
      <w:bookmarkEnd w:id="262"/>
      <w:bookmarkStart w:id="263" w:name="_Toc184312092"/>
      <w:bookmarkEnd w:id="263"/>
      <w:bookmarkStart w:id="264" w:name="_Toc184312130"/>
      <w:bookmarkEnd w:id="264"/>
      <w:bookmarkStart w:id="265" w:name="_Toc184308076"/>
      <w:bookmarkEnd w:id="265"/>
      <w:bookmarkStart w:id="266" w:name="_Toc184308069"/>
      <w:bookmarkEnd w:id="266"/>
      <w:bookmarkStart w:id="267" w:name="_Toc184314477"/>
      <w:bookmarkEnd w:id="267"/>
      <w:bookmarkStart w:id="268" w:name="_Toc184310310"/>
      <w:bookmarkEnd w:id="268"/>
      <w:bookmarkStart w:id="269" w:name="_Toc184310324"/>
      <w:bookmarkEnd w:id="269"/>
      <w:bookmarkStart w:id="270" w:name="_Toc184313273"/>
      <w:bookmarkEnd w:id="270"/>
      <w:bookmarkStart w:id="271" w:name="_Toc184313296"/>
      <w:bookmarkEnd w:id="271"/>
      <w:bookmarkStart w:id="272" w:name="_Toc184308037"/>
      <w:bookmarkEnd w:id="272"/>
      <w:bookmarkStart w:id="273" w:name="_Toc184308079"/>
      <w:bookmarkEnd w:id="273"/>
      <w:bookmarkStart w:id="274" w:name="_Toc184310340"/>
      <w:bookmarkEnd w:id="274"/>
      <w:bookmarkStart w:id="275" w:name="_Toc184312108"/>
      <w:bookmarkEnd w:id="275"/>
      <w:bookmarkStart w:id="276" w:name="_Toc184312104"/>
      <w:bookmarkEnd w:id="276"/>
      <w:bookmarkStart w:id="277" w:name="_Toc184310292"/>
      <w:bookmarkEnd w:id="277"/>
      <w:bookmarkStart w:id="278" w:name="_Toc184313259"/>
      <w:bookmarkEnd w:id="278"/>
      <w:bookmarkStart w:id="279" w:name="_Toc184314423"/>
      <w:bookmarkEnd w:id="279"/>
      <w:bookmarkStart w:id="280" w:name="_Toc184310318"/>
      <w:bookmarkEnd w:id="280"/>
      <w:bookmarkStart w:id="281" w:name="_Toc184314440"/>
      <w:bookmarkEnd w:id="281"/>
      <w:bookmarkStart w:id="282" w:name="_Toc184312082"/>
      <w:bookmarkEnd w:id="282"/>
      <w:bookmarkStart w:id="283" w:name="_Toc184308088"/>
      <w:bookmarkEnd w:id="283"/>
      <w:bookmarkStart w:id="284" w:name="_Toc184314449"/>
      <w:bookmarkEnd w:id="284"/>
      <w:bookmarkStart w:id="285" w:name="_Toc184310303"/>
      <w:bookmarkEnd w:id="285"/>
      <w:bookmarkStart w:id="286" w:name="_Toc184312119"/>
      <w:bookmarkEnd w:id="286"/>
      <w:bookmarkStart w:id="287" w:name="_Toc184312071"/>
      <w:bookmarkEnd w:id="287"/>
      <w:bookmarkStart w:id="288" w:name="_Toc184310285"/>
      <w:bookmarkEnd w:id="288"/>
      <w:bookmarkStart w:id="289" w:name="_Toc184313299"/>
      <w:bookmarkEnd w:id="289"/>
      <w:bookmarkStart w:id="290" w:name="_Toc184308050"/>
      <w:bookmarkEnd w:id="290"/>
      <w:bookmarkStart w:id="291" w:name="_Toc184313297"/>
      <w:bookmarkEnd w:id="291"/>
      <w:bookmarkStart w:id="292" w:name="_Toc184312107"/>
      <w:bookmarkEnd w:id="292"/>
      <w:bookmarkStart w:id="293" w:name="_Toc184313264"/>
      <w:bookmarkEnd w:id="293"/>
      <w:bookmarkStart w:id="294" w:name="_Toc184314481"/>
      <w:bookmarkEnd w:id="294"/>
      <w:bookmarkStart w:id="295" w:name="_Toc184308086"/>
      <w:bookmarkEnd w:id="295"/>
      <w:bookmarkStart w:id="296" w:name="_Toc184308106"/>
      <w:bookmarkEnd w:id="296"/>
      <w:bookmarkStart w:id="297" w:name="_Toc184312087"/>
      <w:bookmarkEnd w:id="297"/>
      <w:bookmarkStart w:id="298" w:name="_Toc184314431"/>
      <w:bookmarkEnd w:id="298"/>
      <w:bookmarkStart w:id="299" w:name="_Toc184313261"/>
      <w:bookmarkEnd w:id="299"/>
      <w:bookmarkStart w:id="300" w:name="_Toc184308090"/>
      <w:bookmarkEnd w:id="300"/>
      <w:bookmarkStart w:id="301" w:name="_Toc184313300"/>
      <w:bookmarkEnd w:id="301"/>
      <w:bookmarkStart w:id="302" w:name="_Toc184312114"/>
      <w:bookmarkEnd w:id="302"/>
      <w:bookmarkStart w:id="303" w:name="_Toc184313307"/>
      <w:bookmarkEnd w:id="303"/>
      <w:bookmarkStart w:id="304" w:name="_Toc184314412"/>
      <w:bookmarkEnd w:id="304"/>
      <w:bookmarkStart w:id="305" w:name="_Toc184313288"/>
      <w:bookmarkEnd w:id="305"/>
      <w:bookmarkStart w:id="306" w:name="_Toc184314443"/>
      <w:bookmarkEnd w:id="306"/>
      <w:bookmarkStart w:id="307" w:name="_Toc184308042"/>
      <w:bookmarkEnd w:id="307"/>
      <w:bookmarkStart w:id="308" w:name="_Toc184312074"/>
      <w:bookmarkEnd w:id="308"/>
      <w:bookmarkStart w:id="309" w:name="_Toc184314445"/>
      <w:bookmarkEnd w:id="309"/>
      <w:bookmarkStart w:id="310" w:name="_Toc184308056"/>
      <w:bookmarkEnd w:id="310"/>
      <w:bookmarkStart w:id="311" w:name="_Toc184314434"/>
      <w:bookmarkEnd w:id="311"/>
      <w:bookmarkStart w:id="312" w:name="_Toc184313284"/>
      <w:bookmarkEnd w:id="312"/>
      <w:bookmarkStart w:id="313" w:name="_Toc184312089"/>
      <w:bookmarkEnd w:id="313"/>
      <w:bookmarkStart w:id="314" w:name="_Toc184314472"/>
      <w:bookmarkEnd w:id="314"/>
      <w:bookmarkStart w:id="315" w:name="_Toc184308074"/>
      <w:bookmarkEnd w:id="315"/>
      <w:bookmarkStart w:id="316" w:name="_Toc184308101"/>
      <w:bookmarkEnd w:id="316"/>
      <w:bookmarkStart w:id="317" w:name="_Toc184310344"/>
      <w:bookmarkEnd w:id="317"/>
      <w:bookmarkStart w:id="318" w:name="_Toc184312118"/>
      <w:bookmarkEnd w:id="318"/>
      <w:bookmarkStart w:id="319" w:name="_Toc184314464"/>
      <w:bookmarkEnd w:id="319"/>
      <w:bookmarkStart w:id="320" w:name="_Toc184313275"/>
      <w:bookmarkEnd w:id="320"/>
      <w:bookmarkStart w:id="321" w:name="_Toc184314480"/>
      <w:bookmarkEnd w:id="321"/>
      <w:bookmarkStart w:id="322" w:name="_Toc184308080"/>
      <w:bookmarkEnd w:id="322"/>
      <w:bookmarkStart w:id="323" w:name="_Toc184312123"/>
      <w:bookmarkEnd w:id="323"/>
      <w:bookmarkStart w:id="324" w:name="_Toc184313271"/>
      <w:bookmarkEnd w:id="324"/>
      <w:bookmarkStart w:id="325" w:name="_Toc184308047"/>
      <w:bookmarkEnd w:id="325"/>
      <w:bookmarkStart w:id="326" w:name="_Toc184313268"/>
      <w:bookmarkEnd w:id="326"/>
      <w:bookmarkStart w:id="327" w:name="_Toc184313305"/>
      <w:bookmarkEnd w:id="327"/>
      <w:bookmarkStart w:id="328" w:name="_Toc184310295"/>
      <w:bookmarkEnd w:id="328"/>
      <w:bookmarkStart w:id="329" w:name="_Toc184310286"/>
      <w:bookmarkEnd w:id="329"/>
      <w:bookmarkStart w:id="330" w:name="_Toc184314430"/>
      <w:bookmarkEnd w:id="330"/>
      <w:bookmarkStart w:id="331" w:name="_Toc184314479"/>
      <w:bookmarkEnd w:id="331"/>
      <w:bookmarkStart w:id="332" w:name="_Toc184310272"/>
      <w:bookmarkEnd w:id="332"/>
      <w:bookmarkStart w:id="333" w:name="_Toc184310327"/>
      <w:bookmarkEnd w:id="333"/>
      <w:bookmarkStart w:id="334" w:name="_Toc184313262"/>
      <w:bookmarkEnd w:id="334"/>
      <w:bookmarkStart w:id="335" w:name="_Toc184310302"/>
      <w:bookmarkEnd w:id="335"/>
      <w:bookmarkStart w:id="336" w:name="_Toc184313241"/>
      <w:bookmarkEnd w:id="336"/>
      <w:bookmarkStart w:id="337" w:name="_Toc184312120"/>
      <w:bookmarkEnd w:id="337"/>
      <w:bookmarkStart w:id="338" w:name="_Toc184312111"/>
      <w:bookmarkEnd w:id="338"/>
      <w:bookmarkStart w:id="339" w:name="_Toc184312077"/>
      <w:bookmarkEnd w:id="339"/>
      <w:bookmarkStart w:id="340" w:name="_Toc184308040"/>
      <w:bookmarkEnd w:id="340"/>
      <w:bookmarkStart w:id="341" w:name="_Toc184312109"/>
      <w:bookmarkEnd w:id="341"/>
      <w:bookmarkStart w:id="342" w:name="_Toc184308085"/>
      <w:bookmarkEnd w:id="342"/>
      <w:bookmarkStart w:id="343" w:name="_Toc184308087"/>
      <w:bookmarkEnd w:id="343"/>
      <w:bookmarkStart w:id="344" w:name="_Toc184308046"/>
      <w:bookmarkEnd w:id="344"/>
      <w:bookmarkStart w:id="345" w:name="_Toc184312125"/>
      <w:bookmarkEnd w:id="345"/>
      <w:bookmarkStart w:id="346" w:name="_Toc184310313"/>
      <w:bookmarkEnd w:id="346"/>
      <w:bookmarkStart w:id="347" w:name="_Toc184308073"/>
      <w:bookmarkEnd w:id="347"/>
      <w:bookmarkStart w:id="348" w:name="_Toc184314415"/>
      <w:bookmarkEnd w:id="348"/>
      <w:bookmarkStart w:id="349" w:name="_Toc184314454"/>
      <w:bookmarkEnd w:id="349"/>
      <w:bookmarkStart w:id="350" w:name="_Toc184313256"/>
      <w:bookmarkEnd w:id="350"/>
      <w:bookmarkStart w:id="351" w:name="_Toc184310337"/>
      <w:bookmarkEnd w:id="351"/>
      <w:bookmarkStart w:id="352" w:name="_Toc184308049"/>
      <w:bookmarkEnd w:id="352"/>
      <w:bookmarkStart w:id="353" w:name="_Toc184312085"/>
      <w:bookmarkEnd w:id="353"/>
      <w:bookmarkStart w:id="354" w:name="_Toc184312137"/>
      <w:bookmarkEnd w:id="354"/>
      <w:bookmarkStart w:id="355" w:name="_Toc184314456"/>
      <w:bookmarkEnd w:id="355"/>
      <w:bookmarkStart w:id="356" w:name="_Toc184313280"/>
      <w:bookmarkEnd w:id="356"/>
      <w:bookmarkStart w:id="357" w:name="_Toc184314473"/>
      <w:bookmarkEnd w:id="357"/>
      <w:bookmarkStart w:id="358" w:name="_Toc184313265"/>
      <w:bookmarkEnd w:id="358"/>
      <w:bookmarkStart w:id="359" w:name="_Toc184313295"/>
      <w:bookmarkEnd w:id="359"/>
      <w:bookmarkStart w:id="360" w:name="_Toc184308077"/>
      <w:bookmarkEnd w:id="360"/>
      <w:bookmarkStart w:id="361" w:name="_Toc184312098"/>
      <w:bookmarkEnd w:id="361"/>
      <w:bookmarkStart w:id="362" w:name="_Toc184314459"/>
      <w:bookmarkEnd w:id="362"/>
      <w:bookmarkStart w:id="363" w:name="_Toc184308071"/>
      <w:bookmarkEnd w:id="363"/>
      <w:bookmarkStart w:id="364" w:name="_Toc184310342"/>
      <w:bookmarkEnd w:id="364"/>
      <w:bookmarkStart w:id="365" w:name="_Toc184313247"/>
      <w:bookmarkEnd w:id="365"/>
      <w:bookmarkStart w:id="366" w:name="_Toc184310309"/>
      <w:bookmarkEnd w:id="366"/>
      <w:bookmarkStart w:id="367" w:name="_Toc184308044"/>
      <w:bookmarkEnd w:id="367"/>
      <w:bookmarkStart w:id="368" w:name="_Toc184308045"/>
      <w:bookmarkEnd w:id="368"/>
      <w:bookmarkStart w:id="369" w:name="_Toc184313308"/>
      <w:bookmarkEnd w:id="369"/>
      <w:bookmarkStart w:id="370" w:name="_Toc184310279"/>
      <w:bookmarkEnd w:id="370"/>
      <w:bookmarkStart w:id="371" w:name="_Toc184310312"/>
      <w:bookmarkEnd w:id="371"/>
      <w:bookmarkStart w:id="372" w:name="_Toc184313270"/>
      <w:bookmarkEnd w:id="372"/>
      <w:bookmarkStart w:id="373" w:name="_Toc184308096"/>
      <w:bookmarkEnd w:id="373"/>
      <w:bookmarkStart w:id="374" w:name="_Toc184312134"/>
      <w:bookmarkEnd w:id="374"/>
      <w:bookmarkStart w:id="375" w:name="_Toc184310304"/>
      <w:bookmarkEnd w:id="375"/>
      <w:bookmarkStart w:id="376" w:name="_Toc184312102"/>
      <w:bookmarkEnd w:id="376"/>
      <w:bookmarkStart w:id="377" w:name="_Toc184314410"/>
      <w:bookmarkEnd w:id="377"/>
      <w:bookmarkStart w:id="378" w:name="_Toc184310294"/>
      <w:bookmarkEnd w:id="378"/>
      <w:bookmarkStart w:id="379" w:name="_Toc184312103"/>
      <w:bookmarkEnd w:id="379"/>
      <w:bookmarkStart w:id="380" w:name="_Toc184312075"/>
      <w:bookmarkEnd w:id="380"/>
      <w:bookmarkStart w:id="381" w:name="_Toc184312133"/>
      <w:bookmarkEnd w:id="381"/>
      <w:bookmarkStart w:id="382" w:name="_Toc184308054"/>
      <w:bookmarkEnd w:id="382"/>
      <w:bookmarkStart w:id="383" w:name="_Toc184310289"/>
      <w:bookmarkEnd w:id="383"/>
      <w:bookmarkStart w:id="384" w:name="_Toc184310275"/>
      <w:bookmarkEnd w:id="384"/>
      <w:bookmarkStart w:id="385" w:name="_Toc184308060"/>
      <w:bookmarkEnd w:id="385"/>
      <w:bookmarkStart w:id="386" w:name="_Toc184308036"/>
      <w:bookmarkEnd w:id="386"/>
      <w:bookmarkStart w:id="387" w:name="_Toc184313243"/>
      <w:bookmarkEnd w:id="387"/>
      <w:bookmarkStart w:id="388" w:name="_Toc184310314"/>
      <w:bookmarkEnd w:id="388"/>
      <w:bookmarkStart w:id="389" w:name="_Toc184312116"/>
      <w:bookmarkEnd w:id="389"/>
      <w:bookmarkStart w:id="390" w:name="_Toc184314471"/>
      <w:bookmarkEnd w:id="390"/>
      <w:bookmarkStart w:id="391" w:name="_Toc184312121"/>
      <w:bookmarkEnd w:id="391"/>
      <w:bookmarkStart w:id="392" w:name="_Toc184312086"/>
      <w:bookmarkEnd w:id="392"/>
      <w:bookmarkStart w:id="393" w:name="_Toc184308072"/>
      <w:bookmarkEnd w:id="393"/>
      <w:bookmarkStart w:id="394" w:name="_Toc184308055"/>
      <w:bookmarkEnd w:id="394"/>
      <w:bookmarkStart w:id="395" w:name="_Toc184314441"/>
      <w:bookmarkEnd w:id="395"/>
      <w:bookmarkStart w:id="396" w:name="_Toc184310284"/>
      <w:bookmarkEnd w:id="396"/>
      <w:bookmarkStart w:id="397" w:name="_Toc184308043"/>
      <w:bookmarkEnd w:id="397"/>
      <w:bookmarkStart w:id="398" w:name="_Toc184314478"/>
      <w:bookmarkEnd w:id="398"/>
      <w:bookmarkStart w:id="399" w:name="_Toc184310317"/>
      <w:bookmarkEnd w:id="399"/>
      <w:bookmarkStart w:id="400" w:name="_Toc184314437"/>
      <w:bookmarkEnd w:id="400"/>
      <w:bookmarkStart w:id="401" w:name="_Toc184312126"/>
      <w:bookmarkEnd w:id="401"/>
      <w:bookmarkStart w:id="402" w:name="_Toc184314470"/>
      <w:bookmarkEnd w:id="402"/>
      <w:bookmarkStart w:id="403" w:name="_Toc184312127"/>
      <w:bookmarkEnd w:id="403"/>
      <w:bookmarkStart w:id="404" w:name="_Toc184314432"/>
      <w:bookmarkEnd w:id="404"/>
      <w:bookmarkStart w:id="405" w:name="_Toc184310297"/>
      <w:bookmarkEnd w:id="405"/>
      <w:bookmarkStart w:id="406" w:name="_Toc184312101"/>
      <w:bookmarkEnd w:id="406"/>
      <w:bookmarkStart w:id="407" w:name="_Toc184310293"/>
      <w:bookmarkEnd w:id="407"/>
      <w:bookmarkStart w:id="408" w:name="_Toc184314468"/>
      <w:bookmarkEnd w:id="408"/>
      <w:bookmarkStart w:id="409" w:name="_Toc184310273"/>
      <w:bookmarkEnd w:id="409"/>
      <w:bookmarkStart w:id="410" w:name="_Toc184308083"/>
      <w:bookmarkEnd w:id="410"/>
      <w:bookmarkStart w:id="411" w:name="_Toc184313291"/>
      <w:bookmarkEnd w:id="411"/>
      <w:bookmarkStart w:id="412" w:name="_Toc184314414"/>
      <w:bookmarkEnd w:id="412"/>
      <w:bookmarkStart w:id="413" w:name="_Toc184312069"/>
      <w:bookmarkEnd w:id="413"/>
      <w:bookmarkStart w:id="414" w:name="_Toc184310278"/>
      <w:bookmarkEnd w:id="414"/>
      <w:bookmarkStart w:id="415" w:name="_Toc184312096"/>
      <w:bookmarkEnd w:id="415"/>
      <w:bookmarkStart w:id="416" w:name="_Toc184310311"/>
      <w:bookmarkEnd w:id="416"/>
      <w:bookmarkStart w:id="417" w:name="_Toc184308105"/>
      <w:bookmarkEnd w:id="417"/>
      <w:bookmarkStart w:id="418" w:name="_Toc184312132"/>
      <w:bookmarkEnd w:id="418"/>
      <w:bookmarkStart w:id="419" w:name="_Toc184313250"/>
      <w:bookmarkEnd w:id="419"/>
      <w:bookmarkStart w:id="420" w:name="_Toc184313246"/>
      <w:bookmarkEnd w:id="420"/>
      <w:bookmarkStart w:id="421" w:name="_Toc184314420"/>
      <w:bookmarkEnd w:id="421"/>
      <w:r>
        <w:rPr>
          <w:rFonts w:hint="eastAsia" w:ascii="宋体" w:hAnsi="宋体" w:cs="宋体"/>
          <w:b/>
          <w:sz w:val="36"/>
          <w:szCs w:val="36"/>
        </w:rPr>
        <w:t xml:space="preserve"> 评标办法</w:t>
      </w:r>
      <w:bookmarkEnd w:id="56"/>
    </w:p>
    <w:p>
      <w:pPr>
        <w:snapToGrid w:val="0"/>
        <w:spacing w:line="360" w:lineRule="auto"/>
        <w:rPr>
          <w:rFonts w:ascii="宋体" w:hAnsi="宋体" w:cs="宋体"/>
          <w:b/>
          <w:sz w:val="24"/>
        </w:rPr>
      </w:pPr>
    </w:p>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360" w:lineRule="auto"/>
        <w:ind w:firstLine="420"/>
        <w:rPr>
          <w:rFonts w:ascii="宋体" w:hAnsi="宋体" w:cs="宋体"/>
          <w:sz w:val="24"/>
        </w:rPr>
      </w:pPr>
      <w:r>
        <w:rPr>
          <w:rFonts w:hint="eastAsia" w:ascii="宋体" w:hAnsi="宋体" w:cs="宋体"/>
          <w:sz w:val="24"/>
        </w:rPr>
        <w:t>本次评标采用综合评分法，评标委员会根据评审情况，对投标人的报价，投标人综合实力、技术、信誉、业绩和售后服务等方面进行审核。评标委员会根据评审情况，对各投标人的报价进行统一打分，对各投标人的资信、商务及技术由评标委员会成员在分值范围内进行独立打分。所有分值均在小数点后保留2位小数。若评标委员会的评分表中计分不在分值范围内的，则该评分表无效。</w:t>
      </w:r>
    </w:p>
    <w:p>
      <w:pPr>
        <w:spacing w:line="360" w:lineRule="auto"/>
        <w:ind w:firstLine="420"/>
        <w:rPr>
          <w:rFonts w:ascii="宋体" w:hAnsi="宋体" w:cs="宋体"/>
          <w:sz w:val="24"/>
        </w:rPr>
      </w:pPr>
      <w:r>
        <w:rPr>
          <w:rFonts w:hint="eastAsia" w:ascii="宋体" w:hAnsi="宋体" w:cs="宋体"/>
          <w:sz w:val="24"/>
        </w:rPr>
        <w:t>每个投标人最终得分=商务报价分+资信分+技术分</w:t>
      </w:r>
    </w:p>
    <w:p>
      <w:pPr>
        <w:keepNext/>
        <w:keepLines/>
        <w:spacing w:line="360" w:lineRule="auto"/>
        <w:ind w:firstLine="422"/>
        <w:outlineLvl w:val="2"/>
        <w:rPr>
          <w:rFonts w:ascii="宋体" w:hAnsi="宋体" w:cs="宋体"/>
          <w:sz w:val="24"/>
        </w:rPr>
      </w:pPr>
      <w:r>
        <w:rPr>
          <w:rFonts w:hint="eastAsia" w:ascii="宋体" w:hAnsi="宋体" w:cs="宋体"/>
          <w:sz w:val="24"/>
        </w:rPr>
        <w:t>评标委员会推荐得分最高的投标人为第一中标候选人、得分次高的投标人为第二中标候选人，并编写评标报告。得分相同的，按投标报价由低到高顺序排列。得分且投标报价相同的并列，投标文件满足招标文件全部实质性要求，且按照评审因素的量化指标评审得分最高的投标人为排名第一的中标候选人。评审因素的量化指标评审得分也相同的则抽签决定。</w:t>
      </w:r>
    </w:p>
    <w:p>
      <w:pPr>
        <w:keepNext/>
        <w:keepLines/>
        <w:spacing w:line="360" w:lineRule="auto"/>
        <w:ind w:firstLine="422"/>
        <w:outlineLvl w:val="2"/>
        <w:rPr>
          <w:rFonts w:ascii="宋体" w:hAnsi="宋体" w:cs="宋体"/>
          <w:b/>
          <w:bCs/>
          <w:kern w:val="0"/>
          <w:sz w:val="24"/>
        </w:rPr>
      </w:pPr>
      <w:r>
        <w:rPr>
          <w:rFonts w:hint="eastAsia" w:ascii="宋体" w:hAnsi="宋体" w:cs="宋体"/>
          <w:b/>
          <w:bCs/>
          <w:kern w:val="0"/>
          <w:sz w:val="24"/>
        </w:rPr>
        <w:t>2.1 商务报价分 10 分</w:t>
      </w:r>
    </w:p>
    <w:p>
      <w:pPr>
        <w:spacing w:line="360" w:lineRule="auto"/>
        <w:ind w:firstLine="420"/>
        <w:rPr>
          <w:rFonts w:ascii="宋体" w:hAnsi="宋体" w:cs="仿宋_GB2312"/>
          <w:sz w:val="24"/>
        </w:rPr>
      </w:pPr>
      <w:r>
        <w:rPr>
          <w:rFonts w:hint="eastAsia" w:ascii="宋体" w:hAnsi="宋体" w:cs="仿宋_GB2312"/>
          <w:sz w:val="24"/>
        </w:rPr>
        <w:t>商务报价评分将在有效投标人范围内进行，最高得10分，小数点后保留2位小数。满足招标文件要求且投标价格最低的投标报价为评标基准价，其商务报价分为满分。其他投标人的价格分按照下列公式计算：</w:t>
      </w:r>
    </w:p>
    <w:p>
      <w:pPr>
        <w:spacing w:line="360" w:lineRule="auto"/>
        <w:ind w:firstLine="420"/>
        <w:rPr>
          <w:rFonts w:ascii="宋体" w:hAnsi="宋体" w:cs="仿宋_GB2312"/>
          <w:sz w:val="24"/>
        </w:rPr>
      </w:pPr>
      <w:r>
        <w:rPr>
          <w:rFonts w:hint="eastAsia" w:ascii="宋体" w:hAnsi="宋体" w:cs="仿宋_GB2312"/>
          <w:sz w:val="24"/>
        </w:rPr>
        <w:t>商务报价分=(评标基准价／投标报价)×10。</w:t>
      </w:r>
    </w:p>
    <w:p>
      <w:pPr>
        <w:spacing w:line="360" w:lineRule="auto"/>
        <w:ind w:firstLine="420"/>
        <w:rPr>
          <w:rFonts w:ascii="宋体" w:hAnsi="宋体" w:cs="仿宋_GB2312"/>
          <w:sz w:val="24"/>
        </w:rPr>
      </w:pPr>
      <w:r>
        <w:rPr>
          <w:rFonts w:hint="eastAsia" w:ascii="宋体" w:hAnsi="宋体" w:cs="仿宋_GB2312"/>
          <w:sz w:val="24"/>
        </w:rPr>
        <w:t>在报价评审时对小型和微型企业（监狱企业、残疾人福利性单位视同小微企业,须按投标人须知前附表要求提供相关材料，未提供或提供不全均不给予价格扣除）的投标报价给予20%的扣除，以扣除后的价格作为评标价。</w:t>
      </w:r>
    </w:p>
    <w:p>
      <w:pPr>
        <w:spacing w:line="360" w:lineRule="auto"/>
        <w:ind w:firstLine="420"/>
        <w:rPr>
          <w:rFonts w:ascii="宋体" w:hAnsi="宋体" w:cs="仿宋_GB2312"/>
          <w:sz w:val="24"/>
        </w:rPr>
      </w:pPr>
      <w:r>
        <w:rPr>
          <w:rFonts w:hint="eastAsia" w:ascii="宋体" w:hAnsi="宋体" w:cs="仿宋_GB2312"/>
          <w:sz w:val="24"/>
        </w:rPr>
        <w:t>此项由评标委员会集体核实后统一打分。</w:t>
      </w:r>
    </w:p>
    <w:p>
      <w:pPr>
        <w:keepNext/>
        <w:keepLines/>
        <w:autoSpaceDE w:val="0"/>
        <w:autoSpaceDN w:val="0"/>
        <w:spacing w:line="360" w:lineRule="auto"/>
        <w:ind w:firstLine="422"/>
        <w:rPr>
          <w:rFonts w:ascii="宋体" w:cs="宋体"/>
          <w:b/>
          <w:bCs/>
          <w:kern w:val="0"/>
          <w:sz w:val="24"/>
          <w:lang w:val="zh-CN"/>
        </w:rPr>
      </w:pPr>
      <w:r>
        <w:rPr>
          <w:rFonts w:ascii="宋体" w:cs="宋体"/>
          <w:b/>
          <w:bCs/>
          <w:kern w:val="0"/>
          <w:sz w:val="24"/>
          <w:lang w:val="zh-CN"/>
        </w:rPr>
        <w:t xml:space="preserve">2.2 </w:t>
      </w:r>
      <w:r>
        <w:rPr>
          <w:rFonts w:hint="eastAsia" w:ascii="宋体" w:cs="宋体"/>
          <w:b/>
          <w:bCs/>
          <w:kern w:val="0"/>
          <w:sz w:val="24"/>
          <w:lang w:val="zh-CN"/>
        </w:rPr>
        <w:t>资信评分</w:t>
      </w:r>
      <w:r>
        <w:rPr>
          <w:rFonts w:hint="eastAsia" w:ascii="宋体" w:cs="宋体"/>
          <w:b/>
          <w:bCs/>
          <w:kern w:val="0"/>
          <w:sz w:val="24"/>
        </w:rPr>
        <w:t>1</w:t>
      </w:r>
      <w:r>
        <w:rPr>
          <w:rFonts w:hint="eastAsia" w:ascii="宋体" w:cs="宋体"/>
          <w:b/>
          <w:bCs/>
          <w:kern w:val="0"/>
          <w:sz w:val="24"/>
          <w:lang w:val="zh-CN"/>
        </w:rPr>
        <w:t>分</w:t>
      </w:r>
    </w:p>
    <w:p>
      <w:pPr>
        <w:autoSpaceDE w:val="0"/>
        <w:autoSpaceDN w:val="0"/>
        <w:spacing w:line="360" w:lineRule="auto"/>
        <w:ind w:firstLine="420"/>
        <w:rPr>
          <w:kern w:val="0"/>
          <w:sz w:val="24"/>
        </w:rPr>
      </w:pPr>
      <w:r>
        <w:rPr>
          <w:kern w:val="0"/>
          <w:sz w:val="24"/>
        </w:rPr>
        <w:t>2.2.1</w:t>
      </w:r>
      <w:r>
        <w:rPr>
          <w:rFonts w:hint="eastAsia" w:ascii="宋体" w:cs="宋体"/>
          <w:kern w:val="0"/>
          <w:sz w:val="24"/>
          <w:lang w:val="zh-CN"/>
        </w:rPr>
        <w:t>投标人自</w:t>
      </w:r>
      <w:r>
        <w:rPr>
          <w:kern w:val="0"/>
          <w:sz w:val="24"/>
        </w:rPr>
        <w:t>2019</w:t>
      </w:r>
      <w:r>
        <w:rPr>
          <w:rFonts w:hint="eastAsia" w:ascii="宋体" w:cs="宋体"/>
          <w:kern w:val="0"/>
          <w:sz w:val="24"/>
          <w:lang w:val="zh-CN"/>
        </w:rPr>
        <w:t>年</w:t>
      </w:r>
      <w:r>
        <w:rPr>
          <w:rFonts w:ascii="宋体"/>
          <w:kern w:val="0"/>
          <w:sz w:val="24"/>
        </w:rPr>
        <w:t>7</w:t>
      </w:r>
      <w:r>
        <w:rPr>
          <w:rFonts w:hint="eastAsia" w:ascii="宋体" w:cs="宋体"/>
          <w:kern w:val="0"/>
          <w:sz w:val="24"/>
          <w:lang w:val="zh-CN"/>
        </w:rPr>
        <w:t>月以来有类似业绩的，每个合同得</w:t>
      </w:r>
      <w:r>
        <w:rPr>
          <w:kern w:val="0"/>
          <w:sz w:val="24"/>
        </w:rPr>
        <w:t>0.5</w:t>
      </w:r>
      <w:r>
        <w:rPr>
          <w:rFonts w:hint="eastAsia" w:ascii="宋体" w:cs="宋体"/>
          <w:kern w:val="0"/>
          <w:sz w:val="24"/>
          <w:lang w:val="zh-CN"/>
        </w:rPr>
        <w:t>分，满分</w:t>
      </w:r>
      <w:r>
        <w:rPr>
          <w:kern w:val="0"/>
          <w:sz w:val="24"/>
        </w:rPr>
        <w:t>1</w:t>
      </w:r>
      <w:r>
        <w:rPr>
          <w:rFonts w:hint="eastAsia" w:ascii="宋体" w:cs="宋体"/>
          <w:kern w:val="0"/>
          <w:sz w:val="24"/>
          <w:lang w:val="zh-CN"/>
        </w:rPr>
        <w:t>分。须提供相应的证明文件合同复印件，时间以合同签订时间为准。</w:t>
      </w:r>
    </w:p>
    <w:p>
      <w:pPr>
        <w:autoSpaceDE w:val="0"/>
        <w:autoSpaceDN w:val="0"/>
        <w:spacing w:line="360" w:lineRule="auto"/>
        <w:ind w:firstLine="420"/>
        <w:rPr>
          <w:rFonts w:ascii="宋体" w:cs="宋体"/>
          <w:kern w:val="0"/>
          <w:sz w:val="24"/>
          <w:lang w:val="zh-CN"/>
        </w:rPr>
      </w:pPr>
      <w:r>
        <w:rPr>
          <w:rFonts w:hint="eastAsia" w:ascii="宋体" w:cs="宋体"/>
          <w:kern w:val="0"/>
          <w:sz w:val="24"/>
          <w:lang w:val="zh-CN"/>
        </w:rPr>
        <w:t>此项由评标委员会集体核实后统一打分。</w:t>
      </w:r>
    </w:p>
    <w:p>
      <w:pPr>
        <w:keepNext/>
        <w:keepLines/>
        <w:autoSpaceDE w:val="0"/>
        <w:autoSpaceDN w:val="0"/>
        <w:spacing w:line="360" w:lineRule="auto"/>
        <w:ind w:firstLine="422"/>
        <w:rPr>
          <w:rFonts w:ascii="宋体" w:cs="宋体"/>
          <w:b/>
          <w:bCs/>
          <w:kern w:val="0"/>
          <w:sz w:val="24"/>
          <w:lang w:val="zh-CN"/>
        </w:rPr>
      </w:pPr>
      <w:r>
        <w:rPr>
          <w:rFonts w:ascii="宋体" w:cs="宋体"/>
          <w:b/>
          <w:bCs/>
          <w:kern w:val="0"/>
          <w:sz w:val="24"/>
          <w:lang w:val="zh-CN"/>
        </w:rPr>
        <w:t xml:space="preserve">2.3 </w:t>
      </w:r>
      <w:r>
        <w:rPr>
          <w:rFonts w:hint="eastAsia" w:ascii="宋体" w:cs="宋体"/>
          <w:b/>
          <w:bCs/>
          <w:kern w:val="0"/>
          <w:sz w:val="24"/>
          <w:lang w:val="zh-CN"/>
        </w:rPr>
        <w:t>技术评分</w:t>
      </w:r>
      <w:r>
        <w:rPr>
          <w:rFonts w:ascii="宋体" w:cs="宋体"/>
          <w:b/>
          <w:bCs/>
          <w:kern w:val="0"/>
          <w:sz w:val="24"/>
          <w:lang w:val="zh-CN"/>
        </w:rPr>
        <w:t>8</w:t>
      </w:r>
      <w:r>
        <w:rPr>
          <w:rFonts w:hint="eastAsia" w:ascii="宋体" w:cs="宋体"/>
          <w:b/>
          <w:bCs/>
          <w:kern w:val="0"/>
          <w:sz w:val="24"/>
        </w:rPr>
        <w:t>9</w:t>
      </w:r>
      <w:r>
        <w:rPr>
          <w:rFonts w:hint="eastAsia" w:ascii="宋体" w:cs="宋体"/>
          <w:b/>
          <w:bCs/>
          <w:kern w:val="0"/>
          <w:sz w:val="24"/>
          <w:lang w:val="zh-CN"/>
        </w:rPr>
        <w:t>分</w:t>
      </w:r>
    </w:p>
    <w:p>
      <w:pPr>
        <w:autoSpaceDE w:val="0"/>
        <w:autoSpaceDN w:val="0"/>
        <w:spacing w:line="360" w:lineRule="auto"/>
        <w:ind w:firstLine="420"/>
        <w:rPr>
          <w:rFonts w:ascii="宋体" w:cs="宋体"/>
          <w:kern w:val="0"/>
          <w:sz w:val="24"/>
          <w:lang w:val="zh-CN"/>
        </w:rPr>
      </w:pPr>
      <w:r>
        <w:rPr>
          <w:rFonts w:hint="eastAsia" w:ascii="宋体" w:cs="宋体"/>
          <w:kern w:val="0"/>
          <w:sz w:val="24"/>
          <w:lang w:val="zh-CN"/>
        </w:rPr>
        <w:t>该评分分值由评标委员会根据评审情况在分值范围内独立打分（具体分值设定详见表格），小数点后保留</w:t>
      </w:r>
      <w:r>
        <w:rPr>
          <w:rFonts w:ascii="宋体" w:cs="宋体"/>
          <w:kern w:val="0"/>
          <w:sz w:val="24"/>
          <w:lang w:val="zh-CN"/>
        </w:rPr>
        <w:t>2</w:t>
      </w:r>
      <w:r>
        <w:rPr>
          <w:rFonts w:hint="eastAsia" w:ascii="宋体" w:cs="宋体"/>
          <w:kern w:val="0"/>
          <w:sz w:val="24"/>
          <w:lang w:val="zh-CN"/>
        </w:rPr>
        <w:t>位小数。每个投标人的最终技术得分为评标委员会打分的算术平均值。</w:t>
      </w:r>
    </w:p>
    <w:tbl>
      <w:tblPr>
        <w:tblStyle w:val="62"/>
        <w:tblW w:w="9195" w:type="dxa"/>
        <w:jc w:val="center"/>
        <w:tblLayout w:type="fixed"/>
        <w:tblCellMar>
          <w:top w:w="0" w:type="dxa"/>
          <w:left w:w="108" w:type="dxa"/>
          <w:bottom w:w="0" w:type="dxa"/>
          <w:right w:w="108" w:type="dxa"/>
        </w:tblCellMar>
      </w:tblPr>
      <w:tblGrid>
        <w:gridCol w:w="813"/>
        <w:gridCol w:w="1741"/>
        <w:gridCol w:w="5218"/>
        <w:gridCol w:w="1423"/>
      </w:tblGrid>
      <w:tr>
        <w:tblPrEx>
          <w:tblCellMar>
            <w:top w:w="0" w:type="dxa"/>
            <w:left w:w="108" w:type="dxa"/>
            <w:bottom w:w="0" w:type="dxa"/>
            <w:right w:w="108" w:type="dxa"/>
          </w:tblCellMar>
        </w:tblPrEx>
        <w:trPr>
          <w:trHeight w:val="497" w:hRule="atLeast"/>
          <w:jc w:val="center"/>
        </w:trPr>
        <w:tc>
          <w:tcPr>
            <w:tcW w:w="813" w:type="dxa"/>
            <w:tcBorders>
              <w:top w:val="single" w:color="000000" w:sz="2" w:space="0"/>
              <w:left w:val="single" w:color="000000" w:sz="2" w:space="0"/>
              <w:bottom w:val="single" w:color="000000" w:sz="2" w:space="0"/>
              <w:right w:val="single" w:color="000000" w:sz="2" w:space="0"/>
            </w:tcBorders>
            <w:vAlign w:val="center"/>
          </w:tcPr>
          <w:p>
            <w:pPr>
              <w:autoSpaceDE w:val="0"/>
              <w:autoSpaceDN w:val="0"/>
              <w:spacing w:line="560" w:lineRule="atLeast"/>
              <w:rPr>
                <w:rFonts w:ascii="宋体" w:cs="宋体"/>
                <w:kern w:val="0"/>
                <w:sz w:val="22"/>
                <w:szCs w:val="22"/>
                <w:lang w:val="zh-CN"/>
              </w:rPr>
            </w:pPr>
            <w:r>
              <w:rPr>
                <w:rFonts w:hint="eastAsia" w:ascii="宋体" w:cs="宋体"/>
                <w:color w:val="000000"/>
                <w:kern w:val="0"/>
                <w:sz w:val="24"/>
                <w:lang w:val="zh-CN"/>
              </w:rPr>
              <w:t>序号</w:t>
            </w:r>
          </w:p>
        </w:tc>
        <w:tc>
          <w:tcPr>
            <w:tcW w:w="6959" w:type="dxa"/>
            <w:gridSpan w:val="2"/>
            <w:tcBorders>
              <w:top w:val="single" w:color="000000" w:sz="2" w:space="0"/>
              <w:left w:val="single" w:color="000000" w:sz="2" w:space="0"/>
              <w:bottom w:val="single" w:color="000000" w:sz="2" w:space="0"/>
              <w:right w:val="single" w:color="000000" w:sz="2" w:space="0"/>
            </w:tcBorders>
            <w:vAlign w:val="center"/>
          </w:tcPr>
          <w:p>
            <w:pPr>
              <w:autoSpaceDE w:val="0"/>
              <w:autoSpaceDN w:val="0"/>
              <w:spacing w:line="560" w:lineRule="atLeast"/>
              <w:rPr>
                <w:rFonts w:ascii="宋体" w:cs="宋体"/>
                <w:kern w:val="0"/>
                <w:sz w:val="22"/>
                <w:szCs w:val="22"/>
                <w:lang w:val="zh-CN"/>
              </w:rPr>
            </w:pPr>
            <w:r>
              <w:rPr>
                <w:rFonts w:hint="eastAsia" w:ascii="宋体" w:cs="宋体"/>
                <w:color w:val="000000"/>
                <w:kern w:val="0"/>
                <w:sz w:val="24"/>
                <w:lang w:val="zh-CN"/>
              </w:rPr>
              <w:t>评分标准</w:t>
            </w:r>
          </w:p>
        </w:tc>
        <w:tc>
          <w:tcPr>
            <w:tcW w:w="1423" w:type="dxa"/>
            <w:tcBorders>
              <w:top w:val="single" w:color="000000" w:sz="2" w:space="0"/>
              <w:left w:val="single" w:color="000000" w:sz="2" w:space="0"/>
              <w:bottom w:val="single" w:color="000000" w:sz="2" w:space="0"/>
              <w:right w:val="single" w:color="000000" w:sz="2" w:space="0"/>
            </w:tcBorders>
            <w:vAlign w:val="center"/>
          </w:tcPr>
          <w:p>
            <w:pPr>
              <w:autoSpaceDE w:val="0"/>
              <w:autoSpaceDN w:val="0"/>
              <w:spacing w:line="560" w:lineRule="atLeast"/>
              <w:rPr>
                <w:rFonts w:ascii="宋体" w:cs="宋体"/>
                <w:kern w:val="0"/>
                <w:sz w:val="22"/>
                <w:szCs w:val="22"/>
                <w:lang w:val="zh-CN"/>
              </w:rPr>
            </w:pPr>
            <w:r>
              <w:rPr>
                <w:rFonts w:hint="eastAsia" w:ascii="宋体" w:cs="宋体"/>
                <w:color w:val="000000"/>
                <w:kern w:val="0"/>
                <w:sz w:val="24"/>
                <w:lang w:val="zh-CN"/>
              </w:rPr>
              <w:t>最高得分</w:t>
            </w:r>
          </w:p>
        </w:tc>
      </w:tr>
      <w:tr>
        <w:tblPrEx>
          <w:tblCellMar>
            <w:top w:w="0" w:type="dxa"/>
            <w:left w:w="108" w:type="dxa"/>
            <w:bottom w:w="0" w:type="dxa"/>
            <w:right w:w="108" w:type="dxa"/>
          </w:tblCellMar>
        </w:tblPrEx>
        <w:trPr>
          <w:trHeight w:val="644" w:hRule="atLeast"/>
          <w:jc w:val="center"/>
        </w:trPr>
        <w:tc>
          <w:tcPr>
            <w:tcW w:w="813" w:type="dxa"/>
            <w:tcBorders>
              <w:top w:val="single" w:color="000000" w:sz="2" w:space="0"/>
              <w:left w:val="single" w:color="000000" w:sz="2" w:space="0"/>
              <w:bottom w:val="single" w:color="000000" w:sz="2" w:space="0"/>
              <w:right w:val="single" w:color="000000" w:sz="2" w:space="0"/>
            </w:tcBorders>
            <w:vAlign w:val="center"/>
          </w:tcPr>
          <w:p>
            <w:pPr>
              <w:autoSpaceDE w:val="0"/>
              <w:autoSpaceDN w:val="0"/>
              <w:spacing w:line="560" w:lineRule="atLeast"/>
              <w:rPr>
                <w:rFonts w:ascii="宋体" w:cs="宋体"/>
                <w:kern w:val="0"/>
                <w:sz w:val="22"/>
                <w:szCs w:val="22"/>
                <w:lang w:val="zh-CN"/>
              </w:rPr>
            </w:pPr>
            <w:r>
              <w:rPr>
                <w:rFonts w:ascii="宋体" w:cs="宋体"/>
                <w:color w:val="000000"/>
                <w:kern w:val="0"/>
                <w:sz w:val="24"/>
                <w:lang w:val="zh-CN"/>
              </w:rPr>
              <w:t>1</w:t>
            </w:r>
          </w:p>
        </w:tc>
        <w:tc>
          <w:tcPr>
            <w:tcW w:w="1741" w:type="dxa"/>
            <w:tcBorders>
              <w:top w:val="single" w:color="000000" w:sz="2" w:space="0"/>
              <w:left w:val="single" w:color="000000" w:sz="2" w:space="0"/>
              <w:bottom w:val="single" w:color="000000" w:sz="2" w:space="0"/>
              <w:right w:val="single" w:color="000000" w:sz="2" w:space="0"/>
            </w:tcBorders>
            <w:vAlign w:val="center"/>
          </w:tcPr>
          <w:p>
            <w:pPr>
              <w:snapToGrid w:val="0"/>
              <w:spacing w:line="560" w:lineRule="exact"/>
              <w:rPr>
                <w:rFonts w:ascii="宋体" w:cs="宋体"/>
                <w:kern w:val="0"/>
                <w:sz w:val="22"/>
                <w:szCs w:val="22"/>
                <w:lang w:val="zh-CN"/>
              </w:rPr>
            </w:pPr>
            <w:r>
              <w:rPr>
                <w:rFonts w:hint="eastAsia" w:ascii="宋体" w:hAnsi="宋体" w:cs="宋体"/>
                <w:sz w:val="24"/>
              </w:rPr>
              <w:t>针对本项目的整体理解</w:t>
            </w:r>
          </w:p>
        </w:tc>
        <w:tc>
          <w:tcPr>
            <w:tcW w:w="5218" w:type="dxa"/>
            <w:tcBorders>
              <w:top w:val="single" w:color="000000" w:sz="2" w:space="0"/>
              <w:left w:val="single" w:color="000000" w:sz="2" w:space="0"/>
              <w:bottom w:val="single" w:color="000000" w:sz="2" w:space="0"/>
              <w:right w:val="single" w:color="000000" w:sz="2" w:space="0"/>
            </w:tcBorders>
            <w:vAlign w:val="center"/>
          </w:tcPr>
          <w:p>
            <w:pPr>
              <w:numPr>
                <w:ilvl w:val="0"/>
                <w:numId w:val="3"/>
              </w:numPr>
              <w:snapToGrid w:val="0"/>
              <w:spacing w:line="560" w:lineRule="exact"/>
              <w:rPr>
                <w:rFonts w:ascii="宋体" w:hAnsi="宋体" w:cs="宋体"/>
                <w:sz w:val="24"/>
              </w:rPr>
            </w:pPr>
            <w:r>
              <w:rPr>
                <w:rFonts w:hint="eastAsia" w:ascii="宋体" w:hAnsi="宋体" w:cs="宋体"/>
                <w:sz w:val="24"/>
              </w:rPr>
              <w:t>投标人对</w:t>
            </w:r>
            <w:r>
              <w:rPr>
                <w:rFonts w:hint="eastAsia" w:ascii="宋体" w:hAnsi="宋体" w:cs="宋体"/>
                <w:sz w:val="24"/>
                <w:lang w:val="en-US" w:eastAsia="zh-CN"/>
              </w:rPr>
              <w:t>项目的</w:t>
            </w:r>
            <w:r>
              <w:rPr>
                <w:rFonts w:hint="eastAsia" w:ascii="宋体" w:hAnsi="宋体" w:cs="宋体"/>
                <w:sz w:val="24"/>
              </w:rPr>
              <w:t>熟悉及了解程度 0-5分：</w:t>
            </w:r>
          </w:p>
          <w:p>
            <w:pPr>
              <w:snapToGrid w:val="0"/>
              <w:spacing w:line="560" w:lineRule="exact"/>
              <w:rPr>
                <w:rFonts w:ascii="宋体" w:hAnsi="宋体" w:cs="宋体"/>
                <w:sz w:val="24"/>
              </w:rPr>
            </w:pPr>
            <w:r>
              <w:rPr>
                <w:rFonts w:hint="eastAsia" w:ascii="宋体" w:hAnsi="宋体" w:cs="宋体"/>
                <w:color w:val="000000"/>
                <w:sz w:val="24"/>
              </w:rPr>
              <w:t>分析全面、准确5分；分析基本合理3分；分析欠全面合理1分；没有不得分。</w:t>
            </w:r>
          </w:p>
          <w:p>
            <w:pPr>
              <w:numPr>
                <w:ilvl w:val="0"/>
                <w:numId w:val="3"/>
              </w:numPr>
              <w:snapToGrid w:val="0"/>
              <w:spacing w:line="560" w:lineRule="exact"/>
              <w:rPr>
                <w:rFonts w:ascii="宋体" w:cs="宋体"/>
                <w:kern w:val="0"/>
                <w:sz w:val="22"/>
                <w:szCs w:val="22"/>
                <w:lang w:val="zh-CN"/>
              </w:rPr>
            </w:pPr>
            <w:r>
              <w:rPr>
                <w:rFonts w:hint="eastAsia" w:ascii="宋体" w:hAnsi="宋体" w:cs="宋体"/>
                <w:sz w:val="24"/>
              </w:rPr>
              <w:t>对本项目</w:t>
            </w:r>
            <w:r>
              <w:rPr>
                <w:rFonts w:hint="eastAsia" w:ascii="宋体" w:hAnsi="宋体" w:cs="宋体"/>
                <w:sz w:val="24"/>
                <w:lang w:val="en-US" w:eastAsia="zh-CN"/>
              </w:rPr>
              <w:t>重点的把握以及</w:t>
            </w:r>
            <w:r>
              <w:rPr>
                <w:rFonts w:hint="eastAsia" w:ascii="宋体" w:hAnsi="宋体" w:cs="宋体"/>
                <w:sz w:val="24"/>
              </w:rPr>
              <w:t>难点突出分析</w:t>
            </w:r>
            <w:r>
              <w:rPr>
                <w:rFonts w:hint="eastAsia" w:ascii="宋体" w:hAnsi="宋体" w:cs="宋体"/>
                <w:sz w:val="24"/>
                <w:lang w:val="en-US" w:eastAsia="zh-CN"/>
              </w:rPr>
              <w:t>及解决方案</w:t>
            </w:r>
            <w:r>
              <w:rPr>
                <w:rFonts w:hint="eastAsia" w:ascii="宋体" w:hAnsi="宋体" w:cs="宋体"/>
                <w:sz w:val="24"/>
              </w:rPr>
              <w:t>0-5分：</w:t>
            </w:r>
            <w:r>
              <w:rPr>
                <w:rFonts w:hint="eastAsia" w:ascii="宋体" w:hAnsi="宋体" w:cs="宋体"/>
                <w:color w:val="000000"/>
                <w:sz w:val="24"/>
              </w:rPr>
              <w:t>分析全面、准确5分；分析基本合理3分；分析欠全面合理1分；没有不得分</w:t>
            </w:r>
            <w:r>
              <w:rPr>
                <w:rFonts w:ascii="宋体" w:hAnsi="宋体" w:cs="宋体"/>
                <w:color w:val="000000"/>
                <w:sz w:val="24"/>
              </w:rPr>
              <w:t>。</w:t>
            </w:r>
          </w:p>
        </w:tc>
        <w:tc>
          <w:tcPr>
            <w:tcW w:w="1423" w:type="dxa"/>
            <w:tcBorders>
              <w:top w:val="single" w:color="000000" w:sz="2" w:space="0"/>
              <w:left w:val="single" w:color="000000" w:sz="2" w:space="0"/>
              <w:bottom w:val="single" w:color="000000" w:sz="2" w:space="0"/>
              <w:right w:val="single" w:color="000000" w:sz="2" w:space="0"/>
            </w:tcBorders>
            <w:vAlign w:val="center"/>
          </w:tcPr>
          <w:p>
            <w:pPr>
              <w:autoSpaceDE w:val="0"/>
              <w:autoSpaceDN w:val="0"/>
              <w:spacing w:line="560" w:lineRule="atLeast"/>
              <w:rPr>
                <w:rFonts w:ascii="宋体" w:cs="宋体"/>
                <w:kern w:val="0"/>
                <w:sz w:val="22"/>
                <w:szCs w:val="22"/>
                <w:lang w:val="zh-CN"/>
              </w:rPr>
            </w:pPr>
            <w:r>
              <w:rPr>
                <w:rFonts w:ascii="宋体" w:cs="宋体"/>
                <w:kern w:val="0"/>
                <w:sz w:val="24"/>
                <w:lang w:val="zh-CN"/>
              </w:rPr>
              <w:t>0-10</w:t>
            </w:r>
            <w:r>
              <w:rPr>
                <w:rFonts w:hint="eastAsia" w:ascii="宋体" w:cs="宋体"/>
                <w:kern w:val="0"/>
                <w:sz w:val="24"/>
                <w:lang w:val="zh-CN"/>
              </w:rPr>
              <w:t>分</w:t>
            </w:r>
          </w:p>
        </w:tc>
      </w:tr>
      <w:tr>
        <w:tblPrEx>
          <w:tblCellMar>
            <w:top w:w="0" w:type="dxa"/>
            <w:left w:w="108" w:type="dxa"/>
            <w:bottom w:w="0" w:type="dxa"/>
            <w:right w:w="108" w:type="dxa"/>
          </w:tblCellMar>
        </w:tblPrEx>
        <w:trPr>
          <w:trHeight w:val="644" w:hRule="atLeast"/>
          <w:jc w:val="center"/>
        </w:trPr>
        <w:tc>
          <w:tcPr>
            <w:tcW w:w="813" w:type="dxa"/>
            <w:tcBorders>
              <w:top w:val="single" w:color="000000" w:sz="2" w:space="0"/>
              <w:left w:val="single" w:color="000000" w:sz="2" w:space="0"/>
              <w:bottom w:val="single" w:color="000000" w:sz="2" w:space="0"/>
              <w:right w:val="single" w:color="000000" w:sz="2" w:space="0"/>
            </w:tcBorders>
            <w:vAlign w:val="center"/>
          </w:tcPr>
          <w:p>
            <w:pPr>
              <w:autoSpaceDE w:val="0"/>
              <w:autoSpaceDN w:val="0"/>
              <w:spacing w:line="560" w:lineRule="atLeast"/>
              <w:rPr>
                <w:rFonts w:ascii="宋体" w:cs="宋体"/>
                <w:kern w:val="0"/>
                <w:sz w:val="22"/>
                <w:szCs w:val="22"/>
                <w:lang w:val="zh-CN"/>
              </w:rPr>
            </w:pPr>
            <w:r>
              <w:rPr>
                <w:rFonts w:ascii="宋体" w:cs="宋体"/>
                <w:color w:val="000000"/>
                <w:kern w:val="0"/>
                <w:sz w:val="24"/>
                <w:lang w:val="zh-CN"/>
              </w:rPr>
              <w:t>2</w:t>
            </w:r>
          </w:p>
        </w:tc>
        <w:tc>
          <w:tcPr>
            <w:tcW w:w="1741" w:type="dxa"/>
            <w:tcBorders>
              <w:top w:val="single" w:color="000000" w:sz="2" w:space="0"/>
              <w:left w:val="single" w:color="000000" w:sz="2" w:space="0"/>
              <w:bottom w:val="single" w:color="000000" w:sz="2" w:space="0"/>
              <w:right w:val="single" w:color="000000" w:sz="2" w:space="0"/>
            </w:tcBorders>
            <w:vAlign w:val="center"/>
          </w:tcPr>
          <w:p>
            <w:pPr>
              <w:autoSpaceDE w:val="0"/>
              <w:autoSpaceDN w:val="0"/>
              <w:spacing w:line="560" w:lineRule="atLeast"/>
              <w:rPr>
                <w:rFonts w:ascii="宋体" w:cs="宋体"/>
                <w:kern w:val="0"/>
                <w:sz w:val="22"/>
                <w:szCs w:val="22"/>
                <w:lang w:val="zh-CN"/>
              </w:rPr>
            </w:pPr>
            <w:r>
              <w:rPr>
                <w:rFonts w:hint="eastAsia" w:ascii="宋体" w:cs="宋体"/>
                <w:color w:val="000000"/>
                <w:kern w:val="0"/>
                <w:sz w:val="24"/>
                <w:lang w:val="zh-CN"/>
              </w:rPr>
              <w:t>总体</w:t>
            </w:r>
            <w:r>
              <w:rPr>
                <w:rFonts w:hint="eastAsia" w:ascii="宋体" w:cs="宋体"/>
                <w:color w:val="000000"/>
                <w:kern w:val="0"/>
                <w:sz w:val="24"/>
                <w:lang w:val="en-US" w:eastAsia="zh-CN"/>
              </w:rPr>
              <w:t>运维</w:t>
            </w:r>
            <w:r>
              <w:rPr>
                <w:rFonts w:hint="eastAsia" w:ascii="宋体" w:cs="宋体"/>
                <w:color w:val="000000"/>
                <w:kern w:val="0"/>
                <w:sz w:val="24"/>
                <w:lang w:val="zh-CN"/>
              </w:rPr>
              <w:t>方案</w:t>
            </w:r>
          </w:p>
        </w:tc>
        <w:tc>
          <w:tcPr>
            <w:tcW w:w="5218" w:type="dxa"/>
            <w:tcBorders>
              <w:top w:val="single" w:color="000000" w:sz="2" w:space="0"/>
              <w:left w:val="single" w:color="000000" w:sz="2" w:space="0"/>
              <w:bottom w:val="single" w:color="000000" w:sz="2" w:space="0"/>
              <w:right w:val="single" w:color="000000" w:sz="2" w:space="0"/>
            </w:tcBorders>
            <w:vAlign w:val="center"/>
          </w:tcPr>
          <w:p>
            <w:pPr>
              <w:numPr>
                <w:ilvl w:val="0"/>
                <w:numId w:val="4"/>
              </w:numPr>
              <w:snapToGrid w:val="0"/>
              <w:spacing w:line="560" w:lineRule="exact"/>
              <w:rPr>
                <w:rFonts w:hint="eastAsia" w:ascii="宋体" w:hAnsi="宋体" w:cs="宋体"/>
                <w:sz w:val="24"/>
              </w:rPr>
            </w:pPr>
            <w:r>
              <w:rPr>
                <w:rFonts w:hint="eastAsia" w:ascii="宋体" w:hAnsi="宋体" w:cs="宋体"/>
                <w:sz w:val="24"/>
              </w:rPr>
              <w:t>总体</w:t>
            </w:r>
            <w:r>
              <w:rPr>
                <w:rFonts w:hint="eastAsia" w:ascii="宋体" w:hAnsi="宋体" w:cs="宋体"/>
                <w:sz w:val="24"/>
                <w:lang w:val="en-US" w:eastAsia="zh-CN"/>
              </w:rPr>
              <w:t>运维</w:t>
            </w:r>
            <w:r>
              <w:rPr>
                <w:rFonts w:hint="eastAsia" w:ascii="宋体" w:hAnsi="宋体" w:cs="宋体"/>
                <w:sz w:val="24"/>
              </w:rPr>
              <w:t>服务方案0-5分：</w:t>
            </w:r>
          </w:p>
          <w:p>
            <w:pPr>
              <w:numPr>
                <w:ilvl w:val="0"/>
                <w:numId w:val="0"/>
              </w:numPr>
              <w:snapToGrid w:val="0"/>
              <w:spacing w:line="560" w:lineRule="exact"/>
              <w:ind w:firstLine="480" w:firstLineChars="200"/>
              <w:rPr>
                <w:rFonts w:ascii="宋体" w:hAnsi="宋体" w:cs="宋体"/>
                <w:sz w:val="24"/>
              </w:rPr>
            </w:pPr>
            <w:r>
              <w:rPr>
                <w:rFonts w:ascii="宋体" w:hAnsi="宋体" w:cs="宋体"/>
                <w:sz w:val="24"/>
              </w:rPr>
              <w:t>方案内容详实，逻辑缜密，具有针对性，可实施性强的得5分；方案内容较详实，基本能符合采购需要，针对性，可实施性一般的得3分；方案或明显存在缺陷的，得1分；未提供相关描述不得分。</w:t>
            </w:r>
          </w:p>
          <w:p>
            <w:pPr>
              <w:numPr>
                <w:ilvl w:val="0"/>
                <w:numId w:val="4"/>
              </w:numPr>
              <w:snapToGrid w:val="0"/>
              <w:spacing w:line="560" w:lineRule="exact"/>
              <w:ind w:left="0" w:leftChars="0" w:firstLine="0" w:firstLineChars="0"/>
              <w:rPr>
                <w:rFonts w:ascii="宋体" w:hAnsi="宋体" w:cs="宋体"/>
                <w:sz w:val="24"/>
              </w:rPr>
            </w:pPr>
            <w:r>
              <w:rPr>
                <w:rFonts w:hint="eastAsia" w:ascii="宋体" w:hAnsi="宋体" w:cs="宋体"/>
                <w:sz w:val="24"/>
              </w:rPr>
              <w:t>监测频次及数据传输方案</w:t>
            </w:r>
            <w:r>
              <w:rPr>
                <w:rFonts w:ascii="宋体" w:hAnsi="宋体" w:cs="宋体"/>
                <w:sz w:val="24"/>
              </w:rPr>
              <w:t>0-5</w:t>
            </w:r>
            <w:r>
              <w:rPr>
                <w:rFonts w:hint="eastAsia" w:ascii="宋体" w:hAnsi="宋体" w:cs="宋体"/>
                <w:sz w:val="24"/>
              </w:rPr>
              <w:t>分</w:t>
            </w:r>
            <w:r>
              <w:rPr>
                <w:rFonts w:ascii="宋体" w:hAnsi="宋体" w:cs="宋体"/>
                <w:sz w:val="24"/>
              </w:rPr>
              <w:t>：</w:t>
            </w:r>
          </w:p>
          <w:p>
            <w:pPr>
              <w:numPr>
                <w:ilvl w:val="0"/>
                <w:numId w:val="0"/>
              </w:numPr>
              <w:snapToGrid w:val="0"/>
              <w:spacing w:line="560" w:lineRule="exact"/>
              <w:ind w:leftChars="0" w:firstLine="480" w:firstLineChars="200"/>
              <w:rPr>
                <w:rFonts w:ascii="宋体" w:hAnsi="宋体" w:cs="宋体"/>
                <w:sz w:val="24"/>
              </w:rPr>
            </w:pPr>
            <w:r>
              <w:rPr>
                <w:rFonts w:ascii="宋体" w:hAnsi="宋体" w:cs="宋体"/>
                <w:sz w:val="24"/>
              </w:rPr>
              <w:t>方案内容详实，逻辑缜密，具有针对性，可实施性强的得5分；方案内容较详实，基本能符合采购需要，针对性，可实施性一般的得3分；方案或明显存在缺陷的，得1分；未提供相关描述不得分。</w:t>
            </w:r>
          </w:p>
          <w:p>
            <w:pPr>
              <w:snapToGrid w:val="0"/>
              <w:spacing w:line="560" w:lineRule="exact"/>
              <w:rPr>
                <w:rFonts w:hint="eastAsia" w:ascii="宋体" w:hAnsi="宋体" w:cs="宋体"/>
                <w:sz w:val="24"/>
              </w:rPr>
            </w:pPr>
            <w:r>
              <w:rPr>
                <w:rFonts w:ascii="宋体" w:hAnsi="宋体" w:cs="宋体"/>
                <w:sz w:val="24"/>
              </w:rPr>
              <w:t>3</w:t>
            </w:r>
            <w:r>
              <w:rPr>
                <w:rFonts w:hint="eastAsia" w:ascii="宋体" w:hAnsi="宋体" w:cs="宋体"/>
                <w:sz w:val="24"/>
              </w:rPr>
              <w:t>.国家区域站的日常运行维护方案0-</w:t>
            </w:r>
            <w:r>
              <w:rPr>
                <w:rFonts w:hint="eastAsia" w:ascii="宋体" w:hAnsi="宋体" w:cs="宋体"/>
                <w:sz w:val="24"/>
                <w:lang w:val="en-US" w:eastAsia="zh-CN"/>
              </w:rPr>
              <w:t>14</w:t>
            </w:r>
            <w:r>
              <w:rPr>
                <w:rFonts w:hint="eastAsia" w:ascii="宋体" w:hAnsi="宋体" w:cs="宋体"/>
                <w:sz w:val="24"/>
              </w:rPr>
              <w:t>分:</w:t>
            </w:r>
          </w:p>
          <w:p>
            <w:pPr>
              <w:pStyle w:val="17"/>
              <w:rPr>
                <w:rFonts w:hint="eastAsia" w:hAnsi="宋体" w:cs="宋体"/>
                <w:sz w:val="24"/>
                <w:lang w:val="en-US" w:eastAsia="zh-CN"/>
              </w:rPr>
            </w:pPr>
            <w:r>
              <w:rPr>
                <w:rFonts w:hint="eastAsia" w:hAnsi="宋体" w:cs="宋体"/>
                <w:sz w:val="24"/>
                <w:lang w:val="en-US" w:eastAsia="zh-CN"/>
              </w:rPr>
              <w:t>日工作方案0-2分</w:t>
            </w:r>
          </w:p>
          <w:p>
            <w:pPr>
              <w:pStyle w:val="17"/>
              <w:rPr>
                <w:rFonts w:hint="eastAsia" w:hAnsi="宋体" w:cs="宋体"/>
                <w:sz w:val="24"/>
                <w:lang w:val="en-US" w:eastAsia="zh-CN"/>
              </w:rPr>
            </w:pPr>
            <w:r>
              <w:rPr>
                <w:rFonts w:hint="default" w:hAnsi="宋体" w:cs="宋体"/>
                <w:sz w:val="24"/>
                <w:lang w:val="en-US" w:eastAsia="zh-CN"/>
              </w:rPr>
              <w:t>周工作</w:t>
            </w:r>
            <w:r>
              <w:rPr>
                <w:rFonts w:hint="eastAsia" w:hAnsi="宋体" w:cs="宋体"/>
                <w:sz w:val="24"/>
                <w:lang w:val="en-US" w:eastAsia="zh-CN"/>
              </w:rPr>
              <w:t>方案0-2分</w:t>
            </w:r>
          </w:p>
          <w:p>
            <w:pPr>
              <w:pStyle w:val="17"/>
              <w:rPr>
                <w:rFonts w:hint="eastAsia" w:hAnsi="宋体" w:cs="宋体"/>
                <w:sz w:val="24"/>
                <w:lang w:val="en-US" w:eastAsia="zh-CN"/>
              </w:rPr>
            </w:pPr>
            <w:r>
              <w:rPr>
                <w:rFonts w:hint="eastAsia" w:hAnsi="宋体" w:cs="宋体"/>
                <w:sz w:val="24"/>
                <w:lang w:val="en-US" w:eastAsia="zh-CN"/>
              </w:rPr>
              <w:t>月工作方案0-2分</w:t>
            </w:r>
          </w:p>
          <w:p>
            <w:pPr>
              <w:pStyle w:val="17"/>
              <w:rPr>
                <w:rFonts w:hint="eastAsia" w:hAnsi="宋体" w:cs="宋体"/>
                <w:sz w:val="24"/>
                <w:lang w:val="en-US" w:eastAsia="zh-CN"/>
              </w:rPr>
            </w:pPr>
            <w:r>
              <w:rPr>
                <w:rFonts w:hint="eastAsia" w:hAnsi="宋体" w:cs="宋体"/>
                <w:sz w:val="24"/>
                <w:lang w:val="en-US" w:eastAsia="zh-CN"/>
              </w:rPr>
              <w:t>两个月工作方案0-2分</w:t>
            </w:r>
          </w:p>
          <w:p>
            <w:pPr>
              <w:pStyle w:val="17"/>
              <w:rPr>
                <w:rFonts w:hint="eastAsia" w:hAnsi="宋体" w:cs="宋体"/>
                <w:sz w:val="24"/>
                <w:lang w:val="en-US" w:eastAsia="zh-CN"/>
              </w:rPr>
            </w:pPr>
            <w:r>
              <w:rPr>
                <w:rFonts w:hint="eastAsia" w:hAnsi="宋体" w:cs="宋体"/>
                <w:sz w:val="24"/>
                <w:lang w:val="en-US" w:eastAsia="zh-CN"/>
              </w:rPr>
              <w:t>季度工作方案0-2分</w:t>
            </w:r>
          </w:p>
          <w:p>
            <w:pPr>
              <w:pStyle w:val="17"/>
              <w:rPr>
                <w:rFonts w:hint="eastAsia" w:hAnsi="宋体" w:cs="宋体"/>
                <w:sz w:val="24"/>
                <w:lang w:val="en-US" w:eastAsia="zh-CN"/>
              </w:rPr>
            </w:pPr>
            <w:r>
              <w:rPr>
                <w:rFonts w:hint="eastAsia" w:hAnsi="宋体" w:cs="宋体"/>
                <w:sz w:val="24"/>
                <w:lang w:val="en-US" w:eastAsia="zh-CN"/>
              </w:rPr>
              <w:t>半年工作方案0-2分</w:t>
            </w:r>
          </w:p>
          <w:p>
            <w:pPr>
              <w:pStyle w:val="17"/>
              <w:rPr>
                <w:rFonts w:hint="eastAsia" w:hAnsi="宋体" w:cs="宋体"/>
                <w:sz w:val="24"/>
                <w:lang w:val="en-US" w:eastAsia="zh-CN"/>
              </w:rPr>
            </w:pPr>
            <w:r>
              <w:rPr>
                <w:rFonts w:hint="eastAsia" w:hAnsi="宋体" w:cs="宋体"/>
                <w:sz w:val="24"/>
                <w:lang w:val="en-US" w:eastAsia="zh-CN"/>
              </w:rPr>
              <w:t>年工作方案0-2分</w:t>
            </w:r>
          </w:p>
          <w:p>
            <w:pPr>
              <w:numPr>
                <w:ilvl w:val="0"/>
                <w:numId w:val="4"/>
              </w:numPr>
              <w:snapToGrid w:val="0"/>
              <w:spacing w:line="560" w:lineRule="exact"/>
              <w:ind w:left="0" w:leftChars="0" w:firstLine="0" w:firstLineChars="0"/>
              <w:rPr>
                <w:rFonts w:hint="eastAsia" w:ascii="宋体" w:hAnsi="宋体" w:cs="宋体"/>
                <w:sz w:val="24"/>
              </w:rPr>
            </w:pPr>
            <w:r>
              <w:rPr>
                <w:rFonts w:hint="eastAsia" w:ascii="宋体" w:hAnsi="宋体" w:cs="宋体"/>
                <w:sz w:val="24"/>
              </w:rPr>
              <w:t>国家区域站的日常质量管理方案0-5分:</w:t>
            </w:r>
          </w:p>
          <w:p>
            <w:pPr>
              <w:numPr>
                <w:ilvl w:val="0"/>
                <w:numId w:val="0"/>
              </w:numPr>
              <w:snapToGrid w:val="0"/>
              <w:spacing w:line="560" w:lineRule="exact"/>
              <w:ind w:leftChars="0" w:firstLine="480" w:firstLineChars="200"/>
              <w:rPr>
                <w:rFonts w:ascii="宋体" w:hAnsi="宋体" w:cs="宋体"/>
                <w:sz w:val="24"/>
              </w:rPr>
            </w:pPr>
            <w:r>
              <w:rPr>
                <w:rFonts w:ascii="宋体" w:hAnsi="宋体" w:cs="宋体"/>
                <w:sz w:val="24"/>
              </w:rPr>
              <w:t>方案内容详实，逻辑缜密，具有针对性，可实施性强的得5分；方案内容较详实，基本能符合采购需要，针对性，可实施性一般的得3分；方案或明显存在缺陷的，得1分；未提供相关描述不得分。</w:t>
            </w:r>
          </w:p>
          <w:p>
            <w:pPr>
              <w:numPr>
                <w:ilvl w:val="0"/>
                <w:numId w:val="4"/>
              </w:numPr>
              <w:snapToGrid w:val="0"/>
              <w:spacing w:line="560" w:lineRule="exact"/>
              <w:ind w:left="0" w:leftChars="0" w:firstLine="0" w:firstLineChars="0"/>
              <w:rPr>
                <w:rFonts w:hint="eastAsia" w:ascii="宋体" w:hAnsi="宋体" w:cs="宋体"/>
                <w:sz w:val="24"/>
              </w:rPr>
            </w:pPr>
            <w:r>
              <w:rPr>
                <w:rFonts w:hint="eastAsia" w:ascii="宋体" w:hAnsi="宋体" w:cs="宋体"/>
                <w:sz w:val="24"/>
              </w:rPr>
              <w:t>国家区域站的日常安全管理方案0-5分:</w:t>
            </w:r>
          </w:p>
          <w:p>
            <w:pPr>
              <w:numPr>
                <w:ilvl w:val="0"/>
                <w:numId w:val="0"/>
              </w:numPr>
              <w:snapToGrid w:val="0"/>
              <w:spacing w:line="560" w:lineRule="exact"/>
              <w:ind w:leftChars="0" w:firstLine="480" w:firstLineChars="200"/>
              <w:rPr>
                <w:rFonts w:ascii="宋体" w:hAnsi="宋体" w:cs="宋体"/>
                <w:sz w:val="24"/>
              </w:rPr>
            </w:pPr>
            <w:r>
              <w:rPr>
                <w:rFonts w:ascii="宋体" w:hAnsi="宋体" w:cs="宋体"/>
                <w:sz w:val="24"/>
              </w:rPr>
              <w:t>方案内容详实，逻辑缜密，具有针对性，可实施性强的得5分；方案内容较详实，基本能符合采购需要，针对性，可实施性一般的得3分；方案或明显存在缺陷的，得1分；未提供相关描述不得分。</w:t>
            </w:r>
          </w:p>
          <w:p>
            <w:pPr>
              <w:numPr>
                <w:ilvl w:val="0"/>
                <w:numId w:val="4"/>
              </w:numPr>
              <w:snapToGrid w:val="0"/>
              <w:spacing w:line="560" w:lineRule="exact"/>
              <w:ind w:left="0" w:leftChars="0" w:firstLine="0" w:firstLineChars="0"/>
              <w:rPr>
                <w:rFonts w:hint="eastAsia" w:ascii="宋体" w:hAnsi="宋体" w:cs="宋体"/>
                <w:sz w:val="24"/>
              </w:rPr>
            </w:pPr>
            <w:r>
              <w:rPr>
                <w:rFonts w:hint="eastAsia" w:ascii="宋体" w:hAnsi="宋体" w:cs="宋体"/>
                <w:sz w:val="24"/>
              </w:rPr>
              <w:t>国家区域站监测数据的日常审核、上报方案0-5分:</w:t>
            </w:r>
          </w:p>
          <w:p>
            <w:pPr>
              <w:numPr>
                <w:ilvl w:val="0"/>
                <w:numId w:val="0"/>
              </w:numPr>
              <w:snapToGrid w:val="0"/>
              <w:spacing w:line="560" w:lineRule="exact"/>
              <w:ind w:leftChars="0" w:firstLine="480" w:firstLineChars="200"/>
              <w:rPr>
                <w:rFonts w:ascii="宋体" w:hAnsi="宋体" w:cs="宋体"/>
                <w:sz w:val="24"/>
              </w:rPr>
            </w:pPr>
            <w:r>
              <w:rPr>
                <w:rFonts w:ascii="宋体" w:hAnsi="宋体" w:cs="宋体"/>
                <w:sz w:val="24"/>
              </w:rPr>
              <w:t>方案内容详实，逻辑缜密，具有针对性，可实施性强的得5分；方案内容较详实，基本能符合采购需要，针对性，可实施性一般的得3分；方案或明显存在缺陷的，得1分；未提供相关描述不得分。</w:t>
            </w:r>
          </w:p>
          <w:p>
            <w:pPr>
              <w:numPr>
                <w:ilvl w:val="0"/>
                <w:numId w:val="4"/>
              </w:numPr>
              <w:snapToGrid w:val="0"/>
              <w:spacing w:line="560" w:lineRule="exact"/>
              <w:ind w:left="0" w:leftChars="0" w:firstLine="0" w:firstLineChars="0"/>
              <w:rPr>
                <w:rFonts w:hint="eastAsia" w:ascii="宋体" w:hAnsi="宋体" w:cs="宋体"/>
                <w:sz w:val="24"/>
              </w:rPr>
            </w:pPr>
            <w:r>
              <w:rPr>
                <w:rFonts w:hint="eastAsia" w:ascii="宋体" w:hAnsi="宋体" w:cs="宋体"/>
                <w:sz w:val="24"/>
              </w:rPr>
              <w:t>国家区域站的设备维护保养及维修方案0-5分:</w:t>
            </w:r>
          </w:p>
          <w:p>
            <w:pPr>
              <w:numPr>
                <w:ilvl w:val="0"/>
                <w:numId w:val="0"/>
              </w:numPr>
              <w:snapToGrid w:val="0"/>
              <w:spacing w:line="560" w:lineRule="exact"/>
              <w:ind w:leftChars="0" w:firstLine="480" w:firstLineChars="200"/>
              <w:rPr>
                <w:rFonts w:ascii="宋体" w:hAnsi="宋体" w:cs="宋体"/>
                <w:sz w:val="24"/>
              </w:rPr>
            </w:pPr>
            <w:r>
              <w:rPr>
                <w:rFonts w:ascii="宋体" w:hAnsi="宋体" w:cs="宋体"/>
                <w:sz w:val="24"/>
              </w:rPr>
              <w:t>方案内容详实，逻辑缜密，具有针对性，可实施性强的得5分；方案内容较详实，基本能符合采购需要，针对性，可实施性一般的得3分；方案或明显存在缺陷的，得1分；未提供相关描述不得分。</w:t>
            </w:r>
          </w:p>
          <w:p>
            <w:pPr>
              <w:numPr>
                <w:ilvl w:val="0"/>
                <w:numId w:val="4"/>
              </w:numPr>
              <w:snapToGrid w:val="0"/>
              <w:spacing w:line="560" w:lineRule="exact"/>
              <w:ind w:left="0" w:leftChars="0" w:firstLine="0" w:firstLineChars="0"/>
              <w:rPr>
                <w:rFonts w:hint="eastAsia" w:ascii="宋体" w:hAnsi="宋体" w:cs="宋体"/>
                <w:sz w:val="24"/>
              </w:rPr>
            </w:pPr>
            <w:r>
              <w:rPr>
                <w:rFonts w:hint="eastAsia" w:ascii="宋体" w:hAnsi="宋体" w:cs="宋体"/>
                <w:sz w:val="24"/>
              </w:rPr>
              <w:t>其他国家区域站相关辅助设施的维护、保养、维修方案0-5分:</w:t>
            </w:r>
          </w:p>
          <w:p>
            <w:pPr>
              <w:numPr>
                <w:ilvl w:val="0"/>
                <w:numId w:val="0"/>
              </w:numPr>
              <w:snapToGrid w:val="0"/>
              <w:spacing w:line="560" w:lineRule="exact"/>
              <w:ind w:leftChars="0" w:firstLine="480" w:firstLineChars="200"/>
              <w:rPr>
                <w:rFonts w:ascii="宋体" w:hAnsi="宋体" w:cs="宋体"/>
                <w:sz w:val="24"/>
              </w:rPr>
            </w:pPr>
            <w:r>
              <w:rPr>
                <w:rFonts w:ascii="宋体" w:hAnsi="宋体" w:cs="宋体"/>
                <w:sz w:val="24"/>
              </w:rPr>
              <w:t>方案内容详实，逻辑缜密，具有针对性，可实施性强的得5分；方案内容较详实，基本能符合采购需要，针对性，可实施性一般的得3分；方案或明显存在缺陷的，得1分；未提供相关描述不得分。</w:t>
            </w:r>
          </w:p>
          <w:p>
            <w:pPr>
              <w:numPr>
                <w:ilvl w:val="0"/>
                <w:numId w:val="4"/>
              </w:numPr>
              <w:snapToGrid w:val="0"/>
              <w:spacing w:line="560" w:lineRule="exact"/>
              <w:ind w:left="0" w:leftChars="0" w:firstLine="0" w:firstLineChars="0"/>
              <w:rPr>
                <w:rFonts w:hint="eastAsia" w:ascii="宋体" w:hAnsi="宋体" w:cs="宋体"/>
                <w:sz w:val="24"/>
              </w:rPr>
            </w:pPr>
            <w:r>
              <w:rPr>
                <w:rFonts w:hint="eastAsia" w:ascii="宋体" w:hAnsi="宋体" w:cs="宋体"/>
                <w:sz w:val="24"/>
              </w:rPr>
              <w:t>国家区域站数据采集及传输系统的维护及维修</w:t>
            </w:r>
            <w:r>
              <w:rPr>
                <w:rFonts w:hint="eastAsia" w:ascii="宋体" w:hAnsi="宋体" w:cs="宋体"/>
                <w:sz w:val="24"/>
                <w:lang w:val="en-US" w:eastAsia="zh-CN"/>
              </w:rPr>
              <w:t>方案</w:t>
            </w:r>
            <w:r>
              <w:rPr>
                <w:rFonts w:hint="eastAsia" w:ascii="宋体" w:hAnsi="宋体" w:cs="宋体"/>
                <w:sz w:val="24"/>
              </w:rPr>
              <w:t>0-</w:t>
            </w:r>
            <w:r>
              <w:rPr>
                <w:rFonts w:ascii="宋体" w:hAnsi="宋体" w:cs="宋体"/>
                <w:sz w:val="24"/>
              </w:rPr>
              <w:t>4</w:t>
            </w:r>
            <w:r>
              <w:rPr>
                <w:rFonts w:hint="eastAsia" w:ascii="宋体" w:hAnsi="宋体" w:cs="宋体"/>
                <w:sz w:val="24"/>
              </w:rPr>
              <w:t>分:</w:t>
            </w:r>
          </w:p>
          <w:p>
            <w:pPr>
              <w:numPr>
                <w:ilvl w:val="0"/>
                <w:numId w:val="0"/>
              </w:numPr>
              <w:snapToGrid w:val="0"/>
              <w:spacing w:line="560" w:lineRule="exact"/>
              <w:ind w:leftChars="0" w:firstLine="480" w:firstLineChars="200"/>
              <w:rPr>
                <w:rFonts w:ascii="宋体" w:hAnsi="宋体" w:cs="宋体"/>
                <w:sz w:val="24"/>
              </w:rPr>
            </w:pPr>
            <w:r>
              <w:rPr>
                <w:rFonts w:ascii="宋体" w:hAnsi="宋体" w:cs="宋体"/>
                <w:sz w:val="24"/>
              </w:rPr>
              <w:t>方案内容详实，逻辑缜密，具有针对性，可实施性强的得4分；方案内容较详实，基本能符合采购需要，针对性，可实施性一般的得</w:t>
            </w:r>
            <w:r>
              <w:rPr>
                <w:rFonts w:hint="eastAsia" w:ascii="宋体" w:hAnsi="宋体" w:cs="宋体"/>
                <w:sz w:val="24"/>
                <w:lang w:val="en-US" w:eastAsia="zh-CN"/>
              </w:rPr>
              <w:t>2</w:t>
            </w:r>
            <w:r>
              <w:rPr>
                <w:rFonts w:ascii="宋体" w:hAnsi="宋体" w:cs="宋体"/>
                <w:sz w:val="24"/>
              </w:rPr>
              <w:t>分；方案或明显存在缺陷的，得1分；未提供相关描述不得分。</w:t>
            </w:r>
          </w:p>
          <w:p>
            <w:pPr>
              <w:numPr>
                <w:ilvl w:val="0"/>
                <w:numId w:val="4"/>
              </w:numPr>
              <w:snapToGrid w:val="0"/>
              <w:spacing w:line="560" w:lineRule="exact"/>
              <w:ind w:left="0" w:leftChars="0" w:firstLine="0" w:firstLineChars="0"/>
              <w:rPr>
                <w:rFonts w:hint="eastAsia" w:ascii="宋体" w:hAnsi="宋体" w:cs="宋体"/>
                <w:sz w:val="24"/>
              </w:rPr>
            </w:pPr>
            <w:r>
              <w:rPr>
                <w:rFonts w:hint="eastAsia" w:ascii="宋体" w:hAnsi="宋体" w:cs="宋体"/>
                <w:sz w:val="24"/>
              </w:rPr>
              <w:t>仪器出现故障</w:t>
            </w:r>
            <w:r>
              <w:rPr>
                <w:rFonts w:hint="eastAsia" w:ascii="宋体" w:hAnsi="宋体" w:cs="宋体"/>
                <w:sz w:val="24"/>
                <w:lang w:val="en-US" w:eastAsia="zh-CN"/>
              </w:rPr>
              <w:t>的修复及解决方案</w:t>
            </w:r>
            <w:r>
              <w:rPr>
                <w:rFonts w:hint="eastAsia" w:ascii="宋体" w:hAnsi="宋体" w:cs="宋体"/>
                <w:sz w:val="24"/>
              </w:rPr>
              <w:t>0-</w:t>
            </w:r>
            <w:r>
              <w:rPr>
                <w:rFonts w:ascii="宋体" w:hAnsi="宋体" w:cs="宋体"/>
                <w:sz w:val="24"/>
              </w:rPr>
              <w:t>4</w:t>
            </w:r>
            <w:r>
              <w:rPr>
                <w:rFonts w:hint="eastAsia" w:ascii="宋体" w:hAnsi="宋体" w:cs="宋体"/>
                <w:sz w:val="24"/>
              </w:rPr>
              <w:t>分:</w:t>
            </w:r>
          </w:p>
          <w:p>
            <w:pPr>
              <w:numPr>
                <w:ilvl w:val="0"/>
                <w:numId w:val="0"/>
              </w:numPr>
              <w:snapToGrid w:val="0"/>
              <w:spacing w:line="560" w:lineRule="exact"/>
              <w:ind w:leftChars="0" w:firstLine="480" w:firstLineChars="200"/>
              <w:rPr>
                <w:rFonts w:ascii="宋体" w:hAnsi="宋体" w:cs="宋体"/>
                <w:sz w:val="24"/>
              </w:rPr>
            </w:pPr>
            <w:r>
              <w:rPr>
                <w:rFonts w:ascii="宋体" w:hAnsi="宋体" w:cs="宋体"/>
                <w:sz w:val="24"/>
              </w:rPr>
              <w:t>方案内容详实，逻辑缜密，具有针对性，可实施性强的得4分；方案内容较详实，基本能符合采购需要，针对性，可实施性一般的得</w:t>
            </w:r>
            <w:r>
              <w:rPr>
                <w:rFonts w:hint="eastAsia" w:ascii="宋体" w:hAnsi="宋体" w:cs="宋体"/>
                <w:sz w:val="24"/>
                <w:lang w:val="en-US" w:eastAsia="zh-CN"/>
              </w:rPr>
              <w:t>2</w:t>
            </w:r>
            <w:r>
              <w:rPr>
                <w:rFonts w:ascii="宋体" w:hAnsi="宋体" w:cs="宋体"/>
                <w:sz w:val="24"/>
              </w:rPr>
              <w:t>分；方案或明显存在缺陷的，得1分；未提供相关描述不得分。</w:t>
            </w:r>
          </w:p>
          <w:p>
            <w:pPr>
              <w:numPr>
                <w:ilvl w:val="0"/>
                <w:numId w:val="4"/>
              </w:numPr>
              <w:snapToGrid w:val="0"/>
              <w:spacing w:line="560" w:lineRule="exact"/>
              <w:ind w:left="0" w:leftChars="0" w:firstLine="0" w:firstLineChars="0"/>
              <w:rPr>
                <w:rFonts w:hint="eastAsia" w:ascii="宋体" w:hAnsi="宋体" w:cs="宋体"/>
                <w:sz w:val="24"/>
              </w:rPr>
            </w:pPr>
            <w:r>
              <w:rPr>
                <w:rFonts w:hint="eastAsia" w:ascii="宋体" w:hAnsi="宋体" w:cs="宋体"/>
                <w:sz w:val="24"/>
              </w:rPr>
              <w:t>点位需要新增、撤销、变更</w:t>
            </w:r>
            <w:r>
              <w:rPr>
                <w:rFonts w:hint="eastAsia" w:ascii="宋体" w:hAnsi="宋体" w:cs="宋体"/>
                <w:sz w:val="24"/>
                <w:lang w:val="en-US" w:eastAsia="zh-CN"/>
              </w:rPr>
              <w:t>服务</w:t>
            </w:r>
            <w:r>
              <w:rPr>
                <w:rFonts w:hint="eastAsia" w:ascii="宋体" w:hAnsi="宋体" w:cs="宋体"/>
                <w:sz w:val="24"/>
              </w:rPr>
              <w:t>方案0-</w:t>
            </w:r>
            <w:r>
              <w:rPr>
                <w:rFonts w:ascii="宋体" w:hAnsi="宋体" w:cs="宋体"/>
                <w:sz w:val="24"/>
              </w:rPr>
              <w:t>4</w:t>
            </w:r>
            <w:r>
              <w:rPr>
                <w:rFonts w:hint="eastAsia" w:ascii="宋体" w:hAnsi="宋体" w:cs="宋体"/>
                <w:sz w:val="24"/>
              </w:rPr>
              <w:t>分:</w:t>
            </w:r>
          </w:p>
          <w:p>
            <w:pPr>
              <w:numPr>
                <w:ilvl w:val="0"/>
                <w:numId w:val="0"/>
              </w:numPr>
              <w:snapToGrid w:val="0"/>
              <w:spacing w:line="560" w:lineRule="exact"/>
              <w:ind w:leftChars="0" w:firstLine="480" w:firstLineChars="200"/>
              <w:rPr>
                <w:rFonts w:ascii="宋体" w:hAnsi="宋体" w:cs="宋体"/>
                <w:sz w:val="24"/>
              </w:rPr>
            </w:pPr>
            <w:r>
              <w:rPr>
                <w:rFonts w:ascii="宋体" w:hAnsi="宋体" w:cs="宋体"/>
                <w:sz w:val="24"/>
              </w:rPr>
              <w:t>方案内容详实，逻辑缜密，具有针对性，可实施性强的得4分；方案内容较详实，基本能符合采购需要，针对性，可实施性一般的得2分；方案或明显存在缺陷的，得1分；未提供相关描述不得分。</w:t>
            </w:r>
          </w:p>
          <w:p>
            <w:pPr>
              <w:numPr>
                <w:ilvl w:val="0"/>
                <w:numId w:val="4"/>
              </w:numPr>
              <w:snapToGrid w:val="0"/>
              <w:spacing w:line="560" w:lineRule="exact"/>
              <w:ind w:left="0" w:leftChars="0" w:firstLine="0" w:firstLineChars="0"/>
              <w:rPr>
                <w:rFonts w:hint="eastAsia" w:ascii="宋体" w:hAnsi="宋体" w:cs="宋体"/>
                <w:sz w:val="24"/>
              </w:rPr>
            </w:pPr>
            <w:r>
              <w:rPr>
                <w:rFonts w:hint="eastAsia" w:ascii="宋体" w:hAnsi="宋体" w:cs="宋体"/>
                <w:sz w:val="24"/>
              </w:rPr>
              <w:t>配合环保部或总站组织的手工监测比对及运维检查</w:t>
            </w:r>
            <w:r>
              <w:rPr>
                <w:rFonts w:hint="eastAsia" w:ascii="宋体" w:hAnsi="宋体" w:cs="宋体"/>
                <w:sz w:val="24"/>
                <w:lang w:val="en-US" w:eastAsia="zh-CN"/>
              </w:rPr>
              <w:t>服务</w:t>
            </w:r>
            <w:r>
              <w:rPr>
                <w:rFonts w:hint="eastAsia" w:ascii="宋体" w:hAnsi="宋体" w:cs="宋体"/>
                <w:sz w:val="24"/>
              </w:rPr>
              <w:t>方案0-4分:</w:t>
            </w:r>
          </w:p>
          <w:p>
            <w:pPr>
              <w:numPr>
                <w:ilvl w:val="0"/>
                <w:numId w:val="0"/>
              </w:numPr>
              <w:snapToGrid w:val="0"/>
              <w:spacing w:line="560" w:lineRule="exact"/>
              <w:ind w:leftChars="0" w:firstLine="480" w:firstLineChars="200"/>
              <w:rPr>
                <w:rFonts w:ascii="宋体" w:hAnsi="宋体" w:cs="宋体"/>
                <w:sz w:val="24"/>
              </w:rPr>
            </w:pPr>
            <w:r>
              <w:rPr>
                <w:rFonts w:ascii="宋体" w:hAnsi="宋体" w:cs="宋体"/>
                <w:sz w:val="24"/>
              </w:rPr>
              <w:t>方案内容详实，逻辑缜密，具有针对性，可实施性强的得</w:t>
            </w:r>
            <w:r>
              <w:rPr>
                <w:rFonts w:hint="eastAsia" w:ascii="宋体" w:hAnsi="宋体" w:cs="宋体"/>
                <w:sz w:val="24"/>
              </w:rPr>
              <w:t>4</w:t>
            </w:r>
            <w:r>
              <w:rPr>
                <w:rFonts w:ascii="宋体" w:hAnsi="宋体" w:cs="宋体"/>
                <w:sz w:val="24"/>
              </w:rPr>
              <w:t>分；方案内容较详实，基本能符合采购需要，针对性，可实施性一般的得</w:t>
            </w:r>
            <w:r>
              <w:rPr>
                <w:rFonts w:hint="eastAsia" w:ascii="宋体" w:hAnsi="宋体" w:cs="宋体"/>
                <w:sz w:val="24"/>
              </w:rPr>
              <w:t>2</w:t>
            </w:r>
            <w:r>
              <w:rPr>
                <w:rFonts w:ascii="宋体" w:hAnsi="宋体" w:cs="宋体"/>
                <w:sz w:val="24"/>
              </w:rPr>
              <w:t>分；方案或明显存在缺陷的，得1分；未提供相关描述不得分</w:t>
            </w:r>
          </w:p>
          <w:p>
            <w:pPr>
              <w:snapToGrid w:val="0"/>
              <w:spacing w:line="560" w:lineRule="exact"/>
              <w:rPr>
                <w:rFonts w:hint="eastAsia" w:ascii="宋体" w:hAnsi="宋体" w:cs="宋体"/>
                <w:sz w:val="24"/>
              </w:rPr>
            </w:pPr>
            <w:r>
              <w:rPr>
                <w:rFonts w:hint="eastAsia" w:ascii="宋体" w:hAnsi="宋体" w:cs="宋体"/>
                <w:sz w:val="24"/>
                <w:lang w:val="en-US" w:eastAsia="zh-CN"/>
              </w:rPr>
              <w:t>12.国家区域站维护档案服务方案：</w:t>
            </w:r>
            <w:r>
              <w:rPr>
                <w:rFonts w:hint="eastAsia" w:ascii="宋体" w:hAnsi="宋体" w:cs="宋体"/>
                <w:sz w:val="24"/>
              </w:rPr>
              <w:t>0-4分:</w:t>
            </w:r>
          </w:p>
          <w:p>
            <w:pPr>
              <w:snapToGrid w:val="0"/>
              <w:spacing w:line="560" w:lineRule="exact"/>
              <w:ind w:firstLine="480" w:firstLineChars="200"/>
              <w:rPr>
                <w:rFonts w:ascii="宋体" w:hAnsi="宋体" w:cs="宋体"/>
                <w:sz w:val="24"/>
                <w:lang w:val="zh-CN"/>
              </w:rPr>
            </w:pPr>
            <w:r>
              <w:rPr>
                <w:rFonts w:ascii="宋体" w:hAnsi="宋体" w:cs="宋体"/>
                <w:sz w:val="24"/>
              </w:rPr>
              <w:t>方案内容详实，逻辑缜密，具有针对性，可实施性强的得</w:t>
            </w:r>
            <w:r>
              <w:rPr>
                <w:rFonts w:hint="eastAsia" w:ascii="宋体" w:hAnsi="宋体" w:cs="宋体"/>
                <w:sz w:val="24"/>
              </w:rPr>
              <w:t>4</w:t>
            </w:r>
            <w:r>
              <w:rPr>
                <w:rFonts w:ascii="宋体" w:hAnsi="宋体" w:cs="宋体"/>
                <w:sz w:val="24"/>
              </w:rPr>
              <w:t>分；方案内容较详实，基本能符合采购需要，针对性，可实施性一般的得</w:t>
            </w:r>
            <w:r>
              <w:rPr>
                <w:rFonts w:hint="eastAsia" w:ascii="宋体" w:hAnsi="宋体" w:cs="宋体"/>
                <w:sz w:val="24"/>
              </w:rPr>
              <w:t>2</w:t>
            </w:r>
            <w:r>
              <w:rPr>
                <w:rFonts w:ascii="宋体" w:hAnsi="宋体" w:cs="宋体"/>
                <w:sz w:val="24"/>
              </w:rPr>
              <w:t>分；方案或明显存在缺陷的，得1分；未提供相关描述不得分。</w:t>
            </w:r>
          </w:p>
        </w:tc>
        <w:tc>
          <w:tcPr>
            <w:tcW w:w="1423" w:type="dxa"/>
            <w:tcBorders>
              <w:top w:val="single" w:color="000000" w:sz="2" w:space="0"/>
              <w:left w:val="single" w:color="000000" w:sz="2" w:space="0"/>
              <w:bottom w:val="single" w:color="000000" w:sz="2" w:space="0"/>
              <w:right w:val="single" w:color="000000" w:sz="2" w:space="0"/>
            </w:tcBorders>
            <w:vAlign w:val="center"/>
          </w:tcPr>
          <w:p>
            <w:pPr>
              <w:autoSpaceDE w:val="0"/>
              <w:autoSpaceDN w:val="0"/>
              <w:spacing w:line="560" w:lineRule="atLeast"/>
              <w:rPr>
                <w:rFonts w:ascii="宋体" w:cs="宋体"/>
                <w:kern w:val="0"/>
                <w:sz w:val="22"/>
                <w:szCs w:val="22"/>
                <w:lang w:val="zh-CN"/>
              </w:rPr>
            </w:pPr>
            <w:r>
              <w:rPr>
                <w:rFonts w:ascii="宋体" w:cs="宋体"/>
                <w:kern w:val="0"/>
                <w:sz w:val="24"/>
                <w:lang w:val="zh-CN"/>
              </w:rPr>
              <w:t>0-</w:t>
            </w:r>
            <w:r>
              <w:rPr>
                <w:rFonts w:ascii="宋体" w:cs="宋体"/>
                <w:kern w:val="0"/>
                <w:sz w:val="24"/>
              </w:rPr>
              <w:t>6</w:t>
            </w:r>
            <w:r>
              <w:rPr>
                <w:rFonts w:hint="eastAsia" w:ascii="宋体" w:cs="宋体"/>
                <w:kern w:val="0"/>
                <w:sz w:val="24"/>
                <w:lang w:val="en-US" w:eastAsia="zh-CN"/>
              </w:rPr>
              <w:t>9</w:t>
            </w:r>
            <w:r>
              <w:rPr>
                <w:rFonts w:hint="eastAsia" w:ascii="宋体" w:cs="宋体"/>
                <w:kern w:val="0"/>
                <w:sz w:val="24"/>
                <w:lang w:val="zh-CN"/>
              </w:rPr>
              <w:t>分</w:t>
            </w:r>
          </w:p>
        </w:tc>
      </w:tr>
      <w:tr>
        <w:tblPrEx>
          <w:tblCellMar>
            <w:top w:w="0" w:type="dxa"/>
            <w:left w:w="108" w:type="dxa"/>
            <w:bottom w:w="0" w:type="dxa"/>
            <w:right w:w="108" w:type="dxa"/>
          </w:tblCellMar>
        </w:tblPrEx>
        <w:trPr>
          <w:trHeight w:val="1200" w:hRule="atLeast"/>
          <w:jc w:val="center"/>
        </w:trPr>
        <w:tc>
          <w:tcPr>
            <w:tcW w:w="813" w:type="dxa"/>
            <w:tcBorders>
              <w:top w:val="single" w:color="000000" w:sz="2" w:space="0"/>
              <w:left w:val="single" w:color="000000" w:sz="2" w:space="0"/>
              <w:bottom w:val="single" w:color="000000" w:sz="2" w:space="0"/>
              <w:right w:val="single" w:color="000000" w:sz="2" w:space="0"/>
            </w:tcBorders>
            <w:vAlign w:val="center"/>
          </w:tcPr>
          <w:p>
            <w:pPr>
              <w:autoSpaceDE w:val="0"/>
              <w:autoSpaceDN w:val="0"/>
              <w:spacing w:line="560" w:lineRule="atLeast"/>
              <w:rPr>
                <w:rFonts w:hint="eastAsia" w:ascii="宋体" w:eastAsia="宋体" w:cs="宋体"/>
                <w:kern w:val="0"/>
                <w:sz w:val="22"/>
                <w:szCs w:val="22"/>
                <w:lang w:val="zh-CN" w:eastAsia="zh-CN"/>
              </w:rPr>
            </w:pPr>
            <w:r>
              <w:rPr>
                <w:rFonts w:hint="eastAsia" w:ascii="宋体" w:cs="宋体"/>
                <w:color w:val="000000"/>
                <w:kern w:val="0"/>
                <w:sz w:val="24"/>
                <w:lang w:val="en-US" w:eastAsia="zh-CN"/>
              </w:rPr>
              <w:t>3</w:t>
            </w:r>
          </w:p>
        </w:tc>
        <w:tc>
          <w:tcPr>
            <w:tcW w:w="1741" w:type="dxa"/>
            <w:tcBorders>
              <w:top w:val="single" w:color="000000" w:sz="2" w:space="0"/>
              <w:left w:val="single" w:color="000000" w:sz="2" w:space="0"/>
              <w:bottom w:val="single" w:color="000000" w:sz="2" w:space="0"/>
              <w:right w:val="single" w:color="000000" w:sz="2" w:space="0"/>
            </w:tcBorders>
            <w:vAlign w:val="center"/>
          </w:tcPr>
          <w:p>
            <w:pPr>
              <w:autoSpaceDE w:val="0"/>
              <w:autoSpaceDN w:val="0"/>
              <w:spacing w:line="560" w:lineRule="atLeast"/>
              <w:rPr>
                <w:rFonts w:ascii="宋体" w:cs="宋体"/>
                <w:kern w:val="0"/>
                <w:sz w:val="22"/>
                <w:szCs w:val="22"/>
                <w:lang w:val="zh-CN"/>
              </w:rPr>
            </w:pPr>
            <w:r>
              <w:rPr>
                <w:rFonts w:hint="eastAsia" w:ascii="宋体" w:cs="宋体"/>
                <w:color w:val="000000"/>
                <w:kern w:val="0"/>
                <w:sz w:val="24"/>
                <w:lang w:val="zh-CN"/>
              </w:rPr>
              <w:t>项目团队力量</w:t>
            </w:r>
            <w:r>
              <w:rPr>
                <w:rFonts w:hint="eastAsia" w:ascii="宋体" w:cs="宋体"/>
                <w:kern w:val="0"/>
                <w:sz w:val="24"/>
                <w:lang w:val="zh-CN"/>
              </w:rPr>
              <w:t>（提供人员近</w:t>
            </w:r>
            <w:r>
              <w:rPr>
                <w:rFonts w:ascii="宋体" w:cs="宋体"/>
                <w:kern w:val="0"/>
                <w:sz w:val="24"/>
                <w:lang w:val="zh-CN"/>
              </w:rPr>
              <w:t>3</w:t>
            </w:r>
            <w:r>
              <w:rPr>
                <w:rFonts w:hint="eastAsia" w:ascii="宋体" w:cs="宋体"/>
                <w:kern w:val="0"/>
                <w:sz w:val="24"/>
                <w:lang w:val="zh-CN"/>
              </w:rPr>
              <w:t>个月社保资料，不提供不得分）</w:t>
            </w:r>
          </w:p>
        </w:tc>
        <w:tc>
          <w:tcPr>
            <w:tcW w:w="5218" w:type="dxa"/>
            <w:tcBorders>
              <w:top w:val="single" w:color="000000" w:sz="2" w:space="0"/>
              <w:left w:val="single" w:color="000000" w:sz="2" w:space="0"/>
              <w:bottom w:val="single" w:color="000000" w:sz="2" w:space="0"/>
              <w:right w:val="single" w:color="000000" w:sz="2" w:space="0"/>
            </w:tcBorders>
            <w:vAlign w:val="center"/>
          </w:tcPr>
          <w:p>
            <w:pPr>
              <w:numPr>
                <w:ilvl w:val="0"/>
                <w:numId w:val="5"/>
              </w:numPr>
              <w:snapToGrid w:val="0"/>
              <w:spacing w:line="560" w:lineRule="exact"/>
              <w:rPr>
                <w:rFonts w:hint="default" w:ascii="宋体" w:hAnsi="宋体" w:cs="宋体"/>
                <w:sz w:val="24"/>
                <w:lang w:bidi="ar"/>
              </w:rPr>
            </w:pPr>
            <w:r>
              <w:rPr>
                <w:rFonts w:hint="eastAsia" w:ascii="宋体" w:hAnsi="宋体" w:cs="宋体"/>
                <w:sz w:val="24"/>
                <w:lang w:bidi="ar"/>
              </w:rPr>
              <w:t>项目负责人</w:t>
            </w:r>
            <w:r>
              <w:rPr>
                <w:rFonts w:hint="default" w:ascii="宋体" w:hAnsi="宋体" w:cs="宋体"/>
                <w:sz w:val="24"/>
                <w:lang w:bidi="ar"/>
              </w:rPr>
              <w:t>：</w:t>
            </w:r>
          </w:p>
          <w:p>
            <w:pPr>
              <w:numPr>
                <w:ilvl w:val="0"/>
                <w:numId w:val="6"/>
              </w:numPr>
              <w:snapToGrid w:val="0"/>
              <w:spacing w:line="560" w:lineRule="exact"/>
              <w:rPr>
                <w:rFonts w:hint="eastAsia" w:ascii="宋体" w:hAnsi="宋体" w:cs="宋体"/>
                <w:sz w:val="24"/>
                <w:lang w:bidi="ar"/>
              </w:rPr>
            </w:pPr>
            <w:r>
              <w:rPr>
                <w:rFonts w:hint="eastAsia" w:ascii="宋体" w:hAnsi="宋体" w:cs="宋体"/>
                <w:sz w:val="24"/>
                <w:lang w:bidi="ar"/>
              </w:rPr>
              <w:t>具有高级职称的，得2分，中级职称得1分（提供相关证明材料，并提供近三个月社保缴纳证明，不提供不得分。）</w:t>
            </w:r>
          </w:p>
          <w:p>
            <w:pPr>
              <w:numPr>
                <w:ilvl w:val="0"/>
                <w:numId w:val="0"/>
              </w:numPr>
              <w:snapToGrid w:val="0"/>
              <w:spacing w:line="560" w:lineRule="exact"/>
              <w:rPr>
                <w:rFonts w:hint="default" w:ascii="宋体" w:hAnsi="宋体" w:cs="宋体"/>
                <w:sz w:val="24"/>
                <w:lang w:bidi="ar"/>
              </w:rPr>
            </w:pPr>
            <w:r>
              <w:rPr>
                <w:rFonts w:hint="default" w:ascii="宋体" w:hAnsi="宋体" w:cs="宋体"/>
                <w:sz w:val="24"/>
                <w:lang w:bidi="ar"/>
              </w:rPr>
              <w:t>2）</w:t>
            </w:r>
            <w:r>
              <w:rPr>
                <w:rFonts w:hint="eastAsia" w:ascii="宋体" w:hAnsi="宋体" w:cs="宋体"/>
                <w:sz w:val="24"/>
                <w:lang w:val="en-US" w:eastAsia="zh-Hans" w:bidi="ar"/>
              </w:rPr>
              <w:t>类似</w:t>
            </w:r>
            <w:r>
              <w:rPr>
                <w:rFonts w:hint="eastAsia" w:ascii="宋体" w:hAnsi="宋体" w:cs="宋体"/>
                <w:sz w:val="24"/>
                <w:lang w:val="en-US" w:eastAsia="zh-CN" w:bidi="ar"/>
              </w:rPr>
              <w:t>项目</w:t>
            </w:r>
            <w:r>
              <w:rPr>
                <w:rFonts w:hint="eastAsia" w:ascii="宋体" w:hAnsi="宋体" w:cs="宋体"/>
                <w:sz w:val="24"/>
                <w:lang w:eastAsia="zh-Hans" w:bidi="ar"/>
              </w:rPr>
              <w:t>经验</w:t>
            </w:r>
            <w:r>
              <w:rPr>
                <w:rFonts w:hint="eastAsia" w:ascii="宋体" w:hAnsi="宋体" w:cs="宋体"/>
                <w:sz w:val="24"/>
                <w:lang w:val="en-US" w:eastAsia="zh-CN" w:bidi="ar"/>
              </w:rPr>
              <w:t>情况</w:t>
            </w:r>
            <w:r>
              <w:rPr>
                <w:rFonts w:hint="default" w:ascii="宋体" w:hAnsi="宋体" w:cs="宋体"/>
                <w:sz w:val="24"/>
                <w:lang w:eastAsia="zh-CN" w:bidi="ar"/>
              </w:rPr>
              <w:t>，</w:t>
            </w:r>
            <w:r>
              <w:rPr>
                <w:rFonts w:hint="eastAsia" w:ascii="宋体" w:hAnsi="宋体" w:cs="宋体"/>
                <w:sz w:val="24"/>
                <w:lang w:val="en-US" w:eastAsia="zh-Hans" w:bidi="ar"/>
              </w:rPr>
              <w:t>提供合同或甲方证明材料等</w:t>
            </w:r>
            <w:r>
              <w:rPr>
                <w:rFonts w:hint="default" w:ascii="宋体" w:hAnsi="宋体" w:cs="宋体"/>
                <w:sz w:val="24"/>
                <w:lang w:eastAsia="zh-Hans" w:bidi="ar"/>
              </w:rPr>
              <w:t>，</w:t>
            </w:r>
            <w:r>
              <w:rPr>
                <w:rFonts w:hint="eastAsia" w:ascii="宋体" w:hAnsi="宋体" w:cs="宋体"/>
                <w:sz w:val="24"/>
                <w:lang w:val="en-US" w:eastAsia="zh-Hans" w:bidi="ar"/>
              </w:rPr>
              <w:t>每提供一个得</w:t>
            </w:r>
            <w:r>
              <w:rPr>
                <w:rFonts w:hint="default" w:ascii="宋体" w:hAnsi="宋体" w:cs="宋体"/>
                <w:sz w:val="24"/>
                <w:lang w:eastAsia="zh-Hans" w:bidi="ar"/>
              </w:rPr>
              <w:t>1</w:t>
            </w:r>
            <w:r>
              <w:rPr>
                <w:rFonts w:hint="eastAsia" w:ascii="宋体" w:hAnsi="宋体" w:cs="宋体"/>
                <w:sz w:val="24"/>
                <w:lang w:val="en-US" w:eastAsia="zh-Hans" w:bidi="ar"/>
              </w:rPr>
              <w:t>分</w:t>
            </w:r>
            <w:r>
              <w:rPr>
                <w:rFonts w:hint="default" w:ascii="宋体" w:hAnsi="宋体" w:cs="宋体"/>
                <w:sz w:val="24"/>
                <w:lang w:eastAsia="zh-Hans" w:bidi="ar"/>
              </w:rPr>
              <w:t>，</w:t>
            </w:r>
            <w:r>
              <w:rPr>
                <w:rFonts w:hint="eastAsia" w:ascii="宋体" w:hAnsi="宋体" w:cs="宋体"/>
                <w:sz w:val="24"/>
                <w:lang w:val="en-US" w:eastAsia="zh-Hans" w:bidi="ar"/>
              </w:rPr>
              <w:t>最高</w:t>
            </w:r>
            <w:r>
              <w:rPr>
                <w:rFonts w:hint="default" w:ascii="宋体" w:hAnsi="宋体" w:cs="宋体"/>
                <w:sz w:val="24"/>
                <w:lang w:eastAsia="zh-Hans" w:bidi="ar"/>
              </w:rPr>
              <w:t>3</w:t>
            </w:r>
            <w:r>
              <w:rPr>
                <w:rFonts w:hint="eastAsia" w:ascii="宋体" w:hAnsi="宋体" w:cs="宋体"/>
                <w:sz w:val="24"/>
                <w:lang w:val="en-US" w:eastAsia="zh-Hans" w:bidi="ar"/>
              </w:rPr>
              <w:t>分</w:t>
            </w:r>
            <w:r>
              <w:rPr>
                <w:rFonts w:hint="default" w:ascii="宋体" w:hAnsi="宋体" w:cs="宋体"/>
                <w:sz w:val="24"/>
                <w:lang w:eastAsia="zh-Hans" w:bidi="ar"/>
              </w:rPr>
              <w:t>，</w:t>
            </w:r>
            <w:r>
              <w:rPr>
                <w:rFonts w:hint="eastAsia" w:ascii="宋体" w:hAnsi="宋体" w:cs="宋体"/>
                <w:sz w:val="24"/>
                <w:lang w:val="en-US" w:eastAsia="zh-Hans" w:bidi="ar"/>
              </w:rPr>
              <w:t>不提供不得分</w:t>
            </w:r>
            <w:r>
              <w:rPr>
                <w:rFonts w:hint="eastAsia" w:ascii="宋体" w:hAnsi="宋体" w:cs="宋体"/>
                <w:sz w:val="24"/>
                <w:lang w:val="en-US" w:eastAsia="zh-CN" w:bidi="ar"/>
              </w:rPr>
              <w:t>0-3分</w:t>
            </w:r>
          </w:p>
          <w:p>
            <w:pPr>
              <w:numPr>
                <w:ilvl w:val="0"/>
                <w:numId w:val="7"/>
              </w:numPr>
              <w:snapToGrid w:val="0"/>
              <w:spacing w:line="560" w:lineRule="exact"/>
              <w:rPr>
                <w:rFonts w:hint="eastAsia" w:ascii="宋体" w:hAnsi="宋体" w:cs="宋体"/>
                <w:sz w:val="24"/>
                <w:lang w:bidi="ar"/>
              </w:rPr>
            </w:pPr>
            <w:r>
              <w:rPr>
                <w:rFonts w:hint="eastAsia" w:ascii="宋体" w:hAnsi="宋体" w:cs="宋体"/>
                <w:sz w:val="24"/>
                <w:lang w:bidi="ar"/>
              </w:rPr>
              <w:t>服务团队</w:t>
            </w:r>
            <w:r>
              <w:rPr>
                <w:rFonts w:hint="eastAsia" w:ascii="宋体" w:hAnsi="宋体" w:cs="宋体"/>
                <w:sz w:val="24"/>
                <w:lang w:val="en-US" w:eastAsia="zh-CN" w:bidi="ar"/>
              </w:rPr>
              <w:t>人员（除项目负责人）：</w:t>
            </w:r>
          </w:p>
          <w:p>
            <w:pPr>
              <w:numPr>
                <w:ilvl w:val="0"/>
                <w:numId w:val="8"/>
              </w:numPr>
              <w:snapToGrid w:val="0"/>
              <w:spacing w:line="560" w:lineRule="exact"/>
              <w:rPr>
                <w:rFonts w:hint="eastAsia" w:ascii="宋体" w:hAnsi="宋体" w:cs="宋体"/>
                <w:sz w:val="24"/>
                <w:lang w:eastAsia="zh-Hans" w:bidi="ar"/>
              </w:rPr>
            </w:pPr>
            <w:r>
              <w:rPr>
                <w:rFonts w:hint="eastAsia" w:ascii="宋体" w:hAnsi="宋体" w:cs="宋体"/>
                <w:sz w:val="24"/>
                <w:lang w:eastAsia="zh-Hans" w:bidi="ar"/>
              </w:rPr>
              <w:t>具有</w:t>
            </w:r>
            <w:r>
              <w:rPr>
                <w:rFonts w:hint="eastAsia" w:ascii="宋体" w:hAnsi="宋体" w:cs="宋体"/>
                <w:sz w:val="24"/>
                <w:lang w:bidi="ar"/>
              </w:rPr>
              <w:t>中级职称</w:t>
            </w:r>
            <w:r>
              <w:rPr>
                <w:rFonts w:hint="eastAsia" w:ascii="宋体" w:hAnsi="宋体" w:cs="宋体"/>
                <w:sz w:val="24"/>
                <w:lang w:val="en-US" w:eastAsia="zh-CN" w:bidi="ar"/>
              </w:rPr>
              <w:t>以上的得1分</w:t>
            </w:r>
            <w:r>
              <w:rPr>
                <w:rFonts w:hint="eastAsia" w:ascii="宋体" w:hAnsi="宋体" w:cs="宋体"/>
                <w:sz w:val="24"/>
                <w:lang w:eastAsia="zh-Hans" w:bidi="ar"/>
              </w:rPr>
              <w:t>，</w:t>
            </w:r>
            <w:r>
              <w:rPr>
                <w:rFonts w:hint="eastAsia" w:ascii="宋体" w:hAnsi="宋体" w:cs="宋体"/>
                <w:sz w:val="24"/>
                <w:lang w:val="en-US" w:eastAsia="zh-CN" w:bidi="ar"/>
              </w:rPr>
              <w:t>最高</w:t>
            </w:r>
            <w:r>
              <w:rPr>
                <w:rFonts w:hint="eastAsia" w:ascii="宋体" w:hAnsi="宋体" w:cs="宋体"/>
                <w:sz w:val="24"/>
                <w:lang w:eastAsia="zh-Hans" w:bidi="ar"/>
              </w:rPr>
              <w:t>2分</w:t>
            </w:r>
            <w:r>
              <w:rPr>
                <w:rFonts w:hint="default" w:ascii="宋体" w:hAnsi="宋体" w:cs="宋体"/>
                <w:sz w:val="24"/>
                <w:lang w:eastAsia="zh-Hans" w:bidi="ar"/>
              </w:rPr>
              <w:t>，</w:t>
            </w:r>
            <w:r>
              <w:rPr>
                <w:rFonts w:hint="eastAsia" w:ascii="宋体" w:hAnsi="宋体" w:cs="宋体"/>
                <w:sz w:val="24"/>
                <w:lang w:val="en-US" w:eastAsia="zh-Hans" w:bidi="ar"/>
              </w:rPr>
              <w:t>提供证明材料</w:t>
            </w:r>
            <w:r>
              <w:rPr>
                <w:rFonts w:hint="default" w:ascii="宋体" w:hAnsi="宋体" w:cs="宋体"/>
                <w:sz w:val="24"/>
                <w:lang w:eastAsia="zh-Hans" w:bidi="ar"/>
              </w:rPr>
              <w:t>，</w:t>
            </w:r>
            <w:r>
              <w:rPr>
                <w:rFonts w:hint="eastAsia" w:ascii="宋体" w:hAnsi="宋体" w:cs="宋体"/>
                <w:sz w:val="24"/>
                <w:lang w:val="en-US" w:eastAsia="zh-Hans" w:bidi="ar"/>
              </w:rPr>
              <w:t>不提供不得分</w:t>
            </w:r>
            <w:r>
              <w:rPr>
                <w:rFonts w:hint="default" w:ascii="宋体" w:hAnsi="宋体" w:cs="宋体"/>
                <w:sz w:val="24"/>
                <w:lang w:eastAsia="zh-Hans" w:bidi="ar"/>
              </w:rPr>
              <w:t>。</w:t>
            </w:r>
          </w:p>
          <w:p>
            <w:pPr>
              <w:snapToGrid w:val="0"/>
              <w:spacing w:line="480" w:lineRule="exact"/>
              <w:rPr>
                <w:rFonts w:ascii="宋体" w:cs="宋体"/>
                <w:kern w:val="0"/>
                <w:sz w:val="24"/>
                <w:lang w:val="zh-CN"/>
              </w:rPr>
            </w:pPr>
            <w:r>
              <w:rPr>
                <w:rFonts w:hint="default" w:ascii="宋体" w:hAnsi="宋体" w:cs="宋体"/>
                <w:sz w:val="24"/>
                <w:lang w:eastAsia="zh-Hans" w:bidi="ar"/>
              </w:rPr>
              <w:t>2）</w:t>
            </w:r>
            <w:r>
              <w:rPr>
                <w:rFonts w:hint="eastAsia" w:ascii="宋体" w:hAnsi="宋体" w:cs="宋体"/>
                <w:sz w:val="24"/>
                <w:lang w:val="en-US" w:eastAsia="zh-Hans" w:bidi="ar"/>
              </w:rPr>
              <w:t>类似</w:t>
            </w:r>
            <w:r>
              <w:rPr>
                <w:rFonts w:hint="eastAsia" w:ascii="宋体" w:hAnsi="宋体" w:cs="宋体"/>
                <w:sz w:val="24"/>
                <w:lang w:val="en-US" w:eastAsia="zh-CN" w:bidi="ar"/>
              </w:rPr>
              <w:t>项目</w:t>
            </w:r>
            <w:r>
              <w:rPr>
                <w:rFonts w:hint="eastAsia" w:ascii="宋体" w:hAnsi="宋体" w:cs="宋体"/>
                <w:sz w:val="24"/>
                <w:lang w:eastAsia="zh-Hans" w:bidi="ar"/>
              </w:rPr>
              <w:t>经验</w:t>
            </w:r>
            <w:r>
              <w:rPr>
                <w:rFonts w:hint="eastAsia" w:ascii="宋体" w:hAnsi="宋体" w:cs="宋体"/>
                <w:sz w:val="24"/>
                <w:lang w:val="en-US" w:eastAsia="zh-CN" w:bidi="ar"/>
              </w:rPr>
              <w:t>情况</w:t>
            </w:r>
            <w:r>
              <w:rPr>
                <w:rFonts w:hint="default" w:ascii="宋体" w:hAnsi="宋体" w:cs="宋体"/>
                <w:sz w:val="24"/>
                <w:lang w:eastAsia="zh-CN" w:bidi="ar"/>
              </w:rPr>
              <w:t>，</w:t>
            </w:r>
            <w:r>
              <w:rPr>
                <w:rFonts w:hint="eastAsia" w:ascii="宋体" w:hAnsi="宋体" w:cs="宋体"/>
                <w:sz w:val="24"/>
                <w:lang w:val="en-US" w:eastAsia="zh-Hans" w:bidi="ar"/>
              </w:rPr>
              <w:t>提供合同或甲方证明材料等</w:t>
            </w:r>
            <w:r>
              <w:rPr>
                <w:rFonts w:hint="default" w:ascii="宋体" w:hAnsi="宋体" w:cs="宋体"/>
                <w:sz w:val="24"/>
                <w:lang w:eastAsia="zh-Hans" w:bidi="ar"/>
              </w:rPr>
              <w:t>，</w:t>
            </w:r>
            <w:r>
              <w:rPr>
                <w:rFonts w:hint="eastAsia" w:ascii="宋体" w:hAnsi="宋体" w:cs="宋体"/>
                <w:sz w:val="24"/>
                <w:lang w:val="en-US" w:eastAsia="zh-Hans" w:bidi="ar"/>
              </w:rPr>
              <w:t>每提供一个得</w:t>
            </w:r>
            <w:r>
              <w:rPr>
                <w:rFonts w:hint="default" w:ascii="宋体" w:hAnsi="宋体" w:cs="宋体"/>
                <w:sz w:val="24"/>
                <w:lang w:eastAsia="zh-Hans" w:bidi="ar"/>
              </w:rPr>
              <w:t>1</w:t>
            </w:r>
            <w:r>
              <w:rPr>
                <w:rFonts w:hint="eastAsia" w:ascii="宋体" w:hAnsi="宋体" w:cs="宋体"/>
                <w:sz w:val="24"/>
                <w:lang w:val="en-US" w:eastAsia="zh-Hans" w:bidi="ar"/>
              </w:rPr>
              <w:t>分</w:t>
            </w:r>
            <w:r>
              <w:rPr>
                <w:rFonts w:hint="default" w:ascii="宋体" w:hAnsi="宋体" w:cs="宋体"/>
                <w:sz w:val="24"/>
                <w:lang w:eastAsia="zh-Hans" w:bidi="ar"/>
              </w:rPr>
              <w:t>，</w:t>
            </w:r>
            <w:r>
              <w:rPr>
                <w:rFonts w:hint="eastAsia" w:ascii="宋体" w:hAnsi="宋体" w:cs="宋体"/>
                <w:sz w:val="24"/>
                <w:lang w:val="en-US" w:eastAsia="zh-Hans" w:bidi="ar"/>
              </w:rPr>
              <w:t>最高</w:t>
            </w:r>
            <w:r>
              <w:rPr>
                <w:rFonts w:hint="default" w:ascii="宋体" w:hAnsi="宋体" w:cs="宋体"/>
                <w:sz w:val="24"/>
                <w:lang w:eastAsia="zh-Hans" w:bidi="ar"/>
              </w:rPr>
              <w:t>3</w:t>
            </w:r>
            <w:r>
              <w:rPr>
                <w:rFonts w:hint="eastAsia" w:ascii="宋体" w:hAnsi="宋体" w:cs="宋体"/>
                <w:sz w:val="24"/>
                <w:lang w:val="en-US" w:eastAsia="zh-Hans" w:bidi="ar"/>
              </w:rPr>
              <w:t>分</w:t>
            </w:r>
            <w:r>
              <w:rPr>
                <w:rFonts w:hint="default" w:ascii="宋体" w:hAnsi="宋体" w:cs="宋体"/>
                <w:sz w:val="24"/>
                <w:lang w:eastAsia="zh-Hans" w:bidi="ar"/>
              </w:rPr>
              <w:t>，</w:t>
            </w:r>
            <w:r>
              <w:rPr>
                <w:rFonts w:hint="eastAsia" w:ascii="宋体" w:hAnsi="宋体" w:cs="宋体"/>
                <w:sz w:val="24"/>
                <w:lang w:val="en-US" w:eastAsia="zh-Hans" w:bidi="ar"/>
              </w:rPr>
              <w:t>不提供不得分</w:t>
            </w:r>
            <w:r>
              <w:rPr>
                <w:rFonts w:hint="eastAsia" w:ascii="宋体" w:hAnsi="宋体" w:cs="宋体"/>
                <w:sz w:val="24"/>
                <w:lang w:val="en-US" w:eastAsia="zh-CN" w:bidi="ar"/>
              </w:rPr>
              <w:t>0-3分</w:t>
            </w:r>
            <w:r>
              <w:rPr>
                <w:rFonts w:hint="eastAsia" w:ascii="宋体" w:hAnsi="宋体" w:cs="宋体"/>
                <w:sz w:val="24"/>
                <w:lang w:bidi="ar"/>
              </w:rPr>
              <w:t>；</w:t>
            </w:r>
          </w:p>
        </w:tc>
        <w:tc>
          <w:tcPr>
            <w:tcW w:w="1423" w:type="dxa"/>
            <w:tcBorders>
              <w:top w:val="single" w:color="000000" w:sz="2" w:space="0"/>
              <w:left w:val="single" w:color="000000" w:sz="2" w:space="0"/>
              <w:bottom w:val="single" w:color="000000" w:sz="2" w:space="0"/>
              <w:right w:val="single" w:color="000000" w:sz="2" w:space="0"/>
            </w:tcBorders>
            <w:vAlign w:val="center"/>
          </w:tcPr>
          <w:p>
            <w:pPr>
              <w:autoSpaceDE w:val="0"/>
              <w:autoSpaceDN w:val="0"/>
              <w:spacing w:line="560" w:lineRule="atLeast"/>
              <w:rPr>
                <w:rFonts w:ascii="宋体" w:cs="宋体"/>
                <w:kern w:val="0"/>
                <w:sz w:val="22"/>
                <w:szCs w:val="22"/>
                <w:lang w:val="zh-CN"/>
              </w:rPr>
            </w:pPr>
            <w:r>
              <w:rPr>
                <w:rFonts w:ascii="宋体" w:cs="宋体"/>
                <w:kern w:val="0"/>
                <w:sz w:val="24"/>
                <w:lang w:val="zh-CN"/>
              </w:rPr>
              <w:t>0-1</w:t>
            </w:r>
            <w:r>
              <w:rPr>
                <w:rFonts w:hint="eastAsia" w:ascii="宋体" w:cs="宋体"/>
                <w:kern w:val="0"/>
                <w:sz w:val="24"/>
                <w:lang w:val="en-US" w:eastAsia="zh-CN"/>
              </w:rPr>
              <w:t>0</w:t>
            </w:r>
            <w:r>
              <w:rPr>
                <w:rFonts w:hint="eastAsia" w:ascii="宋体" w:cs="宋体"/>
                <w:kern w:val="0"/>
                <w:sz w:val="24"/>
                <w:lang w:val="zh-CN"/>
              </w:rPr>
              <w:t>分</w:t>
            </w:r>
          </w:p>
        </w:tc>
      </w:tr>
    </w:tbl>
    <w:p>
      <w:pPr>
        <w:pStyle w:val="26"/>
        <w:rPr>
          <w:rFonts w:hAnsi="宋体" w:cs="宋体"/>
        </w:rPr>
      </w:pPr>
    </w:p>
    <w:p>
      <w:pPr>
        <w:pStyle w:val="2"/>
        <w:ind w:firstLine="420"/>
      </w:pPr>
    </w:p>
    <w:p>
      <w:pPr>
        <w:pStyle w:val="26"/>
        <w:rPr>
          <w:rFonts w:hAnsi="宋体" w:cs="宋体"/>
        </w:rPr>
        <w:sectPr>
          <w:pgSz w:w="11906" w:h="16838"/>
          <w:pgMar w:top="1276" w:right="1418" w:bottom="1247" w:left="1418" w:header="851" w:footer="992" w:gutter="0"/>
          <w:cols w:space="720" w:num="1"/>
          <w:titlePg/>
          <w:docGrid w:linePitch="312" w:charSpace="0"/>
        </w:sectPr>
      </w:pPr>
    </w:p>
    <w:p>
      <w:pPr>
        <w:spacing w:line="360" w:lineRule="auto"/>
        <w:outlineLvl w:val="1"/>
        <w:rPr>
          <w:rFonts w:ascii="宋体" w:hAnsi="宋体" w:cs="宋体"/>
          <w:b/>
          <w:sz w:val="36"/>
          <w:szCs w:val="36"/>
        </w:rPr>
      </w:pPr>
      <w:bookmarkStart w:id="422" w:name="_Toc7888"/>
      <w:r>
        <w:rPr>
          <w:rFonts w:hint="eastAsia" w:ascii="宋体" w:hAnsi="宋体" w:cs="宋体"/>
          <w:b/>
          <w:sz w:val="36"/>
          <w:szCs w:val="36"/>
        </w:rPr>
        <w:t>三、评标程序</w:t>
      </w:r>
      <w:bookmarkEnd w:id="422"/>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129"/>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pPr>
        <w:pStyle w:val="129"/>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129"/>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129"/>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129"/>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129"/>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129"/>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9"/>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委员会推荐得分最高的投标人为第一中标候选人、得分次高的投标人为第二中标候选人，并编写评标报告。得分相同的，按投标报价由低到高顺序排列。得分且投标报价相同的并列，投标文件满足招标文件全部实质性要求，且按照评审因素的量化指标评审得分最高的投标人为排名第一的中标候选人。评审因素的量化指标评审得分也相同的则抽签决定。</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129"/>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3"/>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有下列情况之一的，投标无效：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pacing w:line="360" w:lineRule="auto"/>
        <w:ind w:firstLine="480" w:firstLineChars="200"/>
        <w:rPr>
          <w:rFonts w:ascii="宋体" w:hAnsi="宋体" w:cs="宋体"/>
          <w:kern w:val="0"/>
          <w:sz w:val="24"/>
        </w:rPr>
      </w:pPr>
      <w:r>
        <w:rPr>
          <w:rFonts w:hint="eastAsia" w:ascii="宋体" w:hAnsi="宋体" w:cs="宋体"/>
          <w:kern w:val="0"/>
          <w:sz w:val="24"/>
        </w:rPr>
        <w:t>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480" w:firstLineChars="200"/>
        <w:rPr>
          <w:rFonts w:ascii="宋体" w:hAnsi="宋体" w:cs="宋体"/>
          <w:kern w:val="0"/>
          <w:sz w:val="24"/>
        </w:rPr>
      </w:pPr>
      <w:r>
        <w:rPr>
          <w:rFonts w:hint="eastAsia" w:ascii="宋体" w:hAnsi="宋体" w:cs="宋体"/>
          <w:kern w:val="0"/>
          <w:sz w:val="24"/>
        </w:rPr>
        <w:t>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4.2.12投标人仅提交备份投标文件，没有在电子交易平台传输递交投标文件的，投标无效；</w:t>
      </w:r>
    </w:p>
    <w:p>
      <w:pPr>
        <w:pStyle w:val="5"/>
        <w:ind w:left="862" w:leftChars="205"/>
        <w:rPr>
          <w:rFonts w:ascii="宋体" w:hAnsi="宋体" w:eastAsia="宋体" w:cs="宋体"/>
          <w:b w:val="0"/>
          <w:bCs w:val="0"/>
          <w:kern w:val="0"/>
          <w:sz w:val="24"/>
          <w:szCs w:val="24"/>
          <w:lang w:val="en-US"/>
        </w:rPr>
      </w:pPr>
      <w:bookmarkStart w:id="423" w:name="_Toc4159"/>
      <w:r>
        <w:rPr>
          <w:rFonts w:hint="eastAsia" w:ascii="宋体" w:hAnsi="宋体" w:eastAsia="宋体" w:cs="宋体"/>
          <w:b w:val="0"/>
          <w:bCs w:val="0"/>
          <w:kern w:val="0"/>
          <w:sz w:val="24"/>
          <w:szCs w:val="24"/>
          <w:lang w:val="en-US"/>
        </w:rPr>
        <w:t>4.2.13投标文件不满足招标文件的其它实质性要求的；</w:t>
      </w:r>
      <w:bookmarkEnd w:id="423"/>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4.2.14法律、法规、规章及省级以上规范性文件规定的其他无效情形。</w:t>
      </w:r>
    </w:p>
    <w:p>
      <w:pPr>
        <w:pStyle w:val="3"/>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pPr>
        <w:pStyle w:val="3"/>
        <w:snapToGrid w:val="0"/>
        <w:spacing w:line="360" w:lineRule="auto"/>
        <w:rPr>
          <w:rFonts w:cs="宋体"/>
        </w:rPr>
      </w:pPr>
      <w:r>
        <w:rPr>
          <w:rFonts w:hint="eastAsia" w:cs="宋体"/>
        </w:rPr>
        <w:t>5.1符合专业条件的供应商或者对招标文件作实质响应的供应商不足3家的；</w:t>
      </w:r>
    </w:p>
    <w:p>
      <w:pPr>
        <w:pStyle w:val="3"/>
        <w:snapToGrid w:val="0"/>
        <w:spacing w:line="360" w:lineRule="auto"/>
        <w:rPr>
          <w:rFonts w:cs="宋体"/>
        </w:rPr>
      </w:pPr>
      <w:r>
        <w:rPr>
          <w:rFonts w:hint="eastAsia" w:cs="宋体"/>
        </w:rPr>
        <w:t>5.2出现影响采购公正的违法、违规行为的；</w:t>
      </w:r>
    </w:p>
    <w:p>
      <w:pPr>
        <w:pStyle w:val="3"/>
        <w:snapToGrid w:val="0"/>
        <w:spacing w:line="360" w:lineRule="auto"/>
        <w:rPr>
          <w:rFonts w:cs="宋体"/>
        </w:rPr>
      </w:pPr>
      <w:r>
        <w:rPr>
          <w:rFonts w:hint="eastAsia" w:cs="宋体"/>
        </w:rPr>
        <w:t>5.3投标人的报价均超过了采购预算，采购人不能支付的；</w:t>
      </w:r>
    </w:p>
    <w:p>
      <w:pPr>
        <w:pStyle w:val="3"/>
        <w:snapToGrid w:val="0"/>
        <w:spacing w:line="360" w:lineRule="auto"/>
        <w:rPr>
          <w:rFonts w:cs="宋体"/>
        </w:rPr>
      </w:pPr>
      <w:r>
        <w:rPr>
          <w:rFonts w:hint="eastAsia" w:cs="宋体"/>
        </w:rPr>
        <w:t>5.4因重大变故，采购任务取消的。</w:t>
      </w:r>
    </w:p>
    <w:p>
      <w:pPr>
        <w:pStyle w:val="3"/>
        <w:snapToGrid w:val="0"/>
        <w:spacing w:line="360" w:lineRule="auto"/>
        <w:rPr>
          <w:rFonts w:cs="宋体"/>
        </w:rPr>
      </w:pPr>
      <w:r>
        <w:rPr>
          <w:rFonts w:hint="eastAsia" w:cs="宋体"/>
        </w:rPr>
        <w:t>废标后，采购机构应当将废标理由通知所有投标人。</w:t>
      </w:r>
    </w:p>
    <w:p>
      <w:pPr>
        <w:pStyle w:val="3"/>
        <w:snapToGrid w:val="0"/>
        <w:spacing w:line="360" w:lineRule="auto"/>
        <w:ind w:firstLine="482"/>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3"/>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有政府采购法第七十一条、第七十二条规定的违法行为之一，影响或者可能影响中标、成交结果的，依照下列规定处理：</w:t>
      </w:r>
    </w:p>
    <w:p>
      <w:pPr>
        <w:pStyle w:val="3"/>
        <w:snapToGrid w:val="0"/>
        <w:spacing w:line="360" w:lineRule="auto"/>
        <w:rPr>
          <w:rFonts w:cs="宋体"/>
        </w:rPr>
      </w:pPr>
      <w:r>
        <w:rPr>
          <w:rFonts w:hint="eastAsia" w:cs="宋体"/>
        </w:rPr>
        <w:t>7.1未确定中标或者中标人的，终止本次政府采购活动，重新开展政府采购活动。</w:t>
      </w:r>
    </w:p>
    <w:p>
      <w:pPr>
        <w:pStyle w:val="3"/>
        <w:snapToGrid w:val="0"/>
        <w:spacing w:line="360" w:lineRule="auto"/>
        <w:rPr>
          <w:rFonts w:cs="宋体"/>
        </w:rPr>
      </w:pPr>
      <w:r>
        <w:rPr>
          <w:rFonts w:hint="eastAsia" w:cs="宋体"/>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3"/>
        <w:snapToGrid w:val="0"/>
        <w:spacing w:line="360" w:lineRule="auto"/>
        <w:rPr>
          <w:rFonts w:cs="宋体"/>
        </w:rPr>
      </w:pPr>
      <w:r>
        <w:rPr>
          <w:rFonts w:hint="eastAsia" w:cs="宋体"/>
        </w:rPr>
        <w:t>7.3政府采购合同已签订但尚未履行的，撤销合同，从合格的中标或者成交候选人中另行确定中标或者中标人；没有合格的中标或者成交候选人的，重新开展政府采购活动。</w:t>
      </w:r>
    </w:p>
    <w:p>
      <w:pPr>
        <w:pStyle w:val="3"/>
        <w:snapToGrid w:val="0"/>
        <w:spacing w:line="360" w:lineRule="auto"/>
        <w:rPr>
          <w:rFonts w:cs="宋体"/>
        </w:rPr>
      </w:pPr>
      <w:r>
        <w:rPr>
          <w:rFonts w:hint="eastAsia" w:cs="宋体"/>
        </w:rPr>
        <w:t>7.4政府采购合同已经履行，给采购人、供应商造成损失的，由责任人承担赔偿责任。</w:t>
      </w:r>
    </w:p>
    <w:p>
      <w:pPr>
        <w:pStyle w:val="3"/>
        <w:snapToGrid w:val="0"/>
        <w:spacing w:line="360" w:lineRule="auto"/>
        <w:rPr>
          <w:rFonts w:cs="宋体"/>
        </w:rPr>
      </w:pPr>
      <w:r>
        <w:rPr>
          <w:rFonts w:hint="eastAsia" w:cs="宋体"/>
        </w:rPr>
        <w:t>7.5政府采购当事人有其他违反政府采购法</w:t>
      </w:r>
      <w:r>
        <w:rPr>
          <w:rFonts w:hint="eastAsia" w:cs="宋体"/>
          <w:kern w:val="0"/>
        </w:rPr>
        <w:t>或者政府采购法实施条例等法律法规规定</w:t>
      </w:r>
      <w:r>
        <w:rPr>
          <w:rFonts w:hint="eastAsia" w:cs="宋体"/>
        </w:rPr>
        <w:t>的行为，经改正后仍然影响或者可能影响中标、成交结果或者依法被认定为中标、成交无效的，依照7.1-7.4规定处理。</w:t>
      </w:r>
    </w:p>
    <w:p>
      <w:pPr>
        <w:pStyle w:val="3"/>
        <w:snapToGrid w:val="0"/>
        <w:spacing w:line="360" w:lineRule="auto"/>
        <w:ind w:firstLine="0" w:firstLineChars="0"/>
        <w:rPr>
          <w:rFonts w:cs="宋体"/>
        </w:rPr>
      </w:pPr>
    </w:p>
    <w:bookmarkEnd w:id="37"/>
    <w:p>
      <w:pPr>
        <w:spacing w:line="360" w:lineRule="auto"/>
        <w:ind w:left="720" w:leftChars="343" w:firstLine="1084" w:firstLineChars="300"/>
        <w:outlineLvl w:val="0"/>
        <w:rPr>
          <w:rFonts w:ascii="宋体" w:hAnsi="宋体" w:cs="宋体"/>
          <w:b/>
          <w:sz w:val="36"/>
          <w:szCs w:val="36"/>
        </w:rPr>
      </w:pPr>
      <w:bookmarkStart w:id="424" w:name="第五部分"/>
      <w:bookmarkStart w:id="425" w:name="_Toc86217003"/>
    </w:p>
    <w:p>
      <w:pPr>
        <w:rPr>
          <w:rFonts w:ascii="宋体" w:hAnsi="宋体" w:cs="宋体"/>
          <w:b/>
          <w:sz w:val="36"/>
          <w:szCs w:val="36"/>
        </w:rPr>
      </w:pPr>
      <w:r>
        <w:rPr>
          <w:rFonts w:hint="eastAsia" w:ascii="宋体" w:hAnsi="宋体" w:cs="宋体"/>
          <w:b/>
          <w:sz w:val="36"/>
          <w:szCs w:val="36"/>
        </w:rPr>
        <w:br w:type="page"/>
      </w:r>
    </w:p>
    <w:p>
      <w:pPr>
        <w:spacing w:line="360" w:lineRule="auto"/>
        <w:jc w:val="center"/>
        <w:outlineLvl w:val="0"/>
        <w:rPr>
          <w:rFonts w:ascii="宋体" w:hAnsi="宋体" w:cs="宋体"/>
          <w:b/>
          <w:sz w:val="36"/>
          <w:szCs w:val="36"/>
        </w:rPr>
      </w:pPr>
      <w:bookmarkStart w:id="426" w:name="_Toc22571"/>
      <w:r>
        <w:rPr>
          <w:rFonts w:hint="eastAsia" w:ascii="宋体" w:hAnsi="宋体" w:cs="宋体"/>
          <w:b/>
          <w:sz w:val="36"/>
          <w:szCs w:val="36"/>
        </w:rPr>
        <w:t>第五部分 拟签订的合同文本</w:t>
      </w:r>
      <w:bookmarkEnd w:id="426"/>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360" w:lineRule="auto"/>
        <w:ind w:firstLine="420"/>
        <w:rPr>
          <w:rFonts w:ascii="宋体" w:hAnsi="宋体" w:cs="宋体"/>
          <w:sz w:val="24"/>
        </w:rPr>
      </w:pPr>
      <w:r>
        <w:rPr>
          <w:rFonts w:hint="eastAsia" w:ascii="宋体" w:hAnsi="宋体" w:cs="宋体"/>
          <w:sz w:val="24"/>
        </w:rPr>
        <w:t>本章所述《合同格式及合同条款》为指引性文件。在合同签订时，招标人有权合理修改本合同条款。若招标人和中标人双方同意，合同格式也可以按照其他形式。合同条款的基本内容应与本章所述《合同格式及合同条款》要求的内容相一致，同时招标文件及其答疑、补充、修改；中标人的投标文件正本；投标人在评标答疑时的书面澄清或说明；中标通知书等文件是构成合同不可分割的部分。</w:t>
      </w:r>
    </w:p>
    <w:p>
      <w:pPr>
        <w:pStyle w:val="5"/>
        <w:rPr>
          <w:rFonts w:ascii="宋体" w:hAnsi="宋体" w:eastAsia="宋体" w:cs="宋体"/>
          <w:sz w:val="24"/>
          <w:szCs w:val="24"/>
        </w:rPr>
      </w:pPr>
      <w:bookmarkStart w:id="427" w:name="_Toc5679"/>
      <w:bookmarkStart w:id="428" w:name="_Toc26339"/>
      <w:bookmarkStart w:id="429" w:name="_Toc32330"/>
      <w:r>
        <w:rPr>
          <w:rFonts w:hint="eastAsia" w:ascii="宋体" w:hAnsi="宋体" w:eastAsia="宋体" w:cs="宋体"/>
          <w:sz w:val="24"/>
          <w:szCs w:val="24"/>
        </w:rPr>
        <w:t>浙江省政府采购合同指引</w:t>
      </w:r>
      <w:bookmarkEnd w:id="427"/>
      <w:bookmarkEnd w:id="428"/>
      <w:bookmarkEnd w:id="429"/>
    </w:p>
    <w:p>
      <w:pPr>
        <w:spacing w:line="360" w:lineRule="auto"/>
        <w:ind w:firstLine="420"/>
        <w:rPr>
          <w:rFonts w:ascii="宋体" w:hAnsi="宋体" w:cs="宋体"/>
          <w:sz w:val="24"/>
        </w:rPr>
      </w:pPr>
      <w:r>
        <w:rPr>
          <w:rFonts w:hint="eastAsia" w:ascii="宋体" w:hAnsi="宋体" w:cs="宋体"/>
          <w:sz w:val="24"/>
        </w:rPr>
        <w:t>项目名称：                                     项目编号：</w:t>
      </w:r>
    </w:p>
    <w:p>
      <w:pPr>
        <w:spacing w:line="360" w:lineRule="auto"/>
        <w:ind w:firstLine="420"/>
        <w:rPr>
          <w:rFonts w:ascii="宋体" w:hAnsi="宋体" w:cs="宋体"/>
          <w:sz w:val="24"/>
        </w:rPr>
      </w:pPr>
      <w:r>
        <w:rPr>
          <w:rFonts w:hint="eastAsia" w:ascii="宋体" w:hAnsi="宋体" w:cs="宋体"/>
          <w:sz w:val="24"/>
        </w:rPr>
        <w:t>甲方：（买方）</w:t>
      </w:r>
    </w:p>
    <w:p>
      <w:pPr>
        <w:spacing w:line="360" w:lineRule="auto"/>
        <w:ind w:firstLine="420"/>
        <w:rPr>
          <w:rFonts w:ascii="宋体" w:hAnsi="宋体" w:cs="宋体"/>
          <w:sz w:val="24"/>
        </w:rPr>
      </w:pPr>
      <w:r>
        <w:rPr>
          <w:rFonts w:hint="eastAsia" w:ascii="宋体" w:hAnsi="宋体" w:cs="宋体"/>
          <w:sz w:val="24"/>
        </w:rPr>
        <w:t>乙方：（卖方）</w:t>
      </w:r>
    </w:p>
    <w:p>
      <w:pPr>
        <w:spacing w:line="360" w:lineRule="auto"/>
        <w:ind w:firstLine="420"/>
        <w:rPr>
          <w:rFonts w:ascii="宋体" w:hAnsi="宋体" w:cs="宋体"/>
          <w:b/>
          <w:sz w:val="24"/>
        </w:rPr>
      </w:pPr>
      <w:r>
        <w:rPr>
          <w:rFonts w:hint="eastAsia" w:ascii="宋体" w:hAnsi="宋体" w:cs="宋体"/>
          <w:sz w:val="24"/>
        </w:rPr>
        <w:t>甲、乙双方根据 的结果，签署本合同。</w:t>
      </w:r>
    </w:p>
    <w:p>
      <w:pPr>
        <w:pStyle w:val="6"/>
        <w:spacing w:line="360" w:lineRule="auto"/>
        <w:rPr>
          <w:rFonts w:ascii="宋体" w:hAnsi="宋体" w:cs="宋体"/>
          <w:sz w:val="24"/>
          <w:szCs w:val="24"/>
        </w:rPr>
      </w:pPr>
      <w:r>
        <w:rPr>
          <w:rFonts w:hint="eastAsia" w:ascii="宋体" w:hAnsi="宋体" w:cs="宋体"/>
          <w:sz w:val="24"/>
          <w:szCs w:val="24"/>
        </w:rPr>
        <w:t>一、服务内容</w:t>
      </w:r>
    </w:p>
    <w:p>
      <w:pPr>
        <w:pStyle w:val="6"/>
        <w:spacing w:line="360" w:lineRule="auto"/>
        <w:rPr>
          <w:rFonts w:ascii="宋体" w:hAnsi="宋体" w:cs="宋体"/>
          <w:sz w:val="24"/>
          <w:szCs w:val="24"/>
        </w:rPr>
      </w:pPr>
      <w:r>
        <w:rPr>
          <w:rFonts w:hint="eastAsia" w:ascii="宋体" w:hAnsi="宋体" w:cs="宋体"/>
          <w:sz w:val="24"/>
          <w:szCs w:val="24"/>
        </w:rPr>
        <w:t>二、合同金额</w:t>
      </w:r>
    </w:p>
    <w:p>
      <w:pPr>
        <w:spacing w:line="360" w:lineRule="auto"/>
        <w:ind w:firstLine="420"/>
        <w:rPr>
          <w:rFonts w:ascii="宋体" w:hAnsi="宋体" w:cs="宋体"/>
          <w:sz w:val="24"/>
        </w:rPr>
      </w:pPr>
      <w:r>
        <w:rPr>
          <w:rFonts w:hint="eastAsia" w:ascii="宋体" w:hAnsi="宋体" w:cs="宋体"/>
          <w:sz w:val="24"/>
        </w:rPr>
        <w:t>2.1 本合同金额为（大写）：____________________________________元（￥_______________元）人民币。</w:t>
      </w:r>
    </w:p>
    <w:p>
      <w:pPr>
        <w:pStyle w:val="6"/>
        <w:spacing w:line="360" w:lineRule="auto"/>
        <w:rPr>
          <w:rFonts w:ascii="宋体" w:hAnsi="宋体" w:cs="宋体"/>
          <w:sz w:val="24"/>
          <w:szCs w:val="24"/>
        </w:rPr>
      </w:pPr>
      <w:r>
        <w:rPr>
          <w:rFonts w:hint="eastAsia" w:ascii="宋体" w:hAnsi="宋体" w:cs="宋体"/>
          <w:sz w:val="24"/>
          <w:szCs w:val="24"/>
        </w:rPr>
        <w:t>三、技术资料</w:t>
      </w:r>
    </w:p>
    <w:p>
      <w:pPr>
        <w:spacing w:line="360" w:lineRule="auto"/>
        <w:ind w:firstLine="420"/>
        <w:rPr>
          <w:rFonts w:ascii="宋体" w:hAnsi="宋体" w:cs="宋体"/>
          <w:sz w:val="24"/>
        </w:rPr>
      </w:pPr>
      <w:r>
        <w:rPr>
          <w:rFonts w:hint="eastAsia" w:ascii="宋体" w:hAnsi="宋体" w:cs="宋体"/>
          <w:sz w:val="24"/>
        </w:rPr>
        <w:t>3.1乙方应按采购文件规定的时间向甲方提供有关技术资料。</w:t>
      </w:r>
    </w:p>
    <w:p>
      <w:pPr>
        <w:spacing w:line="360" w:lineRule="auto"/>
        <w:ind w:firstLine="420"/>
        <w:rPr>
          <w:rFonts w:ascii="宋体" w:hAnsi="宋体" w:cs="宋体"/>
          <w:sz w:val="24"/>
        </w:rPr>
      </w:pPr>
      <w:r>
        <w:rPr>
          <w:rFonts w:hint="eastAsia" w:ascii="宋体" w:hAnsi="宋体" w:cs="宋体"/>
          <w:sz w:val="24"/>
        </w:rPr>
        <w:t>3.2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6"/>
        <w:spacing w:line="360" w:lineRule="auto"/>
        <w:rPr>
          <w:rFonts w:ascii="宋体" w:hAnsi="宋体" w:cs="宋体"/>
          <w:sz w:val="24"/>
          <w:szCs w:val="24"/>
        </w:rPr>
      </w:pPr>
      <w:r>
        <w:rPr>
          <w:rFonts w:hint="eastAsia" w:ascii="宋体" w:hAnsi="宋体" w:cs="宋体"/>
          <w:sz w:val="24"/>
          <w:szCs w:val="24"/>
        </w:rPr>
        <w:t>四、知识产权</w:t>
      </w:r>
    </w:p>
    <w:p>
      <w:pPr>
        <w:spacing w:line="360" w:lineRule="auto"/>
        <w:ind w:firstLine="420"/>
        <w:rPr>
          <w:rFonts w:ascii="宋体" w:hAnsi="宋体" w:cs="宋体"/>
          <w:b/>
          <w:bCs/>
          <w:sz w:val="24"/>
        </w:rPr>
      </w:pPr>
      <w:r>
        <w:rPr>
          <w:rFonts w:hint="eastAsia" w:ascii="宋体" w:hAnsi="宋体" w:cs="宋体"/>
          <w:sz w:val="24"/>
        </w:rPr>
        <w:t>4.1乙方应保证提供服务过程中不会侵犯任何第三方的知识产权</w:t>
      </w:r>
      <w:r>
        <w:rPr>
          <w:rFonts w:hint="eastAsia" w:ascii="宋体" w:hAnsi="宋体" w:cs="宋体"/>
          <w:bCs/>
          <w:sz w:val="24"/>
        </w:rPr>
        <w:t>。</w:t>
      </w:r>
    </w:p>
    <w:p>
      <w:pPr>
        <w:pStyle w:val="6"/>
        <w:spacing w:line="360" w:lineRule="auto"/>
        <w:rPr>
          <w:rFonts w:ascii="宋体" w:hAnsi="宋体" w:cs="宋体"/>
          <w:sz w:val="24"/>
          <w:szCs w:val="24"/>
        </w:rPr>
      </w:pPr>
      <w:r>
        <w:rPr>
          <w:rFonts w:hint="eastAsia" w:ascii="宋体" w:hAnsi="宋体" w:cs="宋体"/>
          <w:sz w:val="24"/>
          <w:szCs w:val="24"/>
        </w:rPr>
        <w:t>五、履约保证金</w:t>
      </w:r>
    </w:p>
    <w:p>
      <w:pPr>
        <w:spacing w:line="360" w:lineRule="auto"/>
        <w:ind w:firstLine="422"/>
        <w:rPr>
          <w:rFonts w:ascii="宋体" w:hAnsi="宋体" w:cs="宋体"/>
          <w:sz w:val="24"/>
        </w:rPr>
      </w:pPr>
      <w:r>
        <w:rPr>
          <w:rFonts w:hint="eastAsia" w:ascii="宋体" w:hAnsi="宋体" w:cs="宋体"/>
          <w:sz w:val="24"/>
        </w:rPr>
        <w:t>无</w:t>
      </w:r>
    </w:p>
    <w:p>
      <w:pPr>
        <w:pStyle w:val="6"/>
        <w:spacing w:line="360" w:lineRule="auto"/>
        <w:rPr>
          <w:rFonts w:ascii="宋体" w:hAnsi="宋体" w:cs="宋体"/>
          <w:sz w:val="24"/>
          <w:szCs w:val="24"/>
        </w:rPr>
      </w:pPr>
      <w:r>
        <w:rPr>
          <w:rFonts w:hint="eastAsia" w:ascii="宋体" w:hAnsi="宋体" w:cs="宋体"/>
          <w:sz w:val="24"/>
          <w:szCs w:val="24"/>
        </w:rPr>
        <w:t>六、转包或分包</w:t>
      </w:r>
    </w:p>
    <w:p>
      <w:pPr>
        <w:spacing w:line="360" w:lineRule="auto"/>
        <w:ind w:firstLine="420"/>
        <w:rPr>
          <w:rFonts w:ascii="宋体" w:hAnsi="宋体" w:cs="宋体"/>
          <w:sz w:val="24"/>
        </w:rPr>
      </w:pPr>
      <w:r>
        <w:rPr>
          <w:rFonts w:hint="eastAsia" w:ascii="宋体" w:hAnsi="宋体" w:cs="宋体"/>
          <w:sz w:val="24"/>
        </w:rPr>
        <w:t>6.1本合同范围的服务，应由乙方直接供应，不得转让他人供应；</w:t>
      </w:r>
    </w:p>
    <w:p>
      <w:pPr>
        <w:spacing w:line="360" w:lineRule="auto"/>
        <w:ind w:firstLine="420"/>
        <w:rPr>
          <w:rFonts w:ascii="宋体" w:hAnsi="宋体" w:cs="宋体"/>
          <w:sz w:val="24"/>
        </w:rPr>
      </w:pPr>
      <w:r>
        <w:rPr>
          <w:rFonts w:hint="eastAsia" w:ascii="宋体" w:hAnsi="宋体" w:cs="宋体"/>
          <w:sz w:val="24"/>
        </w:rPr>
        <w:t>6.2除非得到甲方的书面同意，乙方不得将本合同范围的服务全部或部分分包给他人供应；</w:t>
      </w:r>
    </w:p>
    <w:p>
      <w:pPr>
        <w:spacing w:line="360" w:lineRule="auto"/>
        <w:ind w:firstLine="420"/>
        <w:rPr>
          <w:rFonts w:ascii="宋体" w:hAnsi="宋体" w:cs="宋体"/>
          <w:sz w:val="24"/>
        </w:rPr>
      </w:pPr>
      <w:r>
        <w:rPr>
          <w:rFonts w:hint="eastAsia" w:ascii="宋体" w:hAnsi="宋体" w:cs="宋体"/>
          <w:sz w:val="24"/>
        </w:rPr>
        <w:t>6.3如有转让和未经甲方同意的分包行为，甲方有权解除合同，没收履约保证金并追究乙方的违约责任。</w:t>
      </w:r>
    </w:p>
    <w:p>
      <w:pPr>
        <w:pStyle w:val="6"/>
        <w:spacing w:line="360" w:lineRule="auto"/>
        <w:rPr>
          <w:rFonts w:ascii="宋体" w:hAnsi="宋体" w:cs="宋体"/>
          <w:sz w:val="24"/>
          <w:szCs w:val="24"/>
        </w:rPr>
      </w:pPr>
      <w:r>
        <w:rPr>
          <w:rFonts w:hint="eastAsia" w:ascii="宋体" w:hAnsi="宋体" w:cs="宋体"/>
          <w:sz w:val="24"/>
          <w:szCs w:val="24"/>
        </w:rPr>
        <w:t>七、服务质量保证期(选用)</w:t>
      </w:r>
    </w:p>
    <w:p>
      <w:pPr>
        <w:spacing w:line="360" w:lineRule="auto"/>
        <w:ind w:firstLine="420"/>
        <w:rPr>
          <w:rFonts w:ascii="宋体" w:hAnsi="宋体" w:cs="宋体"/>
          <w:sz w:val="24"/>
        </w:rPr>
      </w:pPr>
      <w:r>
        <w:rPr>
          <w:rFonts w:hint="eastAsia" w:ascii="宋体" w:hAnsi="宋体" w:cs="宋体"/>
          <w:sz w:val="24"/>
        </w:rPr>
        <w:t>7.1服务质量保证期  年。（自验收合格之日起计）</w:t>
      </w:r>
    </w:p>
    <w:p>
      <w:pPr>
        <w:pStyle w:val="6"/>
        <w:spacing w:line="360" w:lineRule="auto"/>
        <w:rPr>
          <w:rFonts w:ascii="宋体" w:hAnsi="宋体" w:cs="宋体"/>
          <w:sz w:val="24"/>
          <w:szCs w:val="24"/>
        </w:rPr>
      </w:pPr>
      <w:r>
        <w:rPr>
          <w:rFonts w:hint="eastAsia" w:ascii="宋体" w:hAnsi="宋体" w:cs="宋体"/>
          <w:sz w:val="24"/>
          <w:szCs w:val="24"/>
        </w:rPr>
        <w:t>八、合同履行时间、履行方式及履行地点</w:t>
      </w:r>
    </w:p>
    <w:p>
      <w:pPr>
        <w:spacing w:line="360" w:lineRule="auto"/>
        <w:ind w:firstLine="420"/>
        <w:rPr>
          <w:rFonts w:ascii="宋体" w:hAnsi="宋体" w:cs="宋体"/>
          <w:bCs/>
          <w:sz w:val="24"/>
        </w:rPr>
      </w:pPr>
      <w:r>
        <w:rPr>
          <w:rFonts w:hint="eastAsia" w:ascii="宋体" w:hAnsi="宋体" w:cs="宋体"/>
          <w:bCs/>
          <w:sz w:val="24"/>
        </w:rPr>
        <w:t>8.1</w:t>
      </w:r>
      <w:r>
        <w:rPr>
          <w:rFonts w:hint="eastAsia" w:ascii="宋体" w:hAnsi="宋体" w:cs="宋体"/>
          <w:sz w:val="24"/>
        </w:rPr>
        <w:t>履行时间</w:t>
      </w:r>
      <w:r>
        <w:rPr>
          <w:rFonts w:hint="eastAsia" w:ascii="宋体" w:hAnsi="宋体" w:cs="宋体"/>
          <w:bCs/>
          <w:sz w:val="24"/>
        </w:rPr>
        <w:t>：</w:t>
      </w:r>
    </w:p>
    <w:p>
      <w:pPr>
        <w:spacing w:line="360" w:lineRule="auto"/>
        <w:ind w:firstLine="420"/>
        <w:rPr>
          <w:rFonts w:ascii="宋体" w:hAnsi="宋体" w:cs="宋体"/>
          <w:bCs/>
          <w:sz w:val="24"/>
        </w:rPr>
      </w:pPr>
      <w:r>
        <w:rPr>
          <w:rFonts w:hint="eastAsia" w:ascii="宋体" w:hAnsi="宋体" w:cs="宋体"/>
          <w:bCs/>
          <w:sz w:val="24"/>
        </w:rPr>
        <w:t>8.2</w:t>
      </w:r>
      <w:r>
        <w:rPr>
          <w:rFonts w:hint="eastAsia" w:ascii="宋体" w:hAnsi="宋体" w:cs="宋体"/>
          <w:sz w:val="24"/>
        </w:rPr>
        <w:t>履行方式</w:t>
      </w:r>
      <w:r>
        <w:rPr>
          <w:rFonts w:hint="eastAsia" w:ascii="宋体" w:hAnsi="宋体" w:cs="宋体"/>
          <w:bCs/>
          <w:sz w:val="24"/>
        </w:rPr>
        <w:t>：</w:t>
      </w:r>
    </w:p>
    <w:p>
      <w:pPr>
        <w:spacing w:line="360" w:lineRule="auto"/>
        <w:ind w:firstLine="420"/>
        <w:rPr>
          <w:rFonts w:ascii="宋体" w:hAnsi="宋体" w:cs="宋体"/>
          <w:sz w:val="24"/>
        </w:rPr>
      </w:pPr>
      <w:r>
        <w:rPr>
          <w:rFonts w:hint="eastAsia" w:ascii="宋体" w:hAnsi="宋体" w:cs="宋体"/>
          <w:bCs/>
          <w:sz w:val="24"/>
        </w:rPr>
        <w:t>8.3</w:t>
      </w:r>
      <w:r>
        <w:rPr>
          <w:rFonts w:hint="eastAsia" w:ascii="宋体" w:hAnsi="宋体" w:cs="宋体"/>
          <w:sz w:val="24"/>
        </w:rPr>
        <w:t>履行地点</w:t>
      </w:r>
      <w:r>
        <w:rPr>
          <w:rFonts w:hint="eastAsia" w:ascii="宋体" w:hAnsi="宋体" w:cs="宋体"/>
          <w:bCs/>
          <w:sz w:val="24"/>
        </w:rPr>
        <w:t>：</w:t>
      </w:r>
    </w:p>
    <w:p>
      <w:pPr>
        <w:pStyle w:val="6"/>
        <w:spacing w:line="360" w:lineRule="auto"/>
        <w:rPr>
          <w:rFonts w:ascii="宋体" w:hAnsi="宋体" w:cs="宋体"/>
          <w:sz w:val="24"/>
          <w:szCs w:val="24"/>
        </w:rPr>
      </w:pPr>
      <w:r>
        <w:rPr>
          <w:rFonts w:hint="eastAsia" w:ascii="宋体" w:hAnsi="宋体" w:cs="宋体"/>
          <w:sz w:val="24"/>
          <w:szCs w:val="24"/>
        </w:rPr>
        <w:t>九、款项支付</w:t>
      </w:r>
    </w:p>
    <w:p>
      <w:pPr>
        <w:spacing w:line="360" w:lineRule="auto"/>
        <w:ind w:firstLine="420"/>
        <w:rPr>
          <w:rFonts w:ascii="宋体" w:hAnsi="宋体" w:cs="宋体"/>
          <w:bCs/>
          <w:sz w:val="24"/>
        </w:rPr>
      </w:pPr>
      <w:r>
        <w:rPr>
          <w:rFonts w:hint="eastAsia" w:ascii="宋体" w:hAnsi="宋体" w:cs="宋体"/>
          <w:bCs/>
          <w:sz w:val="24"/>
        </w:rPr>
        <w:t>9.1付款方式：</w:t>
      </w:r>
    </w:p>
    <w:p>
      <w:pPr>
        <w:pStyle w:val="6"/>
        <w:spacing w:line="360" w:lineRule="auto"/>
        <w:rPr>
          <w:rFonts w:ascii="宋体" w:hAnsi="宋体" w:cs="宋体"/>
          <w:sz w:val="24"/>
          <w:szCs w:val="24"/>
        </w:rPr>
      </w:pPr>
      <w:r>
        <w:rPr>
          <w:rFonts w:hint="eastAsia" w:ascii="宋体" w:hAnsi="宋体" w:cs="宋体"/>
          <w:sz w:val="24"/>
          <w:szCs w:val="24"/>
        </w:rPr>
        <w:t>十、税费</w:t>
      </w:r>
    </w:p>
    <w:p>
      <w:pPr>
        <w:spacing w:line="360" w:lineRule="auto"/>
        <w:ind w:firstLine="420"/>
        <w:rPr>
          <w:rFonts w:ascii="宋体" w:hAnsi="宋体" w:cs="宋体"/>
          <w:sz w:val="24"/>
        </w:rPr>
      </w:pPr>
      <w:r>
        <w:rPr>
          <w:rFonts w:hint="eastAsia" w:ascii="宋体" w:hAnsi="宋体" w:cs="宋体"/>
          <w:sz w:val="24"/>
        </w:rPr>
        <w:t>10.1本合同执行中相关的一切税费均由乙方负担。</w:t>
      </w:r>
    </w:p>
    <w:p>
      <w:pPr>
        <w:pStyle w:val="6"/>
        <w:spacing w:line="360" w:lineRule="auto"/>
        <w:rPr>
          <w:rFonts w:ascii="宋体" w:hAnsi="宋体" w:cs="宋体"/>
          <w:sz w:val="24"/>
          <w:szCs w:val="24"/>
        </w:rPr>
      </w:pPr>
      <w:r>
        <w:rPr>
          <w:rFonts w:hint="eastAsia" w:ascii="宋体" w:hAnsi="宋体" w:cs="宋体"/>
          <w:sz w:val="24"/>
          <w:szCs w:val="24"/>
        </w:rPr>
        <w:t>十一、质量保证及后续服务</w:t>
      </w:r>
    </w:p>
    <w:p>
      <w:pPr>
        <w:spacing w:line="360" w:lineRule="auto"/>
        <w:ind w:firstLine="420"/>
        <w:rPr>
          <w:rFonts w:ascii="宋体" w:hAnsi="宋体" w:cs="宋体"/>
          <w:sz w:val="24"/>
        </w:rPr>
      </w:pPr>
      <w:r>
        <w:rPr>
          <w:rFonts w:hint="eastAsia" w:ascii="宋体" w:hAnsi="宋体" w:cs="宋体"/>
          <w:sz w:val="24"/>
        </w:rPr>
        <w:t>11.1乙方应按采购文件规定向甲方提供服务。</w:t>
      </w:r>
    </w:p>
    <w:p>
      <w:pPr>
        <w:spacing w:line="360" w:lineRule="auto"/>
        <w:ind w:firstLine="420"/>
        <w:rPr>
          <w:rFonts w:ascii="宋体" w:hAnsi="宋体" w:cs="宋体"/>
          <w:sz w:val="24"/>
        </w:rPr>
      </w:pPr>
      <w:r>
        <w:rPr>
          <w:rFonts w:hint="eastAsia" w:ascii="宋体" w:hAnsi="宋体" w:cs="宋体"/>
          <w:sz w:val="24"/>
        </w:rPr>
        <w:t>11.2乙方提供的服务成果在服务质量保证期内发生故障，乙方应负责免费提供后续服务。对达不到要求者，根据实际情况，经双方协商，可按以下办法处理：</w:t>
      </w:r>
    </w:p>
    <w:p>
      <w:pPr>
        <w:spacing w:line="360" w:lineRule="auto"/>
        <w:ind w:firstLine="420"/>
        <w:rPr>
          <w:rFonts w:ascii="宋体" w:hAnsi="宋体" w:cs="宋体"/>
          <w:sz w:val="24"/>
        </w:rPr>
      </w:pPr>
      <w:r>
        <w:rPr>
          <w:rFonts w:hint="eastAsia" w:ascii="宋体" w:hAnsi="宋体" w:cs="宋体"/>
          <w:sz w:val="24"/>
        </w:rPr>
        <w:t>⑴重做：由乙方承担所发生的全部费用。</w:t>
      </w:r>
    </w:p>
    <w:p>
      <w:pPr>
        <w:spacing w:line="360" w:lineRule="auto"/>
        <w:ind w:firstLine="420"/>
        <w:rPr>
          <w:rFonts w:ascii="宋体" w:hAnsi="宋体" w:cs="宋体"/>
          <w:sz w:val="24"/>
        </w:rPr>
      </w:pPr>
      <w:r>
        <w:rPr>
          <w:rFonts w:hint="eastAsia" w:ascii="宋体" w:hAnsi="宋体" w:cs="宋体"/>
          <w:sz w:val="24"/>
        </w:rPr>
        <w:t>⑵贬值处理：由甲乙双方合议定价。</w:t>
      </w:r>
    </w:p>
    <w:p>
      <w:pPr>
        <w:spacing w:line="360" w:lineRule="auto"/>
        <w:ind w:firstLine="420"/>
        <w:rPr>
          <w:rFonts w:ascii="宋体" w:hAnsi="宋体" w:cs="宋体"/>
          <w:sz w:val="24"/>
        </w:rPr>
      </w:pPr>
      <w:r>
        <w:rPr>
          <w:rFonts w:hint="eastAsia" w:ascii="宋体" w:hAnsi="宋体" w:cs="宋体"/>
          <w:sz w:val="24"/>
        </w:rPr>
        <w:t>⑶解除合同。</w:t>
      </w:r>
    </w:p>
    <w:p>
      <w:pPr>
        <w:spacing w:line="360" w:lineRule="auto"/>
        <w:ind w:firstLine="420"/>
        <w:rPr>
          <w:rFonts w:ascii="宋体" w:hAnsi="宋体" w:cs="宋体"/>
          <w:sz w:val="24"/>
        </w:rPr>
      </w:pPr>
      <w:r>
        <w:rPr>
          <w:rFonts w:hint="eastAsia" w:ascii="宋体" w:hAnsi="宋体" w:cs="宋体"/>
          <w:sz w:val="24"/>
        </w:rPr>
        <w:t>11.3如在使用过程中发生问题，乙方在接到甲方通知后在△小时内到达甲方现场。</w:t>
      </w:r>
    </w:p>
    <w:p>
      <w:pPr>
        <w:spacing w:line="360" w:lineRule="auto"/>
        <w:ind w:firstLine="420"/>
        <w:rPr>
          <w:rFonts w:ascii="宋体" w:hAnsi="宋体" w:cs="宋体"/>
          <w:sz w:val="24"/>
        </w:rPr>
      </w:pPr>
      <w:r>
        <w:rPr>
          <w:rFonts w:hint="eastAsia" w:ascii="宋体" w:hAnsi="宋体" w:cs="宋体"/>
          <w:sz w:val="24"/>
        </w:rPr>
        <w:t>11.4在服务质量保证期内，乙方应对出现的质量及安全问题负责处理解决并承担</w:t>
      </w:r>
    </w:p>
    <w:p>
      <w:pPr>
        <w:spacing w:line="360" w:lineRule="auto"/>
        <w:ind w:firstLine="420"/>
        <w:rPr>
          <w:rFonts w:ascii="宋体" w:hAnsi="宋体" w:cs="宋体"/>
          <w:sz w:val="24"/>
        </w:rPr>
      </w:pPr>
      <w:r>
        <w:rPr>
          <w:rFonts w:hint="eastAsia" w:ascii="宋体" w:hAnsi="宋体" w:cs="宋体"/>
          <w:sz w:val="24"/>
        </w:rPr>
        <w:t>一切费用。</w:t>
      </w:r>
    </w:p>
    <w:p>
      <w:pPr>
        <w:pStyle w:val="6"/>
        <w:spacing w:line="360" w:lineRule="auto"/>
        <w:rPr>
          <w:rFonts w:ascii="宋体" w:hAnsi="宋体" w:cs="宋体"/>
          <w:sz w:val="24"/>
          <w:szCs w:val="24"/>
        </w:rPr>
      </w:pPr>
      <w:r>
        <w:rPr>
          <w:rFonts w:hint="eastAsia" w:ascii="宋体" w:hAnsi="宋体" w:cs="宋体"/>
          <w:sz w:val="24"/>
          <w:szCs w:val="24"/>
        </w:rPr>
        <w:t>十二、违约责任</w:t>
      </w:r>
    </w:p>
    <w:p>
      <w:pPr>
        <w:spacing w:line="360" w:lineRule="auto"/>
        <w:ind w:firstLine="420"/>
        <w:rPr>
          <w:rFonts w:ascii="宋体" w:hAnsi="宋体" w:cs="宋体"/>
          <w:sz w:val="24"/>
        </w:rPr>
      </w:pPr>
      <w:r>
        <w:rPr>
          <w:rFonts w:hint="eastAsia" w:ascii="宋体" w:hAnsi="宋体" w:cs="宋体"/>
          <w:sz w:val="24"/>
        </w:rPr>
        <w:t>12.1甲方无正当理由拒收接受服务的，甲方向乙方偿付合同款项百分之五作为违约金。</w:t>
      </w:r>
    </w:p>
    <w:p>
      <w:pPr>
        <w:spacing w:line="360" w:lineRule="auto"/>
        <w:ind w:firstLine="420"/>
        <w:rPr>
          <w:rFonts w:ascii="宋体" w:hAnsi="宋体" w:cs="宋体"/>
          <w:sz w:val="24"/>
        </w:rPr>
      </w:pPr>
      <w:r>
        <w:rPr>
          <w:rFonts w:hint="eastAsia" w:ascii="宋体" w:hAnsi="宋体" w:cs="宋体"/>
          <w:sz w:val="24"/>
        </w:rPr>
        <w:t>12.2甲方无故逾期验收和办理款项支付手续的,甲方应按逾期付款总额每日万分之五向乙方支付违约金。</w:t>
      </w:r>
    </w:p>
    <w:p>
      <w:pPr>
        <w:spacing w:line="360" w:lineRule="auto"/>
        <w:ind w:firstLine="420"/>
        <w:rPr>
          <w:rFonts w:ascii="宋体" w:hAnsi="宋体" w:cs="宋体"/>
          <w:sz w:val="24"/>
        </w:rPr>
      </w:pPr>
      <w:r>
        <w:rPr>
          <w:rFonts w:hint="eastAsia" w:ascii="宋体" w:hAnsi="宋体" w:cs="宋体"/>
          <w:sz w:val="24"/>
        </w:rPr>
        <w:t xml:space="preserve">12.3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pPr>
        <w:pStyle w:val="6"/>
        <w:spacing w:line="360" w:lineRule="auto"/>
        <w:rPr>
          <w:rFonts w:ascii="宋体" w:hAnsi="宋体" w:cs="宋体"/>
          <w:sz w:val="24"/>
          <w:szCs w:val="24"/>
        </w:rPr>
      </w:pPr>
      <w:r>
        <w:rPr>
          <w:rFonts w:hint="eastAsia" w:ascii="宋体" w:hAnsi="宋体" w:cs="宋体"/>
          <w:sz w:val="24"/>
          <w:szCs w:val="24"/>
        </w:rPr>
        <w:t>十三、不可抗力事件处理</w:t>
      </w:r>
    </w:p>
    <w:p>
      <w:pPr>
        <w:spacing w:line="360" w:lineRule="auto"/>
        <w:ind w:firstLine="420"/>
        <w:rPr>
          <w:rFonts w:ascii="宋体" w:hAnsi="宋体" w:cs="宋体"/>
          <w:sz w:val="24"/>
        </w:rPr>
      </w:pPr>
      <w:r>
        <w:rPr>
          <w:rFonts w:hint="eastAsia" w:ascii="宋体" w:hAnsi="宋体" w:cs="宋体"/>
          <w:sz w:val="24"/>
        </w:rPr>
        <w:t>13.1在合同有效期内，任何一方因不可抗力事件导致不能履行合同，则合同履行期可延长，其延长期与不可抗力影响期相同。</w:t>
      </w:r>
    </w:p>
    <w:p>
      <w:pPr>
        <w:spacing w:line="360" w:lineRule="auto"/>
        <w:ind w:firstLine="420"/>
        <w:rPr>
          <w:rFonts w:ascii="宋体" w:hAnsi="宋体" w:cs="宋体"/>
          <w:sz w:val="24"/>
        </w:rPr>
      </w:pPr>
      <w:r>
        <w:rPr>
          <w:rFonts w:hint="eastAsia" w:ascii="宋体" w:hAnsi="宋体" w:cs="宋体"/>
          <w:sz w:val="24"/>
        </w:rPr>
        <w:t>13.2不可抗力事件发生后，应立即通知对方，并寄送有关权威机构出具的证明。</w:t>
      </w:r>
    </w:p>
    <w:p>
      <w:pPr>
        <w:spacing w:line="360" w:lineRule="auto"/>
        <w:ind w:firstLine="420"/>
        <w:rPr>
          <w:rFonts w:ascii="宋体" w:hAnsi="宋体" w:cs="宋体"/>
          <w:sz w:val="24"/>
        </w:rPr>
      </w:pPr>
      <w:r>
        <w:rPr>
          <w:rFonts w:hint="eastAsia" w:ascii="宋体" w:hAnsi="宋体" w:cs="宋体"/>
          <w:sz w:val="24"/>
        </w:rPr>
        <w:t>13.3不可抗力事件延续120天以上，双方应通过友好协商，确定是否继续履行合同。</w:t>
      </w:r>
    </w:p>
    <w:p>
      <w:pPr>
        <w:pStyle w:val="6"/>
        <w:spacing w:line="360" w:lineRule="auto"/>
        <w:rPr>
          <w:rFonts w:ascii="宋体" w:hAnsi="宋体" w:cs="宋体"/>
          <w:sz w:val="24"/>
          <w:szCs w:val="24"/>
        </w:rPr>
      </w:pPr>
      <w:r>
        <w:rPr>
          <w:rFonts w:hint="eastAsia" w:ascii="宋体" w:hAnsi="宋体" w:cs="宋体"/>
          <w:sz w:val="24"/>
          <w:szCs w:val="24"/>
        </w:rPr>
        <w:t>十四、诉讼</w:t>
      </w:r>
    </w:p>
    <w:p>
      <w:pPr>
        <w:spacing w:line="360" w:lineRule="auto"/>
        <w:ind w:firstLine="420"/>
        <w:rPr>
          <w:rFonts w:ascii="宋体" w:hAnsi="宋体" w:cs="宋体"/>
          <w:sz w:val="24"/>
        </w:rPr>
      </w:pPr>
      <w:r>
        <w:rPr>
          <w:rFonts w:hint="eastAsia" w:ascii="宋体" w:hAnsi="宋体" w:cs="宋体"/>
          <w:sz w:val="24"/>
        </w:rPr>
        <w:t>14.1双方在执行合同中所发生的一切争议，应通过协商解决。如协商不成，可向甲方所在地法院起诉。</w:t>
      </w:r>
    </w:p>
    <w:p>
      <w:pPr>
        <w:pStyle w:val="6"/>
        <w:spacing w:line="360" w:lineRule="auto"/>
        <w:rPr>
          <w:rFonts w:ascii="宋体" w:hAnsi="宋体" w:cs="宋体"/>
          <w:sz w:val="24"/>
          <w:szCs w:val="24"/>
        </w:rPr>
      </w:pPr>
      <w:r>
        <w:rPr>
          <w:rFonts w:hint="eastAsia" w:ascii="宋体" w:hAnsi="宋体" w:cs="宋体"/>
          <w:sz w:val="24"/>
          <w:szCs w:val="24"/>
        </w:rPr>
        <w:t>十五、合同生效及其它</w:t>
      </w:r>
    </w:p>
    <w:p>
      <w:pPr>
        <w:spacing w:line="360" w:lineRule="auto"/>
        <w:ind w:firstLine="420"/>
        <w:rPr>
          <w:rFonts w:ascii="宋体" w:hAnsi="宋体" w:cs="宋体"/>
          <w:sz w:val="24"/>
        </w:rPr>
      </w:pPr>
      <w:r>
        <w:rPr>
          <w:rFonts w:hint="eastAsia" w:ascii="宋体" w:hAnsi="宋体" w:cs="宋体"/>
          <w:sz w:val="24"/>
        </w:rPr>
        <w:t>15.1合同经双方法定代表人或授权代表签字并加盖单位公章后生效。</w:t>
      </w:r>
    </w:p>
    <w:p>
      <w:pPr>
        <w:spacing w:line="360" w:lineRule="auto"/>
        <w:ind w:firstLine="420"/>
        <w:rPr>
          <w:rFonts w:ascii="宋体" w:hAnsi="宋体" w:cs="宋体"/>
          <w:sz w:val="24"/>
        </w:rPr>
      </w:pPr>
      <w:r>
        <w:rPr>
          <w:rFonts w:hint="eastAsia" w:ascii="宋体" w:hAnsi="宋体" w:cs="宋体"/>
          <w:sz w:val="24"/>
        </w:rPr>
        <w:t>15.2合同执行中涉及采购资金和采购内容修改或补充的，须经财政部门审批，并签书面补充协议报政府采购监督管理部门备案，方可作为主合同不可分割的一部分。</w:t>
      </w:r>
    </w:p>
    <w:p>
      <w:pPr>
        <w:spacing w:line="360" w:lineRule="auto"/>
        <w:ind w:firstLine="420"/>
        <w:rPr>
          <w:rFonts w:ascii="宋体" w:hAnsi="宋体" w:cs="宋体"/>
          <w:sz w:val="24"/>
        </w:rPr>
      </w:pPr>
      <w:r>
        <w:rPr>
          <w:rFonts w:hint="eastAsia" w:ascii="宋体" w:hAnsi="宋体" w:cs="宋体"/>
          <w:sz w:val="24"/>
        </w:rPr>
        <w:t>3．本合同未尽事宜，遵照《民法典》有关条文执行。</w:t>
      </w:r>
    </w:p>
    <w:p>
      <w:pPr>
        <w:spacing w:line="360" w:lineRule="auto"/>
        <w:ind w:firstLine="420"/>
        <w:rPr>
          <w:rFonts w:ascii="宋体" w:hAnsi="宋体" w:cs="宋体"/>
          <w:sz w:val="24"/>
        </w:rPr>
      </w:pPr>
      <w:r>
        <w:rPr>
          <w:rFonts w:hint="eastAsia" w:ascii="宋体" w:hAnsi="宋体" w:cs="宋体"/>
          <w:sz w:val="24"/>
        </w:rPr>
        <w:t>4．本合同正本一式份，具有同等法律效力，甲乙双方各执份；副本份，(用途)。</w:t>
      </w:r>
    </w:p>
    <w:p>
      <w:pPr>
        <w:spacing w:line="360" w:lineRule="auto"/>
        <w:ind w:firstLine="420"/>
        <w:rPr>
          <w:rFonts w:ascii="宋体" w:hAnsi="宋体" w:cs="宋体"/>
          <w:sz w:val="24"/>
        </w:rPr>
      </w:pPr>
    </w:p>
    <w:p>
      <w:pPr>
        <w:spacing w:line="360" w:lineRule="auto"/>
        <w:ind w:firstLine="420"/>
        <w:rPr>
          <w:rFonts w:ascii="宋体" w:hAnsi="宋体" w:cs="宋体"/>
          <w:sz w:val="24"/>
        </w:rPr>
      </w:pPr>
      <w:r>
        <w:rPr>
          <w:rFonts w:hint="eastAsia" w:ascii="宋体" w:hAnsi="宋体" w:cs="宋体"/>
          <w:sz w:val="24"/>
        </w:rPr>
        <w:t>甲方（盖章）：                   乙方（盖章）：</w:t>
      </w:r>
    </w:p>
    <w:p>
      <w:pPr>
        <w:spacing w:line="360" w:lineRule="auto"/>
        <w:ind w:firstLine="420"/>
        <w:rPr>
          <w:rFonts w:ascii="宋体" w:hAnsi="宋体" w:cs="宋体"/>
          <w:sz w:val="24"/>
        </w:rPr>
      </w:pPr>
      <w:r>
        <w:rPr>
          <w:rFonts w:hint="eastAsia" w:ascii="宋体" w:hAnsi="宋体" w:cs="宋体"/>
          <w:sz w:val="24"/>
        </w:rPr>
        <w:t>法定代表人（或授权代表）：        法定代表人（或授权代表）：</w:t>
      </w:r>
    </w:p>
    <w:p>
      <w:pPr>
        <w:spacing w:line="360" w:lineRule="auto"/>
        <w:ind w:firstLine="420"/>
        <w:rPr>
          <w:rFonts w:ascii="宋体" w:hAnsi="宋体" w:cs="宋体"/>
          <w:sz w:val="24"/>
        </w:rPr>
      </w:pPr>
      <w:r>
        <w:rPr>
          <w:rFonts w:hint="eastAsia" w:ascii="宋体" w:hAnsi="宋体" w:cs="宋体"/>
          <w:sz w:val="24"/>
        </w:rPr>
        <w:t>地址：                           地址：</w:t>
      </w:r>
    </w:p>
    <w:p>
      <w:pPr>
        <w:spacing w:line="360" w:lineRule="auto"/>
        <w:ind w:firstLine="420"/>
        <w:rPr>
          <w:rFonts w:ascii="宋体" w:hAnsi="宋体" w:cs="宋体"/>
          <w:sz w:val="24"/>
        </w:rPr>
      </w:pPr>
      <w:r>
        <w:rPr>
          <w:rFonts w:hint="eastAsia" w:ascii="宋体" w:hAnsi="宋体" w:cs="宋体"/>
          <w:sz w:val="24"/>
        </w:rPr>
        <w:t>联系人：                           联系人：</w:t>
      </w:r>
    </w:p>
    <w:p>
      <w:pPr>
        <w:spacing w:line="360" w:lineRule="auto"/>
        <w:ind w:firstLine="420"/>
        <w:rPr>
          <w:rFonts w:ascii="宋体" w:hAnsi="宋体" w:cs="宋体"/>
          <w:sz w:val="24"/>
        </w:rPr>
      </w:pPr>
      <w:r>
        <w:rPr>
          <w:rFonts w:hint="eastAsia" w:ascii="宋体" w:hAnsi="宋体" w:cs="宋体"/>
          <w:sz w:val="24"/>
        </w:rPr>
        <w:t>联系电话：                         联系电话：</w:t>
      </w:r>
    </w:p>
    <w:p>
      <w:pPr>
        <w:spacing w:line="360" w:lineRule="auto"/>
        <w:ind w:firstLine="420"/>
        <w:rPr>
          <w:rFonts w:ascii="宋体" w:hAnsi="宋体" w:cs="宋体"/>
          <w:sz w:val="24"/>
        </w:rPr>
      </w:pPr>
      <w:r>
        <w:rPr>
          <w:rFonts w:hint="eastAsia" w:ascii="宋体" w:hAnsi="宋体" w:cs="宋体"/>
          <w:sz w:val="24"/>
        </w:rPr>
        <w:t>传真：                             传真：</w:t>
      </w:r>
    </w:p>
    <w:p>
      <w:pPr>
        <w:spacing w:line="360" w:lineRule="auto"/>
        <w:ind w:firstLine="420"/>
        <w:rPr>
          <w:rFonts w:ascii="宋体" w:hAnsi="宋体" w:cs="宋体"/>
          <w:sz w:val="24"/>
        </w:rPr>
      </w:pPr>
      <w:r>
        <w:rPr>
          <w:rFonts w:hint="eastAsia" w:ascii="宋体" w:hAnsi="宋体" w:cs="宋体"/>
          <w:sz w:val="24"/>
        </w:rPr>
        <w:t>开户银行：                         开户银行：</w:t>
      </w:r>
    </w:p>
    <w:p>
      <w:pPr>
        <w:spacing w:line="360" w:lineRule="auto"/>
        <w:ind w:firstLine="420"/>
        <w:rPr>
          <w:rFonts w:ascii="宋体" w:hAnsi="宋体" w:cs="宋体"/>
          <w:sz w:val="24"/>
        </w:rPr>
      </w:pPr>
      <w:r>
        <w:rPr>
          <w:rFonts w:hint="eastAsia" w:ascii="宋体" w:hAnsi="宋体" w:cs="宋体"/>
          <w:sz w:val="24"/>
        </w:rPr>
        <w:t>银行账号：                         银行账号：</w:t>
      </w:r>
    </w:p>
    <w:p>
      <w:pPr>
        <w:spacing w:line="360" w:lineRule="auto"/>
        <w:ind w:firstLine="420"/>
        <w:rPr>
          <w:rFonts w:ascii="宋体" w:hAnsi="宋体" w:cs="宋体"/>
          <w:sz w:val="24"/>
        </w:rPr>
      </w:pPr>
      <w:r>
        <w:rPr>
          <w:rFonts w:hint="eastAsia" w:ascii="宋体" w:hAnsi="宋体" w:cs="宋体"/>
          <w:sz w:val="24"/>
        </w:rPr>
        <w:t>签订地点：                       签订日期：</w:t>
      </w:r>
    </w:p>
    <w:p>
      <w:pPr>
        <w:spacing w:line="360" w:lineRule="auto"/>
        <w:ind w:firstLine="420"/>
        <w:rPr>
          <w:rFonts w:ascii="宋体" w:hAnsi="宋体" w:cs="宋体"/>
          <w:sz w:val="24"/>
        </w:rPr>
      </w:pPr>
    </w:p>
    <w:p>
      <w:pPr>
        <w:spacing w:line="360" w:lineRule="auto"/>
        <w:ind w:firstLine="420"/>
        <w:rPr>
          <w:rFonts w:ascii="宋体" w:hAnsi="宋体" w:cs="宋体"/>
          <w:sz w:val="24"/>
        </w:rPr>
      </w:pPr>
      <w:r>
        <w:rPr>
          <w:rFonts w:hint="eastAsia" w:ascii="宋体" w:hAnsi="宋体" w:cs="宋体"/>
          <w:sz w:val="24"/>
        </w:rPr>
        <w:t>鉴证方（盖章）</w:t>
      </w:r>
    </w:p>
    <w:p>
      <w:pPr>
        <w:spacing w:line="360" w:lineRule="auto"/>
        <w:ind w:firstLine="420"/>
        <w:rPr>
          <w:rFonts w:ascii="宋体" w:hAnsi="宋体" w:cs="宋体"/>
          <w:sz w:val="24"/>
        </w:rPr>
      </w:pPr>
      <w:r>
        <w:rPr>
          <w:rFonts w:hint="eastAsia" w:ascii="宋体" w:hAnsi="宋体" w:cs="宋体"/>
          <w:sz w:val="24"/>
        </w:rPr>
        <w:t>法定代表人（或授权代表）：</w:t>
      </w:r>
    </w:p>
    <w:p>
      <w:pPr>
        <w:spacing w:line="360" w:lineRule="auto"/>
        <w:ind w:firstLine="420"/>
        <w:rPr>
          <w:rFonts w:ascii="宋体" w:hAnsi="宋体" w:cs="宋体"/>
          <w:sz w:val="24"/>
        </w:rPr>
      </w:pPr>
      <w:r>
        <w:rPr>
          <w:rFonts w:hint="eastAsia" w:ascii="宋体" w:hAnsi="宋体" w:cs="宋体"/>
          <w:sz w:val="24"/>
        </w:rPr>
        <w:t xml:space="preserve">地址：                      </w:t>
      </w:r>
    </w:p>
    <w:p>
      <w:pPr>
        <w:spacing w:line="360" w:lineRule="auto"/>
        <w:ind w:firstLine="420"/>
        <w:rPr>
          <w:rFonts w:ascii="宋体" w:hAnsi="宋体" w:cs="宋体"/>
          <w:sz w:val="24"/>
        </w:rPr>
      </w:pPr>
      <w:r>
        <w:rPr>
          <w:rFonts w:hint="eastAsia" w:ascii="宋体" w:hAnsi="宋体" w:cs="宋体"/>
          <w:sz w:val="24"/>
        </w:rPr>
        <w:t>联系人：</w:t>
      </w:r>
    </w:p>
    <w:p>
      <w:pPr>
        <w:spacing w:line="360" w:lineRule="auto"/>
        <w:ind w:firstLine="420"/>
        <w:rPr>
          <w:rFonts w:ascii="宋体" w:hAnsi="宋体" w:cs="宋体"/>
          <w:sz w:val="24"/>
        </w:rPr>
      </w:pPr>
      <w:r>
        <w:rPr>
          <w:rFonts w:hint="eastAsia" w:ascii="宋体" w:hAnsi="宋体" w:cs="宋体"/>
          <w:sz w:val="24"/>
        </w:rPr>
        <w:t>联系电话：</w:t>
      </w:r>
    </w:p>
    <w:p>
      <w:pPr>
        <w:spacing w:line="360" w:lineRule="auto"/>
        <w:ind w:firstLine="420"/>
        <w:rPr>
          <w:rFonts w:ascii="宋体" w:hAnsi="宋体" w:cs="宋体"/>
          <w:sz w:val="24"/>
        </w:rPr>
      </w:pPr>
      <w:r>
        <w:rPr>
          <w:rFonts w:hint="eastAsia" w:ascii="宋体" w:hAnsi="宋体" w:cs="宋体"/>
          <w:sz w:val="24"/>
        </w:rPr>
        <w:t>传真：</w:t>
      </w:r>
    </w:p>
    <w:p>
      <w:pPr>
        <w:spacing w:line="360" w:lineRule="auto"/>
        <w:ind w:firstLine="420"/>
        <w:rPr>
          <w:rFonts w:ascii="宋体" w:hAnsi="宋体" w:cs="宋体"/>
          <w:sz w:val="24"/>
        </w:rPr>
      </w:pPr>
      <w:r>
        <w:rPr>
          <w:rFonts w:hint="eastAsia" w:ascii="宋体" w:hAnsi="宋体" w:cs="宋体"/>
          <w:sz w:val="24"/>
        </w:rPr>
        <w:t>鉴证日期：</w:t>
      </w:r>
    </w:p>
    <w:p>
      <w:pPr>
        <w:rPr>
          <w:rFonts w:ascii="宋体" w:hAnsi="宋体" w:cs="宋体"/>
          <w:b/>
          <w:sz w:val="36"/>
          <w:szCs w:val="20"/>
        </w:rPr>
      </w:pPr>
      <w:r>
        <w:rPr>
          <w:rFonts w:hint="eastAsia" w:ascii="宋体" w:hAnsi="宋体" w:cs="宋体"/>
          <w:b/>
          <w:sz w:val="36"/>
          <w:szCs w:val="20"/>
        </w:rPr>
        <w:br w:type="page"/>
      </w:r>
    </w:p>
    <w:p>
      <w:pPr>
        <w:spacing w:line="360" w:lineRule="auto"/>
        <w:jc w:val="center"/>
        <w:outlineLvl w:val="0"/>
        <w:rPr>
          <w:rFonts w:ascii="宋体" w:hAnsi="宋体" w:cs="宋体"/>
          <w:b/>
          <w:sz w:val="36"/>
          <w:szCs w:val="20"/>
        </w:rPr>
      </w:pPr>
      <w:bookmarkStart w:id="430" w:name="_Toc7034"/>
      <w:r>
        <w:rPr>
          <w:rFonts w:hint="eastAsia" w:ascii="宋体" w:hAnsi="宋体" w:cs="宋体"/>
          <w:b/>
          <w:sz w:val="36"/>
          <w:szCs w:val="20"/>
        </w:rPr>
        <w:t>第六部分</w:t>
      </w:r>
      <w:bookmarkEnd w:id="424"/>
      <w:bookmarkEnd w:id="425"/>
      <w:r>
        <w:rPr>
          <w:rFonts w:hint="eastAsia" w:ascii="宋体" w:hAnsi="宋体" w:cs="宋体"/>
          <w:b/>
          <w:sz w:val="36"/>
          <w:szCs w:val="20"/>
        </w:rPr>
        <w:t xml:space="preserve"> 应提交的有关格式范例</w:t>
      </w:r>
      <w:bookmarkEnd w:id="430"/>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bookmarkStart w:id="431" w:name="_Toc2950"/>
      <w:r>
        <w:rPr>
          <w:rFonts w:hint="eastAsia" w:ascii="宋体" w:hAnsi="宋体" w:cs="宋体"/>
          <w:b/>
          <w:kern w:val="0"/>
          <w:sz w:val="36"/>
          <w:szCs w:val="36"/>
        </w:rPr>
        <w:t>资格文件部分</w:t>
      </w:r>
      <w:bookmarkEnd w:id="431"/>
    </w:p>
    <w:p>
      <w:pPr>
        <w:spacing w:line="360" w:lineRule="auto"/>
        <w:jc w:val="center"/>
        <w:outlineLvl w:val="0"/>
        <w:rPr>
          <w:rFonts w:ascii="宋体" w:hAnsi="宋体" w:cs="宋体"/>
          <w:b/>
          <w:kern w:val="0"/>
          <w:sz w:val="36"/>
          <w:szCs w:val="36"/>
        </w:rPr>
      </w:pPr>
      <w:bookmarkStart w:id="432" w:name="_Toc16846"/>
      <w:r>
        <w:rPr>
          <w:rFonts w:hint="eastAsia" w:ascii="宋体" w:hAnsi="宋体" w:cs="宋体"/>
          <w:b/>
          <w:kern w:val="0"/>
          <w:sz w:val="36"/>
          <w:szCs w:val="36"/>
        </w:rPr>
        <w:t>目录</w:t>
      </w:r>
      <w:bookmarkEnd w:id="432"/>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z w:val="24"/>
        </w:rPr>
        <w:t>（2）落实政府采购政策需满足的资格要求………………………………（页码）</w:t>
      </w:r>
    </w:p>
    <w:p>
      <w:pPr>
        <w:snapToGrid w:val="0"/>
        <w:spacing w:line="360" w:lineRule="auto"/>
        <w:rPr>
          <w:rFonts w:ascii="宋体" w:hAnsi="宋体" w:cs="宋体"/>
          <w:sz w:val="24"/>
        </w:rPr>
      </w:pPr>
      <w:r>
        <w:rPr>
          <w:rFonts w:hint="eastAsia" w:ascii="宋体" w:hAnsi="宋体" w:cs="宋体"/>
          <w:sz w:val="24"/>
        </w:rPr>
        <w:t>（3）本项目的特定资格要求………………………………………………（页码）</w:t>
      </w:r>
    </w:p>
    <w:p>
      <w:pPr>
        <w:snapToGrid w:val="0"/>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一、 符合参加政府采购活动应当具备的一般条件的承诺函</w:t>
      </w:r>
    </w:p>
    <w:p>
      <w:pPr>
        <w:snapToGrid w:val="0"/>
        <w:spacing w:line="360" w:lineRule="auto"/>
        <w:rPr>
          <w:rFonts w:ascii="宋体" w:hAnsi="宋体" w:cs="宋体"/>
          <w:sz w:val="24"/>
        </w:rPr>
      </w:pPr>
      <w:r>
        <w:rPr>
          <w:rFonts w:hint="eastAsia" w:ascii="宋体" w:hAnsi="宋体" w:cs="宋体"/>
          <w:sz w:val="24"/>
        </w:rPr>
        <w:t>浙江省生态环境监测中心、浙江信镧建设工程咨询有限公司：</w:t>
      </w:r>
    </w:p>
    <w:p>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sz w:val="24"/>
          <w:lang w:eastAsia="zh-CN"/>
        </w:rPr>
        <w:t>2022年国家环境监测网区域环境空气监测站运行维护项目</w:t>
      </w:r>
      <w:r>
        <w:rPr>
          <w:rFonts w:hint="eastAsia" w:ascii="宋体" w:hAnsi="宋体" w:cs="宋体"/>
          <w:sz w:val="24"/>
        </w:rPr>
        <w:t>【招标编号：</w:t>
      </w:r>
      <w:r>
        <w:rPr>
          <w:rFonts w:hint="eastAsia" w:ascii="宋体" w:hAnsi="宋体" w:cs="宋体"/>
          <w:sz w:val="24"/>
          <w:lang w:eastAsia="zh-CN"/>
        </w:rPr>
        <w:t>ZJXL-STJCZX-202219</w:t>
      </w:r>
      <w:r>
        <w:rPr>
          <w:rFonts w:hint="eastAsia" w:ascii="宋体" w:hAnsi="宋体" w:cs="宋体"/>
          <w:sz w:val="24"/>
        </w:rPr>
        <w:t>】政府采购活动，郑重承诺：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二、落实政府采购政策需满足的资格要求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.专门面向中小企业，货物全部由符合政策要求的中小企业（或小微企业）制造或者服务全部由符合政策要求的中小企业（或小微企业）承接的，提供相应的中小企业声明函（附件5）。</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宋体" w:hAnsi="宋体" w:cs="宋体"/>
          <w:b/>
          <w:kern w:val="0"/>
          <w:sz w:val="32"/>
          <w:szCs w:val="32"/>
          <w:lang w:val="zh-CN"/>
        </w:rPr>
      </w:pPr>
      <w:r>
        <w:rPr>
          <w:rFonts w:hint="eastAsia" w:ascii="宋体" w:hAnsi="宋体" w:cs="宋体"/>
          <w:b/>
          <w:kern w:val="0"/>
          <w:sz w:val="32"/>
          <w:szCs w:val="32"/>
          <w:lang w:val="zh-CN"/>
        </w:rPr>
        <w:t>联合协议</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kern w:val="0"/>
          <w:sz w:val="24"/>
          <w:lang w:eastAsia="zh-CN"/>
        </w:rPr>
        <w:t>2022年国家环境监测网区域环境空气监测站运行维护项目</w:t>
      </w:r>
      <w:r>
        <w:rPr>
          <w:rFonts w:hint="eastAsia" w:ascii="宋体" w:hAnsi="宋体" w:cs="宋体"/>
          <w:sz w:val="24"/>
        </w:rPr>
        <w:t>【招标编号：</w:t>
      </w:r>
      <w:r>
        <w:rPr>
          <w:rFonts w:hint="eastAsia" w:ascii="宋体" w:hAnsi="宋体" w:cs="宋体"/>
          <w:sz w:val="24"/>
          <w:lang w:eastAsia="zh-CN"/>
        </w:rPr>
        <w:t>ZJXL-STJCZX-202219</w:t>
      </w:r>
      <w:r>
        <w:rPr>
          <w:rFonts w:hint="eastAsia" w:ascii="宋体" w:hAnsi="宋体" w:cs="宋体"/>
          <w:sz w:val="24"/>
        </w:rPr>
        <w:t>】</w:t>
      </w:r>
      <w:r>
        <w:rPr>
          <w:rFonts w:hint="eastAsia" w:ascii="宋体" w:hAnsi="宋体" w:cs="宋体"/>
          <w:kern w:val="0"/>
          <w:sz w:val="24"/>
          <w:lang w:val="zh-CN"/>
        </w:rPr>
        <w:t>投标。</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r>
        <w:rPr>
          <w:rFonts w:hint="eastAsia" w:ascii="宋体" w:hAnsi="宋体" w:cs="宋体"/>
          <w:kern w:val="0"/>
          <w:sz w:val="24"/>
          <w:u w:val="single"/>
        </w:rPr>
        <w:t>（联合体其中一方成员名称）</w:t>
      </w:r>
      <w:r>
        <w:rPr>
          <w:rFonts w:hint="eastAsia" w:ascii="宋体" w:hAnsi="宋体" w:cs="宋体"/>
          <w:kern w:val="0"/>
          <w:sz w:val="24"/>
          <w:lang w:val="zh-CN"/>
        </w:rPr>
        <w:t>承担的工作和义务为：；</w:t>
      </w:r>
      <w:r>
        <w:rPr>
          <w:rFonts w:hint="eastAsia" w:ascii="宋体" w:hAnsi="宋体" w:cs="宋体"/>
          <w:kern w:val="0"/>
          <w:sz w:val="24"/>
          <w:u w:val="single"/>
        </w:rPr>
        <w:t>（联合体其中一方成员名称）</w:t>
      </w:r>
      <w:r>
        <w:rPr>
          <w:rFonts w:hint="eastAsia" w:ascii="宋体" w:hAnsi="宋体" w:cs="宋体"/>
          <w:kern w:val="0"/>
          <w:sz w:val="24"/>
          <w:lang w:val="zh-CN"/>
        </w:rPr>
        <w:t>承担的工作和义务为：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w:t>
      </w:r>
      <w:r>
        <w:rPr>
          <w:rFonts w:hint="eastAsia" w:ascii="宋体" w:hAnsi="宋体" w:cs="宋体"/>
          <w:sz w:val="24"/>
        </w:rPr>
        <w:t>中小企业合同金额达到%，小微企业合同金额达到%</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spacing w:line="360" w:lineRule="auto"/>
        <w:ind w:firstLine="480" w:firstLineChars="200"/>
        <w:rPr>
          <w:rFonts w:ascii="宋体" w:hAnsi="宋体" w:cs="宋体"/>
          <w:sz w:val="24"/>
        </w:rPr>
      </w:pPr>
    </w:p>
    <w:p>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和中小企业声明函（附件5），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若成为2022年国家环境监测网区域环境空气监测站运行维护项目</w:t>
      </w:r>
      <w:r>
        <w:rPr>
          <w:rFonts w:hint="eastAsia" w:ascii="宋体" w:hAnsi="宋体" w:cs="宋体"/>
          <w:sz w:val="24"/>
        </w:rPr>
        <w:t>【招标编号：</w:t>
      </w:r>
      <w:r>
        <w:rPr>
          <w:rFonts w:hint="eastAsia" w:ascii="宋体" w:hAnsi="宋体" w:cs="宋体"/>
          <w:sz w:val="24"/>
          <w:lang w:eastAsia="zh-CN"/>
        </w:rPr>
        <w:t>ZJXL-STJCZX-202219</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XX工作内容   </w:t>
      </w:r>
      <w:r>
        <w:rPr>
          <w:rFonts w:hint="eastAsia" w:ascii="宋体" w:hAnsi="宋体" w:cs="宋体"/>
          <w:sz w:val="24"/>
        </w:rPr>
        <w:t>分包给</w:t>
      </w:r>
      <w:r>
        <w:rPr>
          <w:rFonts w:hint="eastAsia" w:ascii="宋体" w:hAnsi="宋体" w:cs="宋体"/>
          <w:kern w:val="0"/>
          <w:sz w:val="24"/>
          <w:u w:val="single"/>
        </w:rPr>
        <w:t>（某分包供应商名称）</w:t>
      </w:r>
      <w:r>
        <w:rPr>
          <w:rFonts w:hint="eastAsia" w:ascii="宋体" w:hAnsi="宋体" w:cs="宋体"/>
          <w:kern w:val="0"/>
          <w:sz w:val="24"/>
          <w:lang w:val="zh-CN"/>
        </w:rPr>
        <w:t>，</w:t>
      </w:r>
      <w:r>
        <w:rPr>
          <w:rFonts w:hint="eastAsia" w:ascii="宋体" w:hAnsi="宋体" w:cs="宋体"/>
          <w:kern w:val="0"/>
          <w:sz w:val="24"/>
          <w:u w:val="single"/>
        </w:rPr>
        <w:t>（某分包供应商名称），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pStyle w:val="5"/>
        <w:ind w:left="664" w:leftChars="316" w:firstLine="229" w:firstLineChars="95"/>
        <w:rPr>
          <w:rFonts w:ascii="宋体" w:hAnsi="宋体" w:eastAsia="宋体" w:cs="宋体"/>
        </w:rPr>
      </w:pPr>
      <w:bookmarkStart w:id="433" w:name="_Toc14623"/>
      <w:r>
        <w:rPr>
          <w:rFonts w:hint="eastAsia" w:ascii="宋体" w:hAnsi="宋体" w:eastAsia="宋体" w:cs="宋体"/>
          <w:kern w:val="0"/>
          <w:sz w:val="24"/>
          <w:szCs w:val="24"/>
        </w:rPr>
        <w:t>……</w:t>
      </w:r>
      <w:bookmarkEnd w:id="433"/>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二、分包工作履行期限、地点、方式</w:t>
      </w:r>
    </w:p>
    <w:p>
      <w:pPr>
        <w:snapToGrid w:val="0"/>
        <w:spacing w:line="360" w:lineRule="auto"/>
        <w:ind w:firstLine="576"/>
        <w:rPr>
          <w:rFonts w:ascii="宋体" w:hAnsi="宋体" w:cs="宋体"/>
          <w:u w:val="single"/>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三、质量</w:t>
      </w:r>
    </w:p>
    <w:p>
      <w:pPr>
        <w:snapToGrid w:val="0"/>
        <w:spacing w:line="360" w:lineRule="auto"/>
        <w:ind w:firstLine="576"/>
        <w:rPr>
          <w:rFonts w:ascii="宋体" w:hAnsi="宋体" w:cs="宋体"/>
          <w:kern w:val="0"/>
          <w:sz w:val="24"/>
          <w:lang w:val="zh-CN"/>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四、价款或者报酬</w:t>
      </w:r>
    </w:p>
    <w:p>
      <w:pPr>
        <w:snapToGrid w:val="0"/>
        <w:spacing w:line="360" w:lineRule="auto"/>
        <w:ind w:left="573" w:leftChars="273"/>
        <w:rPr>
          <w:rFonts w:ascii="宋体" w:hAnsi="宋体" w:cs="宋体"/>
          <w:kern w:val="0"/>
          <w:sz w:val="24"/>
          <w:lang w:val="zh-CN"/>
        </w:rPr>
      </w:pP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五、违约责任</w:t>
      </w:r>
    </w:p>
    <w:p>
      <w:pPr>
        <w:snapToGrid w:val="0"/>
        <w:spacing w:line="360" w:lineRule="auto"/>
        <w:ind w:firstLine="576"/>
        <w:rPr>
          <w:rFonts w:ascii="宋体" w:hAnsi="宋体" w:cs="宋体"/>
          <w:kern w:val="0"/>
          <w:sz w:val="24"/>
          <w:lang w:val="zh-CN"/>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六、争议解决的办法</w:t>
      </w:r>
    </w:p>
    <w:p>
      <w:pPr>
        <w:snapToGrid w:val="0"/>
        <w:spacing w:line="360" w:lineRule="auto"/>
        <w:ind w:firstLine="576"/>
        <w:rPr>
          <w:rFonts w:ascii="宋体" w:hAnsi="宋体" w:cs="宋体"/>
          <w:kern w:val="0"/>
          <w:sz w:val="24"/>
          <w:lang w:val="zh-CN"/>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七、其他</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中小企业合同金额达到%，小微企业合同金额达到%</w:t>
      </w:r>
      <w:r>
        <w:rPr>
          <w:rFonts w:hint="eastAsia" w:ascii="宋体" w:hAnsi="宋体" w:cs="宋体"/>
          <w:kern w:val="0"/>
          <w:sz w:val="24"/>
          <w:lang w:val="zh-CN"/>
        </w:rPr>
        <w:t xml:space="preserve">  。                                           投标人名称(电子签名)：</w:t>
      </w:r>
    </w:p>
    <w:p>
      <w:pPr>
        <w:snapToGrid w:val="0"/>
        <w:spacing w:line="360" w:lineRule="auto"/>
        <w:ind w:firstLine="5640" w:firstLineChars="2350"/>
        <w:rPr>
          <w:rFonts w:ascii="宋体" w:hAnsi="宋体" w:cs="宋体"/>
          <w:kern w:val="0"/>
          <w:sz w:val="24"/>
          <w:lang w:val="zh-CN"/>
        </w:rPr>
      </w:pPr>
      <w:r>
        <w:rPr>
          <w:rFonts w:hint="eastAsia" w:ascii="宋体" w:hAnsi="宋体" w:cs="宋体"/>
          <w:kern w:val="0"/>
          <w:sz w:val="24"/>
          <w:lang w:val="zh-CN"/>
        </w:rPr>
        <w:t>分包供应商名称：</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widowControl/>
        <w:spacing w:line="360" w:lineRule="auto"/>
        <w:ind w:left="150"/>
        <w:jc w:val="center"/>
        <w:rPr>
          <w:rFonts w:ascii="宋体" w:hAnsi="宋体" w:cs="宋体"/>
          <w:b/>
          <w:kern w:val="0"/>
          <w:sz w:val="32"/>
          <w:szCs w:val="32"/>
        </w:rPr>
      </w:pPr>
    </w:p>
    <w:p>
      <w:pPr>
        <w:rPr>
          <w:rFonts w:ascii="宋体" w:hAnsi="宋体" w:cs="宋体"/>
          <w:b/>
          <w:kern w:val="0"/>
          <w:sz w:val="32"/>
          <w:szCs w:val="32"/>
        </w:rPr>
      </w:pPr>
      <w:r>
        <w:rPr>
          <w:rFonts w:hint="eastAsia" w:ascii="宋体" w:hAnsi="宋体" w:cs="宋体"/>
          <w:b/>
          <w:kern w:val="0"/>
          <w:sz w:val="32"/>
          <w:szCs w:val="32"/>
        </w:rPr>
        <w:br w:type="page"/>
      </w: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三、本项目的特定资格要求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pacing w:line="360" w:lineRule="auto"/>
        <w:jc w:val="center"/>
        <w:outlineLvl w:val="0"/>
        <w:rPr>
          <w:rFonts w:ascii="宋体" w:hAnsi="宋体" w:cs="宋体"/>
          <w:b/>
          <w:kern w:val="0"/>
          <w:sz w:val="36"/>
          <w:szCs w:val="36"/>
        </w:rPr>
      </w:pPr>
    </w:p>
    <w:p>
      <w:pPr>
        <w:snapToGrid w:val="0"/>
        <w:spacing w:line="360" w:lineRule="auto"/>
        <w:ind w:right="480"/>
        <w:jc w:val="center"/>
        <w:rPr>
          <w:rFonts w:ascii="宋体" w:hAnsi="宋体" w:cs="宋体"/>
          <w:b/>
          <w:kern w:val="0"/>
          <w:sz w:val="32"/>
          <w:szCs w:val="32"/>
        </w:rPr>
      </w:pPr>
    </w:p>
    <w:p>
      <w:pPr>
        <w:spacing w:line="360" w:lineRule="auto"/>
        <w:jc w:val="center"/>
        <w:outlineLvl w:val="0"/>
        <w:rPr>
          <w:rFonts w:ascii="宋体" w:hAnsi="宋体" w:cs="宋体"/>
          <w:b/>
          <w:kern w:val="0"/>
          <w:sz w:val="36"/>
          <w:szCs w:val="36"/>
        </w:rPr>
      </w:pPr>
    </w:p>
    <w:p>
      <w:pPr>
        <w:snapToGrid w:val="0"/>
        <w:spacing w:line="360" w:lineRule="auto"/>
        <w:ind w:right="480"/>
        <w:jc w:val="center"/>
        <w:rPr>
          <w:rFonts w:ascii="宋体" w:hAnsi="宋体" w:cs="宋体"/>
          <w:b/>
          <w:kern w:val="0"/>
          <w:sz w:val="32"/>
          <w:szCs w:val="32"/>
        </w:rPr>
      </w:pPr>
    </w:p>
    <w:p>
      <w:pPr>
        <w:spacing w:line="360" w:lineRule="auto"/>
        <w:jc w:val="center"/>
        <w:outlineLvl w:val="0"/>
        <w:rPr>
          <w:rFonts w:ascii="宋体" w:hAnsi="宋体" w:cs="宋体"/>
          <w:b/>
          <w:kern w:val="0"/>
          <w:sz w:val="36"/>
          <w:szCs w:val="36"/>
        </w:rPr>
      </w:pPr>
    </w:p>
    <w:p>
      <w:pPr>
        <w:rPr>
          <w:rFonts w:ascii="宋体" w:hAnsi="宋体" w:cs="宋体"/>
          <w:b/>
          <w:kern w:val="0"/>
          <w:sz w:val="36"/>
          <w:szCs w:val="36"/>
        </w:rPr>
      </w:pPr>
      <w:r>
        <w:rPr>
          <w:rFonts w:hint="eastAsia" w:ascii="宋体" w:hAnsi="宋体" w:cs="宋体"/>
          <w:b/>
          <w:kern w:val="0"/>
          <w:sz w:val="36"/>
          <w:szCs w:val="36"/>
        </w:rPr>
        <w:br w:type="page"/>
      </w:r>
    </w:p>
    <w:p>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4"/>
        </w:rPr>
      </w:pPr>
    </w:p>
    <w:p>
      <w:pPr>
        <w:spacing w:line="360" w:lineRule="auto"/>
        <w:jc w:val="center"/>
        <w:outlineLvl w:val="0"/>
        <w:rPr>
          <w:rFonts w:ascii="宋体" w:hAnsi="宋体" w:cs="宋体"/>
          <w:b/>
          <w:kern w:val="0"/>
          <w:sz w:val="28"/>
          <w:szCs w:val="28"/>
        </w:rPr>
      </w:pPr>
      <w:bookmarkStart w:id="434" w:name="_Toc15453"/>
      <w:r>
        <w:rPr>
          <w:rFonts w:hint="eastAsia" w:ascii="宋体" w:hAnsi="宋体" w:cs="宋体"/>
          <w:b/>
          <w:kern w:val="0"/>
          <w:sz w:val="28"/>
          <w:szCs w:val="28"/>
        </w:rPr>
        <w:t>目录</w:t>
      </w:r>
      <w:bookmarkEnd w:id="434"/>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（3）联合协议</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（4）分包意向协议</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（5）符合性审查资料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（6）评标标准相应的商务技术资料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（7）商务技术偏离表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jc w:val="center"/>
        <w:rPr>
          <w:rFonts w:ascii="宋体" w:hAnsi="宋体" w:cs="宋体"/>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sz w:val="32"/>
          <w:szCs w:val="32"/>
        </w:rPr>
      </w:pPr>
      <w:bookmarkStart w:id="435" w:name="_Toc4096"/>
      <w:r>
        <w:rPr>
          <w:rFonts w:hint="eastAsia" w:ascii="宋体" w:hAnsi="宋体" w:cs="宋体"/>
          <w:b/>
          <w:kern w:val="0"/>
          <w:sz w:val="32"/>
          <w:szCs w:val="32"/>
        </w:rPr>
        <w:t>一、投标</w:t>
      </w:r>
      <w:r>
        <w:rPr>
          <w:rFonts w:hint="eastAsia" w:ascii="宋体" w:hAnsi="宋体" w:cs="宋体"/>
          <w:b/>
          <w:sz w:val="32"/>
          <w:szCs w:val="32"/>
        </w:rPr>
        <w:t>函</w:t>
      </w:r>
      <w:bookmarkEnd w:id="435"/>
    </w:p>
    <w:p>
      <w:pPr>
        <w:snapToGrid w:val="0"/>
        <w:spacing w:line="360" w:lineRule="auto"/>
        <w:rPr>
          <w:rFonts w:ascii="宋体" w:hAnsi="宋体" w:cs="宋体"/>
          <w:sz w:val="24"/>
        </w:rPr>
      </w:pPr>
      <w:r>
        <w:rPr>
          <w:rFonts w:hint="eastAsia" w:ascii="宋体" w:hAnsi="宋体" w:cs="宋体"/>
          <w:sz w:val="24"/>
        </w:rPr>
        <w:t>浙江省生态环境监测中心、浙江信镧建设工程咨询有限公司：</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sz w:val="24"/>
          <w:lang w:eastAsia="zh-CN"/>
        </w:rPr>
        <w:t>2022年国家环境监测网区域环境空气监测站运行维护项目</w:t>
      </w:r>
      <w:r>
        <w:rPr>
          <w:rFonts w:hint="eastAsia" w:ascii="宋体" w:hAnsi="宋体" w:cs="宋体"/>
          <w:sz w:val="24"/>
        </w:rPr>
        <w:t>项目【招标编号：</w:t>
      </w:r>
      <w:r>
        <w:rPr>
          <w:rFonts w:hint="eastAsia" w:ascii="宋体" w:hAnsi="宋体" w:cs="宋体"/>
          <w:sz w:val="24"/>
          <w:lang w:eastAsia="zh-CN"/>
        </w:rPr>
        <w:t>ZJXL-STJCZX-202219</w:t>
      </w:r>
      <w:r>
        <w:rPr>
          <w:rFonts w:hint="eastAsia" w:ascii="宋体" w:hAnsi="宋体" w:cs="宋体"/>
          <w:sz w:val="24"/>
        </w:rPr>
        <w:t>】招标的有关活动，并对此项目进行投标。为此：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2.1.2落实政府采购政策需满足的资格要求（如果有）；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2.1.3本项目的特定资格要求（如果有）。</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2.2.3联合协议（如果有）；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2.2.4分包意向协议（如果有）；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2.2.5符合性审查资料；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2.2.6评标标准相应的商务技术资料；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2.2.7商务技术偏离表；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8</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p>
    <w:p>
      <w:pPr>
        <w:spacing w:line="360" w:lineRule="auto"/>
        <w:ind w:firstLine="3600" w:firstLineChars="1500"/>
        <w:rPr>
          <w:rFonts w:ascii="宋体" w:hAnsi="宋体" w:cs="宋体"/>
          <w:sz w:val="24"/>
        </w:rPr>
      </w:pPr>
      <w:r>
        <w:rPr>
          <w:rFonts w:hint="eastAsia" w:ascii="宋体" w:hAnsi="宋体" w:cs="宋体"/>
          <w:sz w:val="24"/>
        </w:rPr>
        <w:t>投标人名称（电子签名）：</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lang w:val="zh-CN"/>
        </w:rPr>
      </w:pPr>
    </w:p>
    <w:p>
      <w:pPr>
        <w:snapToGrid w:val="0"/>
        <w:spacing w:line="360" w:lineRule="auto"/>
        <w:jc w:val="center"/>
        <w:rPr>
          <w:rFonts w:ascii="宋体" w:hAnsi="宋体" w:cs="宋体"/>
          <w:b/>
          <w:kern w:val="0"/>
          <w:sz w:val="32"/>
          <w:szCs w:val="32"/>
          <w:lang w:val="zh-CN"/>
        </w:rPr>
      </w:pPr>
    </w:p>
    <w:p>
      <w:pPr>
        <w:snapToGrid w:val="0"/>
        <w:spacing w:line="360" w:lineRule="auto"/>
        <w:rPr>
          <w:rFonts w:ascii="宋体" w:hAnsi="宋体" w:cs="宋体"/>
          <w:sz w:val="24"/>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jc w:val="center"/>
        <w:rPr>
          <w:rFonts w:ascii="宋体" w:hAnsi="宋体" w:cs="宋体"/>
          <w:b/>
          <w:kern w:val="0"/>
          <w:sz w:val="32"/>
          <w:szCs w:val="32"/>
          <w:lang w:val="zh-CN"/>
        </w:rPr>
      </w:pPr>
    </w:p>
    <w:p>
      <w:pPr>
        <w:rPr>
          <w:rFonts w:ascii="宋体" w:hAnsi="宋体" w:cs="宋体"/>
          <w:b/>
          <w:kern w:val="0"/>
          <w:sz w:val="32"/>
          <w:szCs w:val="32"/>
          <w:lang w:val="zh-CN"/>
        </w:rPr>
      </w:pPr>
      <w:r>
        <w:rPr>
          <w:rFonts w:hint="eastAsia" w:ascii="宋体" w:hAnsi="宋体" w:cs="宋体"/>
          <w:b/>
          <w:kern w:val="0"/>
          <w:sz w:val="32"/>
          <w:szCs w:val="32"/>
          <w:lang w:val="zh-CN"/>
        </w:rPr>
        <w:br w:type="page"/>
      </w: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p>
    <w:p>
      <w:pPr>
        <w:snapToGrid w:val="0"/>
        <w:spacing w:line="360" w:lineRule="auto"/>
        <w:rPr>
          <w:rFonts w:ascii="宋体" w:hAnsi="宋体" w:cs="宋体"/>
          <w:kern w:val="0"/>
          <w:sz w:val="24"/>
        </w:rPr>
      </w:pPr>
      <w:r>
        <w:rPr>
          <w:rFonts w:hint="eastAsia" w:ascii="宋体" w:hAnsi="宋体" w:cs="宋体"/>
          <w:sz w:val="24"/>
        </w:rPr>
        <w:t>浙江省生态环境监测中心、浙江信镧建设工程咨询有限公司</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委托（姓名）为我方代理人（身份证号码：，手机：），以我方名义处理2022年国家环境监测网区域环境空气监测站运行维护项目</w:t>
      </w:r>
      <w:r>
        <w:rPr>
          <w:rFonts w:hint="eastAsia" w:ascii="宋体" w:hAnsi="宋体" w:cs="宋体"/>
          <w:sz w:val="24"/>
        </w:rPr>
        <w:t>【招标编号：</w:t>
      </w:r>
      <w:r>
        <w:rPr>
          <w:rFonts w:hint="eastAsia" w:ascii="宋体" w:hAnsi="宋体" w:cs="宋体"/>
          <w:sz w:val="24"/>
          <w:lang w:eastAsia="zh-CN"/>
        </w:rPr>
        <w:t>ZJXL-STJCZX-202219</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pPr>
        <w:snapToGrid w:val="0"/>
        <w:spacing w:line="360" w:lineRule="auto"/>
        <w:rPr>
          <w:rFonts w:ascii="宋体" w:hAnsi="宋体" w:cs="宋体"/>
          <w:kern w:val="0"/>
          <w:sz w:val="24"/>
        </w:rPr>
      </w:pP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snapToGrid w:val="0"/>
        <w:spacing w:line="360" w:lineRule="auto"/>
        <w:rPr>
          <w:rFonts w:ascii="宋体" w:hAnsi="宋体" w:cs="宋体"/>
          <w:sz w:val="24"/>
        </w:rPr>
      </w:pP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cs="宋体"/>
          <w:sz w:val="24"/>
        </w:rPr>
        <w:t>浙江省生态环境监测中心、浙江信镧建设工程咨询有限公司</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委托（姓名）为我方代理人（身份证号码：，手机：），以我方名义处理2022年国家环境监测网区域环境空气监测站运行维护项目</w:t>
      </w:r>
      <w:r>
        <w:rPr>
          <w:rFonts w:hint="eastAsia" w:ascii="宋体" w:hAnsi="宋体" w:cs="宋体"/>
          <w:sz w:val="24"/>
        </w:rPr>
        <w:t>【招标编号：</w:t>
      </w:r>
      <w:r>
        <w:rPr>
          <w:rFonts w:hint="eastAsia" w:ascii="宋体" w:hAnsi="宋体" w:cs="宋体"/>
          <w:sz w:val="24"/>
          <w:lang w:eastAsia="zh-CN"/>
        </w:rPr>
        <w:t>ZJXL-STJCZX-202219</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pPr>
        <w:snapToGrid w:val="0"/>
        <w:spacing w:line="360" w:lineRule="auto"/>
        <w:rPr>
          <w:rFonts w:ascii="宋体" w:hAnsi="宋体" w:cs="宋体"/>
          <w:kern w:val="0"/>
          <w:sz w:val="24"/>
        </w:rPr>
      </w:pPr>
      <w:r>
        <w:rPr>
          <w:rFonts w:hint="eastAsia" w:ascii="宋体" w:hAnsi="宋体" w:cs="宋体"/>
          <w:kern w:val="0"/>
          <w:sz w:val="24"/>
          <w:lang w:val="zh-CN"/>
        </w:rPr>
        <w:t>特此告知。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47"/>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7"/>
              <w:adjustRightInd w:val="0"/>
              <w:spacing w:line="360" w:lineRule="auto"/>
              <w:rPr>
                <w:rFonts w:hAnsi="宋体" w:cs="宋体"/>
                <w:bCs/>
                <w:sz w:val="24"/>
              </w:rPr>
            </w:pPr>
            <w:r>
              <w:rPr>
                <w:rFonts w:hint="eastAsia" w:hAnsi="宋体" w:cs="宋体"/>
                <w:bCs/>
                <w:sz w:val="24"/>
              </w:rPr>
              <w:t>正面：反面：</w:t>
            </w:r>
          </w:p>
          <w:p>
            <w:pPr>
              <w:pStyle w:val="147"/>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lang w:val="zh-CN"/>
        </w:rPr>
      </w:pPr>
      <w:r>
        <w:rPr>
          <w:rFonts w:hint="eastAsia" w:ascii="宋体" w:hAnsi="宋体" w:cs="宋体"/>
          <w:b/>
          <w:kern w:val="0"/>
          <w:sz w:val="32"/>
          <w:szCs w:val="32"/>
        </w:rPr>
        <w:t>三、</w:t>
      </w:r>
      <w:r>
        <w:rPr>
          <w:rFonts w:hint="eastAsia" w:ascii="宋体" w:hAnsi="宋体" w:cs="宋体"/>
          <w:b/>
          <w:kern w:val="0"/>
          <w:sz w:val="32"/>
          <w:szCs w:val="32"/>
          <w:lang w:val="zh-CN"/>
        </w:rPr>
        <w:t>联合协议</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kern w:val="0"/>
          <w:sz w:val="24"/>
          <w:lang w:eastAsia="zh-CN"/>
        </w:rPr>
        <w:t>2022年国家环境监测网区域环境空气监测站运行维护项目</w:t>
      </w:r>
      <w:r>
        <w:rPr>
          <w:rFonts w:hint="eastAsia" w:ascii="宋体" w:hAnsi="宋体" w:cs="宋体"/>
          <w:sz w:val="24"/>
        </w:rPr>
        <w:t>【招标编号：</w:t>
      </w:r>
      <w:r>
        <w:rPr>
          <w:rFonts w:hint="eastAsia" w:ascii="宋体" w:hAnsi="宋体" w:cs="宋体"/>
          <w:sz w:val="24"/>
          <w:lang w:eastAsia="zh-CN"/>
        </w:rPr>
        <w:t>ZJXL-STJCZX-202219</w:t>
      </w:r>
      <w:r>
        <w:rPr>
          <w:rFonts w:hint="eastAsia" w:ascii="宋体" w:hAnsi="宋体" w:cs="宋体"/>
          <w:sz w:val="24"/>
        </w:rPr>
        <w:t>】</w:t>
      </w:r>
      <w:r>
        <w:rPr>
          <w:rFonts w:hint="eastAsia" w:ascii="宋体" w:hAnsi="宋体" w:cs="宋体"/>
          <w:kern w:val="0"/>
          <w:sz w:val="24"/>
          <w:lang w:val="zh-CN"/>
        </w:rPr>
        <w:t>投标。</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r>
        <w:rPr>
          <w:rFonts w:hint="eastAsia" w:ascii="宋体" w:hAnsi="宋体" w:cs="宋体"/>
          <w:kern w:val="0"/>
          <w:sz w:val="24"/>
          <w:u w:val="single"/>
        </w:rPr>
        <w:t>（联合体其中一方成员名称）</w:t>
      </w:r>
      <w:r>
        <w:rPr>
          <w:rFonts w:hint="eastAsia" w:ascii="宋体" w:hAnsi="宋体" w:cs="宋体"/>
          <w:kern w:val="0"/>
          <w:sz w:val="24"/>
          <w:lang w:val="zh-CN"/>
        </w:rPr>
        <w:t>承担的工作和义务为：；……。</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四、</w:t>
      </w:r>
      <w:r>
        <w:rPr>
          <w:rFonts w:hint="eastAsia" w:ascii="宋体" w:hAnsi="宋体" w:cs="宋体"/>
          <w:kern w:val="0"/>
          <w:sz w:val="24"/>
          <w:u w:val="single"/>
        </w:rPr>
        <w:t>（联合体其中一方成员名称）</w:t>
      </w:r>
      <w:r>
        <w:rPr>
          <w:rFonts w:hint="eastAsia" w:ascii="宋体" w:hAnsi="宋体" w:cs="宋体"/>
          <w:kern w:val="0"/>
          <w:sz w:val="24"/>
        </w:rPr>
        <w:t>提供的全部服务由小微企业提供，其合同份额占到合同总金额%以上；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（未预留份额专门面向中小企业采购的采购项目，以及预留份额中的非预留部分采购包，接受联合体投标的，联合体其中一方</w:t>
      </w:r>
      <w:r>
        <w:rPr>
          <w:rFonts w:hint="eastAsia" w:ascii="宋体" w:hAnsi="宋体" w:cs="宋体"/>
          <w:b/>
          <w:kern w:val="0"/>
          <w:sz w:val="24"/>
        </w:rPr>
        <w:t>是</w:t>
      </w:r>
      <w:r>
        <w:rPr>
          <w:rFonts w:hint="eastAsia" w:ascii="宋体" w:hAnsi="宋体" w:cs="宋体"/>
          <w:b/>
          <w:kern w:val="0"/>
          <w:sz w:val="24"/>
          <w:lang w:val="zh-CN"/>
        </w:rPr>
        <w:t>小微企业</w:t>
      </w:r>
      <w:r>
        <w:rPr>
          <w:rFonts w:hint="eastAsia" w:ascii="宋体" w:hAnsi="宋体" w:cs="宋体"/>
          <w:b/>
          <w:kern w:val="0"/>
          <w:sz w:val="24"/>
        </w:rPr>
        <w:t>的</w:t>
      </w:r>
      <w:r>
        <w:rPr>
          <w:rFonts w:hint="eastAsia" w:ascii="宋体" w:hAnsi="宋体" w:cs="宋体"/>
          <w:b/>
          <w:kern w:val="0"/>
          <w:sz w:val="24"/>
          <w:lang w:val="zh-CN"/>
        </w:rPr>
        <w:t>，且其合同份额占到合同总金额 30%以上，对联合体报价给予</w:t>
      </w:r>
      <w:r>
        <w:rPr>
          <w:rFonts w:hint="eastAsia" w:ascii="宋体" w:hAnsi="宋体" w:cs="宋体"/>
          <w:b/>
          <w:kern w:val="0"/>
          <w:sz w:val="24"/>
        </w:rPr>
        <w:t>6</w:t>
      </w:r>
      <w:r>
        <w:rPr>
          <w:rFonts w:hint="eastAsia" w:ascii="宋体" w:hAnsi="宋体" w:cs="宋体"/>
          <w:b/>
          <w:kern w:val="0"/>
          <w:sz w:val="24"/>
          <w:lang w:val="zh-CN"/>
        </w:rPr>
        <w:t>%的扣除）</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snapToGrid w:val="0"/>
        <w:spacing w:line="360" w:lineRule="auto"/>
        <w:ind w:right="480"/>
        <w:rPr>
          <w:rFonts w:ascii="宋体" w:hAnsi="宋体" w:cs="宋体"/>
          <w:b/>
          <w:kern w:val="0"/>
          <w:sz w:val="32"/>
          <w:szCs w:val="32"/>
          <w:lang w:val="zh-CN"/>
        </w:rPr>
        <w:sectPr>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四、分包意向协议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若成为2022年国家环境监测网区域环境空气监测站运行维护项目</w:t>
      </w:r>
      <w:r>
        <w:rPr>
          <w:rFonts w:hint="eastAsia" w:ascii="宋体" w:hAnsi="宋体" w:cs="宋体"/>
          <w:sz w:val="24"/>
        </w:rPr>
        <w:t>【招标编号：</w:t>
      </w:r>
      <w:r>
        <w:rPr>
          <w:rFonts w:hint="eastAsia" w:ascii="宋体" w:hAnsi="宋体" w:cs="宋体"/>
          <w:sz w:val="24"/>
          <w:lang w:eastAsia="zh-CN"/>
        </w:rPr>
        <w:t>ZJXL-STJCZX-202219</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XX工作内容   </w:t>
      </w:r>
      <w:r>
        <w:rPr>
          <w:rFonts w:hint="eastAsia" w:ascii="宋体" w:hAnsi="宋体" w:cs="宋体"/>
          <w:sz w:val="24"/>
        </w:rPr>
        <w:t>分包给</w:t>
      </w:r>
      <w:r>
        <w:rPr>
          <w:rFonts w:hint="eastAsia" w:ascii="宋体" w:hAnsi="宋体" w:cs="宋体"/>
          <w:kern w:val="0"/>
          <w:sz w:val="24"/>
          <w:u w:val="single"/>
        </w:rPr>
        <w:t>（某分包供应商名称）</w:t>
      </w:r>
      <w:r>
        <w:rPr>
          <w:rFonts w:hint="eastAsia" w:ascii="宋体" w:hAnsi="宋体" w:cs="宋体"/>
          <w:kern w:val="0"/>
          <w:sz w:val="24"/>
          <w:lang w:val="zh-CN"/>
        </w:rPr>
        <w:t>，</w:t>
      </w:r>
      <w:r>
        <w:rPr>
          <w:rFonts w:hint="eastAsia" w:ascii="宋体" w:hAnsi="宋体" w:cs="宋体"/>
          <w:kern w:val="0"/>
          <w:sz w:val="24"/>
          <w:u w:val="single"/>
        </w:rPr>
        <w:t>（某分包供应商名称），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pStyle w:val="5"/>
        <w:ind w:left="664" w:leftChars="316" w:firstLine="229" w:firstLineChars="95"/>
        <w:rPr>
          <w:rFonts w:ascii="宋体" w:hAnsi="宋体" w:eastAsia="宋体" w:cs="宋体"/>
        </w:rPr>
      </w:pPr>
      <w:bookmarkStart w:id="436" w:name="_Toc29237"/>
      <w:r>
        <w:rPr>
          <w:rFonts w:hint="eastAsia" w:ascii="宋体" w:hAnsi="宋体" w:eastAsia="宋体" w:cs="宋体"/>
          <w:kern w:val="0"/>
          <w:sz w:val="24"/>
          <w:szCs w:val="24"/>
        </w:rPr>
        <w:t>……</w:t>
      </w:r>
      <w:bookmarkEnd w:id="436"/>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二、分包工作履行期限、地点、方式</w:t>
      </w:r>
    </w:p>
    <w:p>
      <w:pPr>
        <w:snapToGrid w:val="0"/>
        <w:spacing w:line="360" w:lineRule="auto"/>
        <w:ind w:firstLine="576"/>
        <w:rPr>
          <w:rFonts w:ascii="宋体" w:hAnsi="宋体" w:cs="宋体"/>
          <w:u w:val="single"/>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三、质量</w:t>
      </w:r>
    </w:p>
    <w:p>
      <w:pPr>
        <w:snapToGrid w:val="0"/>
        <w:spacing w:line="360" w:lineRule="auto"/>
        <w:ind w:firstLine="576"/>
        <w:rPr>
          <w:rFonts w:ascii="宋体" w:hAnsi="宋体" w:cs="宋体"/>
          <w:kern w:val="0"/>
          <w:sz w:val="24"/>
          <w:lang w:val="zh-CN"/>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四、价款或者报酬</w:t>
      </w:r>
    </w:p>
    <w:p>
      <w:pPr>
        <w:snapToGrid w:val="0"/>
        <w:spacing w:line="360" w:lineRule="auto"/>
        <w:ind w:left="573" w:leftChars="273"/>
        <w:rPr>
          <w:rFonts w:ascii="宋体" w:hAnsi="宋体" w:cs="宋体"/>
          <w:kern w:val="0"/>
          <w:sz w:val="24"/>
          <w:lang w:val="zh-CN"/>
        </w:rPr>
      </w:pP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五、违约责任</w:t>
      </w:r>
    </w:p>
    <w:p>
      <w:pPr>
        <w:snapToGrid w:val="0"/>
        <w:spacing w:line="360" w:lineRule="auto"/>
        <w:ind w:firstLine="576"/>
        <w:rPr>
          <w:rFonts w:ascii="宋体" w:hAnsi="宋体" w:cs="宋体"/>
          <w:kern w:val="0"/>
          <w:sz w:val="24"/>
          <w:lang w:val="zh-CN"/>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六、争议解决的办法</w:t>
      </w:r>
    </w:p>
    <w:p>
      <w:pPr>
        <w:snapToGrid w:val="0"/>
        <w:spacing w:line="360" w:lineRule="auto"/>
        <w:ind w:firstLine="576"/>
        <w:rPr>
          <w:rFonts w:ascii="宋体" w:hAnsi="宋体" w:cs="宋体"/>
          <w:kern w:val="0"/>
          <w:sz w:val="24"/>
          <w:lang w:val="zh-CN"/>
        </w:rPr>
      </w:pP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七、其他</w:t>
      </w:r>
    </w:p>
    <w:p>
      <w:pPr>
        <w:snapToGrid w:val="0"/>
        <w:spacing w:line="360" w:lineRule="auto"/>
        <w:ind w:firstLine="576"/>
        <w:rPr>
          <w:rFonts w:ascii="宋体" w:hAnsi="宋体" w:cs="宋体"/>
          <w:b/>
          <w:kern w:val="0"/>
          <w:sz w:val="24"/>
          <w:lang w:val="zh-CN"/>
        </w:rPr>
      </w:pPr>
      <w:r>
        <w:rPr>
          <w:rFonts w:hint="eastAsia" w:ascii="宋体" w:hAnsi="宋体" w:cs="宋体"/>
          <w:kern w:val="0"/>
          <w:sz w:val="24"/>
          <w:u w:val="single"/>
        </w:rPr>
        <w:t>（分包供应商名称）提供的服务全部由小微企业提供，</w:t>
      </w:r>
      <w:r>
        <w:rPr>
          <w:rFonts w:hint="eastAsia" w:ascii="宋体" w:hAnsi="宋体" w:cs="宋体"/>
          <w:kern w:val="0"/>
          <w:sz w:val="24"/>
        </w:rPr>
        <w:t>其合同份额占到合同总金额%以上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（未预留份额专门面向中小企业采购的采购项目，以及预留份额中的非预留部分采购包，允许分包的，分包供应商</w:t>
      </w:r>
      <w:r>
        <w:rPr>
          <w:rFonts w:hint="eastAsia" w:ascii="宋体" w:hAnsi="宋体" w:cs="宋体"/>
          <w:b/>
          <w:kern w:val="0"/>
          <w:sz w:val="24"/>
        </w:rPr>
        <w:t>是</w:t>
      </w:r>
      <w:r>
        <w:rPr>
          <w:rFonts w:hint="eastAsia" w:ascii="宋体" w:hAnsi="宋体" w:cs="宋体"/>
          <w:b/>
          <w:kern w:val="0"/>
          <w:sz w:val="24"/>
          <w:lang w:val="zh-CN"/>
        </w:rPr>
        <w:t>小微企业</w:t>
      </w:r>
      <w:r>
        <w:rPr>
          <w:rFonts w:hint="eastAsia" w:ascii="宋体" w:hAnsi="宋体" w:cs="宋体"/>
          <w:b/>
          <w:kern w:val="0"/>
          <w:sz w:val="24"/>
        </w:rPr>
        <w:t>的</w:t>
      </w:r>
      <w:r>
        <w:rPr>
          <w:rFonts w:hint="eastAsia" w:ascii="宋体" w:hAnsi="宋体" w:cs="宋体"/>
          <w:b/>
          <w:kern w:val="0"/>
          <w:sz w:val="24"/>
          <w:lang w:val="zh-CN"/>
        </w:rPr>
        <w:t>，且其合同份额占到合同总金额 30%以上的，对大中型企业的报价给予</w:t>
      </w:r>
      <w:r>
        <w:rPr>
          <w:rFonts w:hint="eastAsia" w:ascii="宋体" w:hAnsi="宋体" w:cs="宋体"/>
          <w:b/>
          <w:kern w:val="0"/>
          <w:sz w:val="24"/>
        </w:rPr>
        <w:t>6</w:t>
      </w:r>
      <w:r>
        <w:rPr>
          <w:rFonts w:hint="eastAsia" w:ascii="宋体" w:hAnsi="宋体" w:cs="宋体"/>
          <w:b/>
          <w:kern w:val="0"/>
          <w:sz w:val="24"/>
          <w:lang w:val="zh-CN"/>
        </w:rPr>
        <w:t>%的扣除）</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投标人名称(电子签名)：</w:t>
      </w:r>
    </w:p>
    <w:p>
      <w:pPr>
        <w:snapToGrid w:val="0"/>
        <w:spacing w:line="360" w:lineRule="auto"/>
        <w:ind w:firstLine="5640" w:firstLineChars="2350"/>
        <w:rPr>
          <w:rFonts w:ascii="宋体" w:hAnsi="宋体" w:cs="宋体"/>
          <w:kern w:val="0"/>
          <w:sz w:val="24"/>
          <w:lang w:val="zh-CN"/>
        </w:rPr>
      </w:pPr>
      <w:r>
        <w:rPr>
          <w:rFonts w:hint="eastAsia" w:ascii="宋体" w:hAnsi="宋体" w:cs="宋体"/>
          <w:kern w:val="0"/>
          <w:sz w:val="24"/>
          <w:lang w:val="zh-CN"/>
        </w:rPr>
        <w:t>分包供应商名称：</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r>
        <w:rPr>
          <w:rFonts w:hint="eastAsia" w:ascii="宋体" w:hAnsi="宋体" w:cs="宋体"/>
          <w:b/>
          <w:kern w:val="0"/>
          <w:sz w:val="32"/>
          <w:szCs w:val="32"/>
        </w:rPr>
        <w:t>五、符合性审查资料</w:t>
      </w:r>
    </w:p>
    <w:p>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投标文件中的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sz w:val="24"/>
              </w:rPr>
            </w:pPr>
            <w:r>
              <w:rPr>
                <w:rFonts w:hint="eastAsia" w:ascii="宋体" w:hAnsi="宋体" w:cs="宋体"/>
                <w:sz w:val="24"/>
              </w:rPr>
              <w:t>1</w:t>
            </w:r>
          </w:p>
        </w:tc>
        <w:tc>
          <w:tcPr>
            <w:tcW w:w="4991" w:type="dxa"/>
          </w:tcPr>
          <w:p>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pPr>
              <w:rPr>
                <w:rFonts w:ascii="宋体" w:hAnsi="宋体" w:cs="宋体"/>
                <w:sz w:val="24"/>
              </w:rPr>
            </w:pPr>
          </w:p>
          <w:p>
            <w:pPr>
              <w:rPr>
                <w:rFonts w:ascii="宋体" w:hAnsi="宋体" w:cs="宋体"/>
                <w:sz w:val="24"/>
              </w:rPr>
            </w:pPr>
            <w:r>
              <w:rPr>
                <w:rFonts w:hint="eastAsia" w:ascii="宋体" w:hAnsi="宋体" w:cs="宋体"/>
                <w:sz w:val="24"/>
              </w:rPr>
              <w:t>见投标文件</w:t>
            </w:r>
          </w:p>
          <w:p>
            <w:pPr>
              <w:rPr>
                <w:rFonts w:ascii="宋体" w:hAnsi="宋体" w:cs="宋体"/>
                <w:sz w:val="24"/>
              </w:rPr>
            </w:pPr>
            <w:r>
              <w:rPr>
                <w:rFonts w:hint="eastAsia" w:ascii="宋体" w:hAnsi="宋体" w:cs="宋体"/>
                <w:sz w:val="24"/>
              </w:rPr>
              <w:t>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sz w:val="24"/>
              </w:rPr>
            </w:pPr>
            <w:r>
              <w:rPr>
                <w:rFonts w:hint="eastAsia" w:ascii="宋体" w:hAnsi="宋体" w:cs="宋体"/>
                <w:sz w:val="24"/>
              </w:rPr>
              <w:t>2</w:t>
            </w:r>
          </w:p>
        </w:tc>
        <w:tc>
          <w:tcPr>
            <w:tcW w:w="4991" w:type="dxa"/>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pPr>
              <w:rPr>
                <w:rFonts w:ascii="宋体" w:hAnsi="宋体" w:cs="宋体"/>
                <w:sz w:val="24"/>
              </w:rPr>
            </w:pPr>
            <w:r>
              <w:rPr>
                <w:rFonts w:hint="eastAsia" w:ascii="宋体" w:hAnsi="宋体" w:cs="宋体"/>
                <w:sz w:val="24"/>
              </w:rPr>
              <w:t>投标函</w:t>
            </w:r>
          </w:p>
        </w:tc>
        <w:tc>
          <w:tcPr>
            <w:tcW w:w="1418" w:type="dxa"/>
          </w:tcPr>
          <w:p>
            <w:pPr>
              <w:rPr>
                <w:rFonts w:ascii="宋体" w:hAnsi="宋体" w:cs="宋体"/>
                <w:sz w:val="24"/>
              </w:rPr>
            </w:pPr>
            <w:r>
              <w:rPr>
                <w:rFonts w:hint="eastAsia" w:ascii="宋体" w:hAnsi="宋体" w:cs="宋体"/>
                <w:sz w:val="24"/>
              </w:rPr>
              <w:t>见投标文件第页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宋体" w:hAnsi="宋体" w:cs="宋体"/>
                <w:sz w:val="24"/>
              </w:rPr>
            </w:pPr>
            <w:r>
              <w:rPr>
                <w:rFonts w:hint="eastAsia" w:ascii="宋体" w:hAnsi="宋体" w:cs="宋体"/>
                <w:sz w:val="24"/>
              </w:rPr>
              <w:t>3</w:t>
            </w:r>
          </w:p>
        </w:tc>
        <w:tc>
          <w:tcPr>
            <w:tcW w:w="4991" w:type="dxa"/>
          </w:tcPr>
          <w:p>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pPr>
              <w:rPr>
                <w:rFonts w:ascii="宋体" w:hAnsi="宋体" w:cs="宋体"/>
                <w:sz w:val="24"/>
              </w:rPr>
            </w:pPr>
            <w:r>
              <w:rPr>
                <w:rFonts w:hint="eastAsia" w:ascii="宋体" w:hAnsi="宋体" w:cs="宋体"/>
                <w:sz w:val="24"/>
              </w:rPr>
              <w:t>见投标文件第页</w:t>
            </w:r>
          </w:p>
        </w:tc>
      </w:tr>
    </w:tbl>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b/>
          <w:kern w:val="0"/>
          <w:sz w:val="32"/>
          <w:szCs w:val="32"/>
        </w:rPr>
      </w:pPr>
      <w:r>
        <w:rPr>
          <w:rFonts w:hint="eastAsia" w:ascii="宋体" w:hAnsi="宋体" w:cs="宋体"/>
          <w:b/>
          <w:kern w:val="0"/>
          <w:sz w:val="32"/>
          <w:szCs w:val="32"/>
        </w:rPr>
        <w:br w:type="page"/>
      </w:r>
    </w:p>
    <w:p>
      <w:pPr>
        <w:jc w:val="center"/>
        <w:rPr>
          <w:rFonts w:ascii="宋体" w:hAnsi="宋体" w:cs="宋体"/>
        </w:rPr>
      </w:pPr>
      <w:r>
        <w:rPr>
          <w:rFonts w:hint="eastAsia" w:ascii="宋体" w:hAnsi="宋体" w:cs="宋体"/>
          <w:b/>
          <w:kern w:val="0"/>
          <w:sz w:val="32"/>
          <w:szCs w:val="32"/>
        </w:rPr>
        <w:t>六、评标标准相应的商务技术资料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（按招标文件第四部分评标办法中“投标文件中评标标准相应的商务技术资料要求”提供资料）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b/>
          <w:kern w:val="0"/>
          <w:sz w:val="32"/>
          <w:szCs w:val="32"/>
        </w:rPr>
      </w:pPr>
      <w:r>
        <w:rPr>
          <w:rFonts w:hint="eastAsia" w:ascii="宋体" w:hAnsi="宋体" w:cs="宋体"/>
          <w:b/>
          <w:kern w:val="0"/>
          <w:sz w:val="32"/>
          <w:szCs w:val="32"/>
        </w:rPr>
        <w:br w:type="page"/>
      </w:r>
    </w:p>
    <w:p>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sz w:val="24"/>
              </w:rPr>
            </w:pPr>
            <w:r>
              <w:rPr>
                <w:rFonts w:hint="eastAsia" w:ascii="宋体" w:hAnsi="宋体" w:cs="宋体"/>
                <w:b/>
                <w:bCs/>
                <w:sz w:val="24"/>
              </w:rPr>
              <w:t>序号</w:t>
            </w:r>
          </w:p>
        </w:tc>
        <w:tc>
          <w:tcPr>
            <w:tcW w:w="3683" w:type="dxa"/>
          </w:tcPr>
          <w:p>
            <w:pPr>
              <w:jc w:val="center"/>
              <w:rPr>
                <w:rFonts w:ascii="宋体" w:hAnsi="宋体" w:cs="宋体"/>
                <w:b/>
                <w:bCs/>
                <w:sz w:val="24"/>
              </w:rPr>
            </w:pPr>
            <w:r>
              <w:rPr>
                <w:rFonts w:hint="eastAsia" w:ascii="宋体" w:hAnsi="宋体" w:cs="宋体"/>
                <w:b/>
                <w:bCs/>
                <w:sz w:val="24"/>
              </w:rPr>
              <w:t>招标文件章节及具体内容</w:t>
            </w:r>
          </w:p>
        </w:tc>
        <w:tc>
          <w:tcPr>
            <w:tcW w:w="3546" w:type="dxa"/>
          </w:tcPr>
          <w:p>
            <w:pPr>
              <w:jc w:val="center"/>
              <w:rPr>
                <w:rFonts w:ascii="宋体" w:hAnsi="宋体" w:cs="宋体"/>
                <w:b/>
                <w:bCs/>
                <w:sz w:val="24"/>
              </w:rPr>
            </w:pPr>
            <w:r>
              <w:rPr>
                <w:rFonts w:hint="eastAsia" w:ascii="宋体" w:hAnsi="宋体" w:cs="宋体"/>
                <w:b/>
                <w:bCs/>
                <w:sz w:val="24"/>
              </w:rPr>
              <w:t>投标文件章节及具体内容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1</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2</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autoSpaceDE w:val="0"/>
        <w:autoSpaceDN w:val="0"/>
        <w:spacing w:line="360" w:lineRule="auto"/>
        <w:ind w:right="1120" w:firstLine="3360" w:firstLineChars="14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w:t>
      </w:r>
    </w:p>
    <w:p>
      <w:pPr>
        <w:jc w:val="center"/>
        <w:rPr>
          <w:rFonts w:ascii="宋体" w:hAnsi="宋体" w:cs="宋体"/>
          <w:b/>
          <w:kern w:val="0"/>
          <w:sz w:val="32"/>
          <w:szCs w:val="32"/>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bCs/>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2891" w:firstLineChars="900"/>
        <w:rPr>
          <w:rFonts w:ascii="宋体" w:hAnsi="宋体" w:cs="宋体"/>
          <w:b/>
          <w:kern w:val="0"/>
          <w:sz w:val="32"/>
          <w:szCs w:val="32"/>
        </w:rPr>
      </w:pPr>
    </w:p>
    <w:p>
      <w:pPr>
        <w:ind w:firstLine="1911" w:firstLineChars="595"/>
        <w:rPr>
          <w:rFonts w:ascii="宋体" w:hAnsi="宋体" w:cs="宋体"/>
          <w:b/>
          <w:kern w:val="0"/>
          <w:sz w:val="32"/>
          <w:szCs w:val="32"/>
        </w:rPr>
      </w:pPr>
      <w:r>
        <w:rPr>
          <w:rFonts w:hint="eastAsia" w:ascii="宋体" w:hAnsi="宋体" w:cs="宋体"/>
          <w:b/>
          <w:kern w:val="0"/>
          <w:sz w:val="32"/>
          <w:szCs w:val="32"/>
        </w:rPr>
        <w:t>八、</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sz w:val="24"/>
        </w:rPr>
        <w:t>浙江省生态环境监测中心、浙江信镧建设工程咨询有限公司</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一、不向项目有关人员及部门赠送礼金礼物、有价证券、回扣以及中介费、介绍费、咨询费等好处费；</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二、不为项目有关人员及部门报销应由你方单位或个人支付的费用；</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三、不向项目有关人员及部门提供有可能影响公正的宴请和健身娱乐等活动；</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等法律法规，诚实守信，合法经营，坚决抵制各种违法违纪行为。</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jc w:val="center"/>
        <w:rPr>
          <w:rFonts w:ascii="宋体" w:hAnsi="宋体" w:cs="宋体"/>
          <w:b/>
          <w:bCs/>
          <w:sz w:val="24"/>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kern w:val="0"/>
          <w:sz w:val="36"/>
          <w:szCs w:val="36"/>
        </w:rPr>
      </w:pPr>
      <w:bookmarkStart w:id="437" w:name="_Toc5292"/>
      <w:r>
        <w:rPr>
          <w:rFonts w:hint="eastAsia" w:ascii="宋体" w:hAnsi="宋体" w:cs="宋体"/>
          <w:b/>
          <w:kern w:val="0"/>
          <w:sz w:val="36"/>
          <w:szCs w:val="36"/>
        </w:rPr>
        <w:t>报价文件部分</w:t>
      </w:r>
      <w:bookmarkEnd w:id="437"/>
    </w:p>
    <w:p>
      <w:pPr>
        <w:spacing w:line="360" w:lineRule="auto"/>
        <w:jc w:val="center"/>
        <w:outlineLvl w:val="0"/>
        <w:rPr>
          <w:rFonts w:ascii="宋体" w:hAnsi="宋体" w:cs="宋体"/>
          <w:b/>
          <w:kern w:val="0"/>
          <w:sz w:val="36"/>
          <w:szCs w:val="36"/>
        </w:rPr>
      </w:pPr>
      <w:bookmarkStart w:id="438" w:name="_Toc28848"/>
      <w:r>
        <w:rPr>
          <w:rFonts w:hint="eastAsia" w:ascii="宋体" w:hAnsi="宋体" w:cs="宋体"/>
          <w:b/>
          <w:kern w:val="0"/>
          <w:sz w:val="36"/>
          <w:szCs w:val="36"/>
        </w:rPr>
        <w:t>目录</w:t>
      </w:r>
      <w:bookmarkEnd w:id="438"/>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（1）开标一览表（报价表）………………………………………………………（页码）</w:t>
      </w:r>
    </w:p>
    <w:p>
      <w:pPr>
        <w:snapToGrid w:val="0"/>
        <w:spacing w:line="360" w:lineRule="auto"/>
        <w:rPr>
          <w:rFonts w:ascii="宋体" w:hAnsi="宋体" w:cs="宋体"/>
          <w:sz w:val="24"/>
        </w:rPr>
      </w:pPr>
      <w:r>
        <w:rPr>
          <w:rFonts w:hint="eastAsia" w:ascii="宋体" w:hAnsi="宋体" w:cs="宋体"/>
          <w:sz w:val="24"/>
        </w:rPr>
        <w:t>（2）中小企业声明函………………………………………………………………（页码）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bookmarkStart w:id="439" w:name="_Toc30300"/>
      <w:r>
        <w:rPr>
          <w:rFonts w:hint="eastAsia" w:ascii="宋体" w:hAnsi="宋体" w:eastAsia="宋体" w:cs="宋体"/>
          <w:kern w:val="2"/>
          <w:sz w:val="32"/>
          <w:szCs w:val="32"/>
        </w:rPr>
        <w:t>一、开标一览表（报价表）</w:t>
      </w:r>
      <w:bookmarkEnd w:id="439"/>
    </w:p>
    <w:p>
      <w:pPr>
        <w:snapToGrid w:val="0"/>
        <w:spacing w:line="360" w:lineRule="auto"/>
        <w:rPr>
          <w:rFonts w:ascii="宋体" w:hAnsi="宋体" w:cs="宋体"/>
          <w:kern w:val="0"/>
          <w:sz w:val="24"/>
        </w:rPr>
      </w:pPr>
      <w:r>
        <w:rPr>
          <w:rFonts w:hint="eastAsia" w:ascii="宋体" w:hAnsi="宋体" w:cs="宋体"/>
          <w:sz w:val="24"/>
        </w:rPr>
        <w:t>浙江省生态环境监测中心、浙江信镧建设工程咨询有限公司</w:t>
      </w:r>
      <w:r>
        <w:rPr>
          <w:rFonts w:hint="eastAsia" w:ascii="宋体" w:hAnsi="宋体" w:cs="宋体"/>
          <w:kern w:val="0"/>
          <w:sz w:val="24"/>
          <w:lang w:val="zh-CN"/>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2022年国家环境监测网区域环境空气监测站运行维护项目【招标编号：</w:t>
      </w:r>
      <w:r>
        <w:rPr>
          <w:rFonts w:hint="eastAsia" w:ascii="宋体" w:hAnsi="宋体" w:cs="宋体"/>
          <w:sz w:val="24"/>
          <w:lang w:eastAsia="zh-CN"/>
        </w:rPr>
        <w:t>ZJXL-STJCZX-202219</w:t>
      </w:r>
      <w:r>
        <w:rPr>
          <w:rFonts w:hint="eastAsia" w:ascii="宋体" w:hAnsi="宋体" w:cs="宋体"/>
          <w:sz w:val="24"/>
        </w:rPr>
        <w:t>】的实施</w:t>
      </w:r>
      <w:r>
        <w:rPr>
          <w:rFonts w:hint="eastAsia" w:ascii="宋体" w:hAnsi="宋体" w:cs="宋体"/>
          <w:kern w:val="0"/>
          <w:sz w:val="24"/>
          <w:lang w:val="zh-CN"/>
        </w:rPr>
        <w:t>。</w:t>
      </w:r>
    </w:p>
    <w:p>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宋体" w:hAnsi="宋体" w:cs="宋体"/>
                <w:b/>
                <w:sz w:val="24"/>
              </w:rPr>
            </w:pPr>
            <w:r>
              <w:rPr>
                <w:rFonts w:hint="eastAsia" w:ascii="宋体" w:hAnsi="宋体" w:cs="宋体"/>
                <w:b/>
                <w:sz w:val="24"/>
              </w:rPr>
              <w:t>序号</w:t>
            </w:r>
          </w:p>
        </w:tc>
        <w:tc>
          <w:tcPr>
            <w:tcW w:w="1417" w:type="dxa"/>
            <w:vAlign w:val="center"/>
          </w:tcPr>
          <w:p>
            <w:pPr>
              <w:spacing w:line="360" w:lineRule="auto"/>
              <w:jc w:val="center"/>
              <w:rPr>
                <w:rFonts w:ascii="宋体" w:hAnsi="宋体" w:cs="宋体"/>
                <w:b/>
                <w:sz w:val="24"/>
              </w:rPr>
            </w:pPr>
            <w:r>
              <w:rPr>
                <w:rFonts w:hint="eastAsia" w:ascii="宋体" w:hAnsi="宋体" w:cs="宋体"/>
                <w:b/>
                <w:sz w:val="24"/>
              </w:rPr>
              <w:t>名称</w:t>
            </w:r>
          </w:p>
        </w:tc>
        <w:tc>
          <w:tcPr>
            <w:tcW w:w="1843" w:type="dxa"/>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品牌（如果有）</w:t>
            </w:r>
          </w:p>
        </w:tc>
        <w:tc>
          <w:tcPr>
            <w:tcW w:w="3118" w:type="dxa"/>
            <w:vAlign w:val="center"/>
          </w:tcPr>
          <w:p>
            <w:pPr>
              <w:spacing w:line="360" w:lineRule="auto"/>
              <w:jc w:val="center"/>
              <w:rPr>
                <w:rFonts w:ascii="宋体" w:hAnsi="宋体" w:cs="宋体"/>
                <w:b/>
                <w:sz w:val="24"/>
              </w:rPr>
            </w:pPr>
            <w:r>
              <w:rPr>
                <w:rFonts w:hint="eastAsia" w:ascii="宋体" w:hAnsi="宋体" w:cs="宋体"/>
                <w:b/>
                <w:sz w:val="24"/>
              </w:rPr>
              <w:t>具体服务</w:t>
            </w:r>
          </w:p>
        </w:tc>
        <w:tc>
          <w:tcPr>
            <w:tcW w:w="993" w:type="dxa"/>
            <w:vAlign w:val="center"/>
          </w:tcPr>
          <w:p>
            <w:pPr>
              <w:spacing w:line="360" w:lineRule="auto"/>
              <w:jc w:val="center"/>
              <w:rPr>
                <w:rFonts w:ascii="宋体" w:hAnsi="宋体" w:cs="宋体"/>
                <w:b/>
                <w:sz w:val="24"/>
              </w:rPr>
            </w:pPr>
            <w:r>
              <w:rPr>
                <w:rFonts w:hint="eastAsia" w:ascii="宋体" w:hAnsi="宋体" w:cs="宋体"/>
                <w:b/>
                <w:sz w:val="24"/>
              </w:rPr>
              <w:t>数量</w:t>
            </w:r>
          </w:p>
        </w:tc>
        <w:tc>
          <w:tcPr>
            <w:tcW w:w="1559" w:type="dxa"/>
            <w:vAlign w:val="center"/>
          </w:tcPr>
          <w:p>
            <w:pPr>
              <w:spacing w:line="360" w:lineRule="auto"/>
              <w:jc w:val="center"/>
              <w:rPr>
                <w:rFonts w:ascii="宋体" w:hAnsi="宋体" w:cs="宋体"/>
                <w:b/>
                <w:sz w:val="24"/>
              </w:rPr>
            </w:pPr>
            <w:r>
              <w:rPr>
                <w:rFonts w:hint="eastAsia" w:ascii="宋体" w:hAnsi="宋体" w:cs="宋体"/>
                <w:b/>
                <w:sz w:val="24"/>
              </w:rPr>
              <w:t>单价</w:t>
            </w:r>
          </w:p>
        </w:tc>
        <w:tc>
          <w:tcPr>
            <w:tcW w:w="1984" w:type="dxa"/>
            <w:vAlign w:val="center"/>
          </w:tcPr>
          <w:p>
            <w:pPr>
              <w:spacing w:line="360" w:lineRule="auto"/>
              <w:jc w:val="center"/>
              <w:rPr>
                <w:rFonts w:ascii="宋体" w:hAnsi="宋体" w:cs="宋体"/>
                <w:b/>
                <w:sz w:val="24"/>
              </w:rPr>
            </w:pPr>
            <w:r>
              <w:rPr>
                <w:rFonts w:hint="eastAsia" w:ascii="宋体" w:hAnsi="宋体" w:cs="宋体"/>
                <w:b/>
                <w:sz w:val="24"/>
              </w:rPr>
              <w:t>总价</w:t>
            </w:r>
          </w:p>
        </w:tc>
        <w:tc>
          <w:tcPr>
            <w:tcW w:w="3119" w:type="dxa"/>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服务要求</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宋体" w:hAnsi="宋体" w:cs="宋体"/>
                <w:sz w:val="24"/>
              </w:rPr>
            </w:pPr>
            <w:r>
              <w:rPr>
                <w:rFonts w:hint="eastAsia" w:ascii="宋体" w:hAnsi="宋体" w:cs="宋体"/>
                <w:sz w:val="24"/>
              </w:rPr>
              <w:t>1</w:t>
            </w: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r>
              <w:rPr>
                <w:rFonts w:hint="eastAsia" w:ascii="宋体" w:hAnsi="宋体" w:cs="宋体"/>
                <w:sz w:val="24"/>
              </w:rPr>
              <w:t>2</w:t>
            </w: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r>
              <w:rPr>
                <w:rFonts w:hint="eastAsia" w:ascii="宋体" w:hAnsi="宋体" w:cs="宋体"/>
                <w:sz w:val="24"/>
              </w:rPr>
              <w:t>…</w:t>
            </w: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投标报价（小写）</w:t>
            </w:r>
          </w:p>
        </w:tc>
        <w:tc>
          <w:tcPr>
            <w:tcW w:w="7655" w:type="dxa"/>
            <w:gridSpan w:val="4"/>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投标报价（大写）</w:t>
            </w:r>
          </w:p>
        </w:tc>
        <w:tc>
          <w:tcPr>
            <w:tcW w:w="7655" w:type="dxa"/>
            <w:gridSpan w:val="4"/>
            <w:vAlign w:val="center"/>
          </w:tcPr>
          <w:p>
            <w:pPr>
              <w:spacing w:line="360" w:lineRule="auto"/>
              <w:jc w:val="center"/>
              <w:rPr>
                <w:rFonts w:ascii="宋体" w:hAnsi="宋体" w:cs="宋体"/>
                <w:sz w:val="24"/>
              </w:rPr>
            </w:pPr>
          </w:p>
        </w:tc>
      </w:tr>
    </w:tbl>
    <w:p>
      <w:pPr>
        <w:pStyle w:val="2"/>
        <w:ind w:firstLine="420"/>
        <w:rPr>
          <w:lang w:val="zh-CN"/>
        </w:rPr>
      </w:pPr>
    </w:p>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1、投标人需按本表格式填写，不得自行更改。</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投标文件含有采购人不能接受的附加条件的，投标无效</w:t>
      </w:r>
      <w:r>
        <w:rPr>
          <w:rFonts w:hint="eastAsia" w:ascii="宋体" w:hAnsi="宋体" w:cs="宋体"/>
          <w:b/>
          <w:kern w:val="0"/>
          <w:sz w:val="24"/>
          <w:lang w:val="zh-CN"/>
        </w:rPr>
        <w:t>。</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3、以上表格要求细分项目及报价。</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4、特别提示：采购机构将对项目名称和项目编号，中标供应商名称、地址和中标金额，主要中标标的的名称、</w:t>
      </w:r>
      <w:r>
        <w:rPr>
          <w:rFonts w:hint="eastAsia" w:ascii="宋体" w:hAnsi="宋体" w:cs="宋体"/>
          <w:bCs/>
          <w:sz w:val="24"/>
        </w:rPr>
        <w:t>具体服务</w:t>
      </w:r>
      <w:r>
        <w:rPr>
          <w:rFonts w:hint="eastAsia" w:ascii="宋体" w:hAnsi="宋体" w:cs="宋体"/>
          <w:kern w:val="0"/>
          <w:sz w:val="24"/>
          <w:lang w:val="zh-CN"/>
        </w:rPr>
        <w:t>、数量、单价、服务要求等予以公示。</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szCs w:val="22"/>
          <w:lang w:val="zh-CN"/>
        </w:rPr>
        <w:t>5、</w:t>
      </w:r>
      <w:r>
        <w:rPr>
          <w:rFonts w:hint="eastAsia" w:ascii="宋体" w:hAnsi="宋体" w:cs="宋体"/>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sz w:val="32"/>
          <w:szCs w:val="32"/>
        </w:rPr>
      </w:pPr>
      <w:bookmarkStart w:id="440" w:name="_Toc11360"/>
      <w:r>
        <w:rPr>
          <w:rFonts w:hint="eastAsia" w:ascii="宋体" w:hAnsi="宋体" w:eastAsia="宋体" w:cs="宋体"/>
          <w:kern w:val="2"/>
          <w:sz w:val="32"/>
          <w:szCs w:val="32"/>
        </w:rPr>
        <w:t>二、</w:t>
      </w:r>
      <w:r>
        <w:rPr>
          <w:rFonts w:hint="eastAsia" w:ascii="宋体" w:hAnsi="宋体" w:eastAsia="宋体" w:cs="宋体"/>
          <w:sz w:val="32"/>
          <w:szCs w:val="32"/>
        </w:rPr>
        <w:t>中小企业声明函</w:t>
      </w:r>
      <w:bookmarkEnd w:id="440"/>
    </w:p>
    <w:p>
      <w:pPr>
        <w:widowControl/>
        <w:spacing w:line="360" w:lineRule="auto"/>
        <w:ind w:firstLine="120" w:firstLineChars="50"/>
        <w:jc w:val="left"/>
        <w:rPr>
          <w:rFonts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pStyle w:val="690"/>
        <w:keepNext w:val="0"/>
        <w:pageBreakBefore w:val="0"/>
        <w:tabs>
          <w:tab w:val="clear" w:pos="720"/>
        </w:tabs>
        <w:snapToGrid w:val="0"/>
        <w:spacing w:before="120" w:after="120"/>
        <w:ind w:firstLine="643"/>
        <w:outlineLvl w:val="9"/>
        <w:rPr>
          <w:rFonts w:ascii="宋体" w:hAnsi="宋体" w:eastAsia="宋体" w:cs="宋体"/>
          <w:b w:val="0"/>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pStyle w:val="4"/>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441" w:name="_Toc19341"/>
      <w:bookmarkStart w:id="442" w:name="_Toc465665161"/>
      <w:r>
        <w:rPr>
          <w:rFonts w:hint="eastAsia" w:ascii="宋体" w:hAnsi="宋体" w:cs="宋体"/>
        </w:rPr>
        <w:t>附件</w:t>
      </w:r>
      <w:bookmarkEnd w:id="441"/>
      <w:bookmarkEnd w:id="442"/>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443" w:name="OLE_LINK14"/>
      <w:bookmarkStart w:id="444" w:name="OLE_LINK13"/>
      <w:r>
        <w:rPr>
          <w:rFonts w:hint="eastAsia" w:ascii="宋体" w:hAnsi="宋体" w:cs="宋体"/>
          <w:b/>
          <w:spacing w:val="6"/>
          <w:sz w:val="32"/>
          <w:szCs w:val="32"/>
        </w:rPr>
        <w:t>残疾人福利性单位声明函</w:t>
      </w:r>
    </w:p>
    <w:bookmarkEnd w:id="443"/>
    <w:bookmarkEnd w:id="444"/>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p>
    <w:p>
      <w:pPr>
        <w:snapToGrid w:val="0"/>
        <w:spacing w:line="360" w:lineRule="auto"/>
        <w:rPr>
          <w:rFonts w:ascii="宋体" w:hAnsi="宋体" w:cs="宋体"/>
          <w:sz w:val="24"/>
        </w:rPr>
      </w:pPr>
      <w:r>
        <w:rPr>
          <w:rFonts w:hint="eastAsia" w:ascii="宋体" w:hAnsi="宋体" w:cs="宋体"/>
          <w:sz w:val="24"/>
        </w:rPr>
        <w:t>地址：邮编：</w:t>
      </w:r>
    </w:p>
    <w:p>
      <w:pPr>
        <w:snapToGrid w:val="0"/>
        <w:spacing w:line="360" w:lineRule="auto"/>
        <w:rPr>
          <w:rFonts w:ascii="宋体" w:hAnsi="宋体" w:cs="宋体"/>
          <w:sz w:val="24"/>
        </w:rPr>
      </w:pPr>
      <w:r>
        <w:rPr>
          <w:rFonts w:hint="eastAsia" w:ascii="宋体" w:hAnsi="宋体" w:cs="宋体"/>
          <w:sz w:val="24"/>
        </w:rPr>
        <w:t>联系人：联系电话：</w:t>
      </w:r>
    </w:p>
    <w:p>
      <w:pPr>
        <w:snapToGrid w:val="0"/>
        <w:spacing w:line="360" w:lineRule="auto"/>
        <w:rPr>
          <w:rFonts w:ascii="宋体" w:hAnsi="宋体" w:cs="宋体"/>
          <w:sz w:val="24"/>
          <w:u w:val="dotted"/>
        </w:rPr>
      </w:pPr>
      <w:r>
        <w:rPr>
          <w:rFonts w:hint="eastAsia" w:ascii="宋体" w:hAnsi="宋体" w:cs="宋体"/>
          <w:sz w:val="24"/>
        </w:rPr>
        <w:t>授权代表：</w:t>
      </w:r>
    </w:p>
    <w:p>
      <w:pPr>
        <w:snapToGrid w:val="0"/>
        <w:spacing w:line="360" w:lineRule="auto"/>
        <w:rPr>
          <w:rFonts w:ascii="宋体" w:hAnsi="宋体" w:cs="宋体"/>
          <w:sz w:val="24"/>
        </w:rPr>
      </w:pPr>
      <w:r>
        <w:rPr>
          <w:rFonts w:hint="eastAsia" w:ascii="宋体" w:hAnsi="宋体" w:cs="宋体"/>
          <w:sz w:val="24"/>
        </w:rPr>
        <w:t>联系电话：</w:t>
      </w:r>
    </w:p>
    <w:p>
      <w:pPr>
        <w:snapToGrid w:val="0"/>
        <w:spacing w:line="360" w:lineRule="auto"/>
        <w:rPr>
          <w:rFonts w:ascii="宋体" w:hAnsi="宋体" w:cs="宋体"/>
          <w:sz w:val="24"/>
        </w:rPr>
      </w:pPr>
      <w:r>
        <w:rPr>
          <w:rFonts w:hint="eastAsia" w:ascii="宋体" w:hAnsi="宋体" w:cs="宋体"/>
          <w:sz w:val="24"/>
        </w:rPr>
        <w:t>地址：邮编：</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p>
    <w:p>
      <w:pPr>
        <w:snapToGrid w:val="0"/>
        <w:spacing w:line="360" w:lineRule="auto"/>
        <w:rPr>
          <w:rFonts w:ascii="宋体" w:hAnsi="宋体" w:cs="宋体"/>
          <w:sz w:val="24"/>
        </w:rPr>
      </w:pPr>
      <w:r>
        <w:rPr>
          <w:rFonts w:hint="eastAsia" w:ascii="宋体" w:hAnsi="宋体" w:cs="宋体"/>
          <w:sz w:val="24"/>
        </w:rPr>
        <w:t>质疑项目的编号：包号：</w:t>
      </w:r>
    </w:p>
    <w:p>
      <w:pPr>
        <w:snapToGrid w:val="0"/>
        <w:spacing w:line="360" w:lineRule="auto"/>
        <w:rPr>
          <w:rFonts w:ascii="宋体" w:hAnsi="宋体" w:cs="宋体"/>
          <w:sz w:val="24"/>
          <w:u w:val="dotted"/>
        </w:rPr>
      </w:pPr>
      <w:r>
        <w:rPr>
          <w:rFonts w:hint="eastAsia" w:ascii="宋体" w:hAnsi="宋体" w:cs="宋体"/>
          <w:sz w:val="24"/>
        </w:rPr>
        <w:t>采购人名称：</w:t>
      </w:r>
    </w:p>
    <w:p>
      <w:pPr>
        <w:snapToGrid w:val="0"/>
        <w:spacing w:line="360" w:lineRule="auto"/>
        <w:rPr>
          <w:rFonts w:ascii="宋体" w:hAnsi="宋体" w:cs="宋体"/>
          <w:sz w:val="24"/>
        </w:rPr>
      </w:pPr>
      <w:r>
        <w:rPr>
          <w:rFonts w:hint="eastAsia" w:ascii="宋体" w:hAnsi="宋体" w:cs="宋体"/>
          <w:sz w:val="24"/>
        </w:rPr>
        <w:t>采购文件获取日期：</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p>
    <w:p>
      <w:pPr>
        <w:snapToGrid w:val="0"/>
        <w:spacing w:line="360" w:lineRule="auto"/>
        <w:rPr>
          <w:rFonts w:ascii="宋体" w:hAnsi="宋体" w:cs="宋体"/>
          <w:sz w:val="24"/>
          <w:u w:val="dotted"/>
        </w:rPr>
      </w:pPr>
      <w:r>
        <w:rPr>
          <w:rFonts w:hint="eastAsia" w:ascii="宋体" w:hAnsi="宋体" w:cs="宋体"/>
          <w:sz w:val="24"/>
        </w:rPr>
        <w:t>事实依据：</w:t>
      </w:r>
    </w:p>
    <w:p>
      <w:pPr>
        <w:snapToGrid w:val="0"/>
        <w:spacing w:line="360" w:lineRule="auto"/>
        <w:rPr>
          <w:rFonts w:ascii="宋体" w:hAnsi="宋体" w:cs="宋体"/>
          <w:sz w:val="24"/>
        </w:rPr>
      </w:pPr>
    </w:p>
    <w:p>
      <w:pPr>
        <w:snapToGrid w:val="0"/>
        <w:spacing w:line="360" w:lineRule="auto"/>
        <w:rPr>
          <w:rFonts w:ascii="宋体" w:hAnsi="宋体" w:cs="宋体"/>
          <w:sz w:val="24"/>
          <w:u w:val="dotted"/>
        </w:rPr>
      </w:pPr>
      <w:r>
        <w:rPr>
          <w:rFonts w:hint="eastAsia" w:ascii="宋体" w:hAnsi="宋体" w:cs="宋体"/>
          <w:sz w:val="24"/>
        </w:rPr>
        <w:t>法律依据：</w:t>
      </w:r>
    </w:p>
    <w:p>
      <w:pPr>
        <w:snapToGrid w:val="0"/>
        <w:spacing w:line="360" w:lineRule="auto"/>
        <w:rPr>
          <w:rFonts w:ascii="宋体" w:hAnsi="宋体" w:cs="宋体"/>
          <w:sz w:val="24"/>
          <w:u w:val="dotted"/>
        </w:rPr>
      </w:pP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日期：</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p>
    <w:p>
      <w:pPr>
        <w:spacing w:line="360" w:lineRule="auto"/>
        <w:rPr>
          <w:rFonts w:ascii="宋体" w:hAnsi="宋体" w:cs="宋体"/>
          <w:sz w:val="24"/>
          <w:u w:val="single"/>
        </w:rPr>
      </w:pPr>
      <w:r>
        <w:rPr>
          <w:rFonts w:hint="eastAsia" w:ascii="宋体" w:hAnsi="宋体" w:cs="宋体"/>
          <w:sz w:val="24"/>
        </w:rPr>
        <w:t>地址：邮编：</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p>
    <w:p>
      <w:pPr>
        <w:tabs>
          <w:tab w:val="left" w:pos="6510"/>
        </w:tabs>
        <w:spacing w:line="360" w:lineRule="auto"/>
        <w:rPr>
          <w:rFonts w:ascii="宋体" w:hAnsi="宋体" w:cs="宋体"/>
          <w:sz w:val="24"/>
          <w:u w:val="dotted"/>
        </w:rPr>
      </w:pPr>
      <w:r>
        <w:rPr>
          <w:rFonts w:hint="eastAsia" w:ascii="宋体" w:hAnsi="宋体" w:cs="宋体"/>
          <w:sz w:val="24"/>
        </w:rPr>
        <w:t>联系电话：</w:t>
      </w:r>
    </w:p>
    <w:p>
      <w:pPr>
        <w:spacing w:line="360" w:lineRule="auto"/>
        <w:rPr>
          <w:rFonts w:ascii="宋体" w:hAnsi="宋体" w:cs="宋体"/>
          <w:sz w:val="24"/>
          <w:u w:val="dotted"/>
        </w:rPr>
      </w:pPr>
      <w:r>
        <w:rPr>
          <w:rFonts w:hint="eastAsia" w:ascii="宋体" w:hAnsi="宋体" w:cs="宋体"/>
          <w:sz w:val="24"/>
        </w:rPr>
        <w:t>授权代表：联系电话</w:t>
      </w:r>
      <w:r>
        <w:rPr>
          <w:rFonts w:hint="eastAsia" w:ascii="宋体" w:hAnsi="宋体" w:cs="宋体"/>
          <w:sz w:val="24"/>
          <w:u w:val="dotted"/>
        </w:rPr>
        <w:t>：</w:t>
      </w:r>
    </w:p>
    <w:p>
      <w:pPr>
        <w:spacing w:line="360" w:lineRule="auto"/>
        <w:rPr>
          <w:rFonts w:ascii="宋体" w:hAnsi="宋体" w:cs="宋体"/>
          <w:sz w:val="24"/>
          <w:u w:val="dotted"/>
        </w:rPr>
      </w:pPr>
      <w:r>
        <w:rPr>
          <w:rFonts w:hint="eastAsia" w:ascii="宋体" w:hAnsi="宋体" w:cs="宋体"/>
          <w:sz w:val="24"/>
        </w:rPr>
        <w:t>地址：邮编：</w:t>
      </w:r>
    </w:p>
    <w:p>
      <w:pPr>
        <w:spacing w:line="360" w:lineRule="auto"/>
        <w:rPr>
          <w:rFonts w:ascii="宋体" w:hAnsi="宋体" w:cs="宋体"/>
          <w:sz w:val="24"/>
          <w:u w:val="single"/>
        </w:rPr>
      </w:pPr>
      <w:r>
        <w:rPr>
          <w:rFonts w:hint="eastAsia" w:ascii="宋体" w:hAnsi="宋体" w:cs="宋体"/>
          <w:sz w:val="24"/>
        </w:rPr>
        <w:t>被投诉人1：</w:t>
      </w:r>
    </w:p>
    <w:p>
      <w:pPr>
        <w:spacing w:line="360" w:lineRule="auto"/>
        <w:rPr>
          <w:rFonts w:ascii="宋体" w:hAnsi="宋体" w:cs="宋体"/>
          <w:sz w:val="24"/>
          <w:u w:val="single"/>
        </w:rPr>
      </w:pPr>
      <w:r>
        <w:rPr>
          <w:rFonts w:hint="eastAsia" w:ascii="宋体" w:hAnsi="宋体" w:cs="宋体"/>
          <w:sz w:val="24"/>
        </w:rPr>
        <w:t>地址：邮编：</w:t>
      </w:r>
    </w:p>
    <w:p>
      <w:pPr>
        <w:spacing w:line="360" w:lineRule="auto"/>
        <w:rPr>
          <w:rFonts w:ascii="宋体" w:hAnsi="宋体" w:cs="宋体"/>
          <w:sz w:val="24"/>
          <w:u w:val="single"/>
        </w:rPr>
      </w:pPr>
      <w:r>
        <w:rPr>
          <w:rFonts w:hint="eastAsia" w:ascii="宋体" w:hAnsi="宋体" w:cs="宋体"/>
          <w:sz w:val="24"/>
        </w:rPr>
        <w:t>联系人：联系电话：</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p>
    <w:p>
      <w:pPr>
        <w:spacing w:line="360" w:lineRule="auto"/>
        <w:rPr>
          <w:rFonts w:ascii="宋体" w:hAnsi="宋体" w:cs="宋体"/>
          <w:sz w:val="24"/>
          <w:u w:val="single"/>
        </w:rPr>
      </w:pPr>
      <w:r>
        <w:rPr>
          <w:rFonts w:hint="eastAsia" w:ascii="宋体" w:hAnsi="宋体" w:cs="宋体"/>
          <w:sz w:val="24"/>
        </w:rPr>
        <w:t>地址：邮编：</w:t>
      </w:r>
    </w:p>
    <w:p>
      <w:pPr>
        <w:spacing w:line="360" w:lineRule="auto"/>
        <w:rPr>
          <w:rFonts w:ascii="宋体" w:hAnsi="宋体" w:cs="宋体"/>
          <w:sz w:val="24"/>
          <w:u w:val="single"/>
        </w:rPr>
      </w:pPr>
      <w:r>
        <w:rPr>
          <w:rFonts w:hint="eastAsia" w:ascii="宋体" w:hAnsi="宋体" w:cs="宋体"/>
          <w:sz w:val="24"/>
        </w:rPr>
        <w:t>联系人：联系电话：</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p>
    <w:p>
      <w:pPr>
        <w:spacing w:line="360" w:lineRule="auto"/>
        <w:rPr>
          <w:rFonts w:ascii="宋体" w:hAnsi="宋体" w:cs="宋体"/>
          <w:sz w:val="24"/>
          <w:u w:val="single"/>
        </w:rPr>
      </w:pPr>
      <w:r>
        <w:rPr>
          <w:rFonts w:hint="eastAsia" w:ascii="宋体" w:hAnsi="宋体" w:cs="宋体"/>
          <w:sz w:val="24"/>
        </w:rPr>
        <w:t>采购项目编号：包号：</w:t>
      </w:r>
    </w:p>
    <w:p>
      <w:pPr>
        <w:spacing w:line="360" w:lineRule="auto"/>
        <w:rPr>
          <w:rFonts w:ascii="宋体" w:hAnsi="宋体" w:cs="宋体"/>
          <w:sz w:val="24"/>
        </w:rPr>
      </w:pPr>
      <w:r>
        <w:rPr>
          <w:rFonts w:hint="eastAsia" w:ascii="宋体" w:hAnsi="宋体" w:cs="宋体"/>
          <w:sz w:val="24"/>
        </w:rPr>
        <w:t>采购人名称：</w:t>
      </w:r>
    </w:p>
    <w:p>
      <w:pPr>
        <w:spacing w:line="360" w:lineRule="auto"/>
        <w:rPr>
          <w:rFonts w:ascii="宋体" w:hAnsi="宋体" w:cs="宋体"/>
          <w:sz w:val="24"/>
          <w:u w:val="single"/>
        </w:rPr>
      </w:pPr>
      <w:r>
        <w:rPr>
          <w:rFonts w:hint="eastAsia" w:ascii="宋体" w:hAnsi="宋体" w:cs="宋体"/>
          <w:sz w:val="24"/>
        </w:rPr>
        <w:t>代理机构名称：</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投诉人于年月日,向提出质疑，质疑事项为：</w:t>
      </w:r>
    </w:p>
    <w:p>
      <w:pPr>
        <w:spacing w:line="360" w:lineRule="auto"/>
        <w:rPr>
          <w:rFonts w:ascii="宋体" w:hAnsi="宋体" w:cs="宋体"/>
          <w:sz w:val="24"/>
          <w:u w:val="dotted"/>
        </w:rPr>
      </w:pP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于年月日,就质疑事项作出了答复/没有在法定期限内作出答复。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p>
    <w:p>
      <w:pPr>
        <w:spacing w:line="360" w:lineRule="auto"/>
        <w:rPr>
          <w:rFonts w:ascii="宋体" w:hAnsi="宋体" w:cs="宋体"/>
          <w:sz w:val="24"/>
        </w:rPr>
      </w:pPr>
      <w:r>
        <w:rPr>
          <w:rFonts w:hint="eastAsia" w:ascii="宋体" w:hAnsi="宋体" w:cs="宋体"/>
          <w:sz w:val="24"/>
        </w:rPr>
        <w:t>事实依据：</w:t>
      </w:r>
    </w:p>
    <w:p>
      <w:pPr>
        <w:spacing w:line="360" w:lineRule="auto"/>
        <w:rPr>
          <w:rFonts w:ascii="宋体" w:hAnsi="宋体" w:cs="宋体"/>
          <w:sz w:val="24"/>
          <w:u w:val="dotted"/>
        </w:rPr>
      </w:pPr>
    </w:p>
    <w:p>
      <w:pPr>
        <w:spacing w:line="360" w:lineRule="auto"/>
        <w:rPr>
          <w:rFonts w:ascii="宋体" w:hAnsi="宋体" w:cs="宋体"/>
          <w:sz w:val="24"/>
          <w:u w:val="single"/>
        </w:rPr>
      </w:pPr>
      <w:r>
        <w:rPr>
          <w:rFonts w:hint="eastAsia" w:ascii="宋体" w:hAnsi="宋体" w:cs="宋体"/>
          <w:sz w:val="24"/>
        </w:rPr>
        <w:t>法律依据：</w:t>
      </w:r>
    </w:p>
    <w:p>
      <w:pPr>
        <w:spacing w:line="360" w:lineRule="auto"/>
        <w:rPr>
          <w:rFonts w:ascii="宋体" w:hAnsi="宋体" w:cs="宋体"/>
          <w:sz w:val="24"/>
          <w:u w:val="dotted"/>
        </w:rPr>
      </w:pP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p>
    <w:p>
      <w:pPr>
        <w:spacing w:line="360" w:lineRule="auto"/>
        <w:rPr>
          <w:rFonts w:ascii="宋体" w:hAnsi="宋体" w:cs="宋体"/>
          <w:sz w:val="24"/>
          <w:u w:val="single"/>
        </w:rPr>
      </w:pP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日期：</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rPr>
          <w:rFonts w:ascii="宋体" w:hAnsi="宋体" w:cs="宋体"/>
          <w:b/>
          <w:spacing w:val="6"/>
          <w:sz w:val="32"/>
          <w:szCs w:val="32"/>
        </w:rPr>
      </w:pPr>
      <w:r>
        <w:rPr>
          <w:rFonts w:hint="eastAsia" w:ascii="宋体" w:hAnsi="宋体" w:cs="宋体"/>
          <w:b/>
          <w:spacing w:val="6"/>
          <w:sz w:val="32"/>
          <w:szCs w:val="32"/>
        </w:rPr>
        <w:br w:type="page"/>
      </w: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sz w:val="24"/>
        </w:rPr>
      </w:pPr>
      <w:r>
        <w:rPr>
          <w:rFonts w:hint="eastAsia" w:ascii="宋体" w:hAnsi="宋体" w:cs="宋体"/>
          <w:sz w:val="24"/>
          <w:u w:val="single"/>
        </w:rPr>
        <w:t>浙江省生态环境监测中心、浙江信镧建设工程咨询有限公司</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sz w:val="24"/>
          <w:lang w:eastAsia="zh-CN"/>
        </w:rPr>
        <w:t>2022年国家环境监测网区域环境空气监测站运行维护项目</w:t>
      </w:r>
      <w:r>
        <w:rPr>
          <w:rFonts w:hint="eastAsia" w:ascii="宋体" w:hAnsi="宋体" w:cs="宋体"/>
          <w:sz w:val="24"/>
        </w:rPr>
        <w:t>【招标编号：</w:t>
      </w:r>
      <w:r>
        <w:rPr>
          <w:rFonts w:hint="eastAsia" w:ascii="宋体" w:hAnsi="宋体" w:cs="宋体"/>
          <w:sz w:val="24"/>
          <w:lang w:eastAsia="zh-CN"/>
        </w:rPr>
        <w:t>ZJXL-STJCZX-202219</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我方所使用的“XX专用章”与法定名称章具有同等的法律效力，对使用“XX专用章”的行为予以完全承认，并愿意承担相应责任。</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xz/jB2AAAAAoBAAAPAAAAAAAAAAEAIAAAACIAAABk&#10;cnMvZG93bnJldi54bWxQSwECFAAUAAAACACHTuJAC9UheM0BAADGAwAADgAAAAAAAAABACAAAAAn&#10;AQAAZHJzL2Uyb0RvYy54bWxQSwUGAAAAAAYABgBZAQAAZgUAAAAA&#10;">
                <v:fill on="t" focussize="0,0"/>
                <v:stroke color="#000000" joinstyle="miter"/>
                <v:imagedata o:title=""/>
                <o:lock v:ext="edit" aspectratio="f"/>
              </v:rect>
            </w:pict>
          </mc:Fallback>
        </mc:AlternateContent>
      </w:r>
      <w:r>
        <w:rPr>
          <w:rFonts w:hint="eastAsia" w:ascii="宋体" w:hAnsi="宋体" w:cs="宋体"/>
          <w:b/>
          <w:bCs/>
          <w:sz w:val="24"/>
        </w:rPr>
        <mc:AlternateContent>
          <mc:Choice Requires="wps">
            <w:drawing>
              <wp:anchor distT="0" distB="0" distL="0" distR="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wps:spPr>
                      <wps:bodyPr/>
                    </wps:wsp>
                  </a:graphicData>
                </a:graphic>
              </wp:anchor>
            </w:drawing>
          </mc:Choice>
          <mc:Fallback>
            <w:pict>
              <v:rect id="Rectangle 1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d07BY2AAAAAoBAAAPAAAAAAAAAAEAIAAAACIAAABk&#10;cnMvZG93bnJldi54bWxQSwECFAAUAAAACACHTuJAD8HNp80BAADGAwAADgAAAAAAAAABACAAAAAn&#10;AQAAZHJzL2Uyb0RvYy54bWxQSwUGAAAAAAYABgBZAQAAZgUAAAAA&#10;">
                <v:fill on="t" focussize="0,0"/>
                <v:stroke color="#000000" joinstyle="miter"/>
                <v:imagedata o:title=""/>
                <o:lock v:ext="edit" aspectratio="f"/>
              </v:rect>
            </w:pict>
          </mc:Fallback>
        </mc:AlternateContent>
      </w:r>
      <w:r>
        <w:rPr>
          <w:rFonts w:hint="eastAsia" w:ascii="宋体" w:hAnsi="宋体" w:cs="宋体"/>
          <w:sz w:val="24"/>
        </w:rPr>
        <w:t>投标单位法定名称章（印模）投标单位“XX专用章”（印模）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附件5：</w:t>
      </w:r>
      <w:r>
        <w:rPr>
          <w:rFonts w:hint="eastAsia" w:ascii="宋体" w:hAnsi="宋体" w:cs="宋体"/>
          <w:b/>
          <w:sz w:val="32"/>
          <w:szCs w:val="32"/>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中小企业声明函（工程、服务）</w:t>
      </w:r>
    </w:p>
    <w:p>
      <w:pPr>
        <w:spacing w:line="360" w:lineRule="auto"/>
        <w:rPr>
          <w:rFonts w:ascii="宋体" w:hAnsi="宋体" w:cs="宋体"/>
        </w:rPr>
      </w:pPr>
    </w:p>
    <w:p>
      <w:pPr>
        <w:spacing w:line="360" w:lineRule="auto"/>
        <w:ind w:firstLine="360" w:firstLineChars="150"/>
        <w:jc w:val="left"/>
        <w:rPr>
          <w:rFonts w:ascii="宋体" w:hAnsi="宋体" w:cs="宋体"/>
          <w:sz w:val="24"/>
        </w:rPr>
      </w:pPr>
      <w:r>
        <w:rPr>
          <w:rFonts w:hint="eastAsia" w:ascii="宋体" w:hAnsi="宋体" w:cs="宋体"/>
          <w:sz w:val="24"/>
        </w:rPr>
        <w:t>本公司（联合体）郑重声明，根据《政府采购促进中小企业发展管理办法》（财库﹝2020﹞46 号）的规定，本公司（联合体）参加（单位名称）的</w:t>
      </w:r>
      <w:r>
        <w:rPr>
          <w:rFonts w:hint="eastAsia" w:ascii="宋体" w:hAnsi="宋体" w:cs="宋体"/>
          <w:sz w:val="24"/>
          <w:lang w:eastAsia="zh-CN"/>
        </w:rPr>
        <w:t>2022年国家环境监测网区域环境空气监测站运行维护项目</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，从业人员人，营业收入为万元，资产总额为万元属于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，从业人员人，营业收入为万元，资产总额为万元属于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pPr>
        <w:spacing w:line="360" w:lineRule="auto"/>
        <w:ind w:right="1760"/>
        <w:jc w:val="right"/>
        <w:rPr>
          <w:rFonts w:ascii="宋体" w:hAnsi="宋体" w:cs="宋体"/>
          <w:sz w:val="24"/>
        </w:rPr>
      </w:pPr>
      <w:r>
        <w:rPr>
          <w:rFonts w:hint="eastAsia" w:ascii="宋体" w:hAnsi="宋体" w:cs="宋体"/>
          <w:sz w:val="24"/>
        </w:rPr>
        <w:t>投标人名称（电子签名）：</w:t>
      </w:r>
    </w:p>
    <w:p>
      <w:pPr>
        <w:spacing w:line="360" w:lineRule="auto"/>
        <w:ind w:right="1120" w:firstLine="4680" w:firstLineChars="1950"/>
        <w:rPr>
          <w:rFonts w:ascii="宋体" w:hAnsi="宋体" w:cs="宋体"/>
          <w:sz w:val="24"/>
        </w:rPr>
      </w:pPr>
      <w:r>
        <w:rPr>
          <w:rFonts w:hint="eastAsia" w:ascii="宋体" w:hAnsi="宋体" w:cs="宋体"/>
          <w:sz w:val="24"/>
        </w:rPr>
        <w:t>日期：</w:t>
      </w:r>
    </w:p>
    <w:p>
      <w:pPr>
        <w:spacing w:line="360" w:lineRule="auto"/>
        <w:ind w:right="420"/>
        <w:rPr>
          <w:rFonts w:ascii="宋体" w:hAnsi="宋体" w:cs="宋体"/>
          <w:bCs/>
          <w:szCs w:val="21"/>
        </w:rPr>
      </w:pPr>
      <w:r>
        <w:rPr>
          <w:rFonts w:hint="eastAsia" w:ascii="宋体" w:hAnsi="宋体" w:cs="宋体"/>
          <w:bCs/>
          <w:szCs w:val="21"/>
        </w:rPr>
        <w:t>注：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rPr>
          <w:rFonts w:ascii="宋体" w:hAnsi="宋体" w:cs="宋体"/>
          <w:bCs/>
        </w:rPr>
      </w:pPr>
      <w:r>
        <w:rPr>
          <w:rFonts w:hint="eastAsia" w:ascii="宋体" w:hAnsi="宋体" w:cs="宋体"/>
          <w:bCs/>
          <w:szCs w:val="21"/>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8" w:usb3="00000000" w:csb0="000100FF"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00000"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9" w:usb3="00000000" w:csb0="000001FF" w:csb1="00000000"/>
  </w:font>
  <w:font w:name="Cumberland">
    <w:altName w:val="Arial Unicode MS"/>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2"/>
      </w:rPr>
    </w:pPr>
    <w:r>
      <w:fldChar w:fldCharType="begin"/>
    </w:r>
    <w:r>
      <w:rPr>
        <w:rStyle w:val="72"/>
      </w:rPr>
      <w:instrText xml:space="preserve">PAGE  </w:instrText>
    </w:r>
    <w:r>
      <w:fldChar w:fldCharType="end"/>
    </w:r>
  </w:p>
  <w:p>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ind w:firstLine="360"/>
      <w:jc w:val="center"/>
    </w:pPr>
    <w:r>
      <w:fldChar w:fldCharType="begin"/>
    </w:r>
    <w:r>
      <w:instrText xml:space="preserve">PAGE   \* MERGEFORMAT</w:instrText>
    </w:r>
    <w:r>
      <w:fldChar w:fldCharType="separate"/>
    </w:r>
    <w:r>
      <w:rPr>
        <w:lang w:val="zh-CN"/>
      </w:rPr>
      <w:t>1</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2"/>
      </w:rPr>
    </w:pPr>
    <w:r>
      <w:fldChar w:fldCharType="begin"/>
    </w:r>
    <w:r>
      <w:rPr>
        <w:rStyle w:val="72"/>
      </w:rPr>
      <w:instrText xml:space="preserve">PAGE  </w:instrText>
    </w:r>
    <w:r>
      <w:fldChar w:fldCharType="end"/>
    </w:r>
  </w:p>
  <w:p>
    <w:pPr>
      <w:pStyle w:val="42"/>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445" w:name="_Toc91899912"/>
    <w:bookmarkStart w:id="446" w:name="_Toc36110187"/>
    <w:bookmarkStart w:id="447" w:name="_Toc131845147"/>
    <w:bookmarkStart w:id="448" w:name="_Toc164085800"/>
    <w:r>
      <w:rPr>
        <w:rFonts w:hint="eastAsia" w:ascii="仿宋_GB2312" w:eastAsia="仿宋_GB2312"/>
        <w:kern w:val="0"/>
        <w:szCs w:val="21"/>
      </w:rPr>
      <w:t xml:space="preserve"> 页</w:t>
    </w:r>
    <w:bookmarkEnd w:id="445"/>
    <w:bookmarkEnd w:id="446"/>
    <w:bookmarkEnd w:id="447"/>
    <w:bookmarkEnd w:id="44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lear" w:pos="4153"/>
        <w:tab w:val="clear" w:pos="8306"/>
      </w:tabs>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jc w:val="right"/>
      <w:rPr>
        <w:rFonts w:hint="eastAsia" w:ascii="宋体" w:hAnsi="宋体" w:cs="宋体"/>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both"/>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b/>
        <w:i/>
        <w:iCs/>
        <w:u w:val="single"/>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B1904E"/>
    <w:multiLevelType w:val="singleLevel"/>
    <w:tmpl w:val="CAB1904E"/>
    <w:lvl w:ilvl="0" w:tentative="0">
      <w:start w:val="2"/>
      <w:numFmt w:val="decimal"/>
      <w:suff w:val="nothing"/>
      <w:lvlText w:val="%1、"/>
      <w:lvlJc w:val="left"/>
    </w:lvl>
  </w:abstractNum>
  <w:abstractNum w:abstractNumId="1">
    <w:nsid w:val="D7D6DCAC"/>
    <w:multiLevelType w:val="singleLevel"/>
    <w:tmpl w:val="D7D6DCAC"/>
    <w:lvl w:ilvl="0" w:tentative="0">
      <w:start w:val="1"/>
      <w:numFmt w:val="decimal"/>
      <w:suff w:val="nothing"/>
      <w:lvlText w:val="%1、"/>
      <w:lvlJc w:val="left"/>
    </w:lvl>
  </w:abstractNum>
  <w:abstractNum w:abstractNumId="2">
    <w:nsid w:val="FC1687EC"/>
    <w:multiLevelType w:val="singleLevel"/>
    <w:tmpl w:val="FC1687EC"/>
    <w:lvl w:ilvl="0" w:tentative="0">
      <w:start w:val="1"/>
      <w:numFmt w:val="decimal"/>
      <w:suff w:val="nothing"/>
      <w:lvlText w:val="%1）"/>
      <w:lvlJc w:val="left"/>
    </w:lvl>
  </w:abstractNum>
  <w:abstractNum w:abstractNumId="3">
    <w:nsid w:val="00000002"/>
    <w:multiLevelType w:val="singleLevel"/>
    <w:tmpl w:val="00000002"/>
    <w:lvl w:ilvl="0" w:tentative="0">
      <w:start w:val="1"/>
      <w:numFmt w:val="decimal"/>
      <w:suff w:val="nothing"/>
      <w:lvlText w:val="%1、"/>
      <w:lvlJc w:val="left"/>
    </w:lvl>
  </w:abstractNum>
  <w:abstractNum w:abstractNumId="4">
    <w:nsid w:val="56F07C4F"/>
    <w:multiLevelType w:val="multilevel"/>
    <w:tmpl w:val="56F07C4F"/>
    <w:lvl w:ilvl="0" w:tentative="0">
      <w:start w:val="1"/>
      <w:numFmt w:val="decimal"/>
      <w:lvlText w:val="%1."/>
      <w:lvlJc w:val="left"/>
      <w:pPr>
        <w:ind w:left="1692" w:hanging="420"/>
      </w:pPr>
      <w:rPr>
        <w:rFonts w:hint="eastAsia"/>
      </w:rPr>
    </w:lvl>
    <w:lvl w:ilvl="1" w:tentative="0">
      <w:start w:val="1"/>
      <w:numFmt w:val="lowerLetter"/>
      <w:lvlText w:val="%2)"/>
      <w:lvlJc w:val="left"/>
      <w:pPr>
        <w:ind w:left="2112" w:hanging="420"/>
      </w:pPr>
    </w:lvl>
    <w:lvl w:ilvl="2" w:tentative="0">
      <w:start w:val="1"/>
      <w:numFmt w:val="lowerRoman"/>
      <w:lvlText w:val="%3."/>
      <w:lvlJc w:val="right"/>
      <w:pPr>
        <w:ind w:left="2532" w:hanging="420"/>
      </w:pPr>
    </w:lvl>
    <w:lvl w:ilvl="3" w:tentative="0">
      <w:start w:val="1"/>
      <w:numFmt w:val="decimal"/>
      <w:lvlText w:val="%4."/>
      <w:lvlJc w:val="left"/>
      <w:pPr>
        <w:ind w:left="2952" w:hanging="420"/>
      </w:pPr>
    </w:lvl>
    <w:lvl w:ilvl="4" w:tentative="0">
      <w:start w:val="1"/>
      <w:numFmt w:val="lowerLetter"/>
      <w:lvlText w:val="%5)"/>
      <w:lvlJc w:val="left"/>
      <w:pPr>
        <w:ind w:left="3372" w:hanging="420"/>
      </w:pPr>
    </w:lvl>
    <w:lvl w:ilvl="5" w:tentative="0">
      <w:start w:val="1"/>
      <w:numFmt w:val="lowerRoman"/>
      <w:lvlText w:val="%6."/>
      <w:lvlJc w:val="right"/>
      <w:pPr>
        <w:ind w:left="3792" w:hanging="420"/>
      </w:pPr>
    </w:lvl>
    <w:lvl w:ilvl="6" w:tentative="0">
      <w:start w:val="1"/>
      <w:numFmt w:val="decimal"/>
      <w:lvlText w:val="%7."/>
      <w:lvlJc w:val="left"/>
      <w:pPr>
        <w:ind w:left="4212" w:hanging="420"/>
      </w:pPr>
    </w:lvl>
    <w:lvl w:ilvl="7" w:tentative="0">
      <w:start w:val="1"/>
      <w:numFmt w:val="lowerLetter"/>
      <w:lvlText w:val="%8)"/>
      <w:lvlJc w:val="left"/>
      <w:pPr>
        <w:ind w:left="4632" w:hanging="420"/>
      </w:pPr>
    </w:lvl>
    <w:lvl w:ilvl="8" w:tentative="0">
      <w:start w:val="1"/>
      <w:numFmt w:val="lowerRoman"/>
      <w:lvlText w:val="%9."/>
      <w:lvlJc w:val="right"/>
      <w:pPr>
        <w:ind w:left="5052" w:hanging="420"/>
      </w:pPr>
    </w:lvl>
  </w:abstractNum>
  <w:abstractNum w:abstractNumId="5">
    <w:nsid w:val="633485A9"/>
    <w:multiLevelType w:val="singleLevel"/>
    <w:tmpl w:val="633485A9"/>
    <w:lvl w:ilvl="0" w:tentative="0">
      <w:start w:val="1"/>
      <w:numFmt w:val="decimal"/>
      <w:lvlText w:val="%1."/>
      <w:lvlJc w:val="left"/>
      <w:pPr>
        <w:tabs>
          <w:tab w:val="left" w:pos="312"/>
        </w:tabs>
      </w:pPr>
    </w:lvl>
  </w:abstractNum>
  <w:abstractNum w:abstractNumId="6">
    <w:nsid w:val="67A57E19"/>
    <w:multiLevelType w:val="multilevel"/>
    <w:tmpl w:val="67A57E19"/>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decimal"/>
      <w:lvlText w:val="%3."/>
      <w:lvlJc w:val="left"/>
      <w:pPr>
        <w:ind w:left="1260" w:hanging="420"/>
      </w:pPr>
      <w:rPr>
        <w:rFonts w:hint="eastAsia"/>
      </w:r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7E9A5700"/>
    <w:multiLevelType w:val="singleLevel"/>
    <w:tmpl w:val="7E9A5700"/>
    <w:lvl w:ilvl="0" w:tentative="0">
      <w:start w:val="1"/>
      <w:numFmt w:val="decimal"/>
      <w:suff w:val="nothing"/>
      <w:lvlText w:val="%1）"/>
      <w:lvlJc w:val="left"/>
    </w:lvl>
  </w:abstractNum>
  <w:num w:numId="1">
    <w:abstractNumId w:val="6"/>
  </w:num>
  <w:num w:numId="2">
    <w:abstractNumId w:val="4"/>
  </w:num>
  <w:num w:numId="3">
    <w:abstractNumId w:val="3"/>
  </w:num>
  <w:num w:numId="4">
    <w:abstractNumId w:val="5"/>
  </w:num>
  <w:num w:numId="5">
    <w:abstractNumId w:val="1"/>
  </w:num>
  <w:num w:numId="6">
    <w:abstractNumId w:val="7"/>
  </w:num>
  <w:num w:numId="7">
    <w:abstractNumId w:val="0"/>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A1Y2E0MzM3YTg4ODc3MWFkNmFlNjIyNzE2ZWZiMWIifQ=="/>
  </w:docVars>
  <w:rsids>
    <w:rsidRoot w:val="00E75C63"/>
    <w:rsid w:val="0010427F"/>
    <w:rsid w:val="001B4533"/>
    <w:rsid w:val="004D4898"/>
    <w:rsid w:val="005D4DB2"/>
    <w:rsid w:val="006022A1"/>
    <w:rsid w:val="0066358F"/>
    <w:rsid w:val="006827F1"/>
    <w:rsid w:val="008946C3"/>
    <w:rsid w:val="00A925F3"/>
    <w:rsid w:val="00AD1387"/>
    <w:rsid w:val="00CF6B9D"/>
    <w:rsid w:val="00D11D2F"/>
    <w:rsid w:val="00D33D00"/>
    <w:rsid w:val="00D42E8D"/>
    <w:rsid w:val="00D92801"/>
    <w:rsid w:val="00E75C63"/>
    <w:rsid w:val="00EA6845"/>
    <w:rsid w:val="00F31D44"/>
    <w:rsid w:val="30935C9A"/>
    <w:rsid w:val="48524156"/>
    <w:rsid w:val="5084175C"/>
    <w:rsid w:val="55C97BCB"/>
    <w:rsid w:val="5A4D6983"/>
    <w:rsid w:val="5C5C51E9"/>
    <w:rsid w:val="7967206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99"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uiPriority w:val="1"/>
  </w:style>
  <w:style w:type="table" w:default="1" w:styleId="62">
    <w:name w:val="Normal Table"/>
    <w:semiHidden/>
    <w:unhideWhenUsed/>
    <w:uiPriority w:val="99"/>
    <w:tblPr>
      <w:tblCellMar>
        <w:top w:w="0" w:type="dxa"/>
        <w:left w:w="108" w:type="dxa"/>
        <w:bottom w:w="0" w:type="dxa"/>
        <w:right w:w="108" w:type="dxa"/>
      </w:tblCellMar>
    </w:tblPr>
  </w:style>
  <w:style w:type="paragraph" w:styleId="2">
    <w:name w:val="Body Text First Indent 2"/>
    <w:basedOn w:val="3"/>
    <w:link w:val="119"/>
    <w:qFormat/>
    <w:uiPriority w:val="0"/>
    <w:pPr>
      <w:adjustRightInd/>
      <w:spacing w:after="120" w:line="240" w:lineRule="auto"/>
      <w:ind w:left="420" w:leftChars="200" w:firstLine="210"/>
    </w:pPr>
    <w:rPr>
      <w:sz w:val="21"/>
    </w:rPr>
  </w:style>
  <w:style w:type="paragraph" w:styleId="3">
    <w:name w:val="Body Text Indent"/>
    <w:basedOn w:val="1"/>
    <w:link w:val="263"/>
    <w:qFormat/>
    <w:uiPriority w:val="0"/>
    <w:pPr>
      <w:spacing w:line="480" w:lineRule="exact"/>
      <w:ind w:firstLine="480" w:firstLineChars="200"/>
    </w:pPr>
    <w:rPr>
      <w:rFonts w:ascii="宋体" w:hAnsi="宋体"/>
      <w:sz w:val="24"/>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227"/>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0"/>
    <w:qFormat/>
    <w:uiPriority w:val="0"/>
    <w:pPr>
      <w:shd w:val="clear" w:color="auto" w:fill="000080"/>
    </w:pPr>
  </w:style>
  <w:style w:type="paragraph" w:styleId="21">
    <w:name w:val="annotation text"/>
    <w:basedOn w:val="1"/>
    <w:link w:val="342"/>
    <w:qFormat/>
    <w:uiPriority w:val="99"/>
    <w:pPr>
      <w:jc w:val="left"/>
    </w:pPr>
  </w:style>
  <w:style w:type="paragraph" w:styleId="22">
    <w:name w:val="Salutation"/>
    <w:basedOn w:val="1"/>
    <w:next w:val="1"/>
    <w:link w:val="296"/>
    <w:qFormat/>
    <w:uiPriority w:val="0"/>
    <w:rPr>
      <w:rFonts w:ascii="仿宋_GB2312" w:eastAsia="仿宋_GB2312"/>
      <w:sz w:val="28"/>
      <w:szCs w:val="20"/>
    </w:rPr>
  </w:style>
  <w:style w:type="paragraph" w:styleId="23">
    <w:name w:val="Body Text 3"/>
    <w:basedOn w:val="1"/>
    <w:link w:val="328"/>
    <w:qFormat/>
    <w:uiPriority w:val="0"/>
    <w:pPr>
      <w:jc w:val="center"/>
    </w:pPr>
    <w:rPr>
      <w:szCs w:val="20"/>
    </w:rPr>
  </w:style>
  <w:style w:type="paragraph" w:styleId="24">
    <w:name w:val="List Bullet 3"/>
    <w:basedOn w:val="1"/>
    <w:qFormat/>
    <w:uiPriority w:val="0"/>
    <w:pPr>
      <w:snapToGrid w:val="0"/>
      <w:spacing w:line="360" w:lineRule="auto"/>
      <w:ind w:left="360" w:right="238" w:hanging="360"/>
      <w:contextualSpacing/>
    </w:pPr>
    <w:rPr>
      <w:sz w:val="24"/>
    </w:rPr>
  </w:style>
  <w:style w:type="paragraph" w:styleId="25">
    <w:name w:val="Body Text"/>
    <w:basedOn w:val="1"/>
    <w:next w:val="26"/>
    <w:link w:val="428"/>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27"/>
    <w:link w:val="319"/>
    <w:qFormat/>
    <w:uiPriority w:val="0"/>
    <w:pPr>
      <w:ind w:firstLine="420"/>
    </w:pPr>
    <w:rPr>
      <w:rFonts w:hAnsi="Calibri" w:cs="Times New Roman"/>
      <w:snapToGrid/>
      <w:szCs w:val="20"/>
    </w:rPr>
  </w:style>
  <w:style w:type="paragraph" w:styleId="27">
    <w:name w:val="toc 6"/>
    <w:basedOn w:val="1"/>
    <w:next w:val="1"/>
    <w:qFormat/>
    <w:uiPriority w:val="0"/>
    <w:pPr>
      <w:ind w:left="2100" w:leftChars="1000"/>
    </w:pPr>
  </w:style>
  <w:style w:type="paragraph" w:styleId="28">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3"/>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79"/>
    <w:qFormat/>
    <w:uiPriority w:val="0"/>
    <w:pPr>
      <w:ind w:left="100" w:leftChars="2500"/>
    </w:pPr>
    <w:rPr>
      <w:rFonts w:ascii="宋体"/>
      <w:sz w:val="24"/>
      <w:szCs w:val="21"/>
      <w:lang w:val="zh-CN"/>
    </w:rPr>
  </w:style>
  <w:style w:type="paragraph" w:styleId="39">
    <w:name w:val="Body Text Indent 2"/>
    <w:basedOn w:val="1"/>
    <w:link w:val="306"/>
    <w:qFormat/>
    <w:uiPriority w:val="0"/>
    <w:pPr>
      <w:spacing w:line="360" w:lineRule="auto"/>
      <w:ind w:firstLine="601"/>
      <w:textAlignment w:val="baseline"/>
    </w:pPr>
    <w:rPr>
      <w:rFonts w:ascii="宋体"/>
      <w:kern w:val="0"/>
      <w:sz w:val="28"/>
      <w:szCs w:val="20"/>
    </w:rPr>
  </w:style>
  <w:style w:type="paragraph" w:styleId="40">
    <w:name w:val="endnote text"/>
    <w:basedOn w:val="1"/>
    <w:link w:val="929"/>
    <w:qFormat/>
    <w:uiPriority w:val="0"/>
    <w:rPr>
      <w:lang w:val="zh-CN"/>
    </w:rPr>
  </w:style>
  <w:style w:type="paragraph" w:styleId="41">
    <w:name w:val="Balloon Text"/>
    <w:basedOn w:val="1"/>
    <w:link w:val="186"/>
    <w:qFormat/>
    <w:uiPriority w:val="0"/>
    <w:rPr>
      <w:sz w:val="18"/>
      <w:szCs w:val="18"/>
    </w:rPr>
  </w:style>
  <w:style w:type="paragraph" w:styleId="42">
    <w:name w:val="footer"/>
    <w:basedOn w:val="1"/>
    <w:link w:val="381"/>
    <w:qFormat/>
    <w:uiPriority w:val="99"/>
    <w:pPr>
      <w:tabs>
        <w:tab w:val="center" w:pos="4153"/>
        <w:tab w:val="right" w:pos="8306"/>
      </w:tabs>
      <w:snapToGrid w:val="0"/>
      <w:jc w:val="left"/>
    </w:pPr>
    <w:rPr>
      <w:sz w:val="18"/>
      <w:szCs w:val="18"/>
    </w:rPr>
  </w:style>
  <w:style w:type="paragraph" w:styleId="43">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7"/>
    <w:link w:val="308"/>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3"/>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0"/>
    <w:qFormat/>
    <w:uiPriority w:val="0"/>
    <w:pPr>
      <w:spacing w:after="120" w:line="480" w:lineRule="auto"/>
    </w:pPr>
  </w:style>
  <w:style w:type="paragraph" w:styleId="58">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4"/>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3"/>
    <w:basedOn w:val="35"/>
    <w:qFormat/>
    <w:uiPriority w:val="0"/>
    <w:pPr>
      <w:tabs>
        <w:tab w:val="left" w:pos="2790"/>
        <w:tab w:val="left" w:pos="4230"/>
      </w:tabs>
      <w:spacing w:beforeLines="100"/>
      <w:jc w:val="left"/>
    </w:p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_cfe5acbe-d4ff-47c0-875b-ba3d51bb3309"/>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1"/>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_550af8dd-5f5e-48ab-87d9-ec356db041c1"/>
    <w:qFormat/>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69"/>
    <w:qFormat/>
    <w:uiPriority w:val="0"/>
    <w:rPr>
      <w:rFonts w:ascii="Arial" w:hAnsi="Arial" w:eastAsia="黑体" w:cs="Arial"/>
      <w:snapToGrid w:val="0"/>
      <w:kern w:val="0"/>
      <w:szCs w:val="21"/>
    </w:rPr>
  </w:style>
  <w:style w:type="character" w:customStyle="1" w:styleId="123">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9"/>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9"/>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5"/>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8"/>
    <w:qFormat/>
    <w:uiPriority w:val="0"/>
    <w:rPr>
      <w:rFonts w:ascii="宋体"/>
      <w:kern w:val="2"/>
      <w:sz w:val="24"/>
      <w:szCs w:val="21"/>
      <w:lang w:val="zh-CN"/>
    </w:rPr>
  </w:style>
  <w:style w:type="character" w:customStyle="1" w:styleId="180">
    <w:name w:val="标题 9 Char"/>
    <w:link w:val="12"/>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qFormat/>
    <w:uiPriority w:val="99"/>
    <w:rPr>
      <w:rFonts w:ascii="Times New Roman" w:hAnsi="Times New Roman" w:eastAsia="宋体" w:cs="Times New Roman"/>
      <w:szCs w:val="24"/>
    </w:rPr>
  </w:style>
  <w:style w:type="character" w:customStyle="1" w:styleId="186">
    <w:name w:val="批注框文本 Char"/>
    <w:link w:val="41"/>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17"/>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20"/>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69"/>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2"/>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7"/>
    <w:link w:val="220"/>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_4412d736-7f7c-4bca-acf0-57b129d65a52"/>
    <w:qFormat/>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8"/>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3"/>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_0f6444dd-fb28-442e-8b66-ad67e7c09d8c"/>
    <w:qFormat/>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4"/>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60"/>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2"/>
    <w:qFormat/>
    <w:uiPriority w:val="0"/>
    <w:rPr>
      <w:rFonts w:ascii="仿宋_GB2312" w:eastAsia="仿宋_GB2312"/>
      <w:kern w:val="2"/>
      <w:sz w:val="28"/>
    </w:rPr>
  </w:style>
  <w:style w:type="character" w:customStyle="1" w:styleId="297">
    <w:name w:val="文本正文 Char Char"/>
    <w:qFormat/>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8"/>
    <w:qFormat/>
    <w:uiPriority w:val="0"/>
    <w:rPr>
      <w:rFonts w:ascii="黑体" w:hAnsi="Courier New" w:eastAsia="黑体"/>
    </w:rPr>
  </w:style>
  <w:style w:type="character" w:customStyle="1" w:styleId="300">
    <w:name w:val="正文文本 2 Char1"/>
    <w:link w:val="57"/>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0"/>
    <w:qFormat/>
    <w:uiPriority w:val="0"/>
    <w:rPr>
      <w:b/>
      <w:bCs/>
      <w:kern w:val="2"/>
      <w:sz w:val="24"/>
      <w:szCs w:val="24"/>
    </w:rPr>
  </w:style>
  <w:style w:type="character" w:customStyle="1" w:styleId="306">
    <w:name w:val="正文文本缩进 2 Char"/>
    <w:link w:val="39"/>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2"/>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26"/>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3"/>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1"/>
    <w:qFormat/>
    <w:uiPriority w:val="0"/>
    <w:rPr>
      <w:kern w:val="2"/>
      <w:sz w:val="21"/>
      <w:szCs w:val="24"/>
    </w:rPr>
  </w:style>
  <w:style w:type="character" w:customStyle="1" w:styleId="343">
    <w:name w:val="签名 Char"/>
    <w:link w:val="44"/>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4"/>
    <w:qFormat/>
    <w:uiPriority w:val="0"/>
    <w:rPr>
      <w:kern w:val="2"/>
      <w:sz w:val="24"/>
    </w:rPr>
  </w:style>
  <w:style w:type="character" w:customStyle="1" w:styleId="374">
    <w:name w:val="日期 Char1"/>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2"/>
    <w:qFormat/>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3"/>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7"/>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5"/>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outlineLvl w:val="5"/>
    </w:pPr>
  </w:style>
  <w:style w:type="paragraph" w:customStyle="1" w:styleId="471">
    <w:name w:val="5级标题"/>
    <w:basedOn w:val="47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2">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5"/>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6"/>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8"/>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6"/>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sz w:val="24"/>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7"/>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Lines="50"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5"/>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3"/>
    <w:next w:val="233"/>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3"/>
    <w:next w:val="233"/>
    <w:qFormat/>
    <w:uiPriority w:val="0"/>
    <w:rPr>
      <w:rFonts w:ascii="宋体" w:eastAsia="宋体" w:cs="Times New Roman"/>
      <w:color w:val="auto"/>
    </w:rPr>
  </w:style>
  <w:style w:type="paragraph" w:customStyle="1" w:styleId="54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3"/>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7"/>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3">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4"/>
    <w:qFormat/>
    <w:uiPriority w:val="0"/>
    <w:pPr>
      <w:tabs>
        <w:tab w:val="left" w:pos="840"/>
      </w:tabs>
      <w:adjustRightInd/>
      <w:ind w:left="840" w:hanging="420"/>
    </w:pPr>
  </w:style>
  <w:style w:type="paragraph" w:customStyle="1" w:styleId="623">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ind w:left="1680"/>
      <w:outlineLvl w:val="2"/>
    </w:pPr>
  </w:style>
  <w:style w:type="paragraph" w:customStyle="1" w:styleId="655">
    <w:name w:val="章标题"/>
    <w:next w:val="63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7"/>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Lines="50"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9"/>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6"/>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1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0">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7"/>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3"/>
    <w:qFormat/>
    <w:uiPriority w:val="0"/>
    <w:pPr>
      <w:adjustRightInd/>
      <w:spacing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20"/>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8"/>
    <w:next w:val="1"/>
    <w:qFormat/>
    <w:uiPriority w:val="0"/>
    <w:pPr>
      <w:tabs>
        <w:tab w:val="left" w:pos="1080"/>
      </w:tabs>
      <w:ind w:left="1080" w:hanging="1080"/>
    </w:pPr>
  </w:style>
  <w:style w:type="paragraph" w:customStyle="1" w:styleId="894">
    <w:name w:val="数字标题1"/>
    <w:basedOn w:val="4"/>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1"/>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40"/>
    <w:qFormat/>
    <w:uiPriority w:val="0"/>
    <w:rPr>
      <w:kern w:val="2"/>
      <w:sz w:val="21"/>
      <w:szCs w:val="24"/>
      <w:lang w:val="zh-CN"/>
    </w:rPr>
  </w:style>
  <w:style w:type="character" w:customStyle="1" w:styleId="930">
    <w:name w:val="无间隔 Char"/>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6"/>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character" w:customStyle="1" w:styleId="961">
    <w:name w:val="bookmark-item"/>
    <w:basedOn w:val="69"/>
    <w:qFormat/>
    <w:uiPriority w:val="0"/>
  </w:style>
  <w:style w:type="paragraph" w:customStyle="1" w:styleId="962">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character" w:customStyle="1" w:styleId="963">
    <w:name w:val="NormalCharacter"/>
    <w:basedOn w:val="69"/>
    <w:qFormat/>
    <w:uiPriority w:val="0"/>
  </w:style>
  <w:style w:type="paragraph" w:customStyle="1" w:styleId="964">
    <w:name w:val="正文ok"/>
    <w:basedOn w:val="1"/>
    <w:qFormat/>
    <w:uiPriority w:val="0"/>
    <w:pPr>
      <w:widowControl/>
      <w:spacing w:line="360" w:lineRule="auto"/>
      <w:ind w:firstLine="200" w:firstLineChars="200"/>
      <w:jc w:val="left"/>
    </w:pPr>
    <w:rPr>
      <w:rFonts w:hint="eastAsia" w:ascii="宋体"/>
      <w:kern w:val="0"/>
      <w:sz w:val="24"/>
      <w:szCs w:val="20"/>
    </w:rPr>
  </w:style>
  <w:style w:type="paragraph" w:customStyle="1" w:styleId="965">
    <w:name w:val="2"/>
    <w:basedOn w:val="1"/>
    <w:next w:val="35"/>
    <w:qFormat/>
    <w:uiPriority w:val="0"/>
    <w:rPr>
      <w:rFonts w:ascii="宋体" w:hAnsi="Courier New"/>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82</Pages>
  <Words>34734</Words>
  <Characters>37101</Characters>
  <Lines>233</Lines>
  <Paragraphs>65</Paragraphs>
  <TotalTime>8</TotalTime>
  <ScaleCrop>false</ScaleCrop>
  <LinksUpToDate>false</LinksUpToDate>
  <CharactersWithSpaces>38765</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2022-08-05T08:43:00Z</dcterms:created>
  <dc:creator>玥</dc:creator>
  <cp:lastModifiedBy>xinlan</cp:lastModifiedBy>
  <cp:lastPrinted>2022-07-14T15:44:00Z</cp:lastPrinted>
  <dcterms:modified xsi:type="dcterms:W3CDTF">2022-08-24T03:08:19Z</dcterms:modified>
  <dc:title>杭州市市民卡扩大发卡工程</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61CF54BF61094CE895D989683288D8CA</vt:lpwstr>
  </property>
</Properties>
</file>